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8E7846" w:rsidRPr="00487162" w:rsidTr="004165B6">
        <w:trPr>
          <w:trHeight w:val="1863"/>
        </w:trPr>
        <w:tc>
          <w:tcPr>
            <w:tcW w:w="9039" w:type="dxa"/>
            <w:tcBorders>
              <w:top w:val="nil"/>
              <w:left w:val="nil"/>
              <w:bottom w:val="nil"/>
              <w:right w:val="nil"/>
            </w:tcBorders>
          </w:tcPr>
          <w:p w:rsidR="008E7846" w:rsidRPr="0017078F" w:rsidRDefault="004165B6" w:rsidP="004165B6">
            <w:pPr>
              <w:rPr>
                <w:rFonts w:ascii="Arial" w:hAnsi="Arial" w:cs="Arial"/>
                <w:b/>
                <w:color w:val="002C47"/>
                <w:sz w:val="36"/>
                <w:szCs w:val="36"/>
              </w:rPr>
            </w:pPr>
            <w:r>
              <w:rPr>
                <w:rFonts w:ascii="Arial" w:hAnsi="Arial" w:cs="Arial"/>
                <w:b/>
                <w:color w:val="002C47"/>
                <w:sz w:val="36"/>
                <w:szCs w:val="36"/>
              </w:rPr>
              <w:t xml:space="preserve">Date of first round </w:t>
            </w:r>
            <w:r w:rsidR="0017078F">
              <w:rPr>
                <w:rFonts w:ascii="Arial" w:hAnsi="Arial" w:cs="Arial"/>
                <w:b/>
                <w:color w:val="002C47"/>
                <w:sz w:val="36"/>
                <w:szCs w:val="36"/>
              </w:rPr>
              <w:t>CER</w:t>
            </w:r>
            <w:r>
              <w:rPr>
                <w:rFonts w:ascii="Arial" w:hAnsi="Arial" w:cs="Arial"/>
                <w:b/>
                <w:color w:val="002C47"/>
                <w:sz w:val="36"/>
                <w:szCs w:val="36"/>
              </w:rPr>
              <w:t>: 15 December 2012</w:t>
            </w:r>
            <w:r>
              <w:rPr>
                <w:rFonts w:ascii="Arial" w:hAnsi="Arial" w:cs="Arial"/>
                <w:b/>
                <w:color w:val="002C47"/>
                <w:sz w:val="36"/>
                <w:szCs w:val="36"/>
              </w:rPr>
              <w:br/>
            </w:r>
            <w:r w:rsidRPr="004165B6">
              <w:rPr>
                <w:rFonts w:ascii="Arial" w:hAnsi="Arial" w:cs="Arial"/>
                <w:b/>
                <w:color w:val="002C47"/>
                <w:sz w:val="36"/>
                <w:szCs w:val="36"/>
              </w:rPr>
              <w:t xml:space="preserve">Date of </w:t>
            </w:r>
            <w:r>
              <w:rPr>
                <w:rFonts w:ascii="Arial" w:hAnsi="Arial" w:cs="Arial"/>
                <w:b/>
                <w:color w:val="002C47"/>
                <w:sz w:val="36"/>
                <w:szCs w:val="36"/>
              </w:rPr>
              <w:t xml:space="preserve">second </w:t>
            </w:r>
            <w:r w:rsidRPr="004165B6">
              <w:rPr>
                <w:rFonts w:ascii="Arial" w:hAnsi="Arial" w:cs="Arial"/>
                <w:b/>
                <w:color w:val="002C47"/>
                <w:sz w:val="36"/>
                <w:szCs w:val="36"/>
              </w:rPr>
              <w:t>round CER</w:t>
            </w:r>
            <w:r>
              <w:rPr>
                <w:rFonts w:ascii="Arial" w:hAnsi="Arial" w:cs="Arial"/>
                <w:b/>
                <w:color w:val="002C47"/>
                <w:sz w:val="36"/>
                <w:szCs w:val="36"/>
              </w:rPr>
              <w:t>: 29</w:t>
            </w:r>
            <w:r w:rsidRPr="004165B6">
              <w:rPr>
                <w:rFonts w:ascii="Arial" w:hAnsi="Arial" w:cs="Arial"/>
                <w:b/>
                <w:color w:val="002C47"/>
                <w:sz w:val="36"/>
                <w:szCs w:val="36"/>
              </w:rPr>
              <w:t xml:space="preserve"> </w:t>
            </w:r>
            <w:r>
              <w:rPr>
                <w:rFonts w:ascii="Arial" w:hAnsi="Arial" w:cs="Arial"/>
                <w:b/>
                <w:color w:val="002C47"/>
                <w:sz w:val="36"/>
                <w:szCs w:val="36"/>
              </w:rPr>
              <w:t>April 2013 (amended 5 May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proofErr w:type="spellStart"/>
            <w:r>
              <w:rPr>
                <w:color w:val="FFFFFF" w:themeColor="background1"/>
              </w:rPr>
              <w:t>AusPAR</w:t>
            </w:r>
            <w:proofErr w:type="spellEnd"/>
            <w:r>
              <w:rPr>
                <w:color w:val="FFFFFF" w:themeColor="background1"/>
              </w:rPr>
              <w:t xml:space="preserve"> Attachment 2</w:t>
            </w:r>
          </w:p>
        </w:tc>
      </w:tr>
      <w:tr w:rsidR="00E07F15" w:rsidRPr="00A964D1" w:rsidTr="00E07F15">
        <w:trPr>
          <w:trHeight w:val="868"/>
        </w:trPr>
        <w:tc>
          <w:tcPr>
            <w:tcW w:w="9079" w:type="dxa"/>
          </w:tcPr>
          <w:p w:rsidR="00E07F15" w:rsidRPr="00A964D1" w:rsidRDefault="00E07F15" w:rsidP="00941008">
            <w:pPr>
              <w:pStyle w:val="Title"/>
              <w:rPr>
                <w:color w:val="FFFFFF" w:themeColor="background1"/>
              </w:rPr>
            </w:pPr>
            <w:r>
              <w:rPr>
                <w:color w:val="FFFFFF" w:themeColor="background1"/>
              </w:rPr>
              <w:t>Extract from the Clinical Evaluation Report</w:t>
            </w:r>
            <w:r w:rsidR="000E4370">
              <w:rPr>
                <w:color w:val="FFFFFF" w:themeColor="background1"/>
              </w:rPr>
              <w:t xml:space="preserve"> for </w:t>
            </w:r>
            <w:proofErr w:type="spellStart"/>
            <w:r w:rsidR="000E4370">
              <w:rPr>
                <w:color w:val="FFFFFF" w:themeColor="background1"/>
              </w:rPr>
              <w:t>L</w:t>
            </w:r>
            <w:r w:rsidR="00941008">
              <w:rPr>
                <w:color w:val="FFFFFF" w:themeColor="background1"/>
              </w:rPr>
              <w:t>evonorgestrel</w:t>
            </w:r>
            <w:proofErr w:type="spellEnd"/>
          </w:p>
        </w:tc>
      </w:tr>
      <w:tr w:rsidR="00E07F15" w:rsidRPr="00B64760" w:rsidTr="00E07F15">
        <w:tc>
          <w:tcPr>
            <w:tcW w:w="9079" w:type="dxa"/>
          </w:tcPr>
          <w:p w:rsidR="00E07F15" w:rsidRPr="008E7846" w:rsidRDefault="00E07F15" w:rsidP="00E07F15">
            <w:pPr>
              <w:pStyle w:val="Subtitle"/>
              <w:rPr>
                <w:color w:val="FFFFFF" w:themeColor="background1"/>
              </w:rPr>
            </w:pPr>
            <w:r w:rsidRPr="008E7846">
              <w:rPr>
                <w:color w:val="FFFFFF" w:themeColor="background1"/>
              </w:rPr>
              <w:t xml:space="preserve">Proprietary Product Name: </w:t>
            </w:r>
            <w:proofErr w:type="spellStart"/>
            <w:r w:rsidR="00941008" w:rsidRPr="00941008">
              <w:rPr>
                <w:color w:val="FFFFFF" w:themeColor="background1"/>
              </w:rPr>
              <w:t>Jaydess</w:t>
            </w:r>
            <w:proofErr w:type="spellEnd"/>
            <w:r w:rsidR="00941008" w:rsidRPr="00941008">
              <w:rPr>
                <w:color w:val="FFFFFF" w:themeColor="background1"/>
              </w:rPr>
              <w:t xml:space="preserve"> (intrauterine </w:t>
            </w:r>
            <w:r w:rsidR="004165B6">
              <w:rPr>
                <w:color w:val="FFFFFF" w:themeColor="background1"/>
              </w:rPr>
              <w:t xml:space="preserve">drug </w:t>
            </w:r>
            <w:r w:rsidR="00941008" w:rsidRPr="00941008">
              <w:rPr>
                <w:color w:val="FFFFFF" w:themeColor="background1"/>
              </w:rPr>
              <w:t>delivery system</w:t>
            </w:r>
            <w:r w:rsidR="00941008">
              <w:rPr>
                <w:color w:val="FFFFFF" w:themeColor="background1"/>
              </w:rPr>
              <w:t>)</w:t>
            </w:r>
          </w:p>
        </w:tc>
      </w:tr>
      <w:tr w:rsidR="00E07F15" w:rsidRPr="00B64760" w:rsidTr="00E07F15">
        <w:trPr>
          <w:trHeight w:val="486"/>
        </w:trPr>
        <w:tc>
          <w:tcPr>
            <w:tcW w:w="9079" w:type="dxa"/>
          </w:tcPr>
          <w:p w:rsidR="00E07F15" w:rsidRPr="008E7846" w:rsidRDefault="00E07F15" w:rsidP="00941008">
            <w:pPr>
              <w:pStyle w:val="Subtitle"/>
              <w:rPr>
                <w:color w:val="FFFFFF" w:themeColor="background1"/>
              </w:rPr>
            </w:pPr>
            <w:r w:rsidRPr="008E7846">
              <w:rPr>
                <w:color w:val="FFFFFF" w:themeColor="background1"/>
              </w:rPr>
              <w:t xml:space="preserve">Sponsor: </w:t>
            </w:r>
            <w:r w:rsidR="00941008">
              <w:rPr>
                <w:color w:val="FFFFFF" w:themeColor="background1"/>
              </w:rPr>
              <w:t>Bayer Australia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D107F">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D107F">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D107F">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D107F">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D107F">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4165B6">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863776" w:rsidRDefault="00DE1AA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0660782" w:history="1">
            <w:r w:rsidR="00863776" w:rsidRPr="005457D7">
              <w:rPr>
                <w:rStyle w:val="Hyperlink"/>
                <w:noProof/>
              </w:rPr>
              <w:t>List of abbreviations</w:t>
            </w:r>
            <w:r w:rsidR="00863776">
              <w:rPr>
                <w:noProof/>
                <w:webHidden/>
              </w:rPr>
              <w:tab/>
            </w:r>
            <w:r w:rsidR="00863776">
              <w:rPr>
                <w:noProof/>
                <w:webHidden/>
              </w:rPr>
              <w:fldChar w:fldCharType="begin"/>
            </w:r>
            <w:r w:rsidR="00863776">
              <w:rPr>
                <w:noProof/>
                <w:webHidden/>
              </w:rPr>
              <w:instrText xml:space="preserve"> PAGEREF _Toc380660782 \h </w:instrText>
            </w:r>
            <w:r w:rsidR="00863776">
              <w:rPr>
                <w:noProof/>
                <w:webHidden/>
              </w:rPr>
            </w:r>
            <w:r w:rsidR="00863776">
              <w:rPr>
                <w:noProof/>
                <w:webHidden/>
              </w:rPr>
              <w:fldChar w:fldCharType="separate"/>
            </w:r>
            <w:r w:rsidR="00863776">
              <w:rPr>
                <w:noProof/>
                <w:webHidden/>
              </w:rPr>
              <w:t>4</w:t>
            </w:r>
            <w:r w:rsidR="00863776">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783" w:history="1">
            <w:r w:rsidRPr="005457D7">
              <w:rPr>
                <w:rStyle w:val="Hyperlink"/>
                <w:noProof/>
                <w:lang w:eastAsia="en-AU"/>
              </w:rPr>
              <w:t>1.</w:t>
            </w:r>
            <w:r>
              <w:rPr>
                <w:rFonts w:asciiTheme="minorHAnsi" w:eastAsiaTheme="minorEastAsia" w:hAnsiTheme="minorHAnsi" w:cstheme="minorBidi"/>
                <w:b w:val="0"/>
                <w:noProof/>
                <w:sz w:val="22"/>
                <w:lang w:eastAsia="en-AU"/>
              </w:rPr>
              <w:tab/>
            </w:r>
            <w:r w:rsidRPr="005457D7">
              <w:rPr>
                <w:rStyle w:val="Hyperlink"/>
                <w:noProof/>
                <w:lang w:eastAsia="en-AU"/>
              </w:rPr>
              <w:t>Introduction</w:t>
            </w:r>
            <w:r>
              <w:rPr>
                <w:noProof/>
                <w:webHidden/>
              </w:rPr>
              <w:tab/>
            </w:r>
            <w:r>
              <w:rPr>
                <w:noProof/>
                <w:webHidden/>
              </w:rPr>
              <w:fldChar w:fldCharType="begin"/>
            </w:r>
            <w:r>
              <w:rPr>
                <w:noProof/>
                <w:webHidden/>
              </w:rPr>
              <w:instrText xml:space="preserve"> PAGEREF _Toc380660783 \h </w:instrText>
            </w:r>
            <w:r>
              <w:rPr>
                <w:noProof/>
                <w:webHidden/>
              </w:rPr>
            </w:r>
            <w:r>
              <w:rPr>
                <w:noProof/>
                <w:webHidden/>
              </w:rPr>
              <w:fldChar w:fldCharType="separate"/>
            </w:r>
            <w:r>
              <w:rPr>
                <w:noProof/>
                <w:webHidden/>
              </w:rPr>
              <w:t>5</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84" w:history="1">
            <w:r w:rsidRPr="005457D7">
              <w:rPr>
                <w:rStyle w:val="Hyperlink"/>
                <w:noProof/>
              </w:rPr>
              <w:t>1.1.</w:t>
            </w:r>
            <w:r>
              <w:rPr>
                <w:rFonts w:asciiTheme="minorHAnsi" w:eastAsiaTheme="minorEastAsia" w:hAnsiTheme="minorHAnsi" w:cstheme="minorBidi"/>
                <w:noProof/>
                <w:lang w:eastAsia="en-AU"/>
              </w:rPr>
              <w:tab/>
            </w:r>
            <w:r w:rsidRPr="005457D7">
              <w:rPr>
                <w:rStyle w:val="Hyperlink"/>
                <w:noProof/>
              </w:rPr>
              <w:t>Overseas regulatory history</w:t>
            </w:r>
            <w:r>
              <w:rPr>
                <w:noProof/>
                <w:webHidden/>
              </w:rPr>
              <w:tab/>
            </w:r>
            <w:r>
              <w:rPr>
                <w:noProof/>
                <w:webHidden/>
              </w:rPr>
              <w:fldChar w:fldCharType="begin"/>
            </w:r>
            <w:r>
              <w:rPr>
                <w:noProof/>
                <w:webHidden/>
              </w:rPr>
              <w:instrText xml:space="preserve"> PAGEREF _Toc380660784 \h </w:instrText>
            </w:r>
            <w:r>
              <w:rPr>
                <w:noProof/>
                <w:webHidden/>
              </w:rPr>
            </w:r>
            <w:r>
              <w:rPr>
                <w:noProof/>
                <w:webHidden/>
              </w:rPr>
              <w:fldChar w:fldCharType="separate"/>
            </w:r>
            <w:r>
              <w:rPr>
                <w:noProof/>
                <w:webHidden/>
              </w:rPr>
              <w:t>5</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785" w:history="1">
            <w:r w:rsidRPr="005457D7">
              <w:rPr>
                <w:rStyle w:val="Hyperlink"/>
                <w:noProof/>
              </w:rPr>
              <w:t>2.</w:t>
            </w:r>
            <w:r>
              <w:rPr>
                <w:rFonts w:asciiTheme="minorHAnsi" w:eastAsiaTheme="minorEastAsia" w:hAnsiTheme="minorHAnsi" w:cstheme="minorBidi"/>
                <w:b w:val="0"/>
                <w:noProof/>
                <w:sz w:val="22"/>
                <w:lang w:eastAsia="en-AU"/>
              </w:rPr>
              <w:tab/>
            </w:r>
            <w:r w:rsidRPr="005457D7">
              <w:rPr>
                <w:rStyle w:val="Hyperlink"/>
                <w:noProof/>
              </w:rPr>
              <w:t>Clinical rationale</w:t>
            </w:r>
            <w:r>
              <w:rPr>
                <w:noProof/>
                <w:webHidden/>
              </w:rPr>
              <w:tab/>
            </w:r>
            <w:r>
              <w:rPr>
                <w:noProof/>
                <w:webHidden/>
              </w:rPr>
              <w:fldChar w:fldCharType="begin"/>
            </w:r>
            <w:r>
              <w:rPr>
                <w:noProof/>
                <w:webHidden/>
              </w:rPr>
              <w:instrText xml:space="preserve"> PAGEREF _Toc380660785 \h </w:instrText>
            </w:r>
            <w:r>
              <w:rPr>
                <w:noProof/>
                <w:webHidden/>
              </w:rPr>
            </w:r>
            <w:r>
              <w:rPr>
                <w:noProof/>
                <w:webHidden/>
              </w:rPr>
              <w:fldChar w:fldCharType="separate"/>
            </w:r>
            <w:r>
              <w:rPr>
                <w:noProof/>
                <w:webHidden/>
              </w:rPr>
              <w:t>6</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86" w:history="1">
            <w:r w:rsidRPr="005457D7">
              <w:rPr>
                <w:rStyle w:val="Hyperlink"/>
                <w:noProof/>
              </w:rPr>
              <w:t>2.1.</w:t>
            </w:r>
            <w:r>
              <w:rPr>
                <w:rFonts w:asciiTheme="minorHAnsi" w:eastAsiaTheme="minorEastAsia" w:hAnsiTheme="minorHAnsi" w:cstheme="minorBidi"/>
                <w:noProof/>
                <w:lang w:eastAsia="en-AU"/>
              </w:rPr>
              <w:tab/>
            </w:r>
            <w:r w:rsidRPr="005457D7">
              <w:rPr>
                <w:rStyle w:val="Hyperlink"/>
                <w:noProof/>
              </w:rPr>
              <w:t>Guidance</w:t>
            </w:r>
            <w:r>
              <w:rPr>
                <w:noProof/>
                <w:webHidden/>
              </w:rPr>
              <w:tab/>
            </w:r>
            <w:r>
              <w:rPr>
                <w:noProof/>
                <w:webHidden/>
              </w:rPr>
              <w:fldChar w:fldCharType="begin"/>
            </w:r>
            <w:r>
              <w:rPr>
                <w:noProof/>
                <w:webHidden/>
              </w:rPr>
              <w:instrText xml:space="preserve"> PAGEREF _Toc380660786 \h </w:instrText>
            </w:r>
            <w:r>
              <w:rPr>
                <w:noProof/>
                <w:webHidden/>
              </w:rPr>
            </w:r>
            <w:r>
              <w:rPr>
                <w:noProof/>
                <w:webHidden/>
              </w:rPr>
              <w:fldChar w:fldCharType="separate"/>
            </w:r>
            <w:r>
              <w:rPr>
                <w:noProof/>
                <w:webHidden/>
              </w:rPr>
              <w:t>6</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787" w:history="1">
            <w:r w:rsidRPr="005457D7">
              <w:rPr>
                <w:rStyle w:val="Hyperlink"/>
                <w:noProof/>
                <w:lang w:eastAsia="en-AU"/>
              </w:rPr>
              <w:t>3.</w:t>
            </w:r>
            <w:r>
              <w:rPr>
                <w:rFonts w:asciiTheme="minorHAnsi" w:eastAsiaTheme="minorEastAsia" w:hAnsiTheme="minorHAnsi" w:cstheme="minorBidi"/>
                <w:b w:val="0"/>
                <w:noProof/>
                <w:sz w:val="22"/>
                <w:lang w:eastAsia="en-AU"/>
              </w:rPr>
              <w:tab/>
            </w:r>
            <w:r w:rsidRPr="005457D7">
              <w:rPr>
                <w:rStyle w:val="Hyperlink"/>
                <w:noProof/>
                <w:lang w:eastAsia="en-AU"/>
              </w:rPr>
              <w:t xml:space="preserve">Contents of the </w:t>
            </w:r>
            <w:r w:rsidRPr="005457D7">
              <w:rPr>
                <w:rStyle w:val="Hyperlink"/>
                <w:noProof/>
              </w:rPr>
              <w:t>clinical</w:t>
            </w:r>
            <w:r w:rsidRPr="005457D7">
              <w:rPr>
                <w:rStyle w:val="Hyperlink"/>
                <w:noProof/>
                <w:lang w:eastAsia="en-AU"/>
              </w:rPr>
              <w:t xml:space="preserve"> dossier</w:t>
            </w:r>
            <w:r>
              <w:rPr>
                <w:noProof/>
                <w:webHidden/>
              </w:rPr>
              <w:tab/>
            </w:r>
            <w:r>
              <w:rPr>
                <w:noProof/>
                <w:webHidden/>
              </w:rPr>
              <w:fldChar w:fldCharType="begin"/>
            </w:r>
            <w:r>
              <w:rPr>
                <w:noProof/>
                <w:webHidden/>
              </w:rPr>
              <w:instrText xml:space="preserve"> PAGEREF _Toc380660787 \h </w:instrText>
            </w:r>
            <w:r>
              <w:rPr>
                <w:noProof/>
                <w:webHidden/>
              </w:rPr>
            </w:r>
            <w:r>
              <w:rPr>
                <w:noProof/>
                <w:webHidden/>
              </w:rPr>
              <w:fldChar w:fldCharType="separate"/>
            </w:r>
            <w:r>
              <w:rPr>
                <w:noProof/>
                <w:webHidden/>
              </w:rPr>
              <w:t>7</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88" w:history="1">
            <w:r w:rsidRPr="005457D7">
              <w:rPr>
                <w:rStyle w:val="Hyperlink"/>
                <w:noProof/>
              </w:rPr>
              <w:t>3.1.</w:t>
            </w:r>
            <w:r>
              <w:rPr>
                <w:rFonts w:asciiTheme="minorHAnsi" w:eastAsiaTheme="minorEastAsia" w:hAnsiTheme="minorHAnsi" w:cstheme="minorBidi"/>
                <w:noProof/>
                <w:lang w:eastAsia="en-AU"/>
              </w:rPr>
              <w:tab/>
            </w:r>
            <w:r w:rsidRPr="005457D7">
              <w:rPr>
                <w:rStyle w:val="Hyperlink"/>
                <w:noProof/>
              </w:rPr>
              <w:t>Scope of the clinical dossier</w:t>
            </w:r>
            <w:r>
              <w:rPr>
                <w:noProof/>
                <w:webHidden/>
              </w:rPr>
              <w:tab/>
            </w:r>
            <w:r>
              <w:rPr>
                <w:noProof/>
                <w:webHidden/>
              </w:rPr>
              <w:fldChar w:fldCharType="begin"/>
            </w:r>
            <w:r>
              <w:rPr>
                <w:noProof/>
                <w:webHidden/>
              </w:rPr>
              <w:instrText xml:space="preserve"> PAGEREF _Toc380660788 \h </w:instrText>
            </w:r>
            <w:r>
              <w:rPr>
                <w:noProof/>
                <w:webHidden/>
              </w:rPr>
            </w:r>
            <w:r>
              <w:rPr>
                <w:noProof/>
                <w:webHidden/>
              </w:rPr>
              <w:fldChar w:fldCharType="separate"/>
            </w:r>
            <w:r>
              <w:rPr>
                <w:noProof/>
                <w:webHidden/>
              </w:rPr>
              <w:t>7</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89" w:history="1">
            <w:r w:rsidRPr="005457D7">
              <w:rPr>
                <w:rStyle w:val="Hyperlink"/>
                <w:noProof/>
              </w:rPr>
              <w:t>3.2.</w:t>
            </w:r>
            <w:r>
              <w:rPr>
                <w:rFonts w:asciiTheme="minorHAnsi" w:eastAsiaTheme="minorEastAsia" w:hAnsiTheme="minorHAnsi" w:cstheme="minorBidi"/>
                <w:noProof/>
                <w:lang w:eastAsia="en-AU"/>
              </w:rPr>
              <w:tab/>
            </w:r>
            <w:r w:rsidRPr="005457D7">
              <w:rPr>
                <w:rStyle w:val="Hyperlink"/>
                <w:noProof/>
              </w:rPr>
              <w:t>Paediatric data</w:t>
            </w:r>
            <w:r>
              <w:rPr>
                <w:noProof/>
                <w:webHidden/>
              </w:rPr>
              <w:tab/>
            </w:r>
            <w:r>
              <w:rPr>
                <w:noProof/>
                <w:webHidden/>
              </w:rPr>
              <w:fldChar w:fldCharType="begin"/>
            </w:r>
            <w:r>
              <w:rPr>
                <w:noProof/>
                <w:webHidden/>
              </w:rPr>
              <w:instrText xml:space="preserve"> PAGEREF _Toc380660789 \h </w:instrText>
            </w:r>
            <w:r>
              <w:rPr>
                <w:noProof/>
                <w:webHidden/>
              </w:rPr>
            </w:r>
            <w:r>
              <w:rPr>
                <w:noProof/>
                <w:webHidden/>
              </w:rPr>
              <w:fldChar w:fldCharType="separate"/>
            </w:r>
            <w:r>
              <w:rPr>
                <w:noProof/>
                <w:webHidden/>
              </w:rPr>
              <w:t>7</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90" w:history="1">
            <w:r w:rsidRPr="005457D7">
              <w:rPr>
                <w:rStyle w:val="Hyperlink"/>
                <w:noProof/>
              </w:rPr>
              <w:t>3.3.</w:t>
            </w:r>
            <w:r>
              <w:rPr>
                <w:rFonts w:asciiTheme="minorHAnsi" w:eastAsiaTheme="minorEastAsia" w:hAnsiTheme="minorHAnsi" w:cstheme="minorBidi"/>
                <w:noProof/>
                <w:lang w:eastAsia="en-AU"/>
              </w:rPr>
              <w:tab/>
            </w:r>
            <w:r w:rsidRPr="005457D7">
              <w:rPr>
                <w:rStyle w:val="Hyperlink"/>
                <w:noProof/>
              </w:rPr>
              <w:t>Good clinical practice</w:t>
            </w:r>
            <w:r>
              <w:rPr>
                <w:noProof/>
                <w:webHidden/>
              </w:rPr>
              <w:tab/>
            </w:r>
            <w:r>
              <w:rPr>
                <w:noProof/>
                <w:webHidden/>
              </w:rPr>
              <w:fldChar w:fldCharType="begin"/>
            </w:r>
            <w:r>
              <w:rPr>
                <w:noProof/>
                <w:webHidden/>
              </w:rPr>
              <w:instrText xml:space="preserve"> PAGEREF _Toc380660790 \h </w:instrText>
            </w:r>
            <w:r>
              <w:rPr>
                <w:noProof/>
                <w:webHidden/>
              </w:rPr>
            </w:r>
            <w:r>
              <w:rPr>
                <w:noProof/>
                <w:webHidden/>
              </w:rPr>
              <w:fldChar w:fldCharType="separate"/>
            </w:r>
            <w:r>
              <w:rPr>
                <w:noProof/>
                <w:webHidden/>
              </w:rPr>
              <w:t>7</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791" w:history="1">
            <w:r w:rsidRPr="005457D7">
              <w:rPr>
                <w:rStyle w:val="Hyperlink"/>
                <w:noProof/>
              </w:rPr>
              <w:t>4.</w:t>
            </w:r>
            <w:r>
              <w:rPr>
                <w:rFonts w:asciiTheme="minorHAnsi" w:eastAsiaTheme="minorEastAsia" w:hAnsiTheme="minorHAnsi" w:cstheme="minorBidi"/>
                <w:b w:val="0"/>
                <w:noProof/>
                <w:sz w:val="22"/>
                <w:lang w:eastAsia="en-AU"/>
              </w:rPr>
              <w:tab/>
            </w:r>
            <w:r w:rsidRPr="005457D7">
              <w:rPr>
                <w:rStyle w:val="Hyperlink"/>
                <w:noProof/>
              </w:rPr>
              <w:t>Pharmacokinetics</w:t>
            </w:r>
            <w:r>
              <w:rPr>
                <w:noProof/>
                <w:webHidden/>
              </w:rPr>
              <w:tab/>
            </w:r>
            <w:r>
              <w:rPr>
                <w:noProof/>
                <w:webHidden/>
              </w:rPr>
              <w:fldChar w:fldCharType="begin"/>
            </w:r>
            <w:r>
              <w:rPr>
                <w:noProof/>
                <w:webHidden/>
              </w:rPr>
              <w:instrText xml:space="preserve"> PAGEREF _Toc380660791 \h </w:instrText>
            </w:r>
            <w:r>
              <w:rPr>
                <w:noProof/>
                <w:webHidden/>
              </w:rPr>
            </w:r>
            <w:r>
              <w:rPr>
                <w:noProof/>
                <w:webHidden/>
              </w:rPr>
              <w:fldChar w:fldCharType="separate"/>
            </w:r>
            <w:r>
              <w:rPr>
                <w:noProof/>
                <w:webHidden/>
              </w:rPr>
              <w:t>8</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92" w:history="1">
            <w:r w:rsidRPr="005457D7">
              <w:rPr>
                <w:rStyle w:val="Hyperlink"/>
                <w:noProof/>
              </w:rPr>
              <w:t>4.1.</w:t>
            </w:r>
            <w:r>
              <w:rPr>
                <w:rFonts w:asciiTheme="minorHAnsi" w:eastAsiaTheme="minorEastAsia" w:hAnsiTheme="minorHAnsi" w:cstheme="minorBidi"/>
                <w:noProof/>
                <w:lang w:eastAsia="en-AU"/>
              </w:rPr>
              <w:tab/>
            </w:r>
            <w:r w:rsidRPr="005457D7">
              <w:rPr>
                <w:rStyle w:val="Hyperlink"/>
                <w:noProof/>
              </w:rPr>
              <w:t>Studies providing pharmacokinetic data</w:t>
            </w:r>
            <w:r>
              <w:rPr>
                <w:noProof/>
                <w:webHidden/>
              </w:rPr>
              <w:tab/>
            </w:r>
            <w:r>
              <w:rPr>
                <w:noProof/>
                <w:webHidden/>
              </w:rPr>
              <w:fldChar w:fldCharType="begin"/>
            </w:r>
            <w:r>
              <w:rPr>
                <w:noProof/>
                <w:webHidden/>
              </w:rPr>
              <w:instrText xml:space="preserve"> PAGEREF _Toc380660792 \h </w:instrText>
            </w:r>
            <w:r>
              <w:rPr>
                <w:noProof/>
                <w:webHidden/>
              </w:rPr>
            </w:r>
            <w:r>
              <w:rPr>
                <w:noProof/>
                <w:webHidden/>
              </w:rPr>
              <w:fldChar w:fldCharType="separate"/>
            </w:r>
            <w:r>
              <w:rPr>
                <w:noProof/>
                <w:webHidden/>
              </w:rPr>
              <w:t>8</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93" w:history="1">
            <w:r w:rsidRPr="005457D7">
              <w:rPr>
                <w:rStyle w:val="Hyperlink"/>
                <w:noProof/>
              </w:rPr>
              <w:t>4.2.</w:t>
            </w:r>
            <w:r>
              <w:rPr>
                <w:rFonts w:asciiTheme="minorHAnsi" w:eastAsiaTheme="minorEastAsia" w:hAnsiTheme="minorHAnsi" w:cstheme="minorBidi"/>
                <w:noProof/>
                <w:lang w:eastAsia="en-AU"/>
              </w:rPr>
              <w:tab/>
            </w:r>
            <w:r w:rsidRPr="005457D7">
              <w:rPr>
                <w:rStyle w:val="Hyperlink"/>
                <w:noProof/>
              </w:rPr>
              <w:t>Summary of pharmacokinetics</w:t>
            </w:r>
            <w:r>
              <w:rPr>
                <w:noProof/>
                <w:webHidden/>
              </w:rPr>
              <w:tab/>
            </w:r>
            <w:r>
              <w:rPr>
                <w:noProof/>
                <w:webHidden/>
              </w:rPr>
              <w:fldChar w:fldCharType="begin"/>
            </w:r>
            <w:r>
              <w:rPr>
                <w:noProof/>
                <w:webHidden/>
              </w:rPr>
              <w:instrText xml:space="preserve"> PAGEREF _Toc380660793 \h </w:instrText>
            </w:r>
            <w:r>
              <w:rPr>
                <w:noProof/>
                <w:webHidden/>
              </w:rPr>
            </w:r>
            <w:r>
              <w:rPr>
                <w:noProof/>
                <w:webHidden/>
              </w:rPr>
              <w:fldChar w:fldCharType="separate"/>
            </w:r>
            <w:r>
              <w:rPr>
                <w:noProof/>
                <w:webHidden/>
              </w:rPr>
              <w:t>13</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94" w:history="1">
            <w:r w:rsidRPr="005457D7">
              <w:rPr>
                <w:rStyle w:val="Hyperlink"/>
                <w:noProof/>
              </w:rPr>
              <w:t>4.3.</w:t>
            </w:r>
            <w:r>
              <w:rPr>
                <w:rFonts w:asciiTheme="minorHAnsi" w:eastAsiaTheme="minorEastAsia" w:hAnsiTheme="minorHAnsi" w:cstheme="minorBidi"/>
                <w:noProof/>
                <w:lang w:eastAsia="en-AU"/>
              </w:rPr>
              <w:tab/>
            </w:r>
            <w:r w:rsidRPr="005457D7">
              <w:rPr>
                <w:rStyle w:val="Hyperlink"/>
                <w:noProof/>
              </w:rPr>
              <w:t>Evaluator’s overall conclusions on pharmacokinetics</w:t>
            </w:r>
            <w:r>
              <w:rPr>
                <w:noProof/>
                <w:webHidden/>
              </w:rPr>
              <w:tab/>
            </w:r>
            <w:r>
              <w:rPr>
                <w:noProof/>
                <w:webHidden/>
              </w:rPr>
              <w:fldChar w:fldCharType="begin"/>
            </w:r>
            <w:r>
              <w:rPr>
                <w:noProof/>
                <w:webHidden/>
              </w:rPr>
              <w:instrText xml:space="preserve"> PAGEREF _Toc380660794 \h </w:instrText>
            </w:r>
            <w:r>
              <w:rPr>
                <w:noProof/>
                <w:webHidden/>
              </w:rPr>
            </w:r>
            <w:r>
              <w:rPr>
                <w:noProof/>
                <w:webHidden/>
              </w:rPr>
              <w:fldChar w:fldCharType="separate"/>
            </w:r>
            <w:r>
              <w:rPr>
                <w:noProof/>
                <w:webHidden/>
              </w:rPr>
              <w:t>20</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795" w:history="1">
            <w:r w:rsidRPr="005457D7">
              <w:rPr>
                <w:rStyle w:val="Hyperlink"/>
                <w:noProof/>
              </w:rPr>
              <w:t>5.</w:t>
            </w:r>
            <w:r>
              <w:rPr>
                <w:rFonts w:asciiTheme="minorHAnsi" w:eastAsiaTheme="minorEastAsia" w:hAnsiTheme="minorHAnsi" w:cstheme="minorBidi"/>
                <w:b w:val="0"/>
                <w:noProof/>
                <w:sz w:val="22"/>
                <w:lang w:eastAsia="en-AU"/>
              </w:rPr>
              <w:tab/>
            </w:r>
            <w:r w:rsidRPr="005457D7">
              <w:rPr>
                <w:rStyle w:val="Hyperlink"/>
                <w:noProof/>
              </w:rPr>
              <w:t>Pharmacodynamics</w:t>
            </w:r>
            <w:r>
              <w:rPr>
                <w:noProof/>
                <w:webHidden/>
              </w:rPr>
              <w:tab/>
            </w:r>
            <w:r>
              <w:rPr>
                <w:noProof/>
                <w:webHidden/>
              </w:rPr>
              <w:fldChar w:fldCharType="begin"/>
            </w:r>
            <w:r>
              <w:rPr>
                <w:noProof/>
                <w:webHidden/>
              </w:rPr>
              <w:instrText xml:space="preserve"> PAGEREF _Toc380660795 \h </w:instrText>
            </w:r>
            <w:r>
              <w:rPr>
                <w:noProof/>
                <w:webHidden/>
              </w:rPr>
            </w:r>
            <w:r>
              <w:rPr>
                <w:noProof/>
                <w:webHidden/>
              </w:rPr>
              <w:fldChar w:fldCharType="separate"/>
            </w:r>
            <w:r>
              <w:rPr>
                <w:noProof/>
                <w:webHidden/>
              </w:rPr>
              <w:t>20</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96" w:history="1">
            <w:r w:rsidRPr="005457D7">
              <w:rPr>
                <w:rStyle w:val="Hyperlink"/>
                <w:noProof/>
              </w:rPr>
              <w:t>5.1.</w:t>
            </w:r>
            <w:r>
              <w:rPr>
                <w:rFonts w:asciiTheme="minorHAnsi" w:eastAsiaTheme="minorEastAsia" w:hAnsiTheme="minorHAnsi" w:cstheme="minorBidi"/>
                <w:noProof/>
                <w:lang w:eastAsia="en-AU"/>
              </w:rPr>
              <w:tab/>
            </w:r>
            <w:r w:rsidRPr="005457D7">
              <w:rPr>
                <w:rStyle w:val="Hyperlink"/>
                <w:noProof/>
              </w:rPr>
              <w:t>Studies providing pharmacodynamic data</w:t>
            </w:r>
            <w:r>
              <w:rPr>
                <w:noProof/>
                <w:webHidden/>
              </w:rPr>
              <w:tab/>
            </w:r>
            <w:r>
              <w:rPr>
                <w:noProof/>
                <w:webHidden/>
              </w:rPr>
              <w:fldChar w:fldCharType="begin"/>
            </w:r>
            <w:r>
              <w:rPr>
                <w:noProof/>
                <w:webHidden/>
              </w:rPr>
              <w:instrText xml:space="preserve"> PAGEREF _Toc380660796 \h </w:instrText>
            </w:r>
            <w:r>
              <w:rPr>
                <w:noProof/>
                <w:webHidden/>
              </w:rPr>
            </w:r>
            <w:r>
              <w:rPr>
                <w:noProof/>
                <w:webHidden/>
              </w:rPr>
              <w:fldChar w:fldCharType="separate"/>
            </w:r>
            <w:r>
              <w:rPr>
                <w:noProof/>
                <w:webHidden/>
              </w:rPr>
              <w:t>20</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97" w:history="1">
            <w:r w:rsidRPr="005457D7">
              <w:rPr>
                <w:rStyle w:val="Hyperlink"/>
                <w:noProof/>
              </w:rPr>
              <w:t>5.2.</w:t>
            </w:r>
            <w:r>
              <w:rPr>
                <w:rFonts w:asciiTheme="minorHAnsi" w:eastAsiaTheme="minorEastAsia" w:hAnsiTheme="minorHAnsi" w:cstheme="minorBidi"/>
                <w:noProof/>
                <w:lang w:eastAsia="en-AU"/>
              </w:rPr>
              <w:tab/>
            </w:r>
            <w:r w:rsidRPr="005457D7">
              <w:rPr>
                <w:rStyle w:val="Hyperlink"/>
                <w:noProof/>
              </w:rPr>
              <w:t>Summary of pharmacodynamics</w:t>
            </w:r>
            <w:r>
              <w:rPr>
                <w:noProof/>
                <w:webHidden/>
              </w:rPr>
              <w:tab/>
            </w:r>
            <w:r>
              <w:rPr>
                <w:noProof/>
                <w:webHidden/>
              </w:rPr>
              <w:fldChar w:fldCharType="begin"/>
            </w:r>
            <w:r>
              <w:rPr>
                <w:noProof/>
                <w:webHidden/>
              </w:rPr>
              <w:instrText xml:space="preserve"> PAGEREF _Toc380660797 \h </w:instrText>
            </w:r>
            <w:r>
              <w:rPr>
                <w:noProof/>
                <w:webHidden/>
              </w:rPr>
            </w:r>
            <w:r>
              <w:rPr>
                <w:noProof/>
                <w:webHidden/>
              </w:rPr>
              <w:fldChar w:fldCharType="separate"/>
            </w:r>
            <w:r>
              <w:rPr>
                <w:noProof/>
                <w:webHidden/>
              </w:rPr>
              <w:t>22</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798" w:history="1">
            <w:r w:rsidRPr="005457D7">
              <w:rPr>
                <w:rStyle w:val="Hyperlink"/>
                <w:noProof/>
              </w:rPr>
              <w:t>5.3.</w:t>
            </w:r>
            <w:r>
              <w:rPr>
                <w:rFonts w:asciiTheme="minorHAnsi" w:eastAsiaTheme="minorEastAsia" w:hAnsiTheme="minorHAnsi" w:cstheme="minorBidi"/>
                <w:noProof/>
                <w:lang w:eastAsia="en-AU"/>
              </w:rPr>
              <w:tab/>
            </w:r>
            <w:r w:rsidRPr="005457D7">
              <w:rPr>
                <w:rStyle w:val="Hyperlink"/>
                <w:noProof/>
              </w:rPr>
              <w:t>Evaluator’s overall conclusions on pharmacodynamics</w:t>
            </w:r>
            <w:r>
              <w:rPr>
                <w:noProof/>
                <w:webHidden/>
              </w:rPr>
              <w:tab/>
            </w:r>
            <w:r>
              <w:rPr>
                <w:noProof/>
                <w:webHidden/>
              </w:rPr>
              <w:fldChar w:fldCharType="begin"/>
            </w:r>
            <w:r>
              <w:rPr>
                <w:noProof/>
                <w:webHidden/>
              </w:rPr>
              <w:instrText xml:space="preserve"> PAGEREF _Toc380660798 \h </w:instrText>
            </w:r>
            <w:r>
              <w:rPr>
                <w:noProof/>
                <w:webHidden/>
              </w:rPr>
            </w:r>
            <w:r>
              <w:rPr>
                <w:noProof/>
                <w:webHidden/>
              </w:rPr>
              <w:fldChar w:fldCharType="separate"/>
            </w:r>
            <w:r>
              <w:rPr>
                <w:noProof/>
                <w:webHidden/>
              </w:rPr>
              <w:t>23</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799" w:history="1">
            <w:r w:rsidRPr="005457D7">
              <w:rPr>
                <w:rStyle w:val="Hyperlink"/>
                <w:noProof/>
              </w:rPr>
              <w:t>6.</w:t>
            </w:r>
            <w:r>
              <w:rPr>
                <w:rFonts w:asciiTheme="minorHAnsi" w:eastAsiaTheme="minorEastAsia" w:hAnsiTheme="minorHAnsi" w:cstheme="minorBidi"/>
                <w:b w:val="0"/>
                <w:noProof/>
                <w:sz w:val="22"/>
                <w:lang w:eastAsia="en-AU"/>
              </w:rPr>
              <w:tab/>
            </w:r>
            <w:r w:rsidRPr="005457D7">
              <w:rPr>
                <w:rStyle w:val="Hyperlink"/>
                <w:noProof/>
              </w:rPr>
              <w:t>Dosage selection for the pivotal studies</w:t>
            </w:r>
            <w:r>
              <w:rPr>
                <w:noProof/>
                <w:webHidden/>
              </w:rPr>
              <w:tab/>
            </w:r>
            <w:r>
              <w:rPr>
                <w:noProof/>
                <w:webHidden/>
              </w:rPr>
              <w:fldChar w:fldCharType="begin"/>
            </w:r>
            <w:r>
              <w:rPr>
                <w:noProof/>
                <w:webHidden/>
              </w:rPr>
              <w:instrText xml:space="preserve"> PAGEREF _Toc380660799 \h </w:instrText>
            </w:r>
            <w:r>
              <w:rPr>
                <w:noProof/>
                <w:webHidden/>
              </w:rPr>
            </w:r>
            <w:r>
              <w:rPr>
                <w:noProof/>
                <w:webHidden/>
              </w:rPr>
              <w:fldChar w:fldCharType="separate"/>
            </w:r>
            <w:r>
              <w:rPr>
                <w:noProof/>
                <w:webHidden/>
              </w:rPr>
              <w:t>23</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800" w:history="1">
            <w:r w:rsidRPr="005457D7">
              <w:rPr>
                <w:rStyle w:val="Hyperlink"/>
                <w:noProof/>
              </w:rPr>
              <w:t>7.</w:t>
            </w:r>
            <w:r>
              <w:rPr>
                <w:rFonts w:asciiTheme="minorHAnsi" w:eastAsiaTheme="minorEastAsia" w:hAnsiTheme="minorHAnsi" w:cstheme="minorBidi"/>
                <w:b w:val="0"/>
                <w:noProof/>
                <w:sz w:val="22"/>
                <w:lang w:eastAsia="en-AU"/>
              </w:rPr>
              <w:tab/>
            </w:r>
            <w:r w:rsidRPr="005457D7">
              <w:rPr>
                <w:rStyle w:val="Hyperlink"/>
                <w:noProof/>
              </w:rPr>
              <w:t>Clinical efficacy</w:t>
            </w:r>
            <w:r>
              <w:rPr>
                <w:noProof/>
                <w:webHidden/>
              </w:rPr>
              <w:tab/>
            </w:r>
            <w:r>
              <w:rPr>
                <w:noProof/>
                <w:webHidden/>
              </w:rPr>
              <w:fldChar w:fldCharType="begin"/>
            </w:r>
            <w:r>
              <w:rPr>
                <w:noProof/>
                <w:webHidden/>
              </w:rPr>
              <w:instrText xml:space="preserve"> PAGEREF _Toc380660800 \h </w:instrText>
            </w:r>
            <w:r>
              <w:rPr>
                <w:noProof/>
                <w:webHidden/>
              </w:rPr>
            </w:r>
            <w:r>
              <w:rPr>
                <w:noProof/>
                <w:webHidden/>
              </w:rPr>
              <w:fldChar w:fldCharType="separate"/>
            </w:r>
            <w:r>
              <w:rPr>
                <w:noProof/>
                <w:webHidden/>
              </w:rPr>
              <w:t>24</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1" w:history="1">
            <w:r w:rsidRPr="005457D7">
              <w:rPr>
                <w:rStyle w:val="Hyperlink"/>
                <w:noProof/>
              </w:rPr>
              <w:t>7.1.</w:t>
            </w:r>
            <w:r>
              <w:rPr>
                <w:rFonts w:asciiTheme="minorHAnsi" w:eastAsiaTheme="minorEastAsia" w:hAnsiTheme="minorHAnsi" w:cstheme="minorBidi"/>
                <w:noProof/>
                <w:lang w:eastAsia="en-AU"/>
              </w:rPr>
              <w:tab/>
            </w:r>
            <w:r w:rsidRPr="005457D7">
              <w:rPr>
                <w:rStyle w:val="Hyperlink"/>
                <w:noProof/>
              </w:rPr>
              <w:t>Contraception for up to 3 years in nulliparous and parous women</w:t>
            </w:r>
            <w:r>
              <w:rPr>
                <w:noProof/>
                <w:webHidden/>
              </w:rPr>
              <w:tab/>
            </w:r>
            <w:r>
              <w:rPr>
                <w:noProof/>
                <w:webHidden/>
              </w:rPr>
              <w:fldChar w:fldCharType="begin"/>
            </w:r>
            <w:r>
              <w:rPr>
                <w:noProof/>
                <w:webHidden/>
              </w:rPr>
              <w:instrText xml:space="preserve"> PAGEREF _Toc380660801 \h </w:instrText>
            </w:r>
            <w:r>
              <w:rPr>
                <w:noProof/>
                <w:webHidden/>
              </w:rPr>
            </w:r>
            <w:r>
              <w:rPr>
                <w:noProof/>
                <w:webHidden/>
              </w:rPr>
              <w:fldChar w:fldCharType="separate"/>
            </w:r>
            <w:r>
              <w:rPr>
                <w:noProof/>
                <w:webHidden/>
              </w:rPr>
              <w:t>24</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2" w:history="1">
            <w:r w:rsidRPr="005457D7">
              <w:rPr>
                <w:rStyle w:val="Hyperlink"/>
                <w:noProof/>
              </w:rPr>
              <w:t>7.2.</w:t>
            </w:r>
            <w:r>
              <w:rPr>
                <w:rFonts w:asciiTheme="minorHAnsi" w:eastAsiaTheme="minorEastAsia" w:hAnsiTheme="minorHAnsi" w:cstheme="minorBidi"/>
                <w:noProof/>
                <w:lang w:eastAsia="en-AU"/>
              </w:rPr>
              <w:tab/>
            </w:r>
            <w:r w:rsidRPr="005457D7">
              <w:rPr>
                <w:rStyle w:val="Hyperlink"/>
                <w:noProof/>
              </w:rPr>
              <w:t>Analysis performed across trials</w:t>
            </w:r>
            <w:r>
              <w:rPr>
                <w:noProof/>
                <w:webHidden/>
              </w:rPr>
              <w:tab/>
            </w:r>
            <w:r>
              <w:rPr>
                <w:noProof/>
                <w:webHidden/>
              </w:rPr>
              <w:fldChar w:fldCharType="begin"/>
            </w:r>
            <w:r>
              <w:rPr>
                <w:noProof/>
                <w:webHidden/>
              </w:rPr>
              <w:instrText xml:space="preserve"> PAGEREF _Toc380660802 \h </w:instrText>
            </w:r>
            <w:r>
              <w:rPr>
                <w:noProof/>
                <w:webHidden/>
              </w:rPr>
            </w:r>
            <w:r>
              <w:rPr>
                <w:noProof/>
                <w:webHidden/>
              </w:rPr>
              <w:fldChar w:fldCharType="separate"/>
            </w:r>
            <w:r>
              <w:rPr>
                <w:noProof/>
                <w:webHidden/>
              </w:rPr>
              <w:t>38</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3" w:history="1">
            <w:r w:rsidRPr="005457D7">
              <w:rPr>
                <w:rStyle w:val="Hyperlink"/>
                <w:noProof/>
              </w:rPr>
              <w:t>7.3.</w:t>
            </w:r>
            <w:r>
              <w:rPr>
                <w:rFonts w:asciiTheme="minorHAnsi" w:eastAsiaTheme="minorEastAsia" w:hAnsiTheme="minorHAnsi" w:cstheme="minorBidi"/>
                <w:noProof/>
                <w:lang w:eastAsia="en-AU"/>
              </w:rPr>
              <w:tab/>
            </w:r>
            <w:r w:rsidRPr="005457D7">
              <w:rPr>
                <w:rStyle w:val="Hyperlink"/>
                <w:noProof/>
              </w:rPr>
              <w:t>Evaluator’s conclusions on clinical efficacy</w:t>
            </w:r>
            <w:r>
              <w:rPr>
                <w:noProof/>
                <w:webHidden/>
              </w:rPr>
              <w:tab/>
            </w:r>
            <w:r>
              <w:rPr>
                <w:noProof/>
                <w:webHidden/>
              </w:rPr>
              <w:fldChar w:fldCharType="begin"/>
            </w:r>
            <w:r>
              <w:rPr>
                <w:noProof/>
                <w:webHidden/>
              </w:rPr>
              <w:instrText xml:space="preserve"> PAGEREF _Toc380660803 \h </w:instrText>
            </w:r>
            <w:r>
              <w:rPr>
                <w:noProof/>
                <w:webHidden/>
              </w:rPr>
            </w:r>
            <w:r>
              <w:rPr>
                <w:noProof/>
                <w:webHidden/>
              </w:rPr>
              <w:fldChar w:fldCharType="separate"/>
            </w:r>
            <w:r>
              <w:rPr>
                <w:noProof/>
                <w:webHidden/>
              </w:rPr>
              <w:t>38</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804" w:history="1">
            <w:r w:rsidRPr="005457D7">
              <w:rPr>
                <w:rStyle w:val="Hyperlink"/>
                <w:noProof/>
              </w:rPr>
              <w:t>8.</w:t>
            </w:r>
            <w:r>
              <w:rPr>
                <w:rFonts w:asciiTheme="minorHAnsi" w:eastAsiaTheme="minorEastAsia" w:hAnsiTheme="minorHAnsi" w:cstheme="minorBidi"/>
                <w:b w:val="0"/>
                <w:noProof/>
                <w:sz w:val="22"/>
                <w:lang w:eastAsia="en-AU"/>
              </w:rPr>
              <w:tab/>
            </w:r>
            <w:r w:rsidRPr="005457D7">
              <w:rPr>
                <w:rStyle w:val="Hyperlink"/>
                <w:noProof/>
              </w:rPr>
              <w:t>Clinical safety</w:t>
            </w:r>
            <w:r>
              <w:rPr>
                <w:noProof/>
                <w:webHidden/>
              </w:rPr>
              <w:tab/>
            </w:r>
            <w:r>
              <w:rPr>
                <w:noProof/>
                <w:webHidden/>
              </w:rPr>
              <w:fldChar w:fldCharType="begin"/>
            </w:r>
            <w:r>
              <w:rPr>
                <w:noProof/>
                <w:webHidden/>
              </w:rPr>
              <w:instrText xml:space="preserve"> PAGEREF _Toc380660804 \h </w:instrText>
            </w:r>
            <w:r>
              <w:rPr>
                <w:noProof/>
                <w:webHidden/>
              </w:rPr>
            </w:r>
            <w:r>
              <w:rPr>
                <w:noProof/>
                <w:webHidden/>
              </w:rPr>
              <w:fldChar w:fldCharType="separate"/>
            </w:r>
            <w:r>
              <w:rPr>
                <w:noProof/>
                <w:webHidden/>
              </w:rPr>
              <w:t>39</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5" w:history="1">
            <w:r w:rsidRPr="005457D7">
              <w:rPr>
                <w:rStyle w:val="Hyperlink"/>
                <w:noProof/>
              </w:rPr>
              <w:t>8.2.</w:t>
            </w:r>
            <w:r>
              <w:rPr>
                <w:rFonts w:asciiTheme="minorHAnsi" w:eastAsiaTheme="minorEastAsia" w:hAnsiTheme="minorHAnsi" w:cstheme="minorBidi"/>
                <w:noProof/>
                <w:lang w:eastAsia="en-AU"/>
              </w:rPr>
              <w:tab/>
            </w:r>
            <w:r w:rsidRPr="005457D7">
              <w:rPr>
                <w:rStyle w:val="Hyperlink"/>
                <w:noProof/>
              </w:rPr>
              <w:t>Patient exposure</w:t>
            </w:r>
            <w:r>
              <w:rPr>
                <w:noProof/>
                <w:webHidden/>
              </w:rPr>
              <w:tab/>
            </w:r>
            <w:r>
              <w:rPr>
                <w:noProof/>
                <w:webHidden/>
              </w:rPr>
              <w:fldChar w:fldCharType="begin"/>
            </w:r>
            <w:r>
              <w:rPr>
                <w:noProof/>
                <w:webHidden/>
              </w:rPr>
              <w:instrText xml:space="preserve"> PAGEREF _Toc380660805 \h </w:instrText>
            </w:r>
            <w:r>
              <w:rPr>
                <w:noProof/>
                <w:webHidden/>
              </w:rPr>
            </w:r>
            <w:r>
              <w:rPr>
                <w:noProof/>
                <w:webHidden/>
              </w:rPr>
              <w:fldChar w:fldCharType="separate"/>
            </w:r>
            <w:r>
              <w:rPr>
                <w:noProof/>
                <w:webHidden/>
              </w:rPr>
              <w:t>41</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6" w:history="1">
            <w:r w:rsidRPr="005457D7">
              <w:rPr>
                <w:rStyle w:val="Hyperlink"/>
                <w:noProof/>
              </w:rPr>
              <w:t>8.3.</w:t>
            </w:r>
            <w:r>
              <w:rPr>
                <w:rFonts w:asciiTheme="minorHAnsi" w:eastAsiaTheme="minorEastAsia" w:hAnsiTheme="minorHAnsi" w:cstheme="minorBidi"/>
                <w:noProof/>
                <w:lang w:eastAsia="en-AU"/>
              </w:rPr>
              <w:tab/>
            </w:r>
            <w:r w:rsidRPr="005457D7">
              <w:rPr>
                <w:rStyle w:val="Hyperlink"/>
                <w:noProof/>
              </w:rPr>
              <w:t>Adverse events</w:t>
            </w:r>
            <w:r>
              <w:rPr>
                <w:noProof/>
                <w:webHidden/>
              </w:rPr>
              <w:tab/>
            </w:r>
            <w:r>
              <w:rPr>
                <w:noProof/>
                <w:webHidden/>
              </w:rPr>
              <w:fldChar w:fldCharType="begin"/>
            </w:r>
            <w:r>
              <w:rPr>
                <w:noProof/>
                <w:webHidden/>
              </w:rPr>
              <w:instrText xml:space="preserve"> PAGEREF _Toc380660806 \h </w:instrText>
            </w:r>
            <w:r>
              <w:rPr>
                <w:noProof/>
                <w:webHidden/>
              </w:rPr>
            </w:r>
            <w:r>
              <w:rPr>
                <w:noProof/>
                <w:webHidden/>
              </w:rPr>
              <w:fldChar w:fldCharType="separate"/>
            </w:r>
            <w:r>
              <w:rPr>
                <w:noProof/>
                <w:webHidden/>
              </w:rPr>
              <w:t>41</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7" w:history="1">
            <w:r w:rsidRPr="005457D7">
              <w:rPr>
                <w:rStyle w:val="Hyperlink"/>
                <w:noProof/>
              </w:rPr>
              <w:t>8.4.</w:t>
            </w:r>
            <w:r>
              <w:rPr>
                <w:rFonts w:asciiTheme="minorHAnsi" w:eastAsiaTheme="minorEastAsia" w:hAnsiTheme="minorHAnsi" w:cstheme="minorBidi"/>
                <w:noProof/>
                <w:lang w:eastAsia="en-AU"/>
              </w:rPr>
              <w:tab/>
            </w:r>
            <w:r w:rsidRPr="005457D7">
              <w:rPr>
                <w:rStyle w:val="Hyperlink"/>
                <w:noProof/>
              </w:rPr>
              <w:t>Laboratory tests</w:t>
            </w:r>
            <w:r>
              <w:rPr>
                <w:noProof/>
                <w:webHidden/>
              </w:rPr>
              <w:tab/>
            </w:r>
            <w:r>
              <w:rPr>
                <w:noProof/>
                <w:webHidden/>
              </w:rPr>
              <w:fldChar w:fldCharType="begin"/>
            </w:r>
            <w:r>
              <w:rPr>
                <w:noProof/>
                <w:webHidden/>
              </w:rPr>
              <w:instrText xml:space="preserve"> PAGEREF _Toc380660807 \h </w:instrText>
            </w:r>
            <w:r>
              <w:rPr>
                <w:noProof/>
                <w:webHidden/>
              </w:rPr>
            </w:r>
            <w:r>
              <w:rPr>
                <w:noProof/>
                <w:webHidden/>
              </w:rPr>
              <w:fldChar w:fldCharType="separate"/>
            </w:r>
            <w:r>
              <w:rPr>
                <w:noProof/>
                <w:webHidden/>
              </w:rPr>
              <w:t>47</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8" w:history="1">
            <w:r w:rsidRPr="005457D7">
              <w:rPr>
                <w:rStyle w:val="Hyperlink"/>
                <w:noProof/>
              </w:rPr>
              <w:t>8.5.</w:t>
            </w:r>
            <w:r>
              <w:rPr>
                <w:rFonts w:asciiTheme="minorHAnsi" w:eastAsiaTheme="minorEastAsia" w:hAnsiTheme="minorHAnsi" w:cstheme="minorBidi"/>
                <w:noProof/>
                <w:lang w:eastAsia="en-AU"/>
              </w:rPr>
              <w:tab/>
            </w:r>
            <w:r w:rsidRPr="005457D7">
              <w:rPr>
                <w:rStyle w:val="Hyperlink"/>
                <w:noProof/>
              </w:rPr>
              <w:t>Post-marketing experience</w:t>
            </w:r>
            <w:r>
              <w:rPr>
                <w:noProof/>
                <w:webHidden/>
              </w:rPr>
              <w:tab/>
            </w:r>
            <w:r>
              <w:rPr>
                <w:noProof/>
                <w:webHidden/>
              </w:rPr>
              <w:fldChar w:fldCharType="begin"/>
            </w:r>
            <w:r>
              <w:rPr>
                <w:noProof/>
                <w:webHidden/>
              </w:rPr>
              <w:instrText xml:space="preserve"> PAGEREF _Toc380660808 \h </w:instrText>
            </w:r>
            <w:r>
              <w:rPr>
                <w:noProof/>
                <w:webHidden/>
              </w:rPr>
            </w:r>
            <w:r>
              <w:rPr>
                <w:noProof/>
                <w:webHidden/>
              </w:rPr>
              <w:fldChar w:fldCharType="separate"/>
            </w:r>
            <w:r>
              <w:rPr>
                <w:noProof/>
                <w:webHidden/>
              </w:rPr>
              <w:t>49</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09" w:history="1">
            <w:r w:rsidRPr="005457D7">
              <w:rPr>
                <w:rStyle w:val="Hyperlink"/>
                <w:noProof/>
              </w:rPr>
              <w:t>8.6.</w:t>
            </w:r>
            <w:r>
              <w:rPr>
                <w:rFonts w:asciiTheme="minorHAnsi" w:eastAsiaTheme="minorEastAsia" w:hAnsiTheme="minorHAnsi" w:cstheme="minorBidi"/>
                <w:noProof/>
                <w:lang w:eastAsia="en-AU"/>
              </w:rPr>
              <w:tab/>
            </w:r>
            <w:r w:rsidRPr="005457D7">
              <w:rPr>
                <w:rStyle w:val="Hyperlink"/>
                <w:noProof/>
              </w:rPr>
              <w:t>Other safety issues</w:t>
            </w:r>
            <w:r>
              <w:rPr>
                <w:noProof/>
                <w:webHidden/>
              </w:rPr>
              <w:tab/>
            </w:r>
            <w:r>
              <w:rPr>
                <w:noProof/>
                <w:webHidden/>
              </w:rPr>
              <w:fldChar w:fldCharType="begin"/>
            </w:r>
            <w:r>
              <w:rPr>
                <w:noProof/>
                <w:webHidden/>
              </w:rPr>
              <w:instrText xml:space="preserve"> PAGEREF _Toc380660809 \h </w:instrText>
            </w:r>
            <w:r>
              <w:rPr>
                <w:noProof/>
                <w:webHidden/>
              </w:rPr>
            </w:r>
            <w:r>
              <w:rPr>
                <w:noProof/>
                <w:webHidden/>
              </w:rPr>
              <w:fldChar w:fldCharType="separate"/>
            </w:r>
            <w:r>
              <w:rPr>
                <w:noProof/>
                <w:webHidden/>
              </w:rPr>
              <w:t>49</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10" w:history="1">
            <w:r w:rsidRPr="005457D7">
              <w:rPr>
                <w:rStyle w:val="Hyperlink"/>
                <w:noProof/>
              </w:rPr>
              <w:t>8.7.</w:t>
            </w:r>
            <w:r>
              <w:rPr>
                <w:rFonts w:asciiTheme="minorHAnsi" w:eastAsiaTheme="minorEastAsia" w:hAnsiTheme="minorHAnsi" w:cstheme="minorBidi"/>
                <w:noProof/>
                <w:lang w:eastAsia="en-AU"/>
              </w:rPr>
              <w:tab/>
            </w:r>
            <w:r w:rsidRPr="005457D7">
              <w:rPr>
                <w:rStyle w:val="Hyperlink"/>
                <w:noProof/>
              </w:rPr>
              <w:t>Evaluator’s overall conclusions on clinical safety</w:t>
            </w:r>
            <w:r>
              <w:rPr>
                <w:noProof/>
                <w:webHidden/>
              </w:rPr>
              <w:tab/>
            </w:r>
            <w:r>
              <w:rPr>
                <w:noProof/>
                <w:webHidden/>
              </w:rPr>
              <w:fldChar w:fldCharType="begin"/>
            </w:r>
            <w:r>
              <w:rPr>
                <w:noProof/>
                <w:webHidden/>
              </w:rPr>
              <w:instrText xml:space="preserve"> PAGEREF _Toc380660810 \h </w:instrText>
            </w:r>
            <w:r>
              <w:rPr>
                <w:noProof/>
                <w:webHidden/>
              </w:rPr>
            </w:r>
            <w:r>
              <w:rPr>
                <w:noProof/>
                <w:webHidden/>
              </w:rPr>
              <w:fldChar w:fldCharType="separate"/>
            </w:r>
            <w:r>
              <w:rPr>
                <w:noProof/>
                <w:webHidden/>
              </w:rPr>
              <w:t>50</w:t>
            </w:r>
            <w:r>
              <w:rPr>
                <w:noProof/>
                <w:webHidden/>
              </w:rPr>
              <w:fldChar w:fldCharType="end"/>
            </w:r>
          </w:hyperlink>
        </w:p>
        <w:p w:rsidR="00863776" w:rsidRDefault="00863776">
          <w:pPr>
            <w:pStyle w:val="TOC2"/>
            <w:tabs>
              <w:tab w:val="left" w:pos="1050"/>
            </w:tabs>
            <w:rPr>
              <w:rFonts w:asciiTheme="minorHAnsi" w:eastAsiaTheme="minorEastAsia" w:hAnsiTheme="minorHAnsi" w:cstheme="minorBidi"/>
              <w:b w:val="0"/>
              <w:noProof/>
              <w:sz w:val="22"/>
              <w:lang w:eastAsia="en-AU"/>
            </w:rPr>
          </w:pPr>
          <w:hyperlink w:anchor="_Toc380660811" w:history="1">
            <w:r w:rsidRPr="005457D7">
              <w:rPr>
                <w:rStyle w:val="Hyperlink"/>
                <w:noProof/>
              </w:rPr>
              <w:t>9.</w:t>
            </w:r>
            <w:r>
              <w:rPr>
                <w:rFonts w:asciiTheme="minorHAnsi" w:eastAsiaTheme="minorEastAsia" w:hAnsiTheme="minorHAnsi" w:cstheme="minorBidi"/>
                <w:b w:val="0"/>
                <w:noProof/>
                <w:sz w:val="22"/>
                <w:lang w:eastAsia="en-AU"/>
              </w:rPr>
              <w:tab/>
            </w:r>
            <w:r w:rsidRPr="005457D7">
              <w:rPr>
                <w:rStyle w:val="Hyperlink"/>
                <w:noProof/>
              </w:rPr>
              <w:t>First round benefit-risk assessment</w:t>
            </w:r>
            <w:r>
              <w:rPr>
                <w:noProof/>
                <w:webHidden/>
              </w:rPr>
              <w:tab/>
            </w:r>
            <w:r>
              <w:rPr>
                <w:noProof/>
                <w:webHidden/>
              </w:rPr>
              <w:fldChar w:fldCharType="begin"/>
            </w:r>
            <w:r>
              <w:rPr>
                <w:noProof/>
                <w:webHidden/>
              </w:rPr>
              <w:instrText xml:space="preserve"> PAGEREF _Toc380660811 \h </w:instrText>
            </w:r>
            <w:r>
              <w:rPr>
                <w:noProof/>
                <w:webHidden/>
              </w:rPr>
            </w:r>
            <w:r>
              <w:rPr>
                <w:noProof/>
                <w:webHidden/>
              </w:rPr>
              <w:fldChar w:fldCharType="separate"/>
            </w:r>
            <w:r>
              <w:rPr>
                <w:noProof/>
                <w:webHidden/>
              </w:rPr>
              <w:t>51</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12" w:history="1">
            <w:r w:rsidRPr="005457D7">
              <w:rPr>
                <w:rStyle w:val="Hyperlink"/>
                <w:noProof/>
              </w:rPr>
              <w:t>9.1.</w:t>
            </w:r>
            <w:r>
              <w:rPr>
                <w:rFonts w:asciiTheme="minorHAnsi" w:eastAsiaTheme="minorEastAsia" w:hAnsiTheme="minorHAnsi" w:cstheme="minorBidi"/>
                <w:noProof/>
                <w:lang w:eastAsia="en-AU"/>
              </w:rPr>
              <w:tab/>
            </w:r>
            <w:r w:rsidRPr="005457D7">
              <w:rPr>
                <w:rStyle w:val="Hyperlink"/>
                <w:noProof/>
              </w:rPr>
              <w:t>First round assessment of benefits</w:t>
            </w:r>
            <w:r>
              <w:rPr>
                <w:noProof/>
                <w:webHidden/>
              </w:rPr>
              <w:tab/>
            </w:r>
            <w:r>
              <w:rPr>
                <w:noProof/>
                <w:webHidden/>
              </w:rPr>
              <w:fldChar w:fldCharType="begin"/>
            </w:r>
            <w:r>
              <w:rPr>
                <w:noProof/>
                <w:webHidden/>
              </w:rPr>
              <w:instrText xml:space="preserve"> PAGEREF _Toc380660812 \h </w:instrText>
            </w:r>
            <w:r>
              <w:rPr>
                <w:noProof/>
                <w:webHidden/>
              </w:rPr>
            </w:r>
            <w:r>
              <w:rPr>
                <w:noProof/>
                <w:webHidden/>
              </w:rPr>
              <w:fldChar w:fldCharType="separate"/>
            </w:r>
            <w:r>
              <w:rPr>
                <w:noProof/>
                <w:webHidden/>
              </w:rPr>
              <w:t>51</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13" w:history="1">
            <w:r w:rsidRPr="005457D7">
              <w:rPr>
                <w:rStyle w:val="Hyperlink"/>
                <w:noProof/>
              </w:rPr>
              <w:t>9.2.</w:t>
            </w:r>
            <w:r>
              <w:rPr>
                <w:rFonts w:asciiTheme="minorHAnsi" w:eastAsiaTheme="minorEastAsia" w:hAnsiTheme="minorHAnsi" w:cstheme="minorBidi"/>
                <w:noProof/>
                <w:lang w:eastAsia="en-AU"/>
              </w:rPr>
              <w:tab/>
            </w:r>
            <w:r w:rsidRPr="005457D7">
              <w:rPr>
                <w:rStyle w:val="Hyperlink"/>
                <w:noProof/>
              </w:rPr>
              <w:t>First round assessment of risks</w:t>
            </w:r>
            <w:r>
              <w:rPr>
                <w:noProof/>
                <w:webHidden/>
              </w:rPr>
              <w:tab/>
            </w:r>
            <w:r>
              <w:rPr>
                <w:noProof/>
                <w:webHidden/>
              </w:rPr>
              <w:fldChar w:fldCharType="begin"/>
            </w:r>
            <w:r>
              <w:rPr>
                <w:noProof/>
                <w:webHidden/>
              </w:rPr>
              <w:instrText xml:space="preserve"> PAGEREF _Toc380660813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3"/>
            <w:tabs>
              <w:tab w:val="left" w:pos="1575"/>
            </w:tabs>
            <w:rPr>
              <w:rFonts w:asciiTheme="minorHAnsi" w:eastAsiaTheme="minorEastAsia" w:hAnsiTheme="minorHAnsi" w:cstheme="minorBidi"/>
              <w:noProof/>
              <w:lang w:eastAsia="en-AU"/>
            </w:rPr>
          </w:pPr>
          <w:hyperlink w:anchor="_Toc380660814" w:history="1">
            <w:r w:rsidRPr="005457D7">
              <w:rPr>
                <w:rStyle w:val="Hyperlink"/>
                <w:noProof/>
              </w:rPr>
              <w:t>9.3.</w:t>
            </w:r>
            <w:r>
              <w:rPr>
                <w:rFonts w:asciiTheme="minorHAnsi" w:eastAsiaTheme="minorEastAsia" w:hAnsiTheme="minorHAnsi" w:cstheme="minorBidi"/>
                <w:noProof/>
                <w:lang w:eastAsia="en-AU"/>
              </w:rPr>
              <w:tab/>
            </w:r>
            <w:r w:rsidRPr="005457D7">
              <w:rPr>
                <w:rStyle w:val="Hyperlink"/>
                <w:noProof/>
              </w:rPr>
              <w:t>First round assessment of benefit-risk balance</w:t>
            </w:r>
            <w:r>
              <w:rPr>
                <w:noProof/>
                <w:webHidden/>
              </w:rPr>
              <w:tab/>
            </w:r>
            <w:r>
              <w:rPr>
                <w:noProof/>
                <w:webHidden/>
              </w:rPr>
              <w:fldChar w:fldCharType="begin"/>
            </w:r>
            <w:r>
              <w:rPr>
                <w:noProof/>
                <w:webHidden/>
              </w:rPr>
              <w:instrText xml:space="preserve"> PAGEREF _Toc380660814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2"/>
            <w:tabs>
              <w:tab w:val="left" w:pos="1198"/>
            </w:tabs>
            <w:rPr>
              <w:rFonts w:asciiTheme="minorHAnsi" w:eastAsiaTheme="minorEastAsia" w:hAnsiTheme="minorHAnsi" w:cstheme="minorBidi"/>
              <w:b w:val="0"/>
              <w:noProof/>
              <w:sz w:val="22"/>
              <w:lang w:eastAsia="en-AU"/>
            </w:rPr>
          </w:pPr>
          <w:hyperlink w:anchor="_Toc380660815" w:history="1">
            <w:r w:rsidRPr="005457D7">
              <w:rPr>
                <w:rStyle w:val="Hyperlink"/>
                <w:noProof/>
              </w:rPr>
              <w:t>10.</w:t>
            </w:r>
            <w:r>
              <w:rPr>
                <w:rFonts w:asciiTheme="minorHAnsi" w:eastAsiaTheme="minorEastAsia" w:hAnsiTheme="minorHAnsi" w:cstheme="minorBidi"/>
                <w:b w:val="0"/>
                <w:noProof/>
                <w:sz w:val="22"/>
                <w:lang w:eastAsia="en-AU"/>
              </w:rPr>
              <w:tab/>
            </w:r>
            <w:r w:rsidRPr="005457D7">
              <w:rPr>
                <w:rStyle w:val="Hyperlink"/>
                <w:noProof/>
              </w:rPr>
              <w:t>First round recommendation regarding authorisation</w:t>
            </w:r>
            <w:r>
              <w:rPr>
                <w:noProof/>
                <w:webHidden/>
              </w:rPr>
              <w:tab/>
            </w:r>
            <w:r>
              <w:rPr>
                <w:noProof/>
                <w:webHidden/>
              </w:rPr>
              <w:fldChar w:fldCharType="begin"/>
            </w:r>
            <w:r>
              <w:rPr>
                <w:noProof/>
                <w:webHidden/>
              </w:rPr>
              <w:instrText xml:space="preserve"> PAGEREF _Toc380660815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2"/>
            <w:tabs>
              <w:tab w:val="left" w:pos="1198"/>
            </w:tabs>
            <w:rPr>
              <w:rFonts w:asciiTheme="minorHAnsi" w:eastAsiaTheme="minorEastAsia" w:hAnsiTheme="minorHAnsi" w:cstheme="minorBidi"/>
              <w:b w:val="0"/>
              <w:noProof/>
              <w:sz w:val="22"/>
              <w:lang w:eastAsia="en-AU"/>
            </w:rPr>
          </w:pPr>
          <w:hyperlink w:anchor="_Toc380660816" w:history="1">
            <w:r w:rsidRPr="005457D7">
              <w:rPr>
                <w:rStyle w:val="Hyperlink"/>
                <w:noProof/>
              </w:rPr>
              <w:t>11.</w:t>
            </w:r>
            <w:r>
              <w:rPr>
                <w:rFonts w:asciiTheme="minorHAnsi" w:eastAsiaTheme="minorEastAsia" w:hAnsiTheme="minorHAnsi" w:cstheme="minorBidi"/>
                <w:b w:val="0"/>
                <w:noProof/>
                <w:sz w:val="22"/>
                <w:lang w:eastAsia="en-AU"/>
              </w:rPr>
              <w:tab/>
            </w:r>
            <w:r w:rsidRPr="005457D7">
              <w:rPr>
                <w:rStyle w:val="Hyperlink"/>
                <w:noProof/>
              </w:rPr>
              <w:t>Clinical questions</w:t>
            </w:r>
            <w:r>
              <w:rPr>
                <w:noProof/>
                <w:webHidden/>
              </w:rPr>
              <w:tab/>
            </w:r>
            <w:r>
              <w:rPr>
                <w:noProof/>
                <w:webHidden/>
              </w:rPr>
              <w:fldChar w:fldCharType="begin"/>
            </w:r>
            <w:r>
              <w:rPr>
                <w:noProof/>
                <w:webHidden/>
              </w:rPr>
              <w:instrText xml:space="preserve"> PAGEREF _Toc380660816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17" w:history="1">
            <w:r w:rsidRPr="005457D7">
              <w:rPr>
                <w:rStyle w:val="Hyperlink"/>
                <w:noProof/>
              </w:rPr>
              <w:t>11.1.</w:t>
            </w:r>
            <w:r>
              <w:rPr>
                <w:rFonts w:asciiTheme="minorHAnsi" w:eastAsiaTheme="minorEastAsia" w:hAnsiTheme="minorHAnsi" w:cstheme="minorBidi"/>
                <w:noProof/>
                <w:lang w:eastAsia="en-AU"/>
              </w:rPr>
              <w:tab/>
            </w:r>
            <w:r w:rsidRPr="005457D7">
              <w:rPr>
                <w:rStyle w:val="Hyperlink"/>
                <w:noProof/>
              </w:rPr>
              <w:t>Pharmacokinetics</w:t>
            </w:r>
            <w:r>
              <w:rPr>
                <w:noProof/>
                <w:webHidden/>
              </w:rPr>
              <w:tab/>
            </w:r>
            <w:r>
              <w:rPr>
                <w:noProof/>
                <w:webHidden/>
              </w:rPr>
              <w:fldChar w:fldCharType="begin"/>
            </w:r>
            <w:r>
              <w:rPr>
                <w:noProof/>
                <w:webHidden/>
              </w:rPr>
              <w:instrText xml:space="preserve"> PAGEREF _Toc380660817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18" w:history="1">
            <w:r w:rsidRPr="005457D7">
              <w:rPr>
                <w:rStyle w:val="Hyperlink"/>
                <w:noProof/>
              </w:rPr>
              <w:t>11.2.</w:t>
            </w:r>
            <w:r>
              <w:rPr>
                <w:rFonts w:asciiTheme="minorHAnsi" w:eastAsiaTheme="minorEastAsia" w:hAnsiTheme="minorHAnsi" w:cstheme="minorBidi"/>
                <w:noProof/>
                <w:lang w:eastAsia="en-AU"/>
              </w:rPr>
              <w:tab/>
            </w:r>
            <w:r w:rsidRPr="005457D7">
              <w:rPr>
                <w:rStyle w:val="Hyperlink"/>
                <w:noProof/>
              </w:rPr>
              <w:t>Pharmacodynamics</w:t>
            </w:r>
            <w:r>
              <w:rPr>
                <w:noProof/>
                <w:webHidden/>
              </w:rPr>
              <w:tab/>
            </w:r>
            <w:r>
              <w:rPr>
                <w:noProof/>
                <w:webHidden/>
              </w:rPr>
              <w:fldChar w:fldCharType="begin"/>
            </w:r>
            <w:r>
              <w:rPr>
                <w:noProof/>
                <w:webHidden/>
              </w:rPr>
              <w:instrText xml:space="preserve"> PAGEREF _Toc380660818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19" w:history="1">
            <w:r w:rsidRPr="005457D7">
              <w:rPr>
                <w:rStyle w:val="Hyperlink"/>
                <w:noProof/>
              </w:rPr>
              <w:t>11.3.</w:t>
            </w:r>
            <w:r>
              <w:rPr>
                <w:rFonts w:asciiTheme="minorHAnsi" w:eastAsiaTheme="minorEastAsia" w:hAnsiTheme="minorHAnsi" w:cstheme="minorBidi"/>
                <w:noProof/>
                <w:lang w:eastAsia="en-AU"/>
              </w:rPr>
              <w:tab/>
            </w:r>
            <w:r w:rsidRPr="005457D7">
              <w:rPr>
                <w:rStyle w:val="Hyperlink"/>
                <w:noProof/>
              </w:rPr>
              <w:t>Efficacy</w:t>
            </w:r>
            <w:r>
              <w:rPr>
                <w:noProof/>
                <w:webHidden/>
              </w:rPr>
              <w:tab/>
            </w:r>
            <w:r>
              <w:rPr>
                <w:noProof/>
                <w:webHidden/>
              </w:rPr>
              <w:fldChar w:fldCharType="begin"/>
            </w:r>
            <w:r>
              <w:rPr>
                <w:noProof/>
                <w:webHidden/>
              </w:rPr>
              <w:instrText xml:space="preserve"> PAGEREF _Toc380660819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20" w:history="1">
            <w:r w:rsidRPr="005457D7">
              <w:rPr>
                <w:rStyle w:val="Hyperlink"/>
                <w:noProof/>
              </w:rPr>
              <w:t>11.4.</w:t>
            </w:r>
            <w:r>
              <w:rPr>
                <w:rFonts w:asciiTheme="minorHAnsi" w:eastAsiaTheme="minorEastAsia" w:hAnsiTheme="minorHAnsi" w:cstheme="minorBidi"/>
                <w:noProof/>
                <w:lang w:eastAsia="en-AU"/>
              </w:rPr>
              <w:tab/>
            </w:r>
            <w:r w:rsidRPr="005457D7">
              <w:rPr>
                <w:rStyle w:val="Hyperlink"/>
                <w:noProof/>
              </w:rPr>
              <w:t>Safety</w:t>
            </w:r>
            <w:r>
              <w:rPr>
                <w:noProof/>
                <w:webHidden/>
              </w:rPr>
              <w:tab/>
            </w:r>
            <w:r>
              <w:rPr>
                <w:noProof/>
                <w:webHidden/>
              </w:rPr>
              <w:fldChar w:fldCharType="begin"/>
            </w:r>
            <w:r>
              <w:rPr>
                <w:noProof/>
                <w:webHidden/>
              </w:rPr>
              <w:instrText xml:space="preserve"> PAGEREF _Toc380660820 \h </w:instrText>
            </w:r>
            <w:r>
              <w:rPr>
                <w:noProof/>
                <w:webHidden/>
              </w:rPr>
            </w:r>
            <w:r>
              <w:rPr>
                <w:noProof/>
                <w:webHidden/>
              </w:rPr>
              <w:fldChar w:fldCharType="separate"/>
            </w:r>
            <w:r>
              <w:rPr>
                <w:noProof/>
                <w:webHidden/>
              </w:rPr>
              <w:t>52</w:t>
            </w:r>
            <w:r>
              <w:rPr>
                <w:noProof/>
                <w:webHidden/>
              </w:rPr>
              <w:fldChar w:fldCharType="end"/>
            </w:r>
          </w:hyperlink>
        </w:p>
        <w:p w:rsidR="00863776" w:rsidRDefault="00863776">
          <w:pPr>
            <w:pStyle w:val="TOC2"/>
            <w:tabs>
              <w:tab w:val="left" w:pos="1198"/>
            </w:tabs>
            <w:rPr>
              <w:rFonts w:asciiTheme="minorHAnsi" w:eastAsiaTheme="minorEastAsia" w:hAnsiTheme="minorHAnsi" w:cstheme="minorBidi"/>
              <w:b w:val="0"/>
              <w:noProof/>
              <w:sz w:val="22"/>
              <w:lang w:eastAsia="en-AU"/>
            </w:rPr>
          </w:pPr>
          <w:hyperlink w:anchor="_Toc380660821" w:history="1">
            <w:r w:rsidRPr="005457D7">
              <w:rPr>
                <w:rStyle w:val="Hyperlink"/>
                <w:noProof/>
              </w:rPr>
              <w:t>12.</w:t>
            </w:r>
            <w:r>
              <w:rPr>
                <w:rFonts w:asciiTheme="minorHAnsi" w:eastAsiaTheme="minorEastAsia" w:hAnsiTheme="minorHAnsi" w:cstheme="minorBidi"/>
                <w:b w:val="0"/>
                <w:noProof/>
                <w:sz w:val="22"/>
                <w:lang w:eastAsia="en-AU"/>
              </w:rPr>
              <w:tab/>
            </w:r>
            <w:r w:rsidRPr="005457D7">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_Toc380660821 \h </w:instrText>
            </w:r>
            <w:r>
              <w:rPr>
                <w:noProof/>
                <w:webHidden/>
              </w:rPr>
            </w:r>
            <w:r>
              <w:rPr>
                <w:noProof/>
                <w:webHidden/>
              </w:rPr>
              <w:fldChar w:fldCharType="separate"/>
            </w:r>
            <w:r>
              <w:rPr>
                <w:noProof/>
                <w:webHidden/>
              </w:rPr>
              <w:t>53</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22" w:history="1">
            <w:r w:rsidRPr="005457D7">
              <w:rPr>
                <w:rStyle w:val="Hyperlink"/>
                <w:noProof/>
              </w:rPr>
              <w:t>12.1.</w:t>
            </w:r>
            <w:r>
              <w:rPr>
                <w:rFonts w:asciiTheme="minorHAnsi" w:eastAsiaTheme="minorEastAsia" w:hAnsiTheme="minorHAnsi" w:cstheme="minorBidi"/>
                <w:noProof/>
                <w:lang w:eastAsia="en-AU"/>
              </w:rPr>
              <w:tab/>
            </w:r>
            <w:r w:rsidRPr="005457D7">
              <w:rPr>
                <w:rStyle w:val="Hyperlink"/>
                <w:noProof/>
              </w:rPr>
              <w:t>Efficacy</w:t>
            </w:r>
            <w:r>
              <w:rPr>
                <w:noProof/>
                <w:webHidden/>
              </w:rPr>
              <w:tab/>
            </w:r>
            <w:r>
              <w:rPr>
                <w:noProof/>
                <w:webHidden/>
              </w:rPr>
              <w:fldChar w:fldCharType="begin"/>
            </w:r>
            <w:r>
              <w:rPr>
                <w:noProof/>
                <w:webHidden/>
              </w:rPr>
              <w:instrText xml:space="preserve"> PAGEREF _Toc380660822 \h </w:instrText>
            </w:r>
            <w:r>
              <w:rPr>
                <w:noProof/>
                <w:webHidden/>
              </w:rPr>
            </w:r>
            <w:r>
              <w:rPr>
                <w:noProof/>
                <w:webHidden/>
              </w:rPr>
              <w:fldChar w:fldCharType="separate"/>
            </w:r>
            <w:r>
              <w:rPr>
                <w:noProof/>
                <w:webHidden/>
              </w:rPr>
              <w:t>53</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23" w:history="1">
            <w:r w:rsidRPr="005457D7">
              <w:rPr>
                <w:rStyle w:val="Hyperlink"/>
                <w:noProof/>
              </w:rPr>
              <w:t>12.2.</w:t>
            </w:r>
            <w:r>
              <w:rPr>
                <w:rFonts w:asciiTheme="minorHAnsi" w:eastAsiaTheme="minorEastAsia" w:hAnsiTheme="minorHAnsi" w:cstheme="minorBidi"/>
                <w:noProof/>
                <w:lang w:eastAsia="en-AU"/>
              </w:rPr>
              <w:tab/>
            </w:r>
            <w:r w:rsidRPr="005457D7">
              <w:rPr>
                <w:rStyle w:val="Hyperlink"/>
                <w:noProof/>
              </w:rPr>
              <w:t>Safety</w:t>
            </w:r>
            <w:r>
              <w:rPr>
                <w:noProof/>
                <w:webHidden/>
              </w:rPr>
              <w:tab/>
            </w:r>
            <w:r>
              <w:rPr>
                <w:noProof/>
                <w:webHidden/>
              </w:rPr>
              <w:fldChar w:fldCharType="begin"/>
            </w:r>
            <w:r>
              <w:rPr>
                <w:noProof/>
                <w:webHidden/>
              </w:rPr>
              <w:instrText xml:space="preserve"> PAGEREF _Toc380660823 \h </w:instrText>
            </w:r>
            <w:r>
              <w:rPr>
                <w:noProof/>
                <w:webHidden/>
              </w:rPr>
            </w:r>
            <w:r>
              <w:rPr>
                <w:noProof/>
                <w:webHidden/>
              </w:rPr>
              <w:fldChar w:fldCharType="separate"/>
            </w:r>
            <w:r>
              <w:rPr>
                <w:noProof/>
                <w:webHidden/>
              </w:rPr>
              <w:t>54</w:t>
            </w:r>
            <w:r>
              <w:rPr>
                <w:noProof/>
                <w:webHidden/>
              </w:rPr>
              <w:fldChar w:fldCharType="end"/>
            </w:r>
          </w:hyperlink>
        </w:p>
        <w:p w:rsidR="00863776" w:rsidRDefault="00863776">
          <w:pPr>
            <w:pStyle w:val="TOC2"/>
            <w:tabs>
              <w:tab w:val="left" w:pos="1198"/>
            </w:tabs>
            <w:rPr>
              <w:rFonts w:asciiTheme="minorHAnsi" w:eastAsiaTheme="minorEastAsia" w:hAnsiTheme="minorHAnsi" w:cstheme="minorBidi"/>
              <w:b w:val="0"/>
              <w:noProof/>
              <w:sz w:val="22"/>
              <w:lang w:eastAsia="en-AU"/>
            </w:rPr>
          </w:pPr>
          <w:hyperlink w:anchor="_Toc380660824" w:history="1">
            <w:r w:rsidRPr="005457D7">
              <w:rPr>
                <w:rStyle w:val="Hyperlink"/>
                <w:noProof/>
              </w:rPr>
              <w:t>13.</w:t>
            </w:r>
            <w:r>
              <w:rPr>
                <w:rFonts w:asciiTheme="minorHAnsi" w:eastAsiaTheme="minorEastAsia" w:hAnsiTheme="minorHAnsi" w:cstheme="minorBidi"/>
                <w:b w:val="0"/>
                <w:noProof/>
                <w:sz w:val="22"/>
                <w:lang w:eastAsia="en-AU"/>
              </w:rPr>
              <w:tab/>
            </w:r>
            <w:r w:rsidRPr="005457D7">
              <w:rPr>
                <w:rStyle w:val="Hyperlink"/>
                <w:noProof/>
              </w:rPr>
              <w:t>Second round benefit-risk assessment</w:t>
            </w:r>
            <w:r>
              <w:rPr>
                <w:noProof/>
                <w:webHidden/>
              </w:rPr>
              <w:tab/>
            </w:r>
            <w:r>
              <w:rPr>
                <w:noProof/>
                <w:webHidden/>
              </w:rPr>
              <w:fldChar w:fldCharType="begin"/>
            </w:r>
            <w:r>
              <w:rPr>
                <w:noProof/>
                <w:webHidden/>
              </w:rPr>
              <w:instrText xml:space="preserve"> PAGEREF _Toc380660824 \h </w:instrText>
            </w:r>
            <w:r>
              <w:rPr>
                <w:noProof/>
                <w:webHidden/>
              </w:rPr>
            </w:r>
            <w:r>
              <w:rPr>
                <w:noProof/>
                <w:webHidden/>
              </w:rPr>
              <w:fldChar w:fldCharType="separate"/>
            </w:r>
            <w:r>
              <w:rPr>
                <w:noProof/>
                <w:webHidden/>
              </w:rPr>
              <w:t>55</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25" w:history="1">
            <w:r w:rsidRPr="005457D7">
              <w:rPr>
                <w:rStyle w:val="Hyperlink"/>
                <w:noProof/>
              </w:rPr>
              <w:t>13.1.</w:t>
            </w:r>
            <w:r>
              <w:rPr>
                <w:rFonts w:asciiTheme="minorHAnsi" w:eastAsiaTheme="minorEastAsia" w:hAnsiTheme="minorHAnsi" w:cstheme="minorBidi"/>
                <w:noProof/>
                <w:lang w:eastAsia="en-AU"/>
              </w:rPr>
              <w:tab/>
            </w:r>
            <w:r w:rsidRPr="005457D7">
              <w:rPr>
                <w:rStyle w:val="Hyperlink"/>
                <w:noProof/>
              </w:rPr>
              <w:t>Second round assessment of benefits</w:t>
            </w:r>
            <w:r>
              <w:rPr>
                <w:noProof/>
                <w:webHidden/>
              </w:rPr>
              <w:tab/>
            </w:r>
            <w:r>
              <w:rPr>
                <w:noProof/>
                <w:webHidden/>
              </w:rPr>
              <w:fldChar w:fldCharType="begin"/>
            </w:r>
            <w:r>
              <w:rPr>
                <w:noProof/>
                <w:webHidden/>
              </w:rPr>
              <w:instrText xml:space="preserve"> PAGEREF _Toc380660825 \h </w:instrText>
            </w:r>
            <w:r>
              <w:rPr>
                <w:noProof/>
                <w:webHidden/>
              </w:rPr>
            </w:r>
            <w:r>
              <w:rPr>
                <w:noProof/>
                <w:webHidden/>
              </w:rPr>
              <w:fldChar w:fldCharType="separate"/>
            </w:r>
            <w:r>
              <w:rPr>
                <w:noProof/>
                <w:webHidden/>
              </w:rPr>
              <w:t>55</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26" w:history="1">
            <w:r w:rsidRPr="005457D7">
              <w:rPr>
                <w:rStyle w:val="Hyperlink"/>
                <w:noProof/>
              </w:rPr>
              <w:t>13.2.</w:t>
            </w:r>
            <w:r>
              <w:rPr>
                <w:rFonts w:asciiTheme="minorHAnsi" w:eastAsiaTheme="minorEastAsia" w:hAnsiTheme="minorHAnsi" w:cstheme="minorBidi"/>
                <w:noProof/>
                <w:lang w:eastAsia="en-AU"/>
              </w:rPr>
              <w:tab/>
            </w:r>
            <w:r w:rsidRPr="005457D7">
              <w:rPr>
                <w:rStyle w:val="Hyperlink"/>
                <w:noProof/>
              </w:rPr>
              <w:t>Second round assessment of risks</w:t>
            </w:r>
            <w:r>
              <w:rPr>
                <w:noProof/>
                <w:webHidden/>
              </w:rPr>
              <w:tab/>
            </w:r>
            <w:r>
              <w:rPr>
                <w:noProof/>
                <w:webHidden/>
              </w:rPr>
              <w:fldChar w:fldCharType="begin"/>
            </w:r>
            <w:r>
              <w:rPr>
                <w:noProof/>
                <w:webHidden/>
              </w:rPr>
              <w:instrText xml:space="preserve"> PAGEREF _Toc380660826 \h </w:instrText>
            </w:r>
            <w:r>
              <w:rPr>
                <w:noProof/>
                <w:webHidden/>
              </w:rPr>
            </w:r>
            <w:r>
              <w:rPr>
                <w:noProof/>
                <w:webHidden/>
              </w:rPr>
              <w:fldChar w:fldCharType="separate"/>
            </w:r>
            <w:r>
              <w:rPr>
                <w:noProof/>
                <w:webHidden/>
              </w:rPr>
              <w:t>55</w:t>
            </w:r>
            <w:r>
              <w:rPr>
                <w:noProof/>
                <w:webHidden/>
              </w:rPr>
              <w:fldChar w:fldCharType="end"/>
            </w:r>
          </w:hyperlink>
        </w:p>
        <w:p w:rsidR="00863776" w:rsidRDefault="00863776">
          <w:pPr>
            <w:pStyle w:val="TOC3"/>
            <w:tabs>
              <w:tab w:val="left" w:pos="1697"/>
            </w:tabs>
            <w:rPr>
              <w:rFonts w:asciiTheme="minorHAnsi" w:eastAsiaTheme="minorEastAsia" w:hAnsiTheme="minorHAnsi" w:cstheme="minorBidi"/>
              <w:noProof/>
              <w:lang w:eastAsia="en-AU"/>
            </w:rPr>
          </w:pPr>
          <w:hyperlink w:anchor="_Toc380660827" w:history="1">
            <w:r w:rsidRPr="005457D7">
              <w:rPr>
                <w:rStyle w:val="Hyperlink"/>
                <w:noProof/>
              </w:rPr>
              <w:t>13.3.</w:t>
            </w:r>
            <w:r>
              <w:rPr>
                <w:rFonts w:asciiTheme="minorHAnsi" w:eastAsiaTheme="minorEastAsia" w:hAnsiTheme="minorHAnsi" w:cstheme="minorBidi"/>
                <w:noProof/>
                <w:lang w:eastAsia="en-AU"/>
              </w:rPr>
              <w:tab/>
            </w:r>
            <w:r w:rsidRPr="005457D7">
              <w:rPr>
                <w:rStyle w:val="Hyperlink"/>
                <w:noProof/>
              </w:rPr>
              <w:t>Second round assessment of benefit-risk balance</w:t>
            </w:r>
            <w:r>
              <w:rPr>
                <w:noProof/>
                <w:webHidden/>
              </w:rPr>
              <w:tab/>
            </w:r>
            <w:r>
              <w:rPr>
                <w:noProof/>
                <w:webHidden/>
              </w:rPr>
              <w:fldChar w:fldCharType="begin"/>
            </w:r>
            <w:r>
              <w:rPr>
                <w:noProof/>
                <w:webHidden/>
              </w:rPr>
              <w:instrText xml:space="preserve"> PAGEREF _Toc380660827 \h </w:instrText>
            </w:r>
            <w:r>
              <w:rPr>
                <w:noProof/>
                <w:webHidden/>
              </w:rPr>
            </w:r>
            <w:r>
              <w:rPr>
                <w:noProof/>
                <w:webHidden/>
              </w:rPr>
              <w:fldChar w:fldCharType="separate"/>
            </w:r>
            <w:r>
              <w:rPr>
                <w:noProof/>
                <w:webHidden/>
              </w:rPr>
              <w:t>55</w:t>
            </w:r>
            <w:r>
              <w:rPr>
                <w:noProof/>
                <w:webHidden/>
              </w:rPr>
              <w:fldChar w:fldCharType="end"/>
            </w:r>
          </w:hyperlink>
        </w:p>
        <w:p w:rsidR="00863776" w:rsidRDefault="00863776">
          <w:pPr>
            <w:pStyle w:val="TOC2"/>
            <w:tabs>
              <w:tab w:val="left" w:pos="1198"/>
            </w:tabs>
            <w:rPr>
              <w:rFonts w:asciiTheme="minorHAnsi" w:eastAsiaTheme="minorEastAsia" w:hAnsiTheme="minorHAnsi" w:cstheme="minorBidi"/>
              <w:b w:val="0"/>
              <w:noProof/>
              <w:sz w:val="22"/>
              <w:lang w:eastAsia="en-AU"/>
            </w:rPr>
          </w:pPr>
          <w:hyperlink w:anchor="_Toc380660828" w:history="1">
            <w:r w:rsidRPr="005457D7">
              <w:rPr>
                <w:rStyle w:val="Hyperlink"/>
                <w:noProof/>
              </w:rPr>
              <w:t>14.</w:t>
            </w:r>
            <w:r>
              <w:rPr>
                <w:rFonts w:asciiTheme="minorHAnsi" w:eastAsiaTheme="minorEastAsia" w:hAnsiTheme="minorHAnsi" w:cstheme="minorBidi"/>
                <w:b w:val="0"/>
                <w:noProof/>
                <w:sz w:val="22"/>
                <w:lang w:eastAsia="en-AU"/>
              </w:rPr>
              <w:tab/>
            </w:r>
            <w:r w:rsidRPr="005457D7">
              <w:rPr>
                <w:rStyle w:val="Hyperlink"/>
                <w:noProof/>
              </w:rPr>
              <w:t>Second round recommendation regarding authorisation</w:t>
            </w:r>
            <w:r>
              <w:rPr>
                <w:noProof/>
                <w:webHidden/>
              </w:rPr>
              <w:tab/>
            </w:r>
            <w:r>
              <w:rPr>
                <w:noProof/>
                <w:webHidden/>
              </w:rPr>
              <w:fldChar w:fldCharType="begin"/>
            </w:r>
            <w:r>
              <w:rPr>
                <w:noProof/>
                <w:webHidden/>
              </w:rPr>
              <w:instrText xml:space="preserve"> PAGEREF _Toc380660828 \h </w:instrText>
            </w:r>
            <w:r>
              <w:rPr>
                <w:noProof/>
                <w:webHidden/>
              </w:rPr>
            </w:r>
            <w:r>
              <w:rPr>
                <w:noProof/>
                <w:webHidden/>
              </w:rPr>
              <w:fldChar w:fldCharType="separate"/>
            </w:r>
            <w:r>
              <w:rPr>
                <w:noProof/>
                <w:webHidden/>
              </w:rPr>
              <w:t>56</w:t>
            </w:r>
            <w:r>
              <w:rPr>
                <w:noProof/>
                <w:webHidden/>
              </w:rPr>
              <w:fldChar w:fldCharType="end"/>
            </w:r>
          </w:hyperlink>
        </w:p>
        <w:p w:rsidR="00863776" w:rsidRDefault="00863776">
          <w:pPr>
            <w:pStyle w:val="TOC2"/>
            <w:tabs>
              <w:tab w:val="left" w:pos="1198"/>
            </w:tabs>
            <w:rPr>
              <w:rFonts w:asciiTheme="minorHAnsi" w:eastAsiaTheme="minorEastAsia" w:hAnsiTheme="minorHAnsi" w:cstheme="minorBidi"/>
              <w:b w:val="0"/>
              <w:noProof/>
              <w:sz w:val="22"/>
              <w:lang w:eastAsia="en-AU"/>
            </w:rPr>
          </w:pPr>
          <w:hyperlink w:anchor="_Toc380660829" w:history="1">
            <w:r w:rsidRPr="005457D7">
              <w:rPr>
                <w:rStyle w:val="Hyperlink"/>
                <w:noProof/>
              </w:rPr>
              <w:t>15.</w:t>
            </w:r>
            <w:r>
              <w:rPr>
                <w:rFonts w:asciiTheme="minorHAnsi" w:eastAsiaTheme="minorEastAsia" w:hAnsiTheme="minorHAnsi" w:cstheme="minorBidi"/>
                <w:b w:val="0"/>
                <w:noProof/>
                <w:sz w:val="22"/>
                <w:lang w:eastAsia="en-AU"/>
              </w:rPr>
              <w:tab/>
            </w:r>
            <w:r w:rsidRPr="005457D7">
              <w:rPr>
                <w:rStyle w:val="Hyperlink"/>
                <w:noProof/>
              </w:rPr>
              <w:t>Comments on clinical aspects of the Safety Specification in the draft RMP</w:t>
            </w:r>
            <w:r>
              <w:rPr>
                <w:noProof/>
                <w:webHidden/>
              </w:rPr>
              <w:tab/>
            </w:r>
            <w:r>
              <w:rPr>
                <w:noProof/>
                <w:webHidden/>
              </w:rPr>
              <w:fldChar w:fldCharType="begin"/>
            </w:r>
            <w:r>
              <w:rPr>
                <w:noProof/>
                <w:webHidden/>
              </w:rPr>
              <w:instrText xml:space="preserve"> PAGEREF _Toc380660829 \h </w:instrText>
            </w:r>
            <w:r>
              <w:rPr>
                <w:noProof/>
                <w:webHidden/>
              </w:rPr>
            </w:r>
            <w:r>
              <w:rPr>
                <w:noProof/>
                <w:webHidden/>
              </w:rPr>
              <w:fldChar w:fldCharType="separate"/>
            </w:r>
            <w:r>
              <w:rPr>
                <w:noProof/>
                <w:webHidden/>
              </w:rPr>
              <w:t>56</w:t>
            </w:r>
            <w:r>
              <w:rPr>
                <w:noProof/>
                <w:webHidden/>
              </w:rPr>
              <w:fldChar w:fldCharType="end"/>
            </w:r>
          </w:hyperlink>
        </w:p>
        <w:p w:rsidR="003A7F6C" w:rsidRPr="00B811C6" w:rsidRDefault="00863776" w:rsidP="00863776">
          <w:pPr>
            <w:pStyle w:val="TOC2"/>
            <w:tabs>
              <w:tab w:val="left" w:pos="1198"/>
            </w:tabs>
          </w:pPr>
          <w:hyperlink w:anchor="_Toc380660830" w:history="1">
            <w:r w:rsidRPr="005457D7">
              <w:rPr>
                <w:rStyle w:val="Hyperlink"/>
                <w:noProof/>
              </w:rPr>
              <w:t>16.</w:t>
            </w:r>
            <w:r>
              <w:rPr>
                <w:rFonts w:asciiTheme="minorHAnsi" w:eastAsiaTheme="minorEastAsia" w:hAnsiTheme="minorHAnsi" w:cstheme="minorBidi"/>
                <w:b w:val="0"/>
                <w:noProof/>
                <w:sz w:val="22"/>
                <w:lang w:eastAsia="en-AU"/>
              </w:rPr>
              <w:tab/>
            </w:r>
            <w:r w:rsidRPr="005457D7">
              <w:rPr>
                <w:rStyle w:val="Hyperlink"/>
                <w:noProof/>
              </w:rPr>
              <w:t>References</w:t>
            </w:r>
            <w:r>
              <w:rPr>
                <w:noProof/>
                <w:webHidden/>
              </w:rPr>
              <w:tab/>
            </w:r>
            <w:r>
              <w:rPr>
                <w:noProof/>
                <w:webHidden/>
              </w:rPr>
              <w:fldChar w:fldCharType="begin"/>
            </w:r>
            <w:r>
              <w:rPr>
                <w:noProof/>
                <w:webHidden/>
              </w:rPr>
              <w:instrText xml:space="preserve"> PAGEREF _Toc380660830 \h </w:instrText>
            </w:r>
            <w:r>
              <w:rPr>
                <w:noProof/>
                <w:webHidden/>
              </w:rPr>
            </w:r>
            <w:r>
              <w:rPr>
                <w:noProof/>
                <w:webHidden/>
              </w:rPr>
              <w:fldChar w:fldCharType="separate"/>
            </w:r>
            <w:r>
              <w:rPr>
                <w:noProof/>
                <w:webHidden/>
              </w:rPr>
              <w:t>56</w:t>
            </w:r>
            <w:r>
              <w:rPr>
                <w:noProof/>
                <w:webHidden/>
              </w:rPr>
              <w:fldChar w:fldCharType="end"/>
            </w:r>
          </w:hyperlink>
          <w:r w:rsidR="00DE1AA4">
            <w:fldChar w:fldCharType="end"/>
          </w:r>
        </w:p>
      </w:sdtContent>
    </w:sdt>
    <w:bookmarkStart w:id="2" w:name="_Toc314842482" w:displacedByCustomXml="prev"/>
    <w:p w:rsidR="00586F98" w:rsidRDefault="00586F98" w:rsidP="00026567">
      <w:pPr>
        <w:pStyle w:val="Heading2"/>
        <w:numPr>
          <w:ilvl w:val="0"/>
          <w:numId w:val="0"/>
        </w:numPr>
        <w:ind w:left="567" w:hanging="567"/>
      </w:pPr>
      <w:bookmarkStart w:id="3" w:name="_Toc351716269"/>
      <w:bookmarkStart w:id="4" w:name="_Toc351718881"/>
      <w:bookmarkStart w:id="5" w:name="_Toc355338616"/>
      <w:bookmarkStart w:id="6" w:name="_Toc380660782"/>
      <w:r>
        <w:t>List of abbreviations</w:t>
      </w:r>
      <w:bookmarkEnd w:id="3"/>
      <w:bookmarkEnd w:id="4"/>
      <w:bookmarkEnd w:id="5"/>
      <w:bookmarkEnd w:id="6"/>
    </w:p>
    <w:tbl>
      <w:tblPr>
        <w:tblStyle w:val="TableTGAblue"/>
        <w:tblW w:w="0" w:type="auto"/>
        <w:tblLayout w:type="fixed"/>
        <w:tblLook w:val="0620" w:firstRow="1" w:lastRow="0" w:firstColumn="0" w:lastColumn="0" w:noHBand="1" w:noVBand="1"/>
      </w:tblPr>
      <w:tblGrid>
        <w:gridCol w:w="2093"/>
        <w:gridCol w:w="6379"/>
      </w:tblGrid>
      <w:tr w:rsidR="00586F98" w:rsidTr="00026567">
        <w:trPr>
          <w:cnfStyle w:val="100000000000" w:firstRow="1" w:lastRow="0" w:firstColumn="0" w:lastColumn="0" w:oddVBand="0" w:evenVBand="0" w:oddHBand="0" w:evenHBand="0" w:firstRowFirstColumn="0" w:firstRowLastColumn="0" w:lastRowFirstColumn="0" w:lastRowLastColumn="0"/>
          <w:tblHeader/>
        </w:trPr>
        <w:tc>
          <w:tcPr>
            <w:tcW w:w="2093" w:type="dxa"/>
          </w:tcPr>
          <w:p w:rsidR="00586F98" w:rsidRDefault="00586F98" w:rsidP="00026567">
            <w:pPr>
              <w:ind w:left="0" w:right="34"/>
            </w:pPr>
            <w:r>
              <w:t>Abbreviation</w:t>
            </w:r>
          </w:p>
        </w:tc>
        <w:tc>
          <w:tcPr>
            <w:tcW w:w="6379" w:type="dxa"/>
          </w:tcPr>
          <w:p w:rsidR="00586F98" w:rsidRDefault="00586F98" w:rsidP="00026567">
            <w:pPr>
              <w:ind w:left="34" w:right="34"/>
            </w:pPr>
            <w:r>
              <w:t>Meaning</w:t>
            </w:r>
          </w:p>
        </w:tc>
      </w:tr>
      <w:tr w:rsidR="00D73F89" w:rsidRPr="00215315" w:rsidTr="00026567">
        <w:tc>
          <w:tcPr>
            <w:tcW w:w="2093" w:type="dxa"/>
          </w:tcPr>
          <w:p w:rsidR="00D73F89" w:rsidRPr="00D73F89" w:rsidRDefault="00D73F89" w:rsidP="00026567">
            <w:pPr>
              <w:ind w:left="0" w:right="34"/>
            </w:pPr>
            <w:r w:rsidRPr="00D73F89">
              <w:t>AE</w:t>
            </w:r>
          </w:p>
        </w:tc>
        <w:tc>
          <w:tcPr>
            <w:tcW w:w="6379" w:type="dxa"/>
          </w:tcPr>
          <w:p w:rsidR="00D73F89" w:rsidRPr="00D73F89" w:rsidRDefault="00D73F89" w:rsidP="00026567">
            <w:pPr>
              <w:ind w:left="34" w:right="34"/>
            </w:pPr>
            <w:r w:rsidRPr="00D73F89">
              <w:t>Adverse event</w:t>
            </w:r>
          </w:p>
        </w:tc>
      </w:tr>
      <w:tr w:rsidR="00D73F89" w:rsidRPr="00215315" w:rsidTr="00026567">
        <w:tc>
          <w:tcPr>
            <w:tcW w:w="2093" w:type="dxa"/>
          </w:tcPr>
          <w:p w:rsidR="00D73F89" w:rsidRPr="00D73F89" w:rsidRDefault="00D73F89" w:rsidP="00026567">
            <w:pPr>
              <w:ind w:left="0" w:right="34"/>
            </w:pPr>
            <w:r w:rsidRPr="00D73F89">
              <w:t>BMI</w:t>
            </w:r>
          </w:p>
        </w:tc>
        <w:tc>
          <w:tcPr>
            <w:tcW w:w="6379" w:type="dxa"/>
          </w:tcPr>
          <w:p w:rsidR="00D73F89" w:rsidRPr="00D73F89" w:rsidRDefault="00D73F89" w:rsidP="00026567">
            <w:pPr>
              <w:ind w:left="34" w:right="34"/>
            </w:pPr>
            <w:r w:rsidRPr="00D73F89">
              <w:t>Body mass index</w:t>
            </w:r>
          </w:p>
        </w:tc>
      </w:tr>
      <w:tr w:rsidR="00D73F89" w:rsidRPr="00215315" w:rsidTr="00026567">
        <w:tc>
          <w:tcPr>
            <w:tcW w:w="2093" w:type="dxa"/>
          </w:tcPr>
          <w:p w:rsidR="00D73F89" w:rsidRPr="00D73F89" w:rsidRDefault="00D73F89" w:rsidP="00026567">
            <w:pPr>
              <w:ind w:left="0" w:right="34"/>
            </w:pPr>
            <w:r w:rsidRPr="00D73F89">
              <w:t>CMPH (CHMP)</w:t>
            </w:r>
          </w:p>
        </w:tc>
        <w:tc>
          <w:tcPr>
            <w:tcW w:w="6379" w:type="dxa"/>
          </w:tcPr>
          <w:p w:rsidR="00D73F89" w:rsidRPr="00D73F89" w:rsidRDefault="00D73F89" w:rsidP="00026567">
            <w:pPr>
              <w:ind w:left="34" w:right="34"/>
            </w:pPr>
            <w:r w:rsidRPr="00D73F89">
              <w:t>Committee for Medicinal Products for Human Use formerly known as Committee for Proprietary Medicinal Products - a Euro</w:t>
            </w:r>
            <w:r w:rsidR="00026567">
              <w:t>pean Medicines Agency committee</w:t>
            </w:r>
          </w:p>
        </w:tc>
      </w:tr>
      <w:tr w:rsidR="00D73F89" w:rsidRPr="00215315" w:rsidTr="00026567">
        <w:tc>
          <w:tcPr>
            <w:tcW w:w="2093" w:type="dxa"/>
          </w:tcPr>
          <w:p w:rsidR="00D73F89" w:rsidRPr="00D73F89" w:rsidRDefault="00D73F89" w:rsidP="00026567">
            <w:pPr>
              <w:ind w:left="0" w:right="34"/>
            </w:pPr>
            <w:r w:rsidRPr="00D73F89">
              <w:t>FAS</w:t>
            </w:r>
          </w:p>
        </w:tc>
        <w:tc>
          <w:tcPr>
            <w:tcW w:w="6379" w:type="dxa"/>
          </w:tcPr>
          <w:p w:rsidR="00D73F89" w:rsidRPr="00D73F89" w:rsidRDefault="00D73F89" w:rsidP="00026567">
            <w:pPr>
              <w:ind w:left="34" w:right="34"/>
            </w:pPr>
            <w:r w:rsidRPr="00D73F89">
              <w:t>Full analysis set</w:t>
            </w:r>
          </w:p>
        </w:tc>
      </w:tr>
      <w:tr w:rsidR="00D73F89" w:rsidRPr="00215315" w:rsidTr="00026567">
        <w:tc>
          <w:tcPr>
            <w:tcW w:w="2093" w:type="dxa"/>
          </w:tcPr>
          <w:p w:rsidR="00D73F89" w:rsidRPr="00D73F89" w:rsidRDefault="00D73F89" w:rsidP="00026567">
            <w:pPr>
              <w:ind w:left="0" w:right="34"/>
            </w:pPr>
            <w:r w:rsidRPr="00D73F89">
              <w:t>FDA</w:t>
            </w:r>
          </w:p>
        </w:tc>
        <w:tc>
          <w:tcPr>
            <w:tcW w:w="6379" w:type="dxa"/>
          </w:tcPr>
          <w:p w:rsidR="00D73F89" w:rsidRPr="00D73F89" w:rsidRDefault="00D73F89" w:rsidP="00026567">
            <w:pPr>
              <w:ind w:left="34" w:right="34"/>
            </w:pPr>
            <w:r w:rsidRPr="00D73F89">
              <w:t>US Food and Drugs Administration</w:t>
            </w:r>
          </w:p>
        </w:tc>
      </w:tr>
      <w:tr w:rsidR="00D73F89" w:rsidRPr="00215315" w:rsidTr="00026567">
        <w:tc>
          <w:tcPr>
            <w:tcW w:w="2093" w:type="dxa"/>
          </w:tcPr>
          <w:p w:rsidR="00D73F89" w:rsidRPr="00D73F89" w:rsidRDefault="00D73F89" w:rsidP="00026567">
            <w:pPr>
              <w:ind w:left="0" w:right="34"/>
            </w:pPr>
            <w:r w:rsidRPr="00D73F89">
              <w:t>ICH</w:t>
            </w:r>
          </w:p>
        </w:tc>
        <w:tc>
          <w:tcPr>
            <w:tcW w:w="6379" w:type="dxa"/>
          </w:tcPr>
          <w:p w:rsidR="00D73F89" w:rsidRPr="00D73F89" w:rsidRDefault="00D73F89" w:rsidP="00026567">
            <w:pPr>
              <w:ind w:left="34" w:right="34"/>
            </w:pPr>
            <w:r w:rsidRPr="00D73F89">
              <w:t>International Committee on Harmonisation</w:t>
            </w:r>
          </w:p>
        </w:tc>
      </w:tr>
      <w:tr w:rsidR="00D73F89" w:rsidRPr="00215315" w:rsidTr="00026567">
        <w:tc>
          <w:tcPr>
            <w:tcW w:w="2093" w:type="dxa"/>
          </w:tcPr>
          <w:p w:rsidR="00D73F89" w:rsidRPr="00D73F89" w:rsidRDefault="00D73F89" w:rsidP="00026567">
            <w:pPr>
              <w:ind w:left="0" w:right="34"/>
            </w:pPr>
            <w:r w:rsidRPr="00D73F89">
              <w:t>IUS</w:t>
            </w:r>
          </w:p>
        </w:tc>
        <w:tc>
          <w:tcPr>
            <w:tcW w:w="6379" w:type="dxa"/>
          </w:tcPr>
          <w:p w:rsidR="00D73F89" w:rsidRPr="00D73F89" w:rsidRDefault="00D73F89" w:rsidP="00026567">
            <w:pPr>
              <w:ind w:left="34" w:right="34"/>
            </w:pPr>
            <w:r w:rsidRPr="00D73F89">
              <w:t>Intrauterine Device</w:t>
            </w:r>
          </w:p>
        </w:tc>
      </w:tr>
      <w:tr w:rsidR="00D73F89" w:rsidRPr="00215315" w:rsidTr="00026567">
        <w:tc>
          <w:tcPr>
            <w:tcW w:w="2093" w:type="dxa"/>
          </w:tcPr>
          <w:p w:rsidR="00D73F89" w:rsidRPr="00D73F89" w:rsidRDefault="00D73F89" w:rsidP="00026567">
            <w:pPr>
              <w:ind w:left="0" w:right="34"/>
            </w:pPr>
            <w:r w:rsidRPr="00D73F89">
              <w:t>IVIVC</w:t>
            </w:r>
          </w:p>
        </w:tc>
        <w:tc>
          <w:tcPr>
            <w:tcW w:w="6379" w:type="dxa"/>
          </w:tcPr>
          <w:p w:rsidR="00D73F89" w:rsidRPr="00D73F89" w:rsidRDefault="00590069" w:rsidP="00026567">
            <w:pPr>
              <w:ind w:left="34" w:right="34"/>
            </w:pPr>
            <w:r w:rsidRPr="00590069">
              <w:rPr>
                <w:i/>
                <w:iCs/>
              </w:rPr>
              <w:t>In vitro</w:t>
            </w:r>
            <w:r w:rsidR="00D73F89" w:rsidRPr="00D73F89">
              <w:t>–</w:t>
            </w:r>
            <w:r w:rsidRPr="00590069">
              <w:rPr>
                <w:i/>
                <w:iCs/>
              </w:rPr>
              <w:t>In vivo</w:t>
            </w:r>
            <w:r w:rsidR="00D73F89" w:rsidRPr="00D73F89">
              <w:t xml:space="preserve"> Correlation</w:t>
            </w:r>
          </w:p>
        </w:tc>
      </w:tr>
      <w:tr w:rsidR="00D73F89" w:rsidRPr="00215315" w:rsidTr="00026567">
        <w:tc>
          <w:tcPr>
            <w:tcW w:w="2093" w:type="dxa"/>
          </w:tcPr>
          <w:p w:rsidR="00D73F89" w:rsidRPr="00D73F89" w:rsidRDefault="00D73F89" w:rsidP="00026567">
            <w:pPr>
              <w:ind w:left="0" w:right="34"/>
            </w:pPr>
            <w:r w:rsidRPr="00D73F89">
              <w:t>LCS 12</w:t>
            </w:r>
          </w:p>
        </w:tc>
        <w:tc>
          <w:tcPr>
            <w:tcW w:w="6379" w:type="dxa"/>
          </w:tcPr>
          <w:p w:rsidR="00D73F89" w:rsidRPr="00D73F89" w:rsidRDefault="00D73F89" w:rsidP="00026567">
            <w:pPr>
              <w:ind w:left="34" w:right="34"/>
            </w:pPr>
            <w:r w:rsidRPr="00D73F89">
              <w:t xml:space="preserve">To be marketed as </w:t>
            </w:r>
            <w:proofErr w:type="spellStart"/>
            <w:r w:rsidRPr="00D73F89">
              <w:t>Jaydess</w:t>
            </w:r>
            <w:proofErr w:type="spellEnd"/>
            <w:r w:rsidRPr="00D73F89">
              <w:t xml:space="preserve"> in Australia</w:t>
            </w:r>
          </w:p>
        </w:tc>
      </w:tr>
      <w:tr w:rsidR="00D73F89" w:rsidRPr="00215315" w:rsidTr="00026567">
        <w:tc>
          <w:tcPr>
            <w:tcW w:w="2093" w:type="dxa"/>
          </w:tcPr>
          <w:p w:rsidR="00D73F89" w:rsidRPr="00D73F89" w:rsidRDefault="00D73F89" w:rsidP="00026567">
            <w:pPr>
              <w:ind w:left="0" w:right="34"/>
            </w:pPr>
            <w:r w:rsidRPr="00D73F89">
              <w:t>LNG</w:t>
            </w:r>
          </w:p>
        </w:tc>
        <w:tc>
          <w:tcPr>
            <w:tcW w:w="6379" w:type="dxa"/>
          </w:tcPr>
          <w:p w:rsidR="00D73F89" w:rsidRPr="00D73F89" w:rsidRDefault="00D73F89" w:rsidP="00026567">
            <w:pPr>
              <w:ind w:left="34" w:right="34"/>
            </w:pPr>
            <w:proofErr w:type="spellStart"/>
            <w:r w:rsidRPr="00D73F89">
              <w:t>levonorgestrel</w:t>
            </w:r>
            <w:proofErr w:type="spellEnd"/>
          </w:p>
        </w:tc>
      </w:tr>
      <w:tr w:rsidR="00D73F89" w:rsidRPr="00215315" w:rsidTr="00026567">
        <w:tc>
          <w:tcPr>
            <w:tcW w:w="2093" w:type="dxa"/>
          </w:tcPr>
          <w:p w:rsidR="00D73F89" w:rsidRPr="00D73F89" w:rsidRDefault="00D73F89" w:rsidP="00026567">
            <w:pPr>
              <w:ind w:left="0" w:right="34"/>
            </w:pPr>
            <w:r w:rsidRPr="00D73F89">
              <w:lastRenderedPageBreak/>
              <w:t>LCS</w:t>
            </w:r>
          </w:p>
        </w:tc>
        <w:tc>
          <w:tcPr>
            <w:tcW w:w="6379" w:type="dxa"/>
          </w:tcPr>
          <w:p w:rsidR="00D73F89" w:rsidRPr="00D73F89" w:rsidRDefault="00D73F89" w:rsidP="00026567">
            <w:pPr>
              <w:ind w:left="34" w:right="34"/>
            </w:pPr>
            <w:r w:rsidRPr="00D73F89">
              <w:t xml:space="preserve">Low dose </w:t>
            </w:r>
            <w:proofErr w:type="spellStart"/>
            <w:r w:rsidRPr="00D73F89">
              <w:t>levonorgestrel</w:t>
            </w:r>
            <w:proofErr w:type="spellEnd"/>
            <w:r w:rsidRPr="00D73F89">
              <w:t xml:space="preserve"> contraceptive intrauterine systems</w:t>
            </w:r>
          </w:p>
        </w:tc>
      </w:tr>
      <w:tr w:rsidR="00D73F89" w:rsidRPr="00215315" w:rsidTr="00026567">
        <w:tc>
          <w:tcPr>
            <w:tcW w:w="2093" w:type="dxa"/>
          </w:tcPr>
          <w:p w:rsidR="00D73F89" w:rsidRPr="00D73F89" w:rsidRDefault="00D73F89" w:rsidP="00026567">
            <w:pPr>
              <w:ind w:left="0" w:right="34"/>
            </w:pPr>
            <w:r w:rsidRPr="00D73F89">
              <w:t>PI</w:t>
            </w:r>
          </w:p>
        </w:tc>
        <w:tc>
          <w:tcPr>
            <w:tcW w:w="6379" w:type="dxa"/>
          </w:tcPr>
          <w:p w:rsidR="00D73F89" w:rsidRPr="00D73F89" w:rsidRDefault="00D73F89" w:rsidP="00026567">
            <w:pPr>
              <w:ind w:left="34" w:right="34"/>
            </w:pPr>
            <w:r w:rsidRPr="00D73F89">
              <w:t>Pearl Index</w:t>
            </w:r>
          </w:p>
        </w:tc>
      </w:tr>
      <w:tr w:rsidR="00D73F89" w:rsidRPr="00215315" w:rsidTr="00026567">
        <w:tc>
          <w:tcPr>
            <w:tcW w:w="2093" w:type="dxa"/>
          </w:tcPr>
          <w:p w:rsidR="00D73F89" w:rsidRPr="00D73F89" w:rsidRDefault="00D73F89" w:rsidP="00026567">
            <w:pPr>
              <w:ind w:left="0" w:right="34"/>
            </w:pPr>
            <w:r w:rsidRPr="00D73F89">
              <w:t>PID</w:t>
            </w:r>
          </w:p>
        </w:tc>
        <w:tc>
          <w:tcPr>
            <w:tcW w:w="6379" w:type="dxa"/>
          </w:tcPr>
          <w:p w:rsidR="00D73F89" w:rsidRPr="00D73F89" w:rsidRDefault="00D73F89" w:rsidP="00026567">
            <w:pPr>
              <w:ind w:left="34" w:right="34"/>
            </w:pPr>
            <w:r w:rsidRPr="00D73F89">
              <w:t>Pelvic Inflammatory Disease</w:t>
            </w:r>
          </w:p>
        </w:tc>
      </w:tr>
      <w:tr w:rsidR="00D73F89" w:rsidRPr="00215315" w:rsidTr="00026567">
        <w:tc>
          <w:tcPr>
            <w:tcW w:w="2093" w:type="dxa"/>
          </w:tcPr>
          <w:p w:rsidR="00D73F89" w:rsidRPr="00D73F89" w:rsidRDefault="00D73F89" w:rsidP="00026567">
            <w:pPr>
              <w:ind w:left="0" w:right="34"/>
            </w:pPr>
            <w:r w:rsidRPr="00D73F89">
              <w:t>PIP</w:t>
            </w:r>
          </w:p>
        </w:tc>
        <w:tc>
          <w:tcPr>
            <w:tcW w:w="6379" w:type="dxa"/>
          </w:tcPr>
          <w:p w:rsidR="00D73F89" w:rsidRPr="00D73F89" w:rsidRDefault="00D73F89" w:rsidP="00026567">
            <w:pPr>
              <w:ind w:left="34" w:right="34"/>
            </w:pPr>
            <w:r w:rsidRPr="00D73F89">
              <w:t xml:space="preserve">Paediatric investigation plan </w:t>
            </w:r>
          </w:p>
        </w:tc>
      </w:tr>
      <w:tr w:rsidR="00D73F89" w:rsidRPr="00215315" w:rsidTr="00026567">
        <w:tc>
          <w:tcPr>
            <w:tcW w:w="2093" w:type="dxa"/>
          </w:tcPr>
          <w:p w:rsidR="00D73F89" w:rsidRPr="00D73F89" w:rsidRDefault="00D73F89" w:rsidP="00026567">
            <w:pPr>
              <w:ind w:left="0" w:right="34"/>
            </w:pPr>
            <w:r w:rsidRPr="00D73F89">
              <w:t>TGA</w:t>
            </w:r>
          </w:p>
        </w:tc>
        <w:tc>
          <w:tcPr>
            <w:tcW w:w="6379" w:type="dxa"/>
          </w:tcPr>
          <w:p w:rsidR="00D73F89" w:rsidRPr="00D73F89" w:rsidRDefault="00D73F89" w:rsidP="00026567">
            <w:pPr>
              <w:ind w:left="34" w:right="34"/>
            </w:pPr>
            <w:r w:rsidRPr="00D73F89">
              <w:t>Therapeutic Goods Administration</w:t>
            </w:r>
          </w:p>
        </w:tc>
      </w:tr>
      <w:tr w:rsidR="00D73F89" w:rsidRPr="00215315" w:rsidTr="00026567">
        <w:tc>
          <w:tcPr>
            <w:tcW w:w="2093" w:type="dxa"/>
          </w:tcPr>
          <w:p w:rsidR="00D73F89" w:rsidRPr="00D73F89" w:rsidRDefault="00D73F89" w:rsidP="00026567">
            <w:pPr>
              <w:ind w:left="0" w:right="34"/>
            </w:pPr>
            <w:r w:rsidRPr="00D73F89">
              <w:t>SOC</w:t>
            </w:r>
          </w:p>
        </w:tc>
        <w:tc>
          <w:tcPr>
            <w:tcW w:w="6379" w:type="dxa"/>
          </w:tcPr>
          <w:p w:rsidR="00D73F89" w:rsidRPr="00D73F89" w:rsidRDefault="00D73F89" w:rsidP="00026567">
            <w:pPr>
              <w:ind w:left="34" w:right="34"/>
            </w:pPr>
            <w:r w:rsidRPr="00D73F89">
              <w:t>System Organ Class</w:t>
            </w:r>
          </w:p>
        </w:tc>
      </w:tr>
      <w:tr w:rsidR="00D73F89" w:rsidRPr="00215315" w:rsidTr="00026567">
        <w:tc>
          <w:tcPr>
            <w:tcW w:w="2093" w:type="dxa"/>
          </w:tcPr>
          <w:p w:rsidR="00D73F89" w:rsidRPr="00D73F89" w:rsidRDefault="00D73F89" w:rsidP="00026567">
            <w:pPr>
              <w:ind w:left="0" w:right="34"/>
            </w:pPr>
            <w:proofErr w:type="spellStart"/>
            <w:r w:rsidRPr="00D73F89">
              <w:t>Wy</w:t>
            </w:r>
            <w:proofErr w:type="spellEnd"/>
          </w:p>
        </w:tc>
        <w:tc>
          <w:tcPr>
            <w:tcW w:w="6379" w:type="dxa"/>
          </w:tcPr>
          <w:p w:rsidR="00D73F89" w:rsidRPr="00D73F89" w:rsidRDefault="00D73F89" w:rsidP="00026567">
            <w:pPr>
              <w:ind w:left="34" w:right="34"/>
            </w:pPr>
            <w:r w:rsidRPr="00D73F89">
              <w:t>Women years</w:t>
            </w:r>
          </w:p>
        </w:tc>
      </w:tr>
    </w:tbl>
    <w:p w:rsidR="00D73F89" w:rsidRDefault="00D73F89" w:rsidP="00026567">
      <w:pPr>
        <w:pStyle w:val="Heading2"/>
        <w:rPr>
          <w:lang w:eastAsia="en-AU"/>
        </w:rPr>
      </w:pPr>
      <w:bookmarkStart w:id="7" w:name="_Toc351718900"/>
      <w:bookmarkStart w:id="8" w:name="_Toc355338635"/>
      <w:bookmarkStart w:id="9" w:name="_Toc380660783"/>
      <w:r>
        <w:rPr>
          <w:lang w:eastAsia="en-AU"/>
        </w:rPr>
        <w:t>Introduction</w:t>
      </w:r>
      <w:bookmarkEnd w:id="9"/>
    </w:p>
    <w:p w:rsidR="00D73F89" w:rsidRPr="008434B0" w:rsidRDefault="00D73F89" w:rsidP="00026567">
      <w:r w:rsidRPr="008434B0">
        <w:t xml:space="preserve">This is an application to register a new strength (13.5mg) of </w:t>
      </w:r>
      <w:proofErr w:type="spellStart"/>
      <w:r w:rsidRPr="008434B0">
        <w:t>levonorgestrel</w:t>
      </w:r>
      <w:proofErr w:type="spellEnd"/>
      <w:r w:rsidRPr="008434B0">
        <w:t xml:space="preserve"> for an intrauterine delivery system (</w:t>
      </w:r>
      <w:proofErr w:type="spellStart"/>
      <w:r w:rsidRPr="008434B0">
        <w:t>Jaydess</w:t>
      </w:r>
      <w:proofErr w:type="spellEnd"/>
      <w:r w:rsidRPr="008434B0">
        <w:t xml:space="preserve">).  There is a 52mg </w:t>
      </w:r>
      <w:proofErr w:type="spellStart"/>
      <w:r w:rsidRPr="008434B0">
        <w:t>levonorgestrel</w:t>
      </w:r>
      <w:proofErr w:type="spellEnd"/>
      <w:r w:rsidRPr="008434B0">
        <w:t xml:space="preserve"> intrauterine delivery system already registered in Australia (</w:t>
      </w:r>
      <w:proofErr w:type="spellStart"/>
      <w:r w:rsidRPr="008434B0">
        <w:t>Mirena</w:t>
      </w:r>
      <w:proofErr w:type="spellEnd"/>
      <w:r w:rsidR="008434B0" w:rsidRPr="008434B0">
        <w:t xml:space="preserve"> </w:t>
      </w:r>
      <w:r w:rsidRPr="008434B0">
        <w:t xml:space="preserve">52 mg </w:t>
      </w:r>
      <w:proofErr w:type="spellStart"/>
      <w:r w:rsidRPr="008434B0">
        <w:t>levonorgestrel</w:t>
      </w:r>
      <w:proofErr w:type="spellEnd"/>
      <w:r w:rsidRPr="008434B0">
        <w:t xml:space="preserve">, AUST R 73027). The approved indication for </w:t>
      </w:r>
      <w:proofErr w:type="spellStart"/>
      <w:r w:rsidRPr="008434B0">
        <w:t>levono</w:t>
      </w:r>
      <w:r w:rsidR="008434B0">
        <w:t>r</w:t>
      </w:r>
      <w:r w:rsidRPr="008434B0">
        <w:t>gestrel</w:t>
      </w:r>
      <w:proofErr w:type="spellEnd"/>
      <w:r w:rsidRPr="008434B0">
        <w:t xml:space="preserve"> is contraception.</w:t>
      </w:r>
    </w:p>
    <w:p w:rsidR="00D73F89" w:rsidRDefault="00D73F89" w:rsidP="00026567">
      <w:pPr>
        <w:rPr>
          <w:i/>
          <w:iCs/>
        </w:rPr>
      </w:pPr>
      <w:r w:rsidRPr="00CC3DB4">
        <w:t xml:space="preserve">The proposed indication is as a low dose </w:t>
      </w:r>
      <w:proofErr w:type="spellStart"/>
      <w:r w:rsidRPr="00CC3DB4">
        <w:t>levonorgestrel</w:t>
      </w:r>
      <w:proofErr w:type="spellEnd"/>
      <w:r w:rsidRPr="00CC3DB4">
        <w:t xml:space="preserve"> (LNG) intrauterine delivery system for contraception. This is the same indication to </w:t>
      </w:r>
      <w:proofErr w:type="spellStart"/>
      <w:r w:rsidRPr="00CC3DB4">
        <w:t>Mirena</w:t>
      </w:r>
      <w:proofErr w:type="spellEnd"/>
      <w:r w:rsidRPr="00CC3DB4">
        <w:t xml:space="preserve">. The wording of the proposed indication </w:t>
      </w:r>
      <w:r w:rsidR="00147040">
        <w:t xml:space="preserve">[as stated in the clinical overview] </w:t>
      </w:r>
      <w:r w:rsidRPr="00CC3DB4">
        <w:t xml:space="preserve">is </w:t>
      </w:r>
      <w:r w:rsidRPr="00CC3DB4">
        <w:rPr>
          <w:i/>
          <w:iCs/>
        </w:rPr>
        <w:t xml:space="preserve">Contraception for up to 3 years in nulliparous and </w:t>
      </w:r>
      <w:proofErr w:type="spellStart"/>
      <w:r w:rsidRPr="00CC3DB4">
        <w:rPr>
          <w:i/>
          <w:iCs/>
        </w:rPr>
        <w:t>parous</w:t>
      </w:r>
      <w:proofErr w:type="spellEnd"/>
      <w:r w:rsidRPr="00CC3DB4">
        <w:rPr>
          <w:i/>
          <w:iCs/>
        </w:rPr>
        <w:t xml:space="preserve"> women.</w:t>
      </w:r>
      <w:r w:rsidR="00B761DA">
        <w:rPr>
          <w:rStyle w:val="FootnoteReference"/>
          <w:i/>
          <w:iCs/>
        </w:rPr>
        <w:footnoteReference w:id="1"/>
      </w:r>
    </w:p>
    <w:p w:rsidR="00D73F89" w:rsidRDefault="00D73F89" w:rsidP="00026567">
      <w:r w:rsidRPr="00CC3DB4">
        <w:t xml:space="preserve">One </w:t>
      </w:r>
      <w:proofErr w:type="spellStart"/>
      <w:r w:rsidRPr="00CC3DB4">
        <w:t>Jaydess</w:t>
      </w:r>
      <w:proofErr w:type="spellEnd"/>
      <w:r w:rsidRPr="00CC3DB4">
        <w:t xml:space="preserve"> is inserted into the uterine cavity and is effective for up to three years. It is removed manually and can be remove</w:t>
      </w:r>
      <w:r w:rsidR="00026567">
        <w:t>d at any time prior to 3 years.</w:t>
      </w:r>
    </w:p>
    <w:p w:rsidR="00CC3DB4" w:rsidRPr="00CC3DB4" w:rsidRDefault="00CC3DB4" w:rsidP="00026567">
      <w:pPr>
        <w:pStyle w:val="Heading3"/>
      </w:pPr>
      <w:bookmarkStart w:id="10" w:name="_Toc272414610"/>
      <w:bookmarkStart w:id="11" w:name="_Toc290846232"/>
      <w:bookmarkStart w:id="12" w:name="_Toc290888769"/>
      <w:bookmarkStart w:id="13" w:name="_Toc343587542"/>
      <w:bookmarkStart w:id="14" w:name="_Toc219998372"/>
      <w:bookmarkStart w:id="15" w:name="_Toc219998476"/>
      <w:bookmarkStart w:id="16" w:name="_Toc219998891"/>
      <w:bookmarkStart w:id="17" w:name="_Toc219998994"/>
      <w:bookmarkStart w:id="18" w:name="_Toc219999095"/>
      <w:bookmarkStart w:id="19" w:name="_Toc229197910"/>
      <w:bookmarkStart w:id="20" w:name="_Toc380660784"/>
      <w:r w:rsidRPr="00CC3DB4">
        <w:t>Overseas regulatory history</w:t>
      </w:r>
      <w:bookmarkEnd w:id="10"/>
      <w:bookmarkEnd w:id="11"/>
      <w:bookmarkEnd w:id="12"/>
      <w:bookmarkEnd w:id="13"/>
      <w:bookmarkEnd w:id="14"/>
      <w:bookmarkEnd w:id="15"/>
      <w:bookmarkEnd w:id="16"/>
      <w:bookmarkEnd w:id="17"/>
      <w:bookmarkEnd w:id="18"/>
      <w:bookmarkEnd w:id="19"/>
      <w:bookmarkEnd w:id="20"/>
    </w:p>
    <w:p w:rsidR="00CC3DB4" w:rsidRPr="00CC3DB4" w:rsidRDefault="00CC3DB4" w:rsidP="00026567">
      <w:r w:rsidRPr="00CC3DB4">
        <w:t>There have been discussions with several overseas regulatory bodies which are documented in the submission. Specifically:</w:t>
      </w:r>
    </w:p>
    <w:p w:rsidR="00CC3DB4" w:rsidRPr="00CC3DB4" w:rsidRDefault="00CC3DB4" w:rsidP="00026567">
      <w:pPr>
        <w:pStyle w:val="ListBullet"/>
      </w:pPr>
      <w:r w:rsidRPr="00CC3DB4">
        <w:t xml:space="preserve">The Swedish Medical Products Agency (MPA) has been consulted by the Sponsor to discuss aspects of the development program including study endpoints, interim analysis, the inclusion of nulliparous women and the development of an </w:t>
      </w:r>
      <w:r w:rsidR="00590069" w:rsidRPr="00590069">
        <w:rPr>
          <w:i/>
          <w:iCs/>
        </w:rPr>
        <w:t>in vitro</w:t>
      </w:r>
      <w:r w:rsidRPr="00CC3DB4">
        <w:t>/</w:t>
      </w:r>
      <w:r w:rsidR="00590069" w:rsidRPr="00590069">
        <w:rPr>
          <w:i/>
          <w:iCs/>
        </w:rPr>
        <w:t>in vivo</w:t>
      </w:r>
      <w:r w:rsidRPr="00CC3DB4">
        <w:t xml:space="preserve"> correlation (IVIVC) prior to start of the Phase 2 and 3 clinical development phase of LCS12 (</w:t>
      </w:r>
      <w:proofErr w:type="spellStart"/>
      <w:r w:rsidRPr="00CC3DB4">
        <w:t>Jaydess</w:t>
      </w:r>
      <w:proofErr w:type="spellEnd"/>
      <w:r w:rsidRPr="00CC3DB4">
        <w:t>).</w:t>
      </w:r>
    </w:p>
    <w:p w:rsidR="00CC3DB4" w:rsidRPr="00CC3DB4" w:rsidRDefault="00CC3DB4" w:rsidP="00026567">
      <w:pPr>
        <w:pStyle w:val="ListBullet"/>
      </w:pPr>
      <w:r w:rsidRPr="00CC3DB4">
        <w:t xml:space="preserve">Based on the Phase 2 study results, in early 2010 the </w:t>
      </w:r>
      <w:r w:rsidRPr="00026567">
        <w:t>Sponsor</w:t>
      </w:r>
      <w:r w:rsidRPr="00CC3DB4">
        <w:t xml:space="preserve"> met with several European health authorities to discuss the proposed modifications of the development programme, specifically the ethylene oxide sterilization and the IVIVC simulations.  These include:</w:t>
      </w:r>
    </w:p>
    <w:p w:rsidR="00CC3DB4" w:rsidRPr="00CC3DB4" w:rsidRDefault="00026567" w:rsidP="00026567">
      <w:pPr>
        <w:pStyle w:val="ListBullet2"/>
      </w:pPr>
      <w:r>
        <w:t>Sweden: MPA, 22 Mar 2010</w:t>
      </w:r>
    </w:p>
    <w:p w:rsidR="00CC3DB4" w:rsidRPr="00CC3DB4" w:rsidRDefault="00CC3DB4" w:rsidP="00026567">
      <w:pPr>
        <w:pStyle w:val="ListBullet2"/>
      </w:pPr>
      <w:r w:rsidRPr="00CC3DB4">
        <w:t>Germany, Federal Institute for Drugs and Medica</w:t>
      </w:r>
      <w:r w:rsidR="00026567">
        <w:t>l Devices (</w:t>
      </w:r>
      <w:proofErr w:type="spellStart"/>
      <w:r w:rsidR="00026567">
        <w:t>BfArM</w:t>
      </w:r>
      <w:proofErr w:type="spellEnd"/>
      <w:r w:rsidR="00026567">
        <w:t>), 31 May 2010</w:t>
      </w:r>
    </w:p>
    <w:p w:rsidR="00CC3DB4" w:rsidRPr="00CC3DB4" w:rsidRDefault="00CC3DB4" w:rsidP="00026567">
      <w:pPr>
        <w:pStyle w:val="ListBullet2"/>
      </w:pPr>
      <w:r w:rsidRPr="00CC3DB4">
        <w:t>UK: Medicines and Healthcare Products Regulatory Agency (MHRA), 13 Apr 2010</w:t>
      </w:r>
    </w:p>
    <w:p w:rsidR="00CC3DB4" w:rsidRPr="00CC3DB4" w:rsidRDefault="00CC3DB4" w:rsidP="00026567">
      <w:pPr>
        <w:pStyle w:val="ListBullet2"/>
      </w:pPr>
      <w:r w:rsidRPr="00CC3DB4">
        <w:lastRenderedPageBreak/>
        <w:t xml:space="preserve">In </w:t>
      </w:r>
      <w:r w:rsidRPr="00026567">
        <w:t>January</w:t>
      </w:r>
      <w:r w:rsidRPr="00CC3DB4">
        <w:t xml:space="preserve"> and February 2011, the Sponsor met with the following European health authorities for Scientific Advice Meetings in order to seek guidance on the development of a safety risk management plan (RMP) for LCS12 and on the clinical development plan for LCS16 in the indication of heavy menstrual bleeding (LCS12 of relevance in this application)</w:t>
      </w:r>
    </w:p>
    <w:p w:rsidR="00CC3DB4" w:rsidRPr="00CC3DB4" w:rsidRDefault="00CC3DB4" w:rsidP="00026567">
      <w:pPr>
        <w:pStyle w:val="ListBullet2"/>
      </w:pPr>
      <w:r w:rsidRPr="00026567">
        <w:t>Sweden</w:t>
      </w:r>
      <w:r w:rsidR="00026567">
        <w:t>: MPA, 21 Jan 2011</w:t>
      </w:r>
    </w:p>
    <w:p w:rsidR="00CC3DB4" w:rsidRPr="00CC3DB4" w:rsidRDefault="00CC3DB4" w:rsidP="00026567">
      <w:pPr>
        <w:pStyle w:val="ListBullet2"/>
      </w:pPr>
      <w:r w:rsidRPr="00CC3DB4">
        <w:t xml:space="preserve">Germany: </w:t>
      </w:r>
      <w:proofErr w:type="spellStart"/>
      <w:r w:rsidRPr="00CC3DB4">
        <w:t>BfArM</w:t>
      </w:r>
      <w:proofErr w:type="spellEnd"/>
      <w:r w:rsidRPr="00CC3DB4">
        <w:t xml:space="preserve">, 25 Jan </w:t>
      </w:r>
      <w:r w:rsidRPr="00026567">
        <w:t>2011</w:t>
      </w:r>
      <w:r w:rsidRPr="00CC3DB4">
        <w:t xml:space="preserve">. One specific aspect of the scientific advice from the </w:t>
      </w:r>
      <w:proofErr w:type="spellStart"/>
      <w:r w:rsidRPr="00CC3DB4">
        <w:t>BfArM</w:t>
      </w:r>
      <w:proofErr w:type="spellEnd"/>
      <w:r w:rsidRPr="00CC3DB4">
        <w:t xml:space="preserve"> on the RMP (informed consent) was followed up in the form of a Written Scientific Advice, 1 Sep 2011.</w:t>
      </w:r>
    </w:p>
    <w:p w:rsidR="00CC3DB4" w:rsidRPr="00CC3DB4" w:rsidRDefault="00CC3DB4" w:rsidP="00026567">
      <w:pPr>
        <w:pStyle w:val="ListBullet2"/>
      </w:pPr>
      <w:r w:rsidRPr="00CC3DB4">
        <w:t xml:space="preserve">The Netherlands: The </w:t>
      </w:r>
      <w:r w:rsidRPr="00026567">
        <w:t>Medicines</w:t>
      </w:r>
      <w:r w:rsidRPr="00CC3DB4">
        <w:t xml:space="preserve"> Eval</w:t>
      </w:r>
      <w:r w:rsidR="00026567">
        <w:t>uation Board (MEB), 27 Jan 2011</w:t>
      </w:r>
    </w:p>
    <w:p w:rsidR="00CC3DB4" w:rsidRPr="00CC3DB4" w:rsidRDefault="00026567" w:rsidP="00026567">
      <w:pPr>
        <w:pStyle w:val="ListBullet2"/>
      </w:pPr>
      <w:r>
        <w:t>UK: MHRA, 1 Feb 2011</w:t>
      </w:r>
    </w:p>
    <w:p w:rsidR="00CC3DB4" w:rsidRPr="00CC3DB4" w:rsidRDefault="00CC3DB4" w:rsidP="00026567">
      <w:pPr>
        <w:pStyle w:val="ListBullet2"/>
      </w:pPr>
      <w:r w:rsidRPr="00CC3DB4">
        <w:t xml:space="preserve">Swedish health </w:t>
      </w:r>
      <w:r w:rsidRPr="00026567">
        <w:t>authority</w:t>
      </w:r>
      <w:r w:rsidRPr="00CC3DB4">
        <w:t xml:space="preserve"> Aug 2011 to discuss and reach agreement on the content and organization of Bayer’s proposed marketing authorisation application in </w:t>
      </w:r>
      <w:proofErr w:type="spellStart"/>
      <w:r w:rsidRPr="00CC3DB4">
        <w:t>eCTD</w:t>
      </w:r>
      <w:proofErr w:type="spellEnd"/>
      <w:r w:rsidRPr="00CC3DB4">
        <w:t xml:space="preserve"> format.</w:t>
      </w:r>
    </w:p>
    <w:p w:rsidR="001357CA" w:rsidRDefault="007563F4" w:rsidP="00026567">
      <w:pPr>
        <w:spacing w:before="360" w:after="2040"/>
      </w:pPr>
      <w:r w:rsidRPr="007563F4">
        <w:rPr>
          <w:b/>
          <w:bCs/>
        </w:rPr>
        <w:t>[Information redacted]</w:t>
      </w:r>
    </w:p>
    <w:p w:rsidR="00586F98" w:rsidRDefault="00586F98" w:rsidP="00026567">
      <w:pPr>
        <w:pStyle w:val="Heading2"/>
      </w:pPr>
      <w:bookmarkStart w:id="21" w:name="_Toc380660785"/>
      <w:r>
        <w:t xml:space="preserve">Clinical </w:t>
      </w:r>
      <w:r w:rsidRPr="00026567">
        <w:t>rationale</w:t>
      </w:r>
      <w:bookmarkEnd w:id="21"/>
    </w:p>
    <w:p w:rsidR="00D73F89" w:rsidRPr="00CC3DB4" w:rsidRDefault="00D73F89" w:rsidP="00026567">
      <w:r w:rsidRPr="00CC3DB4">
        <w:t xml:space="preserve">LNG is one of the 19-nortestosterone </w:t>
      </w:r>
      <w:proofErr w:type="spellStart"/>
      <w:r w:rsidRPr="00CC3DB4">
        <w:t>progestins</w:t>
      </w:r>
      <w:proofErr w:type="spellEnd"/>
      <w:r w:rsidRPr="00CC3DB4">
        <w:t xml:space="preserve">. It is used worldwide as the progestin component in oral contraceptives, in hormonal replacement therapy, </w:t>
      </w:r>
      <w:proofErr w:type="spellStart"/>
      <w:r w:rsidRPr="00CC3DB4">
        <w:t>subdermal</w:t>
      </w:r>
      <w:proofErr w:type="spellEnd"/>
      <w:r w:rsidRPr="00CC3DB4">
        <w:t xml:space="preserve"> implants and intrauterine systems (IUS). </w:t>
      </w:r>
      <w:proofErr w:type="spellStart"/>
      <w:r w:rsidRPr="00CC3DB4">
        <w:t>Jaydess</w:t>
      </w:r>
      <w:proofErr w:type="spellEnd"/>
      <w:r w:rsidRPr="00CC3DB4">
        <w:t xml:space="preserve"> (LCS12) is a LNG-releasing intrauterine system (IUS) to be used for long-term contraception (up to three years). The dose of LNG released daily from the IUS results in tissue concentrations that make conditions unfavourable for pregnancy by making the endometrium relatively insensitive to circulating </w:t>
      </w:r>
      <w:proofErr w:type="spellStart"/>
      <w:r w:rsidRPr="00CC3DB4">
        <w:t>estradiol</w:t>
      </w:r>
      <w:proofErr w:type="spellEnd"/>
      <w:r w:rsidRPr="00CC3DB4">
        <w:t xml:space="preserve"> and thickening the cervical mucus preventing fertilization. There is also an inhibitory effect on ovulation which is clinically relevant at higher concentrations</w:t>
      </w:r>
      <w:r w:rsidR="00026567">
        <w:t xml:space="preserve"> than that achieved by </w:t>
      </w:r>
      <w:proofErr w:type="spellStart"/>
      <w:r w:rsidR="00026567">
        <w:t>Jaydess</w:t>
      </w:r>
      <w:proofErr w:type="spellEnd"/>
      <w:r w:rsidR="00026567">
        <w:t>.</w:t>
      </w:r>
    </w:p>
    <w:p w:rsidR="00D73F89" w:rsidRPr="00CC3DB4" w:rsidRDefault="00D73F89" w:rsidP="00026567">
      <w:r w:rsidRPr="00CC3DB4">
        <w:t xml:space="preserve">There is already a LNG intrauterine implant available </w:t>
      </w:r>
      <w:r w:rsidR="00DF5C3E">
        <w:t xml:space="preserve">for </w:t>
      </w:r>
      <w:r w:rsidRPr="00CC3DB4">
        <w:t>this indication (</w:t>
      </w:r>
      <w:proofErr w:type="spellStart"/>
      <w:r w:rsidRPr="00CC3DB4">
        <w:t>Mirena</w:t>
      </w:r>
      <w:proofErr w:type="spellEnd"/>
      <w:r w:rsidRPr="00CC3DB4">
        <w:t xml:space="preserve">). However compared with the </w:t>
      </w:r>
      <w:proofErr w:type="spellStart"/>
      <w:r w:rsidRPr="00CC3DB4">
        <w:t>Mirena</w:t>
      </w:r>
      <w:proofErr w:type="spellEnd"/>
      <w:r w:rsidRPr="00CC3DB4">
        <w:t xml:space="preserve"> duration of five years, LCS12 was developed to provide contraceptive protection for a shorter period of time - up to three years, with both a lower daily release rate of LNG and a smaller size of the system (smaller insertion tube diameter and T-frame) than </w:t>
      </w:r>
      <w:proofErr w:type="spellStart"/>
      <w:r w:rsidRPr="00CC3DB4">
        <w:t>Mirena</w:t>
      </w:r>
      <w:proofErr w:type="spellEnd"/>
      <w:r w:rsidRPr="00CC3DB4">
        <w:t>. This aims to ensure easier and more acceptable in</w:t>
      </w:r>
      <w:r w:rsidR="00863776">
        <w:t>sertion for nulliparous women.</w:t>
      </w:r>
    </w:p>
    <w:p w:rsidR="00D73F89" w:rsidRPr="00D73F89" w:rsidRDefault="00D73F89" w:rsidP="00026567">
      <w:pPr>
        <w:pStyle w:val="Heading3"/>
      </w:pPr>
      <w:bookmarkStart w:id="22" w:name="_Toc272414609"/>
      <w:bookmarkStart w:id="23" w:name="_Toc290846231"/>
      <w:bookmarkStart w:id="24" w:name="_Toc290888768"/>
      <w:bookmarkStart w:id="25" w:name="_Toc380660786"/>
      <w:r w:rsidRPr="00D73F89">
        <w:t>Guidance</w:t>
      </w:r>
      <w:bookmarkEnd w:id="22"/>
      <w:bookmarkEnd w:id="23"/>
      <w:bookmarkEnd w:id="24"/>
      <w:bookmarkEnd w:id="25"/>
    </w:p>
    <w:p w:rsidR="00D73F89" w:rsidRPr="00CC3DB4" w:rsidRDefault="00D73F89" w:rsidP="00026567">
      <w:r w:rsidRPr="00CC3DB4">
        <w:t xml:space="preserve">The clinical development program of LCS12 is considered adequate to satisfy the requirements of the CHMP </w:t>
      </w:r>
      <w:r w:rsidRPr="00CC3DB4">
        <w:rPr>
          <w:i/>
          <w:iCs/>
        </w:rPr>
        <w:t>‘Guideline on Clinical Investigation of Steroid Contraceptives in Women’</w:t>
      </w:r>
      <w:r w:rsidR="00026567">
        <w:t xml:space="preserve"> (EMEA 2005) &lt;</w:t>
      </w:r>
      <w:hyperlink r:id="rId15" w:history="1">
        <w:r w:rsidRPr="00CC3DB4">
          <w:rPr>
            <w:rStyle w:val="Hyperlink"/>
          </w:rPr>
          <w:t>http://www.emea.europa.eu/docs/en_GB/document_library/Scientific_guideline/2009/09/WC500003349.pdf</w:t>
        </w:r>
      </w:hyperlink>
      <w:r w:rsidR="00026567">
        <w:t xml:space="preserve">&gt; </w:t>
      </w:r>
      <w:r w:rsidRPr="00CC3DB4">
        <w:t>(accessed December 15, 2012).</w:t>
      </w:r>
    </w:p>
    <w:p w:rsidR="00D73F89" w:rsidRPr="00CC3DB4" w:rsidRDefault="00D73F89" w:rsidP="00026567">
      <w:r w:rsidRPr="00CC3DB4">
        <w:rPr>
          <w:i/>
          <w:iCs/>
        </w:rPr>
        <w:t>Paediatric guidance</w:t>
      </w:r>
      <w:r w:rsidRPr="00CC3DB4">
        <w:t>: A paediatric investigation plan (PIP) (EMEA-000606-PIP01-09) is in place for LCS12 (</w:t>
      </w:r>
      <w:proofErr w:type="spellStart"/>
      <w:r w:rsidRPr="00CC3DB4">
        <w:t>Jaydess</w:t>
      </w:r>
      <w:proofErr w:type="spellEnd"/>
      <w:r w:rsidRPr="00CC3DB4">
        <w:t xml:space="preserve">) </w:t>
      </w:r>
      <w:r w:rsidRPr="00CB3A21">
        <w:t xml:space="preserve">that </w:t>
      </w:r>
      <w:r w:rsidR="00CB3A21" w:rsidRPr="00CB3A21">
        <w:t>fulfils</w:t>
      </w:r>
      <w:r w:rsidRPr="00CB3A21">
        <w:t xml:space="preserve"> the</w:t>
      </w:r>
      <w:r w:rsidRPr="00CC3DB4">
        <w:t xml:space="preserve"> </w:t>
      </w:r>
      <w:r w:rsidR="00590069">
        <w:t xml:space="preserve">[EMA] </w:t>
      </w:r>
      <w:r w:rsidRPr="00CC3DB4">
        <w:t xml:space="preserve">conditions of Article 30 of Regulation (EC) 1901/2006. </w:t>
      </w:r>
      <w:r w:rsidRPr="00CC3DB4">
        <w:lastRenderedPageBreak/>
        <w:t xml:space="preserve">This PIP could potentially provide the basis for a </w:t>
      </w:r>
      <w:proofErr w:type="spellStart"/>
      <w:r w:rsidRPr="00CC3DB4">
        <w:t>Pediatric</w:t>
      </w:r>
      <w:proofErr w:type="spellEnd"/>
      <w:r w:rsidRPr="00CC3DB4">
        <w:t xml:space="preserve"> Use Marketing Authorization (PUMA) but is not required for this application as the intended use of this product is not for children.</w:t>
      </w:r>
    </w:p>
    <w:p w:rsidR="00586F98" w:rsidRDefault="00586F98" w:rsidP="00026567">
      <w:pPr>
        <w:pStyle w:val="Heading2"/>
        <w:rPr>
          <w:lang w:eastAsia="en-AU"/>
        </w:rPr>
      </w:pPr>
      <w:bookmarkStart w:id="26" w:name="_Toc380660787"/>
      <w:r>
        <w:rPr>
          <w:lang w:eastAsia="en-AU"/>
        </w:rPr>
        <w:t xml:space="preserve">Contents of the </w:t>
      </w:r>
      <w:r w:rsidRPr="00026567">
        <w:t>clinical</w:t>
      </w:r>
      <w:r>
        <w:rPr>
          <w:lang w:eastAsia="en-AU"/>
        </w:rPr>
        <w:t xml:space="preserve"> dossier</w:t>
      </w:r>
      <w:bookmarkEnd w:id="7"/>
      <w:bookmarkEnd w:id="8"/>
      <w:bookmarkEnd w:id="26"/>
    </w:p>
    <w:p w:rsidR="00586F98" w:rsidRPr="00BF5474" w:rsidRDefault="00586F98" w:rsidP="00026567">
      <w:pPr>
        <w:pStyle w:val="Heading3"/>
      </w:pPr>
      <w:bookmarkStart w:id="27" w:name="_Toc380660788"/>
      <w:r w:rsidRPr="00BF5474">
        <w:t xml:space="preserve">Scope of the clinical </w:t>
      </w:r>
      <w:r w:rsidRPr="00026567">
        <w:t>dossier</w:t>
      </w:r>
      <w:bookmarkEnd w:id="27"/>
    </w:p>
    <w:p w:rsidR="00D73F89" w:rsidRPr="00D73F89" w:rsidRDefault="00D73F89" w:rsidP="00026567">
      <w:pPr>
        <w:rPr>
          <w:lang w:eastAsia="ja-JP"/>
        </w:rPr>
      </w:pPr>
      <w:r w:rsidRPr="00D73F89">
        <w:rPr>
          <w:lang w:eastAsia="ja-JP"/>
        </w:rPr>
        <w:t>The submission contained the following clinical information:</w:t>
      </w:r>
    </w:p>
    <w:p w:rsidR="00D73F89" w:rsidRPr="00026567" w:rsidRDefault="00D73F89" w:rsidP="00026567">
      <w:pPr>
        <w:pStyle w:val="ListBullet"/>
        <w:rPr>
          <w:b/>
        </w:rPr>
      </w:pPr>
      <w:r w:rsidRPr="00026567">
        <w:rPr>
          <w:b/>
        </w:rPr>
        <w:t>Module 1</w:t>
      </w:r>
    </w:p>
    <w:p w:rsidR="00D73F89" w:rsidRPr="00CC3DB4" w:rsidRDefault="00D73F89" w:rsidP="00026567">
      <w:r w:rsidRPr="00CC3DB4">
        <w:t xml:space="preserve">Letter of application, administrative information and prescribing information, certification in relation to patents, provisional records summary, application form, proposed Australian Product Information and package insert, information about the experts – quality, clinical, </w:t>
      </w:r>
      <w:proofErr w:type="spellStart"/>
      <w:r w:rsidRPr="00CC3DB4">
        <w:t>non clinical</w:t>
      </w:r>
      <w:proofErr w:type="spellEnd"/>
      <w:r w:rsidRPr="00CC3DB4">
        <w:t xml:space="preserve">; GMP clearance letters for all overseas manufacturing sites, declaration of compliance with pre-submission planning form and planning letter, statement on availability of individual patient data, data-set similarities and differences, information on overseas regulatory studies, justification for not providing appropriate </w:t>
      </w:r>
      <w:proofErr w:type="spellStart"/>
      <w:r w:rsidRPr="00CC3DB4">
        <w:t>biopharmaceutic</w:t>
      </w:r>
      <w:proofErr w:type="spellEnd"/>
      <w:r w:rsidRPr="00CC3DB4">
        <w:t xml:space="preserve"> studies, references to paediatric development program, EU Risk Management Plan</w:t>
      </w:r>
      <w:r w:rsidR="00026567">
        <w:t>.</w:t>
      </w:r>
    </w:p>
    <w:p w:rsidR="00D73F89" w:rsidRPr="00026567" w:rsidRDefault="00D73F89" w:rsidP="00026567">
      <w:pPr>
        <w:pStyle w:val="ListBullet"/>
        <w:rPr>
          <w:b/>
        </w:rPr>
      </w:pPr>
      <w:r w:rsidRPr="00026567">
        <w:rPr>
          <w:b/>
        </w:rPr>
        <w:t>Module 2</w:t>
      </w:r>
    </w:p>
    <w:p w:rsidR="00D73F89" w:rsidRPr="00CC3DB4" w:rsidRDefault="00D73F89" w:rsidP="00026567">
      <w:r w:rsidRPr="00CC3DB4">
        <w:t xml:space="preserve">Introduction, Quality Overall Summary (Appendices, Pharmaceutical Documentation, Introduction to the Quality Overall Summary, Quality Overall Summary on the Pharmaceutical Documentation Module), non-clinical overview, clinical overview, </w:t>
      </w:r>
      <w:proofErr w:type="spellStart"/>
      <w:r w:rsidRPr="00CC3DB4">
        <w:t>non clinical</w:t>
      </w:r>
      <w:proofErr w:type="spellEnd"/>
      <w:r w:rsidRPr="00CC3DB4">
        <w:t xml:space="preserve"> summary, pharmacokinetics tabulated summary, toxicology tabulated summary, toxicology written summary and Table of Contents</w:t>
      </w:r>
      <w:r w:rsidR="00026567">
        <w:t>.</w:t>
      </w:r>
    </w:p>
    <w:p w:rsidR="00D73F89" w:rsidRPr="00026567" w:rsidRDefault="00026567" w:rsidP="00026567">
      <w:pPr>
        <w:pStyle w:val="ListBullet"/>
        <w:rPr>
          <w:b/>
        </w:rPr>
      </w:pPr>
      <w:r w:rsidRPr="00026567">
        <w:rPr>
          <w:b/>
        </w:rPr>
        <w:t>Module 5</w:t>
      </w:r>
    </w:p>
    <w:p w:rsidR="00D73F89" w:rsidRPr="00CC3DB4" w:rsidRDefault="00D73F89" w:rsidP="00026567">
      <w:pPr>
        <w:pStyle w:val="ListBullet2"/>
      </w:pPr>
      <w:r w:rsidRPr="00CC3DB4">
        <w:t xml:space="preserve">2 Reports of Biopharmaceutical Studies – </w:t>
      </w:r>
      <w:r w:rsidR="00590069" w:rsidRPr="00590069">
        <w:rPr>
          <w:i/>
          <w:iCs/>
        </w:rPr>
        <w:t>In vitro</w:t>
      </w:r>
      <w:r w:rsidRPr="00CC3DB4">
        <w:t>–</w:t>
      </w:r>
      <w:r w:rsidR="00590069" w:rsidRPr="00590069">
        <w:rPr>
          <w:i/>
          <w:iCs/>
        </w:rPr>
        <w:t>In vivo</w:t>
      </w:r>
      <w:r w:rsidRPr="00CC3DB4">
        <w:t xml:space="preserve"> Correlation Study Reports</w:t>
      </w:r>
    </w:p>
    <w:p w:rsidR="00D73F89" w:rsidRPr="00CC3DB4" w:rsidRDefault="00D73F89" w:rsidP="00026567">
      <w:pPr>
        <w:pStyle w:val="ListBullet2"/>
      </w:pPr>
      <w:r w:rsidRPr="00CC3DB4">
        <w:t>12 Reports of Biopharmaceutical Studies –</w:t>
      </w:r>
      <w:proofErr w:type="spellStart"/>
      <w:r w:rsidRPr="00CC3DB4">
        <w:t>Bioanalytical</w:t>
      </w:r>
      <w:proofErr w:type="spellEnd"/>
      <w:r w:rsidRPr="00CC3DB4">
        <w:t xml:space="preserve"> and Analytical Methods for Human Subjects</w:t>
      </w:r>
    </w:p>
    <w:p w:rsidR="00D73F89" w:rsidRPr="00CC3DB4" w:rsidRDefault="00D73F89" w:rsidP="00026567">
      <w:pPr>
        <w:pStyle w:val="ListBullet2"/>
      </w:pPr>
      <w:r w:rsidRPr="00CC3DB4">
        <w:t>2 studies pertinent to pharmacokinetics Using Human Biomaterials – Plasma Protein Binding Study Report and Hepatic Metabolism and Drug Interaction Study</w:t>
      </w:r>
    </w:p>
    <w:p w:rsidR="00D73F89" w:rsidRPr="00CC3DB4" w:rsidRDefault="00D73F89" w:rsidP="00026567">
      <w:pPr>
        <w:pStyle w:val="ListBullet2"/>
      </w:pPr>
      <w:r w:rsidRPr="00CC3DB4">
        <w:t>2 Reports of Human Pharmacokinetic Studies – Healthy Subject PK and Initial Tolerability Study and Patient PK and Initial Tolerability Study Reports</w:t>
      </w:r>
    </w:p>
    <w:p w:rsidR="00D73F89" w:rsidRPr="00CC3DB4" w:rsidRDefault="00D73F89" w:rsidP="00026567">
      <w:pPr>
        <w:pStyle w:val="ListBullet2"/>
      </w:pPr>
      <w:r w:rsidRPr="00CC3DB4">
        <w:t>3 Reports of Human Pharmacokinetic Studies – Population PK Study Reports</w:t>
      </w:r>
    </w:p>
    <w:p w:rsidR="00D73F89" w:rsidRPr="00CC3DB4" w:rsidRDefault="00D73F89" w:rsidP="00026567">
      <w:pPr>
        <w:pStyle w:val="ListBullet2"/>
      </w:pPr>
      <w:r w:rsidRPr="00CC3DB4">
        <w:t>2 Report of Efficacy and Safety Studies – Controlled Clinical Studies Pertinent to the Indication and Uncontrolled Clinical Stud</w:t>
      </w:r>
      <w:r w:rsidR="00026567">
        <w:t>ies Pertinent to the Indication</w:t>
      </w:r>
    </w:p>
    <w:p w:rsidR="00D73F89" w:rsidRPr="00CC3DB4" w:rsidRDefault="00D73F89" w:rsidP="00026567">
      <w:pPr>
        <w:pStyle w:val="ListBullet2"/>
      </w:pPr>
      <w:r w:rsidRPr="00CC3DB4">
        <w:t>7 Other Study Reports/Protocols</w:t>
      </w:r>
    </w:p>
    <w:p w:rsidR="00586F98" w:rsidRDefault="00586F98" w:rsidP="00C57CBC">
      <w:pPr>
        <w:pStyle w:val="Heading3"/>
      </w:pPr>
      <w:bookmarkStart w:id="28" w:name="_Toc380660789"/>
      <w:r>
        <w:t>Paediatric data</w:t>
      </w:r>
      <w:bookmarkEnd w:id="28"/>
    </w:p>
    <w:p w:rsidR="00D73F89" w:rsidRPr="00CB3A21" w:rsidRDefault="00D73F89" w:rsidP="00C57CBC">
      <w:r w:rsidRPr="00CB3A21">
        <w:t>The PI proposes use in age 18 and over</w:t>
      </w:r>
      <w:r w:rsidR="00C57CBC">
        <w:t>.</w:t>
      </w:r>
    </w:p>
    <w:p w:rsidR="00586F98" w:rsidRDefault="00586F98" w:rsidP="00C57CBC">
      <w:pPr>
        <w:pStyle w:val="Heading3"/>
      </w:pPr>
      <w:bookmarkStart w:id="29" w:name="_Toc380660790"/>
      <w:r>
        <w:t>Good clinical practice</w:t>
      </w:r>
      <w:bookmarkEnd w:id="29"/>
    </w:p>
    <w:p w:rsidR="001357CA" w:rsidRPr="00C57CBC" w:rsidRDefault="001357CA" w:rsidP="00C57CBC">
      <w:pPr>
        <w:spacing w:after="480"/>
        <w:rPr>
          <w:b/>
          <w:lang w:eastAsia="ja-JP"/>
        </w:rPr>
      </w:pPr>
      <w:bookmarkStart w:id="30" w:name="_Toc241374282"/>
      <w:r w:rsidRPr="00C57CBC">
        <w:rPr>
          <w:b/>
          <w:lang w:eastAsia="ja-JP"/>
        </w:rPr>
        <w:t>[Information redacted]</w:t>
      </w:r>
    </w:p>
    <w:p w:rsidR="00D73F89" w:rsidRPr="00590069" w:rsidRDefault="00D73F89" w:rsidP="00C57CBC">
      <w:r w:rsidRPr="00590069">
        <w:lastRenderedPageBreak/>
        <w:t>The pivotal and supporting clinical studies A46796 and A52238 are in line with international guidelines on the development of steroid contraceptives in women (1) and have been discussed with several health authorities in Europe and the US Food</w:t>
      </w:r>
      <w:r w:rsidR="00C57CBC">
        <w:t xml:space="preserve"> and Drug Administration (FDA).</w:t>
      </w:r>
    </w:p>
    <w:p w:rsidR="00D73F89" w:rsidRPr="00590069" w:rsidRDefault="00D73F89" w:rsidP="00C57CBC">
      <w:r w:rsidRPr="00590069">
        <w:t xml:space="preserve">The documentation provided in the submission shows that all clinical studies performed in the framework of this submission were or are being conducted in accordance with the International Conference on Harmonization (ICH) Good Clinical Practice, the principles of the Declaration of Helsinki, and all applicable national regulations valid at the time the studies were performed. The protocols and protocol amendments were reviewed and approved by Independent Ethics Committees </w:t>
      </w:r>
      <w:r w:rsidR="00C57CBC">
        <w:t>or Institutional Review Boards.</w:t>
      </w:r>
    </w:p>
    <w:p w:rsidR="00D73F89" w:rsidRPr="00590069" w:rsidRDefault="00D73F89" w:rsidP="00C57CBC">
      <w:r w:rsidRPr="00590069">
        <w:t>Additionally it should be noted that because the product consists of various different plastic materials as well as an active drug, the nonclinical testing strategy for LCS12 (</w:t>
      </w:r>
      <w:proofErr w:type="spellStart"/>
      <w:r w:rsidRPr="00590069">
        <w:t>Jaydess</w:t>
      </w:r>
      <w:proofErr w:type="spellEnd"/>
      <w:r w:rsidRPr="00590069">
        <w:t>) considered both the conventional drug development regulatory requirements as well as those applicable for development of medical devices.</w:t>
      </w:r>
    </w:p>
    <w:p w:rsidR="00586F98" w:rsidRDefault="00586F98" w:rsidP="00C57CBC">
      <w:pPr>
        <w:pStyle w:val="Heading2"/>
      </w:pPr>
      <w:bookmarkStart w:id="31" w:name="_Toc355338639"/>
      <w:bookmarkStart w:id="32" w:name="_Toc380660791"/>
      <w:bookmarkEnd w:id="30"/>
      <w:r>
        <w:t>Pharmacokinetics</w:t>
      </w:r>
      <w:bookmarkEnd w:id="31"/>
      <w:bookmarkEnd w:id="32"/>
    </w:p>
    <w:p w:rsidR="00D73F89" w:rsidRPr="00CB3A21" w:rsidRDefault="00D73F89" w:rsidP="001466A1">
      <w:pPr>
        <w:pStyle w:val="Heading3"/>
      </w:pPr>
      <w:bookmarkStart w:id="33" w:name="_Ref271017296"/>
      <w:bookmarkStart w:id="34" w:name="_Ref271018924"/>
      <w:bookmarkStart w:id="35" w:name="_Ref271018934"/>
      <w:bookmarkStart w:id="36" w:name="_Toc272414614"/>
      <w:bookmarkStart w:id="37" w:name="_Toc290846238"/>
      <w:bookmarkStart w:id="38" w:name="_Toc290888775"/>
      <w:bookmarkStart w:id="39" w:name="_Toc343587548"/>
      <w:bookmarkStart w:id="40" w:name="_Toc219998378"/>
      <w:bookmarkStart w:id="41" w:name="_Toc219998482"/>
      <w:bookmarkStart w:id="42" w:name="_Toc219998897"/>
      <w:bookmarkStart w:id="43" w:name="_Toc219999000"/>
      <w:bookmarkStart w:id="44" w:name="_Toc219999101"/>
      <w:bookmarkStart w:id="45" w:name="_Toc229197916"/>
      <w:bookmarkStart w:id="46" w:name="_Toc380660792"/>
      <w:r w:rsidRPr="00CB3A21">
        <w:t>Studies</w:t>
      </w:r>
      <w:bookmarkEnd w:id="33"/>
      <w:bookmarkEnd w:id="34"/>
      <w:bookmarkEnd w:id="35"/>
      <w:r w:rsidRPr="00CB3A21">
        <w:t xml:space="preserve"> providing </w:t>
      </w:r>
      <w:r w:rsidRPr="001466A1">
        <w:t>pharmacokinetic</w:t>
      </w:r>
      <w:r w:rsidRPr="00CB3A21">
        <w:t xml:space="preserve"> data</w:t>
      </w:r>
      <w:bookmarkEnd w:id="36"/>
      <w:bookmarkEnd w:id="37"/>
      <w:bookmarkEnd w:id="38"/>
      <w:bookmarkEnd w:id="39"/>
      <w:bookmarkEnd w:id="40"/>
      <w:bookmarkEnd w:id="41"/>
      <w:bookmarkEnd w:id="42"/>
      <w:bookmarkEnd w:id="43"/>
      <w:bookmarkEnd w:id="44"/>
      <w:bookmarkEnd w:id="45"/>
      <w:bookmarkEnd w:id="46"/>
    </w:p>
    <w:p w:rsidR="00D73F89" w:rsidRPr="00590069" w:rsidRDefault="00D73F89" w:rsidP="001466A1">
      <w:bookmarkStart w:id="47" w:name="_Ref272426277"/>
      <w:r w:rsidRPr="00590069">
        <w:t>Two doses of low dose LNG - LCS12 (</w:t>
      </w:r>
      <w:proofErr w:type="spellStart"/>
      <w:r w:rsidRPr="00590069">
        <w:t>Jaydess</w:t>
      </w:r>
      <w:proofErr w:type="spellEnd"/>
      <w:r w:rsidRPr="00590069">
        <w:t>) and LCS16 were investigated in a Phase 2 and a 3 study. The formulations of these doses were very similar</w:t>
      </w:r>
      <w:r w:rsidR="00CB3A21" w:rsidRPr="00590069">
        <w:t>.</w:t>
      </w:r>
    </w:p>
    <w:p w:rsidR="00D73F89" w:rsidRPr="00CB3A21" w:rsidRDefault="00D73F89" w:rsidP="001466A1">
      <w:pPr>
        <w:pStyle w:val="Heading4"/>
      </w:pPr>
      <w:r w:rsidRPr="00CB3A21">
        <w:t xml:space="preserve">Models and </w:t>
      </w:r>
      <w:r w:rsidRPr="001466A1">
        <w:t>simulation</w:t>
      </w:r>
      <w:r w:rsidRPr="00CB3A21">
        <w:t xml:space="preserve"> PK studies (IVIVC model development)</w:t>
      </w:r>
    </w:p>
    <w:p w:rsidR="00D73F89" w:rsidRPr="00CB3A21" w:rsidRDefault="00D73F89" w:rsidP="001466A1">
      <w:r w:rsidRPr="00CB3A21">
        <w:t xml:space="preserve">As LCS12 and LCS16 are used for a long period of time (3 years), a short-term standard bioavailability study to characterize the formulations was difficult. Instead an </w:t>
      </w:r>
      <w:r w:rsidR="00590069" w:rsidRPr="00590069">
        <w:rPr>
          <w:i/>
          <w:iCs/>
        </w:rPr>
        <w:t>in vitro</w:t>
      </w:r>
      <w:r w:rsidRPr="00CB3A21">
        <w:t xml:space="preserve"> dissolution method was developed to describe the </w:t>
      </w:r>
      <w:r w:rsidR="00590069" w:rsidRPr="00590069">
        <w:rPr>
          <w:i/>
          <w:iCs/>
        </w:rPr>
        <w:t>in vivo</w:t>
      </w:r>
      <w:r w:rsidRPr="00CB3A21">
        <w:t xml:space="preserve"> behaviour of LCS12 and LCS16 over the anticipated time of IUS use. The long-term </w:t>
      </w:r>
      <w:r w:rsidR="00590069" w:rsidRPr="00590069">
        <w:rPr>
          <w:i/>
          <w:iCs/>
        </w:rPr>
        <w:t>in vitro</w:t>
      </w:r>
      <w:r w:rsidRPr="00CB3A21">
        <w:t xml:space="preserve"> dissolution data was from the same batches that were used in the clinical phase 2 </w:t>
      </w:r>
      <w:proofErr w:type="gramStart"/>
      <w:r w:rsidRPr="00CB3A21">
        <w:t>study</w:t>
      </w:r>
      <w:proofErr w:type="gramEnd"/>
      <w:r w:rsidRPr="00CB3A21">
        <w:t xml:space="preserve"> A46796 and the phase 3 study A52238. This </w:t>
      </w:r>
      <w:r w:rsidR="00590069" w:rsidRPr="00590069">
        <w:rPr>
          <w:i/>
          <w:iCs/>
        </w:rPr>
        <w:t>in vitro</w:t>
      </w:r>
      <w:r w:rsidRPr="00CB3A21">
        <w:t xml:space="preserve"> dissolution testing of </w:t>
      </w:r>
      <w:proofErr w:type="spellStart"/>
      <w:r w:rsidRPr="00CB3A21">
        <w:t>Jaydess</w:t>
      </w:r>
      <w:proofErr w:type="spellEnd"/>
      <w:r w:rsidRPr="00CB3A21">
        <w:t xml:space="preserve"> used in the clinical studies revealed a fast decline in rate of release during the first four weeks </w:t>
      </w:r>
      <w:proofErr w:type="gramStart"/>
      <w:r w:rsidRPr="00CB3A21">
        <w:t xml:space="preserve">from approximately 25 </w:t>
      </w:r>
      <w:proofErr w:type="spellStart"/>
      <w:r w:rsidRPr="00CB3A21">
        <w:t>μg</w:t>
      </w:r>
      <w:proofErr w:type="spellEnd"/>
      <w:r w:rsidRPr="00CB3A21">
        <w:t xml:space="preserve">/day around day 2-14 </w:t>
      </w:r>
      <w:proofErr w:type="spellStart"/>
      <w:r w:rsidRPr="00CB3A21">
        <w:t>μg</w:t>
      </w:r>
      <w:proofErr w:type="spellEnd"/>
      <w:r w:rsidRPr="00CB3A21">
        <w:t>/day</w:t>
      </w:r>
      <w:proofErr w:type="gramEnd"/>
      <w:r w:rsidRPr="00CB3A21">
        <w:t xml:space="preserve"> for the sampling period days 5-11, and 12 </w:t>
      </w:r>
      <w:proofErr w:type="spellStart"/>
      <w:r w:rsidRPr="00CB3A21">
        <w:t>μg</w:t>
      </w:r>
      <w:proofErr w:type="spellEnd"/>
      <w:r w:rsidRPr="00CB3A21">
        <w:t xml:space="preserve">/day for the sampling period days 19-25. 6 months later the </w:t>
      </w:r>
      <w:r w:rsidR="00590069" w:rsidRPr="00590069">
        <w:rPr>
          <w:i/>
          <w:iCs/>
        </w:rPr>
        <w:t>in vitro</w:t>
      </w:r>
      <w:r w:rsidRPr="00CB3A21">
        <w:t xml:space="preserve"> release rate was </w:t>
      </w:r>
      <w:proofErr w:type="gramStart"/>
      <w:r w:rsidRPr="00CB3A21">
        <w:t xml:space="preserve">around 8 </w:t>
      </w:r>
      <w:proofErr w:type="spellStart"/>
      <w:r w:rsidRPr="00CB3A21">
        <w:t>μg</w:t>
      </w:r>
      <w:proofErr w:type="spellEnd"/>
      <w:r w:rsidRPr="00CB3A21">
        <w:t>/day</w:t>
      </w:r>
      <w:proofErr w:type="gramEnd"/>
      <w:r w:rsidRPr="00CB3A21">
        <w:t xml:space="preserve"> and declined to around 5 </w:t>
      </w:r>
      <w:proofErr w:type="spellStart"/>
      <w:r w:rsidRPr="00CB3A21">
        <w:t>μg</w:t>
      </w:r>
      <w:proofErr w:type="spellEnd"/>
      <w:r w:rsidRPr="00CB3A21">
        <w:t>/day at the end of year 3.</w:t>
      </w:r>
    </w:p>
    <w:p w:rsidR="00D73F89" w:rsidRDefault="00D73F89" w:rsidP="001466A1">
      <w:r w:rsidRPr="00CB3A21">
        <w:t xml:space="preserve">The </w:t>
      </w:r>
      <w:r w:rsidR="00590069" w:rsidRPr="00590069">
        <w:rPr>
          <w:i/>
          <w:iCs/>
        </w:rPr>
        <w:t>in vivo</w:t>
      </w:r>
      <w:r w:rsidRPr="00CB3A21">
        <w:t xml:space="preserve"> release rate was determined by this </w:t>
      </w:r>
      <w:r w:rsidR="00590069" w:rsidRPr="00590069">
        <w:rPr>
          <w:i/>
          <w:iCs/>
        </w:rPr>
        <w:t>in vitro</w:t>
      </w:r>
      <w:r w:rsidRPr="00CB3A21">
        <w:t xml:space="preserve"> dissolution data and analysis of the </w:t>
      </w:r>
      <w:r w:rsidRPr="00590069">
        <w:rPr>
          <w:i/>
          <w:iCs/>
        </w:rPr>
        <w:t>ex vivo</w:t>
      </w:r>
      <w:r w:rsidRPr="00CB3A21">
        <w:t xml:space="preserve"> residual content of LNG in </w:t>
      </w:r>
      <w:proofErr w:type="spellStart"/>
      <w:r w:rsidRPr="00CB3A21">
        <w:t>Jaydess</w:t>
      </w:r>
      <w:proofErr w:type="spellEnd"/>
      <w:r w:rsidRPr="00CB3A21">
        <w:t xml:space="preserve"> samples taken from women who prematurely discontinued the study or finished the study as planned after approximately 3 years in two clinical trials. About 100 </w:t>
      </w:r>
      <w:r w:rsidRPr="00590069">
        <w:rPr>
          <w:i/>
          <w:iCs/>
        </w:rPr>
        <w:t>ex vivo</w:t>
      </w:r>
      <w:r w:rsidRPr="00CB3A21">
        <w:t xml:space="preserve"> samples of </w:t>
      </w:r>
      <w:proofErr w:type="spellStart"/>
      <w:r w:rsidRPr="00CB3A21">
        <w:t>Jaydess</w:t>
      </w:r>
      <w:proofErr w:type="spellEnd"/>
      <w:r w:rsidRPr="00CB3A21">
        <w:t xml:space="preserve"> were analysed from the Phase 2 study and about 800 samples from the Phase 3. The biopharmaceutical characterisation of </w:t>
      </w:r>
      <w:proofErr w:type="spellStart"/>
      <w:r w:rsidRPr="00CB3A21">
        <w:t>Jaydess</w:t>
      </w:r>
      <w:proofErr w:type="spellEnd"/>
      <w:r w:rsidRPr="00CB3A21">
        <w:t xml:space="preserve"> was focused on </w:t>
      </w:r>
      <w:r w:rsidR="00590069" w:rsidRPr="00590069">
        <w:rPr>
          <w:i/>
          <w:iCs/>
        </w:rPr>
        <w:t>in vitro</w:t>
      </w:r>
      <w:r w:rsidRPr="00CB3A21">
        <w:t xml:space="preserve"> data obtained over the intended period of use and on </w:t>
      </w:r>
      <w:r w:rsidRPr="00590069">
        <w:rPr>
          <w:i/>
          <w:iCs/>
        </w:rPr>
        <w:t>ex vivo</w:t>
      </w:r>
      <w:r w:rsidRPr="00CB3A21">
        <w:t xml:space="preserve"> residual content analyses, to provide information on local LNG release rates concentrations (as opposed to serum LNG concentrations).Although the FDA and CHMP Guidance discuss requirements for non-intrauterine dosage forms only, these FDA/CHMP Guidelines were used for development and v</w:t>
      </w:r>
      <w:r w:rsidR="001466A1">
        <w:t>alidation of an IVIVC for LCS.</w:t>
      </w:r>
    </w:p>
    <w:p w:rsidR="00590069" w:rsidRPr="00CB3A21" w:rsidRDefault="00590069" w:rsidP="001466A1">
      <w:pPr>
        <w:pStyle w:val="TableTitle"/>
      </w:pPr>
      <w:proofErr w:type="gramStart"/>
      <w:r>
        <w:t>Table 1.</w:t>
      </w:r>
      <w:proofErr w:type="gramEnd"/>
      <w:r>
        <w:t xml:space="preserve"> </w:t>
      </w:r>
      <w:r w:rsidRPr="00467CA9">
        <w:t xml:space="preserve">Calculated </w:t>
      </w:r>
      <w:r w:rsidRPr="00590069">
        <w:rPr>
          <w:i/>
          <w:iCs/>
        </w:rPr>
        <w:t>in vivo</w:t>
      </w:r>
      <w:r w:rsidRPr="00467CA9">
        <w:t xml:space="preserve"> release rates of LNG [</w:t>
      </w:r>
      <w:r w:rsidR="00EA18CD">
        <w:t>µ</w:t>
      </w:r>
      <w:r w:rsidRPr="00467CA9">
        <w:t>g/d</w:t>
      </w:r>
      <w:r>
        <w:t>ay</w:t>
      </w:r>
      <w:r w:rsidRPr="00467CA9">
        <w:t xml:space="preserve">] </w:t>
      </w:r>
    </w:p>
    <w:tbl>
      <w:tblPr>
        <w:tblStyle w:val="TableTGAblue"/>
        <w:tblW w:w="8789" w:type="dxa"/>
        <w:tblLayout w:type="fixed"/>
        <w:tblLook w:val="0620" w:firstRow="1" w:lastRow="0" w:firstColumn="0" w:lastColumn="0" w:noHBand="1" w:noVBand="1"/>
      </w:tblPr>
      <w:tblGrid>
        <w:gridCol w:w="5103"/>
        <w:gridCol w:w="3686"/>
      </w:tblGrid>
      <w:tr w:rsidR="00D73F89" w:rsidRPr="00467CA9" w:rsidTr="001466A1">
        <w:trPr>
          <w:cnfStyle w:val="100000000000" w:firstRow="1" w:lastRow="0" w:firstColumn="0" w:lastColumn="0" w:oddVBand="0" w:evenVBand="0" w:oddHBand="0" w:evenHBand="0" w:firstRowFirstColumn="0" w:firstRowLastColumn="0" w:lastRowFirstColumn="0" w:lastRowLastColumn="0"/>
          <w:trHeight w:val="368"/>
          <w:tblHeader/>
        </w:trPr>
        <w:tc>
          <w:tcPr>
            <w:tcW w:w="8789" w:type="dxa"/>
            <w:gridSpan w:val="2"/>
          </w:tcPr>
          <w:p w:rsidR="00D73F89" w:rsidRPr="00467CA9" w:rsidRDefault="00590069" w:rsidP="001466A1">
            <w:pPr>
              <w:ind w:left="0" w:right="0"/>
            </w:pPr>
            <w:r w:rsidRPr="00590069">
              <w:t xml:space="preserve">Calculated </w:t>
            </w:r>
            <w:r w:rsidRPr="00590069">
              <w:rPr>
                <w:i/>
                <w:iCs/>
              </w:rPr>
              <w:t>in vivo</w:t>
            </w:r>
            <w:r w:rsidRPr="00590069">
              <w:t xml:space="preserve"> release rates of LNG [</w:t>
            </w:r>
            <w:proofErr w:type="spellStart"/>
            <w:r w:rsidRPr="00590069">
              <w:t>μg</w:t>
            </w:r>
            <w:proofErr w:type="spellEnd"/>
            <w:r w:rsidRPr="00590069">
              <w:t xml:space="preserve">/day] in LCS12 at time points during the 3-year period based on the </w:t>
            </w:r>
            <w:r w:rsidRPr="00590069">
              <w:rPr>
                <w:i/>
                <w:iCs/>
              </w:rPr>
              <w:t>ex vivo</w:t>
            </w:r>
            <w:r w:rsidRPr="00590069">
              <w:t xml:space="preserve"> residual content data from the phase 3 study A52238. These are model values and not human.</w:t>
            </w:r>
          </w:p>
        </w:tc>
      </w:tr>
      <w:tr w:rsidR="00D73F89" w:rsidRPr="00467CA9" w:rsidTr="001466A1">
        <w:trPr>
          <w:trHeight w:val="138"/>
        </w:trPr>
        <w:tc>
          <w:tcPr>
            <w:tcW w:w="5103" w:type="dxa"/>
          </w:tcPr>
          <w:p w:rsidR="00D73F89" w:rsidRPr="00467CA9" w:rsidRDefault="00D73F89" w:rsidP="001466A1">
            <w:pPr>
              <w:ind w:left="0" w:right="0"/>
            </w:pPr>
            <w:r w:rsidRPr="00467CA9">
              <w:t xml:space="preserve">Release rate after 24 days, i.e. on day 25 </w:t>
            </w:r>
          </w:p>
        </w:tc>
        <w:tc>
          <w:tcPr>
            <w:tcW w:w="3686" w:type="dxa"/>
          </w:tcPr>
          <w:p w:rsidR="00D73F89" w:rsidRPr="00467CA9" w:rsidRDefault="00D73F89" w:rsidP="001466A1">
            <w:pPr>
              <w:ind w:left="0" w:right="0"/>
            </w:pPr>
            <w:r w:rsidRPr="00467CA9">
              <w:t xml:space="preserve">14.0 </w:t>
            </w:r>
          </w:p>
        </w:tc>
      </w:tr>
      <w:tr w:rsidR="00D73F89" w:rsidRPr="00467CA9" w:rsidTr="001466A1">
        <w:trPr>
          <w:trHeight w:val="138"/>
        </w:trPr>
        <w:tc>
          <w:tcPr>
            <w:tcW w:w="5103" w:type="dxa"/>
          </w:tcPr>
          <w:p w:rsidR="00D73F89" w:rsidRPr="00467CA9" w:rsidRDefault="00D73F89" w:rsidP="001466A1">
            <w:pPr>
              <w:ind w:left="0" w:right="0"/>
            </w:pPr>
            <w:r w:rsidRPr="00467CA9">
              <w:lastRenderedPageBreak/>
              <w:t xml:space="preserve">Release rate after 60 days </w:t>
            </w:r>
          </w:p>
        </w:tc>
        <w:tc>
          <w:tcPr>
            <w:tcW w:w="3686" w:type="dxa"/>
          </w:tcPr>
          <w:p w:rsidR="00D73F89" w:rsidRPr="00467CA9" w:rsidRDefault="00D73F89" w:rsidP="001466A1">
            <w:pPr>
              <w:ind w:left="0" w:right="0"/>
            </w:pPr>
            <w:r w:rsidRPr="00467CA9">
              <w:t xml:space="preserve">9.6 </w:t>
            </w:r>
          </w:p>
        </w:tc>
      </w:tr>
      <w:tr w:rsidR="00D73F89" w:rsidRPr="00467CA9" w:rsidTr="001466A1">
        <w:trPr>
          <w:trHeight w:val="138"/>
        </w:trPr>
        <w:tc>
          <w:tcPr>
            <w:tcW w:w="5103" w:type="dxa"/>
          </w:tcPr>
          <w:p w:rsidR="00D73F89" w:rsidRPr="00467CA9" w:rsidRDefault="00D73F89" w:rsidP="001466A1">
            <w:pPr>
              <w:ind w:left="0" w:right="0"/>
            </w:pPr>
            <w:r w:rsidRPr="00467CA9">
              <w:t xml:space="preserve">Release rate after 3 years </w:t>
            </w:r>
          </w:p>
        </w:tc>
        <w:tc>
          <w:tcPr>
            <w:tcW w:w="3686" w:type="dxa"/>
          </w:tcPr>
          <w:p w:rsidR="00D73F89" w:rsidRPr="00467CA9" w:rsidRDefault="00D73F89" w:rsidP="001466A1">
            <w:pPr>
              <w:ind w:left="0" w:right="0"/>
            </w:pPr>
            <w:r w:rsidRPr="00467CA9">
              <w:t xml:space="preserve">5.4 </w:t>
            </w:r>
          </w:p>
        </w:tc>
      </w:tr>
      <w:tr w:rsidR="00D73F89" w:rsidRPr="00467CA9" w:rsidTr="001466A1">
        <w:trPr>
          <w:trHeight w:val="138"/>
        </w:trPr>
        <w:tc>
          <w:tcPr>
            <w:tcW w:w="5103" w:type="dxa"/>
          </w:tcPr>
          <w:p w:rsidR="00D73F89" w:rsidRPr="00467CA9" w:rsidRDefault="00D73F89" w:rsidP="001466A1">
            <w:pPr>
              <w:ind w:left="0" w:right="0"/>
            </w:pPr>
            <w:r w:rsidRPr="00467CA9">
              <w:t>Average release rate over 3 y</w:t>
            </w:r>
          </w:p>
        </w:tc>
        <w:tc>
          <w:tcPr>
            <w:tcW w:w="3686" w:type="dxa"/>
          </w:tcPr>
          <w:p w:rsidR="00D73F89" w:rsidRPr="00467CA9" w:rsidRDefault="00D73F89" w:rsidP="001466A1">
            <w:pPr>
              <w:ind w:left="0" w:right="0"/>
            </w:pPr>
            <w:r w:rsidRPr="00467CA9">
              <w:t xml:space="preserve">6.4 </w:t>
            </w:r>
          </w:p>
        </w:tc>
      </w:tr>
    </w:tbl>
    <w:p w:rsidR="00D73F89" w:rsidRPr="00467CA9" w:rsidRDefault="00D73F89" w:rsidP="001466A1">
      <w:r w:rsidRPr="00467CA9">
        <w:t>In both Phase 2 (A46796) and Phase 3 (A52238) studies, a subset of 12 women per treatment arm was included to determine non-compartmental pharmacokinetic parameters of LNG after both LCS12 and LCS16 insertion. In A52238 a population pharmacokinetic analysis was conducted using serum concentration data of LNG and SHBG from all women who were treated with LCS12 or 16. This data was also used in the planning of the post-menarche study (14371).</w:t>
      </w:r>
    </w:p>
    <w:p w:rsidR="00D73F89" w:rsidRPr="00467CA9" w:rsidRDefault="00D73F89" w:rsidP="001466A1">
      <w:pPr>
        <w:pStyle w:val="Heading5"/>
      </w:pPr>
      <w:r w:rsidRPr="00467CA9">
        <w:t>A46796</w:t>
      </w:r>
    </w:p>
    <w:p w:rsidR="00D73F89" w:rsidRPr="00467CA9" w:rsidRDefault="00D73F89" w:rsidP="001466A1">
      <w:pPr>
        <w:pStyle w:val="Heading6"/>
      </w:pPr>
      <w:r w:rsidRPr="001466A1">
        <w:t>Pharmacokinetic</w:t>
      </w:r>
      <w:r w:rsidRPr="00467CA9">
        <w:t xml:space="preserve"> / </w:t>
      </w:r>
      <w:proofErr w:type="spellStart"/>
      <w:r w:rsidRPr="00467CA9">
        <w:t>pharmacodynamic</w:t>
      </w:r>
      <w:proofErr w:type="spellEnd"/>
      <w:r w:rsidRPr="00467CA9">
        <w:t xml:space="preserve"> results</w:t>
      </w:r>
    </w:p>
    <w:p w:rsidR="00D0386F" w:rsidRDefault="00D73F89" w:rsidP="001466A1">
      <w:r w:rsidRPr="00467CA9">
        <w:t xml:space="preserve">In a subgroup (n= 12-13 subjects per treatment), blood samples were taken on a regular basis to determine the concentration of LNG and SHBG in serum. Specifically, Serum LNG and SHBG were determined at baseline and at day 1, 3 and 7 and 2 weeks after start of treatment. Thereafter, they were determined at every visit. One day after insertion (first blood sampling point) measurable serum levels of LNG were already observed in all subjects. Mean pharmacokinetic parameters of LNG of this subset (subset 3) observed after insertion of LCS12, LCS16 and </w:t>
      </w:r>
      <w:proofErr w:type="spellStart"/>
      <w:r w:rsidRPr="00467CA9">
        <w:t>Mirena</w:t>
      </w:r>
      <w:proofErr w:type="spellEnd"/>
      <w:r w:rsidRPr="00467CA9">
        <w:t xml:space="preserve"> are as below. </w:t>
      </w:r>
      <w:r w:rsidR="00590069" w:rsidRPr="00590069">
        <w:t xml:space="preserve">The geometric </w:t>
      </w:r>
      <w:proofErr w:type="gramStart"/>
      <w:r w:rsidR="00590069" w:rsidRPr="00590069">
        <w:t>mean with the geometric coefficient of variation (CV, in parentheses) are</w:t>
      </w:r>
      <w:proofErr w:type="gramEnd"/>
      <w:r w:rsidR="00590069" w:rsidRPr="00590069">
        <w:t xml:space="preserve"> given; for </w:t>
      </w:r>
      <w:proofErr w:type="spellStart"/>
      <w:r w:rsidR="00590069" w:rsidRPr="00590069">
        <w:t>tmax</w:t>
      </w:r>
      <w:proofErr w:type="spellEnd"/>
      <w:r w:rsidR="00590069" w:rsidRPr="00590069">
        <w:t xml:space="preserve"> the median and the range (in parentheses) are provided.</w:t>
      </w:r>
    </w:p>
    <w:p w:rsidR="00D73F89" w:rsidRPr="00467CA9" w:rsidRDefault="00590069" w:rsidP="001466A1">
      <w:pPr>
        <w:pStyle w:val="TableTitle"/>
      </w:pPr>
      <w:proofErr w:type="gramStart"/>
      <w:r>
        <w:t>Table 2.</w:t>
      </w:r>
      <w:proofErr w:type="gramEnd"/>
      <w:r>
        <w:t xml:space="preserve"> </w:t>
      </w:r>
      <w:proofErr w:type="spellStart"/>
      <w:proofErr w:type="gramStart"/>
      <w:r w:rsidR="009565A1" w:rsidRPr="009565A1">
        <w:t>Levonorgestrel</w:t>
      </w:r>
      <w:proofErr w:type="spellEnd"/>
      <w:r w:rsidR="009565A1" w:rsidRPr="009565A1">
        <w:t xml:space="preserve"> </w:t>
      </w:r>
      <w:r w:rsidR="009565A1">
        <w:t>pharmacokinetic parameters.</w:t>
      </w:r>
      <w:proofErr w:type="gramEnd"/>
      <w:r w:rsidR="009565A1">
        <w:t xml:space="preserve"> </w:t>
      </w:r>
      <w:proofErr w:type="gramStart"/>
      <w:r w:rsidR="009565A1">
        <w:t>G</w:t>
      </w:r>
      <w:r w:rsidR="00D73F89" w:rsidRPr="00467CA9">
        <w:t xml:space="preserve">eometric mean </w:t>
      </w:r>
      <w:r w:rsidR="009565A1">
        <w:t>(</w:t>
      </w:r>
      <w:r w:rsidR="00D73F89" w:rsidRPr="00467CA9">
        <w:t xml:space="preserve">geometric coefficient of variation (CV) </w:t>
      </w:r>
      <w:r w:rsidR="009565A1">
        <w:t xml:space="preserve">or (for </w:t>
      </w:r>
      <w:proofErr w:type="spellStart"/>
      <w:r w:rsidR="00D73F89" w:rsidRPr="00467CA9">
        <w:t>tmax</w:t>
      </w:r>
      <w:proofErr w:type="spellEnd"/>
      <w:r w:rsidR="009565A1">
        <w:t>)</w:t>
      </w:r>
      <w:r w:rsidR="00D73F89" w:rsidRPr="00467CA9">
        <w:t xml:space="preserve"> median </w:t>
      </w:r>
      <w:r w:rsidR="009565A1">
        <w:t>(</w:t>
      </w:r>
      <w:r w:rsidR="00D73F89" w:rsidRPr="00467CA9">
        <w:t>range</w:t>
      </w:r>
      <w:r w:rsidR="009565A1">
        <w:t>)</w:t>
      </w:r>
      <w:r w:rsidR="00D73F89" w:rsidRPr="00467CA9">
        <w:t>.</w:t>
      </w:r>
      <w:proofErr w:type="gramEnd"/>
    </w:p>
    <w:tbl>
      <w:tblPr>
        <w:tblStyle w:val="TableTGAblue"/>
        <w:tblW w:w="0" w:type="auto"/>
        <w:tblLook w:val="0620" w:firstRow="1" w:lastRow="0" w:firstColumn="0" w:lastColumn="0" w:noHBand="1" w:noVBand="1"/>
      </w:tblPr>
      <w:tblGrid>
        <w:gridCol w:w="1985"/>
        <w:gridCol w:w="2268"/>
        <w:gridCol w:w="2126"/>
        <w:gridCol w:w="2410"/>
      </w:tblGrid>
      <w:tr w:rsidR="00467CA9" w:rsidRPr="00D0386F" w:rsidTr="00863776">
        <w:trPr>
          <w:cnfStyle w:val="100000000000" w:firstRow="1" w:lastRow="0" w:firstColumn="0" w:lastColumn="0" w:oddVBand="0" w:evenVBand="0" w:oddHBand="0" w:evenHBand="0" w:firstRowFirstColumn="0" w:firstRowLastColumn="0" w:lastRowFirstColumn="0" w:lastRowLastColumn="0"/>
          <w:tblHeader/>
        </w:trPr>
        <w:tc>
          <w:tcPr>
            <w:tcW w:w="1985" w:type="dxa"/>
          </w:tcPr>
          <w:p w:rsidR="00467CA9" w:rsidRPr="00D0386F" w:rsidRDefault="00467CA9" w:rsidP="001466A1">
            <w:pPr>
              <w:ind w:left="0" w:right="68"/>
            </w:pPr>
          </w:p>
        </w:tc>
        <w:tc>
          <w:tcPr>
            <w:tcW w:w="2268" w:type="dxa"/>
          </w:tcPr>
          <w:p w:rsidR="00467CA9" w:rsidRPr="00D0386F" w:rsidRDefault="00467CA9" w:rsidP="001466A1">
            <w:pPr>
              <w:ind w:left="0" w:right="68"/>
            </w:pPr>
            <w:proofErr w:type="spellStart"/>
            <w:r w:rsidRPr="00D0386F">
              <w:t>Cmax</w:t>
            </w:r>
            <w:proofErr w:type="spellEnd"/>
            <w:r w:rsidRPr="00D0386F">
              <w:t>(</w:t>
            </w:r>
            <w:proofErr w:type="spellStart"/>
            <w:r w:rsidRPr="00D0386F">
              <w:t>ng</w:t>
            </w:r>
            <w:proofErr w:type="spellEnd"/>
            <w:r w:rsidRPr="00D0386F">
              <w:t>/L)</w:t>
            </w:r>
          </w:p>
        </w:tc>
        <w:tc>
          <w:tcPr>
            <w:tcW w:w="2126" w:type="dxa"/>
          </w:tcPr>
          <w:p w:rsidR="00467CA9" w:rsidRPr="00D0386F" w:rsidRDefault="00467CA9" w:rsidP="001466A1">
            <w:pPr>
              <w:ind w:left="0" w:right="0"/>
            </w:pPr>
            <w:proofErr w:type="spellStart"/>
            <w:r w:rsidRPr="00D0386F">
              <w:t>tmax</w:t>
            </w:r>
            <w:proofErr w:type="spellEnd"/>
            <w:r w:rsidRPr="00D0386F">
              <w:t xml:space="preserve"> (d)</w:t>
            </w:r>
          </w:p>
        </w:tc>
        <w:tc>
          <w:tcPr>
            <w:tcW w:w="2410" w:type="dxa"/>
          </w:tcPr>
          <w:p w:rsidR="00467CA9" w:rsidRPr="00D0386F" w:rsidRDefault="00467CA9" w:rsidP="001466A1">
            <w:pPr>
              <w:ind w:left="0" w:right="0"/>
            </w:pPr>
            <w:proofErr w:type="spellStart"/>
            <w:r w:rsidRPr="00D0386F">
              <w:t>Cav</w:t>
            </w:r>
            <w:proofErr w:type="spellEnd"/>
            <w:r w:rsidRPr="00D0386F">
              <w:t xml:space="preserve"> (</w:t>
            </w:r>
            <w:proofErr w:type="spellStart"/>
            <w:r w:rsidRPr="00D0386F">
              <w:t>ng</w:t>
            </w:r>
            <w:proofErr w:type="spellEnd"/>
            <w:r w:rsidRPr="00D0386F">
              <w:t>/L)</w:t>
            </w:r>
          </w:p>
        </w:tc>
      </w:tr>
      <w:tr w:rsidR="00467CA9" w:rsidRPr="00D0386F" w:rsidTr="001466A1">
        <w:tc>
          <w:tcPr>
            <w:tcW w:w="1985" w:type="dxa"/>
          </w:tcPr>
          <w:p w:rsidR="00467CA9" w:rsidRPr="00D0386F" w:rsidRDefault="00467CA9" w:rsidP="001466A1">
            <w:pPr>
              <w:ind w:left="0" w:right="68"/>
            </w:pPr>
            <w:r w:rsidRPr="00D0386F">
              <w:t>LCS12</w:t>
            </w:r>
          </w:p>
        </w:tc>
        <w:tc>
          <w:tcPr>
            <w:tcW w:w="2268" w:type="dxa"/>
          </w:tcPr>
          <w:p w:rsidR="00467CA9" w:rsidRPr="00D0386F" w:rsidRDefault="00467CA9" w:rsidP="001466A1">
            <w:pPr>
              <w:ind w:left="0" w:right="68"/>
            </w:pPr>
            <w:r w:rsidRPr="00D0386F">
              <w:t>137 (28.6%) (N=12)</w:t>
            </w:r>
          </w:p>
        </w:tc>
        <w:tc>
          <w:tcPr>
            <w:tcW w:w="2126" w:type="dxa"/>
          </w:tcPr>
          <w:p w:rsidR="00467CA9" w:rsidRPr="00D0386F" w:rsidRDefault="00467CA9" w:rsidP="001466A1">
            <w:pPr>
              <w:ind w:left="0" w:right="0"/>
            </w:pPr>
            <w:r w:rsidRPr="00D0386F">
              <w:t>14 (1-379) (N=12)</w:t>
            </w:r>
          </w:p>
        </w:tc>
        <w:tc>
          <w:tcPr>
            <w:tcW w:w="2410" w:type="dxa"/>
          </w:tcPr>
          <w:p w:rsidR="00467CA9" w:rsidRPr="00D0386F" w:rsidRDefault="00467CA9" w:rsidP="001466A1">
            <w:pPr>
              <w:ind w:left="0" w:right="0"/>
            </w:pPr>
            <w:r w:rsidRPr="00D0386F">
              <w:t>78.3 (31.4%) (N=8)</w:t>
            </w:r>
          </w:p>
        </w:tc>
      </w:tr>
      <w:tr w:rsidR="00467CA9" w:rsidRPr="00D0386F" w:rsidTr="001466A1">
        <w:tc>
          <w:tcPr>
            <w:tcW w:w="1985" w:type="dxa"/>
          </w:tcPr>
          <w:p w:rsidR="00467CA9" w:rsidRPr="00D0386F" w:rsidRDefault="00467CA9" w:rsidP="001466A1">
            <w:pPr>
              <w:ind w:left="0" w:right="68"/>
            </w:pPr>
            <w:r w:rsidRPr="00D0386F">
              <w:t>LCS16</w:t>
            </w:r>
          </w:p>
        </w:tc>
        <w:tc>
          <w:tcPr>
            <w:tcW w:w="2268" w:type="dxa"/>
          </w:tcPr>
          <w:p w:rsidR="00467CA9" w:rsidRPr="00D0386F" w:rsidRDefault="00467CA9" w:rsidP="001466A1">
            <w:pPr>
              <w:ind w:left="0" w:right="68"/>
            </w:pPr>
            <w:r w:rsidRPr="00D0386F">
              <w:t>186 (46.9%) (N=12)</w:t>
            </w:r>
          </w:p>
        </w:tc>
        <w:tc>
          <w:tcPr>
            <w:tcW w:w="2126" w:type="dxa"/>
          </w:tcPr>
          <w:p w:rsidR="00467CA9" w:rsidRPr="00D0386F" w:rsidRDefault="00467CA9" w:rsidP="001466A1">
            <w:pPr>
              <w:ind w:left="0" w:right="0"/>
            </w:pPr>
            <w:r w:rsidRPr="00D0386F">
              <w:t>11 (2-49) (N=12)</w:t>
            </w:r>
          </w:p>
        </w:tc>
        <w:tc>
          <w:tcPr>
            <w:tcW w:w="2410" w:type="dxa"/>
          </w:tcPr>
          <w:p w:rsidR="00467CA9" w:rsidRPr="00D0386F" w:rsidRDefault="00467CA9" w:rsidP="001466A1">
            <w:pPr>
              <w:ind w:left="0" w:right="0"/>
            </w:pPr>
            <w:r w:rsidRPr="00D0386F">
              <w:t>106 (55.1%) (N=7)</w:t>
            </w:r>
          </w:p>
        </w:tc>
      </w:tr>
      <w:tr w:rsidR="00467CA9" w:rsidRPr="00D0386F" w:rsidTr="001466A1">
        <w:tc>
          <w:tcPr>
            <w:tcW w:w="1985" w:type="dxa"/>
          </w:tcPr>
          <w:p w:rsidR="00467CA9" w:rsidRPr="00D0386F" w:rsidRDefault="00467CA9" w:rsidP="001466A1">
            <w:pPr>
              <w:ind w:left="0" w:right="68"/>
            </w:pPr>
            <w:proofErr w:type="spellStart"/>
            <w:r w:rsidRPr="00D0386F">
              <w:t>Mirena</w:t>
            </w:r>
            <w:proofErr w:type="spellEnd"/>
          </w:p>
        </w:tc>
        <w:tc>
          <w:tcPr>
            <w:tcW w:w="2268" w:type="dxa"/>
          </w:tcPr>
          <w:p w:rsidR="00467CA9" w:rsidRPr="00D0386F" w:rsidRDefault="00467CA9" w:rsidP="001466A1">
            <w:pPr>
              <w:ind w:left="0" w:right="68"/>
            </w:pPr>
            <w:r w:rsidRPr="00D0386F">
              <w:t>360 (45.9%) (N=13)</w:t>
            </w:r>
          </w:p>
        </w:tc>
        <w:tc>
          <w:tcPr>
            <w:tcW w:w="2126" w:type="dxa"/>
          </w:tcPr>
          <w:p w:rsidR="00467CA9" w:rsidRPr="00D0386F" w:rsidRDefault="00467CA9" w:rsidP="001466A1">
            <w:pPr>
              <w:ind w:left="0" w:right="0"/>
            </w:pPr>
            <w:r w:rsidRPr="00D0386F">
              <w:t>7 (3-927) (N=13)</w:t>
            </w:r>
          </w:p>
        </w:tc>
        <w:tc>
          <w:tcPr>
            <w:tcW w:w="2410" w:type="dxa"/>
          </w:tcPr>
          <w:p w:rsidR="00467CA9" w:rsidRPr="00D0386F" w:rsidRDefault="00467CA9" w:rsidP="001466A1">
            <w:pPr>
              <w:ind w:left="0" w:right="0"/>
            </w:pPr>
            <w:r w:rsidRPr="00D0386F">
              <w:t>218 (35.2%) (N=12)</w:t>
            </w:r>
          </w:p>
        </w:tc>
      </w:tr>
    </w:tbl>
    <w:p w:rsidR="00D0386F" w:rsidRPr="00D0386F" w:rsidRDefault="00590069" w:rsidP="001466A1">
      <w:pPr>
        <w:pStyle w:val="TableTitle"/>
      </w:pPr>
      <w:proofErr w:type="gramStart"/>
      <w:r>
        <w:t>Table 3.</w:t>
      </w:r>
      <w:proofErr w:type="gramEnd"/>
      <w:r>
        <w:t xml:space="preserve"> </w:t>
      </w:r>
      <w:proofErr w:type="spellStart"/>
      <w:proofErr w:type="gramStart"/>
      <w:r w:rsidR="009565A1">
        <w:t>Levonorgestrel</w:t>
      </w:r>
      <w:proofErr w:type="spellEnd"/>
      <w:r w:rsidR="009565A1">
        <w:t xml:space="preserve"> concentrations.</w:t>
      </w:r>
      <w:proofErr w:type="gramEnd"/>
      <w:r w:rsidR="009565A1">
        <w:t xml:space="preserve"> </w:t>
      </w:r>
      <w:r w:rsidR="001466A1">
        <w:t>Geometric mean (geometric CV)</w:t>
      </w:r>
    </w:p>
    <w:tbl>
      <w:tblPr>
        <w:tblStyle w:val="TableTGAblue"/>
        <w:tblW w:w="0" w:type="auto"/>
        <w:tblLook w:val="0620" w:firstRow="1" w:lastRow="0" w:firstColumn="0" w:lastColumn="0" w:noHBand="1" w:noVBand="1"/>
      </w:tblPr>
      <w:tblGrid>
        <w:gridCol w:w="993"/>
        <w:gridCol w:w="1984"/>
        <w:gridCol w:w="1985"/>
        <w:gridCol w:w="1984"/>
        <w:gridCol w:w="1843"/>
      </w:tblGrid>
      <w:tr w:rsidR="00D0386F" w:rsidRPr="00D0386F" w:rsidTr="00863776">
        <w:trPr>
          <w:cnfStyle w:val="100000000000" w:firstRow="1" w:lastRow="0" w:firstColumn="0" w:lastColumn="0" w:oddVBand="0" w:evenVBand="0" w:oddHBand="0" w:evenHBand="0" w:firstRowFirstColumn="0" w:firstRowLastColumn="0" w:lastRowFirstColumn="0" w:lastRowLastColumn="0"/>
          <w:tblHeader/>
        </w:trPr>
        <w:tc>
          <w:tcPr>
            <w:tcW w:w="993" w:type="dxa"/>
          </w:tcPr>
          <w:p w:rsidR="00D0386F" w:rsidRPr="00D0386F" w:rsidRDefault="00D0386F" w:rsidP="001466A1">
            <w:pPr>
              <w:ind w:left="0" w:right="0"/>
            </w:pPr>
          </w:p>
        </w:tc>
        <w:tc>
          <w:tcPr>
            <w:tcW w:w="1984" w:type="dxa"/>
          </w:tcPr>
          <w:p w:rsidR="00D0386F" w:rsidRPr="00D0386F" w:rsidRDefault="00D0386F" w:rsidP="001466A1">
            <w:pPr>
              <w:ind w:left="0" w:right="0"/>
            </w:pPr>
            <w:r w:rsidRPr="00D0386F">
              <w:t>C(6)(</w:t>
            </w:r>
            <w:proofErr w:type="spellStart"/>
            <w:r w:rsidRPr="00D0386F">
              <w:t>ng</w:t>
            </w:r>
            <w:proofErr w:type="spellEnd"/>
            <w:r w:rsidRPr="00D0386F">
              <w:t>/L)</w:t>
            </w:r>
          </w:p>
        </w:tc>
        <w:tc>
          <w:tcPr>
            <w:tcW w:w="1985" w:type="dxa"/>
          </w:tcPr>
          <w:p w:rsidR="00D0386F" w:rsidRPr="00D0386F" w:rsidRDefault="00D0386F" w:rsidP="001466A1">
            <w:pPr>
              <w:ind w:left="0" w:right="68"/>
            </w:pPr>
            <w:r w:rsidRPr="00D0386F">
              <w:t>C(12)(</w:t>
            </w:r>
            <w:proofErr w:type="spellStart"/>
            <w:r w:rsidRPr="00D0386F">
              <w:t>ng</w:t>
            </w:r>
            <w:proofErr w:type="spellEnd"/>
            <w:r w:rsidRPr="00D0386F">
              <w:t>/L)</w:t>
            </w:r>
          </w:p>
        </w:tc>
        <w:tc>
          <w:tcPr>
            <w:tcW w:w="1984" w:type="dxa"/>
          </w:tcPr>
          <w:p w:rsidR="00D0386F" w:rsidRPr="00D0386F" w:rsidRDefault="00D0386F" w:rsidP="001466A1">
            <w:pPr>
              <w:ind w:left="0" w:right="67"/>
            </w:pPr>
            <w:r w:rsidRPr="00D0386F">
              <w:t>C(24)(</w:t>
            </w:r>
            <w:proofErr w:type="spellStart"/>
            <w:r w:rsidRPr="00D0386F">
              <w:t>ng</w:t>
            </w:r>
            <w:proofErr w:type="spellEnd"/>
            <w:r w:rsidRPr="00D0386F">
              <w:t>/L)</w:t>
            </w:r>
          </w:p>
        </w:tc>
        <w:tc>
          <w:tcPr>
            <w:tcW w:w="1843" w:type="dxa"/>
          </w:tcPr>
          <w:p w:rsidR="00D0386F" w:rsidRPr="00D0386F" w:rsidRDefault="00D0386F" w:rsidP="001466A1">
            <w:pPr>
              <w:ind w:left="0" w:right="68"/>
            </w:pPr>
            <w:r w:rsidRPr="00D0386F">
              <w:t>C(36)(</w:t>
            </w:r>
            <w:proofErr w:type="spellStart"/>
            <w:r w:rsidRPr="00D0386F">
              <w:t>ng</w:t>
            </w:r>
            <w:proofErr w:type="spellEnd"/>
            <w:r w:rsidRPr="00D0386F">
              <w:t>/L)</w:t>
            </w:r>
          </w:p>
        </w:tc>
      </w:tr>
      <w:tr w:rsidR="00D0386F" w:rsidRPr="00D0386F" w:rsidTr="001466A1">
        <w:tc>
          <w:tcPr>
            <w:tcW w:w="993" w:type="dxa"/>
          </w:tcPr>
          <w:p w:rsidR="00D0386F" w:rsidRPr="00D0386F" w:rsidRDefault="00D0386F" w:rsidP="001466A1">
            <w:pPr>
              <w:ind w:left="0" w:right="0"/>
            </w:pPr>
            <w:r w:rsidRPr="00D0386F">
              <w:t>LCS12</w:t>
            </w:r>
          </w:p>
        </w:tc>
        <w:tc>
          <w:tcPr>
            <w:tcW w:w="1984" w:type="dxa"/>
          </w:tcPr>
          <w:p w:rsidR="00D0386F" w:rsidRPr="00D0386F" w:rsidRDefault="00D0386F" w:rsidP="001466A1">
            <w:pPr>
              <w:ind w:left="0" w:right="0"/>
            </w:pPr>
            <w:r w:rsidRPr="00D0386F">
              <w:t>93.3 (38.7%) N=12</w:t>
            </w:r>
          </w:p>
        </w:tc>
        <w:tc>
          <w:tcPr>
            <w:tcW w:w="1985" w:type="dxa"/>
          </w:tcPr>
          <w:p w:rsidR="00D0386F" w:rsidRPr="00D0386F" w:rsidRDefault="00D0386F" w:rsidP="001466A1">
            <w:pPr>
              <w:ind w:left="0" w:right="68"/>
            </w:pPr>
            <w:r w:rsidRPr="00D0386F">
              <w:t>83.3 (23.5%) N=12</w:t>
            </w:r>
          </w:p>
        </w:tc>
        <w:tc>
          <w:tcPr>
            <w:tcW w:w="1984" w:type="dxa"/>
          </w:tcPr>
          <w:p w:rsidR="00D0386F" w:rsidRPr="00D0386F" w:rsidRDefault="00D0386F" w:rsidP="001466A1">
            <w:pPr>
              <w:ind w:left="0" w:right="67"/>
            </w:pPr>
            <w:r w:rsidRPr="00D0386F">
              <w:t>65.7 (31.7%) N=9</w:t>
            </w:r>
          </w:p>
        </w:tc>
        <w:tc>
          <w:tcPr>
            <w:tcW w:w="1843" w:type="dxa"/>
          </w:tcPr>
          <w:p w:rsidR="00D0386F" w:rsidRPr="00D0386F" w:rsidRDefault="00D0386F" w:rsidP="001466A1">
            <w:pPr>
              <w:ind w:left="0" w:right="68"/>
            </w:pPr>
            <w:r w:rsidRPr="00D0386F">
              <w:t>68.5 (33.0%) N=8</w:t>
            </w:r>
          </w:p>
        </w:tc>
      </w:tr>
      <w:tr w:rsidR="00D0386F" w:rsidRPr="00D0386F" w:rsidTr="001466A1">
        <w:tc>
          <w:tcPr>
            <w:tcW w:w="993" w:type="dxa"/>
          </w:tcPr>
          <w:p w:rsidR="00D0386F" w:rsidRPr="00D0386F" w:rsidRDefault="00D0386F" w:rsidP="001466A1">
            <w:pPr>
              <w:ind w:left="0" w:right="0"/>
            </w:pPr>
            <w:r w:rsidRPr="00D0386F">
              <w:t>LCS16</w:t>
            </w:r>
          </w:p>
        </w:tc>
        <w:tc>
          <w:tcPr>
            <w:tcW w:w="1984" w:type="dxa"/>
          </w:tcPr>
          <w:p w:rsidR="00D0386F" w:rsidRPr="00D0386F" w:rsidRDefault="00D0386F" w:rsidP="001466A1">
            <w:pPr>
              <w:ind w:left="0" w:right="0"/>
            </w:pPr>
            <w:r w:rsidRPr="00D0386F">
              <w:t>121 (53.1%) N=10</w:t>
            </w:r>
          </w:p>
        </w:tc>
        <w:tc>
          <w:tcPr>
            <w:tcW w:w="1985" w:type="dxa"/>
          </w:tcPr>
          <w:p w:rsidR="00D0386F" w:rsidRPr="00D0386F" w:rsidRDefault="00D0386F" w:rsidP="001466A1">
            <w:pPr>
              <w:ind w:left="0" w:right="68"/>
            </w:pPr>
            <w:r w:rsidRPr="00D0386F">
              <w:t>109 (44.0%) N=9</w:t>
            </w:r>
          </w:p>
        </w:tc>
        <w:tc>
          <w:tcPr>
            <w:tcW w:w="1984" w:type="dxa"/>
          </w:tcPr>
          <w:p w:rsidR="00D0386F" w:rsidRPr="00D0386F" w:rsidRDefault="00D0386F" w:rsidP="001466A1">
            <w:pPr>
              <w:ind w:left="0" w:right="67"/>
            </w:pPr>
            <w:r w:rsidRPr="00D0386F">
              <w:t>98.9 (64.9%) N=7</w:t>
            </w:r>
          </w:p>
        </w:tc>
        <w:tc>
          <w:tcPr>
            <w:tcW w:w="1843" w:type="dxa"/>
          </w:tcPr>
          <w:p w:rsidR="00D0386F" w:rsidRPr="00D0386F" w:rsidRDefault="00D0386F" w:rsidP="001466A1">
            <w:pPr>
              <w:ind w:left="0" w:right="68"/>
            </w:pPr>
            <w:r w:rsidRPr="00D0386F">
              <w:t>85.2 (63.9%) N=7</w:t>
            </w:r>
          </w:p>
        </w:tc>
      </w:tr>
      <w:tr w:rsidR="00D0386F" w:rsidRPr="00D0386F" w:rsidTr="001466A1">
        <w:tc>
          <w:tcPr>
            <w:tcW w:w="993" w:type="dxa"/>
          </w:tcPr>
          <w:p w:rsidR="00D0386F" w:rsidRPr="00D0386F" w:rsidRDefault="00D0386F" w:rsidP="001466A1">
            <w:pPr>
              <w:ind w:left="0" w:right="0"/>
            </w:pPr>
            <w:proofErr w:type="spellStart"/>
            <w:r w:rsidRPr="00D0386F">
              <w:t>Mirena</w:t>
            </w:r>
            <w:proofErr w:type="spellEnd"/>
          </w:p>
        </w:tc>
        <w:tc>
          <w:tcPr>
            <w:tcW w:w="1984" w:type="dxa"/>
          </w:tcPr>
          <w:p w:rsidR="00D0386F" w:rsidRPr="00D0386F" w:rsidRDefault="00D0386F" w:rsidP="001466A1">
            <w:pPr>
              <w:ind w:left="0" w:right="0"/>
            </w:pPr>
            <w:r w:rsidRPr="00D0386F">
              <w:t>254 (38.0%) N=13</w:t>
            </w:r>
          </w:p>
        </w:tc>
        <w:tc>
          <w:tcPr>
            <w:tcW w:w="1985" w:type="dxa"/>
          </w:tcPr>
          <w:p w:rsidR="00D0386F" w:rsidRPr="00D0386F" w:rsidRDefault="00D0386F" w:rsidP="001466A1">
            <w:pPr>
              <w:ind w:left="0" w:right="68"/>
            </w:pPr>
            <w:r w:rsidRPr="00D0386F">
              <w:t>222 (40.4%) N=12</w:t>
            </w:r>
          </w:p>
        </w:tc>
        <w:tc>
          <w:tcPr>
            <w:tcW w:w="1984" w:type="dxa"/>
          </w:tcPr>
          <w:p w:rsidR="00D0386F" w:rsidRPr="00D0386F" w:rsidRDefault="00D0386F" w:rsidP="001466A1">
            <w:pPr>
              <w:ind w:left="0" w:right="67"/>
            </w:pPr>
            <w:r w:rsidRPr="00D0386F">
              <w:t>192 (36.9%) N=12</w:t>
            </w:r>
          </w:p>
        </w:tc>
        <w:tc>
          <w:tcPr>
            <w:tcW w:w="1843" w:type="dxa"/>
          </w:tcPr>
          <w:p w:rsidR="00D0386F" w:rsidRPr="00D0386F" w:rsidRDefault="00D0386F" w:rsidP="001466A1">
            <w:pPr>
              <w:ind w:left="0" w:right="68"/>
            </w:pPr>
            <w:r w:rsidRPr="00D0386F">
              <w:t>165 (40.5%) N=12</w:t>
            </w:r>
          </w:p>
        </w:tc>
      </w:tr>
    </w:tbl>
    <w:p w:rsidR="00D73F89" w:rsidRPr="00D0386F" w:rsidRDefault="00D73F89" w:rsidP="001466A1">
      <w:pPr>
        <w:pStyle w:val="TableDescription"/>
      </w:pPr>
      <w:proofErr w:type="spellStart"/>
      <w:r w:rsidRPr="00D0386F">
        <w:t>Cmax</w:t>
      </w:r>
      <w:proofErr w:type="spellEnd"/>
      <w:r w:rsidRPr="00D0386F">
        <w:t xml:space="preserve"> = maximum observed concentration</w:t>
      </w:r>
      <w:r w:rsidR="009565A1">
        <w:t xml:space="preserve">; </w:t>
      </w:r>
      <w:proofErr w:type="spellStart"/>
      <w:r w:rsidRPr="00D0386F">
        <w:t>tmax</w:t>
      </w:r>
      <w:proofErr w:type="spellEnd"/>
      <w:r w:rsidRPr="00D0386F">
        <w:t xml:space="preserve"> = time to reach </w:t>
      </w:r>
      <w:proofErr w:type="spellStart"/>
      <w:r w:rsidRPr="00D0386F">
        <w:t>Cmax</w:t>
      </w:r>
      <w:proofErr w:type="spellEnd"/>
      <w:r w:rsidR="009565A1">
        <w:t xml:space="preserve">; </w:t>
      </w:r>
      <w:proofErr w:type="spellStart"/>
      <w:r w:rsidRPr="00D0386F">
        <w:t>Cav</w:t>
      </w:r>
      <w:proofErr w:type="spellEnd"/>
      <w:r w:rsidRPr="00D0386F">
        <w:t xml:space="preserve"> = average steady state concentration (</w:t>
      </w:r>
      <w:proofErr w:type="gramStart"/>
      <w:r w:rsidRPr="00D0386F">
        <w:t>AUC(</w:t>
      </w:r>
      <w:proofErr w:type="gramEnd"/>
      <w:r w:rsidRPr="00D0386F">
        <w:t xml:space="preserve">0-tlast)/ </w:t>
      </w:r>
      <w:proofErr w:type="spellStart"/>
      <w:r w:rsidRPr="00D0386F">
        <w:t>tlast</w:t>
      </w:r>
      <w:proofErr w:type="spellEnd"/>
      <w:r w:rsidRPr="00D0386F">
        <w:t>)</w:t>
      </w:r>
      <w:r w:rsidR="009565A1">
        <w:t xml:space="preserve">; </w:t>
      </w:r>
      <w:r w:rsidRPr="00D0386F">
        <w:t>C(6) = observed concentration at 6 month after insertion</w:t>
      </w:r>
      <w:r w:rsidR="009565A1">
        <w:t xml:space="preserve">; </w:t>
      </w:r>
      <w:r w:rsidRPr="00D0386F">
        <w:t xml:space="preserve">C(12) = observed </w:t>
      </w:r>
      <w:r w:rsidRPr="00D0386F">
        <w:lastRenderedPageBreak/>
        <w:t>concentration at 12 month after insertion</w:t>
      </w:r>
      <w:r w:rsidR="009565A1">
        <w:t xml:space="preserve">; </w:t>
      </w:r>
      <w:r w:rsidRPr="00D0386F">
        <w:t>C(24) = observed concentration at 24 month after insertion</w:t>
      </w:r>
      <w:r w:rsidR="009565A1">
        <w:t xml:space="preserve">; </w:t>
      </w:r>
      <w:r w:rsidRPr="00D0386F">
        <w:t>C(36) = observed concentration at 36 month after insertion</w:t>
      </w:r>
    </w:p>
    <w:p w:rsidR="00D73F89" w:rsidRPr="000A2760" w:rsidRDefault="00D73F89" w:rsidP="001466A1">
      <w:r w:rsidRPr="000A2760">
        <w:t xml:space="preserve">After insertion of LCS12, a geometric mean maximum concentration of LNG </w:t>
      </w:r>
      <w:proofErr w:type="gramStart"/>
      <w:r w:rsidRPr="000A2760">
        <w:t xml:space="preserve">of 137 </w:t>
      </w:r>
      <w:proofErr w:type="spellStart"/>
      <w:r w:rsidRPr="000A2760">
        <w:t>ng</w:t>
      </w:r>
      <w:proofErr w:type="spellEnd"/>
      <w:r w:rsidRPr="000A2760">
        <w:t>/L</w:t>
      </w:r>
      <w:proofErr w:type="gramEnd"/>
      <w:r w:rsidRPr="000A2760">
        <w:t xml:space="preserve"> was reached after 14 days (median). After insertion of LCS16, the corresponding values were </w:t>
      </w:r>
      <w:proofErr w:type="gramStart"/>
      <w:r w:rsidRPr="000A2760">
        <w:t xml:space="preserve">186 </w:t>
      </w:r>
      <w:proofErr w:type="spellStart"/>
      <w:r w:rsidRPr="000A2760">
        <w:t>ng</w:t>
      </w:r>
      <w:proofErr w:type="spellEnd"/>
      <w:r w:rsidRPr="000A2760">
        <w:t>/L</w:t>
      </w:r>
      <w:proofErr w:type="gramEnd"/>
      <w:r w:rsidRPr="000A2760">
        <w:t xml:space="preserve"> after 11 days. Thereafter, serum levels of LNG declined slowly to mean values of 69 </w:t>
      </w:r>
      <w:proofErr w:type="spellStart"/>
      <w:r w:rsidRPr="000A2760">
        <w:t>ng</w:t>
      </w:r>
      <w:proofErr w:type="spellEnd"/>
      <w:r w:rsidRPr="000A2760">
        <w:t xml:space="preserve">/L, </w:t>
      </w:r>
      <w:proofErr w:type="gramStart"/>
      <w:r w:rsidRPr="000A2760">
        <w:t xml:space="preserve">85 </w:t>
      </w:r>
      <w:proofErr w:type="spellStart"/>
      <w:r w:rsidRPr="000A2760">
        <w:t>ng</w:t>
      </w:r>
      <w:proofErr w:type="spellEnd"/>
      <w:r w:rsidRPr="000A2760">
        <w:t>/L</w:t>
      </w:r>
      <w:proofErr w:type="gramEnd"/>
      <w:r w:rsidRPr="000A2760">
        <w:t xml:space="preserve"> and 165 </w:t>
      </w:r>
      <w:proofErr w:type="spellStart"/>
      <w:r w:rsidRPr="000A2760">
        <w:t>ng</w:t>
      </w:r>
      <w:proofErr w:type="spellEnd"/>
      <w:r w:rsidRPr="000A2760">
        <w:t xml:space="preserve">/L at the end of the observation, 36 months after insertion of LCS12, LCS16 and </w:t>
      </w:r>
      <w:proofErr w:type="spellStart"/>
      <w:r w:rsidRPr="000A2760">
        <w:t>Mirena</w:t>
      </w:r>
      <w:proofErr w:type="spellEnd"/>
      <w:r w:rsidRPr="000A2760">
        <w:t>, respectively. There was high variability of the individual serum concentrations, resulting in difficulty calculating the half-life.</w:t>
      </w:r>
    </w:p>
    <w:p w:rsidR="00D73F89" w:rsidRPr="00D0386F" w:rsidRDefault="00431711" w:rsidP="00431711">
      <w:pPr>
        <w:pStyle w:val="Heading5"/>
      </w:pPr>
      <w:r>
        <w:t>A52238</w:t>
      </w:r>
    </w:p>
    <w:p w:rsidR="00D73F89" w:rsidRPr="00D0386F" w:rsidRDefault="00D73F89" w:rsidP="00431711">
      <w:pPr>
        <w:pStyle w:val="Heading6"/>
      </w:pPr>
      <w:r w:rsidRPr="00431711">
        <w:t>Pharmacokinetic</w:t>
      </w:r>
      <w:r w:rsidRPr="00D0386F">
        <w:t xml:space="preserve"> (PK) evaluation</w:t>
      </w:r>
    </w:p>
    <w:p w:rsidR="00D73F89" w:rsidRPr="00D0386F" w:rsidRDefault="00D73F89" w:rsidP="00431711">
      <w:r w:rsidRPr="00D0386F">
        <w:t xml:space="preserve">The population PK/PK model developed based on the phase II study 308901 was applied to the data from A52238. The covariate analysis, performed on all data, revealed an effect of body weight on the clearance parameter (range 39 to 160 kg, N=2547). The change of the clearance value per kg was approximately 1.6% of the typical value. This means that a woman with a body weight of 39 kg would have a clearance value of 57% compared to a typical woman with a median body weight of 66.0 kg. A clearance value of 249% of the typical clearance would be expected in women weighing around 160 kg.  If SHBG wasn’t different between lean and obese, this would mean a 1.75-fold higher concentration in a woman weighing 39 kg and a 2.5-fold lower concentration in a woman weighing 160 kg in comparison to the typical concentrations presented. Based on this model, individual total and unbound LNG serum concentrations after 1 day, 7 days, 30 days, 3 months, 1 year, 2 years and 3 years were estimated for the entire study population. This is an important point as there were not many women meeting the </w:t>
      </w:r>
      <w:proofErr w:type="spellStart"/>
      <w:r w:rsidRPr="00D0386F">
        <w:t>MedRA</w:t>
      </w:r>
      <w:proofErr w:type="spellEnd"/>
      <w:r w:rsidRPr="00D0386F">
        <w:t xml:space="preserve"> criteria for obesity (n=2 (0.1%) in the LCS12 and n=1 (&lt;0.1%) in the LCS16). In the clinical studies, there were 17% (A52238) and 7.5 % (A46796) of women who were in the BMI&gt;30kg/m</w:t>
      </w:r>
      <w:r w:rsidRPr="00590069">
        <w:rPr>
          <w:vertAlign w:val="superscript"/>
        </w:rPr>
        <w:t>2</w:t>
      </w:r>
      <w:r w:rsidRPr="00D0386F">
        <w:t xml:space="preserve"> group, although as the PI was relatively low, assessing a reduced effect in the obese population as compared to the lean was unable to be undertaken. Further, in the ‘inclusion’ criteria for the study, women had to be judged as ‘healthy’ and also without hypertension.</w:t>
      </w:r>
    </w:p>
    <w:p w:rsidR="00D73F89" w:rsidRPr="00D0386F" w:rsidRDefault="00D73F89" w:rsidP="00431711">
      <w:pPr>
        <w:pStyle w:val="Heading6"/>
      </w:pPr>
      <w:r w:rsidRPr="00D0386F">
        <w:t>Non-</w:t>
      </w:r>
      <w:r w:rsidRPr="00431711">
        <w:t>compartmental</w:t>
      </w:r>
      <w:r w:rsidRPr="00D0386F">
        <w:t xml:space="preserve"> evaluation of subset 3 (subgroup of A52238)</w:t>
      </w:r>
    </w:p>
    <w:p w:rsidR="00D73F89" w:rsidRPr="00D0386F" w:rsidRDefault="00D73F89" w:rsidP="00431711">
      <w:r w:rsidRPr="00D0386F">
        <w:t>Mean PK parameters of LNG in subset 3 observed after insertion of LCS12 and LCS16 are shown below with mean and coefficient of variation (CV, in parentheses) and the median and the range (in parentheses) are provided.</w:t>
      </w:r>
    </w:p>
    <w:p w:rsidR="00D73F89" w:rsidRPr="009565A1" w:rsidRDefault="009565A1" w:rsidP="00431711">
      <w:pPr>
        <w:pStyle w:val="TableTitle"/>
      </w:pPr>
      <w:proofErr w:type="gramStart"/>
      <w:r w:rsidRPr="009565A1">
        <w:t>Table 4</w:t>
      </w:r>
      <w:r w:rsidR="00D0386F" w:rsidRPr="009565A1">
        <w:t>.</w:t>
      </w:r>
      <w:proofErr w:type="gramEnd"/>
      <w:r w:rsidR="00D0386F" w:rsidRPr="009565A1">
        <w:t xml:space="preserve"> </w:t>
      </w:r>
      <w:r w:rsidR="00D73F89" w:rsidRPr="009565A1">
        <w:t>Mean pharmacokinetic parameters of LNG observed after insertion of LCS12 and LCS16 (N=7 LCS12, N=6 LCS16)</w:t>
      </w:r>
    </w:p>
    <w:tbl>
      <w:tblPr>
        <w:tblStyle w:val="TableTGAblue"/>
        <w:tblW w:w="0" w:type="auto"/>
        <w:tblLook w:val="0620" w:firstRow="1" w:lastRow="0" w:firstColumn="0" w:lastColumn="0" w:noHBand="1" w:noVBand="1"/>
      </w:tblPr>
      <w:tblGrid>
        <w:gridCol w:w="1740"/>
        <w:gridCol w:w="1848"/>
        <w:gridCol w:w="1848"/>
        <w:gridCol w:w="1849"/>
        <w:gridCol w:w="1646"/>
      </w:tblGrid>
      <w:tr w:rsidR="00D0386F" w:rsidRPr="00D0386F" w:rsidTr="00431711">
        <w:trPr>
          <w:cnfStyle w:val="100000000000" w:firstRow="1" w:lastRow="0" w:firstColumn="0" w:lastColumn="0" w:oddVBand="0" w:evenVBand="0" w:oddHBand="0" w:evenHBand="0" w:firstRowFirstColumn="0" w:firstRowLastColumn="0" w:lastRowFirstColumn="0" w:lastRowLastColumn="0"/>
          <w:tblHeader/>
        </w:trPr>
        <w:tc>
          <w:tcPr>
            <w:tcW w:w="1740" w:type="dxa"/>
          </w:tcPr>
          <w:p w:rsidR="00D0386F" w:rsidRPr="00D0386F" w:rsidRDefault="00D0386F" w:rsidP="00431711">
            <w:pPr>
              <w:ind w:left="0" w:right="0"/>
              <w:rPr>
                <w:lang w:val="en-US"/>
              </w:rPr>
            </w:pPr>
          </w:p>
        </w:tc>
        <w:tc>
          <w:tcPr>
            <w:tcW w:w="1848" w:type="dxa"/>
          </w:tcPr>
          <w:p w:rsidR="00D0386F" w:rsidRPr="00D0386F" w:rsidRDefault="00D0386F" w:rsidP="00431711">
            <w:pPr>
              <w:ind w:left="103" w:right="0"/>
              <w:rPr>
                <w:lang w:val="en-US"/>
              </w:rPr>
            </w:pPr>
            <w:r w:rsidRPr="00D0386F">
              <w:rPr>
                <w:lang w:val="en-US"/>
              </w:rPr>
              <w:t>AUC(</w:t>
            </w:r>
            <w:proofErr w:type="spellStart"/>
            <w:r w:rsidRPr="00D0386F">
              <w:rPr>
                <w:lang w:val="en-US"/>
              </w:rPr>
              <w:t>ng·d</w:t>
            </w:r>
            <w:proofErr w:type="spellEnd"/>
            <w:r w:rsidRPr="00D0386F">
              <w:rPr>
                <w:lang w:val="en-US"/>
              </w:rPr>
              <w:t>/L)</w:t>
            </w:r>
          </w:p>
        </w:tc>
        <w:tc>
          <w:tcPr>
            <w:tcW w:w="1848" w:type="dxa"/>
          </w:tcPr>
          <w:p w:rsidR="00D0386F" w:rsidRPr="00D0386F" w:rsidRDefault="00D0386F" w:rsidP="00431711">
            <w:pPr>
              <w:ind w:left="0" w:right="117"/>
              <w:rPr>
                <w:lang w:val="en-US"/>
              </w:rPr>
            </w:pPr>
            <w:proofErr w:type="spellStart"/>
            <w:r w:rsidRPr="00D0386F">
              <w:rPr>
                <w:lang w:val="en-US"/>
              </w:rPr>
              <w:t>Cmax</w:t>
            </w:r>
            <w:proofErr w:type="spellEnd"/>
            <w:r w:rsidRPr="00D0386F">
              <w:rPr>
                <w:lang w:val="en-US"/>
              </w:rPr>
              <w:t xml:space="preserve"> (</w:t>
            </w:r>
            <w:proofErr w:type="spellStart"/>
            <w:r w:rsidRPr="00D0386F">
              <w:rPr>
                <w:lang w:val="en-US"/>
              </w:rPr>
              <w:t>ng</w:t>
            </w:r>
            <w:proofErr w:type="spellEnd"/>
            <w:r w:rsidRPr="00D0386F">
              <w:rPr>
                <w:lang w:val="en-US"/>
              </w:rPr>
              <w:t>/L)</w:t>
            </w:r>
          </w:p>
        </w:tc>
        <w:tc>
          <w:tcPr>
            <w:tcW w:w="1849" w:type="dxa"/>
          </w:tcPr>
          <w:p w:rsidR="00D0386F" w:rsidRPr="00D0386F" w:rsidRDefault="00D0386F" w:rsidP="00431711">
            <w:pPr>
              <w:ind w:left="0" w:right="0"/>
              <w:rPr>
                <w:lang w:val="en-US"/>
              </w:rPr>
            </w:pPr>
            <w:proofErr w:type="spellStart"/>
            <w:r w:rsidRPr="00D0386F">
              <w:rPr>
                <w:lang w:val="en-US"/>
              </w:rPr>
              <w:t>tmax</w:t>
            </w:r>
            <w:proofErr w:type="spellEnd"/>
            <w:r w:rsidRPr="00D0386F">
              <w:rPr>
                <w:lang w:val="en-US"/>
              </w:rPr>
              <w:t xml:space="preserve"> (d)</w:t>
            </w:r>
          </w:p>
        </w:tc>
        <w:tc>
          <w:tcPr>
            <w:tcW w:w="1646" w:type="dxa"/>
          </w:tcPr>
          <w:p w:rsidR="00D0386F" w:rsidRPr="00D0386F" w:rsidRDefault="00D0386F" w:rsidP="00431711">
            <w:pPr>
              <w:ind w:left="86" w:right="0"/>
              <w:rPr>
                <w:lang w:val="en-US"/>
              </w:rPr>
            </w:pPr>
            <w:proofErr w:type="spellStart"/>
            <w:r w:rsidRPr="00D0386F">
              <w:rPr>
                <w:lang w:val="en-US"/>
              </w:rPr>
              <w:t>Cav</w:t>
            </w:r>
            <w:proofErr w:type="spellEnd"/>
            <w:r w:rsidRPr="00D0386F">
              <w:rPr>
                <w:lang w:val="en-US"/>
              </w:rPr>
              <w:t xml:space="preserve"> (</w:t>
            </w:r>
            <w:proofErr w:type="spellStart"/>
            <w:r w:rsidRPr="00D0386F">
              <w:rPr>
                <w:lang w:val="en-US"/>
              </w:rPr>
              <w:t>ng</w:t>
            </w:r>
            <w:proofErr w:type="spellEnd"/>
            <w:r w:rsidRPr="00D0386F">
              <w:rPr>
                <w:lang w:val="en-US"/>
              </w:rPr>
              <w:t>/L)</w:t>
            </w:r>
          </w:p>
        </w:tc>
      </w:tr>
      <w:tr w:rsidR="00D0386F" w:rsidRPr="00D0386F" w:rsidTr="00431711">
        <w:tc>
          <w:tcPr>
            <w:tcW w:w="1740" w:type="dxa"/>
          </w:tcPr>
          <w:p w:rsidR="00D0386F" w:rsidRPr="00D0386F" w:rsidRDefault="00D0386F" w:rsidP="00431711">
            <w:pPr>
              <w:ind w:left="0" w:right="0"/>
              <w:rPr>
                <w:b/>
                <w:lang w:val="en-US"/>
              </w:rPr>
            </w:pPr>
            <w:r w:rsidRPr="00D0386F">
              <w:rPr>
                <w:b/>
                <w:lang w:val="en-US"/>
              </w:rPr>
              <w:t>LCS12</w:t>
            </w:r>
          </w:p>
        </w:tc>
        <w:tc>
          <w:tcPr>
            <w:tcW w:w="1848" w:type="dxa"/>
          </w:tcPr>
          <w:p w:rsidR="00D0386F" w:rsidRPr="00D0386F" w:rsidRDefault="00D0386F" w:rsidP="00431711">
            <w:pPr>
              <w:ind w:left="103" w:right="0"/>
              <w:rPr>
                <w:b/>
                <w:lang w:val="en-US"/>
              </w:rPr>
            </w:pPr>
            <w:r w:rsidRPr="00D0386F">
              <w:rPr>
                <w:lang w:val="en-US"/>
              </w:rPr>
              <w:t>76461 (41.6%)</w:t>
            </w:r>
          </w:p>
        </w:tc>
        <w:tc>
          <w:tcPr>
            <w:tcW w:w="1848" w:type="dxa"/>
          </w:tcPr>
          <w:p w:rsidR="00D0386F" w:rsidRPr="00D0386F" w:rsidRDefault="00D0386F" w:rsidP="00431711">
            <w:pPr>
              <w:ind w:left="0" w:right="117"/>
              <w:rPr>
                <w:b/>
                <w:lang w:val="en-US"/>
              </w:rPr>
            </w:pPr>
            <w:r w:rsidRPr="00D0386F">
              <w:rPr>
                <w:lang w:val="en-US"/>
              </w:rPr>
              <w:t>171 (52.1%)</w:t>
            </w:r>
          </w:p>
        </w:tc>
        <w:tc>
          <w:tcPr>
            <w:tcW w:w="1849" w:type="dxa"/>
          </w:tcPr>
          <w:p w:rsidR="00D0386F" w:rsidRPr="00D0386F" w:rsidRDefault="00D0386F" w:rsidP="00431711">
            <w:pPr>
              <w:ind w:left="0" w:right="0"/>
              <w:rPr>
                <w:b/>
                <w:lang w:val="en-US"/>
              </w:rPr>
            </w:pPr>
            <w:r w:rsidRPr="00D0386F">
              <w:rPr>
                <w:lang w:val="en-US"/>
              </w:rPr>
              <w:t>2.00 (1.00-16.0)</w:t>
            </w:r>
          </w:p>
        </w:tc>
        <w:tc>
          <w:tcPr>
            <w:tcW w:w="1646" w:type="dxa"/>
          </w:tcPr>
          <w:p w:rsidR="00D0386F" w:rsidRPr="00D0386F" w:rsidRDefault="00D0386F" w:rsidP="00431711">
            <w:pPr>
              <w:ind w:left="86" w:right="0"/>
              <w:rPr>
                <w:b/>
                <w:lang w:val="en-US"/>
              </w:rPr>
            </w:pPr>
            <w:r w:rsidRPr="00D0386F">
              <w:rPr>
                <w:lang w:val="en-US"/>
              </w:rPr>
              <w:t>70.0 (42.3%)</w:t>
            </w:r>
          </w:p>
        </w:tc>
      </w:tr>
      <w:tr w:rsidR="00D0386F" w:rsidRPr="00D0386F" w:rsidTr="00431711">
        <w:tc>
          <w:tcPr>
            <w:tcW w:w="1740" w:type="dxa"/>
          </w:tcPr>
          <w:p w:rsidR="00D0386F" w:rsidRPr="00D0386F" w:rsidRDefault="00D0386F" w:rsidP="00431711">
            <w:pPr>
              <w:ind w:left="0" w:right="0"/>
              <w:rPr>
                <w:b/>
                <w:lang w:val="en-US"/>
              </w:rPr>
            </w:pPr>
            <w:r w:rsidRPr="00D0386F">
              <w:rPr>
                <w:b/>
                <w:lang w:val="en-US"/>
              </w:rPr>
              <w:t>LCS16</w:t>
            </w:r>
          </w:p>
        </w:tc>
        <w:tc>
          <w:tcPr>
            <w:tcW w:w="1848" w:type="dxa"/>
          </w:tcPr>
          <w:p w:rsidR="00D0386F" w:rsidRPr="00D0386F" w:rsidRDefault="00D0386F" w:rsidP="00431711">
            <w:pPr>
              <w:ind w:left="103" w:right="0"/>
              <w:rPr>
                <w:b/>
                <w:lang w:val="en-US"/>
              </w:rPr>
            </w:pPr>
            <w:r w:rsidRPr="00D0386F">
              <w:rPr>
                <w:lang w:val="en-US"/>
              </w:rPr>
              <w:t>136358 (53.9%)</w:t>
            </w:r>
          </w:p>
        </w:tc>
        <w:tc>
          <w:tcPr>
            <w:tcW w:w="1848" w:type="dxa"/>
          </w:tcPr>
          <w:p w:rsidR="00D0386F" w:rsidRPr="00D0386F" w:rsidRDefault="00D0386F" w:rsidP="00431711">
            <w:pPr>
              <w:ind w:left="0" w:right="117"/>
              <w:rPr>
                <w:b/>
                <w:lang w:val="en-US"/>
              </w:rPr>
            </w:pPr>
            <w:r w:rsidRPr="00D0386F">
              <w:rPr>
                <w:lang w:val="en-US"/>
              </w:rPr>
              <w:t>264 (62.5%)</w:t>
            </w:r>
          </w:p>
        </w:tc>
        <w:tc>
          <w:tcPr>
            <w:tcW w:w="1849" w:type="dxa"/>
          </w:tcPr>
          <w:p w:rsidR="00D0386F" w:rsidRPr="00D0386F" w:rsidRDefault="00D0386F" w:rsidP="00431711">
            <w:pPr>
              <w:ind w:left="0" w:right="0"/>
              <w:rPr>
                <w:b/>
                <w:lang w:val="en-US"/>
              </w:rPr>
            </w:pPr>
            <w:r w:rsidRPr="00D0386F">
              <w:rPr>
                <w:lang w:val="en-US"/>
              </w:rPr>
              <w:t>7.50 (3.00-364)</w:t>
            </w:r>
          </w:p>
        </w:tc>
        <w:tc>
          <w:tcPr>
            <w:tcW w:w="1646" w:type="dxa"/>
          </w:tcPr>
          <w:p w:rsidR="00D0386F" w:rsidRPr="00D0386F" w:rsidRDefault="00D0386F" w:rsidP="00431711">
            <w:pPr>
              <w:ind w:left="86" w:right="0"/>
              <w:rPr>
                <w:b/>
                <w:lang w:val="en-US"/>
              </w:rPr>
            </w:pPr>
            <w:r w:rsidRPr="00D0386F">
              <w:rPr>
                <w:lang w:val="en-US"/>
              </w:rPr>
              <w:t>125 (54.0%)</w:t>
            </w:r>
          </w:p>
        </w:tc>
      </w:tr>
    </w:tbl>
    <w:p w:rsidR="00D73F89" w:rsidRPr="00B13164" w:rsidRDefault="00D73F89" w:rsidP="00431711">
      <w:pPr>
        <w:pStyle w:val="TableDescription"/>
        <w:rPr>
          <w:lang w:val="en-US"/>
        </w:rPr>
      </w:pPr>
      <w:proofErr w:type="spellStart"/>
      <w:r w:rsidRPr="00B13164">
        <w:rPr>
          <w:lang w:val="en-US"/>
        </w:rPr>
        <w:t>Cmax</w:t>
      </w:r>
      <w:proofErr w:type="spellEnd"/>
      <w:r w:rsidRPr="00B13164">
        <w:rPr>
          <w:lang w:val="en-US"/>
        </w:rPr>
        <w:t xml:space="preserve"> = maximum observed concentration</w:t>
      </w:r>
      <w:r w:rsidR="009565A1">
        <w:rPr>
          <w:lang w:val="en-US"/>
        </w:rPr>
        <w:t xml:space="preserve">; </w:t>
      </w:r>
      <w:proofErr w:type="spellStart"/>
      <w:r w:rsidRPr="00B13164">
        <w:rPr>
          <w:lang w:val="en-US"/>
        </w:rPr>
        <w:t>tmax</w:t>
      </w:r>
      <w:proofErr w:type="spellEnd"/>
      <w:r w:rsidRPr="00B13164">
        <w:rPr>
          <w:lang w:val="en-US"/>
        </w:rPr>
        <w:t xml:space="preserve"> = time to reach </w:t>
      </w:r>
      <w:proofErr w:type="spellStart"/>
      <w:r w:rsidRPr="00B13164">
        <w:rPr>
          <w:lang w:val="en-US"/>
        </w:rPr>
        <w:t>Cmax</w:t>
      </w:r>
      <w:proofErr w:type="spellEnd"/>
      <w:r w:rsidR="009565A1">
        <w:rPr>
          <w:lang w:val="en-US"/>
        </w:rPr>
        <w:t xml:space="preserve">; </w:t>
      </w:r>
      <w:proofErr w:type="gramStart"/>
      <w:r w:rsidRPr="00B13164">
        <w:rPr>
          <w:lang w:val="en-US"/>
        </w:rPr>
        <w:t>AUC(</w:t>
      </w:r>
      <w:proofErr w:type="gramEnd"/>
      <w:r w:rsidRPr="00B13164">
        <w:rPr>
          <w:lang w:val="en-US"/>
        </w:rPr>
        <w:t xml:space="preserve">0-tlast) = area under the drug concentration </w:t>
      </w:r>
      <w:proofErr w:type="spellStart"/>
      <w:r w:rsidRPr="00B13164">
        <w:rPr>
          <w:lang w:val="en-US"/>
        </w:rPr>
        <w:t>vs</w:t>
      </w:r>
      <w:proofErr w:type="spellEnd"/>
      <w:r w:rsidRPr="00B13164">
        <w:rPr>
          <w:lang w:val="en-US"/>
        </w:rPr>
        <w:t xml:space="preserve"> time curve from time 0 to the last data point &gt;LLOQ</w:t>
      </w:r>
      <w:r w:rsidR="009565A1">
        <w:rPr>
          <w:lang w:val="en-US"/>
        </w:rPr>
        <w:t xml:space="preserve">; </w:t>
      </w:r>
      <w:proofErr w:type="spellStart"/>
      <w:r w:rsidRPr="00B13164">
        <w:rPr>
          <w:lang w:val="en-US"/>
        </w:rPr>
        <w:t>Cav</w:t>
      </w:r>
      <w:proofErr w:type="spellEnd"/>
      <w:r w:rsidRPr="00B13164">
        <w:rPr>
          <w:lang w:val="en-US"/>
        </w:rPr>
        <w:t xml:space="preserve"> = average steady state concentration (AUC(0-tlast)/ </w:t>
      </w:r>
      <w:proofErr w:type="spellStart"/>
      <w:r w:rsidRPr="00B13164">
        <w:rPr>
          <w:lang w:val="en-US"/>
        </w:rPr>
        <w:t>tlast</w:t>
      </w:r>
      <w:proofErr w:type="spellEnd"/>
      <w:r w:rsidRPr="00B13164">
        <w:rPr>
          <w:lang w:val="en-US"/>
        </w:rPr>
        <w:t>)</w:t>
      </w:r>
      <w:r w:rsidR="009565A1">
        <w:rPr>
          <w:lang w:val="en-US"/>
        </w:rPr>
        <w:t xml:space="preserve">; </w:t>
      </w:r>
      <w:proofErr w:type="spellStart"/>
      <w:r w:rsidRPr="00B13164">
        <w:rPr>
          <w:lang w:val="en-US"/>
        </w:rPr>
        <w:t>Cmin</w:t>
      </w:r>
      <w:proofErr w:type="spellEnd"/>
      <w:r w:rsidRPr="00B13164">
        <w:rPr>
          <w:lang w:val="en-US"/>
        </w:rPr>
        <w:t xml:space="preserve"> = minimum observed concentration</w:t>
      </w:r>
    </w:p>
    <w:p w:rsidR="00D73F89" w:rsidRPr="000A2760" w:rsidRDefault="00D73F89" w:rsidP="00431711">
      <w:r w:rsidRPr="000A2760">
        <w:t xml:space="preserve">This data was used to determine the </w:t>
      </w:r>
      <w:r w:rsidR="00590069" w:rsidRPr="000A2760">
        <w:rPr>
          <w:i/>
          <w:iCs/>
        </w:rPr>
        <w:t>in vivo</w:t>
      </w:r>
      <w:r w:rsidRPr="000A2760">
        <w:t xml:space="preserve"> LNG release rate. Based on LNG </w:t>
      </w:r>
      <w:r w:rsidR="00590069" w:rsidRPr="000A2760">
        <w:t>in vitro</w:t>
      </w:r>
      <w:r w:rsidRPr="000A2760">
        <w:t xml:space="preserve"> release rates and </w:t>
      </w:r>
      <w:r w:rsidRPr="000A2760">
        <w:rPr>
          <w:i/>
          <w:iCs/>
        </w:rPr>
        <w:t>ex vivo</w:t>
      </w:r>
      <w:r w:rsidRPr="000A2760">
        <w:t xml:space="preserve"> LNG residual content analyses, the </w:t>
      </w:r>
      <w:r w:rsidR="00590069" w:rsidRPr="000A2760">
        <w:t>in vivo</w:t>
      </w:r>
      <w:r w:rsidRPr="000A2760">
        <w:t xml:space="preserve"> LNG release rates of LCS12 and LCS16 at the beginning, the end and on average during treatment are:</w:t>
      </w:r>
    </w:p>
    <w:p w:rsidR="00D73F89" w:rsidRDefault="009565A1" w:rsidP="00431711">
      <w:pPr>
        <w:pStyle w:val="TableTitle"/>
        <w:rPr>
          <w:lang w:val="en-US"/>
        </w:rPr>
      </w:pPr>
      <w:proofErr w:type="gramStart"/>
      <w:r>
        <w:rPr>
          <w:lang w:val="en-US"/>
        </w:rPr>
        <w:lastRenderedPageBreak/>
        <w:t>Table 5</w:t>
      </w:r>
      <w:r w:rsidR="00D0386F">
        <w:rPr>
          <w:lang w:val="en-US"/>
        </w:rPr>
        <w:t>.</w:t>
      </w:r>
      <w:proofErr w:type="gramEnd"/>
      <w:r w:rsidR="00D0386F">
        <w:rPr>
          <w:lang w:val="en-US"/>
        </w:rPr>
        <w:t xml:space="preserve"> </w:t>
      </w:r>
      <w:proofErr w:type="gramStart"/>
      <w:r w:rsidR="00D73F89" w:rsidRPr="00215315">
        <w:rPr>
          <w:lang w:val="en-US"/>
        </w:rPr>
        <w:t xml:space="preserve">Calculated </w:t>
      </w:r>
      <w:r w:rsidR="00590069" w:rsidRPr="00590069">
        <w:rPr>
          <w:i/>
          <w:iCs/>
          <w:lang w:val="en-US"/>
        </w:rPr>
        <w:t>in vivo</w:t>
      </w:r>
      <w:r w:rsidR="00D73F89" w:rsidRPr="00215315">
        <w:rPr>
          <w:i/>
          <w:iCs/>
          <w:lang w:val="en-US"/>
        </w:rPr>
        <w:t xml:space="preserve"> </w:t>
      </w:r>
      <w:r w:rsidR="00D73F89" w:rsidRPr="00215315">
        <w:rPr>
          <w:lang w:val="en-US"/>
        </w:rPr>
        <w:t>release rates at the beginning, end and average</w:t>
      </w:r>
      <w:r w:rsidR="00D73F89">
        <w:rPr>
          <w:lang w:val="en-US"/>
        </w:rPr>
        <w:t xml:space="preserve"> </w:t>
      </w:r>
      <w:r w:rsidR="00D73F89" w:rsidRPr="00215315">
        <w:rPr>
          <w:lang w:val="en-US"/>
        </w:rPr>
        <w:t>during LCS12/LCS16 use</w:t>
      </w:r>
      <w:r w:rsidR="00D73F89">
        <w:rPr>
          <w:lang w:val="en-US"/>
        </w:rPr>
        <w:t xml:space="preserve"> </w:t>
      </w:r>
      <w:r w:rsidR="00D73F89" w:rsidRPr="00215315">
        <w:rPr>
          <w:lang w:val="en-US"/>
        </w:rPr>
        <w:t>(</w:t>
      </w:r>
      <w:proofErr w:type="spellStart"/>
      <w:r w:rsidR="00D73F89" w:rsidRPr="00215315">
        <w:rPr>
          <w:lang w:val="en-US"/>
        </w:rPr>
        <w:t>μg</w:t>
      </w:r>
      <w:proofErr w:type="spellEnd"/>
      <w:r w:rsidR="00D73F89" w:rsidRPr="00215315">
        <w:rPr>
          <w:lang w:val="en-US"/>
        </w:rPr>
        <w:t>/day</w:t>
      </w:r>
      <w:r w:rsidR="00D73F89">
        <w:rPr>
          <w:lang w:val="en-US"/>
        </w:rPr>
        <w:t>)</w:t>
      </w:r>
      <w:r w:rsidR="00D73F89" w:rsidRPr="00215315">
        <w:rPr>
          <w:lang w:val="en-US"/>
        </w:rPr>
        <w:t>.</w:t>
      </w:r>
      <w:proofErr w:type="gramEnd"/>
    </w:p>
    <w:tbl>
      <w:tblPr>
        <w:tblStyle w:val="TableTGAblue"/>
        <w:tblW w:w="0" w:type="auto"/>
        <w:tblLook w:val="0620" w:firstRow="1" w:lastRow="0" w:firstColumn="0" w:lastColumn="0" w:noHBand="1" w:noVBand="1"/>
      </w:tblPr>
      <w:tblGrid>
        <w:gridCol w:w="3119"/>
        <w:gridCol w:w="2934"/>
        <w:gridCol w:w="2878"/>
      </w:tblGrid>
      <w:tr w:rsidR="0058404D" w:rsidRPr="0058404D" w:rsidTr="00431711">
        <w:trPr>
          <w:cnfStyle w:val="100000000000" w:firstRow="1" w:lastRow="0" w:firstColumn="0" w:lastColumn="0" w:oddVBand="0" w:evenVBand="0" w:oddHBand="0" w:evenHBand="0" w:firstRowFirstColumn="0" w:firstRowLastColumn="0" w:lastRowFirstColumn="0" w:lastRowLastColumn="0"/>
          <w:tblHeader/>
        </w:trPr>
        <w:tc>
          <w:tcPr>
            <w:tcW w:w="3119" w:type="dxa"/>
          </w:tcPr>
          <w:p w:rsidR="0058404D" w:rsidRPr="0058404D" w:rsidRDefault="0058404D" w:rsidP="00431711">
            <w:pPr>
              <w:tabs>
                <w:tab w:val="left" w:pos="2903"/>
              </w:tabs>
              <w:ind w:left="0" w:right="0"/>
            </w:pPr>
            <w:r w:rsidRPr="0058404D">
              <w:t>Parameter</w:t>
            </w:r>
          </w:p>
        </w:tc>
        <w:tc>
          <w:tcPr>
            <w:tcW w:w="2934" w:type="dxa"/>
          </w:tcPr>
          <w:p w:rsidR="0058404D" w:rsidRPr="0058404D" w:rsidRDefault="00590069" w:rsidP="00431711">
            <w:pPr>
              <w:ind w:left="0" w:right="25"/>
            </w:pPr>
            <w:r w:rsidRPr="00590069">
              <w:rPr>
                <w:i/>
                <w:iCs/>
              </w:rPr>
              <w:t>In vivo</w:t>
            </w:r>
            <w:r w:rsidR="0058404D" w:rsidRPr="0058404D">
              <w:t xml:space="preserve"> release  LCS12</w:t>
            </w:r>
          </w:p>
        </w:tc>
        <w:tc>
          <w:tcPr>
            <w:tcW w:w="2878" w:type="dxa"/>
          </w:tcPr>
          <w:p w:rsidR="0058404D" w:rsidRPr="0058404D" w:rsidRDefault="00590069" w:rsidP="00431711">
            <w:pPr>
              <w:ind w:left="43" w:right="68"/>
            </w:pPr>
            <w:r w:rsidRPr="00590069">
              <w:rPr>
                <w:i/>
                <w:iCs/>
              </w:rPr>
              <w:t>In vivo</w:t>
            </w:r>
            <w:r w:rsidR="0058404D" w:rsidRPr="0058404D">
              <w:t xml:space="preserve"> release LCS16</w:t>
            </w:r>
          </w:p>
        </w:tc>
      </w:tr>
      <w:tr w:rsidR="0058404D" w:rsidRPr="0058404D" w:rsidTr="00431711">
        <w:tc>
          <w:tcPr>
            <w:tcW w:w="3119" w:type="dxa"/>
          </w:tcPr>
          <w:p w:rsidR="0058404D" w:rsidRPr="0058404D" w:rsidRDefault="0058404D" w:rsidP="00431711">
            <w:pPr>
              <w:tabs>
                <w:tab w:val="left" w:pos="2903"/>
              </w:tabs>
              <w:ind w:left="0" w:right="0"/>
            </w:pPr>
            <w:r w:rsidRPr="0058404D">
              <w:t>Early release (7-d, d 19-25)</w:t>
            </w:r>
          </w:p>
        </w:tc>
        <w:tc>
          <w:tcPr>
            <w:tcW w:w="2934" w:type="dxa"/>
          </w:tcPr>
          <w:p w:rsidR="0058404D" w:rsidRPr="0058404D" w:rsidRDefault="0058404D" w:rsidP="00431711">
            <w:pPr>
              <w:ind w:left="0" w:right="25"/>
            </w:pPr>
            <w:r w:rsidRPr="0058404D">
              <w:t>10.0</w:t>
            </w:r>
          </w:p>
        </w:tc>
        <w:tc>
          <w:tcPr>
            <w:tcW w:w="2878" w:type="dxa"/>
          </w:tcPr>
          <w:p w:rsidR="0058404D" w:rsidRPr="0058404D" w:rsidRDefault="0058404D" w:rsidP="00431711">
            <w:pPr>
              <w:ind w:left="43" w:right="68"/>
            </w:pPr>
            <w:r w:rsidRPr="0058404D">
              <w:t>14.9</w:t>
            </w:r>
          </w:p>
        </w:tc>
      </w:tr>
      <w:tr w:rsidR="0058404D" w:rsidRPr="0058404D" w:rsidTr="00431711">
        <w:tc>
          <w:tcPr>
            <w:tcW w:w="3119" w:type="dxa"/>
          </w:tcPr>
          <w:p w:rsidR="0058404D" w:rsidRPr="0058404D" w:rsidRDefault="0058404D" w:rsidP="00431711">
            <w:pPr>
              <w:tabs>
                <w:tab w:val="left" w:pos="2903"/>
              </w:tabs>
              <w:ind w:left="0" w:right="0"/>
            </w:pPr>
            <w:r w:rsidRPr="0058404D">
              <w:t>Average release over 3 years</w:t>
            </w:r>
          </w:p>
        </w:tc>
        <w:tc>
          <w:tcPr>
            <w:tcW w:w="2934" w:type="dxa"/>
          </w:tcPr>
          <w:p w:rsidR="0058404D" w:rsidRPr="0058404D" w:rsidRDefault="0058404D" w:rsidP="00431711">
            <w:pPr>
              <w:ind w:left="0" w:right="25"/>
            </w:pPr>
            <w:r w:rsidRPr="0058404D">
              <w:t>6.4</w:t>
            </w:r>
          </w:p>
        </w:tc>
        <w:tc>
          <w:tcPr>
            <w:tcW w:w="2878" w:type="dxa"/>
          </w:tcPr>
          <w:p w:rsidR="0058404D" w:rsidRPr="0058404D" w:rsidRDefault="0058404D" w:rsidP="00431711">
            <w:pPr>
              <w:ind w:left="43" w:right="68"/>
            </w:pPr>
            <w:r w:rsidRPr="0058404D">
              <w:t>9.6</w:t>
            </w:r>
          </w:p>
        </w:tc>
      </w:tr>
      <w:tr w:rsidR="0058404D" w:rsidRPr="0058404D" w:rsidTr="00431711">
        <w:tc>
          <w:tcPr>
            <w:tcW w:w="3119" w:type="dxa"/>
          </w:tcPr>
          <w:p w:rsidR="0058404D" w:rsidRPr="0058404D" w:rsidRDefault="0058404D" w:rsidP="00431711">
            <w:pPr>
              <w:tabs>
                <w:tab w:val="left" w:pos="2903"/>
              </w:tabs>
              <w:ind w:left="0" w:right="0"/>
            </w:pPr>
            <w:r w:rsidRPr="0058404D">
              <w:t>Release at the end of 3 years</w:t>
            </w:r>
          </w:p>
        </w:tc>
        <w:tc>
          <w:tcPr>
            <w:tcW w:w="2934" w:type="dxa"/>
          </w:tcPr>
          <w:p w:rsidR="0058404D" w:rsidRPr="0058404D" w:rsidRDefault="0058404D" w:rsidP="00431711">
            <w:pPr>
              <w:ind w:left="0" w:right="25"/>
            </w:pPr>
            <w:r w:rsidRPr="0058404D">
              <w:t>4.8</w:t>
            </w:r>
          </w:p>
        </w:tc>
        <w:tc>
          <w:tcPr>
            <w:tcW w:w="2878" w:type="dxa"/>
          </w:tcPr>
          <w:p w:rsidR="0058404D" w:rsidRPr="0058404D" w:rsidRDefault="0058404D" w:rsidP="00431711">
            <w:pPr>
              <w:ind w:left="43" w:right="68"/>
            </w:pPr>
            <w:r w:rsidRPr="0058404D">
              <w:t>7.4</w:t>
            </w:r>
          </w:p>
        </w:tc>
      </w:tr>
    </w:tbl>
    <w:p w:rsidR="000D6833" w:rsidRDefault="000D6833" w:rsidP="00431711">
      <w:pPr>
        <w:pStyle w:val="Heading4"/>
      </w:pPr>
      <w:bookmarkStart w:id="48" w:name="_Toc346183334"/>
      <w:r w:rsidRPr="00431711">
        <w:t>Pharmacokinetic</w:t>
      </w:r>
      <w:r>
        <w:t xml:space="preserve"> studies</w:t>
      </w:r>
    </w:p>
    <w:p w:rsidR="00D73F89" w:rsidRPr="0058404D" w:rsidRDefault="00D73F89" w:rsidP="00431711">
      <w:pPr>
        <w:pStyle w:val="TableTitle"/>
      </w:pPr>
      <w:proofErr w:type="gramStart"/>
      <w:r w:rsidRPr="0058404D">
        <w:t xml:space="preserve">Table </w:t>
      </w:r>
      <w:bookmarkEnd w:id="47"/>
      <w:r w:rsidR="009565A1">
        <w:t>6</w:t>
      </w:r>
      <w:r w:rsidR="0058404D">
        <w:t>.</w:t>
      </w:r>
      <w:proofErr w:type="gramEnd"/>
      <w:r w:rsidRPr="0058404D">
        <w:t xml:space="preserve"> </w:t>
      </w:r>
      <w:proofErr w:type="gramStart"/>
      <w:r w:rsidRPr="0058404D">
        <w:t>Submitted pharmacokinetic studies.</w:t>
      </w:r>
      <w:bookmarkEnd w:id="48"/>
      <w:proofErr w:type="gramEnd"/>
    </w:p>
    <w:tbl>
      <w:tblPr>
        <w:tblStyle w:val="TableTGAblue"/>
        <w:tblW w:w="8931" w:type="dxa"/>
        <w:tblLayout w:type="fixed"/>
        <w:tblLook w:val="0620" w:firstRow="1" w:lastRow="0" w:firstColumn="0" w:lastColumn="0" w:noHBand="1" w:noVBand="1"/>
      </w:tblPr>
      <w:tblGrid>
        <w:gridCol w:w="1276"/>
        <w:gridCol w:w="1701"/>
        <w:gridCol w:w="1559"/>
        <w:gridCol w:w="4395"/>
      </w:tblGrid>
      <w:tr w:rsidR="0058404D" w:rsidRPr="0058404D" w:rsidTr="00F81C52">
        <w:trPr>
          <w:cnfStyle w:val="100000000000" w:firstRow="1" w:lastRow="0" w:firstColumn="0" w:lastColumn="0" w:oddVBand="0" w:evenVBand="0" w:oddHBand="0" w:evenHBand="0" w:firstRowFirstColumn="0" w:firstRowLastColumn="0" w:lastRowFirstColumn="0" w:lastRowLastColumn="0"/>
          <w:tblHeader/>
        </w:trPr>
        <w:tc>
          <w:tcPr>
            <w:tcW w:w="1276" w:type="dxa"/>
          </w:tcPr>
          <w:p w:rsidR="0058404D" w:rsidRPr="0058404D" w:rsidRDefault="0058404D" w:rsidP="00F81C52">
            <w:r w:rsidRPr="0058404D">
              <w:t>PK topic</w:t>
            </w:r>
          </w:p>
        </w:tc>
        <w:tc>
          <w:tcPr>
            <w:tcW w:w="1701" w:type="dxa"/>
          </w:tcPr>
          <w:p w:rsidR="0058404D" w:rsidRPr="0058404D" w:rsidRDefault="0058404D" w:rsidP="00F81C52">
            <w:r w:rsidRPr="0058404D">
              <w:t>Subtopic</w:t>
            </w:r>
          </w:p>
        </w:tc>
        <w:tc>
          <w:tcPr>
            <w:tcW w:w="1559" w:type="dxa"/>
          </w:tcPr>
          <w:p w:rsidR="0058404D" w:rsidRPr="0058404D" w:rsidRDefault="0058404D" w:rsidP="00F81C52">
            <w:r w:rsidRPr="0058404D">
              <w:t>Study ID</w:t>
            </w:r>
          </w:p>
        </w:tc>
        <w:tc>
          <w:tcPr>
            <w:tcW w:w="4395" w:type="dxa"/>
          </w:tcPr>
          <w:p w:rsidR="0058404D" w:rsidRPr="0058404D" w:rsidRDefault="0058404D" w:rsidP="00F81C52">
            <w:r w:rsidRPr="0058404D">
              <w:t>Description</w:t>
            </w:r>
          </w:p>
        </w:tc>
      </w:tr>
      <w:tr w:rsidR="0058404D" w:rsidRPr="0058404D" w:rsidTr="00F81C52">
        <w:tc>
          <w:tcPr>
            <w:tcW w:w="1276" w:type="dxa"/>
            <w:vMerge w:val="restart"/>
          </w:tcPr>
          <w:p w:rsidR="0058404D" w:rsidRPr="0058404D" w:rsidRDefault="0058404D" w:rsidP="00F81C52">
            <w:r w:rsidRPr="0058404D">
              <w:t>PK in healthy adults</w:t>
            </w:r>
          </w:p>
        </w:tc>
        <w:tc>
          <w:tcPr>
            <w:tcW w:w="1701" w:type="dxa"/>
          </w:tcPr>
          <w:p w:rsidR="0058404D" w:rsidRPr="0058404D" w:rsidRDefault="0058404D" w:rsidP="00F81C52">
            <w:r w:rsidRPr="0058404D">
              <w:t>General PK-Single dose</w:t>
            </w:r>
          </w:p>
        </w:tc>
        <w:tc>
          <w:tcPr>
            <w:tcW w:w="1559" w:type="dxa"/>
          </w:tcPr>
          <w:p w:rsidR="0058404D" w:rsidRDefault="0058404D" w:rsidP="00F81C52">
            <w:pPr>
              <w:spacing w:after="600"/>
            </w:pPr>
            <w:r w:rsidRPr="0058404D">
              <w:t>A229 (note oral LNG)</w:t>
            </w:r>
          </w:p>
          <w:p w:rsidR="0058404D" w:rsidRPr="0058404D" w:rsidRDefault="0058404D" w:rsidP="00F81C52">
            <w:r w:rsidRPr="0058404D">
              <w:t xml:space="preserve">A10982 (note </w:t>
            </w:r>
            <w:proofErr w:type="spellStart"/>
            <w:r w:rsidRPr="0058404D">
              <w:t>Mirena</w:t>
            </w:r>
            <w:proofErr w:type="spellEnd"/>
            <w:r w:rsidRPr="0058404D">
              <w:t>)</w:t>
            </w:r>
          </w:p>
        </w:tc>
        <w:tc>
          <w:tcPr>
            <w:tcW w:w="4395" w:type="dxa"/>
          </w:tcPr>
          <w:p w:rsidR="0058404D" w:rsidRPr="0058404D" w:rsidRDefault="0058404D" w:rsidP="00F81C52">
            <w:pPr>
              <w:spacing w:after="240"/>
            </w:pPr>
            <w:r w:rsidRPr="0058404D">
              <w:t xml:space="preserve">Absolute bioavailability of </w:t>
            </w:r>
            <w:proofErr w:type="spellStart"/>
            <w:r w:rsidRPr="0058404D">
              <w:t>levonorgestrel</w:t>
            </w:r>
            <w:proofErr w:type="spellEnd"/>
            <w:r w:rsidRPr="0058404D">
              <w:t xml:space="preserve"> from MICROLUT and dose linearity of </w:t>
            </w:r>
            <w:proofErr w:type="spellStart"/>
            <w:r w:rsidRPr="0058404D">
              <w:t>levonorgestrel</w:t>
            </w:r>
            <w:proofErr w:type="spellEnd"/>
            <w:r w:rsidRPr="0058404D">
              <w:t xml:space="preserve"> pharmacokinetics in 18 healthy, young women</w:t>
            </w:r>
          </w:p>
          <w:p w:rsidR="0058404D" w:rsidRPr="0058404D" w:rsidRDefault="0058404D" w:rsidP="00F81C52">
            <w:r w:rsidRPr="0058404D">
              <w:t xml:space="preserve">A </w:t>
            </w:r>
            <w:proofErr w:type="spellStart"/>
            <w:r w:rsidRPr="0058404D">
              <w:t>Multicenter</w:t>
            </w:r>
            <w:proofErr w:type="spellEnd"/>
            <w:r w:rsidRPr="0058404D">
              <w:t xml:space="preserve">, Open-Label, Non-Randomized Study of SHG 00650 </w:t>
            </w:r>
            <w:proofErr w:type="spellStart"/>
            <w:r w:rsidRPr="0058404D">
              <w:t>Levonorgestrel</w:t>
            </w:r>
            <w:proofErr w:type="spellEnd"/>
          </w:p>
          <w:p w:rsidR="0058404D" w:rsidRPr="0058404D" w:rsidRDefault="0058404D" w:rsidP="00F81C52">
            <w:r w:rsidRPr="0058404D">
              <w:t xml:space="preserve">Intrauterine System in </w:t>
            </w:r>
            <w:proofErr w:type="spellStart"/>
            <w:r w:rsidRPr="0058404D">
              <w:t>Parous</w:t>
            </w:r>
            <w:proofErr w:type="spellEnd"/>
            <w:r w:rsidRPr="0058404D">
              <w:t xml:space="preserve"> Women Seeking</w:t>
            </w:r>
          </w:p>
          <w:p w:rsidR="0058404D" w:rsidRPr="0058404D" w:rsidRDefault="0058404D" w:rsidP="00F81C52">
            <w:r w:rsidRPr="0058404D">
              <w:t>Contraception to Evaluate its Efficacy, Safety, and Pharmacokinetic Profile when Inserted for 12 months</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Multi-dose</w:t>
            </w:r>
          </w:p>
        </w:tc>
        <w:tc>
          <w:tcPr>
            <w:tcW w:w="1559" w:type="dxa"/>
          </w:tcPr>
          <w:p w:rsidR="0058404D" w:rsidRPr="0058404D" w:rsidRDefault="0058404D" w:rsidP="00F81C52">
            <w:r w:rsidRPr="0058404D">
              <w:t>N/A</w:t>
            </w:r>
          </w:p>
        </w:tc>
        <w:tc>
          <w:tcPr>
            <w:tcW w:w="4395" w:type="dxa"/>
          </w:tcPr>
          <w:p w:rsidR="0058404D" w:rsidRPr="0058404D" w:rsidRDefault="0058404D" w:rsidP="00F81C52"/>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Bioequivalence† - Single dose</w:t>
            </w:r>
          </w:p>
        </w:tc>
        <w:tc>
          <w:tcPr>
            <w:tcW w:w="1559" w:type="dxa"/>
          </w:tcPr>
          <w:p w:rsidR="0058404D" w:rsidRPr="0058404D" w:rsidRDefault="0058404D" w:rsidP="00F81C52">
            <w:r w:rsidRPr="0058404D">
              <w:t>13362</w:t>
            </w:r>
          </w:p>
          <w:p w:rsidR="0058404D" w:rsidRPr="0058404D" w:rsidRDefault="0058404D" w:rsidP="00F81C52">
            <w:r w:rsidRPr="0058404D">
              <w:t>13363</w:t>
            </w:r>
          </w:p>
        </w:tc>
        <w:tc>
          <w:tcPr>
            <w:tcW w:w="4395" w:type="dxa"/>
          </w:tcPr>
          <w:p w:rsidR="0058404D" w:rsidRPr="0058404D" w:rsidRDefault="0058404D" w:rsidP="00F81C52">
            <w:r w:rsidRPr="0058404D">
              <w:t xml:space="preserve">There was no pharmacokinetic bioequivalence data provided. These 2 studies were to show </w:t>
            </w:r>
            <w:proofErr w:type="spellStart"/>
            <w:r w:rsidRPr="0058404D">
              <w:t>pharmacodynamic</w:t>
            </w:r>
            <w:proofErr w:type="spellEnd"/>
            <w:r w:rsidRPr="0058404D">
              <w:t xml:space="preserve"> equivalence with other contraceptives and dose comparis</w:t>
            </w:r>
            <w:r w:rsidR="00F81C52">
              <w:t>on with other LNG formulations.</w:t>
            </w:r>
          </w:p>
        </w:tc>
      </w:tr>
      <w:tr w:rsidR="0058404D" w:rsidRPr="0058404D" w:rsidTr="00F81C52">
        <w:trPr>
          <w:trHeight w:val="321"/>
        </w:trPr>
        <w:tc>
          <w:tcPr>
            <w:tcW w:w="1276" w:type="dxa"/>
            <w:vMerge/>
          </w:tcPr>
          <w:p w:rsidR="0058404D" w:rsidRPr="0058404D" w:rsidRDefault="0058404D" w:rsidP="00F81C52"/>
        </w:tc>
        <w:tc>
          <w:tcPr>
            <w:tcW w:w="1701" w:type="dxa"/>
          </w:tcPr>
          <w:p w:rsidR="0058404D" w:rsidRPr="0058404D" w:rsidRDefault="0058404D" w:rsidP="00F81C52">
            <w:r w:rsidRPr="0058404D">
              <w:t>Multi-dose</w:t>
            </w:r>
          </w:p>
        </w:tc>
        <w:tc>
          <w:tcPr>
            <w:tcW w:w="1559" w:type="dxa"/>
          </w:tcPr>
          <w:p w:rsidR="0058404D" w:rsidRPr="0058404D" w:rsidRDefault="0058404D" w:rsidP="00F81C52">
            <w:r w:rsidRPr="0058404D">
              <w:t>None provided</w:t>
            </w:r>
          </w:p>
        </w:tc>
        <w:tc>
          <w:tcPr>
            <w:tcW w:w="4395" w:type="dxa"/>
          </w:tcPr>
          <w:p w:rsidR="0058404D" w:rsidRPr="0058404D" w:rsidRDefault="0058404D" w:rsidP="00F81C52"/>
        </w:tc>
      </w:tr>
      <w:tr w:rsidR="0058404D" w:rsidRPr="0058404D" w:rsidTr="00F81C52">
        <w:trPr>
          <w:trHeight w:val="269"/>
        </w:trPr>
        <w:tc>
          <w:tcPr>
            <w:tcW w:w="1276" w:type="dxa"/>
            <w:vMerge/>
          </w:tcPr>
          <w:p w:rsidR="0058404D" w:rsidRPr="0058404D" w:rsidRDefault="0058404D" w:rsidP="00F81C52"/>
        </w:tc>
        <w:tc>
          <w:tcPr>
            <w:tcW w:w="1701" w:type="dxa"/>
          </w:tcPr>
          <w:p w:rsidR="0058404D" w:rsidRPr="0058404D" w:rsidRDefault="0058404D" w:rsidP="00F81C52">
            <w:r w:rsidRPr="0058404D">
              <w:t>Food effect</w:t>
            </w:r>
          </w:p>
        </w:tc>
        <w:tc>
          <w:tcPr>
            <w:tcW w:w="1559" w:type="dxa"/>
          </w:tcPr>
          <w:p w:rsidR="0058404D" w:rsidRPr="0058404D" w:rsidRDefault="0058404D" w:rsidP="00F81C52">
            <w:r w:rsidRPr="0058404D">
              <w:t>Not provided</w:t>
            </w:r>
          </w:p>
        </w:tc>
        <w:tc>
          <w:tcPr>
            <w:tcW w:w="4395" w:type="dxa"/>
          </w:tcPr>
          <w:p w:rsidR="0058404D" w:rsidRPr="0058404D" w:rsidRDefault="0058404D" w:rsidP="00F81C52"/>
        </w:tc>
      </w:tr>
      <w:tr w:rsidR="0058404D" w:rsidRPr="0058404D" w:rsidTr="00F81C52">
        <w:tc>
          <w:tcPr>
            <w:tcW w:w="1276" w:type="dxa"/>
            <w:vMerge w:val="restart"/>
          </w:tcPr>
          <w:p w:rsidR="0058404D" w:rsidRPr="0058404D" w:rsidRDefault="0058404D" w:rsidP="00F81C52">
            <w:r w:rsidRPr="0058404D">
              <w:t>PK in special populations</w:t>
            </w:r>
          </w:p>
          <w:p w:rsidR="0058404D" w:rsidRPr="0058404D" w:rsidRDefault="0058404D" w:rsidP="00F81C52"/>
        </w:tc>
        <w:tc>
          <w:tcPr>
            <w:tcW w:w="1701" w:type="dxa"/>
          </w:tcPr>
          <w:p w:rsidR="0058404D" w:rsidRPr="0058404D" w:rsidRDefault="0058404D" w:rsidP="00F81C52">
            <w:r>
              <w:lastRenderedPageBreak/>
              <w:t>Target population §</w:t>
            </w:r>
            <w:r w:rsidRPr="0058404D">
              <w:t>-Single dose</w:t>
            </w:r>
          </w:p>
        </w:tc>
        <w:tc>
          <w:tcPr>
            <w:tcW w:w="1559" w:type="dxa"/>
          </w:tcPr>
          <w:p w:rsidR="0058404D" w:rsidRPr="0058404D" w:rsidRDefault="0058404D" w:rsidP="00F81C52">
            <w:r w:rsidRPr="0058404D">
              <w:t xml:space="preserve">A46796 (Phase II) – nulliparous AND </w:t>
            </w:r>
            <w:proofErr w:type="spellStart"/>
            <w:r w:rsidRPr="0058404D">
              <w:lastRenderedPageBreak/>
              <w:t>parous</w:t>
            </w:r>
            <w:proofErr w:type="spellEnd"/>
          </w:p>
          <w:p w:rsidR="000D6833" w:rsidRDefault="0058404D" w:rsidP="00F81C52">
            <w:pPr>
              <w:spacing w:after="600"/>
            </w:pPr>
            <w:r w:rsidRPr="0058404D">
              <w:t>Target population</w:t>
            </w:r>
          </w:p>
          <w:p w:rsidR="0058404D" w:rsidRPr="0058404D" w:rsidRDefault="0058404D" w:rsidP="00F81C52">
            <w:pPr>
              <w:spacing w:after="1080"/>
            </w:pPr>
            <w:r w:rsidRPr="0058404D">
              <w:t>A52238 (Phase III)</w:t>
            </w:r>
          </w:p>
          <w:p w:rsidR="0058404D" w:rsidRPr="0058404D" w:rsidRDefault="0058404D" w:rsidP="00F81C52">
            <w:r w:rsidRPr="0058404D">
              <w:t>91775 – Phase 3b extension study for A52238 in Asia-Pacific region (China, Korea, Australia)</w:t>
            </w:r>
          </w:p>
        </w:tc>
        <w:tc>
          <w:tcPr>
            <w:tcW w:w="4395" w:type="dxa"/>
          </w:tcPr>
          <w:p w:rsidR="0058404D" w:rsidRPr="0058404D" w:rsidRDefault="0058404D" w:rsidP="00F81C52">
            <w:r w:rsidRPr="0058404D">
              <w:lastRenderedPageBreak/>
              <w:t>Multi-</w:t>
            </w:r>
            <w:proofErr w:type="spellStart"/>
            <w:r w:rsidRPr="0058404D">
              <w:t>center</w:t>
            </w:r>
            <w:proofErr w:type="spellEnd"/>
            <w:r w:rsidRPr="0058404D">
              <w:t xml:space="preserve">, open, randomized, dose finding phase II study to investigate for a maximum of three years </w:t>
            </w:r>
            <w:proofErr w:type="spellStart"/>
            <w:r w:rsidRPr="0058404D">
              <w:t>ultra low</w:t>
            </w:r>
            <w:proofErr w:type="spellEnd"/>
            <w:r w:rsidRPr="0058404D">
              <w:t xml:space="preserve"> dose </w:t>
            </w:r>
            <w:proofErr w:type="spellStart"/>
            <w:r w:rsidRPr="0058404D">
              <w:t>levonorgestrel</w:t>
            </w:r>
            <w:proofErr w:type="spellEnd"/>
            <w:r w:rsidRPr="0058404D">
              <w:t xml:space="preserve"> contraceptive intrauterine</w:t>
            </w:r>
            <w:r w:rsidR="00E34258">
              <w:t xml:space="preserve"> </w:t>
            </w:r>
            <w:r w:rsidRPr="0058404D">
              <w:t xml:space="preserve">systems releasing </w:t>
            </w:r>
            <w:r w:rsidR="00590069" w:rsidRPr="00590069">
              <w:rPr>
                <w:i/>
                <w:iCs/>
              </w:rPr>
              <w:t>in vitro</w:t>
            </w:r>
            <w:r w:rsidRPr="0058404D">
              <w:t xml:space="preserve"> </w:t>
            </w:r>
            <w:r w:rsidRPr="0058404D">
              <w:lastRenderedPageBreak/>
              <w:t xml:space="preserve">12 </w:t>
            </w:r>
            <w:proofErr w:type="spellStart"/>
            <w:r w:rsidRPr="0058404D">
              <w:t>μg</w:t>
            </w:r>
            <w:proofErr w:type="spellEnd"/>
            <w:r w:rsidRPr="0058404D">
              <w:t xml:space="preserve">/24 h and 16 </w:t>
            </w:r>
            <w:proofErr w:type="spellStart"/>
            <w:r w:rsidRPr="0058404D">
              <w:t>μg</w:t>
            </w:r>
            <w:proofErr w:type="spellEnd"/>
            <w:r w:rsidRPr="0058404D">
              <w:t xml:space="preserve">/24 </w:t>
            </w:r>
            <w:proofErr w:type="spellStart"/>
            <w:r w:rsidRPr="0058404D">
              <w:t>hof</w:t>
            </w:r>
            <w:proofErr w:type="spellEnd"/>
            <w:r w:rsidRPr="0058404D">
              <w:t xml:space="preserve"> LNG compared to MIRENA in nulliparous and </w:t>
            </w:r>
            <w:proofErr w:type="spellStart"/>
            <w:r w:rsidRPr="0058404D">
              <w:t>parous</w:t>
            </w:r>
            <w:proofErr w:type="spellEnd"/>
            <w:r w:rsidRPr="0058404D">
              <w:t xml:space="preserve"> women in need of contraception</w:t>
            </w:r>
          </w:p>
          <w:p w:rsidR="0058404D" w:rsidRPr="0058404D" w:rsidRDefault="0058404D" w:rsidP="00F81C52">
            <w:pPr>
              <w:spacing w:before="360" w:after="360"/>
            </w:pPr>
            <w:r w:rsidRPr="0058404D">
              <w:t>A52238 Phase III Multi-</w:t>
            </w:r>
            <w:proofErr w:type="spellStart"/>
            <w:r w:rsidRPr="0058404D">
              <w:t>center</w:t>
            </w:r>
            <w:proofErr w:type="spellEnd"/>
            <w:r w:rsidRPr="0058404D">
              <w:t>, open-label, randomized study to assess the safety and contraceptive efficacy of two doses (</w:t>
            </w:r>
            <w:r w:rsidR="00590069" w:rsidRPr="00590069">
              <w:rPr>
                <w:i/>
                <w:iCs/>
              </w:rPr>
              <w:t>in vitro</w:t>
            </w:r>
            <w:r w:rsidRPr="0058404D">
              <w:t xml:space="preserve"> 12μg/24 h and 16μg/24 h) of the </w:t>
            </w:r>
            <w:proofErr w:type="spellStart"/>
            <w:r w:rsidRPr="0058404D">
              <w:t>ultra low</w:t>
            </w:r>
            <w:proofErr w:type="spellEnd"/>
            <w:r w:rsidRPr="0058404D">
              <w:t xml:space="preserve"> dose</w:t>
            </w:r>
            <w:r>
              <w:t xml:space="preserve"> </w:t>
            </w:r>
            <w:proofErr w:type="spellStart"/>
            <w:r w:rsidRPr="0058404D">
              <w:t>levonorgestrel</w:t>
            </w:r>
            <w:proofErr w:type="spellEnd"/>
            <w:r w:rsidRPr="0058404D">
              <w:t xml:space="preserve"> contraceptive intrauterine systems (LCS) for maximum of 3 years in women 18 to 35 years of age and extension phase of the 16μg/24 h dose group (LCS16) up to 5 years</w:t>
            </w:r>
          </w:p>
          <w:p w:rsidR="0058404D" w:rsidRPr="0058404D" w:rsidRDefault="0058404D" w:rsidP="00F81C52">
            <w:r w:rsidRPr="0058404D">
              <w:t>Multi-</w:t>
            </w:r>
            <w:proofErr w:type="spellStart"/>
            <w:r w:rsidRPr="0058404D">
              <w:t>center</w:t>
            </w:r>
            <w:proofErr w:type="spellEnd"/>
            <w:r w:rsidRPr="0058404D">
              <w:t xml:space="preserve">, open label, single arm study to assess efficacy, safety, bleeding pattern and pharmacokinetics of the </w:t>
            </w:r>
            <w:proofErr w:type="spellStart"/>
            <w:r w:rsidRPr="0058404D">
              <w:t>ultra low</w:t>
            </w:r>
            <w:proofErr w:type="spellEnd"/>
            <w:r w:rsidRPr="0058404D">
              <w:t xml:space="preserve"> dose </w:t>
            </w:r>
            <w:proofErr w:type="spellStart"/>
            <w:r w:rsidRPr="0058404D">
              <w:t>levonorgestrel</w:t>
            </w:r>
            <w:proofErr w:type="spellEnd"/>
            <w:r w:rsidRPr="0058404D">
              <w:t xml:space="preserve"> intrauterine contraceptive system (LCS) for a maximum of 3 years</w:t>
            </w:r>
            <w:r w:rsidR="00F81C52">
              <w:t xml:space="preserve"> in women 18 to 40 years of age</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Multi-dose</w:t>
            </w:r>
          </w:p>
        </w:tc>
        <w:tc>
          <w:tcPr>
            <w:tcW w:w="1559" w:type="dxa"/>
          </w:tcPr>
          <w:p w:rsidR="0058404D" w:rsidRPr="0058404D" w:rsidRDefault="0058404D" w:rsidP="00F81C52">
            <w:r w:rsidRPr="0058404D">
              <w:t>N</w:t>
            </w:r>
            <w:r w:rsidR="007563F4">
              <w:t xml:space="preserve">il </w:t>
            </w:r>
            <w:r w:rsidRPr="0058404D">
              <w:t>S</w:t>
            </w:r>
            <w:r w:rsidR="007563F4">
              <w:t>tudies</w:t>
            </w:r>
          </w:p>
        </w:tc>
        <w:tc>
          <w:tcPr>
            <w:tcW w:w="4395" w:type="dxa"/>
          </w:tcPr>
          <w:p w:rsidR="0058404D" w:rsidRPr="0058404D" w:rsidRDefault="0058404D" w:rsidP="00F81C52"/>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Hepatic impairment</w:t>
            </w:r>
          </w:p>
        </w:tc>
        <w:tc>
          <w:tcPr>
            <w:tcW w:w="1559" w:type="dxa"/>
          </w:tcPr>
          <w:p w:rsidR="0058404D" w:rsidRPr="0058404D" w:rsidRDefault="00F81C52" w:rsidP="00F81C52">
            <w:r>
              <w:t>A02495</w:t>
            </w:r>
          </w:p>
        </w:tc>
        <w:tc>
          <w:tcPr>
            <w:tcW w:w="4395" w:type="dxa"/>
          </w:tcPr>
          <w:p w:rsidR="0058404D" w:rsidRPr="0058404D" w:rsidRDefault="00590069" w:rsidP="00F81C52">
            <w:r w:rsidRPr="00590069">
              <w:rPr>
                <w:i/>
                <w:iCs/>
              </w:rPr>
              <w:t>In vitro</w:t>
            </w:r>
            <w:r w:rsidR="0058404D" w:rsidRPr="0058404D">
              <w:t xml:space="preserve"> study</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Renal impairment</w:t>
            </w:r>
          </w:p>
        </w:tc>
        <w:tc>
          <w:tcPr>
            <w:tcW w:w="1559" w:type="dxa"/>
          </w:tcPr>
          <w:p w:rsidR="0058404D" w:rsidRPr="0058404D" w:rsidRDefault="0058404D" w:rsidP="00F81C52"/>
        </w:tc>
        <w:tc>
          <w:tcPr>
            <w:tcW w:w="4395" w:type="dxa"/>
          </w:tcPr>
          <w:p w:rsidR="0058404D" w:rsidRPr="0058404D" w:rsidRDefault="0058404D" w:rsidP="00F81C52">
            <w:r w:rsidRPr="0058404D">
              <w:t>Not provided</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Neonates/</w:t>
            </w:r>
            <w:r w:rsidR="002C1906">
              <w:t xml:space="preserve"> </w:t>
            </w:r>
            <w:r w:rsidRPr="0058404D">
              <w:t>infants/children/adolescents</w:t>
            </w:r>
          </w:p>
        </w:tc>
        <w:tc>
          <w:tcPr>
            <w:tcW w:w="1559" w:type="dxa"/>
          </w:tcPr>
          <w:p w:rsidR="0058404D" w:rsidRPr="0058404D" w:rsidRDefault="0058404D" w:rsidP="00F81C52">
            <w:r w:rsidRPr="0058404D">
              <w:t>14371 (paediatric clinical trial under way for women post menarche)</w:t>
            </w:r>
          </w:p>
        </w:tc>
        <w:tc>
          <w:tcPr>
            <w:tcW w:w="4395" w:type="dxa"/>
          </w:tcPr>
          <w:p w:rsidR="0058404D" w:rsidRPr="0058404D" w:rsidRDefault="0058404D" w:rsidP="00F81C52">
            <w:pPr>
              <w:spacing w:after="360"/>
            </w:pPr>
            <w:r w:rsidRPr="0058404D">
              <w:t>Not relevant currently</w:t>
            </w:r>
            <w:r w:rsidR="002C1906">
              <w:t xml:space="preserve"> </w:t>
            </w:r>
            <w:r w:rsidRPr="0058404D">
              <w:t>for this application if &lt;18 years</w:t>
            </w:r>
          </w:p>
          <w:p w:rsidR="0058404D" w:rsidRPr="0058404D" w:rsidRDefault="0058404D" w:rsidP="00F81C52">
            <w:r w:rsidRPr="0058404D">
              <w:t>Multi-</w:t>
            </w:r>
            <w:proofErr w:type="spellStart"/>
            <w:r w:rsidRPr="0058404D">
              <w:t>center</w:t>
            </w:r>
            <w:proofErr w:type="spellEnd"/>
            <w:r w:rsidRPr="0058404D">
              <w:t xml:space="preserve">, single-arm study to assess the safety, efficacy, discontinuation rate and pharmacokinetics of the low-dose </w:t>
            </w:r>
            <w:proofErr w:type="spellStart"/>
            <w:r w:rsidRPr="0058404D">
              <w:t>levonorgestrel</w:t>
            </w:r>
            <w:proofErr w:type="spellEnd"/>
            <w:r w:rsidRPr="0058404D">
              <w:t xml:space="preserve"> intrauterine contraceptive system (LCS12) in post-</w:t>
            </w:r>
            <w:proofErr w:type="spellStart"/>
            <w:r w:rsidRPr="0058404D">
              <w:t>menarcheal</w:t>
            </w:r>
            <w:proofErr w:type="spellEnd"/>
            <w:r w:rsidRPr="0058404D">
              <w:t xml:space="preserve"> female adolescents under 18 years of age for 1 year, and an optional 2-year extension phase simulations to be confirmed by a population-based sparse sampling approach </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Elderly</w:t>
            </w:r>
          </w:p>
        </w:tc>
        <w:tc>
          <w:tcPr>
            <w:tcW w:w="1559" w:type="dxa"/>
          </w:tcPr>
          <w:p w:rsidR="0058404D" w:rsidRPr="0058404D" w:rsidRDefault="0058404D" w:rsidP="00F81C52"/>
        </w:tc>
        <w:tc>
          <w:tcPr>
            <w:tcW w:w="4395" w:type="dxa"/>
          </w:tcPr>
          <w:p w:rsidR="0058404D" w:rsidRPr="0058404D" w:rsidRDefault="0058404D" w:rsidP="00F81C52">
            <w:r w:rsidRPr="0058404D">
              <w:t>Not relevant for this application</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Paediatrics</w:t>
            </w:r>
          </w:p>
        </w:tc>
        <w:tc>
          <w:tcPr>
            <w:tcW w:w="1559" w:type="dxa"/>
          </w:tcPr>
          <w:p w:rsidR="0058404D" w:rsidRPr="0058404D" w:rsidRDefault="0058404D" w:rsidP="00F81C52">
            <w:r w:rsidRPr="0058404D">
              <w:t>A57120</w:t>
            </w:r>
          </w:p>
        </w:tc>
        <w:tc>
          <w:tcPr>
            <w:tcW w:w="4395" w:type="dxa"/>
          </w:tcPr>
          <w:p w:rsidR="0058404D" w:rsidRPr="0058404D" w:rsidRDefault="0058404D" w:rsidP="00F81C52">
            <w:r w:rsidRPr="0058404D">
              <w:t>PK population study-Paediatric Scaling LNG LCS IUD (population analysis)</w:t>
            </w:r>
          </w:p>
        </w:tc>
      </w:tr>
      <w:tr w:rsidR="0058404D" w:rsidRPr="0058404D" w:rsidTr="00F81C52">
        <w:tc>
          <w:tcPr>
            <w:tcW w:w="1276" w:type="dxa"/>
          </w:tcPr>
          <w:p w:rsidR="0058404D" w:rsidRPr="0058404D" w:rsidRDefault="0058404D" w:rsidP="00F81C52">
            <w:r w:rsidRPr="0058404D">
              <w:t>Genetic/</w:t>
            </w:r>
            <w:r w:rsidR="002C1906">
              <w:t xml:space="preserve"> </w:t>
            </w:r>
            <w:r w:rsidRPr="0058404D">
              <w:t>gender-related PK</w:t>
            </w:r>
          </w:p>
        </w:tc>
        <w:tc>
          <w:tcPr>
            <w:tcW w:w="1701" w:type="dxa"/>
          </w:tcPr>
          <w:p w:rsidR="0058404D" w:rsidRPr="0058404D" w:rsidRDefault="0058404D" w:rsidP="00F81C52">
            <w:r w:rsidRPr="0058404D">
              <w:t>Males vs. females</w:t>
            </w:r>
          </w:p>
        </w:tc>
        <w:tc>
          <w:tcPr>
            <w:tcW w:w="1559" w:type="dxa"/>
          </w:tcPr>
          <w:p w:rsidR="0058404D" w:rsidRPr="0058404D" w:rsidRDefault="0058404D" w:rsidP="00F81C52"/>
        </w:tc>
        <w:tc>
          <w:tcPr>
            <w:tcW w:w="4395" w:type="dxa"/>
          </w:tcPr>
          <w:p w:rsidR="0058404D" w:rsidRPr="0058404D" w:rsidRDefault="0058404D" w:rsidP="00F81C52">
            <w:r w:rsidRPr="0058404D">
              <w:t>Females only</w:t>
            </w:r>
          </w:p>
        </w:tc>
      </w:tr>
      <w:tr w:rsidR="0058404D" w:rsidRPr="0058404D" w:rsidTr="00F81C52">
        <w:tc>
          <w:tcPr>
            <w:tcW w:w="1276" w:type="dxa"/>
          </w:tcPr>
          <w:p w:rsidR="0058404D" w:rsidRPr="0058404D" w:rsidRDefault="0058404D" w:rsidP="00F81C52">
            <w:r w:rsidRPr="0058404D">
              <w:t>PK interactions</w:t>
            </w:r>
          </w:p>
        </w:tc>
        <w:tc>
          <w:tcPr>
            <w:tcW w:w="1701" w:type="dxa"/>
          </w:tcPr>
          <w:p w:rsidR="0058404D" w:rsidRPr="0058404D" w:rsidRDefault="0058404D" w:rsidP="00F81C52">
            <w:r w:rsidRPr="0058404D">
              <w:t>LNG</w:t>
            </w:r>
          </w:p>
        </w:tc>
        <w:tc>
          <w:tcPr>
            <w:tcW w:w="1559" w:type="dxa"/>
          </w:tcPr>
          <w:p w:rsidR="0058404D" w:rsidRPr="0058404D" w:rsidRDefault="0058404D" w:rsidP="00F81C52"/>
        </w:tc>
        <w:tc>
          <w:tcPr>
            <w:tcW w:w="4395" w:type="dxa"/>
          </w:tcPr>
          <w:p w:rsidR="0058404D" w:rsidRPr="0058404D" w:rsidRDefault="0058404D" w:rsidP="00F81C52">
            <w:r w:rsidRPr="0058404D">
              <w:t>This information was not provided for evaluation</w:t>
            </w:r>
          </w:p>
          <w:p w:rsidR="0058404D" w:rsidRPr="0058404D" w:rsidRDefault="0058404D" w:rsidP="00F81C52">
            <w:r w:rsidRPr="0058404D">
              <w:t>Discussions about potential CYP450 3A4 interactions were discussed</w:t>
            </w:r>
          </w:p>
        </w:tc>
      </w:tr>
      <w:tr w:rsidR="0058404D" w:rsidRPr="0058404D" w:rsidTr="00F81C52">
        <w:tc>
          <w:tcPr>
            <w:tcW w:w="1276" w:type="dxa"/>
            <w:vMerge w:val="restart"/>
          </w:tcPr>
          <w:p w:rsidR="0058404D" w:rsidRPr="0058404D" w:rsidRDefault="0058404D" w:rsidP="00F81C52">
            <w:r w:rsidRPr="0058404D">
              <w:t>Population PK analyses</w:t>
            </w:r>
          </w:p>
        </w:tc>
        <w:tc>
          <w:tcPr>
            <w:tcW w:w="1701" w:type="dxa"/>
          </w:tcPr>
          <w:p w:rsidR="0058404D" w:rsidRPr="0058404D" w:rsidRDefault="0058404D" w:rsidP="00F81C52">
            <w:r w:rsidRPr="0058404D">
              <w:t>Healthy subjects</w:t>
            </w:r>
          </w:p>
        </w:tc>
        <w:tc>
          <w:tcPr>
            <w:tcW w:w="1559" w:type="dxa"/>
          </w:tcPr>
          <w:p w:rsidR="0058404D" w:rsidRPr="0058404D" w:rsidRDefault="00F81C52" w:rsidP="00F81C52">
            <w:pPr>
              <w:spacing w:after="600"/>
            </w:pPr>
            <w:r>
              <w:t>A57120</w:t>
            </w:r>
          </w:p>
          <w:p w:rsidR="0058404D" w:rsidRPr="0058404D" w:rsidRDefault="0058404D" w:rsidP="00F81C52">
            <w:pPr>
              <w:spacing w:after="1200"/>
            </w:pPr>
            <w:r w:rsidRPr="0058404D">
              <w:t>A57551 (308901)</w:t>
            </w:r>
          </w:p>
          <w:p w:rsidR="0058404D" w:rsidRPr="0058404D" w:rsidRDefault="0058404D" w:rsidP="00F81C52">
            <w:r w:rsidRPr="0058404D">
              <w:t>A57552 (310442)</w:t>
            </w:r>
          </w:p>
        </w:tc>
        <w:tc>
          <w:tcPr>
            <w:tcW w:w="4395" w:type="dxa"/>
          </w:tcPr>
          <w:p w:rsidR="0058404D" w:rsidRPr="0058404D" w:rsidRDefault="0058404D" w:rsidP="00F81C52">
            <w:pPr>
              <w:spacing w:after="360"/>
            </w:pPr>
            <w:r w:rsidRPr="0058404D">
              <w:t>PBPK study-</w:t>
            </w:r>
            <w:proofErr w:type="spellStart"/>
            <w:r w:rsidRPr="0058404D">
              <w:t>Pediatric</w:t>
            </w:r>
            <w:proofErr w:type="spellEnd"/>
            <w:r w:rsidRPr="0058404D">
              <w:t xml:space="preserve"> Scaling LNG LCS IUD</w:t>
            </w:r>
          </w:p>
          <w:p w:rsidR="0058404D" w:rsidRPr="0058404D" w:rsidRDefault="0058404D" w:rsidP="00F81C52">
            <w:pPr>
              <w:spacing w:after="360"/>
            </w:pPr>
            <w:r w:rsidRPr="0058404D">
              <w:t xml:space="preserve">Exploratory population pharmacokinetic analysis of </w:t>
            </w:r>
            <w:proofErr w:type="spellStart"/>
            <w:r w:rsidRPr="0058404D">
              <w:t>levonorgestrel</w:t>
            </w:r>
            <w:proofErr w:type="spellEnd"/>
            <w:r w:rsidRPr="0058404D">
              <w:t xml:space="preserve"> in the multi-</w:t>
            </w:r>
            <w:proofErr w:type="spellStart"/>
            <w:r w:rsidRPr="0058404D">
              <w:t>center</w:t>
            </w:r>
            <w:proofErr w:type="spellEnd"/>
            <w:r w:rsidRPr="0058404D">
              <w:t xml:space="preserve">, open, randomized, dose finding phase II study to investigate for a maximum of three years </w:t>
            </w:r>
            <w:proofErr w:type="spellStart"/>
            <w:r w:rsidRPr="0058404D">
              <w:t>ultra low</w:t>
            </w:r>
            <w:proofErr w:type="spellEnd"/>
            <w:r w:rsidRPr="0058404D">
              <w:t xml:space="preserve"> dose </w:t>
            </w:r>
            <w:proofErr w:type="spellStart"/>
            <w:r w:rsidRPr="0058404D">
              <w:t>levonorgestrel</w:t>
            </w:r>
            <w:proofErr w:type="spellEnd"/>
            <w:r w:rsidRPr="0058404D">
              <w:t xml:space="preserve"> contraceptive intrauterine systems</w:t>
            </w:r>
          </w:p>
          <w:p w:rsidR="0058404D" w:rsidRPr="0058404D" w:rsidRDefault="0058404D" w:rsidP="00F81C52">
            <w:r w:rsidRPr="0058404D">
              <w:t xml:space="preserve">Exploratory population pharmacokinetic analysis of </w:t>
            </w:r>
            <w:proofErr w:type="spellStart"/>
            <w:r w:rsidRPr="0058404D">
              <w:t>levonorgestrel</w:t>
            </w:r>
            <w:proofErr w:type="spellEnd"/>
            <w:r w:rsidRPr="0058404D">
              <w:t xml:space="preserve"> in the multi-</w:t>
            </w:r>
            <w:proofErr w:type="spellStart"/>
            <w:r w:rsidRPr="0058404D">
              <w:t>center</w:t>
            </w:r>
            <w:proofErr w:type="spellEnd"/>
            <w:r w:rsidRPr="0058404D">
              <w:t>, open-label, randomized phase III study to assess the safety and contraceptive efficacy of two doses</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Target population</w:t>
            </w:r>
          </w:p>
        </w:tc>
        <w:tc>
          <w:tcPr>
            <w:tcW w:w="1559" w:type="dxa"/>
          </w:tcPr>
          <w:p w:rsidR="0058404D" w:rsidRPr="0058404D" w:rsidRDefault="0058404D" w:rsidP="00F81C52"/>
        </w:tc>
        <w:tc>
          <w:tcPr>
            <w:tcW w:w="4395" w:type="dxa"/>
          </w:tcPr>
          <w:p w:rsidR="0058404D" w:rsidRPr="0058404D" w:rsidRDefault="0058404D" w:rsidP="00F81C52">
            <w:r w:rsidRPr="0058404D">
              <w:t>These are also the population in the ‘healthy’ study groups</w:t>
            </w:r>
          </w:p>
        </w:tc>
      </w:tr>
      <w:tr w:rsidR="0058404D" w:rsidRPr="0058404D" w:rsidTr="00F81C52">
        <w:tc>
          <w:tcPr>
            <w:tcW w:w="1276" w:type="dxa"/>
            <w:vMerge/>
          </w:tcPr>
          <w:p w:rsidR="0058404D" w:rsidRPr="0058404D" w:rsidRDefault="0058404D" w:rsidP="00F81C52"/>
        </w:tc>
        <w:tc>
          <w:tcPr>
            <w:tcW w:w="1701" w:type="dxa"/>
          </w:tcPr>
          <w:p w:rsidR="0058404D" w:rsidRPr="0058404D" w:rsidRDefault="0058404D" w:rsidP="00F81C52">
            <w:r w:rsidRPr="0058404D">
              <w:t>Other</w:t>
            </w:r>
          </w:p>
        </w:tc>
        <w:tc>
          <w:tcPr>
            <w:tcW w:w="1559" w:type="dxa"/>
          </w:tcPr>
          <w:p w:rsidR="0058404D" w:rsidRPr="0058404D" w:rsidRDefault="0058404D" w:rsidP="00F81C52"/>
        </w:tc>
        <w:tc>
          <w:tcPr>
            <w:tcW w:w="4395" w:type="dxa"/>
          </w:tcPr>
          <w:p w:rsidR="0058404D" w:rsidRPr="0058404D" w:rsidRDefault="0058404D" w:rsidP="00F81C52"/>
        </w:tc>
      </w:tr>
    </w:tbl>
    <w:p w:rsidR="00D73F89" w:rsidRPr="000D6833" w:rsidRDefault="00D73F89" w:rsidP="00F81C52">
      <w:r w:rsidRPr="000D6833">
        <w:t>None of the pharmacokinetic studies had deficiencies that excluded their results from consideration.</w:t>
      </w:r>
    </w:p>
    <w:p w:rsidR="00D73F89" w:rsidRPr="000D6833" w:rsidRDefault="00D73F89" w:rsidP="004618CE">
      <w:pPr>
        <w:pStyle w:val="Heading3"/>
      </w:pPr>
      <w:bookmarkStart w:id="49" w:name="_Ref269118175"/>
      <w:bookmarkStart w:id="50" w:name="_Toc272414616"/>
      <w:bookmarkStart w:id="51" w:name="_Toc290846239"/>
      <w:bookmarkStart w:id="52" w:name="_Toc290888776"/>
      <w:bookmarkStart w:id="53" w:name="_Toc343587549"/>
      <w:bookmarkStart w:id="54" w:name="_Toc219998379"/>
      <w:bookmarkStart w:id="55" w:name="_Toc219998483"/>
      <w:bookmarkStart w:id="56" w:name="_Toc219998898"/>
      <w:bookmarkStart w:id="57" w:name="_Toc219999001"/>
      <w:bookmarkStart w:id="58" w:name="_Toc219999102"/>
      <w:bookmarkStart w:id="59" w:name="_Toc229197917"/>
      <w:bookmarkStart w:id="60" w:name="_Toc380660793"/>
      <w:r w:rsidRPr="004618CE">
        <w:t>Summary</w:t>
      </w:r>
      <w:r w:rsidRPr="000D6833">
        <w:t xml:space="preserve"> of pharmacokinetics</w:t>
      </w:r>
      <w:bookmarkEnd w:id="49"/>
      <w:bookmarkEnd w:id="50"/>
      <w:bookmarkEnd w:id="51"/>
      <w:bookmarkEnd w:id="52"/>
      <w:bookmarkEnd w:id="53"/>
      <w:bookmarkEnd w:id="54"/>
      <w:bookmarkEnd w:id="55"/>
      <w:bookmarkEnd w:id="56"/>
      <w:bookmarkEnd w:id="57"/>
      <w:bookmarkEnd w:id="58"/>
      <w:bookmarkEnd w:id="59"/>
      <w:bookmarkEnd w:id="60"/>
    </w:p>
    <w:p w:rsidR="00D73F89" w:rsidRPr="000D6833" w:rsidRDefault="00D73F89" w:rsidP="004618CE">
      <w:r w:rsidRPr="000D6833">
        <w:t xml:space="preserve">The information in the following summary is derived from conventional pharmacokinetic studies unless otherwise stated. Specifically, standard </w:t>
      </w:r>
      <w:r w:rsidR="00590069" w:rsidRPr="00590069">
        <w:rPr>
          <w:i/>
          <w:iCs/>
        </w:rPr>
        <w:t>in vivo</w:t>
      </w:r>
      <w:r w:rsidRPr="000D6833">
        <w:t xml:space="preserve"> biopharmaceutical studies have not been conducted. However some pharmacokinetic analysis was performed in small subsets of the 2 large trials. Specifically, in both the pivotal Phase 2 (A46796) and Phase 3 (A52238) </w:t>
      </w:r>
      <w:r w:rsidRPr="000D6833">
        <w:lastRenderedPageBreak/>
        <w:t>studies, parameters from a subset of 12 women per treatment arm (LCS12 and LCS16) were used to determine a non-compartmental population pharmacokinetic model. In A52238 a population pharmacokinetic analysis was conducted using serum concentration data of LNG and SHBG from all women who were treated with LCS12 or 16. These PK models were used as the basis for understanding relationships between pharmacokinetic and PD variables such as bone mineral density, endometrial pathology, hypothalamic-pituitary function, menstrual cycles and bleeding. In an additional subset of 20 women per treatment arm, other PD parameters including ovarian and cerv</w:t>
      </w:r>
      <w:r w:rsidR="004618CE">
        <w:t>ical effects were investigated.</w:t>
      </w:r>
    </w:p>
    <w:p w:rsidR="00D73F89" w:rsidRPr="009C2302" w:rsidRDefault="00D73F89" w:rsidP="004618CE">
      <w:pPr>
        <w:pStyle w:val="Heading4"/>
      </w:pPr>
      <w:bookmarkStart w:id="61" w:name="_Ref271189106"/>
      <w:bookmarkStart w:id="62" w:name="_Ref271189143"/>
      <w:bookmarkStart w:id="63" w:name="_Toc272414618"/>
      <w:bookmarkStart w:id="64" w:name="_Toc290846241"/>
      <w:bookmarkStart w:id="65" w:name="_Toc290888778"/>
      <w:bookmarkStart w:id="66" w:name="_Toc343587551"/>
      <w:bookmarkStart w:id="67" w:name="_Toc219998381"/>
      <w:bookmarkStart w:id="68" w:name="_Toc219998485"/>
      <w:bookmarkStart w:id="69" w:name="_Toc219998900"/>
      <w:bookmarkStart w:id="70" w:name="_Toc219999003"/>
      <w:bookmarkStart w:id="71" w:name="_Toc219999104"/>
      <w:bookmarkStart w:id="72" w:name="_Toc229197919"/>
      <w:r w:rsidRPr="009C2302">
        <w:t>Pharmacokinetics in healthy subjects</w:t>
      </w:r>
      <w:bookmarkEnd w:id="61"/>
      <w:bookmarkEnd w:id="62"/>
      <w:bookmarkEnd w:id="63"/>
      <w:bookmarkEnd w:id="64"/>
      <w:bookmarkEnd w:id="65"/>
      <w:bookmarkEnd w:id="66"/>
      <w:bookmarkEnd w:id="67"/>
      <w:bookmarkEnd w:id="68"/>
      <w:bookmarkEnd w:id="69"/>
      <w:bookmarkEnd w:id="70"/>
      <w:bookmarkEnd w:id="71"/>
      <w:bookmarkEnd w:id="72"/>
    </w:p>
    <w:p w:rsidR="00D73F89" w:rsidRPr="009C2302" w:rsidRDefault="00D73F89" w:rsidP="004618CE">
      <w:pPr>
        <w:pStyle w:val="Heading5"/>
      </w:pPr>
      <w:bookmarkStart w:id="73" w:name="_Toc272414619"/>
      <w:bookmarkStart w:id="74" w:name="_Toc290846242"/>
      <w:bookmarkStart w:id="75" w:name="_Toc290888779"/>
      <w:r w:rsidRPr="009C2302">
        <w:t>Absorption</w:t>
      </w:r>
      <w:bookmarkEnd w:id="73"/>
      <w:bookmarkEnd w:id="74"/>
      <w:bookmarkEnd w:id="75"/>
    </w:p>
    <w:p w:rsidR="00D73F89" w:rsidRPr="009C2302" w:rsidRDefault="00D73F89" w:rsidP="004618CE">
      <w:pPr>
        <w:pStyle w:val="Heading6"/>
      </w:pPr>
      <w:r w:rsidRPr="009C2302">
        <w:t>Sites and mechanisms of absorption</w:t>
      </w:r>
    </w:p>
    <w:p w:rsidR="00D73F89" w:rsidRPr="009C2302" w:rsidRDefault="00D73F89" w:rsidP="004618CE">
      <w:r w:rsidRPr="009C2302">
        <w:t>As described in Section 4.1</w:t>
      </w:r>
      <w:r w:rsidR="009565A1">
        <w:t>.1</w:t>
      </w:r>
      <w:r w:rsidRPr="009C2302">
        <w:t xml:space="preserve">, small subgroups of the large clinical studies of healthy subjects A46796 and A52238, blood sampling for LNG and SHBG concentrations was undertaken to determine pharmacokinetic parameters. Serum concentrations of LNG were detectable one hour after insertion at about one third of the concentration measured after one day for </w:t>
      </w:r>
      <w:proofErr w:type="spellStart"/>
      <w:r w:rsidRPr="009C2302">
        <w:t>Mirena</w:t>
      </w:r>
      <w:proofErr w:type="spellEnd"/>
      <w:r w:rsidRPr="009C2302">
        <w:t xml:space="preserve">. Serum </w:t>
      </w:r>
      <w:proofErr w:type="spellStart"/>
      <w:r w:rsidRPr="009C2302">
        <w:t>Cmax</w:t>
      </w:r>
      <w:proofErr w:type="spellEnd"/>
      <w:r w:rsidRPr="009C2302">
        <w:t xml:space="preserve"> was achieved between 2-14 days after insertion, with a LNG concentration of 137ng/L (Phase 2 study) and 171ng/L (Phase 3 study) with LCS12 and which decreased slowly to mean values in the range </w:t>
      </w:r>
      <w:proofErr w:type="gramStart"/>
      <w:r w:rsidRPr="009C2302">
        <w:t xml:space="preserve">of 68 to 69 </w:t>
      </w:r>
      <w:proofErr w:type="spellStart"/>
      <w:r w:rsidRPr="009C2302">
        <w:t>ng</w:t>
      </w:r>
      <w:proofErr w:type="spellEnd"/>
      <w:r w:rsidRPr="009C2302">
        <w:t>/L (LCS12)</w:t>
      </w:r>
      <w:proofErr w:type="gramEnd"/>
      <w:r w:rsidRPr="009C2302">
        <w:t xml:space="preserve"> after 3 years in the phase 2 and phase 3 studies. Using in addition sparse blood samples with subsequent LNG and SHBG serum analysis from all women that were included, a population pharmacokinetic model was established - typical serum concentrations of LNG from this PK analysis </w:t>
      </w:r>
      <w:r w:rsidR="004618CE">
        <w:t>are summarized presented below.</w:t>
      </w:r>
    </w:p>
    <w:p w:rsidR="00D73F89" w:rsidRPr="00C32198" w:rsidRDefault="009565A1" w:rsidP="004618CE">
      <w:pPr>
        <w:pStyle w:val="TableTitle"/>
      </w:pPr>
      <w:proofErr w:type="gramStart"/>
      <w:r w:rsidRPr="00C32198">
        <w:t>Table 7</w:t>
      </w:r>
      <w:r w:rsidR="009C2302" w:rsidRPr="00C32198">
        <w:t>.</w:t>
      </w:r>
      <w:proofErr w:type="gramEnd"/>
      <w:r w:rsidR="009C2302" w:rsidRPr="00C32198">
        <w:t xml:space="preserve"> </w:t>
      </w:r>
      <w:r w:rsidRPr="00C32198">
        <w:t>Geometric mean, 5th and 95th percentile of LNG serum concentrati</w:t>
      </w:r>
      <w:r w:rsidR="004618CE">
        <w:t>ons post LCS12 insertion (</w:t>
      </w:r>
      <w:proofErr w:type="spellStart"/>
      <w:r w:rsidR="004618CE">
        <w:t>ng</w:t>
      </w:r>
      <w:proofErr w:type="spellEnd"/>
      <w:r w:rsidR="004618CE">
        <w:t>/L)</w:t>
      </w:r>
    </w:p>
    <w:tbl>
      <w:tblPr>
        <w:tblStyle w:val="TableTGAblue"/>
        <w:tblW w:w="8789" w:type="dxa"/>
        <w:tblLayout w:type="fixed"/>
        <w:tblLook w:val="0620" w:firstRow="1" w:lastRow="0" w:firstColumn="0" w:lastColumn="0" w:noHBand="1" w:noVBand="1"/>
      </w:tblPr>
      <w:tblGrid>
        <w:gridCol w:w="1276"/>
        <w:gridCol w:w="1073"/>
        <w:gridCol w:w="1073"/>
        <w:gridCol w:w="1073"/>
        <w:gridCol w:w="1074"/>
        <w:gridCol w:w="1073"/>
        <w:gridCol w:w="1073"/>
        <w:gridCol w:w="1074"/>
      </w:tblGrid>
      <w:tr w:rsidR="00D73F89" w:rsidRPr="009C2302" w:rsidTr="004618CE">
        <w:trPr>
          <w:cnfStyle w:val="100000000000" w:firstRow="1" w:lastRow="0" w:firstColumn="0" w:lastColumn="0" w:oddVBand="0" w:evenVBand="0" w:oddHBand="0" w:evenHBand="0" w:firstRowFirstColumn="0" w:firstRowLastColumn="0" w:lastRowFirstColumn="0" w:lastRowLastColumn="0"/>
          <w:trHeight w:val="132"/>
          <w:tblHeader/>
        </w:trPr>
        <w:tc>
          <w:tcPr>
            <w:tcW w:w="1276" w:type="dxa"/>
          </w:tcPr>
          <w:p w:rsidR="00D73F89" w:rsidRPr="009C2302" w:rsidRDefault="00D73F89" w:rsidP="004618CE">
            <w:pPr>
              <w:ind w:left="0" w:right="0"/>
            </w:pPr>
            <w:r w:rsidRPr="009C2302">
              <w:t xml:space="preserve">Parameter </w:t>
            </w:r>
          </w:p>
        </w:tc>
        <w:tc>
          <w:tcPr>
            <w:tcW w:w="1073" w:type="dxa"/>
          </w:tcPr>
          <w:p w:rsidR="00D73F89" w:rsidRPr="009C2302" w:rsidRDefault="00D73F89" w:rsidP="004618CE">
            <w:pPr>
              <w:ind w:left="0" w:right="6"/>
            </w:pPr>
            <w:r w:rsidRPr="009C2302">
              <w:t>1 day (d)</w:t>
            </w:r>
          </w:p>
        </w:tc>
        <w:tc>
          <w:tcPr>
            <w:tcW w:w="1073" w:type="dxa"/>
          </w:tcPr>
          <w:p w:rsidR="00D73F89" w:rsidRPr="009C2302" w:rsidRDefault="00D73F89" w:rsidP="004618CE">
            <w:pPr>
              <w:ind w:left="61" w:right="0"/>
            </w:pPr>
            <w:r w:rsidRPr="009C2302">
              <w:t xml:space="preserve">7 d </w:t>
            </w:r>
          </w:p>
        </w:tc>
        <w:tc>
          <w:tcPr>
            <w:tcW w:w="1073" w:type="dxa"/>
          </w:tcPr>
          <w:p w:rsidR="00D73F89" w:rsidRPr="009C2302" w:rsidRDefault="00D73F89" w:rsidP="004618CE">
            <w:pPr>
              <w:ind w:left="0" w:right="0"/>
            </w:pPr>
            <w:r w:rsidRPr="009C2302">
              <w:t>30</w:t>
            </w:r>
            <w:r w:rsidR="00C32198">
              <w:t xml:space="preserve"> </w:t>
            </w:r>
            <w:r w:rsidRPr="009C2302">
              <w:t>d</w:t>
            </w:r>
          </w:p>
        </w:tc>
        <w:tc>
          <w:tcPr>
            <w:tcW w:w="1074" w:type="dxa"/>
          </w:tcPr>
          <w:p w:rsidR="00D73F89" w:rsidRPr="009C2302" w:rsidRDefault="00D73F89" w:rsidP="004618CE">
            <w:pPr>
              <w:ind w:left="41" w:right="0"/>
            </w:pPr>
            <w:r w:rsidRPr="009C2302">
              <w:t xml:space="preserve">3 month </w:t>
            </w:r>
          </w:p>
        </w:tc>
        <w:tc>
          <w:tcPr>
            <w:tcW w:w="1073" w:type="dxa"/>
          </w:tcPr>
          <w:p w:rsidR="00D73F89" w:rsidRPr="009C2302" w:rsidRDefault="00D73F89" w:rsidP="004618CE">
            <w:pPr>
              <w:ind w:left="101" w:right="47"/>
            </w:pPr>
            <w:r w:rsidRPr="009C2302">
              <w:t xml:space="preserve">1 year </w:t>
            </w:r>
          </w:p>
        </w:tc>
        <w:tc>
          <w:tcPr>
            <w:tcW w:w="1073" w:type="dxa"/>
          </w:tcPr>
          <w:p w:rsidR="00D73F89" w:rsidRPr="009C2302" w:rsidRDefault="00D73F89" w:rsidP="004618CE">
            <w:pPr>
              <w:ind w:left="21" w:right="0"/>
            </w:pPr>
            <w:r w:rsidRPr="009C2302">
              <w:t xml:space="preserve">2 years </w:t>
            </w:r>
          </w:p>
        </w:tc>
        <w:tc>
          <w:tcPr>
            <w:tcW w:w="1074" w:type="dxa"/>
          </w:tcPr>
          <w:p w:rsidR="00D73F89" w:rsidRPr="009C2302" w:rsidRDefault="00D73F89" w:rsidP="004618CE">
            <w:pPr>
              <w:ind w:left="82" w:right="68"/>
            </w:pPr>
            <w:r w:rsidRPr="009C2302">
              <w:t xml:space="preserve">3 years </w:t>
            </w:r>
          </w:p>
        </w:tc>
      </w:tr>
      <w:tr w:rsidR="00D73F89" w:rsidRPr="009C2302" w:rsidTr="004618CE">
        <w:trPr>
          <w:trHeight w:val="132"/>
        </w:trPr>
        <w:tc>
          <w:tcPr>
            <w:tcW w:w="1276" w:type="dxa"/>
          </w:tcPr>
          <w:p w:rsidR="00D73F89" w:rsidRPr="009C2302" w:rsidRDefault="00D73F89" w:rsidP="004618CE">
            <w:pPr>
              <w:ind w:left="0" w:right="0"/>
            </w:pPr>
            <w:r w:rsidRPr="009C2302">
              <w:t xml:space="preserve">Mean </w:t>
            </w:r>
          </w:p>
        </w:tc>
        <w:tc>
          <w:tcPr>
            <w:tcW w:w="1073" w:type="dxa"/>
          </w:tcPr>
          <w:p w:rsidR="00D73F89" w:rsidRPr="009C2302" w:rsidRDefault="00D73F89" w:rsidP="004618CE">
            <w:pPr>
              <w:ind w:left="0" w:right="6"/>
            </w:pPr>
            <w:r w:rsidRPr="009C2302">
              <w:t xml:space="preserve">116 </w:t>
            </w:r>
          </w:p>
        </w:tc>
        <w:tc>
          <w:tcPr>
            <w:tcW w:w="1073" w:type="dxa"/>
          </w:tcPr>
          <w:p w:rsidR="00D73F89" w:rsidRPr="009C2302" w:rsidRDefault="00D73F89" w:rsidP="004618CE">
            <w:pPr>
              <w:ind w:left="61" w:right="0"/>
            </w:pPr>
            <w:r w:rsidRPr="009C2302">
              <w:t xml:space="preserve">162 </w:t>
            </w:r>
          </w:p>
        </w:tc>
        <w:tc>
          <w:tcPr>
            <w:tcW w:w="1073" w:type="dxa"/>
          </w:tcPr>
          <w:p w:rsidR="00D73F89" w:rsidRPr="009C2302" w:rsidRDefault="00D73F89" w:rsidP="004618CE">
            <w:pPr>
              <w:ind w:left="0" w:right="0"/>
            </w:pPr>
            <w:r w:rsidRPr="009C2302">
              <w:t xml:space="preserve">131 </w:t>
            </w:r>
          </w:p>
        </w:tc>
        <w:tc>
          <w:tcPr>
            <w:tcW w:w="1074" w:type="dxa"/>
          </w:tcPr>
          <w:p w:rsidR="00D73F89" w:rsidRPr="009C2302" w:rsidRDefault="00D73F89" w:rsidP="004618CE">
            <w:pPr>
              <w:ind w:left="41" w:right="0"/>
            </w:pPr>
            <w:r w:rsidRPr="009C2302">
              <w:t xml:space="preserve">99.8 </w:t>
            </w:r>
          </w:p>
        </w:tc>
        <w:tc>
          <w:tcPr>
            <w:tcW w:w="1073" w:type="dxa"/>
          </w:tcPr>
          <w:p w:rsidR="00D73F89" w:rsidRPr="009C2302" w:rsidRDefault="00D73F89" w:rsidP="004618CE">
            <w:pPr>
              <w:ind w:left="101" w:right="47"/>
            </w:pPr>
            <w:r w:rsidRPr="009C2302">
              <w:t xml:space="preserve">71.0 </w:t>
            </w:r>
          </w:p>
        </w:tc>
        <w:tc>
          <w:tcPr>
            <w:tcW w:w="1073" w:type="dxa"/>
          </w:tcPr>
          <w:p w:rsidR="00D73F89" w:rsidRPr="009C2302" w:rsidRDefault="00D73F89" w:rsidP="004618CE">
            <w:pPr>
              <w:ind w:left="21" w:right="0"/>
            </w:pPr>
            <w:r w:rsidRPr="009C2302">
              <w:t xml:space="preserve">64.3 </w:t>
            </w:r>
          </w:p>
        </w:tc>
        <w:tc>
          <w:tcPr>
            <w:tcW w:w="1074" w:type="dxa"/>
          </w:tcPr>
          <w:p w:rsidR="00D73F89" w:rsidRPr="009C2302" w:rsidRDefault="00D73F89" w:rsidP="004618CE">
            <w:pPr>
              <w:ind w:left="82" w:right="68"/>
            </w:pPr>
            <w:r w:rsidRPr="009C2302">
              <w:t xml:space="preserve">58.6 </w:t>
            </w:r>
          </w:p>
        </w:tc>
      </w:tr>
      <w:tr w:rsidR="00D73F89" w:rsidRPr="009C2302" w:rsidTr="004618CE">
        <w:trPr>
          <w:trHeight w:val="132"/>
        </w:trPr>
        <w:tc>
          <w:tcPr>
            <w:tcW w:w="1276" w:type="dxa"/>
          </w:tcPr>
          <w:p w:rsidR="00D73F89" w:rsidRPr="009C2302" w:rsidRDefault="00D73F89" w:rsidP="004618CE">
            <w:pPr>
              <w:ind w:left="0" w:right="0"/>
            </w:pPr>
            <w:r w:rsidRPr="009C2302">
              <w:t>5</w:t>
            </w:r>
            <w:r w:rsidRPr="00C32198">
              <w:rPr>
                <w:vertAlign w:val="superscript"/>
              </w:rPr>
              <w:t>th</w:t>
            </w:r>
            <w:r w:rsidR="00C32198">
              <w:t xml:space="preserve"> </w:t>
            </w:r>
            <w:r w:rsidR="004618CE">
              <w:t>percentile</w:t>
            </w:r>
          </w:p>
        </w:tc>
        <w:tc>
          <w:tcPr>
            <w:tcW w:w="1073" w:type="dxa"/>
          </w:tcPr>
          <w:p w:rsidR="00D73F89" w:rsidRPr="009C2302" w:rsidRDefault="00D73F89" w:rsidP="004618CE">
            <w:pPr>
              <w:ind w:left="0" w:right="6"/>
            </w:pPr>
            <w:r w:rsidRPr="009C2302">
              <w:t xml:space="preserve">85.8 </w:t>
            </w:r>
          </w:p>
        </w:tc>
        <w:tc>
          <w:tcPr>
            <w:tcW w:w="1073" w:type="dxa"/>
          </w:tcPr>
          <w:p w:rsidR="00D73F89" w:rsidRPr="009C2302" w:rsidRDefault="00D73F89" w:rsidP="004618CE">
            <w:pPr>
              <w:ind w:left="61" w:right="0"/>
            </w:pPr>
            <w:r w:rsidRPr="009C2302">
              <w:t xml:space="preserve">102 </w:t>
            </w:r>
          </w:p>
        </w:tc>
        <w:tc>
          <w:tcPr>
            <w:tcW w:w="1073" w:type="dxa"/>
          </w:tcPr>
          <w:p w:rsidR="00D73F89" w:rsidRPr="009C2302" w:rsidRDefault="00D73F89" w:rsidP="004618CE">
            <w:pPr>
              <w:ind w:left="0" w:right="0"/>
            </w:pPr>
            <w:r w:rsidRPr="009C2302">
              <w:t xml:space="preserve">83.0 </w:t>
            </w:r>
          </w:p>
        </w:tc>
        <w:tc>
          <w:tcPr>
            <w:tcW w:w="1074" w:type="dxa"/>
          </w:tcPr>
          <w:p w:rsidR="00D73F89" w:rsidRPr="009C2302" w:rsidRDefault="00D73F89" w:rsidP="004618CE">
            <w:pPr>
              <w:ind w:left="41" w:right="0"/>
            </w:pPr>
            <w:r w:rsidRPr="009C2302">
              <w:t xml:space="preserve">62.8 </w:t>
            </w:r>
          </w:p>
        </w:tc>
        <w:tc>
          <w:tcPr>
            <w:tcW w:w="1073" w:type="dxa"/>
          </w:tcPr>
          <w:p w:rsidR="00D73F89" w:rsidRPr="009C2302" w:rsidRDefault="00D73F89" w:rsidP="004618CE">
            <w:pPr>
              <w:ind w:left="101" w:right="47"/>
            </w:pPr>
            <w:r w:rsidRPr="009C2302">
              <w:t xml:space="preserve">44.4 </w:t>
            </w:r>
          </w:p>
        </w:tc>
        <w:tc>
          <w:tcPr>
            <w:tcW w:w="1073" w:type="dxa"/>
          </w:tcPr>
          <w:p w:rsidR="00D73F89" w:rsidRPr="009C2302" w:rsidRDefault="00D73F89" w:rsidP="004618CE">
            <w:pPr>
              <w:ind w:left="21" w:right="0"/>
            </w:pPr>
            <w:r w:rsidRPr="009C2302">
              <w:t xml:space="preserve">40.6 </w:t>
            </w:r>
          </w:p>
        </w:tc>
        <w:tc>
          <w:tcPr>
            <w:tcW w:w="1074" w:type="dxa"/>
          </w:tcPr>
          <w:p w:rsidR="00D73F89" w:rsidRPr="009C2302" w:rsidRDefault="00D73F89" w:rsidP="004618CE">
            <w:pPr>
              <w:ind w:left="82" w:right="68"/>
            </w:pPr>
            <w:r w:rsidRPr="009C2302">
              <w:t xml:space="preserve">36.2 </w:t>
            </w:r>
          </w:p>
        </w:tc>
      </w:tr>
      <w:tr w:rsidR="00D73F89" w:rsidRPr="009C2302" w:rsidTr="004618CE">
        <w:trPr>
          <w:trHeight w:val="132"/>
        </w:trPr>
        <w:tc>
          <w:tcPr>
            <w:tcW w:w="1276" w:type="dxa"/>
          </w:tcPr>
          <w:p w:rsidR="00D73F89" w:rsidRPr="009C2302" w:rsidRDefault="00D73F89" w:rsidP="004618CE">
            <w:pPr>
              <w:ind w:left="0" w:right="0"/>
            </w:pPr>
            <w:r w:rsidRPr="009C2302">
              <w:t>95</w:t>
            </w:r>
            <w:r w:rsidRPr="00C32198">
              <w:rPr>
                <w:vertAlign w:val="superscript"/>
              </w:rPr>
              <w:t>th</w:t>
            </w:r>
            <w:r w:rsidR="00C32198">
              <w:t xml:space="preserve"> </w:t>
            </w:r>
            <w:r w:rsidR="004618CE">
              <w:t>percentile</w:t>
            </w:r>
          </w:p>
        </w:tc>
        <w:tc>
          <w:tcPr>
            <w:tcW w:w="1073" w:type="dxa"/>
          </w:tcPr>
          <w:p w:rsidR="00D73F89" w:rsidRPr="009C2302" w:rsidRDefault="00D73F89" w:rsidP="004618CE">
            <w:pPr>
              <w:ind w:left="0" w:right="6"/>
            </w:pPr>
            <w:r w:rsidRPr="009C2302">
              <w:t xml:space="preserve">154 </w:t>
            </w:r>
          </w:p>
        </w:tc>
        <w:tc>
          <w:tcPr>
            <w:tcW w:w="1073" w:type="dxa"/>
          </w:tcPr>
          <w:p w:rsidR="00D73F89" w:rsidRPr="009C2302" w:rsidRDefault="00D73F89" w:rsidP="004618CE">
            <w:pPr>
              <w:ind w:left="61" w:right="0"/>
            </w:pPr>
            <w:r w:rsidRPr="009C2302">
              <w:t xml:space="preserve">249 </w:t>
            </w:r>
          </w:p>
        </w:tc>
        <w:tc>
          <w:tcPr>
            <w:tcW w:w="1073" w:type="dxa"/>
          </w:tcPr>
          <w:p w:rsidR="00D73F89" w:rsidRPr="009C2302" w:rsidRDefault="00D73F89" w:rsidP="004618CE">
            <w:pPr>
              <w:ind w:left="0" w:right="0"/>
            </w:pPr>
            <w:r w:rsidRPr="009C2302">
              <w:t xml:space="preserve">198 </w:t>
            </w:r>
          </w:p>
        </w:tc>
        <w:tc>
          <w:tcPr>
            <w:tcW w:w="1074" w:type="dxa"/>
          </w:tcPr>
          <w:p w:rsidR="00D73F89" w:rsidRPr="009C2302" w:rsidRDefault="00D73F89" w:rsidP="004618CE">
            <w:pPr>
              <w:ind w:left="41" w:right="0"/>
            </w:pPr>
            <w:r w:rsidRPr="009C2302">
              <w:t xml:space="preserve">153 </w:t>
            </w:r>
          </w:p>
        </w:tc>
        <w:tc>
          <w:tcPr>
            <w:tcW w:w="1073" w:type="dxa"/>
          </w:tcPr>
          <w:p w:rsidR="00D73F89" w:rsidRPr="009C2302" w:rsidRDefault="00D73F89" w:rsidP="004618CE">
            <w:pPr>
              <w:ind w:left="101" w:right="47"/>
            </w:pPr>
            <w:r w:rsidRPr="009C2302">
              <w:t xml:space="preserve">109 </w:t>
            </w:r>
          </w:p>
        </w:tc>
        <w:tc>
          <w:tcPr>
            <w:tcW w:w="1073" w:type="dxa"/>
          </w:tcPr>
          <w:p w:rsidR="00D73F89" w:rsidRPr="009C2302" w:rsidRDefault="00D73F89" w:rsidP="004618CE">
            <w:pPr>
              <w:ind w:left="21" w:right="0"/>
            </w:pPr>
            <w:r w:rsidRPr="009C2302">
              <w:t xml:space="preserve">99.5 </w:t>
            </w:r>
          </w:p>
        </w:tc>
        <w:tc>
          <w:tcPr>
            <w:tcW w:w="1074" w:type="dxa"/>
          </w:tcPr>
          <w:p w:rsidR="00D73F89" w:rsidRPr="009C2302" w:rsidRDefault="00D73F89" w:rsidP="004618CE">
            <w:pPr>
              <w:ind w:left="82" w:right="68"/>
            </w:pPr>
            <w:r w:rsidRPr="009C2302">
              <w:t xml:space="preserve">91.9 </w:t>
            </w:r>
          </w:p>
        </w:tc>
      </w:tr>
    </w:tbl>
    <w:p w:rsidR="00D73F89" w:rsidRPr="009C2302" w:rsidRDefault="00D73F89" w:rsidP="004618CE">
      <w:pPr>
        <w:pStyle w:val="Heading5"/>
      </w:pPr>
      <w:bookmarkStart w:id="76" w:name="_Toc241374287"/>
      <w:bookmarkStart w:id="77" w:name="_Toc272414620"/>
      <w:bookmarkStart w:id="78" w:name="_Toc290846243"/>
      <w:bookmarkStart w:id="79" w:name="_Toc290888780"/>
      <w:r w:rsidRPr="004618CE">
        <w:t>Bioavailability</w:t>
      </w:r>
      <w:bookmarkEnd w:id="76"/>
      <w:bookmarkEnd w:id="77"/>
      <w:bookmarkEnd w:id="78"/>
      <w:bookmarkEnd w:id="79"/>
    </w:p>
    <w:p w:rsidR="00D73F89" w:rsidRPr="009C2302" w:rsidRDefault="00D73F89" w:rsidP="00EC64F4">
      <w:r w:rsidRPr="009C2302">
        <w:t xml:space="preserve">Typical </w:t>
      </w:r>
      <w:r w:rsidR="00590069" w:rsidRPr="00590069">
        <w:rPr>
          <w:i/>
          <w:iCs/>
        </w:rPr>
        <w:t>in vivo</w:t>
      </w:r>
      <w:r w:rsidRPr="009C2302">
        <w:t xml:space="preserve"> biopharmaceutical studies, such as a bioavailability or a bioequivalence study, have not been conducted for this application to register </w:t>
      </w:r>
      <w:proofErr w:type="spellStart"/>
      <w:r w:rsidRPr="009C2302">
        <w:t>Jaydess</w:t>
      </w:r>
      <w:proofErr w:type="spellEnd"/>
      <w:r w:rsidRPr="009C2302">
        <w:t xml:space="preserve">. From the applicant’s point of view this is justified by </w:t>
      </w:r>
      <w:proofErr w:type="spellStart"/>
      <w:r w:rsidRPr="009C2302">
        <w:t>Jaydess</w:t>
      </w:r>
      <w:proofErr w:type="spellEnd"/>
      <w:r w:rsidRPr="009C2302">
        <w:t xml:space="preserve"> being a mainly locally acting product with low systemic concentrations of LNG in serum (around 100ng/L after 3 months). This compares with concentrations of LNG after daily oral administration of a combined oral contraceptive containing 100 </w:t>
      </w:r>
      <w:proofErr w:type="spellStart"/>
      <w:r w:rsidRPr="009C2302">
        <w:t>μg</w:t>
      </w:r>
      <w:proofErr w:type="spellEnd"/>
      <w:r w:rsidRPr="009C2302">
        <w:t xml:space="preserve"> LNG of about 4500 </w:t>
      </w:r>
      <w:proofErr w:type="spellStart"/>
      <w:r w:rsidRPr="009C2302">
        <w:t>ng</w:t>
      </w:r>
      <w:proofErr w:type="spellEnd"/>
      <w:r w:rsidRPr="009C2302">
        <w:t xml:space="preserve">/L. This 35 fold lower systemic exposure means it is unlikely new safety issues with LNG will be seen with LCS. This is confirmed with a relative lack of activity on ovulation, as compared to the higher dose used in </w:t>
      </w:r>
      <w:proofErr w:type="spellStart"/>
      <w:r w:rsidRPr="009C2302">
        <w:t>Mirena</w:t>
      </w:r>
      <w:proofErr w:type="spellEnd"/>
      <w:r w:rsidRPr="009C2302">
        <w:t xml:space="preserve">.  It is thus the local release rates of LNG which are important, and the IVIVC model has focused on this using </w:t>
      </w:r>
      <w:r w:rsidRPr="00590069">
        <w:rPr>
          <w:i/>
          <w:iCs/>
        </w:rPr>
        <w:t>ex vivo</w:t>
      </w:r>
      <w:r w:rsidRPr="009C2302">
        <w:t xml:space="preserve"> release rates as confirmation of the model simulation data.</w:t>
      </w:r>
    </w:p>
    <w:p w:rsidR="00D73F89" w:rsidRPr="009C2302" w:rsidRDefault="00D73F89" w:rsidP="00EC64F4">
      <w:r w:rsidRPr="009C2302">
        <w:t xml:space="preserve">Having mentioned that, in the submission, there is some data on bioavailability provided (Study A229- Absolute bioavailability of </w:t>
      </w:r>
      <w:proofErr w:type="spellStart"/>
      <w:r w:rsidRPr="009C2302">
        <w:t>levonorgestrel</w:t>
      </w:r>
      <w:proofErr w:type="spellEnd"/>
      <w:r w:rsidRPr="009C2302">
        <w:t xml:space="preserve"> from MICROLUT and dose linearity of </w:t>
      </w:r>
      <w:proofErr w:type="spellStart"/>
      <w:r w:rsidRPr="009C2302">
        <w:t>levonorgestrel</w:t>
      </w:r>
      <w:proofErr w:type="spellEnd"/>
      <w:r w:rsidRPr="009C2302">
        <w:t xml:space="preserve"> pharmacokinetics in 18 healthy, young women and patient-</w:t>
      </w:r>
      <w:proofErr w:type="spellStart"/>
      <w:r w:rsidRPr="009C2302">
        <w:t>pk</w:t>
      </w:r>
      <w:proofErr w:type="spellEnd"/>
      <w:r w:rsidRPr="009C2302">
        <w:t xml:space="preserve">-and-initial-tolerability-study-reports). This is a study completed in 1994 which aimed to determine the </w:t>
      </w:r>
      <w:r w:rsidRPr="009C2302">
        <w:lastRenderedPageBreak/>
        <w:t xml:space="preserve">absolute bioavailability after oral administration of three tablets of </w:t>
      </w:r>
      <w:proofErr w:type="spellStart"/>
      <w:r w:rsidRPr="009C2302">
        <w:t>Microlut</w:t>
      </w:r>
      <w:proofErr w:type="spellEnd"/>
      <w:r w:rsidRPr="009C2302">
        <w:t xml:space="preserve"> (LNG) compared to an intravenous solution of 0.09mg LNG in a mixed micelles solution. Here dose linearity was also measured by administering two further single oral doses of LNG at 0.03mg and 0.27mg (9 tablets).</w:t>
      </w:r>
    </w:p>
    <w:p w:rsidR="00D73F89" w:rsidRPr="009C2302" w:rsidRDefault="00D73F89" w:rsidP="00EC64F4">
      <w:r w:rsidRPr="009C2302">
        <w:t>Thus there were 4 groups in this study:</w:t>
      </w:r>
    </w:p>
    <w:p w:rsidR="00D73F89" w:rsidRPr="009C2302" w:rsidRDefault="00D73F89" w:rsidP="00EC64F4">
      <w:pPr>
        <w:pStyle w:val="ListBullet"/>
      </w:pPr>
      <w:r w:rsidRPr="009C2302">
        <w:t>Group A – 0.03 mg LNG</w:t>
      </w:r>
    </w:p>
    <w:p w:rsidR="00D73F89" w:rsidRPr="009C2302" w:rsidRDefault="00D73F89" w:rsidP="00EC64F4">
      <w:pPr>
        <w:pStyle w:val="ListBullet"/>
      </w:pPr>
      <w:r w:rsidRPr="009C2302">
        <w:t>Group B – 0.09 mg LNG</w:t>
      </w:r>
    </w:p>
    <w:p w:rsidR="00D73F89" w:rsidRPr="009C2302" w:rsidRDefault="00D73F89" w:rsidP="00C32198">
      <w:pPr>
        <w:pStyle w:val="ListBullet"/>
      </w:pPr>
      <w:r w:rsidRPr="009C2302">
        <w:t>Group C – 0.27 mg LNG</w:t>
      </w:r>
    </w:p>
    <w:p w:rsidR="00D73F89" w:rsidRPr="009C2302" w:rsidRDefault="00D73F89" w:rsidP="00EC64F4">
      <w:pPr>
        <w:pStyle w:val="ListBullet"/>
      </w:pPr>
      <w:r w:rsidRPr="009C2302">
        <w:t>Group D – 0.03 mg LNG (</w:t>
      </w:r>
      <w:r w:rsidRPr="00EC64F4">
        <w:t>intravenous</w:t>
      </w:r>
      <w:r w:rsidRPr="009C2302">
        <w:t>)</w:t>
      </w:r>
    </w:p>
    <w:p w:rsidR="00D73F89" w:rsidRPr="009C2302" w:rsidRDefault="00D73F89" w:rsidP="00EC64F4">
      <w:r w:rsidRPr="009C2302">
        <w:t>Absolute bioavailability was calculated from Treatment B and was 82 +/- 16%. Dose linearity and dose proportionality of LNG PK was seen. No indication of saturable PK was seen; mean clearance from plasma was t1/2 was 20 h. Total clearance was 1</w:t>
      </w:r>
      <w:r w:rsidR="00C32198">
        <w:t xml:space="preserve"> </w:t>
      </w:r>
      <w:r w:rsidRPr="009C2302">
        <w:t xml:space="preserve">ml/min/kg.  </w:t>
      </w:r>
    </w:p>
    <w:p w:rsidR="00D73F89" w:rsidRPr="009C2302" w:rsidRDefault="00D73F89" w:rsidP="00EC64F4">
      <w:r w:rsidRPr="009C2302">
        <w:t xml:space="preserve">Although LNG in the </w:t>
      </w:r>
      <w:proofErr w:type="spellStart"/>
      <w:r w:rsidRPr="009C2302">
        <w:t>Jaydess</w:t>
      </w:r>
      <w:proofErr w:type="spellEnd"/>
      <w:r w:rsidRPr="009C2302">
        <w:t xml:space="preserve"> preparation is not administered orally, the information from A229 is helpful for this submission is that it gives guidance in terms of likely distribution after intrauterine insertion, and safety data on serum concentrations over 30 fold higher from oral usage than that with </w:t>
      </w:r>
      <w:proofErr w:type="spellStart"/>
      <w:r w:rsidRPr="009C2302">
        <w:t>Jaydess</w:t>
      </w:r>
      <w:proofErr w:type="spellEnd"/>
      <w:r w:rsidRPr="009C2302">
        <w:t xml:space="preserve">.  As such, the Sponsor has requested that typical </w:t>
      </w:r>
      <w:r w:rsidR="00590069" w:rsidRPr="00590069">
        <w:rPr>
          <w:i/>
          <w:iCs/>
        </w:rPr>
        <w:t>in vivo</w:t>
      </w:r>
      <w:r w:rsidRPr="009C2302">
        <w:t xml:space="preserve"> biopharmaceutical studies (e.g. bioavailability or a bioequivalence studies do not need to be undertaken for this application to register </w:t>
      </w:r>
      <w:proofErr w:type="spellStart"/>
      <w:r w:rsidRPr="009C2302">
        <w:t>Jaydess</w:t>
      </w:r>
      <w:proofErr w:type="spellEnd"/>
      <w:r w:rsidRPr="009C2302">
        <w:t xml:space="preserve">). It is specifically stated in </w:t>
      </w:r>
      <w:r w:rsidR="00C32198">
        <w:t>the submission</w:t>
      </w:r>
      <w:r w:rsidRPr="009C2302">
        <w:t xml:space="preserve">, serum concentrations of LNG after insertion of </w:t>
      </w:r>
      <w:proofErr w:type="spellStart"/>
      <w:r w:rsidRPr="009C2302">
        <w:t>Jaydess</w:t>
      </w:r>
      <w:proofErr w:type="spellEnd"/>
      <w:r w:rsidRPr="009C2302">
        <w:t xml:space="preserve"> are </w:t>
      </w:r>
      <w:proofErr w:type="gramStart"/>
      <w:r w:rsidRPr="009C2302">
        <w:t xml:space="preserve">below 121 </w:t>
      </w:r>
      <w:proofErr w:type="spellStart"/>
      <w:r w:rsidRPr="009C2302">
        <w:t>ng</w:t>
      </w:r>
      <w:proofErr w:type="spellEnd"/>
      <w:r w:rsidRPr="009C2302">
        <w:t>/L</w:t>
      </w:r>
      <w:proofErr w:type="gramEnd"/>
      <w:r w:rsidRPr="009C2302">
        <w:t xml:space="preserve"> whereas typical maximum concentrations of LNG after daily oral administration of a combined oral contraceptive containing 100 </w:t>
      </w:r>
      <w:proofErr w:type="spellStart"/>
      <w:r w:rsidRPr="009C2302">
        <w:t>μg</w:t>
      </w:r>
      <w:proofErr w:type="spellEnd"/>
      <w:r w:rsidRPr="009C2302">
        <w:t xml:space="preserve"> LNG are approximately 4500 </w:t>
      </w:r>
      <w:proofErr w:type="spellStart"/>
      <w:r w:rsidRPr="009C2302">
        <w:t>ng</w:t>
      </w:r>
      <w:proofErr w:type="spellEnd"/>
      <w:r w:rsidRPr="009C2302">
        <w:t xml:space="preserve">/L. The Sponsor also argues that the clinical studies suggest that systemic effects from IUS LNG are not clinically significant, and therefore support the absence of </w:t>
      </w:r>
      <w:r w:rsidR="00590069" w:rsidRPr="00590069">
        <w:rPr>
          <w:i/>
          <w:iCs/>
        </w:rPr>
        <w:t>in vivo</w:t>
      </w:r>
      <w:r w:rsidR="00EC64F4">
        <w:t xml:space="preserve"> biopharmaceutical studies.</w:t>
      </w:r>
    </w:p>
    <w:p w:rsidR="00D73F89" w:rsidRPr="009C2302" w:rsidRDefault="00D73F89" w:rsidP="00EC64F4">
      <w:pPr>
        <w:pStyle w:val="Heading6"/>
      </w:pPr>
      <w:r w:rsidRPr="009C2302">
        <w:t xml:space="preserve">Absolute </w:t>
      </w:r>
      <w:r w:rsidRPr="00EC64F4">
        <w:t>bioavailability</w:t>
      </w:r>
    </w:p>
    <w:p w:rsidR="00D73F89" w:rsidRPr="009C2302" w:rsidRDefault="00D73F89" w:rsidP="00EC64F4">
      <w:r w:rsidRPr="009C2302">
        <w:t>This infor</w:t>
      </w:r>
      <w:r w:rsidR="009C2302">
        <w:t>mation is covered above in 4.2.1</w:t>
      </w:r>
      <w:r w:rsidRPr="009C2302">
        <w:t>.2</w:t>
      </w:r>
    </w:p>
    <w:p w:rsidR="00D73F89" w:rsidRPr="009C2302" w:rsidRDefault="00D73F89" w:rsidP="00EC64F4">
      <w:pPr>
        <w:pStyle w:val="Heading6"/>
      </w:pPr>
      <w:r w:rsidRPr="009C2302">
        <w:t xml:space="preserve">Bioavailability </w:t>
      </w:r>
      <w:r w:rsidRPr="00EC64F4">
        <w:t>relative</w:t>
      </w:r>
      <w:r w:rsidRPr="009C2302">
        <w:t xml:space="preserve"> to an oral solution or </w:t>
      </w:r>
      <w:proofErr w:type="spellStart"/>
      <w:r w:rsidRPr="009C2302">
        <w:t>micronised</w:t>
      </w:r>
      <w:proofErr w:type="spellEnd"/>
      <w:r w:rsidRPr="009C2302">
        <w:t xml:space="preserve"> suspension</w:t>
      </w:r>
    </w:p>
    <w:p w:rsidR="00D73F89" w:rsidRPr="009C2302" w:rsidRDefault="00D73F89" w:rsidP="00EC64F4">
      <w:r w:rsidRPr="009C2302">
        <w:t>This infor</w:t>
      </w:r>
      <w:r w:rsidR="009C2302">
        <w:t>mation is covered above in 4.2.1</w:t>
      </w:r>
      <w:r w:rsidRPr="009C2302">
        <w:t>.2. Essentially the serum concentrations attained from LCS12 (</w:t>
      </w:r>
      <w:proofErr w:type="spellStart"/>
      <w:r w:rsidRPr="009C2302">
        <w:t>Jaydess</w:t>
      </w:r>
      <w:proofErr w:type="spellEnd"/>
      <w:r w:rsidRPr="009C2302">
        <w:t>) are log-fold less than that attained with the standard LNG containing oral contraceptive.</w:t>
      </w:r>
    </w:p>
    <w:p w:rsidR="00D73F89" w:rsidRPr="009C2302" w:rsidRDefault="00D73F89" w:rsidP="00EC64F4">
      <w:pPr>
        <w:pStyle w:val="Heading6"/>
      </w:pPr>
      <w:r w:rsidRPr="009C2302">
        <w:t xml:space="preserve">Bioequivalence </w:t>
      </w:r>
      <w:r w:rsidRPr="00EC64F4">
        <w:t>of</w:t>
      </w:r>
      <w:r w:rsidRPr="009C2302">
        <w:t xml:space="preserve"> clinical trial and market formulations</w:t>
      </w:r>
    </w:p>
    <w:p w:rsidR="00D73F89" w:rsidRPr="009C2302" w:rsidRDefault="00D73F89" w:rsidP="000E0970">
      <w:r w:rsidRPr="009C2302">
        <w:t xml:space="preserve">The formulations of LCS12 and LCS16 used in the clinical studies of phase 2 (A46796) and of phase 3 (A52238) were comparable. Specifically, the drug-containing reservoir was identically composed for the four formulations used in these two trials. There were some modifications to the formulations going from Phase 2 to Phase 3 (the addition of the silver profile and changes in design of the T-body, and for the ongoing Phase 3b studies further modifications of the T-body, the removal thread and the inserter were implemented) but these are not related to the hormone-containing elastomer core. Further, using the </w:t>
      </w:r>
      <w:r w:rsidRPr="00590069">
        <w:rPr>
          <w:i/>
          <w:iCs/>
        </w:rPr>
        <w:t>ex vivo</w:t>
      </w:r>
      <w:r w:rsidRPr="009C2302">
        <w:t xml:space="preserve"> release rate data does not appear to have impacted on the release rates of LNG from the IUS.</w:t>
      </w:r>
    </w:p>
    <w:p w:rsidR="00D73F89" w:rsidRPr="009C2302" w:rsidRDefault="00D73F89" w:rsidP="000E0970">
      <w:pPr>
        <w:pStyle w:val="Heading6"/>
      </w:pPr>
      <w:r w:rsidRPr="009C2302">
        <w:t xml:space="preserve">Bioequivalence of different dosage forms and </w:t>
      </w:r>
      <w:r w:rsidRPr="000E0970">
        <w:t>strengths</w:t>
      </w:r>
    </w:p>
    <w:p w:rsidR="00D73F89" w:rsidRPr="009C2302" w:rsidRDefault="00D73F89" w:rsidP="000E0970">
      <w:r w:rsidRPr="009C2302">
        <w:t xml:space="preserve">There were no clinical studies provided examining bioequivalence of difference dosage forms and strengths of </w:t>
      </w:r>
      <w:proofErr w:type="spellStart"/>
      <w:r w:rsidRPr="009C2302">
        <w:t>Jaydess</w:t>
      </w:r>
      <w:proofErr w:type="spellEnd"/>
      <w:r w:rsidRPr="009C2302">
        <w:t xml:space="preserve">, however there were comparative studies (A46796) provided comparing different dosages of intrauterine LNG (LCS12, LCS16 and </w:t>
      </w:r>
      <w:proofErr w:type="spellStart"/>
      <w:r w:rsidRPr="009C2302">
        <w:t>Mirena</w:t>
      </w:r>
      <w:proofErr w:type="spellEnd"/>
      <w:r w:rsidRPr="009C2302">
        <w:t xml:space="preserve">). Studies 13362 and 13363 were designed to show </w:t>
      </w:r>
      <w:proofErr w:type="spellStart"/>
      <w:r w:rsidRPr="009C2302">
        <w:t>pharmacodynamic</w:t>
      </w:r>
      <w:proofErr w:type="spellEnd"/>
      <w:r w:rsidRPr="009C2302">
        <w:t xml:space="preserve"> equivalence with other contraceptives and dose comparison with other LNG dosages.  In addition, the PK modelling and simulation provides guidance on expected concentrations.</w:t>
      </w:r>
    </w:p>
    <w:p w:rsidR="00D73F89" w:rsidRPr="009C2302" w:rsidRDefault="00D73F89" w:rsidP="000E0970">
      <w:pPr>
        <w:pStyle w:val="Heading6"/>
      </w:pPr>
      <w:r w:rsidRPr="009C2302">
        <w:lastRenderedPageBreak/>
        <w:t xml:space="preserve">Bioequivalence to </w:t>
      </w:r>
      <w:r w:rsidRPr="000E0970">
        <w:t>relevant</w:t>
      </w:r>
      <w:r w:rsidRPr="009C2302">
        <w:t xml:space="preserve"> registered products</w:t>
      </w:r>
    </w:p>
    <w:p w:rsidR="00D73F89" w:rsidRPr="009C2302" w:rsidRDefault="00D73F89" w:rsidP="000E0970">
      <w:r w:rsidRPr="009C2302">
        <w:t xml:space="preserve">The only currently registered product that consists of an intrauterine system with LNG is </w:t>
      </w:r>
      <w:proofErr w:type="spellStart"/>
      <w:r w:rsidRPr="009C2302">
        <w:t>Mirena</w:t>
      </w:r>
      <w:proofErr w:type="spellEnd"/>
      <w:r w:rsidRPr="009C2302">
        <w:t xml:space="preserve">. </w:t>
      </w:r>
      <w:proofErr w:type="spellStart"/>
      <w:r w:rsidRPr="009C2302">
        <w:t>Mirena</w:t>
      </w:r>
      <w:proofErr w:type="spellEnd"/>
      <w:r w:rsidRPr="009C2302">
        <w:t xml:space="preserve"> is intended for 5 year use, and contains 52mg LNG. This is four t</w:t>
      </w:r>
      <w:r w:rsidR="000E0970">
        <w:t xml:space="preserve">imes as high a dose as </w:t>
      </w:r>
      <w:proofErr w:type="spellStart"/>
      <w:r w:rsidR="000E0970">
        <w:t>Jaydess</w:t>
      </w:r>
      <w:proofErr w:type="spellEnd"/>
      <w:r w:rsidR="000E0970">
        <w:t>.</w:t>
      </w:r>
    </w:p>
    <w:p w:rsidR="00D73F89" w:rsidRPr="009C2302" w:rsidRDefault="00D73F89" w:rsidP="000E0970">
      <w:pPr>
        <w:pStyle w:val="Heading6"/>
      </w:pPr>
      <w:r w:rsidRPr="009C2302">
        <w:t>Influence of food</w:t>
      </w:r>
    </w:p>
    <w:p w:rsidR="00D73F89" w:rsidRPr="009C2302" w:rsidRDefault="00D73F89" w:rsidP="000E0970">
      <w:r w:rsidRPr="009C2302">
        <w:t>There is no information on the submission for this area but as the drug is given intrauterine, the likelihood of a food interaction is low.</w:t>
      </w:r>
    </w:p>
    <w:p w:rsidR="00D73F89" w:rsidRPr="009C2302" w:rsidRDefault="000E0970" w:rsidP="000E0970">
      <w:pPr>
        <w:pStyle w:val="Heading6"/>
      </w:pPr>
      <w:r>
        <w:t>Dose proportionality</w:t>
      </w:r>
    </w:p>
    <w:p w:rsidR="00D73F89" w:rsidRPr="009C2302" w:rsidRDefault="00D73F89" w:rsidP="000E0970">
      <w:r w:rsidRPr="009C2302">
        <w:t>Dose proportionality data on either efficacy or side effects was not easily accessible in this application. However, comparing the contraceptive efficacy of LCS12 (</w:t>
      </w:r>
      <w:proofErr w:type="spellStart"/>
      <w:r w:rsidRPr="009C2302">
        <w:t>Jaydess</w:t>
      </w:r>
      <w:proofErr w:type="spellEnd"/>
      <w:r w:rsidRPr="009C2302">
        <w:t xml:space="preserve">) with LCS16 and </w:t>
      </w:r>
      <w:proofErr w:type="spellStart"/>
      <w:r w:rsidRPr="009C2302">
        <w:t>Mirena</w:t>
      </w:r>
      <w:proofErr w:type="spellEnd"/>
      <w:r w:rsidRPr="009C2302">
        <w:t xml:space="preserve"> showed similar outcomes despite the three formulations investigated in the phase 2 study A46796 showing an increase in the systemic exposure in the order LCS12 (</w:t>
      </w:r>
      <w:proofErr w:type="spellStart"/>
      <w:r w:rsidRPr="009C2302">
        <w:t>Jaydess</w:t>
      </w:r>
      <w:proofErr w:type="spellEnd"/>
      <w:r w:rsidRPr="009C2302">
        <w:t xml:space="preserve">) LCS16 and </w:t>
      </w:r>
      <w:proofErr w:type="spellStart"/>
      <w:r w:rsidRPr="009C2302">
        <w:t>Mirena</w:t>
      </w:r>
      <w:proofErr w:type="spellEnd"/>
      <w:r w:rsidRPr="009C2302">
        <w:t xml:space="preserve">. Importantly, there was no difference in the effect on the endometrium or on the cervix observed in the phase 2 study between these formulations, although the increasing rate of anovulation for </w:t>
      </w:r>
      <w:proofErr w:type="spellStart"/>
      <w:r w:rsidRPr="009C2302">
        <w:t>Mirena</w:t>
      </w:r>
      <w:proofErr w:type="spellEnd"/>
      <w:r w:rsidRPr="009C2302">
        <w:t xml:space="preserve"> is likely to be due to the higher average serum concentration of LNG e.g. the respective average LNG serum concentration (</w:t>
      </w:r>
      <w:proofErr w:type="spellStart"/>
      <w:r w:rsidRPr="009C2302">
        <w:t>Cav</w:t>
      </w:r>
      <w:proofErr w:type="spellEnd"/>
      <w:r w:rsidRPr="009C2302">
        <w:t xml:space="preserve">), determined in the pharmacokinetic evaluation, amounted to 78.3 </w:t>
      </w:r>
      <w:proofErr w:type="spellStart"/>
      <w:r w:rsidRPr="009C2302">
        <w:t>ng</w:t>
      </w:r>
      <w:proofErr w:type="spellEnd"/>
      <w:r w:rsidRPr="009C2302">
        <w:t xml:space="preserve">/L (geometric mean coefficient of variation [CV] 31.4%) for the LCS12 group, to 106 </w:t>
      </w:r>
      <w:proofErr w:type="spellStart"/>
      <w:r w:rsidRPr="009C2302">
        <w:t>ng</w:t>
      </w:r>
      <w:proofErr w:type="spellEnd"/>
      <w:r w:rsidRPr="009C2302">
        <w:t xml:space="preserve">/L (geometric mean CV 55.1%) in the LCS16 group and to 218 </w:t>
      </w:r>
      <w:proofErr w:type="spellStart"/>
      <w:r w:rsidRPr="009C2302">
        <w:t>ng</w:t>
      </w:r>
      <w:proofErr w:type="spellEnd"/>
      <w:r w:rsidRPr="009C2302">
        <w:t xml:space="preserve">/L (geometric mean CV 35.2%) for </w:t>
      </w:r>
      <w:proofErr w:type="spellStart"/>
      <w:r w:rsidRPr="009C2302">
        <w:t>Mirena</w:t>
      </w:r>
      <w:proofErr w:type="spellEnd"/>
      <w:r w:rsidRPr="009C2302">
        <w:t>.</w:t>
      </w:r>
    </w:p>
    <w:p w:rsidR="00D73F89" w:rsidRPr="009C2302" w:rsidRDefault="00D73F89" w:rsidP="000E0970">
      <w:pPr>
        <w:pStyle w:val="Heading6"/>
      </w:pPr>
      <w:r w:rsidRPr="009C2302">
        <w:t>Bioavailability during multiple-dosing</w:t>
      </w:r>
    </w:p>
    <w:p w:rsidR="00D73F89" w:rsidRPr="009C2302" w:rsidRDefault="00D73F89" w:rsidP="000E0970">
      <w:r w:rsidRPr="009C2302">
        <w:t>A specific exploratory population pharmacokinetic analysis of LNG in the multi-</w:t>
      </w:r>
      <w:proofErr w:type="spellStart"/>
      <w:r w:rsidRPr="009C2302">
        <w:t>center</w:t>
      </w:r>
      <w:proofErr w:type="spellEnd"/>
      <w:r w:rsidRPr="009C2302">
        <w:t>, open-label, randomized phase III study was undertaken to assess the safety and contraceptive efficacy of two doses (A57552). However, there was no data provided on multiple sequential dosing.</w:t>
      </w:r>
    </w:p>
    <w:p w:rsidR="00D73F89" w:rsidRPr="009C2302" w:rsidRDefault="00D73F89" w:rsidP="000E0970">
      <w:pPr>
        <w:pStyle w:val="Heading6"/>
      </w:pPr>
      <w:r w:rsidRPr="009C2302">
        <w:t>Effect of administration timing</w:t>
      </w:r>
    </w:p>
    <w:p w:rsidR="00D73F89" w:rsidRPr="009C2302" w:rsidRDefault="00D73F89" w:rsidP="000E0970">
      <w:proofErr w:type="spellStart"/>
      <w:r w:rsidRPr="009C2302">
        <w:t>Jaydess</w:t>
      </w:r>
      <w:proofErr w:type="spellEnd"/>
      <w:r w:rsidRPr="009C2302">
        <w:t xml:space="preserve"> is to be inserted into the uterine cavity within seven days of the onset of menstruation. It can be replaced by a new system at any time in the cycle. It is stated that </w:t>
      </w:r>
      <w:proofErr w:type="spellStart"/>
      <w:r w:rsidRPr="009C2302">
        <w:t>Jaydess</w:t>
      </w:r>
      <w:proofErr w:type="spellEnd"/>
      <w:r w:rsidRPr="009C2302">
        <w:t xml:space="preserve"> can also be inserted immediately after first trimester abortion although “End of last pregnancy; vaginal delivery less than 12 weeks, </w:t>
      </w:r>
      <w:proofErr w:type="spellStart"/>
      <w:r w:rsidRPr="009C2302">
        <w:t>cesarean</w:t>
      </w:r>
      <w:proofErr w:type="spellEnd"/>
      <w:r w:rsidRPr="009C2302">
        <w:t xml:space="preserve"> delivery less than 12 weeks or abortion within 12 weeks immediately before screening” were an exclusion criteria in A46796. “Vaginal delivery, </w:t>
      </w:r>
      <w:proofErr w:type="spellStart"/>
      <w:r w:rsidRPr="009C2302">
        <w:t>cesarean</w:t>
      </w:r>
      <w:proofErr w:type="spellEnd"/>
      <w:r w:rsidRPr="009C2302">
        <w:t xml:space="preserve"> delivery, or abortion within 6 weeks prior to visit 1” was an exclusion criterion in A52238. There was a reference in the CSR of A46796 to administration post-abortion although it was published in 1982 (</w:t>
      </w:r>
      <w:proofErr w:type="spellStart"/>
      <w:r w:rsidRPr="009C2302">
        <w:t>Heikkila</w:t>
      </w:r>
      <w:proofErr w:type="spellEnd"/>
      <w:r w:rsidRPr="009C2302">
        <w:t xml:space="preserve"> M, </w:t>
      </w:r>
      <w:proofErr w:type="spellStart"/>
      <w:r w:rsidRPr="009C2302">
        <w:t>Lahteenmaki</w:t>
      </w:r>
      <w:proofErr w:type="spellEnd"/>
      <w:r w:rsidRPr="009C2302">
        <w:t xml:space="preserve"> P, </w:t>
      </w:r>
      <w:proofErr w:type="spellStart"/>
      <w:r w:rsidRPr="009C2302">
        <w:t>Luukkainen</w:t>
      </w:r>
      <w:proofErr w:type="spellEnd"/>
      <w:r w:rsidRPr="009C2302">
        <w:t xml:space="preserve"> T. Immediate post-abortion insertion of a </w:t>
      </w:r>
      <w:proofErr w:type="spellStart"/>
      <w:r w:rsidRPr="009C2302">
        <w:t>levonorgestrel</w:t>
      </w:r>
      <w:proofErr w:type="spellEnd"/>
      <w:r w:rsidRPr="009C2302">
        <w:t xml:space="preserve"> releasing IUD. Contraception 1982; 26</w:t>
      </w:r>
      <w:proofErr w:type="gramStart"/>
      <w:r w:rsidRPr="009C2302">
        <w:t>,3</w:t>
      </w:r>
      <w:proofErr w:type="gramEnd"/>
      <w:r w:rsidRPr="009C2302">
        <w:t xml:space="preserve">: 245-59.). Although recent infected abortion is noted as a contraindication in the proposed PI, the PI states that </w:t>
      </w:r>
      <w:proofErr w:type="spellStart"/>
      <w:r w:rsidRPr="009C2302">
        <w:t>Jaydess</w:t>
      </w:r>
      <w:proofErr w:type="spellEnd"/>
      <w:r w:rsidRPr="009C2302">
        <w:t xml:space="preserve"> can also be inserted immediately after first trimester abortion.</w:t>
      </w:r>
    </w:p>
    <w:p w:rsidR="00D73F89" w:rsidRPr="009C2302" w:rsidRDefault="00D73F89" w:rsidP="00EA5271">
      <w:pPr>
        <w:pStyle w:val="Heading5"/>
      </w:pPr>
      <w:bookmarkStart w:id="80" w:name="_Toc241374288"/>
      <w:bookmarkStart w:id="81" w:name="_Toc272414621"/>
      <w:bookmarkStart w:id="82" w:name="_Toc290846244"/>
      <w:bookmarkStart w:id="83" w:name="_Toc290888781"/>
      <w:r w:rsidRPr="009C2302">
        <w:t>Distribution</w:t>
      </w:r>
      <w:bookmarkEnd w:id="80"/>
      <w:bookmarkEnd w:id="81"/>
      <w:bookmarkEnd w:id="82"/>
      <w:bookmarkEnd w:id="83"/>
    </w:p>
    <w:p w:rsidR="00D73F89" w:rsidRPr="009C2302" w:rsidRDefault="00D73F89" w:rsidP="00EA5271">
      <w:pPr>
        <w:pStyle w:val="Heading6"/>
      </w:pPr>
      <w:r w:rsidRPr="009C2302">
        <w:t>Volume of distribution</w:t>
      </w:r>
    </w:p>
    <w:p w:rsidR="00D73F89" w:rsidRPr="009C2302" w:rsidRDefault="00D73F89" w:rsidP="00EA5271">
      <w:proofErr w:type="spellStart"/>
      <w:r w:rsidRPr="009C2302">
        <w:t>Levonorgestrel</w:t>
      </w:r>
      <w:proofErr w:type="spellEnd"/>
      <w:r w:rsidRPr="009C2302">
        <w:t xml:space="preserve"> is highly bound with less than 2% circulating as free steroid. It binds non-specifically to serum albumin and specifically to SHBG. The mean apparent volume of distribution of </w:t>
      </w:r>
      <w:proofErr w:type="spellStart"/>
      <w:r w:rsidRPr="009C2302">
        <w:t>levonorgestrel</w:t>
      </w:r>
      <w:proofErr w:type="spellEnd"/>
      <w:r w:rsidRPr="009C2302">
        <w:t xml:space="preserve"> is approximately 106 L.</w:t>
      </w:r>
    </w:p>
    <w:p w:rsidR="00D73F89" w:rsidRPr="009C2302" w:rsidRDefault="00D73F89" w:rsidP="00EA5271">
      <w:pPr>
        <w:pStyle w:val="Heading6"/>
      </w:pPr>
      <w:r w:rsidRPr="009C2302">
        <w:t xml:space="preserve">Plasma </w:t>
      </w:r>
      <w:r w:rsidRPr="00EA5271">
        <w:t>protein</w:t>
      </w:r>
      <w:r w:rsidRPr="009C2302">
        <w:t xml:space="preserve"> binding</w:t>
      </w:r>
    </w:p>
    <w:p w:rsidR="00D73F89" w:rsidRPr="009C2302" w:rsidRDefault="00D73F89" w:rsidP="00EA5271">
      <w:r w:rsidRPr="009C2302">
        <w:t>LNG is highly protein bound, predominantly to SHBG (to which it binds with high affinity) and albumin. Changes in the concentration of SHBG in serum therefore result in modifications of the proportions available as free or protein-bound drug, and lead to an increase (at higher SHBG concentrations) or to a decrease (at lower SHBG concentrations) of the total LNG concentration in serum. The magnitude of the decreasing effect of LNG on SHBG is dose dependent.</w:t>
      </w:r>
    </w:p>
    <w:p w:rsidR="00D73F89" w:rsidRPr="009C2302" w:rsidRDefault="00D73F89" w:rsidP="00EA5271">
      <w:r w:rsidRPr="009C2302">
        <w:lastRenderedPageBreak/>
        <w:t xml:space="preserve">Following insertion of LCS12 in the Phase 2 study (A46796), SHBG concentrations declined by approximately 16 to 25% during the first 30 days after insertion, reached a plateau and returned to baseline over the three years. In the phase 3 study (A52238), the maximum decline of SHBG concentrations within 18 months was about 33% compared to the pre-dose levels after insertion of LCS12. After 36 months, serum concentrations returned to baseline. The clinical relevance of changes in SHBG or albumin concentrations (which account for approximately 50% of the protein binding each) is unknown, however as with many similar drugs that are highly protein bound, a lower SHBG/albumin leads to less total amount of bound drug, a temporarily higher free drug, which has a higher fraction cleared and thus after several </w:t>
      </w:r>
      <w:proofErr w:type="spellStart"/>
      <w:r w:rsidRPr="009C2302">
        <w:t>half lives</w:t>
      </w:r>
      <w:proofErr w:type="spellEnd"/>
      <w:r w:rsidRPr="009C2302">
        <w:t xml:space="preserve"> the same free (active) concentration but lower total concentration. There was also significant inter-individual variability in SHBG concentrations noted, but there was no evidence of a clinical effect from this.</w:t>
      </w:r>
    </w:p>
    <w:p w:rsidR="00D73F89" w:rsidRPr="009C2302" w:rsidRDefault="00D73F89" w:rsidP="00EA5271">
      <w:pPr>
        <w:pStyle w:val="Heading6"/>
      </w:pPr>
      <w:r w:rsidRPr="00EA5271">
        <w:t>Erythrocyte</w:t>
      </w:r>
      <w:r w:rsidRPr="009C2302">
        <w:t xml:space="preserve"> distribution</w:t>
      </w:r>
    </w:p>
    <w:p w:rsidR="00D73F89" w:rsidRPr="009C2302" w:rsidRDefault="00D73F89" w:rsidP="00EA5271">
      <w:r w:rsidRPr="009C2302">
        <w:t>This was not presented in the submission and unlikely to be clinically relevant</w:t>
      </w:r>
    </w:p>
    <w:p w:rsidR="00D73F89" w:rsidRPr="009C2302" w:rsidRDefault="00D73F89" w:rsidP="00EA5271">
      <w:pPr>
        <w:pStyle w:val="Heading6"/>
      </w:pPr>
      <w:r w:rsidRPr="009C2302">
        <w:t xml:space="preserve">Tissue </w:t>
      </w:r>
      <w:r w:rsidRPr="00EA5271">
        <w:t>distribution</w:t>
      </w:r>
    </w:p>
    <w:p w:rsidR="00D73F89" w:rsidRPr="009C2302" w:rsidRDefault="00D73F89" w:rsidP="00EA5271">
      <w:r w:rsidRPr="009C2302">
        <w:t xml:space="preserve">No studies on LNG tissue concentrations whilst on LCS have been conducted. However, LNG is highly protein bound (&gt;98%), mainly either to albumin or to SHBG in serum. Concentrations in relevant tissue such as endometrium, myometrium, and oviduct tissue have been compared in fertile women using an experimental LNG-IUS with an initial release </w:t>
      </w:r>
      <w:proofErr w:type="gramStart"/>
      <w:r w:rsidRPr="009C2302">
        <w:t xml:space="preserve">of 30 </w:t>
      </w:r>
      <w:proofErr w:type="spellStart"/>
      <w:r w:rsidRPr="009C2302">
        <w:t>μg</w:t>
      </w:r>
      <w:proofErr w:type="spellEnd"/>
      <w:r w:rsidRPr="009C2302">
        <w:t>/day</w:t>
      </w:r>
      <w:proofErr w:type="gramEnd"/>
      <w:r w:rsidRPr="009C2302">
        <w:t xml:space="preserve"> for 4 weeks to those with oral administration of 250 </w:t>
      </w:r>
      <w:proofErr w:type="spellStart"/>
      <w:r w:rsidRPr="009C2302">
        <w:t>μg</w:t>
      </w:r>
      <w:proofErr w:type="spellEnd"/>
      <w:r w:rsidRPr="009C2302">
        <w:t xml:space="preserve"> LNG alone. In the endometrium where most of the contraceptive effects are seen, 808 ± 511 </w:t>
      </w:r>
      <w:proofErr w:type="spellStart"/>
      <w:r w:rsidRPr="009C2302">
        <w:t>ng</w:t>
      </w:r>
      <w:proofErr w:type="spellEnd"/>
      <w:r w:rsidRPr="009C2302">
        <w:t xml:space="preserve">/g wet </w:t>
      </w:r>
      <w:proofErr w:type="gramStart"/>
      <w:r w:rsidRPr="009C2302">
        <w:t>tissue</w:t>
      </w:r>
      <w:proofErr w:type="gramEnd"/>
      <w:r w:rsidRPr="009C2302">
        <w:t xml:space="preserve"> was found in the IUS-treated subjects versus 3.5 </w:t>
      </w:r>
      <w:proofErr w:type="spellStart"/>
      <w:r w:rsidRPr="009C2302">
        <w:t>ng</w:t>
      </w:r>
      <w:proofErr w:type="spellEnd"/>
      <w:r w:rsidRPr="009C2302">
        <w:t xml:space="preserve">/g wet tissue in the orally treated subjects. In the myometrium and oviduct, similar amounts of LNG were measured in both groups (between 1 to 5 </w:t>
      </w:r>
      <w:proofErr w:type="spellStart"/>
      <w:r w:rsidRPr="009C2302">
        <w:t>ng</w:t>
      </w:r>
      <w:proofErr w:type="spellEnd"/>
      <w:r w:rsidRPr="009C2302">
        <w:t>/g), after both IUS insertion and oral treatment (Nilsson et al. 1982). Although LCS releases less than a half the amount of LNG than in this study, it is likely that tissue distribution in the most clinically relevant tissues is higher and in less clinically relevant tissues, less than that after oral administration of 250ug.</w:t>
      </w:r>
    </w:p>
    <w:p w:rsidR="00D73F89" w:rsidRPr="009C2302" w:rsidRDefault="00D73F89" w:rsidP="00393495">
      <w:pPr>
        <w:pStyle w:val="Heading5"/>
      </w:pPr>
      <w:bookmarkStart w:id="84" w:name="_Toc272414622"/>
      <w:bookmarkStart w:id="85" w:name="_Toc290846245"/>
      <w:bookmarkStart w:id="86" w:name="_Toc290888782"/>
      <w:r w:rsidRPr="009C2302">
        <w:t>Metabolism</w:t>
      </w:r>
      <w:bookmarkEnd w:id="84"/>
      <w:bookmarkEnd w:id="85"/>
      <w:bookmarkEnd w:id="86"/>
    </w:p>
    <w:p w:rsidR="00D73F89" w:rsidRPr="009C2302" w:rsidRDefault="00D73F89" w:rsidP="00393495">
      <w:pPr>
        <w:pStyle w:val="Heading6"/>
      </w:pPr>
      <w:proofErr w:type="spellStart"/>
      <w:r w:rsidRPr="00393495">
        <w:t>Interconversion</w:t>
      </w:r>
      <w:proofErr w:type="spellEnd"/>
      <w:r w:rsidRPr="009C2302">
        <w:t xml:space="preserve"> between enantiomers</w:t>
      </w:r>
    </w:p>
    <w:p w:rsidR="00D73F89" w:rsidRPr="009C2302" w:rsidRDefault="00D73F89" w:rsidP="00393495">
      <w:proofErr w:type="spellStart"/>
      <w:r w:rsidRPr="009C2302">
        <w:t>Levonorgestrel</w:t>
      </w:r>
      <w:proofErr w:type="spellEnd"/>
      <w:r w:rsidRPr="009C2302">
        <w:t xml:space="preserve"> is the biologically active enantiomer of </w:t>
      </w:r>
      <w:proofErr w:type="spellStart"/>
      <w:r w:rsidRPr="009C2302">
        <w:t>norgestrel</w:t>
      </w:r>
      <w:proofErr w:type="spellEnd"/>
      <w:r w:rsidRPr="009C2302">
        <w:t xml:space="preserve"> but is metabolised rather than inte</w:t>
      </w:r>
      <w:r w:rsidR="00AA1CE4">
        <w:t>rconverted as described in 4.2.1</w:t>
      </w:r>
      <w:r w:rsidRPr="009C2302">
        <w:t>.4.2</w:t>
      </w:r>
      <w:r w:rsidR="00393495">
        <w:t>.</w:t>
      </w:r>
    </w:p>
    <w:p w:rsidR="00D73F89" w:rsidRPr="009C2302" w:rsidRDefault="00D73F89" w:rsidP="00393495">
      <w:pPr>
        <w:pStyle w:val="Heading6"/>
      </w:pPr>
      <w:r w:rsidRPr="009C2302">
        <w:t xml:space="preserve">Sites of </w:t>
      </w:r>
      <w:r w:rsidRPr="00393495">
        <w:t>metabolism</w:t>
      </w:r>
      <w:r w:rsidRPr="009C2302">
        <w:t xml:space="preserve"> and mechanisms / enzyme systems involved</w:t>
      </w:r>
    </w:p>
    <w:p w:rsidR="00D73F89" w:rsidRPr="009C2302" w:rsidRDefault="00D73F89" w:rsidP="00393495">
      <w:r w:rsidRPr="009C2302">
        <w:t xml:space="preserve">Metabolism of LNG occurs predominantly in the liver by reduction of the Δ4-3-oxo group and </w:t>
      </w:r>
      <w:proofErr w:type="spellStart"/>
      <w:r w:rsidRPr="009C2302">
        <w:t>hydroxylations</w:t>
      </w:r>
      <w:proofErr w:type="spellEnd"/>
      <w:r w:rsidRPr="009C2302">
        <w:t xml:space="preserve"> at positions 2α, 1β and 16β, followed by conjugation, by CYP3A4. Most of the metabolites that circulate in the blood are </w:t>
      </w:r>
      <w:proofErr w:type="spellStart"/>
      <w:r w:rsidRPr="009C2302">
        <w:t>sulfates</w:t>
      </w:r>
      <w:proofErr w:type="spellEnd"/>
      <w:r w:rsidRPr="009C2302">
        <w:t xml:space="preserve"> of 3α, 5β-</w:t>
      </w:r>
      <w:proofErr w:type="spellStart"/>
      <w:r w:rsidRPr="009C2302">
        <w:t>tetrahydro</w:t>
      </w:r>
      <w:proofErr w:type="spellEnd"/>
      <w:r w:rsidRPr="009C2302">
        <w:t xml:space="preserve">-LNG. These metabolites are not known to be active. Excretion occurs predominantly in the form of </w:t>
      </w:r>
      <w:proofErr w:type="spellStart"/>
      <w:r w:rsidRPr="009C2302">
        <w:t>glucuronides</w:t>
      </w:r>
      <w:proofErr w:type="spellEnd"/>
      <w:r w:rsidRPr="009C2302">
        <w:t>. Some of the parent LNG also</w:t>
      </w:r>
      <w:r w:rsidR="00393495">
        <w:t xml:space="preserve"> circulates as the 17β-</w:t>
      </w:r>
      <w:proofErr w:type="spellStart"/>
      <w:r w:rsidR="00393495">
        <w:t>sulfate</w:t>
      </w:r>
      <w:proofErr w:type="spellEnd"/>
      <w:r w:rsidR="00393495">
        <w:t>.</w:t>
      </w:r>
    </w:p>
    <w:p w:rsidR="00D73F89" w:rsidRPr="00AA1CE4" w:rsidRDefault="00590069" w:rsidP="00393495">
      <w:r w:rsidRPr="00590069">
        <w:rPr>
          <w:i/>
          <w:iCs/>
        </w:rPr>
        <w:t>In vitro</w:t>
      </w:r>
      <w:r w:rsidR="00D73F89" w:rsidRPr="00AA1CE4">
        <w:t xml:space="preserve"> studies have demonstrated that oxidative metabolism of LNG is catalysed by CYP enzymes, especially CYP3A4 (Study A02495). Thus, drugs which induce or inhibit the activity of CYP3A4 may change the pharmacokinetics of LNG such as anticonvulsants (e.g. phenobarbital, phenytoin, carbamazepine, and possibly also </w:t>
      </w:r>
      <w:proofErr w:type="spellStart"/>
      <w:r w:rsidR="00D73F89" w:rsidRPr="00AA1CE4">
        <w:t>felbamate</w:t>
      </w:r>
      <w:proofErr w:type="spellEnd"/>
      <w:r w:rsidR="00D73F89" w:rsidRPr="00AA1CE4">
        <w:t xml:space="preserve">, </w:t>
      </w:r>
      <w:proofErr w:type="spellStart"/>
      <w:r w:rsidR="00D73F89" w:rsidRPr="00AA1CE4">
        <w:t>oxcarbazepine</w:t>
      </w:r>
      <w:proofErr w:type="spellEnd"/>
      <w:r w:rsidR="00D73F89" w:rsidRPr="00AA1CE4">
        <w:t xml:space="preserve"> and </w:t>
      </w:r>
      <w:proofErr w:type="spellStart"/>
      <w:r w:rsidR="00D73F89" w:rsidRPr="00AA1CE4">
        <w:t>topiramate</w:t>
      </w:r>
      <w:proofErr w:type="spellEnd"/>
      <w:r w:rsidR="00D73F89" w:rsidRPr="00AA1CE4">
        <w:t>) and anti-</w:t>
      </w:r>
      <w:proofErr w:type="spellStart"/>
      <w:r w:rsidR="00D73F89" w:rsidRPr="00AA1CE4">
        <w:t>infectives</w:t>
      </w:r>
      <w:proofErr w:type="spellEnd"/>
      <w:r w:rsidR="00D73F89" w:rsidRPr="00AA1CE4">
        <w:t xml:space="preserve"> (e.g. rifampicin, </w:t>
      </w:r>
      <w:proofErr w:type="spellStart"/>
      <w:r w:rsidR="00D73F89" w:rsidRPr="00AA1CE4">
        <w:t>rifabutin</w:t>
      </w:r>
      <w:proofErr w:type="spellEnd"/>
      <w:r w:rsidR="00D73F89" w:rsidRPr="00AA1CE4">
        <w:t xml:space="preserve">, </w:t>
      </w:r>
      <w:proofErr w:type="spellStart"/>
      <w:r w:rsidR="00D73F89" w:rsidRPr="00AA1CE4">
        <w:t>nevirapine</w:t>
      </w:r>
      <w:proofErr w:type="spellEnd"/>
      <w:r w:rsidR="00D73F89" w:rsidRPr="00AA1CE4">
        <w:t xml:space="preserve">, </w:t>
      </w:r>
      <w:proofErr w:type="spellStart"/>
      <w:r w:rsidR="00D73F89" w:rsidRPr="00AA1CE4">
        <w:t>efavirenz</w:t>
      </w:r>
      <w:proofErr w:type="spellEnd"/>
      <w:r w:rsidR="00D73F89" w:rsidRPr="00AA1CE4">
        <w:t xml:space="preserve">, and possibly </w:t>
      </w:r>
      <w:proofErr w:type="spellStart"/>
      <w:r w:rsidR="00D73F89" w:rsidRPr="00AA1CE4">
        <w:t>griseofulvin</w:t>
      </w:r>
      <w:proofErr w:type="spellEnd"/>
      <w:r w:rsidR="00D73F89" w:rsidRPr="00AA1CE4">
        <w:t>) perhaps lowering the serum concentrations of LNG during parallel treatment. Similarly, metabolic activity of CYP3A4 may be strongly inhibited by protease inhibitors such as azole antifungals and some calcium channel blockers.</w:t>
      </w:r>
    </w:p>
    <w:p w:rsidR="00D73F89" w:rsidRPr="00AA1CE4" w:rsidRDefault="00D73F89" w:rsidP="00393495">
      <w:r w:rsidRPr="00AA1CE4">
        <w:t>The influence of these drugs on the efficacy of LCS is not known, but theoretically the clinical effect is likely to be small due to the primarily local mechanism of action and because first pass</w:t>
      </w:r>
      <w:r w:rsidR="00393495">
        <w:t xml:space="preserve"> metabolism is not significant.</w:t>
      </w:r>
    </w:p>
    <w:p w:rsidR="00D73F89" w:rsidRPr="00AA1CE4" w:rsidRDefault="00D73F89" w:rsidP="00393495">
      <w:r w:rsidRPr="00AA1CE4">
        <w:lastRenderedPageBreak/>
        <w:t xml:space="preserve">However, for the purposes of investigation, the inhibitory potential of LNG on the metabolism of substrates of CYP450 enzymes has been investigated </w:t>
      </w:r>
      <w:r w:rsidR="00590069" w:rsidRPr="00590069">
        <w:rPr>
          <w:i/>
          <w:iCs/>
        </w:rPr>
        <w:t>in vitro</w:t>
      </w:r>
      <w:r w:rsidRPr="00AA1CE4">
        <w:t xml:space="preserve"> in human liver </w:t>
      </w:r>
      <w:proofErr w:type="spellStart"/>
      <w:r w:rsidRPr="00AA1CE4">
        <w:t>microsomes</w:t>
      </w:r>
      <w:proofErr w:type="spellEnd"/>
      <w:r w:rsidRPr="00AA1CE4">
        <w:t xml:space="preserve">. Here the metabolism of testosterone as a model substrate of CYP3A4 was inhibited with a half maximal inhibitory concentration (IC50) of 14-18 </w:t>
      </w:r>
      <w:proofErr w:type="spellStart"/>
      <w:r w:rsidRPr="00AA1CE4">
        <w:t>μM</w:t>
      </w:r>
      <w:proofErr w:type="spellEnd"/>
      <w:r w:rsidRPr="00AA1CE4">
        <w:t xml:space="preserve"> (A02495). Maximum therapeutic serum concentrations of LNG in humans following oral administration are about 20 </w:t>
      </w:r>
      <w:proofErr w:type="spellStart"/>
      <w:r w:rsidRPr="00AA1CE4">
        <w:t>nM</w:t>
      </w:r>
      <w:proofErr w:type="spellEnd"/>
      <w:r w:rsidRPr="00AA1CE4">
        <w:t>, much lower than the IC50. Further as maximum serum concentrations after LCS12 insertion are</w:t>
      </w:r>
      <w:r w:rsidR="00C32198">
        <w:t xml:space="preserve"> </w:t>
      </w:r>
      <w:proofErr w:type="gramStart"/>
      <w:r w:rsidR="00C32198">
        <w:t xml:space="preserve">about 170 </w:t>
      </w:r>
      <w:proofErr w:type="spellStart"/>
      <w:r w:rsidR="00C32198">
        <w:t>ng</w:t>
      </w:r>
      <w:proofErr w:type="spellEnd"/>
      <w:r w:rsidR="00C32198">
        <w:t>/L -</w:t>
      </w:r>
      <w:proofErr w:type="gramEnd"/>
      <w:r w:rsidR="00C32198">
        <w:t xml:space="preserve"> about 0.5 </w:t>
      </w:r>
      <w:proofErr w:type="spellStart"/>
      <w:r w:rsidR="00C32198">
        <w:t>nM</w:t>
      </w:r>
      <w:proofErr w:type="spellEnd"/>
      <w:r w:rsidRPr="00AA1CE4">
        <w:t xml:space="preserve"> or 1/40th lower than the oral concentration, an interaction of LNG with co-administered drugs which are mainly metabolised by CYP3A4 is thus unlikely to be of clinical relevance.</w:t>
      </w:r>
    </w:p>
    <w:p w:rsidR="00D73F89" w:rsidRPr="00AA1CE4" w:rsidRDefault="00D73F89" w:rsidP="00393495">
      <w:r w:rsidRPr="00AA1CE4">
        <w:t xml:space="preserve">The metabolism of the other model substrates of CYP1A2, 2A6, 2C9, 2C19, 2D6 and 2E1 </w:t>
      </w:r>
      <w:r w:rsidR="00590069" w:rsidRPr="00590069">
        <w:rPr>
          <w:i/>
          <w:iCs/>
        </w:rPr>
        <w:t>in vitro</w:t>
      </w:r>
      <w:r w:rsidRPr="00AA1CE4">
        <w:t xml:space="preserve"> was not affected.</w:t>
      </w:r>
    </w:p>
    <w:p w:rsidR="00D73F89" w:rsidRPr="00AA1CE4" w:rsidRDefault="00D73F89" w:rsidP="00393495">
      <w:pPr>
        <w:pStyle w:val="Heading6"/>
      </w:pPr>
      <w:r w:rsidRPr="00AA1CE4">
        <w:t>Non-renal clearance</w:t>
      </w:r>
    </w:p>
    <w:p w:rsidR="00D73F89" w:rsidRPr="00AA1CE4" w:rsidRDefault="00D73F89" w:rsidP="00393495">
      <w:r w:rsidRPr="00AA1CE4">
        <w:t>Non-renal clearance is via biliary excretion into the faeces. The amount of unchanged non-renal clearance is small as almost all of LNG is metabolised. Non-renal clearance of metabolites is also small. For example with intravenous administration of 0.09 mg LNG to healthy volunteers only trace amounts of LNG are excreted in unchanged form. The metabolites are excreted with faeces and urine with a half-life of about 1 day.</w:t>
      </w:r>
    </w:p>
    <w:p w:rsidR="00D73F89" w:rsidRPr="00AA1CE4" w:rsidRDefault="00D73F89" w:rsidP="00393495">
      <w:r w:rsidRPr="00AA1CE4">
        <w:t xml:space="preserve">It should be noted that this clearance is following the intravenous administration route. However an older (1994) study provided in the submission (A229 examining bioavailability of LNG) showed that elimination from serum is 20 hours (mean) regardless of whether it is given intravenously or orally. However over 95% of radioactivity was recovered within 8 days after oral administration of radioactively </w:t>
      </w:r>
      <w:proofErr w:type="spellStart"/>
      <w:r w:rsidRPr="00AA1CE4">
        <w:t>labeled</w:t>
      </w:r>
      <w:proofErr w:type="spellEnd"/>
      <w:r w:rsidRPr="00AA1CE4">
        <w:t xml:space="preserve"> LNG, suggesting that that clearance via the faecal and urine route is about around 75% of the intravenous route.</w:t>
      </w:r>
    </w:p>
    <w:p w:rsidR="00D73F89" w:rsidRPr="00AA1CE4" w:rsidRDefault="00D73F89" w:rsidP="00393495">
      <w:pPr>
        <w:pStyle w:val="Heading6"/>
      </w:pPr>
      <w:r w:rsidRPr="00AA1CE4">
        <w:t xml:space="preserve">Metabolites </w:t>
      </w:r>
      <w:r w:rsidRPr="00393495">
        <w:t>identified</w:t>
      </w:r>
      <w:r w:rsidRPr="00AA1CE4">
        <w:t xml:space="preserve"> in humans</w:t>
      </w:r>
    </w:p>
    <w:p w:rsidR="00D73F89" w:rsidRPr="00AA1CE4" w:rsidRDefault="00D73F89" w:rsidP="00393495">
      <w:pPr>
        <w:pStyle w:val="ListBullet"/>
      </w:pPr>
      <w:r w:rsidRPr="00AA1CE4">
        <w:t>Active metabolites</w:t>
      </w:r>
    </w:p>
    <w:p w:rsidR="00D73F89" w:rsidRPr="00AA1CE4" w:rsidRDefault="00D73F89" w:rsidP="00393495">
      <w:r w:rsidRPr="00AA1CE4">
        <w:t>The metabolites have not been shown to be active.</w:t>
      </w:r>
    </w:p>
    <w:p w:rsidR="00D73F89" w:rsidRPr="00AA1CE4" w:rsidRDefault="00D73F89" w:rsidP="00393495">
      <w:pPr>
        <w:pStyle w:val="ListBullet"/>
      </w:pPr>
      <w:r w:rsidRPr="00AA1CE4">
        <w:t>Other metabolites</w:t>
      </w:r>
    </w:p>
    <w:p w:rsidR="00D73F89" w:rsidRPr="00AA1CE4" w:rsidRDefault="00D73F89" w:rsidP="00393495">
      <w:r w:rsidRPr="00AA1CE4">
        <w:t xml:space="preserve">Most of the metabolites that circulate in the blood are </w:t>
      </w:r>
      <w:proofErr w:type="spellStart"/>
      <w:r w:rsidRPr="00AA1CE4">
        <w:t>sulfates</w:t>
      </w:r>
      <w:proofErr w:type="spellEnd"/>
      <w:r w:rsidRPr="00AA1CE4">
        <w:t xml:space="preserve"> of 3α, 5β-</w:t>
      </w:r>
      <w:proofErr w:type="spellStart"/>
      <w:r w:rsidRPr="00AA1CE4">
        <w:t>tetrahydro</w:t>
      </w:r>
      <w:proofErr w:type="spellEnd"/>
      <w:r w:rsidRPr="00AA1CE4">
        <w:t xml:space="preserve">-LNG and </w:t>
      </w:r>
      <w:proofErr w:type="spellStart"/>
      <w:r w:rsidRPr="00AA1CE4">
        <w:t>glucuronides</w:t>
      </w:r>
      <w:proofErr w:type="spellEnd"/>
      <w:r w:rsidRPr="00AA1CE4">
        <w:t>. Some of the parent LNG also</w:t>
      </w:r>
      <w:r w:rsidR="00393495">
        <w:t xml:space="preserve"> circulates as the 17β-</w:t>
      </w:r>
      <w:proofErr w:type="spellStart"/>
      <w:r w:rsidR="00393495">
        <w:t>sulfate</w:t>
      </w:r>
      <w:proofErr w:type="spellEnd"/>
      <w:r w:rsidR="00393495">
        <w:t>.</w:t>
      </w:r>
    </w:p>
    <w:p w:rsidR="00D73F89" w:rsidRPr="00AA1CE4" w:rsidRDefault="00E36CDE" w:rsidP="00E36CDE">
      <w:pPr>
        <w:pStyle w:val="Heading6"/>
      </w:pPr>
      <w:r>
        <w:t>Pharmacokinetics of metabolites</w:t>
      </w:r>
    </w:p>
    <w:p w:rsidR="00D73F89" w:rsidRPr="00AA1CE4" w:rsidRDefault="00C32198" w:rsidP="00E36CDE">
      <w:r>
        <w:t>N</w:t>
      </w:r>
      <w:r w:rsidR="00D73F89" w:rsidRPr="00AA1CE4">
        <w:t>ot relevant</w:t>
      </w:r>
      <w:r>
        <w:t>.</w:t>
      </w:r>
    </w:p>
    <w:p w:rsidR="00D73F89" w:rsidRPr="00AA1CE4" w:rsidRDefault="00D73F89" w:rsidP="00E36CDE">
      <w:pPr>
        <w:pStyle w:val="Heading6"/>
      </w:pPr>
      <w:r w:rsidRPr="00AA1CE4">
        <w:t xml:space="preserve">Consequences of genetic </w:t>
      </w:r>
      <w:r w:rsidRPr="00E36CDE">
        <w:t>polymorphism</w:t>
      </w:r>
    </w:p>
    <w:p w:rsidR="00D73F89" w:rsidRPr="00AA1CE4" w:rsidRDefault="00590069" w:rsidP="00E36CDE">
      <w:r w:rsidRPr="00590069">
        <w:rPr>
          <w:i/>
          <w:iCs/>
        </w:rPr>
        <w:t>In vitro</w:t>
      </w:r>
      <w:r w:rsidR="00D73F89" w:rsidRPr="00AA1CE4">
        <w:t xml:space="preserve"> studies presented in the submission have demonstrated that oxidative metabolism of LNG is catalysed by CYP enzymes, predominantly CYP3A4 (A02495). CYP3A4 is not polymorphic although there is a population distribution regarding gene activity which could produce changes in clinical concentrations for the same dose across a population.  However any </w:t>
      </w:r>
      <w:proofErr w:type="spellStart"/>
      <w:r w:rsidR="00D73F89" w:rsidRPr="00AA1CE4">
        <w:t>pharmacodynamic</w:t>
      </w:r>
      <w:proofErr w:type="spellEnd"/>
      <w:r w:rsidR="00D73F89" w:rsidRPr="00AA1CE4">
        <w:t xml:space="preserve"> effect from this was no</w:t>
      </w:r>
      <w:r w:rsidR="00E36CDE">
        <w:t>t seen in the pivotal studies.</w:t>
      </w:r>
    </w:p>
    <w:p w:rsidR="00D73F89" w:rsidRPr="00AA1CE4" w:rsidRDefault="00D73F89" w:rsidP="00E36CDE">
      <w:pPr>
        <w:pStyle w:val="Heading5"/>
      </w:pPr>
      <w:bookmarkStart w:id="87" w:name="_Toc241374289"/>
      <w:bookmarkStart w:id="88" w:name="_Toc272414623"/>
      <w:bookmarkStart w:id="89" w:name="_Toc290846246"/>
      <w:bookmarkStart w:id="90" w:name="_Toc290888783"/>
      <w:r w:rsidRPr="00AA1CE4">
        <w:t>E</w:t>
      </w:r>
      <w:bookmarkEnd w:id="87"/>
      <w:r w:rsidRPr="00AA1CE4">
        <w:t>xcretion</w:t>
      </w:r>
      <w:bookmarkEnd w:id="88"/>
      <w:bookmarkEnd w:id="89"/>
      <w:bookmarkEnd w:id="90"/>
    </w:p>
    <w:p w:rsidR="00D73F89" w:rsidRPr="00AA1CE4" w:rsidRDefault="00D73F89" w:rsidP="00E36CDE">
      <w:pPr>
        <w:pStyle w:val="Heading6"/>
      </w:pPr>
      <w:r w:rsidRPr="00AA1CE4">
        <w:t>Routes and mechanisms of excretion</w:t>
      </w:r>
    </w:p>
    <w:p w:rsidR="00D73F89" w:rsidRPr="00AA1CE4" w:rsidRDefault="00D73F89" w:rsidP="00E36CDE">
      <w:r w:rsidRPr="00AA1CE4">
        <w:t>The predominant excretion route for LNG is faeces and urine for the metabolites. Almost all the parent is metabolised.</w:t>
      </w:r>
    </w:p>
    <w:p w:rsidR="00D73F89" w:rsidRPr="00AA1CE4" w:rsidRDefault="00D73F89" w:rsidP="00E36CDE">
      <w:pPr>
        <w:pStyle w:val="Heading6"/>
      </w:pPr>
      <w:r w:rsidRPr="00AA1CE4">
        <w:t>Mass balance studies</w:t>
      </w:r>
    </w:p>
    <w:p w:rsidR="00D73F89" w:rsidRPr="00AA1CE4" w:rsidRDefault="00D73F89" w:rsidP="00E36CDE">
      <w:r w:rsidRPr="00AA1CE4">
        <w:t xml:space="preserve">No mass balance studies were provided with this application. However after oral administration of 3H-LNG (0.25 mg, in combination with </w:t>
      </w:r>
      <w:proofErr w:type="spellStart"/>
      <w:r w:rsidRPr="00AA1CE4">
        <w:t>ethinylestradiol</w:t>
      </w:r>
      <w:proofErr w:type="spellEnd"/>
      <w:r w:rsidRPr="00AA1CE4">
        <w:t>), approximately 95% of radioactivity was recovered within 8 days after administration.</w:t>
      </w:r>
    </w:p>
    <w:p w:rsidR="00D73F89" w:rsidRPr="00AA1CE4" w:rsidRDefault="00D73F89" w:rsidP="00E36CDE">
      <w:pPr>
        <w:pStyle w:val="Heading6"/>
      </w:pPr>
      <w:r w:rsidRPr="00AA1CE4">
        <w:lastRenderedPageBreak/>
        <w:t>Renal clearance</w:t>
      </w:r>
    </w:p>
    <w:p w:rsidR="00D73F89" w:rsidRPr="00AA1CE4" w:rsidRDefault="00D73F89" w:rsidP="00E36CDE">
      <w:r w:rsidRPr="00AA1CE4">
        <w:t>There is only a very small amount of LNG excreted unchanged.</w:t>
      </w:r>
    </w:p>
    <w:p w:rsidR="00D73F89" w:rsidRPr="00AA1CE4" w:rsidRDefault="00D73F89" w:rsidP="00E36CDE">
      <w:pPr>
        <w:pStyle w:val="Heading5"/>
      </w:pPr>
      <w:bookmarkStart w:id="91" w:name="_Toc241374291"/>
      <w:bookmarkStart w:id="92" w:name="_Toc272414624"/>
      <w:bookmarkStart w:id="93" w:name="_Toc290846247"/>
      <w:bookmarkStart w:id="94" w:name="_Toc290888784"/>
      <w:r w:rsidRPr="00AA1CE4">
        <w:t>Intra- and inter-</w:t>
      </w:r>
      <w:r w:rsidRPr="00E36CDE">
        <w:t>individual</w:t>
      </w:r>
      <w:r w:rsidRPr="00AA1CE4">
        <w:t xml:space="preserve"> variability</w:t>
      </w:r>
      <w:bookmarkEnd w:id="91"/>
      <w:r w:rsidRPr="00AA1CE4">
        <w:t xml:space="preserve"> of pharmacokinetics</w:t>
      </w:r>
      <w:bookmarkEnd w:id="92"/>
      <w:bookmarkEnd w:id="93"/>
      <w:bookmarkEnd w:id="94"/>
      <w:r w:rsidRPr="00AA1CE4">
        <w:t xml:space="preserve"> and pharmacodynamics</w:t>
      </w:r>
    </w:p>
    <w:p w:rsidR="00D73F89" w:rsidRPr="00AA1CE4" w:rsidRDefault="00D73F89" w:rsidP="00E36CDE">
      <w:r w:rsidRPr="00C32198">
        <w:rPr>
          <w:b/>
          <w:bCs/>
          <w:i/>
          <w:iCs/>
        </w:rPr>
        <w:t>PK.</w:t>
      </w:r>
      <w:r w:rsidRPr="00AA1CE4">
        <w:t xml:space="preserve"> There is large intra and inter-individual variability of pharmacokinetics. This is seen in the PK </w:t>
      </w:r>
      <w:proofErr w:type="gramStart"/>
      <w:r w:rsidRPr="00AA1CE4">
        <w:t>studies,</w:t>
      </w:r>
      <w:proofErr w:type="gramEnd"/>
      <w:r w:rsidRPr="00AA1CE4">
        <w:t xml:space="preserve"> and in addition in the modelled population studies and is covered in Section 4 above</w:t>
      </w:r>
      <w:r w:rsidR="003277DC">
        <w:t>.</w:t>
      </w:r>
    </w:p>
    <w:p w:rsidR="00D73F89" w:rsidRPr="00AA1CE4" w:rsidRDefault="00D73F89" w:rsidP="00E36CDE">
      <w:proofErr w:type="gramStart"/>
      <w:r w:rsidRPr="00C32198">
        <w:rPr>
          <w:b/>
          <w:bCs/>
          <w:i/>
          <w:iCs/>
        </w:rPr>
        <w:t>PD</w:t>
      </w:r>
      <w:r w:rsidRPr="00AA1CE4">
        <w:t>.</w:t>
      </w:r>
      <w:proofErr w:type="gramEnd"/>
      <w:r w:rsidRPr="00AA1CE4">
        <w:t xml:space="preserve"> In 52238 the </w:t>
      </w:r>
      <w:proofErr w:type="spellStart"/>
      <w:r w:rsidRPr="00AA1CE4">
        <w:t>estradiol</w:t>
      </w:r>
      <w:proofErr w:type="spellEnd"/>
      <w:r w:rsidRPr="00AA1CE4">
        <w:t xml:space="preserve"> (E2) and progesterone (PG) hormone peaks and average concentrations were calculated from samples which were taken twice a week for 6 weeks each year. Mean maximum concentrations for E2 showed high variability with variation </w:t>
      </w:r>
      <w:proofErr w:type="gramStart"/>
      <w:r w:rsidRPr="00AA1CE4">
        <w:t xml:space="preserve">from 275.09 </w:t>
      </w:r>
      <w:proofErr w:type="spellStart"/>
      <w:r w:rsidRPr="00AA1CE4">
        <w:t>pg</w:t>
      </w:r>
      <w:proofErr w:type="spellEnd"/>
      <w:r w:rsidRPr="00AA1CE4">
        <w:t xml:space="preserve">/mL (SD 132.38 </w:t>
      </w:r>
      <w:proofErr w:type="spellStart"/>
      <w:r w:rsidRPr="00AA1CE4">
        <w:t>pg</w:t>
      </w:r>
      <w:proofErr w:type="spellEnd"/>
      <w:r w:rsidRPr="00AA1CE4">
        <w:t>/mL; year 1)</w:t>
      </w:r>
      <w:proofErr w:type="gramEnd"/>
      <w:r w:rsidRPr="00AA1CE4">
        <w:t xml:space="preserve"> to 304.59 </w:t>
      </w:r>
      <w:proofErr w:type="spellStart"/>
      <w:r w:rsidRPr="00AA1CE4">
        <w:t>pg</w:t>
      </w:r>
      <w:proofErr w:type="spellEnd"/>
      <w:r w:rsidRPr="00AA1CE4">
        <w:t xml:space="preserve">/mL (SD 112.16 </w:t>
      </w:r>
      <w:proofErr w:type="spellStart"/>
      <w:r w:rsidRPr="00AA1CE4">
        <w:t>pg</w:t>
      </w:r>
      <w:proofErr w:type="spellEnd"/>
      <w:r w:rsidRPr="00AA1CE4">
        <w:t xml:space="preserve">/mL; year 2) in the LCS12 group. In the LCS16 group, the mean </w:t>
      </w:r>
      <w:proofErr w:type="spellStart"/>
      <w:r w:rsidRPr="00AA1CE4">
        <w:t>Cmax</w:t>
      </w:r>
      <w:proofErr w:type="spellEnd"/>
      <w:r w:rsidRPr="00AA1CE4">
        <w:t xml:space="preserve"> values varied </w:t>
      </w:r>
      <w:proofErr w:type="gramStart"/>
      <w:r w:rsidRPr="00AA1CE4">
        <w:t xml:space="preserve">from 246.16 </w:t>
      </w:r>
      <w:proofErr w:type="spellStart"/>
      <w:r w:rsidRPr="00AA1CE4">
        <w:t>pg</w:t>
      </w:r>
      <w:proofErr w:type="spellEnd"/>
      <w:r w:rsidRPr="00AA1CE4">
        <w:t xml:space="preserve">/mL (SD 95.09 </w:t>
      </w:r>
      <w:proofErr w:type="spellStart"/>
      <w:r w:rsidRPr="00AA1CE4">
        <w:t>pg</w:t>
      </w:r>
      <w:proofErr w:type="spellEnd"/>
      <w:r w:rsidRPr="00AA1CE4">
        <w:t>/mL; year 2)</w:t>
      </w:r>
      <w:proofErr w:type="gramEnd"/>
      <w:r w:rsidRPr="00AA1CE4">
        <w:t xml:space="preserve"> to 300.91 </w:t>
      </w:r>
      <w:proofErr w:type="spellStart"/>
      <w:r w:rsidRPr="00AA1CE4">
        <w:t>pg</w:t>
      </w:r>
      <w:proofErr w:type="spellEnd"/>
      <w:r w:rsidRPr="00AA1CE4">
        <w:t xml:space="preserve">/mL (SD 91.54 </w:t>
      </w:r>
      <w:proofErr w:type="spellStart"/>
      <w:r w:rsidRPr="00AA1CE4">
        <w:t>pg</w:t>
      </w:r>
      <w:proofErr w:type="spellEnd"/>
      <w:r w:rsidRPr="00AA1CE4">
        <w:t xml:space="preserve">/mL; year 1). In addition, ranges for individual </w:t>
      </w:r>
      <w:proofErr w:type="spellStart"/>
      <w:r w:rsidRPr="00AA1CE4">
        <w:t>Cmax</w:t>
      </w:r>
      <w:proofErr w:type="spellEnd"/>
      <w:r w:rsidRPr="00AA1CE4">
        <w:t xml:space="preserve"> values varied widely: from a minimum of 62.9 </w:t>
      </w:r>
      <w:proofErr w:type="spellStart"/>
      <w:r w:rsidRPr="00AA1CE4">
        <w:t>pg</w:t>
      </w:r>
      <w:proofErr w:type="spellEnd"/>
      <w:r w:rsidRPr="00AA1CE4">
        <w:t xml:space="preserve">/mL (LCS12, year 1) </w:t>
      </w:r>
      <w:proofErr w:type="gramStart"/>
      <w:r w:rsidRPr="00AA1CE4">
        <w:t xml:space="preserve">to 500.3 </w:t>
      </w:r>
      <w:proofErr w:type="spellStart"/>
      <w:r w:rsidRPr="00AA1CE4">
        <w:t>pg</w:t>
      </w:r>
      <w:proofErr w:type="spellEnd"/>
      <w:r w:rsidRPr="00AA1CE4">
        <w:t>/mL</w:t>
      </w:r>
      <w:proofErr w:type="gramEnd"/>
      <w:r w:rsidRPr="00AA1CE4">
        <w:t xml:space="preserve"> (LCS12, years 1, 2, and LCS16, year 1). Similar to the maximum values, the mean average values (</w:t>
      </w:r>
      <w:proofErr w:type="spellStart"/>
      <w:r w:rsidRPr="00AA1CE4">
        <w:t>Cav</w:t>
      </w:r>
      <w:proofErr w:type="spellEnd"/>
      <w:r w:rsidRPr="00AA1CE4">
        <w:t xml:space="preserve">) also showed high variability, varying between 93.76 </w:t>
      </w:r>
      <w:proofErr w:type="spellStart"/>
      <w:r w:rsidRPr="00AA1CE4">
        <w:t>pg</w:t>
      </w:r>
      <w:proofErr w:type="spellEnd"/>
      <w:r w:rsidRPr="00AA1CE4">
        <w:t xml:space="preserve">/mL (SD 20.05 </w:t>
      </w:r>
      <w:proofErr w:type="spellStart"/>
      <w:r w:rsidRPr="00AA1CE4">
        <w:t>pg</w:t>
      </w:r>
      <w:proofErr w:type="spellEnd"/>
      <w:r w:rsidRPr="00AA1CE4">
        <w:t xml:space="preserve">/mL; LCS16, second year) and 121.60 </w:t>
      </w:r>
      <w:proofErr w:type="spellStart"/>
      <w:r w:rsidRPr="00AA1CE4">
        <w:t>pg</w:t>
      </w:r>
      <w:proofErr w:type="spellEnd"/>
      <w:r w:rsidRPr="00AA1CE4">
        <w:t xml:space="preserve">/mL (SD </w:t>
      </w:r>
      <w:r w:rsidR="00E36CDE">
        <w:t xml:space="preserve">47.55 </w:t>
      </w:r>
      <w:proofErr w:type="spellStart"/>
      <w:r w:rsidR="00E36CDE">
        <w:t>pg</w:t>
      </w:r>
      <w:proofErr w:type="spellEnd"/>
      <w:r w:rsidR="00E36CDE">
        <w:t>/mL; LCS12 third year).</w:t>
      </w:r>
    </w:p>
    <w:p w:rsidR="00D73F89" w:rsidRPr="00AA1CE4" w:rsidRDefault="00D73F89" w:rsidP="00E36CDE">
      <w:r w:rsidRPr="00AA1CE4">
        <w:t>PG concentrations also showed large inter and intra patient variability – the clinical r</w:t>
      </w:r>
      <w:r w:rsidR="00E36CDE">
        <w:t>elevance of which is not clear.</w:t>
      </w:r>
    </w:p>
    <w:p w:rsidR="00D73F89" w:rsidRPr="00AA1CE4" w:rsidRDefault="00D73F89" w:rsidP="00E36CDE">
      <w:pPr>
        <w:pStyle w:val="Heading4"/>
      </w:pPr>
      <w:bookmarkStart w:id="95" w:name="_Toc241374292"/>
      <w:bookmarkStart w:id="96" w:name="_Ref271189131"/>
      <w:bookmarkStart w:id="97" w:name="_Ref271189136"/>
      <w:bookmarkStart w:id="98" w:name="_Toc272414625"/>
      <w:bookmarkStart w:id="99" w:name="_Toc290846248"/>
      <w:bookmarkStart w:id="100" w:name="_Toc290888785"/>
      <w:bookmarkStart w:id="101" w:name="_Toc343587552"/>
      <w:bookmarkStart w:id="102" w:name="_Toc219998382"/>
      <w:bookmarkStart w:id="103" w:name="_Toc219998486"/>
      <w:bookmarkStart w:id="104" w:name="_Toc219998901"/>
      <w:bookmarkStart w:id="105" w:name="_Toc219999004"/>
      <w:bookmarkStart w:id="106" w:name="_Toc219999105"/>
      <w:bookmarkStart w:id="107" w:name="_Toc229197920"/>
      <w:r w:rsidRPr="00E36CDE">
        <w:t>Pharmacokinetics</w:t>
      </w:r>
      <w:r w:rsidRPr="00AA1CE4">
        <w:t xml:space="preserve"> in the target population</w:t>
      </w:r>
      <w:bookmarkEnd w:id="95"/>
      <w:bookmarkEnd w:id="96"/>
      <w:bookmarkEnd w:id="97"/>
      <w:bookmarkEnd w:id="98"/>
      <w:bookmarkEnd w:id="99"/>
      <w:bookmarkEnd w:id="100"/>
      <w:bookmarkEnd w:id="101"/>
      <w:bookmarkEnd w:id="102"/>
      <w:bookmarkEnd w:id="103"/>
      <w:bookmarkEnd w:id="104"/>
      <w:bookmarkEnd w:id="105"/>
      <w:bookmarkEnd w:id="106"/>
      <w:bookmarkEnd w:id="107"/>
    </w:p>
    <w:p w:rsidR="00D73F89" w:rsidRPr="00AA1CE4" w:rsidRDefault="00D73F89" w:rsidP="00E36CDE">
      <w:bookmarkStart w:id="108" w:name="_Toc241374293"/>
      <w:r w:rsidRPr="00AA1CE4">
        <w:t xml:space="preserve">It has been shown that dose-proportionality of LNG pharmacokinetics is observed after single oral administration of doses between 30 and 270 </w:t>
      </w:r>
      <w:proofErr w:type="spellStart"/>
      <w:r w:rsidRPr="00AA1CE4">
        <w:t>μg</w:t>
      </w:r>
      <w:proofErr w:type="spellEnd"/>
      <w:r w:rsidRPr="00AA1CE4">
        <w:t xml:space="preserve"> LNG (the relevant IUS dose) (A229), although the pharmacokinetics will differ with intrauterine absorption.</w:t>
      </w:r>
    </w:p>
    <w:p w:rsidR="00D73F89" w:rsidRPr="00AA1CE4" w:rsidRDefault="00D73F89" w:rsidP="00E36CDE">
      <w:r w:rsidRPr="00AA1CE4">
        <w:t xml:space="preserve">The pharmacokinetics of LNG also </w:t>
      </w:r>
      <w:proofErr w:type="gramStart"/>
      <w:r w:rsidRPr="00AA1CE4">
        <w:t>appear</w:t>
      </w:r>
      <w:proofErr w:type="gramEnd"/>
      <w:r w:rsidRPr="00AA1CE4">
        <w:t xml:space="preserve"> to change over time, due to changes in dose (exposure) with time. Most of this is due to the decrease in release of LNG, but in addition there is a dose –dependent effect on SHBG concentrations which may affect the clearance, if only temporarily. The evidence however suggests that pharmacokinetics changes to LNG are small and not likely to be clinically</w:t>
      </w:r>
      <w:r w:rsidR="00C32198">
        <w:t xml:space="preserve"> relevant </w:t>
      </w:r>
      <w:r w:rsidRPr="00AA1CE4">
        <w:t>(3).</w:t>
      </w:r>
    </w:p>
    <w:p w:rsidR="00D73F89" w:rsidRPr="00AA1CE4" w:rsidRDefault="00D73F89" w:rsidP="00E36CDE">
      <w:r w:rsidRPr="00AA1CE4">
        <w:t xml:space="preserve">In the PK </w:t>
      </w:r>
      <w:proofErr w:type="spellStart"/>
      <w:r w:rsidRPr="00AA1CE4">
        <w:t>substudy</w:t>
      </w:r>
      <w:proofErr w:type="spellEnd"/>
      <w:r w:rsidRPr="00AA1CE4">
        <w:t xml:space="preserve"> of the pivotal studies, a single serum sample for LNG/SHBG per subject was taken</w:t>
      </w:r>
      <w:r w:rsidR="0019264D">
        <w:t xml:space="preserve"> </w:t>
      </w:r>
      <w:r w:rsidRPr="00AA1CE4">
        <w:t>at one of visits 3 – 10.</w:t>
      </w:r>
    </w:p>
    <w:p w:rsidR="00D73F89" w:rsidRPr="00AA1CE4" w:rsidRDefault="00D73F89" w:rsidP="00D41898">
      <w:pPr>
        <w:pStyle w:val="Heading4"/>
      </w:pPr>
      <w:bookmarkStart w:id="109" w:name="_Toc272414626"/>
      <w:bookmarkStart w:id="110" w:name="_Toc290846249"/>
      <w:bookmarkStart w:id="111" w:name="_Toc290888786"/>
      <w:bookmarkStart w:id="112" w:name="_Toc343587553"/>
      <w:bookmarkStart w:id="113" w:name="_Toc219998383"/>
      <w:bookmarkStart w:id="114" w:name="_Toc219998487"/>
      <w:bookmarkStart w:id="115" w:name="_Toc219998902"/>
      <w:bookmarkStart w:id="116" w:name="_Toc219999005"/>
      <w:bookmarkStart w:id="117" w:name="_Toc219999106"/>
      <w:bookmarkStart w:id="118" w:name="_Toc229197921"/>
      <w:r w:rsidRPr="00AA1CE4">
        <w:t xml:space="preserve">Pharmacokinetics in other </w:t>
      </w:r>
      <w:r w:rsidRPr="00D41898">
        <w:t>special</w:t>
      </w:r>
      <w:r w:rsidRPr="00AA1CE4">
        <w:t xml:space="preserve"> populations</w:t>
      </w:r>
      <w:bookmarkEnd w:id="108"/>
      <w:bookmarkEnd w:id="109"/>
      <w:bookmarkEnd w:id="110"/>
      <w:bookmarkEnd w:id="111"/>
      <w:bookmarkEnd w:id="112"/>
      <w:bookmarkEnd w:id="113"/>
      <w:bookmarkEnd w:id="114"/>
      <w:bookmarkEnd w:id="115"/>
      <w:bookmarkEnd w:id="116"/>
      <w:bookmarkEnd w:id="117"/>
      <w:bookmarkEnd w:id="118"/>
    </w:p>
    <w:p w:rsidR="00D73F89" w:rsidRPr="00AA1CE4" w:rsidRDefault="00D73F89" w:rsidP="00D41898">
      <w:pPr>
        <w:pStyle w:val="Heading5"/>
      </w:pPr>
      <w:bookmarkStart w:id="119" w:name="_Toc272414627"/>
      <w:bookmarkStart w:id="120" w:name="_Toc290846250"/>
      <w:bookmarkStart w:id="121" w:name="_Toc290888787"/>
      <w:r w:rsidRPr="00AA1CE4">
        <w:t xml:space="preserve">Hepatic and renal </w:t>
      </w:r>
      <w:r w:rsidRPr="00D41898">
        <w:t>function</w:t>
      </w:r>
    </w:p>
    <w:p w:rsidR="00D73F89" w:rsidRPr="00AA1CE4" w:rsidRDefault="00D73F89" w:rsidP="00D41898">
      <w:r w:rsidRPr="00AA1CE4">
        <w:t xml:space="preserve">Although there is no data available, pharmacokinetics in subjects with impaired hepatic or renal </w:t>
      </w:r>
      <w:proofErr w:type="gramStart"/>
      <w:r w:rsidRPr="00AA1CE4">
        <w:t>function</w:t>
      </w:r>
      <w:bookmarkEnd w:id="119"/>
      <w:bookmarkEnd w:id="120"/>
      <w:bookmarkEnd w:id="121"/>
      <w:r w:rsidRPr="00AA1CE4">
        <w:t xml:space="preserve"> are</w:t>
      </w:r>
      <w:proofErr w:type="gramEnd"/>
      <w:r w:rsidRPr="00AA1CE4">
        <w:t xml:space="preserve"> unlikely to be clinically relevant due to small systemic concentrations and mechanism of effect predominantly a local one.</w:t>
      </w:r>
    </w:p>
    <w:p w:rsidR="00D73F89" w:rsidRPr="00AA1CE4" w:rsidRDefault="00D73F89" w:rsidP="00D41898">
      <w:pPr>
        <w:pStyle w:val="Heading5"/>
      </w:pPr>
      <w:bookmarkStart w:id="122" w:name="_Toc272414629"/>
      <w:bookmarkStart w:id="123" w:name="_Toc290846252"/>
      <w:bookmarkStart w:id="124" w:name="_Toc290888789"/>
      <w:r w:rsidRPr="00AA1CE4">
        <w:t xml:space="preserve">Pharmacokinetics </w:t>
      </w:r>
      <w:r w:rsidRPr="00D41898">
        <w:t>according</w:t>
      </w:r>
      <w:r w:rsidRPr="00AA1CE4">
        <w:t xml:space="preserve"> to age</w:t>
      </w:r>
      <w:bookmarkEnd w:id="122"/>
      <w:bookmarkEnd w:id="123"/>
      <w:bookmarkEnd w:id="124"/>
    </w:p>
    <w:p w:rsidR="00D73F89" w:rsidRPr="00AA1CE4" w:rsidRDefault="00D73F89" w:rsidP="00D41898">
      <w:r w:rsidRPr="00AA1CE4">
        <w:t>This product is for use in women requiring contraception and as such will not be used fo</w:t>
      </w:r>
      <w:r w:rsidR="00D41898">
        <w:t>r women at the extremes of age.</w:t>
      </w:r>
    </w:p>
    <w:p w:rsidR="00D73F89" w:rsidRPr="00AA1CE4" w:rsidRDefault="00D73F89" w:rsidP="00D41898">
      <w:pPr>
        <w:pStyle w:val="Heading5"/>
      </w:pPr>
      <w:bookmarkStart w:id="125" w:name="_Toc272414630"/>
      <w:bookmarkStart w:id="126" w:name="_Toc290846253"/>
      <w:bookmarkStart w:id="127" w:name="_Toc290888790"/>
      <w:r w:rsidRPr="00D41898">
        <w:t>Pharmacokinetics</w:t>
      </w:r>
      <w:r w:rsidRPr="00AA1CE4">
        <w:t xml:space="preserve"> related to genetic factors</w:t>
      </w:r>
      <w:bookmarkEnd w:id="125"/>
      <w:bookmarkEnd w:id="126"/>
      <w:bookmarkEnd w:id="127"/>
    </w:p>
    <w:p w:rsidR="00D73F89" w:rsidRPr="00AA1CE4" w:rsidRDefault="00D73F89" w:rsidP="00D41898">
      <w:r w:rsidRPr="00AA1CE4">
        <w:t>Not clinically relevant</w:t>
      </w:r>
      <w:r w:rsidR="00D41898">
        <w:t>.</w:t>
      </w:r>
    </w:p>
    <w:p w:rsidR="00D73F89" w:rsidRPr="00AA1CE4" w:rsidRDefault="00D73F89" w:rsidP="00D41898">
      <w:pPr>
        <w:pStyle w:val="Heading5"/>
      </w:pPr>
      <w:bookmarkStart w:id="128" w:name="_Toc272414631"/>
      <w:bookmarkStart w:id="129" w:name="_Toc290846254"/>
      <w:bookmarkStart w:id="130" w:name="_Toc290888791"/>
      <w:r w:rsidRPr="00D41898">
        <w:t>Pharmacokinetics</w:t>
      </w:r>
      <w:r w:rsidRPr="00AA1CE4">
        <w:t xml:space="preserve"> </w:t>
      </w:r>
      <w:bookmarkEnd w:id="128"/>
      <w:bookmarkEnd w:id="129"/>
      <w:bookmarkEnd w:id="130"/>
      <w:r w:rsidRPr="00AA1CE4">
        <w:t>in breast feeding</w:t>
      </w:r>
    </w:p>
    <w:p w:rsidR="00D73F89" w:rsidRPr="00AA1CE4" w:rsidRDefault="00D73F89" w:rsidP="00D41898">
      <w:r w:rsidRPr="00AA1CE4">
        <w:t xml:space="preserve">Breast-feeding women is one group where the pharmacokinetics of LNG compounds </w:t>
      </w:r>
      <w:proofErr w:type="gramStart"/>
      <w:r w:rsidRPr="00AA1CE4">
        <w:t>are</w:t>
      </w:r>
      <w:proofErr w:type="gramEnd"/>
      <w:r w:rsidRPr="00AA1CE4">
        <w:t xml:space="preserve"> of potential clinical importance. In these cases and in the absence of clinical studies, weighted average maternal dose transfer to child can be used to estimate likely ingestion.  However, the transfer of LNG from the maternal plasma via breast milk to the infant has actually been studied after insertion of an LNG-containing IUS initially releasing 20 </w:t>
      </w:r>
      <w:proofErr w:type="spellStart"/>
      <w:r w:rsidRPr="00AA1CE4">
        <w:t>μg</w:t>
      </w:r>
      <w:proofErr w:type="spellEnd"/>
      <w:r w:rsidRPr="00AA1CE4">
        <w:t xml:space="preserve">/day of LNG (higher release rate </w:t>
      </w:r>
      <w:r w:rsidRPr="00AA1CE4">
        <w:lastRenderedPageBreak/>
        <w:t xml:space="preserve">than </w:t>
      </w:r>
      <w:proofErr w:type="spellStart"/>
      <w:r w:rsidRPr="00AA1CE4">
        <w:t>Jaydess</w:t>
      </w:r>
      <w:proofErr w:type="spellEnd"/>
      <w:r w:rsidRPr="00AA1CE4">
        <w:t xml:space="preserve">). The study revealed a LNG percentage transfer from maternal serum to breast milk of about 12% and higher percentage LNG transfer from breast milk to infant’s serum  - about 75% (of the amount in the 12%, or about 8% in total). An arbitrary cut-off of 10% has been selected as a guide to the safe use of drugs during lactation (4). In another study, two LNG-releasing IUSs, one releasing </w:t>
      </w:r>
      <w:proofErr w:type="gramStart"/>
      <w:r w:rsidRPr="00AA1CE4">
        <w:t xml:space="preserve">10 </w:t>
      </w:r>
      <w:proofErr w:type="spellStart"/>
      <w:r w:rsidRPr="00AA1CE4">
        <w:t>μg</w:t>
      </w:r>
      <w:proofErr w:type="spellEnd"/>
      <w:r w:rsidRPr="00AA1CE4">
        <w:t xml:space="preserve">/day, the other 30 </w:t>
      </w:r>
      <w:proofErr w:type="spellStart"/>
      <w:r w:rsidRPr="00AA1CE4">
        <w:t>μg</w:t>
      </w:r>
      <w:proofErr w:type="spellEnd"/>
      <w:r w:rsidRPr="00AA1CE4">
        <w:t>/day,</w:t>
      </w:r>
      <w:proofErr w:type="gramEnd"/>
      <w:r w:rsidRPr="00AA1CE4">
        <w:t xml:space="preserve"> were used. There was no clear difference in the maternal plasma and milk concentrations between the two dose groups. For the 30μg dose group, the total amount of LNG excreted per day in 600 mL breast milk was calculated to be approximately 0.1% of the daily dose (5). A recent Cochrane Review (6) has concluded that the evidence suggests that the LNG-20 IUS (higher release rate than </w:t>
      </w:r>
      <w:proofErr w:type="spellStart"/>
      <w:r w:rsidRPr="00AA1CE4">
        <w:t>Jaydess</w:t>
      </w:r>
      <w:proofErr w:type="spellEnd"/>
      <w:r w:rsidRPr="00AA1CE4">
        <w:t>) does not impact upon breastfeeding performance or the growth and development of breastfed infants in lactating women.</w:t>
      </w:r>
      <w:r w:rsidR="003277DC">
        <w:t xml:space="preserve"> </w:t>
      </w:r>
      <w:r w:rsidRPr="00AA1CE4">
        <w:t xml:space="preserve">The PI states that “there appears to be no deleterious effect on infant growth or development when using any </w:t>
      </w:r>
      <w:proofErr w:type="spellStart"/>
      <w:r w:rsidRPr="00AA1CE4">
        <w:t>progestogen</w:t>
      </w:r>
      <w:proofErr w:type="spellEnd"/>
      <w:r w:rsidRPr="00AA1CE4">
        <w:t xml:space="preserve">-only method after six weeks postpartum. An LNG-IUS does not affect the quantity or quality of breast milk. Small amounts of </w:t>
      </w:r>
      <w:proofErr w:type="spellStart"/>
      <w:r w:rsidRPr="00AA1CE4">
        <w:t>progestogen</w:t>
      </w:r>
      <w:proofErr w:type="spellEnd"/>
      <w:r w:rsidRPr="00AA1CE4">
        <w:t xml:space="preserve"> (about 0.1 % of the </w:t>
      </w:r>
      <w:proofErr w:type="spellStart"/>
      <w:r w:rsidRPr="00AA1CE4">
        <w:t>levonorgestrel</w:t>
      </w:r>
      <w:proofErr w:type="spellEnd"/>
      <w:r w:rsidRPr="00AA1CE4">
        <w:t xml:space="preserve"> dose) pass into the breast milk in nursing mothers”. This is appropriate for the evidence.</w:t>
      </w:r>
    </w:p>
    <w:p w:rsidR="00D73F89" w:rsidRPr="00AA1CE4" w:rsidRDefault="00D73F89" w:rsidP="00D41898">
      <w:pPr>
        <w:pStyle w:val="Heading4"/>
      </w:pPr>
      <w:bookmarkStart w:id="131" w:name="_Toc241374294"/>
      <w:bookmarkStart w:id="132" w:name="_Toc272414632"/>
      <w:bookmarkStart w:id="133" w:name="_Toc290846255"/>
      <w:bookmarkStart w:id="134" w:name="_Toc290888792"/>
      <w:bookmarkStart w:id="135" w:name="_Toc343587554"/>
      <w:bookmarkStart w:id="136" w:name="_Toc219998384"/>
      <w:bookmarkStart w:id="137" w:name="_Toc219998488"/>
      <w:bookmarkStart w:id="138" w:name="_Toc219998903"/>
      <w:bookmarkStart w:id="139" w:name="_Toc219999006"/>
      <w:bookmarkStart w:id="140" w:name="_Toc219999107"/>
      <w:bookmarkStart w:id="141" w:name="_Toc229197922"/>
      <w:r w:rsidRPr="00AA1CE4">
        <w:t xml:space="preserve">Pharmacokinetic </w:t>
      </w:r>
      <w:r w:rsidRPr="00D41898">
        <w:t>interactions</w:t>
      </w:r>
      <w:bookmarkEnd w:id="131"/>
      <w:bookmarkEnd w:id="132"/>
      <w:bookmarkEnd w:id="133"/>
      <w:bookmarkEnd w:id="134"/>
      <w:bookmarkEnd w:id="135"/>
      <w:bookmarkEnd w:id="136"/>
      <w:bookmarkEnd w:id="137"/>
      <w:bookmarkEnd w:id="138"/>
      <w:bookmarkEnd w:id="139"/>
      <w:bookmarkEnd w:id="140"/>
      <w:bookmarkEnd w:id="141"/>
    </w:p>
    <w:p w:rsidR="00D73F89" w:rsidRPr="00AA1CE4" w:rsidRDefault="00D73F89" w:rsidP="00D41898">
      <w:pPr>
        <w:pStyle w:val="Heading5"/>
      </w:pPr>
      <w:bookmarkStart w:id="142" w:name="_Toc272414633"/>
      <w:bookmarkStart w:id="143" w:name="_Toc290846256"/>
      <w:bookmarkStart w:id="144" w:name="_Toc290888793"/>
      <w:r w:rsidRPr="00AA1CE4">
        <w:t>Pharmacokinetic interactions demonstrated in human studies</w:t>
      </w:r>
      <w:bookmarkEnd w:id="142"/>
      <w:bookmarkEnd w:id="143"/>
      <w:bookmarkEnd w:id="144"/>
    </w:p>
    <w:p w:rsidR="00D73F89" w:rsidRPr="00AA1CE4" w:rsidRDefault="00D73F89" w:rsidP="00D41898">
      <w:r w:rsidRPr="00AA1CE4">
        <w:t>None demonstrated</w:t>
      </w:r>
      <w:r w:rsidR="00D41898">
        <w:t>.</w:t>
      </w:r>
    </w:p>
    <w:p w:rsidR="00D73F89" w:rsidRPr="00AA1CE4" w:rsidRDefault="00D73F89" w:rsidP="00B91EBA">
      <w:pPr>
        <w:pStyle w:val="Heading5"/>
      </w:pPr>
      <w:bookmarkStart w:id="145" w:name="_Toc272414634"/>
      <w:bookmarkStart w:id="146" w:name="_Toc290846257"/>
      <w:bookmarkStart w:id="147" w:name="_Toc290888794"/>
      <w:r w:rsidRPr="00B91EBA">
        <w:t>Clinical</w:t>
      </w:r>
      <w:r w:rsidRPr="00AA1CE4">
        <w:t xml:space="preserve"> implications of </w:t>
      </w:r>
      <w:r w:rsidR="00590069" w:rsidRPr="00590069">
        <w:rPr>
          <w:iCs/>
        </w:rPr>
        <w:t>in vitro</w:t>
      </w:r>
      <w:r w:rsidRPr="00AA1CE4">
        <w:t xml:space="preserve"> findings</w:t>
      </w:r>
      <w:bookmarkEnd w:id="145"/>
      <w:bookmarkEnd w:id="146"/>
      <w:bookmarkEnd w:id="147"/>
    </w:p>
    <w:p w:rsidR="00D73F89" w:rsidRPr="00AA1CE4" w:rsidRDefault="00D73F89" w:rsidP="00B91EBA">
      <w:r w:rsidRPr="00AA1CE4">
        <w:t xml:space="preserve">The </w:t>
      </w:r>
      <w:r w:rsidR="00590069" w:rsidRPr="00590069">
        <w:rPr>
          <w:i/>
          <w:iCs/>
        </w:rPr>
        <w:t>in vitro</w:t>
      </w:r>
      <w:r w:rsidRPr="00AA1CE4">
        <w:t xml:space="preserve"> findings suggest that drug interactions and inter-patient variability are likely to have some effects on LNG concentrations but little clinical effects. Studies on patients with hepatic or renal impairment have not been done, although these conditions are relatively uncommon in this patient group.</w:t>
      </w:r>
    </w:p>
    <w:p w:rsidR="00D73F89" w:rsidRPr="00AA1CE4" w:rsidRDefault="00D73F89" w:rsidP="00B91EBA">
      <w:pPr>
        <w:pStyle w:val="Heading3"/>
      </w:pPr>
      <w:bookmarkStart w:id="148" w:name="_Toc241374296"/>
      <w:bookmarkStart w:id="149" w:name="_Ref269982040"/>
      <w:bookmarkStart w:id="150" w:name="_Ref271018704"/>
      <w:bookmarkStart w:id="151" w:name="_Ref271018755"/>
      <w:bookmarkStart w:id="152" w:name="_Toc272414635"/>
      <w:bookmarkStart w:id="153" w:name="_Toc290846258"/>
      <w:bookmarkStart w:id="154" w:name="_Toc290888795"/>
      <w:bookmarkStart w:id="155" w:name="_Toc343587555"/>
      <w:bookmarkStart w:id="156" w:name="_Toc219998385"/>
      <w:bookmarkStart w:id="157" w:name="_Toc219998489"/>
      <w:bookmarkStart w:id="158" w:name="_Toc219998904"/>
      <w:bookmarkStart w:id="159" w:name="_Toc219999007"/>
      <w:bookmarkStart w:id="160" w:name="_Toc219999108"/>
      <w:bookmarkStart w:id="161" w:name="_Toc229197923"/>
      <w:bookmarkStart w:id="162" w:name="_Toc380660794"/>
      <w:r w:rsidRPr="00B91EBA">
        <w:t>Evaluator’s</w:t>
      </w:r>
      <w:r w:rsidRPr="00AA1CE4">
        <w:t xml:space="preserve"> overall conclusions on pharmacokinetics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D73F89" w:rsidRPr="003B668A" w:rsidRDefault="00D73F89" w:rsidP="00B91EBA">
      <w:r w:rsidRPr="003B668A">
        <w:t xml:space="preserve">LCS12 acts primarily via local effects on the endometrium and cervix therefore systemic concentrations, drug interactions, </w:t>
      </w:r>
      <w:proofErr w:type="spellStart"/>
      <w:r w:rsidRPr="003B668A">
        <w:t>pharmacogenetic</w:t>
      </w:r>
      <w:proofErr w:type="spellEnd"/>
      <w:r w:rsidRPr="003B668A">
        <w:t xml:space="preserve"> factors and food are of less relevance than for oral administration of LNG such as in oral contraceptives. Further the systemic concentrations are &gt;30 fold more with oral contraceptive use than with the LNG IUS.</w:t>
      </w:r>
    </w:p>
    <w:p w:rsidR="00586F98" w:rsidRPr="003B668A" w:rsidRDefault="00D73F89" w:rsidP="00B91EBA">
      <w:r w:rsidRPr="003B668A">
        <w:t xml:space="preserve">There appears to be no pharmacokinetic issues of concern in healthy fertile women as studied in the large trials and there are no further pharmacokinetic studies that need to be undertaken for the requested indication. However, clinical studies have not been undertaken in women in ‘special groups’ </w:t>
      </w:r>
      <w:proofErr w:type="spellStart"/>
      <w:r w:rsidRPr="003B668A">
        <w:t>ie</w:t>
      </w:r>
      <w:proofErr w:type="spellEnd"/>
      <w:r w:rsidRPr="003B668A">
        <w:t xml:space="preserve"> with renal or hepatic impairment, in adolescence, obesity or after age 40. Specifically, and on examining the </w:t>
      </w:r>
      <w:proofErr w:type="spellStart"/>
      <w:r w:rsidRPr="003B668A">
        <w:t>pharmacometric</w:t>
      </w:r>
      <w:proofErr w:type="spellEnd"/>
      <w:r w:rsidRPr="003B668A">
        <w:t xml:space="preserve"> work on clearance in the obese (Section 4.1), it suggests it is important that </w:t>
      </w:r>
      <w:proofErr w:type="spellStart"/>
      <w:r w:rsidRPr="003B668A">
        <w:t>pharmacovigilance</w:t>
      </w:r>
      <w:proofErr w:type="spellEnd"/>
      <w:r w:rsidRPr="003B668A">
        <w:t xml:space="preserve"> is undertaken in obese women with </w:t>
      </w:r>
      <w:proofErr w:type="spellStart"/>
      <w:r w:rsidRPr="003B668A">
        <w:t>Jaydess</w:t>
      </w:r>
      <w:proofErr w:type="spellEnd"/>
      <w:r w:rsidRPr="003B668A">
        <w:t>. Although the clinical data did not show a higher pregnancy rate in this group, it is possible from the pharmacokinetic simulation data. Further, that numbers of obese women in the clinical studies are small (i.e. 5 in the pivotal A52238 in the LCS12 arm). For use in other special groups clinical studies and/or monitoring in these groups also needs to be undertaken prior to being confident about the efficacy in these groups.</w:t>
      </w:r>
    </w:p>
    <w:p w:rsidR="00586F98" w:rsidRDefault="00586F98" w:rsidP="00B91EBA">
      <w:pPr>
        <w:pStyle w:val="Heading2"/>
      </w:pPr>
      <w:bookmarkStart w:id="163" w:name="_Toc380660795"/>
      <w:r>
        <w:t>Pharmacodynamics</w:t>
      </w:r>
      <w:bookmarkEnd w:id="163"/>
    </w:p>
    <w:p w:rsidR="00D73F89" w:rsidRPr="003277DC" w:rsidRDefault="00D73F89" w:rsidP="00B91EBA">
      <w:pPr>
        <w:pStyle w:val="Heading3"/>
      </w:pPr>
      <w:bookmarkStart w:id="164" w:name="_Toc229197925"/>
      <w:bookmarkStart w:id="165" w:name="_Toc219999110"/>
      <w:bookmarkStart w:id="166" w:name="_Toc219999009"/>
      <w:bookmarkStart w:id="167" w:name="_Toc219998906"/>
      <w:bookmarkStart w:id="168" w:name="_Toc219998491"/>
      <w:bookmarkStart w:id="169" w:name="_Toc219998387"/>
      <w:bookmarkStart w:id="170" w:name="_Toc343587557"/>
      <w:bookmarkStart w:id="171" w:name="_Toc290888797"/>
      <w:bookmarkStart w:id="172" w:name="_Toc290846260"/>
      <w:bookmarkStart w:id="173" w:name="_Toc272414637"/>
      <w:bookmarkStart w:id="174" w:name="_Toc380660796"/>
      <w:r w:rsidRPr="003277DC">
        <w:t xml:space="preserve">Studies providing </w:t>
      </w:r>
      <w:proofErr w:type="spellStart"/>
      <w:r w:rsidRPr="00B91EBA">
        <w:t>pharmacodynamic</w:t>
      </w:r>
      <w:proofErr w:type="spellEnd"/>
      <w:r w:rsidRPr="003277DC">
        <w:t xml:space="preserve"> data</w:t>
      </w:r>
      <w:bookmarkEnd w:id="164"/>
      <w:bookmarkEnd w:id="165"/>
      <w:bookmarkEnd w:id="166"/>
      <w:bookmarkEnd w:id="167"/>
      <w:bookmarkEnd w:id="168"/>
      <w:bookmarkEnd w:id="169"/>
      <w:bookmarkEnd w:id="170"/>
      <w:bookmarkEnd w:id="171"/>
      <w:bookmarkEnd w:id="172"/>
      <w:bookmarkEnd w:id="173"/>
      <w:bookmarkEnd w:id="174"/>
    </w:p>
    <w:p w:rsidR="00D73F89" w:rsidRPr="003277DC" w:rsidRDefault="00D73F89" w:rsidP="00B91EBA">
      <w:r w:rsidRPr="003277DC">
        <w:t xml:space="preserve">The main </w:t>
      </w:r>
      <w:proofErr w:type="spellStart"/>
      <w:r w:rsidRPr="003277DC">
        <w:t>pharmacodynamic</w:t>
      </w:r>
      <w:proofErr w:type="spellEnd"/>
      <w:r w:rsidRPr="003277DC">
        <w:t xml:space="preserve"> (PD) parameters of interest are those of pregnancy rate and adverse effects. Menstrual cycles, bleeding patterns and return to fertility are other parameters measured.  In both the pivotal Phase 2 (A46796) and Phase 3 (A52238) studies, parameters </w:t>
      </w:r>
      <w:r w:rsidRPr="003277DC">
        <w:lastRenderedPageBreak/>
        <w:t>from a subset of 12 women per treatment arm (LCS12 and LCS16) were used to determine a non-compartmental po</w:t>
      </w:r>
      <w:r w:rsidR="00B91EBA">
        <w:t>pulation pharmacokinetic model.</w:t>
      </w:r>
    </w:p>
    <w:p w:rsidR="00D73F89" w:rsidRPr="003277DC" w:rsidRDefault="00D73F89" w:rsidP="00B91EBA">
      <w:pPr>
        <w:pStyle w:val="TableTitle"/>
      </w:pPr>
      <w:bookmarkStart w:id="175" w:name="_Ref269985397"/>
      <w:bookmarkStart w:id="176" w:name="_Toc346183336"/>
      <w:proofErr w:type="gramStart"/>
      <w:r w:rsidRPr="003277DC">
        <w:t>Table</w:t>
      </w:r>
      <w:bookmarkEnd w:id="175"/>
      <w:r w:rsidR="0019264D">
        <w:t xml:space="preserve"> 8</w:t>
      </w:r>
      <w:r w:rsidRPr="003277DC">
        <w:t>.</w:t>
      </w:r>
      <w:proofErr w:type="gramEnd"/>
      <w:r w:rsidRPr="003277DC">
        <w:t xml:space="preserve"> </w:t>
      </w:r>
      <w:proofErr w:type="gramStart"/>
      <w:r w:rsidRPr="003277DC">
        <w:t xml:space="preserve">Submitted </w:t>
      </w:r>
      <w:proofErr w:type="spellStart"/>
      <w:r w:rsidRPr="003277DC">
        <w:t>pharmacodynamic</w:t>
      </w:r>
      <w:proofErr w:type="spellEnd"/>
      <w:r w:rsidRPr="003277DC">
        <w:t xml:space="preserve"> studies.</w:t>
      </w:r>
      <w:bookmarkEnd w:id="176"/>
      <w:proofErr w:type="gramEnd"/>
    </w:p>
    <w:tbl>
      <w:tblPr>
        <w:tblStyle w:val="TableTGAblue"/>
        <w:tblW w:w="8647" w:type="dxa"/>
        <w:tblLayout w:type="fixed"/>
        <w:tblLook w:val="0620" w:firstRow="1" w:lastRow="0" w:firstColumn="0" w:lastColumn="0" w:noHBand="1" w:noVBand="1"/>
      </w:tblPr>
      <w:tblGrid>
        <w:gridCol w:w="1843"/>
        <w:gridCol w:w="1843"/>
        <w:gridCol w:w="4961"/>
      </w:tblGrid>
      <w:tr w:rsidR="003B668A" w:rsidRPr="003B668A" w:rsidTr="00B91EBA">
        <w:trPr>
          <w:cnfStyle w:val="100000000000" w:firstRow="1" w:lastRow="0" w:firstColumn="0" w:lastColumn="0" w:oddVBand="0" w:evenVBand="0" w:oddHBand="0" w:evenHBand="0" w:firstRowFirstColumn="0" w:firstRowLastColumn="0" w:lastRowFirstColumn="0" w:lastRowLastColumn="0"/>
          <w:tblHeader/>
        </w:trPr>
        <w:tc>
          <w:tcPr>
            <w:tcW w:w="1843" w:type="dxa"/>
            <w:hideMark/>
          </w:tcPr>
          <w:p w:rsidR="003B668A" w:rsidRPr="003B668A" w:rsidRDefault="003B668A" w:rsidP="00B91EBA">
            <w:pPr>
              <w:tabs>
                <w:tab w:val="left" w:pos="1627"/>
              </w:tabs>
              <w:ind w:left="0" w:right="67"/>
            </w:pPr>
            <w:r w:rsidRPr="003B668A">
              <w:t>PD Topic</w:t>
            </w:r>
          </w:p>
        </w:tc>
        <w:tc>
          <w:tcPr>
            <w:tcW w:w="1843" w:type="dxa"/>
            <w:hideMark/>
          </w:tcPr>
          <w:p w:rsidR="003B668A" w:rsidRPr="003B668A" w:rsidRDefault="003B668A" w:rsidP="00B91EBA">
            <w:pPr>
              <w:tabs>
                <w:tab w:val="left" w:pos="1701"/>
              </w:tabs>
              <w:ind w:left="0" w:right="68"/>
            </w:pPr>
            <w:r w:rsidRPr="003B668A">
              <w:t>Subtopic</w:t>
            </w:r>
          </w:p>
        </w:tc>
        <w:tc>
          <w:tcPr>
            <w:tcW w:w="4961" w:type="dxa"/>
            <w:hideMark/>
          </w:tcPr>
          <w:p w:rsidR="003B668A" w:rsidRPr="003B668A" w:rsidRDefault="003B668A" w:rsidP="00B91EBA">
            <w:pPr>
              <w:ind w:left="0" w:right="0"/>
            </w:pPr>
            <w:r w:rsidRPr="003B668A">
              <w:t>Study ID</w:t>
            </w:r>
          </w:p>
        </w:tc>
      </w:tr>
      <w:tr w:rsidR="003B668A" w:rsidRPr="003B668A" w:rsidTr="00B91EBA">
        <w:tc>
          <w:tcPr>
            <w:tcW w:w="1843" w:type="dxa"/>
            <w:vMerge w:val="restart"/>
            <w:hideMark/>
          </w:tcPr>
          <w:p w:rsidR="003B668A" w:rsidRPr="003B668A" w:rsidRDefault="003B668A" w:rsidP="00B91EBA">
            <w:pPr>
              <w:tabs>
                <w:tab w:val="left" w:pos="1627"/>
              </w:tabs>
              <w:ind w:left="0" w:right="67"/>
            </w:pPr>
            <w:r w:rsidRPr="003B668A">
              <w:t>Primary Pharmacology</w:t>
            </w:r>
          </w:p>
        </w:tc>
        <w:tc>
          <w:tcPr>
            <w:tcW w:w="1843" w:type="dxa"/>
            <w:hideMark/>
          </w:tcPr>
          <w:p w:rsidR="003B668A" w:rsidRPr="003B668A" w:rsidRDefault="003B668A" w:rsidP="00B91EBA">
            <w:pPr>
              <w:tabs>
                <w:tab w:val="left" w:pos="1701"/>
              </w:tabs>
              <w:ind w:left="0" w:right="68"/>
            </w:pPr>
            <w:r w:rsidRPr="003B668A">
              <w:t>Effect on safety and efficacy</w:t>
            </w:r>
          </w:p>
        </w:tc>
        <w:tc>
          <w:tcPr>
            <w:tcW w:w="4961" w:type="dxa"/>
          </w:tcPr>
          <w:p w:rsidR="003B668A" w:rsidRPr="003B668A" w:rsidRDefault="003B668A" w:rsidP="00B91EBA">
            <w:pPr>
              <w:spacing w:after="360"/>
              <w:ind w:left="0" w:right="0"/>
            </w:pPr>
            <w:r w:rsidRPr="003B668A">
              <w:t>A46796 Multi-</w:t>
            </w:r>
            <w:proofErr w:type="spellStart"/>
            <w:r w:rsidRPr="003B668A">
              <w:t>center</w:t>
            </w:r>
            <w:proofErr w:type="spellEnd"/>
            <w:r w:rsidRPr="003B668A">
              <w:t xml:space="preserve">, open, randomized, dose finding phase II study to investigate for a maximum of three years </w:t>
            </w:r>
            <w:proofErr w:type="spellStart"/>
            <w:r w:rsidRPr="003B668A">
              <w:t>ultra low</w:t>
            </w:r>
            <w:proofErr w:type="spellEnd"/>
            <w:r w:rsidRPr="003B668A">
              <w:t xml:space="preserve"> dose </w:t>
            </w:r>
            <w:proofErr w:type="spellStart"/>
            <w:r w:rsidRPr="003B668A">
              <w:t>levonorgestrel</w:t>
            </w:r>
            <w:proofErr w:type="spellEnd"/>
            <w:r w:rsidRPr="003B668A">
              <w:t xml:space="preserve"> contraceptive intrauterine systems (LCS) releasing </w:t>
            </w:r>
            <w:r w:rsidR="00590069" w:rsidRPr="00590069">
              <w:rPr>
                <w:i/>
                <w:iCs/>
              </w:rPr>
              <w:t>in vitro</w:t>
            </w:r>
            <w:r w:rsidRPr="003B668A">
              <w:t xml:space="preserve"> 12 </w:t>
            </w:r>
            <w:proofErr w:type="spellStart"/>
            <w:r w:rsidRPr="003B668A">
              <w:t>μg</w:t>
            </w:r>
            <w:proofErr w:type="spellEnd"/>
            <w:r w:rsidRPr="003B668A">
              <w:t xml:space="preserve">/24 h and 16 </w:t>
            </w:r>
            <w:proofErr w:type="spellStart"/>
            <w:r w:rsidRPr="003B668A">
              <w:t>μg</w:t>
            </w:r>
            <w:proofErr w:type="spellEnd"/>
            <w:r w:rsidRPr="003B668A">
              <w:t xml:space="preserve">/24 h of </w:t>
            </w:r>
            <w:proofErr w:type="spellStart"/>
            <w:r w:rsidRPr="003B668A">
              <w:t>levonorgestrel</w:t>
            </w:r>
            <w:proofErr w:type="spellEnd"/>
            <w:r w:rsidRPr="003B668A">
              <w:t xml:space="preserve"> compared to MIRENA in nulliparous and </w:t>
            </w:r>
            <w:proofErr w:type="spellStart"/>
            <w:r w:rsidRPr="003B668A">
              <w:t>parous</w:t>
            </w:r>
            <w:proofErr w:type="spellEnd"/>
            <w:r w:rsidRPr="003B668A">
              <w:t xml:space="preserve"> women in need of contraception</w:t>
            </w:r>
            <w:r w:rsidR="00B91EBA">
              <w:t>.</w:t>
            </w:r>
          </w:p>
          <w:p w:rsidR="003B668A" w:rsidRPr="003B668A" w:rsidRDefault="003B668A" w:rsidP="00B91EBA">
            <w:pPr>
              <w:ind w:left="0" w:right="0"/>
            </w:pPr>
            <w:r w:rsidRPr="003B668A">
              <w:t>A52238 Phase III Multi-</w:t>
            </w:r>
            <w:proofErr w:type="spellStart"/>
            <w:r w:rsidRPr="003B668A">
              <w:t>center</w:t>
            </w:r>
            <w:proofErr w:type="spellEnd"/>
            <w:r w:rsidRPr="003B668A">
              <w:t>, open-label, randomized study to assess the safety and contraceptive efficacy of two doses (</w:t>
            </w:r>
            <w:r w:rsidR="00590069" w:rsidRPr="00590069">
              <w:rPr>
                <w:i/>
                <w:iCs/>
              </w:rPr>
              <w:t>in vitro</w:t>
            </w:r>
            <w:r w:rsidRPr="003B668A">
              <w:t xml:space="preserve"> 12μg/24 h and 16μg/24 h) of the </w:t>
            </w:r>
            <w:proofErr w:type="spellStart"/>
            <w:r w:rsidRPr="003B668A">
              <w:t>ultra low</w:t>
            </w:r>
            <w:proofErr w:type="spellEnd"/>
            <w:r w:rsidRPr="003B668A">
              <w:t xml:space="preserve"> dose </w:t>
            </w:r>
            <w:proofErr w:type="spellStart"/>
            <w:r w:rsidRPr="003B668A">
              <w:t>levonorgestrel</w:t>
            </w:r>
            <w:proofErr w:type="spellEnd"/>
            <w:r w:rsidRPr="003B668A">
              <w:t xml:space="preserve"> contraceptive intrauterine systems (LCS) for a maximum of 3 years in women 18 to 35 years of age and an extension phase of the 16μg/24 h dose group (LCS16 arm) up to 5 years</w:t>
            </w:r>
          </w:p>
        </w:tc>
      </w:tr>
      <w:tr w:rsidR="003B668A" w:rsidRPr="003B668A" w:rsidTr="00B91EBA">
        <w:trPr>
          <w:trHeight w:val="1449"/>
        </w:trPr>
        <w:tc>
          <w:tcPr>
            <w:tcW w:w="1843" w:type="dxa"/>
            <w:vMerge/>
            <w:hideMark/>
          </w:tcPr>
          <w:p w:rsidR="003B668A" w:rsidRPr="003B668A" w:rsidRDefault="003B668A" w:rsidP="00B91EBA">
            <w:pPr>
              <w:tabs>
                <w:tab w:val="left" w:pos="1627"/>
              </w:tabs>
              <w:ind w:left="0" w:right="67"/>
            </w:pPr>
          </w:p>
        </w:tc>
        <w:tc>
          <w:tcPr>
            <w:tcW w:w="1843" w:type="dxa"/>
          </w:tcPr>
          <w:p w:rsidR="003B668A" w:rsidRPr="003B668A" w:rsidRDefault="003B668A" w:rsidP="00B91EBA">
            <w:pPr>
              <w:tabs>
                <w:tab w:val="left" w:pos="1701"/>
              </w:tabs>
              <w:ind w:left="0" w:right="68"/>
            </w:pPr>
          </w:p>
        </w:tc>
        <w:tc>
          <w:tcPr>
            <w:tcW w:w="4961" w:type="dxa"/>
            <w:hideMark/>
          </w:tcPr>
          <w:p w:rsidR="003B668A" w:rsidRPr="003B668A" w:rsidRDefault="003B668A" w:rsidP="00B91EBA">
            <w:pPr>
              <w:ind w:left="0" w:right="0"/>
            </w:pPr>
            <w:r w:rsidRPr="003B668A">
              <w:t>91775 Multi-</w:t>
            </w:r>
            <w:proofErr w:type="spellStart"/>
            <w:r w:rsidRPr="003B668A">
              <w:t>center</w:t>
            </w:r>
            <w:proofErr w:type="spellEnd"/>
            <w:r w:rsidRPr="003B668A">
              <w:t xml:space="preserve">, open label, single arm study to assess efficacy, safety, bleeding pattern and pharmacokinetics of the </w:t>
            </w:r>
            <w:proofErr w:type="spellStart"/>
            <w:r w:rsidRPr="003B668A">
              <w:t>ultra low</w:t>
            </w:r>
            <w:proofErr w:type="spellEnd"/>
            <w:r w:rsidRPr="003B668A">
              <w:t xml:space="preserve"> dose </w:t>
            </w:r>
            <w:proofErr w:type="spellStart"/>
            <w:r w:rsidRPr="003B668A">
              <w:t>levonorgestrel</w:t>
            </w:r>
            <w:proofErr w:type="spellEnd"/>
            <w:r w:rsidRPr="003B668A">
              <w:t xml:space="preserve"> intrauterine contraceptive system (LCS) for a maximum of 3 years in women 18 to 40 years of age</w:t>
            </w:r>
          </w:p>
        </w:tc>
      </w:tr>
      <w:tr w:rsidR="003B668A" w:rsidRPr="003B668A" w:rsidTr="00B91EBA">
        <w:tc>
          <w:tcPr>
            <w:tcW w:w="1843" w:type="dxa"/>
            <w:vMerge w:val="restart"/>
            <w:hideMark/>
          </w:tcPr>
          <w:p w:rsidR="003B668A" w:rsidRPr="003B668A" w:rsidRDefault="003B668A" w:rsidP="00B91EBA">
            <w:pPr>
              <w:tabs>
                <w:tab w:val="left" w:pos="1627"/>
              </w:tabs>
              <w:ind w:left="0" w:right="67"/>
            </w:pPr>
            <w:r w:rsidRPr="003B668A">
              <w:t>Secondary Pharmacology</w:t>
            </w:r>
          </w:p>
        </w:tc>
        <w:tc>
          <w:tcPr>
            <w:tcW w:w="1843" w:type="dxa"/>
            <w:hideMark/>
          </w:tcPr>
          <w:p w:rsidR="003B668A" w:rsidRPr="003B668A" w:rsidRDefault="003B668A" w:rsidP="00B91EBA">
            <w:pPr>
              <w:tabs>
                <w:tab w:val="left" w:pos="1701"/>
              </w:tabs>
              <w:ind w:left="0" w:right="68"/>
            </w:pPr>
            <w:r w:rsidRPr="003B668A">
              <w:t>Effect on bone mineral density</w:t>
            </w:r>
          </w:p>
        </w:tc>
        <w:tc>
          <w:tcPr>
            <w:tcW w:w="4961" w:type="dxa"/>
          </w:tcPr>
          <w:p w:rsidR="003B668A" w:rsidRPr="003B668A" w:rsidRDefault="003B668A" w:rsidP="00B91EBA">
            <w:pPr>
              <w:ind w:left="0" w:right="0"/>
            </w:pPr>
            <w:r w:rsidRPr="003B668A">
              <w:t xml:space="preserve">Examination of effects on bone mineral density is a </w:t>
            </w:r>
            <w:proofErr w:type="spellStart"/>
            <w:r w:rsidRPr="003B668A">
              <w:t>substudy</w:t>
            </w:r>
            <w:proofErr w:type="spellEnd"/>
            <w:r w:rsidRPr="003B668A">
              <w:t xml:space="preserve"> of A52238</w:t>
            </w:r>
          </w:p>
        </w:tc>
      </w:tr>
      <w:tr w:rsidR="003B668A" w:rsidRPr="003B668A" w:rsidTr="00B91EBA">
        <w:tc>
          <w:tcPr>
            <w:tcW w:w="1843" w:type="dxa"/>
            <w:vMerge/>
            <w:hideMark/>
          </w:tcPr>
          <w:p w:rsidR="003B668A" w:rsidRPr="003B668A" w:rsidRDefault="003B668A" w:rsidP="00B91EBA">
            <w:pPr>
              <w:tabs>
                <w:tab w:val="left" w:pos="1627"/>
              </w:tabs>
              <w:ind w:left="0" w:right="67"/>
            </w:pPr>
          </w:p>
        </w:tc>
        <w:tc>
          <w:tcPr>
            <w:tcW w:w="1843" w:type="dxa"/>
          </w:tcPr>
          <w:p w:rsidR="003B668A" w:rsidRPr="003B668A" w:rsidRDefault="003B668A" w:rsidP="00B91EBA">
            <w:pPr>
              <w:tabs>
                <w:tab w:val="left" w:pos="1701"/>
              </w:tabs>
              <w:ind w:left="0" w:right="68"/>
            </w:pPr>
            <w:r w:rsidRPr="003B668A">
              <w:t xml:space="preserve">Effect on </w:t>
            </w:r>
            <w:proofErr w:type="spellStart"/>
            <w:r w:rsidRPr="003B668A">
              <w:t>estradiol</w:t>
            </w:r>
            <w:proofErr w:type="spellEnd"/>
            <w:r w:rsidRPr="003B668A">
              <w:t xml:space="preserve"> concentrations</w:t>
            </w:r>
          </w:p>
        </w:tc>
        <w:tc>
          <w:tcPr>
            <w:tcW w:w="4961" w:type="dxa"/>
            <w:hideMark/>
          </w:tcPr>
          <w:p w:rsidR="003B668A" w:rsidRPr="003B668A" w:rsidRDefault="003B668A" w:rsidP="00B91EBA">
            <w:pPr>
              <w:ind w:left="0" w:right="0"/>
            </w:pPr>
            <w:r w:rsidRPr="003B668A">
              <w:t xml:space="preserve">The observed </w:t>
            </w:r>
            <w:proofErr w:type="spellStart"/>
            <w:r w:rsidRPr="003B668A">
              <w:t>estradiol</w:t>
            </w:r>
            <w:proofErr w:type="spellEnd"/>
            <w:r w:rsidRPr="003B668A">
              <w:t xml:space="preserve"> concentrations seen in A52238 are within the typical range of normal menstrual cycles. </w:t>
            </w:r>
          </w:p>
        </w:tc>
      </w:tr>
      <w:tr w:rsidR="003B668A" w:rsidRPr="003B668A" w:rsidTr="00B91EBA">
        <w:tc>
          <w:tcPr>
            <w:tcW w:w="1843" w:type="dxa"/>
            <w:vMerge/>
            <w:hideMark/>
          </w:tcPr>
          <w:p w:rsidR="003B668A" w:rsidRPr="003B668A" w:rsidRDefault="003B668A" w:rsidP="00B91EBA">
            <w:pPr>
              <w:tabs>
                <w:tab w:val="left" w:pos="1627"/>
              </w:tabs>
              <w:ind w:left="0" w:right="67"/>
            </w:pPr>
          </w:p>
        </w:tc>
        <w:tc>
          <w:tcPr>
            <w:tcW w:w="1843" w:type="dxa"/>
          </w:tcPr>
          <w:p w:rsidR="003B668A" w:rsidRPr="003B668A" w:rsidRDefault="00B91EBA" w:rsidP="00B91EBA">
            <w:pPr>
              <w:tabs>
                <w:tab w:val="left" w:pos="1701"/>
              </w:tabs>
              <w:ind w:left="0" w:right="68"/>
            </w:pPr>
            <w:r>
              <w:t>Effect on cervix</w:t>
            </w:r>
          </w:p>
        </w:tc>
        <w:tc>
          <w:tcPr>
            <w:tcW w:w="4961" w:type="dxa"/>
          </w:tcPr>
          <w:p w:rsidR="003B668A" w:rsidRPr="003B668A" w:rsidRDefault="003B668A" w:rsidP="00B91EBA">
            <w:pPr>
              <w:ind w:left="0" w:right="0"/>
            </w:pPr>
            <w:r w:rsidRPr="003B668A">
              <w:t xml:space="preserve">The three formulations investigated in the phase 2 study, A46796 showed an increase in the systemic exposure in the order LCS12 (this application) LCS16 and </w:t>
            </w:r>
            <w:proofErr w:type="spellStart"/>
            <w:r w:rsidRPr="003B668A">
              <w:t>Mirena</w:t>
            </w:r>
            <w:proofErr w:type="spellEnd"/>
            <w:r w:rsidRPr="003B668A">
              <w:t xml:space="preserve">. There was no difference in the effect on the endometrium or on the cervix </w:t>
            </w:r>
          </w:p>
        </w:tc>
      </w:tr>
      <w:tr w:rsidR="003B668A" w:rsidRPr="003B668A" w:rsidTr="00B91EBA">
        <w:tc>
          <w:tcPr>
            <w:tcW w:w="1843" w:type="dxa"/>
            <w:vMerge/>
            <w:hideMark/>
          </w:tcPr>
          <w:p w:rsidR="003B668A" w:rsidRPr="003B668A" w:rsidRDefault="003B668A" w:rsidP="00B91EBA">
            <w:pPr>
              <w:tabs>
                <w:tab w:val="left" w:pos="1627"/>
              </w:tabs>
              <w:ind w:left="0" w:right="67"/>
            </w:pPr>
          </w:p>
        </w:tc>
        <w:tc>
          <w:tcPr>
            <w:tcW w:w="1843" w:type="dxa"/>
          </w:tcPr>
          <w:p w:rsidR="003B668A" w:rsidRPr="003B668A" w:rsidRDefault="003B668A" w:rsidP="00B91EBA">
            <w:pPr>
              <w:tabs>
                <w:tab w:val="left" w:pos="1701"/>
              </w:tabs>
              <w:ind w:left="0" w:right="68"/>
            </w:pPr>
            <w:r w:rsidRPr="003B668A">
              <w:t>Effect on endometrium</w:t>
            </w:r>
          </w:p>
        </w:tc>
        <w:tc>
          <w:tcPr>
            <w:tcW w:w="4961" w:type="dxa"/>
          </w:tcPr>
          <w:p w:rsidR="003B668A" w:rsidRPr="003B668A" w:rsidRDefault="003B668A" w:rsidP="00B91EBA">
            <w:pPr>
              <w:ind w:left="0" w:right="0"/>
            </w:pPr>
            <w:r w:rsidRPr="003B668A">
              <w:t xml:space="preserve">Endometrial safety was also </w:t>
            </w:r>
            <w:proofErr w:type="spellStart"/>
            <w:r w:rsidRPr="003B668A">
              <w:t>substudy</w:t>
            </w:r>
            <w:proofErr w:type="spellEnd"/>
            <w:r w:rsidRPr="003B668A">
              <w:t xml:space="preserve"> of A 52238</w:t>
            </w:r>
          </w:p>
        </w:tc>
      </w:tr>
      <w:tr w:rsidR="003B668A" w:rsidRPr="003B668A" w:rsidTr="00B91EBA">
        <w:tc>
          <w:tcPr>
            <w:tcW w:w="1843" w:type="dxa"/>
            <w:vMerge w:val="restart"/>
            <w:hideMark/>
          </w:tcPr>
          <w:p w:rsidR="003B668A" w:rsidRPr="003B668A" w:rsidRDefault="003B668A" w:rsidP="00B91EBA">
            <w:pPr>
              <w:tabs>
                <w:tab w:val="left" w:pos="1627"/>
              </w:tabs>
              <w:ind w:left="0" w:right="67"/>
            </w:pPr>
            <w:r w:rsidRPr="003B668A">
              <w:t>Gender other genetic and Age-Related Differences in PD Response</w:t>
            </w:r>
          </w:p>
        </w:tc>
        <w:tc>
          <w:tcPr>
            <w:tcW w:w="1843" w:type="dxa"/>
            <w:hideMark/>
          </w:tcPr>
          <w:p w:rsidR="003B668A" w:rsidRPr="003B668A" w:rsidRDefault="003B668A" w:rsidP="00B91EBA">
            <w:pPr>
              <w:tabs>
                <w:tab w:val="left" w:pos="1701"/>
              </w:tabs>
              <w:ind w:left="0" w:right="68"/>
            </w:pPr>
            <w:r w:rsidRPr="003B668A">
              <w:t>Effect of gender</w:t>
            </w:r>
          </w:p>
        </w:tc>
        <w:tc>
          <w:tcPr>
            <w:tcW w:w="4961" w:type="dxa"/>
            <w:hideMark/>
          </w:tcPr>
          <w:p w:rsidR="003B668A" w:rsidRPr="003B668A" w:rsidRDefault="003B668A" w:rsidP="00B91EBA">
            <w:pPr>
              <w:ind w:left="0" w:right="0"/>
            </w:pPr>
            <w:r w:rsidRPr="003B668A">
              <w:t>Used only in women</w:t>
            </w:r>
          </w:p>
        </w:tc>
      </w:tr>
      <w:tr w:rsidR="003B668A" w:rsidRPr="003B668A" w:rsidTr="00B91EBA">
        <w:tc>
          <w:tcPr>
            <w:tcW w:w="1843" w:type="dxa"/>
            <w:vMerge/>
            <w:hideMark/>
          </w:tcPr>
          <w:p w:rsidR="003B668A" w:rsidRPr="003B668A" w:rsidRDefault="003B668A" w:rsidP="00B91EBA">
            <w:pPr>
              <w:tabs>
                <w:tab w:val="left" w:pos="1627"/>
              </w:tabs>
              <w:ind w:left="0" w:right="67"/>
            </w:pPr>
          </w:p>
        </w:tc>
        <w:tc>
          <w:tcPr>
            <w:tcW w:w="1843" w:type="dxa"/>
            <w:hideMark/>
          </w:tcPr>
          <w:p w:rsidR="003B668A" w:rsidRPr="003B668A" w:rsidRDefault="003B668A" w:rsidP="00B91EBA">
            <w:pPr>
              <w:tabs>
                <w:tab w:val="left" w:pos="1701"/>
              </w:tabs>
              <w:ind w:left="0" w:right="68"/>
            </w:pPr>
            <w:r w:rsidRPr="003B668A">
              <w:t>Effect of age</w:t>
            </w:r>
          </w:p>
        </w:tc>
        <w:tc>
          <w:tcPr>
            <w:tcW w:w="4961" w:type="dxa"/>
            <w:hideMark/>
          </w:tcPr>
          <w:p w:rsidR="003B668A" w:rsidRPr="003B668A" w:rsidRDefault="003B668A" w:rsidP="00B91EBA">
            <w:pPr>
              <w:ind w:left="0" w:right="0"/>
            </w:pPr>
            <w:r w:rsidRPr="003B668A">
              <w:t xml:space="preserve">Physiology-based pharmacokinetic (PBPK) </w:t>
            </w:r>
            <w:proofErr w:type="spellStart"/>
            <w:r w:rsidRPr="003B668A">
              <w:t>modeling</w:t>
            </w:r>
            <w:proofErr w:type="spellEnd"/>
            <w:r w:rsidRPr="003B668A">
              <w:t xml:space="preserve"> via the software PK-Sim® used to explore the expected pharmacokinetic properties </w:t>
            </w:r>
            <w:r w:rsidRPr="003B668A">
              <w:lastRenderedPageBreak/>
              <w:t>of LCS in females of different ages</w:t>
            </w:r>
          </w:p>
        </w:tc>
      </w:tr>
      <w:tr w:rsidR="003B668A" w:rsidRPr="003B668A" w:rsidTr="00B91EBA">
        <w:tc>
          <w:tcPr>
            <w:tcW w:w="1843" w:type="dxa"/>
            <w:hideMark/>
          </w:tcPr>
          <w:p w:rsidR="003B668A" w:rsidRPr="003B668A" w:rsidRDefault="003B668A" w:rsidP="00B91EBA">
            <w:pPr>
              <w:tabs>
                <w:tab w:val="left" w:pos="1627"/>
              </w:tabs>
              <w:ind w:left="0" w:right="67"/>
            </w:pPr>
            <w:r w:rsidRPr="003B668A">
              <w:lastRenderedPageBreak/>
              <w:t>PD Interactions</w:t>
            </w:r>
          </w:p>
        </w:tc>
        <w:tc>
          <w:tcPr>
            <w:tcW w:w="1843" w:type="dxa"/>
          </w:tcPr>
          <w:p w:rsidR="003B668A" w:rsidRPr="003B668A" w:rsidRDefault="003B668A" w:rsidP="00B91EBA">
            <w:pPr>
              <w:tabs>
                <w:tab w:val="left" w:pos="1701"/>
              </w:tabs>
              <w:ind w:left="0" w:right="68"/>
            </w:pPr>
          </w:p>
        </w:tc>
        <w:tc>
          <w:tcPr>
            <w:tcW w:w="4961" w:type="dxa"/>
            <w:hideMark/>
          </w:tcPr>
          <w:p w:rsidR="003B668A" w:rsidRPr="003B668A" w:rsidRDefault="00B91EBA" w:rsidP="00B91EBA">
            <w:pPr>
              <w:ind w:left="0" w:right="0"/>
            </w:pPr>
            <w:r>
              <w:t>Nil likely to be relevant</w:t>
            </w:r>
          </w:p>
        </w:tc>
      </w:tr>
      <w:tr w:rsidR="003B668A" w:rsidRPr="003B668A" w:rsidTr="00B91EBA">
        <w:tc>
          <w:tcPr>
            <w:tcW w:w="1843" w:type="dxa"/>
            <w:hideMark/>
          </w:tcPr>
          <w:p w:rsidR="003B668A" w:rsidRPr="003B668A" w:rsidRDefault="003B668A" w:rsidP="00B91EBA">
            <w:pPr>
              <w:tabs>
                <w:tab w:val="left" w:pos="1627"/>
              </w:tabs>
              <w:ind w:left="0" w:right="67"/>
            </w:pPr>
            <w:r w:rsidRPr="003B668A">
              <w:t>Population PD and PK-PD analyses</w:t>
            </w:r>
          </w:p>
        </w:tc>
        <w:tc>
          <w:tcPr>
            <w:tcW w:w="1843" w:type="dxa"/>
            <w:hideMark/>
          </w:tcPr>
          <w:p w:rsidR="003B668A" w:rsidRPr="003B668A" w:rsidRDefault="003B668A" w:rsidP="00B91EBA">
            <w:pPr>
              <w:tabs>
                <w:tab w:val="left" w:pos="1701"/>
              </w:tabs>
              <w:ind w:left="0" w:right="68"/>
            </w:pPr>
            <w:r w:rsidRPr="003B668A">
              <w:t>Healthy subjects</w:t>
            </w:r>
          </w:p>
        </w:tc>
        <w:tc>
          <w:tcPr>
            <w:tcW w:w="4961" w:type="dxa"/>
            <w:hideMark/>
          </w:tcPr>
          <w:p w:rsidR="003B668A" w:rsidRPr="003B668A" w:rsidRDefault="003B668A" w:rsidP="00B91EBA">
            <w:pPr>
              <w:ind w:left="0" w:right="0"/>
            </w:pPr>
            <w:r w:rsidRPr="003B668A">
              <w:t>Healthy subjects A57262</w:t>
            </w:r>
          </w:p>
          <w:p w:rsidR="003B668A" w:rsidRPr="003B668A" w:rsidRDefault="003B668A" w:rsidP="00B91EBA">
            <w:pPr>
              <w:ind w:left="0" w:right="0"/>
            </w:pPr>
            <w:r w:rsidRPr="003B668A">
              <w:t xml:space="preserve">External validation of an IVIVC for the low dose </w:t>
            </w:r>
            <w:proofErr w:type="spellStart"/>
            <w:r w:rsidRPr="003B668A">
              <w:t>levonorgestrel</w:t>
            </w:r>
            <w:proofErr w:type="spellEnd"/>
            <w:r w:rsidRPr="003B668A">
              <w:t xml:space="preserve"> contraceptive system </w:t>
            </w:r>
          </w:p>
        </w:tc>
      </w:tr>
    </w:tbl>
    <w:p w:rsidR="00D73F89" w:rsidRPr="003277DC" w:rsidRDefault="00D73F89" w:rsidP="00B91EBA">
      <w:r w:rsidRPr="003277DC">
        <w:t xml:space="preserve">None of the </w:t>
      </w:r>
      <w:proofErr w:type="spellStart"/>
      <w:r w:rsidRPr="003277DC">
        <w:t>pharmacodynamic</w:t>
      </w:r>
      <w:proofErr w:type="spellEnd"/>
      <w:r w:rsidRPr="003277DC">
        <w:t xml:space="preserve"> studies had deficiencies that excluded their results from consideration.</w:t>
      </w:r>
    </w:p>
    <w:p w:rsidR="00D73F89" w:rsidRPr="003277DC" w:rsidRDefault="00D73F89" w:rsidP="00B91EBA">
      <w:pPr>
        <w:pStyle w:val="Heading3"/>
      </w:pPr>
      <w:bookmarkStart w:id="177" w:name="_Toc229197926"/>
      <w:bookmarkStart w:id="178" w:name="_Toc219999111"/>
      <w:bookmarkStart w:id="179" w:name="_Toc219999010"/>
      <w:bookmarkStart w:id="180" w:name="_Toc219998907"/>
      <w:bookmarkStart w:id="181" w:name="_Toc219998492"/>
      <w:bookmarkStart w:id="182" w:name="_Toc219998388"/>
      <w:bookmarkStart w:id="183" w:name="_Toc343587558"/>
      <w:bookmarkStart w:id="184" w:name="_Toc290888798"/>
      <w:bookmarkStart w:id="185" w:name="_Toc290846261"/>
      <w:bookmarkStart w:id="186" w:name="_Toc272414639"/>
      <w:bookmarkStart w:id="187" w:name="_Ref269119989"/>
      <w:bookmarkStart w:id="188" w:name="_Toc380660797"/>
      <w:r w:rsidRPr="003277DC">
        <w:t>Summary of pharmacodynamics</w:t>
      </w:r>
      <w:bookmarkEnd w:id="177"/>
      <w:bookmarkEnd w:id="178"/>
      <w:bookmarkEnd w:id="179"/>
      <w:bookmarkEnd w:id="180"/>
      <w:bookmarkEnd w:id="181"/>
      <w:bookmarkEnd w:id="182"/>
      <w:bookmarkEnd w:id="183"/>
      <w:bookmarkEnd w:id="184"/>
      <w:bookmarkEnd w:id="185"/>
      <w:bookmarkEnd w:id="186"/>
      <w:bookmarkEnd w:id="187"/>
      <w:bookmarkEnd w:id="188"/>
    </w:p>
    <w:p w:rsidR="00D73F89" w:rsidRPr="003277DC" w:rsidRDefault="00D73F89" w:rsidP="00B91EBA">
      <w:r w:rsidRPr="003277DC">
        <w:t xml:space="preserve">The information in the following summary is derived from conventional </w:t>
      </w:r>
      <w:proofErr w:type="spellStart"/>
      <w:r w:rsidRPr="003277DC">
        <w:t>pharmacodynamic</w:t>
      </w:r>
      <w:proofErr w:type="spellEnd"/>
      <w:r w:rsidRPr="003277DC">
        <w:t xml:space="preserve"> studies in humans unless otherwise stated.</w:t>
      </w:r>
    </w:p>
    <w:p w:rsidR="00D73F89" w:rsidRPr="003277DC" w:rsidRDefault="00D73F89" w:rsidP="00B91EBA">
      <w:pPr>
        <w:pStyle w:val="Heading4"/>
      </w:pPr>
      <w:bookmarkStart w:id="189" w:name="_Toc229197927"/>
      <w:bookmarkStart w:id="190" w:name="_Toc219999112"/>
      <w:bookmarkStart w:id="191" w:name="_Toc219999011"/>
      <w:bookmarkStart w:id="192" w:name="_Toc219998908"/>
      <w:bookmarkStart w:id="193" w:name="_Toc219998493"/>
      <w:bookmarkStart w:id="194" w:name="_Toc219998389"/>
      <w:bookmarkStart w:id="195" w:name="_Toc343587559"/>
      <w:bookmarkStart w:id="196" w:name="_Toc290888799"/>
      <w:bookmarkStart w:id="197" w:name="_Toc290846262"/>
      <w:bookmarkStart w:id="198" w:name="_Toc272414640"/>
      <w:bookmarkStart w:id="199" w:name="_Toc241374299"/>
      <w:r w:rsidRPr="003277DC">
        <w:t>Mechanism of action</w:t>
      </w:r>
      <w:bookmarkEnd w:id="189"/>
      <w:bookmarkEnd w:id="190"/>
      <w:bookmarkEnd w:id="191"/>
      <w:bookmarkEnd w:id="192"/>
      <w:bookmarkEnd w:id="193"/>
      <w:bookmarkEnd w:id="194"/>
      <w:bookmarkEnd w:id="195"/>
      <w:bookmarkEnd w:id="196"/>
      <w:bookmarkEnd w:id="197"/>
      <w:bookmarkEnd w:id="198"/>
      <w:bookmarkEnd w:id="199"/>
    </w:p>
    <w:p w:rsidR="00D73F89" w:rsidRPr="003277DC" w:rsidRDefault="00D73F89" w:rsidP="00B91EBA">
      <w:r w:rsidRPr="003277DC">
        <w:t xml:space="preserve">The dose of LNG released daily results in tissue concentrations that result in the endometrium becoming relatively insensitive to circulating </w:t>
      </w:r>
      <w:proofErr w:type="spellStart"/>
      <w:r w:rsidRPr="003277DC">
        <w:t>estradiol</w:t>
      </w:r>
      <w:proofErr w:type="spellEnd"/>
      <w:r w:rsidRPr="003277DC">
        <w:t>. It also thickens the cervical mucus which impedes the passage of sperm through the cervical canal th</w:t>
      </w:r>
      <w:r w:rsidR="00B91EBA">
        <w:t>ereby preventing fertilization.</w:t>
      </w:r>
    </w:p>
    <w:p w:rsidR="00D73F89" w:rsidRPr="003277DC" w:rsidRDefault="00D73F89" w:rsidP="00B91EBA">
      <w:pPr>
        <w:pStyle w:val="Heading4"/>
      </w:pPr>
      <w:bookmarkStart w:id="200" w:name="_Toc229197928"/>
      <w:bookmarkStart w:id="201" w:name="_Toc219999113"/>
      <w:bookmarkStart w:id="202" w:name="_Toc219999012"/>
      <w:bookmarkStart w:id="203" w:name="_Toc219998909"/>
      <w:bookmarkStart w:id="204" w:name="_Toc219998494"/>
      <w:bookmarkStart w:id="205" w:name="_Toc219998390"/>
      <w:bookmarkStart w:id="206" w:name="_Toc343587560"/>
      <w:bookmarkStart w:id="207" w:name="_Toc290888800"/>
      <w:bookmarkStart w:id="208" w:name="_Toc290846263"/>
      <w:bookmarkStart w:id="209" w:name="_Toc272414641"/>
      <w:bookmarkStart w:id="210" w:name="_Toc241374300"/>
      <w:proofErr w:type="spellStart"/>
      <w:r w:rsidRPr="003277DC">
        <w:t>Pharmacodynamic</w:t>
      </w:r>
      <w:proofErr w:type="spellEnd"/>
      <w:r w:rsidRPr="003277DC">
        <w:t xml:space="preserve"> effects</w:t>
      </w:r>
      <w:bookmarkEnd w:id="200"/>
      <w:bookmarkEnd w:id="201"/>
      <w:bookmarkEnd w:id="202"/>
      <w:bookmarkEnd w:id="203"/>
      <w:bookmarkEnd w:id="204"/>
      <w:bookmarkEnd w:id="205"/>
      <w:bookmarkEnd w:id="206"/>
      <w:bookmarkEnd w:id="207"/>
      <w:bookmarkEnd w:id="208"/>
      <w:bookmarkEnd w:id="209"/>
      <w:bookmarkEnd w:id="210"/>
    </w:p>
    <w:p w:rsidR="00D73F89" w:rsidRPr="003277DC" w:rsidRDefault="00D73F89" w:rsidP="00B91EBA">
      <w:pPr>
        <w:pStyle w:val="Heading5"/>
      </w:pPr>
      <w:bookmarkStart w:id="211" w:name="_Toc290888801"/>
      <w:bookmarkStart w:id="212" w:name="_Toc290846264"/>
      <w:bookmarkStart w:id="213" w:name="_Toc272414642"/>
      <w:r w:rsidRPr="003277DC">
        <w:t xml:space="preserve">Primary </w:t>
      </w:r>
      <w:proofErr w:type="spellStart"/>
      <w:r w:rsidRPr="003277DC">
        <w:t>pharmacodynamic</w:t>
      </w:r>
      <w:proofErr w:type="spellEnd"/>
      <w:r w:rsidRPr="003277DC">
        <w:t xml:space="preserve"> effects</w:t>
      </w:r>
      <w:bookmarkEnd w:id="211"/>
      <w:bookmarkEnd w:id="212"/>
      <w:bookmarkEnd w:id="213"/>
    </w:p>
    <w:p w:rsidR="00D73F89" w:rsidRPr="003277DC" w:rsidRDefault="00D73F89" w:rsidP="00B91EBA">
      <w:pPr>
        <w:pStyle w:val="Heading6"/>
      </w:pPr>
      <w:r w:rsidRPr="003277DC">
        <w:t>Contraceptive reliability (number of pregnancies)</w:t>
      </w:r>
    </w:p>
    <w:p w:rsidR="00D73F89" w:rsidRPr="003277DC" w:rsidRDefault="00D73F89" w:rsidP="00B91EBA">
      <w:r w:rsidRPr="003277DC">
        <w:t xml:space="preserve">Contraceptive reliability was </w:t>
      </w:r>
      <w:proofErr w:type="spellStart"/>
      <w:r w:rsidRPr="003277DC">
        <w:t>analyzed</w:t>
      </w:r>
      <w:proofErr w:type="spellEnd"/>
      <w:r w:rsidRPr="003277DC">
        <w:t xml:space="preserve"> using two different methods: the Pearl Index (PI) and a Kaplan-Meier (life table) analysis. This is in accordance with the Committee for Medicinal Products for Human Use (CHMP) ‘Guideline on Clinical Investigation of Steroid Contracept</w:t>
      </w:r>
      <w:r w:rsidR="00B91EBA">
        <w:t>ives in Women’ (EMEA 2005) (1).</w:t>
      </w:r>
    </w:p>
    <w:p w:rsidR="00D73F89" w:rsidRPr="003277DC" w:rsidRDefault="00D73F89" w:rsidP="00B91EBA">
      <w:r w:rsidRPr="003277DC">
        <w:t>The primary pregnancy rate is based on data from women 18 to 35 years of age during the first year of use (Year 1 PI) and for the total treatment duration of 3 years (3-year P</w:t>
      </w:r>
      <w:r w:rsidR="00B91EBA">
        <w:t>I) in the pivotal study A52238.</w:t>
      </w:r>
    </w:p>
    <w:p w:rsidR="00D73F89" w:rsidRPr="003277DC" w:rsidRDefault="00D73F89" w:rsidP="00B91EBA">
      <w:pPr>
        <w:pStyle w:val="Heading4"/>
      </w:pPr>
      <w:bookmarkStart w:id="214" w:name="_Toc290888802"/>
      <w:bookmarkStart w:id="215" w:name="_Toc290846265"/>
      <w:bookmarkStart w:id="216" w:name="_Toc272414643"/>
      <w:r w:rsidRPr="00B91EBA">
        <w:t>Secondary</w:t>
      </w:r>
      <w:r w:rsidRPr="003277DC">
        <w:t xml:space="preserve"> </w:t>
      </w:r>
      <w:proofErr w:type="spellStart"/>
      <w:r w:rsidRPr="003277DC">
        <w:t>pharmacodynamic</w:t>
      </w:r>
      <w:proofErr w:type="spellEnd"/>
      <w:r w:rsidRPr="003277DC">
        <w:t xml:space="preserve"> effects</w:t>
      </w:r>
      <w:bookmarkEnd w:id="214"/>
      <w:bookmarkEnd w:id="215"/>
      <w:bookmarkEnd w:id="216"/>
    </w:p>
    <w:p w:rsidR="00DC5EAC" w:rsidRDefault="00DC5EAC" w:rsidP="00B91EBA">
      <w:r>
        <w:t>Not described in detail i</w:t>
      </w:r>
      <w:bookmarkStart w:id="217" w:name="_Toc229197929"/>
      <w:bookmarkStart w:id="218" w:name="_Toc219999114"/>
      <w:bookmarkStart w:id="219" w:name="_Toc219999013"/>
      <w:bookmarkStart w:id="220" w:name="_Toc219998910"/>
      <w:bookmarkStart w:id="221" w:name="_Toc219998495"/>
      <w:bookmarkStart w:id="222" w:name="_Toc219998391"/>
      <w:bookmarkStart w:id="223" w:name="_Toc343587561"/>
      <w:bookmarkStart w:id="224" w:name="_Toc290888803"/>
      <w:bookmarkStart w:id="225" w:name="_Toc290846266"/>
      <w:bookmarkStart w:id="226" w:name="_Toc272414644"/>
      <w:r w:rsidR="00B91EBA">
        <w:t>n the main body of this report.</w:t>
      </w:r>
    </w:p>
    <w:p w:rsidR="00D73F89" w:rsidRPr="003277DC" w:rsidRDefault="00D73F89" w:rsidP="00B91EBA">
      <w:pPr>
        <w:pStyle w:val="Heading4"/>
      </w:pPr>
      <w:r w:rsidRPr="003277DC">
        <w:t xml:space="preserve">Time course of </w:t>
      </w:r>
      <w:proofErr w:type="spellStart"/>
      <w:r w:rsidRPr="003277DC">
        <w:t>pharmacodynamic</w:t>
      </w:r>
      <w:proofErr w:type="spellEnd"/>
      <w:r w:rsidRPr="003277DC">
        <w:t xml:space="preserve"> </w:t>
      </w:r>
      <w:r w:rsidRPr="00B91EBA">
        <w:t>effects</w:t>
      </w:r>
      <w:bookmarkEnd w:id="217"/>
      <w:bookmarkEnd w:id="218"/>
      <w:bookmarkEnd w:id="219"/>
      <w:bookmarkEnd w:id="220"/>
      <w:bookmarkEnd w:id="221"/>
      <w:bookmarkEnd w:id="222"/>
      <w:bookmarkEnd w:id="223"/>
      <w:bookmarkEnd w:id="224"/>
      <w:bookmarkEnd w:id="225"/>
      <w:bookmarkEnd w:id="226"/>
    </w:p>
    <w:p w:rsidR="00D73F89" w:rsidRPr="003277DC" w:rsidRDefault="00D73F89" w:rsidP="00B91EBA">
      <w:r w:rsidRPr="003277DC">
        <w:t xml:space="preserve">The primary PD effect - pregnancy prevention, occurs from the first menstrual cycle until 36 months.  With regard to the specific time course, using the data from study A57262, the </w:t>
      </w:r>
      <w:r w:rsidR="00590069" w:rsidRPr="00590069">
        <w:rPr>
          <w:i/>
          <w:iCs/>
        </w:rPr>
        <w:t>in vitro</w:t>
      </w:r>
      <w:r w:rsidRPr="003277DC">
        <w:t xml:space="preserve"> release rate data and the IVIVC model were used to predict the </w:t>
      </w:r>
      <w:r w:rsidR="00590069" w:rsidRPr="00590069">
        <w:rPr>
          <w:i/>
          <w:iCs/>
        </w:rPr>
        <w:t>in vivo</w:t>
      </w:r>
      <w:r w:rsidRPr="003277DC">
        <w:t xml:space="preserve"> release rates. These include an early period (Day 18-25) which was also used for release of the product in clinical trials, the release rate at the end of 3 years and an average </w:t>
      </w:r>
      <w:r w:rsidR="00B91EBA">
        <w:t>release over the entire of use.</w:t>
      </w:r>
    </w:p>
    <w:p w:rsidR="00D73F89" w:rsidRDefault="00D73F89" w:rsidP="00B91EBA">
      <w:r w:rsidRPr="003277DC">
        <w:t xml:space="preserve">The predicted characteristic </w:t>
      </w:r>
      <w:r w:rsidR="00590069" w:rsidRPr="00590069">
        <w:rPr>
          <w:i/>
          <w:iCs/>
        </w:rPr>
        <w:t>in vivo</w:t>
      </w:r>
      <w:r w:rsidRPr="003277DC">
        <w:t xml:space="preserve"> release rates for LCS12 and LCS16 at the beginning, the end and on average during the use of LCS12:</w:t>
      </w:r>
    </w:p>
    <w:p w:rsidR="00DC5EAC" w:rsidRDefault="0019264D" w:rsidP="00B91EBA">
      <w:pPr>
        <w:pStyle w:val="TableTitle"/>
      </w:pPr>
      <w:proofErr w:type="gramStart"/>
      <w:r>
        <w:t>Table 9</w:t>
      </w:r>
      <w:r w:rsidR="00DC5EAC">
        <w:t>.</w:t>
      </w:r>
      <w:proofErr w:type="gramEnd"/>
      <w:r w:rsidR="00DC5EAC">
        <w:t xml:space="preserve"> </w:t>
      </w:r>
      <w:r>
        <w:t>P</w:t>
      </w:r>
      <w:r w:rsidR="00DC5EAC" w:rsidRPr="00DC5EAC">
        <w:t xml:space="preserve">redicted characteristic </w:t>
      </w:r>
      <w:r w:rsidR="00590069" w:rsidRPr="00590069">
        <w:rPr>
          <w:i/>
          <w:iCs/>
        </w:rPr>
        <w:t>in vivo</w:t>
      </w:r>
      <w:r w:rsidR="00DC5EAC" w:rsidRPr="00DC5EAC">
        <w:t xml:space="preserve"> release rates for LCS12 and LCS16</w:t>
      </w:r>
    </w:p>
    <w:tbl>
      <w:tblPr>
        <w:tblStyle w:val="TableTGAblue"/>
        <w:tblW w:w="0" w:type="auto"/>
        <w:tblLook w:val="0620" w:firstRow="1" w:lastRow="0" w:firstColumn="0" w:lastColumn="0" w:noHBand="1" w:noVBand="1"/>
      </w:tblPr>
      <w:tblGrid>
        <w:gridCol w:w="4323"/>
        <w:gridCol w:w="4324"/>
      </w:tblGrid>
      <w:tr w:rsidR="00DC5EAC" w:rsidRPr="00DC5EAC" w:rsidTr="00B91EBA">
        <w:trPr>
          <w:cnfStyle w:val="100000000000" w:firstRow="1" w:lastRow="0" w:firstColumn="0" w:lastColumn="0" w:oddVBand="0" w:evenVBand="0" w:oddHBand="0" w:evenHBand="0" w:firstRowFirstColumn="0" w:firstRowLastColumn="0" w:lastRowFirstColumn="0" w:lastRowLastColumn="0"/>
          <w:tblHeader/>
        </w:trPr>
        <w:tc>
          <w:tcPr>
            <w:tcW w:w="4323" w:type="dxa"/>
          </w:tcPr>
          <w:p w:rsidR="00DC5EAC" w:rsidRPr="00DC5EAC" w:rsidRDefault="00DC5EAC" w:rsidP="00B91EBA">
            <w:r w:rsidRPr="00DC5EAC">
              <w:t>Parameter</w:t>
            </w:r>
          </w:p>
        </w:tc>
        <w:tc>
          <w:tcPr>
            <w:tcW w:w="4324" w:type="dxa"/>
          </w:tcPr>
          <w:p w:rsidR="00DC5EAC" w:rsidRPr="00DC5EAC" w:rsidRDefault="00590069" w:rsidP="00B91EBA">
            <w:r w:rsidRPr="00590069">
              <w:rPr>
                <w:i/>
                <w:iCs/>
              </w:rPr>
              <w:t>In vivo</w:t>
            </w:r>
            <w:r w:rsidR="00DC5EAC" w:rsidRPr="00DC5EAC">
              <w:t xml:space="preserve"> release rate (</w:t>
            </w:r>
            <w:proofErr w:type="spellStart"/>
            <w:r w:rsidR="00DC5EAC" w:rsidRPr="00DC5EAC">
              <w:t>μg</w:t>
            </w:r>
            <w:proofErr w:type="spellEnd"/>
            <w:r w:rsidR="00DC5EAC" w:rsidRPr="00DC5EAC">
              <w:t>/day)</w:t>
            </w:r>
          </w:p>
        </w:tc>
      </w:tr>
      <w:tr w:rsidR="00DC5EAC" w:rsidRPr="00DC5EAC" w:rsidTr="00B91EBA">
        <w:tc>
          <w:tcPr>
            <w:tcW w:w="4323" w:type="dxa"/>
          </w:tcPr>
          <w:p w:rsidR="00DC5EAC" w:rsidRPr="00DC5EAC" w:rsidRDefault="00DC5EAC" w:rsidP="00B91EBA">
            <w:r w:rsidRPr="00DC5EAC">
              <w:t>Early release (Day 25)</w:t>
            </w:r>
          </w:p>
        </w:tc>
        <w:tc>
          <w:tcPr>
            <w:tcW w:w="4324" w:type="dxa"/>
          </w:tcPr>
          <w:p w:rsidR="00DC5EAC" w:rsidRPr="00DC5EAC" w:rsidRDefault="00DC5EAC" w:rsidP="00B91EBA">
            <w:r w:rsidRPr="00DC5EAC">
              <w:t>10</w:t>
            </w:r>
          </w:p>
        </w:tc>
      </w:tr>
      <w:tr w:rsidR="00DC5EAC" w:rsidRPr="00DC5EAC" w:rsidTr="00B91EBA">
        <w:tc>
          <w:tcPr>
            <w:tcW w:w="4323" w:type="dxa"/>
          </w:tcPr>
          <w:p w:rsidR="00DC5EAC" w:rsidRPr="00DC5EAC" w:rsidRDefault="00DC5EAC" w:rsidP="00B91EBA">
            <w:r w:rsidRPr="00DC5EAC">
              <w:lastRenderedPageBreak/>
              <w:t>Average release</w:t>
            </w:r>
          </w:p>
        </w:tc>
        <w:tc>
          <w:tcPr>
            <w:tcW w:w="4324" w:type="dxa"/>
          </w:tcPr>
          <w:p w:rsidR="00DC5EAC" w:rsidRPr="00DC5EAC" w:rsidRDefault="00DC5EAC" w:rsidP="00B91EBA">
            <w:r w:rsidRPr="00DC5EAC">
              <w:t>6.4 (3 years)</w:t>
            </w:r>
          </w:p>
        </w:tc>
      </w:tr>
      <w:tr w:rsidR="00DC5EAC" w:rsidRPr="00DC5EAC" w:rsidTr="00B91EBA">
        <w:tc>
          <w:tcPr>
            <w:tcW w:w="4323" w:type="dxa"/>
          </w:tcPr>
          <w:p w:rsidR="00DC5EAC" w:rsidRPr="00DC5EAC" w:rsidRDefault="00DC5EAC" w:rsidP="00B91EBA">
            <w:r w:rsidRPr="00DC5EAC">
              <w:t>Release at the end of 3 years</w:t>
            </w:r>
          </w:p>
        </w:tc>
        <w:tc>
          <w:tcPr>
            <w:tcW w:w="4324" w:type="dxa"/>
          </w:tcPr>
          <w:p w:rsidR="00DC5EAC" w:rsidRPr="00DC5EAC" w:rsidRDefault="00DC5EAC" w:rsidP="00B91EBA">
            <w:r w:rsidRPr="00DC5EAC">
              <w:t>4.8</w:t>
            </w:r>
          </w:p>
        </w:tc>
      </w:tr>
    </w:tbl>
    <w:p w:rsidR="00D73F89" w:rsidRPr="003277DC" w:rsidRDefault="00D73F89" w:rsidP="00B91EBA">
      <w:pPr>
        <w:pStyle w:val="Heading4"/>
      </w:pPr>
      <w:bookmarkStart w:id="227" w:name="_Toc290888804"/>
      <w:bookmarkStart w:id="228" w:name="_Toc290846267"/>
      <w:bookmarkStart w:id="229" w:name="_Toc272414645"/>
      <w:bookmarkStart w:id="230" w:name="_Toc229197930"/>
      <w:bookmarkStart w:id="231" w:name="_Toc219999115"/>
      <w:bookmarkStart w:id="232" w:name="_Toc219999014"/>
      <w:bookmarkStart w:id="233" w:name="_Toc219998911"/>
      <w:bookmarkStart w:id="234" w:name="_Toc219998496"/>
      <w:bookmarkStart w:id="235" w:name="_Toc219998392"/>
      <w:bookmarkStart w:id="236" w:name="_Toc343587562"/>
      <w:r w:rsidRPr="00B91EBA">
        <w:t>Relationship</w:t>
      </w:r>
      <w:r w:rsidRPr="003277DC">
        <w:t xml:space="preserve"> between drug concentration and </w:t>
      </w:r>
      <w:proofErr w:type="spellStart"/>
      <w:r w:rsidRPr="003277DC">
        <w:t>pharmacodynamic</w:t>
      </w:r>
      <w:proofErr w:type="spellEnd"/>
      <w:r w:rsidRPr="003277DC">
        <w:t xml:space="preserve"> effects</w:t>
      </w:r>
      <w:bookmarkEnd w:id="227"/>
      <w:bookmarkEnd w:id="228"/>
      <w:bookmarkEnd w:id="229"/>
      <w:bookmarkEnd w:id="230"/>
      <w:bookmarkEnd w:id="231"/>
      <w:bookmarkEnd w:id="232"/>
      <w:bookmarkEnd w:id="233"/>
      <w:bookmarkEnd w:id="234"/>
      <w:bookmarkEnd w:id="235"/>
      <w:bookmarkEnd w:id="236"/>
    </w:p>
    <w:p w:rsidR="00D73F89" w:rsidRPr="003277DC" w:rsidRDefault="00D73F89" w:rsidP="00B91EBA">
      <w:r w:rsidRPr="003277DC">
        <w:t xml:space="preserve">As seen in the </w:t>
      </w:r>
      <w:proofErr w:type="spellStart"/>
      <w:r w:rsidRPr="003277DC">
        <w:t>pharmacodynamic</w:t>
      </w:r>
      <w:proofErr w:type="spellEnd"/>
      <w:r w:rsidRPr="003277DC">
        <w:t xml:space="preserve"> studies the ‘minimum’ release rate (based on the IVIC) is approximately above 5μg /day, as this was the ‘</w:t>
      </w:r>
      <w:r w:rsidR="00590069" w:rsidRPr="00590069">
        <w:rPr>
          <w:i/>
          <w:iCs/>
        </w:rPr>
        <w:t>in vitro</w:t>
      </w:r>
      <w:r w:rsidRPr="003277DC">
        <w:t xml:space="preserve">’ release rate at the end of the 3 years. It should be noted that the </w:t>
      </w:r>
      <w:r w:rsidR="00590069" w:rsidRPr="00590069">
        <w:rPr>
          <w:i/>
          <w:iCs/>
        </w:rPr>
        <w:t>in vivo</w:t>
      </w:r>
      <w:r w:rsidRPr="003277DC">
        <w:t xml:space="preserve"> release rates were estimated based on </w:t>
      </w:r>
      <w:r w:rsidRPr="00590069">
        <w:rPr>
          <w:i/>
          <w:iCs/>
        </w:rPr>
        <w:t>ex vivo</w:t>
      </w:r>
      <w:r w:rsidRPr="003277DC">
        <w:t xml:space="preserve"> residual content data obtained with </w:t>
      </w:r>
      <w:proofErr w:type="spellStart"/>
      <w:r w:rsidRPr="003277DC">
        <w:t>Jaydess</w:t>
      </w:r>
      <w:proofErr w:type="spellEnd"/>
      <w:r w:rsidRPr="003277DC">
        <w:t xml:space="preserve"> in the Phase III study. Additionally, </w:t>
      </w:r>
      <w:r w:rsidRPr="00590069">
        <w:rPr>
          <w:i/>
          <w:iCs/>
        </w:rPr>
        <w:t>ex vivo</w:t>
      </w:r>
      <w:r w:rsidRPr="003277DC">
        <w:t xml:space="preserve"> residual content data was determined in IUSs from women who prematurely discontinued or completed the study. Based on these data, an </w:t>
      </w:r>
      <w:r w:rsidR="00590069" w:rsidRPr="00590069">
        <w:rPr>
          <w:i/>
          <w:iCs/>
        </w:rPr>
        <w:t>in vitro</w:t>
      </w:r>
      <w:r w:rsidRPr="003277DC">
        <w:t>-</w:t>
      </w:r>
      <w:r w:rsidR="00590069" w:rsidRPr="00590069">
        <w:rPr>
          <w:i/>
          <w:iCs/>
        </w:rPr>
        <w:t>in vivo</w:t>
      </w:r>
      <w:r w:rsidRPr="003277DC">
        <w:t xml:space="preserve"> correlation (IV</w:t>
      </w:r>
      <w:r w:rsidR="00B91EBA">
        <w:t>IVC) was developed.</w:t>
      </w:r>
    </w:p>
    <w:p w:rsidR="00D73F89" w:rsidRPr="003277DC" w:rsidRDefault="00D73F89" w:rsidP="00B91EBA">
      <w:r w:rsidRPr="003277DC">
        <w:t xml:space="preserve">Although there is plenty of data relating serum drug concentrations of LNG and contraceptive effect, with an IUS the local release rates are more clinically relevant as </w:t>
      </w:r>
      <w:proofErr w:type="spellStart"/>
      <w:r w:rsidRPr="003277DC">
        <w:t>Jaydess</w:t>
      </w:r>
      <w:proofErr w:type="spellEnd"/>
      <w:r w:rsidRPr="003277DC">
        <w:t xml:space="preserve"> has low systemic serum LNG concentrations (below 121 </w:t>
      </w:r>
      <w:proofErr w:type="spellStart"/>
      <w:r w:rsidRPr="003277DC">
        <w:t>ng</w:t>
      </w:r>
      <w:proofErr w:type="spellEnd"/>
      <w:r w:rsidRPr="003277DC">
        <w:t xml:space="preserve">/L in the submission). This compares with typical maximum concentrations of LNG after daily oral administration of a combined oral contraceptive containing 100 </w:t>
      </w:r>
      <w:proofErr w:type="spellStart"/>
      <w:r w:rsidRPr="003277DC">
        <w:t>μg</w:t>
      </w:r>
      <w:proofErr w:type="spellEnd"/>
      <w:r w:rsidRPr="003277DC">
        <w:t xml:space="preserve"> LNG and which are about 4500 </w:t>
      </w:r>
      <w:proofErr w:type="spellStart"/>
      <w:r w:rsidRPr="003277DC">
        <w:t>ng</w:t>
      </w:r>
      <w:proofErr w:type="spellEnd"/>
      <w:r w:rsidRPr="003277DC">
        <w:t xml:space="preserve">/L. Thus, LNG serum concentrations after insertion of </w:t>
      </w:r>
      <w:proofErr w:type="spellStart"/>
      <w:r w:rsidRPr="003277DC">
        <w:t>Jaydess</w:t>
      </w:r>
      <w:proofErr w:type="spellEnd"/>
      <w:r w:rsidRPr="003277DC">
        <w:t xml:space="preserve"> are more than 35 times lower than those observed after administration of a widely us</w:t>
      </w:r>
      <w:r w:rsidR="00B91EBA">
        <w:t>ed combined oral contraceptive.</w:t>
      </w:r>
    </w:p>
    <w:p w:rsidR="00D73F89" w:rsidRPr="003277DC" w:rsidRDefault="00D73F89" w:rsidP="00B91EBA">
      <w:r w:rsidRPr="003277DC">
        <w:t xml:space="preserve">Further, in the two clinical studies that in the majority of women treated with </w:t>
      </w:r>
      <w:proofErr w:type="spellStart"/>
      <w:r w:rsidRPr="003277DC">
        <w:t>Jaydess</w:t>
      </w:r>
      <w:proofErr w:type="spellEnd"/>
      <w:r w:rsidRPr="003277DC">
        <w:t xml:space="preserve"> the ovarian activity was not influenced confirming the low systemic pharmacological effect of </w:t>
      </w:r>
      <w:proofErr w:type="spellStart"/>
      <w:r w:rsidRPr="003277DC">
        <w:t>Jaydess</w:t>
      </w:r>
      <w:proofErr w:type="spellEnd"/>
      <w:r w:rsidRPr="003277DC">
        <w:t xml:space="preserve"> outside the uterus.</w:t>
      </w:r>
    </w:p>
    <w:p w:rsidR="00D73F89" w:rsidRPr="003277DC" w:rsidRDefault="00D73F89" w:rsidP="00B91EBA">
      <w:pPr>
        <w:pStyle w:val="Heading4"/>
      </w:pPr>
      <w:bookmarkStart w:id="237" w:name="_Toc229197931"/>
      <w:bookmarkStart w:id="238" w:name="_Toc219999116"/>
      <w:bookmarkStart w:id="239" w:name="_Toc219999015"/>
      <w:bookmarkStart w:id="240" w:name="_Toc219998912"/>
      <w:bookmarkStart w:id="241" w:name="_Toc219998497"/>
      <w:bookmarkStart w:id="242" w:name="_Toc219998393"/>
      <w:bookmarkStart w:id="243" w:name="_Toc343587563"/>
      <w:bookmarkStart w:id="244" w:name="_Toc290888805"/>
      <w:bookmarkStart w:id="245" w:name="_Toc290846268"/>
      <w:bookmarkStart w:id="246" w:name="_Toc272414646"/>
      <w:bookmarkStart w:id="247" w:name="_Toc241374304"/>
      <w:r w:rsidRPr="003277DC">
        <w:t xml:space="preserve">Genetic-, gender- and age-related differences in </w:t>
      </w:r>
      <w:proofErr w:type="spellStart"/>
      <w:r w:rsidRPr="003277DC">
        <w:t>pharmacodynamic</w:t>
      </w:r>
      <w:proofErr w:type="spellEnd"/>
      <w:r w:rsidRPr="003277DC">
        <w:t xml:space="preserve"> response</w:t>
      </w:r>
      <w:bookmarkEnd w:id="237"/>
      <w:bookmarkEnd w:id="238"/>
      <w:bookmarkEnd w:id="239"/>
      <w:bookmarkEnd w:id="240"/>
      <w:bookmarkEnd w:id="241"/>
      <w:bookmarkEnd w:id="242"/>
      <w:bookmarkEnd w:id="243"/>
      <w:bookmarkEnd w:id="244"/>
      <w:bookmarkEnd w:id="245"/>
      <w:bookmarkEnd w:id="246"/>
      <w:bookmarkEnd w:id="247"/>
    </w:p>
    <w:p w:rsidR="00D73F89" w:rsidRPr="00DC5EAC" w:rsidRDefault="00D73F89" w:rsidP="00B91EBA">
      <w:r w:rsidRPr="00DC5EAC">
        <w:t>Genetic differences were not examined.</w:t>
      </w:r>
    </w:p>
    <w:p w:rsidR="00D73F89" w:rsidRPr="00DC5EAC" w:rsidRDefault="00D73F89" w:rsidP="00B91EBA">
      <w:r w:rsidRPr="00DC5EAC">
        <w:t>The IUS will be used in women only therefore male studies are not required</w:t>
      </w:r>
      <w:r w:rsidR="00B91EBA">
        <w:t>.</w:t>
      </w:r>
    </w:p>
    <w:p w:rsidR="00D73F89" w:rsidRPr="00DC5EAC" w:rsidRDefault="00D73F89" w:rsidP="00B91EBA">
      <w:r w:rsidRPr="00DC5EAC">
        <w:t xml:space="preserve">Age was considered – a study of women between menarche and aged 18 is underway (14371-not reported) and the two pivotal studies cross the reproductive spectrum (18-40) and include </w:t>
      </w:r>
      <w:proofErr w:type="spellStart"/>
      <w:r w:rsidRPr="00DC5EAC">
        <w:t>parous</w:t>
      </w:r>
      <w:proofErr w:type="spellEnd"/>
      <w:r w:rsidRPr="00DC5EAC">
        <w:t xml:space="preserve"> and nulliparous women.</w:t>
      </w:r>
    </w:p>
    <w:p w:rsidR="00D73F89" w:rsidRPr="00D73F89" w:rsidRDefault="00D73F89" w:rsidP="00B91EBA">
      <w:pPr>
        <w:pStyle w:val="Heading4"/>
      </w:pPr>
      <w:bookmarkStart w:id="248" w:name="_Toc229197932"/>
      <w:bookmarkStart w:id="249" w:name="_Toc219999117"/>
      <w:bookmarkStart w:id="250" w:name="_Toc219999016"/>
      <w:bookmarkStart w:id="251" w:name="_Toc219998913"/>
      <w:bookmarkStart w:id="252" w:name="_Toc219998498"/>
      <w:bookmarkStart w:id="253" w:name="_Toc219998394"/>
      <w:bookmarkStart w:id="254" w:name="_Toc343587564"/>
      <w:bookmarkStart w:id="255" w:name="_Toc290888806"/>
      <w:bookmarkStart w:id="256" w:name="_Toc290846269"/>
      <w:bookmarkStart w:id="257" w:name="_Toc272414647"/>
      <w:bookmarkStart w:id="258" w:name="_Toc241374303"/>
      <w:proofErr w:type="spellStart"/>
      <w:r w:rsidRPr="00D73F89">
        <w:t>Pharmacodynamic</w:t>
      </w:r>
      <w:proofErr w:type="spellEnd"/>
      <w:r w:rsidRPr="00D73F89">
        <w:t xml:space="preserve"> interactions</w:t>
      </w:r>
      <w:bookmarkEnd w:id="248"/>
      <w:bookmarkEnd w:id="249"/>
      <w:bookmarkEnd w:id="250"/>
      <w:bookmarkEnd w:id="251"/>
      <w:bookmarkEnd w:id="252"/>
      <w:bookmarkEnd w:id="253"/>
      <w:bookmarkEnd w:id="254"/>
      <w:bookmarkEnd w:id="255"/>
      <w:bookmarkEnd w:id="256"/>
      <w:bookmarkEnd w:id="257"/>
      <w:bookmarkEnd w:id="258"/>
    </w:p>
    <w:p w:rsidR="00D73F89" w:rsidRPr="00DC5EAC" w:rsidRDefault="00D73F89" w:rsidP="00B91EBA">
      <w:proofErr w:type="spellStart"/>
      <w:r w:rsidRPr="00DC5EAC">
        <w:t>Pharmacodynamic</w:t>
      </w:r>
      <w:proofErr w:type="spellEnd"/>
      <w:r w:rsidRPr="00DC5EAC">
        <w:t xml:space="preserve"> interactions were not presented but with low serum concentrations and the predominant site of action being local are not expected to be clinically relevant</w:t>
      </w:r>
      <w:r w:rsidR="00B91EBA">
        <w:t>.</w:t>
      </w:r>
    </w:p>
    <w:p w:rsidR="00D73F89" w:rsidRPr="00D73F89" w:rsidRDefault="00D73F89" w:rsidP="00B91EBA">
      <w:pPr>
        <w:pStyle w:val="Heading3"/>
      </w:pPr>
      <w:bookmarkStart w:id="259" w:name="_Toc229197933"/>
      <w:bookmarkStart w:id="260" w:name="_Toc219999118"/>
      <w:bookmarkStart w:id="261" w:name="_Toc219999017"/>
      <w:bookmarkStart w:id="262" w:name="_Toc219998914"/>
      <w:bookmarkStart w:id="263" w:name="_Toc219998499"/>
      <w:bookmarkStart w:id="264" w:name="_Toc219998395"/>
      <w:bookmarkStart w:id="265" w:name="_Toc343587565"/>
      <w:bookmarkStart w:id="266" w:name="_Toc290888807"/>
      <w:bookmarkStart w:id="267" w:name="_Toc290846270"/>
      <w:bookmarkStart w:id="268" w:name="_Toc272414648"/>
      <w:bookmarkStart w:id="269" w:name="_Ref269983272"/>
      <w:bookmarkStart w:id="270" w:name="_Toc380660798"/>
      <w:r w:rsidRPr="00D73F89">
        <w:t>Evaluator’s overall conclusions on pharmacodynamics</w:t>
      </w:r>
      <w:bookmarkEnd w:id="259"/>
      <w:bookmarkEnd w:id="260"/>
      <w:bookmarkEnd w:id="261"/>
      <w:bookmarkEnd w:id="262"/>
      <w:bookmarkEnd w:id="263"/>
      <w:bookmarkEnd w:id="264"/>
      <w:bookmarkEnd w:id="265"/>
      <w:bookmarkEnd w:id="266"/>
      <w:bookmarkEnd w:id="267"/>
      <w:bookmarkEnd w:id="268"/>
      <w:bookmarkEnd w:id="269"/>
      <w:bookmarkEnd w:id="270"/>
    </w:p>
    <w:p w:rsidR="00D73F89" w:rsidRPr="00DC5EAC" w:rsidRDefault="00D73F89" w:rsidP="00B91EBA">
      <w:r w:rsidRPr="00DC5EAC">
        <w:t>In summary, the pharmacodynamics parameters and the methods by which they are measured are appropriate for the indication. They include the target group, and studies to examine the lower dose of LNG as compared to the currently TGA registered LNG IUS product are appropriate. In my opinion and including the Phase 3b studies underway no further studies on specific parameters are required from a pharmacodynamics perspective. However the 5 year arm of the LCS16 group and the data from Phase 3B studies are important to corroborate the early pharmacodynamics data presented here.</w:t>
      </w:r>
    </w:p>
    <w:p w:rsidR="00586F98" w:rsidRDefault="00C22678" w:rsidP="0031212C">
      <w:pPr>
        <w:pStyle w:val="Heading2"/>
      </w:pPr>
      <w:bookmarkStart w:id="271" w:name="_Toc380660799"/>
      <w:r>
        <w:t xml:space="preserve">Dosage selection for the </w:t>
      </w:r>
      <w:r w:rsidRPr="0031212C">
        <w:t>pivotal</w:t>
      </w:r>
      <w:r>
        <w:t xml:space="preserve"> studies</w:t>
      </w:r>
      <w:bookmarkEnd w:id="271"/>
    </w:p>
    <w:p w:rsidR="00C22678" w:rsidRPr="00991D74" w:rsidRDefault="008D107F" w:rsidP="0031212C">
      <w:r w:rsidRPr="00991D74">
        <w:t>There is already a 52</w:t>
      </w:r>
      <w:r w:rsidR="0019264D">
        <w:t xml:space="preserve"> </w:t>
      </w:r>
      <w:r w:rsidRPr="00991D74">
        <w:t>mg LNG IUS available in Australia (</w:t>
      </w:r>
      <w:proofErr w:type="spellStart"/>
      <w:r w:rsidRPr="00991D74">
        <w:t>Mirena</w:t>
      </w:r>
      <w:proofErr w:type="spellEnd"/>
      <w:r w:rsidRPr="00991D74">
        <w:t>). This IUS releases LNG over 5 years. LCS12 (</w:t>
      </w:r>
      <w:proofErr w:type="spellStart"/>
      <w:r w:rsidRPr="00991D74">
        <w:t>Jaydess</w:t>
      </w:r>
      <w:proofErr w:type="spellEnd"/>
      <w:r w:rsidRPr="00991D74">
        <w:t>) was designed to release smaller amounts of LNG per day (12</w:t>
      </w:r>
      <w:r w:rsidR="0019264D">
        <w:t xml:space="preserve"> µ</w:t>
      </w:r>
      <w:r w:rsidRPr="00991D74">
        <w:t xml:space="preserve">g/day for </w:t>
      </w:r>
      <w:proofErr w:type="spellStart"/>
      <w:r w:rsidRPr="00991D74">
        <w:t>Jaydess</w:t>
      </w:r>
      <w:proofErr w:type="spellEnd"/>
      <w:r w:rsidRPr="00991D74">
        <w:t xml:space="preserve">) and to be removed after 3 years. As there is now many years of safety data for </w:t>
      </w:r>
      <w:proofErr w:type="spellStart"/>
      <w:r w:rsidRPr="00991D74">
        <w:t>Mirena</w:t>
      </w:r>
      <w:proofErr w:type="spellEnd"/>
      <w:r w:rsidRPr="00991D74">
        <w:t xml:space="preserve">, </w:t>
      </w:r>
      <w:r w:rsidRPr="00991D74">
        <w:lastRenderedPageBreak/>
        <w:t xml:space="preserve">the main 2 issues for the clinical use of </w:t>
      </w:r>
      <w:proofErr w:type="spellStart"/>
      <w:r w:rsidRPr="00991D74">
        <w:t>Jaydess</w:t>
      </w:r>
      <w:proofErr w:type="spellEnd"/>
      <w:r w:rsidRPr="00991D74">
        <w:t xml:space="preserve"> is whether the clinical effectiveness is maintained (in terms of pregnancy prevention) over the 3 years with a much lower LNG release, and whether there are any safety concerns with the formulation or structure of the IUS. The 2 clinical studies (A52238 and A46796) investigate these issues with LCS 12 (</w:t>
      </w:r>
      <w:proofErr w:type="spellStart"/>
      <w:r w:rsidRPr="00991D74">
        <w:t>Jaydess</w:t>
      </w:r>
      <w:proofErr w:type="spellEnd"/>
      <w:r w:rsidRPr="00991D74">
        <w:t>). The study population characteristics summarized below are the same for the efficacy and safety analysis because the full analysis set (FAS) is identical for the efficacy and safety assessment.</w:t>
      </w:r>
    </w:p>
    <w:p w:rsidR="00C22678" w:rsidRDefault="00C22678" w:rsidP="0031212C">
      <w:pPr>
        <w:pStyle w:val="Heading2"/>
      </w:pPr>
      <w:bookmarkStart w:id="272" w:name="_Toc380660800"/>
      <w:r>
        <w:t>Clinical efficacy</w:t>
      </w:r>
      <w:bookmarkEnd w:id="272"/>
    </w:p>
    <w:p w:rsidR="008D107F" w:rsidRPr="00DE79DE" w:rsidRDefault="008D107F" w:rsidP="0031212C">
      <w:r w:rsidRPr="00DE79DE">
        <w:t>Proof of the clinical efficacy of LCS12 is based on the number of pregnancies in the two clinical studies (A52238 and A46796).</w:t>
      </w:r>
    </w:p>
    <w:p w:rsidR="008D107F" w:rsidRPr="00DE79DE" w:rsidRDefault="008D107F" w:rsidP="0031212C">
      <w:pPr>
        <w:pStyle w:val="Heading3"/>
      </w:pPr>
      <w:bookmarkStart w:id="273" w:name="_Toc343587568"/>
      <w:bookmarkStart w:id="274" w:name="_Toc219998398"/>
      <w:bookmarkStart w:id="275" w:name="_Toc219998502"/>
      <w:bookmarkStart w:id="276" w:name="_Toc219998917"/>
      <w:bookmarkStart w:id="277" w:name="_Toc219999020"/>
      <w:bookmarkStart w:id="278" w:name="_Toc219999121"/>
      <w:bookmarkStart w:id="279" w:name="_Toc229197936"/>
      <w:bookmarkStart w:id="280" w:name="_Toc380660801"/>
      <w:r w:rsidRPr="00DE79DE">
        <w:t xml:space="preserve">Contraception for up to 3 years in nulliparous and </w:t>
      </w:r>
      <w:proofErr w:type="spellStart"/>
      <w:r w:rsidRPr="00DE79DE">
        <w:t>parous</w:t>
      </w:r>
      <w:proofErr w:type="spellEnd"/>
      <w:r w:rsidRPr="00DE79DE">
        <w:t xml:space="preserve"> women</w:t>
      </w:r>
      <w:bookmarkEnd w:id="273"/>
      <w:bookmarkEnd w:id="274"/>
      <w:bookmarkEnd w:id="275"/>
      <w:bookmarkEnd w:id="276"/>
      <w:bookmarkEnd w:id="277"/>
      <w:bookmarkEnd w:id="278"/>
      <w:bookmarkEnd w:id="279"/>
      <w:bookmarkEnd w:id="280"/>
    </w:p>
    <w:p w:rsidR="008D107F" w:rsidRPr="00DE79DE" w:rsidRDefault="008D107F" w:rsidP="0031212C">
      <w:pPr>
        <w:pStyle w:val="Heading4"/>
      </w:pPr>
      <w:bookmarkStart w:id="281" w:name="_Ref271037274"/>
      <w:bookmarkStart w:id="282" w:name="_Toc272414652"/>
      <w:bookmarkStart w:id="283" w:name="_Toc290846274"/>
      <w:bookmarkStart w:id="284" w:name="_Toc290888811"/>
      <w:bookmarkStart w:id="285" w:name="_Toc343587569"/>
      <w:bookmarkStart w:id="286" w:name="_Toc219998399"/>
      <w:bookmarkStart w:id="287" w:name="_Toc219998503"/>
      <w:bookmarkStart w:id="288" w:name="_Toc219998918"/>
      <w:bookmarkStart w:id="289" w:name="_Toc219999021"/>
      <w:bookmarkStart w:id="290" w:name="_Toc219999122"/>
      <w:bookmarkStart w:id="291" w:name="_Toc229197937"/>
      <w:r w:rsidRPr="00DE79DE">
        <w:t xml:space="preserve">Pivotal efficacy </w:t>
      </w:r>
      <w:r w:rsidRPr="0031212C">
        <w:t>studies</w:t>
      </w:r>
      <w:bookmarkEnd w:id="281"/>
      <w:bookmarkEnd w:id="282"/>
      <w:bookmarkEnd w:id="283"/>
      <w:bookmarkEnd w:id="284"/>
      <w:bookmarkEnd w:id="285"/>
      <w:bookmarkEnd w:id="286"/>
      <w:bookmarkEnd w:id="287"/>
      <w:bookmarkEnd w:id="288"/>
      <w:bookmarkEnd w:id="289"/>
      <w:bookmarkEnd w:id="290"/>
      <w:bookmarkEnd w:id="291"/>
    </w:p>
    <w:p w:rsidR="008D107F" w:rsidRPr="00DE79DE" w:rsidRDefault="008D107F" w:rsidP="0031212C">
      <w:r w:rsidRPr="00DE79DE">
        <w:t>There was one pivotal study (A52238) and a supporting Phase II study (A46796). Both studies will be discussed together as much of the study design was similar. When it was not this will be highlighted. Further, there was a pooled analysis which combined data from both studies and which will be referred to in summary statistics.</w:t>
      </w:r>
    </w:p>
    <w:p w:rsidR="008D107F" w:rsidRPr="00DE79DE" w:rsidRDefault="008D107F" w:rsidP="0031212C">
      <w:pPr>
        <w:pStyle w:val="Heading5"/>
      </w:pPr>
      <w:bookmarkStart w:id="292" w:name="_Ref243301615"/>
      <w:bookmarkStart w:id="293" w:name="_Ref271040927"/>
      <w:bookmarkStart w:id="294" w:name="_Ref271040932"/>
      <w:bookmarkStart w:id="295" w:name="_Toc272414653"/>
      <w:bookmarkStart w:id="296" w:name="_Toc290846275"/>
      <w:bookmarkStart w:id="297" w:name="_Toc290888812"/>
      <w:r w:rsidRPr="00DE79DE">
        <w:t xml:space="preserve">Study </w:t>
      </w:r>
      <w:bookmarkEnd w:id="292"/>
      <w:bookmarkEnd w:id="293"/>
      <w:bookmarkEnd w:id="294"/>
      <w:bookmarkEnd w:id="295"/>
      <w:bookmarkEnd w:id="296"/>
      <w:bookmarkEnd w:id="297"/>
      <w:r w:rsidRPr="00DE79DE">
        <w:t xml:space="preserve">A52238 and </w:t>
      </w:r>
      <w:r w:rsidRPr="0031212C">
        <w:t>A46796</w:t>
      </w:r>
    </w:p>
    <w:p w:rsidR="008D107F" w:rsidRPr="00DE79DE" w:rsidRDefault="008D107F" w:rsidP="0031212C">
      <w:pPr>
        <w:pStyle w:val="Heading6"/>
      </w:pPr>
      <w:r w:rsidRPr="00DE79DE">
        <w:t xml:space="preserve">Study design, </w:t>
      </w:r>
      <w:r w:rsidRPr="0031212C">
        <w:t>objectives</w:t>
      </w:r>
      <w:r w:rsidRPr="00DE79DE">
        <w:t>, locations and dates</w:t>
      </w:r>
    </w:p>
    <w:p w:rsidR="008D107F" w:rsidRPr="00DE79DE" w:rsidRDefault="008D107F" w:rsidP="0031212C">
      <w:r w:rsidRPr="00DE79DE">
        <w:t>The study population characteristics summarized below are the same for the efficacy and safety analysis because the full analysis set (FAS) is identical for the efficacy and safety assessment. The FAS was defined as including all women for whom the IUS was inserted (in A46796) or the insertion of an IUS was attempted (in A52238), according to th</w:t>
      </w:r>
      <w:r w:rsidR="0031212C">
        <w:t>e treatment actually received.</w:t>
      </w:r>
    </w:p>
    <w:p w:rsidR="008D107F" w:rsidRPr="0031212C" w:rsidRDefault="0031212C" w:rsidP="0031212C">
      <w:pPr>
        <w:pStyle w:val="ListBullet"/>
        <w:rPr>
          <w:b/>
        </w:rPr>
      </w:pPr>
      <w:r w:rsidRPr="0031212C">
        <w:rPr>
          <w:b/>
        </w:rPr>
        <w:t>Study A52238 (310442)</w:t>
      </w:r>
    </w:p>
    <w:p w:rsidR="008D107F" w:rsidRPr="00DE79DE" w:rsidRDefault="008D107F" w:rsidP="0031212C">
      <w:r w:rsidRPr="00DE79DE">
        <w:t xml:space="preserve">This was a Phase III study undertaken in Europe, US, Canada, South America. It was a multicentre, randomised, open-label, 2-arm (LCS12 and LCS16), parallel group 3 years (up to 5 years for LCS16 only) and recruited generally healthy, 18- to 35-year old nulliparous or </w:t>
      </w:r>
      <w:proofErr w:type="spellStart"/>
      <w:r w:rsidRPr="00DE79DE">
        <w:t>parous</w:t>
      </w:r>
      <w:proofErr w:type="spellEnd"/>
      <w:r w:rsidRPr="00DE79DE">
        <w:t xml:space="preserve"> women in need of contraception. There were 1432 women in the LCS12 and 1452 in the LCS16 group. The primary efficacy variable was pregnancy rate (PI). A secondary analysis was performed using the Kaplan-Meier (life table) method. Secondary efficacy variables included assessments of bleeding patterns as recorded in subject-kept diaries. Safety variables were adverse events (AEs), laboratory variables, physical and gynaecological examinations, and vital signs. Other variables measured included dysmenorrh</w:t>
      </w:r>
      <w:r w:rsidR="00BF5474">
        <w:t>o</w:t>
      </w:r>
      <w:r w:rsidRPr="00DE79DE">
        <w:t>ea (via diaries), LCS insertion/removal ease and pain, compliance, user satisfaction (via questionnaires), ovarian and cervical function (</w:t>
      </w:r>
      <w:proofErr w:type="spellStart"/>
      <w:r w:rsidRPr="00DE79DE">
        <w:t>Insler</w:t>
      </w:r>
      <w:proofErr w:type="spellEnd"/>
      <w:r w:rsidRPr="00DE79DE">
        <w:t xml:space="preserve"> score), endometrial histology, pharmacokinetic parameters, bone mineral density (all in subset populations), discontinuations due to problems related to menstrual bleeding or amenorrhea, expulsion rate, the number of overall discontinuations, and data concerning return-to-fertility.</w:t>
      </w:r>
    </w:p>
    <w:p w:rsidR="008D107F" w:rsidRPr="0031212C" w:rsidRDefault="008D107F" w:rsidP="0031212C">
      <w:pPr>
        <w:pStyle w:val="ListBullet"/>
        <w:rPr>
          <w:b/>
        </w:rPr>
      </w:pPr>
      <w:r w:rsidRPr="0031212C">
        <w:rPr>
          <w:b/>
        </w:rPr>
        <w:t>Study A46796 (308901)</w:t>
      </w:r>
    </w:p>
    <w:p w:rsidR="008D107F" w:rsidRPr="00DE79DE" w:rsidRDefault="008D107F" w:rsidP="0031212C">
      <w:r w:rsidRPr="00DE79DE">
        <w:t xml:space="preserve">The phase 2 </w:t>
      </w:r>
      <w:proofErr w:type="gramStart"/>
      <w:r w:rsidRPr="00DE79DE">
        <w:t>study</w:t>
      </w:r>
      <w:proofErr w:type="gramEnd"/>
      <w:r w:rsidRPr="00DE79DE">
        <w:t xml:space="preserve"> A46796 was a multicentre, open-label, randomised, dose finding study to investigate LCS12 and LCS16 compared to </w:t>
      </w:r>
      <w:proofErr w:type="spellStart"/>
      <w:r w:rsidRPr="00DE79DE">
        <w:t>Mirena</w:t>
      </w:r>
      <w:proofErr w:type="spellEnd"/>
      <w:r w:rsidRPr="00DE79DE">
        <w:t xml:space="preserve"> for a maximum of 3 years. The study was performed in five European countries (Finland, Hungary, Norway, Sweden, and the United Kingdom). </w:t>
      </w:r>
      <w:proofErr w:type="spellStart"/>
      <w:r w:rsidRPr="00DE79DE">
        <w:t>Parous</w:t>
      </w:r>
      <w:proofErr w:type="spellEnd"/>
      <w:r w:rsidRPr="00DE79DE">
        <w:t xml:space="preserve"> or nulliparous women of 21 to 40 years of age (inclusive) with good general health and in need of contraception were to be included. There were 240 women in the LCS12, 245 in the LCS 16 group and 256 in the </w:t>
      </w:r>
      <w:proofErr w:type="spellStart"/>
      <w:r w:rsidRPr="00DE79DE">
        <w:t>Mirena</w:t>
      </w:r>
      <w:proofErr w:type="spellEnd"/>
      <w:r w:rsidRPr="00DE79DE">
        <w:t xml:space="preserve"> group. The number of pregnancies was recorded and the pregnancy rate (PI) was calculated as the primary efficacy variable. A secondary analysis was performed using the Kaplan-Meier (life table) method. Bleeding patterns were </w:t>
      </w:r>
      <w:r w:rsidRPr="00DE79DE">
        <w:lastRenderedPageBreak/>
        <w:t xml:space="preserve">evaluated from bleeding data obtained from subject-kept diaries as secondary efficacy variables. Safety measurements were assessments of AEs, laboratory variables, physical and gynaecological examinations, and vital signs. Other secondary variables measured in subsets of women were ovarian and cervical function, and endometrial histology. Further evaluations included ease and pain assessment on IUS insertion/removal, IUS expulsion rate, discontinuation rate, compliance, return-to-fertility, </w:t>
      </w:r>
      <w:r w:rsidR="0031212C">
        <w:t>and pharmacokinetic parameters.</w:t>
      </w:r>
    </w:p>
    <w:p w:rsidR="008D107F" w:rsidRPr="00DE79DE" w:rsidRDefault="008D107F" w:rsidP="0031212C">
      <w:pPr>
        <w:pStyle w:val="Heading6"/>
      </w:pPr>
      <w:r w:rsidRPr="00DE79DE">
        <w:t>Inclusion and exclusion criteria</w:t>
      </w:r>
    </w:p>
    <w:p w:rsidR="008D107F" w:rsidRDefault="008D107F" w:rsidP="0031212C">
      <w:r w:rsidRPr="00DE79DE">
        <w:t xml:space="preserve">Inclusion and exclusion criteria were mostly identical between the pivotal study A52238 and supporting study A46796. Nulliparous and </w:t>
      </w:r>
      <w:proofErr w:type="spellStart"/>
      <w:r w:rsidRPr="00DE79DE">
        <w:t>parous</w:t>
      </w:r>
      <w:proofErr w:type="spellEnd"/>
      <w:r w:rsidRPr="00DE79DE">
        <w:t xml:space="preserve"> women of reproductive age and in good general health, seeking contraception with no contraindications for IUS use were screened for participation in these studies. The only potentially relevant differences between the two studies is a small difference in different inclusion criteria regarding age, i.e. 18 to 35 years in study A52238 compared to 21 to 40 years in study A46796 (mean age: 27 versus 32 years). The following Table below sums up the major differences between the resulting demographic </w:t>
      </w:r>
      <w:proofErr w:type="gramStart"/>
      <w:r w:rsidRPr="00DE79DE">
        <w:t>profile</w:t>
      </w:r>
      <w:proofErr w:type="gramEnd"/>
      <w:r w:rsidRPr="00DE79DE">
        <w:t xml:space="preserve"> included in the 2 studies.</w:t>
      </w:r>
    </w:p>
    <w:p w:rsidR="00704349" w:rsidRPr="00DE79DE" w:rsidRDefault="008D107F" w:rsidP="0031212C">
      <w:pPr>
        <w:pStyle w:val="TableTitle"/>
      </w:pPr>
      <w:proofErr w:type="gramStart"/>
      <w:r w:rsidRPr="00704349">
        <w:t xml:space="preserve">Table </w:t>
      </w:r>
      <w:r w:rsidR="0019264D">
        <w:t>10.</w:t>
      </w:r>
      <w:proofErr w:type="gramEnd"/>
      <w:r w:rsidR="00704349">
        <w:t xml:space="preserve"> </w:t>
      </w:r>
      <w:r w:rsidR="0019264D">
        <w:t>Summary</w:t>
      </w:r>
      <w:r w:rsidRPr="00704349">
        <w:t xml:space="preserve"> </w:t>
      </w:r>
      <w:r w:rsidR="0019264D">
        <w:t xml:space="preserve">of </w:t>
      </w:r>
      <w:r w:rsidRPr="00704349">
        <w:t xml:space="preserve">major differences between the resulting demographic </w:t>
      </w:r>
      <w:proofErr w:type="gramStart"/>
      <w:r w:rsidRPr="00704349">
        <w:t>profile</w:t>
      </w:r>
      <w:proofErr w:type="gramEnd"/>
      <w:r w:rsidRPr="00704349">
        <w:t xml:space="preserve"> included in </w:t>
      </w:r>
      <w:r w:rsidR="0019264D">
        <w:t xml:space="preserve">studies </w:t>
      </w:r>
      <w:r w:rsidR="0019264D" w:rsidRPr="0019264D">
        <w:t xml:space="preserve">A52238 </w:t>
      </w:r>
      <w:r w:rsidR="0019264D">
        <w:t xml:space="preserve">and </w:t>
      </w:r>
      <w:r w:rsidR="0019264D" w:rsidRPr="0019264D">
        <w:t>A46796</w:t>
      </w:r>
      <w:r w:rsidRPr="00704349">
        <w:t>.</w:t>
      </w:r>
    </w:p>
    <w:tbl>
      <w:tblPr>
        <w:tblStyle w:val="TableTGAblue"/>
        <w:tblW w:w="0" w:type="auto"/>
        <w:tblLook w:val="0620" w:firstRow="1" w:lastRow="0" w:firstColumn="0" w:lastColumn="0" w:noHBand="1" w:noVBand="1"/>
      </w:tblPr>
      <w:tblGrid>
        <w:gridCol w:w="2960"/>
        <w:gridCol w:w="2985"/>
        <w:gridCol w:w="2986"/>
      </w:tblGrid>
      <w:tr w:rsidR="008D107F" w:rsidRPr="00704349" w:rsidTr="0031212C">
        <w:trPr>
          <w:cnfStyle w:val="100000000000" w:firstRow="1" w:lastRow="0" w:firstColumn="0" w:lastColumn="0" w:oddVBand="0" w:evenVBand="0" w:oddHBand="0" w:evenHBand="0" w:firstRowFirstColumn="0" w:firstRowLastColumn="0" w:lastRowFirstColumn="0" w:lastRowLastColumn="0"/>
          <w:tblHeader/>
        </w:trPr>
        <w:tc>
          <w:tcPr>
            <w:tcW w:w="2960" w:type="dxa"/>
          </w:tcPr>
          <w:p w:rsidR="008D107F" w:rsidRPr="00704349" w:rsidRDefault="008D107F" w:rsidP="0031212C">
            <w:pPr>
              <w:ind w:left="0" w:right="50"/>
            </w:pPr>
            <w:r w:rsidRPr="00704349">
              <w:t>Parameter</w:t>
            </w:r>
          </w:p>
        </w:tc>
        <w:tc>
          <w:tcPr>
            <w:tcW w:w="2985" w:type="dxa"/>
          </w:tcPr>
          <w:p w:rsidR="008D107F" w:rsidRPr="00704349" w:rsidRDefault="008D107F" w:rsidP="0031212C">
            <w:pPr>
              <w:ind w:left="17" w:right="0"/>
            </w:pPr>
            <w:r w:rsidRPr="00704349">
              <w:t>A52238</w:t>
            </w:r>
          </w:p>
        </w:tc>
        <w:tc>
          <w:tcPr>
            <w:tcW w:w="2986" w:type="dxa"/>
          </w:tcPr>
          <w:p w:rsidR="008D107F" w:rsidRPr="00704349" w:rsidRDefault="008D107F" w:rsidP="0031212C">
            <w:pPr>
              <w:ind w:left="0" w:right="0"/>
            </w:pPr>
            <w:r w:rsidRPr="00704349">
              <w:t>A46796</w:t>
            </w:r>
          </w:p>
        </w:tc>
      </w:tr>
      <w:tr w:rsidR="008D107F" w:rsidRPr="00704349" w:rsidTr="0031212C">
        <w:tc>
          <w:tcPr>
            <w:tcW w:w="2960" w:type="dxa"/>
          </w:tcPr>
          <w:p w:rsidR="008D107F" w:rsidRPr="00704349" w:rsidRDefault="008D107F" w:rsidP="0031212C">
            <w:pPr>
              <w:ind w:left="0" w:right="50"/>
            </w:pPr>
            <w:r w:rsidRPr="00704349">
              <w:t>Age (median, years)</w:t>
            </w:r>
          </w:p>
        </w:tc>
        <w:tc>
          <w:tcPr>
            <w:tcW w:w="2985" w:type="dxa"/>
          </w:tcPr>
          <w:p w:rsidR="008D107F" w:rsidRPr="00704349" w:rsidRDefault="008D107F" w:rsidP="0031212C">
            <w:pPr>
              <w:ind w:left="17" w:right="0"/>
            </w:pPr>
            <w:r w:rsidRPr="00704349">
              <w:t>27</w:t>
            </w:r>
          </w:p>
        </w:tc>
        <w:tc>
          <w:tcPr>
            <w:tcW w:w="2986" w:type="dxa"/>
          </w:tcPr>
          <w:p w:rsidR="008D107F" w:rsidRPr="00704349" w:rsidRDefault="008D107F" w:rsidP="0031212C">
            <w:pPr>
              <w:ind w:left="0" w:right="0"/>
            </w:pPr>
            <w:r w:rsidRPr="00704349">
              <w:t>32</w:t>
            </w:r>
          </w:p>
        </w:tc>
      </w:tr>
      <w:tr w:rsidR="008D107F" w:rsidRPr="00704349" w:rsidTr="0031212C">
        <w:tc>
          <w:tcPr>
            <w:tcW w:w="2960" w:type="dxa"/>
          </w:tcPr>
          <w:p w:rsidR="008D107F" w:rsidRPr="00704349" w:rsidRDefault="008D107F" w:rsidP="0031212C">
            <w:pPr>
              <w:ind w:left="0" w:right="50"/>
            </w:pPr>
            <w:r w:rsidRPr="00704349">
              <w:t>Ethnicity</w:t>
            </w:r>
          </w:p>
        </w:tc>
        <w:tc>
          <w:tcPr>
            <w:tcW w:w="2985" w:type="dxa"/>
          </w:tcPr>
          <w:p w:rsidR="008D107F" w:rsidRPr="00704349" w:rsidRDefault="008D107F" w:rsidP="0031212C">
            <w:pPr>
              <w:ind w:left="17" w:right="0"/>
            </w:pPr>
            <w:r w:rsidRPr="00704349">
              <w:t>Predominantly Caucasian</w:t>
            </w:r>
          </w:p>
        </w:tc>
        <w:tc>
          <w:tcPr>
            <w:tcW w:w="2986" w:type="dxa"/>
          </w:tcPr>
          <w:p w:rsidR="008D107F" w:rsidRPr="00704349" w:rsidRDefault="008D107F" w:rsidP="0031212C">
            <w:pPr>
              <w:ind w:left="0" w:right="0"/>
            </w:pPr>
            <w:r w:rsidRPr="00704349">
              <w:t>Predominantly Caucasian</w:t>
            </w:r>
          </w:p>
        </w:tc>
      </w:tr>
      <w:tr w:rsidR="008D107F" w:rsidRPr="00704349" w:rsidTr="0031212C">
        <w:tc>
          <w:tcPr>
            <w:tcW w:w="2960" w:type="dxa"/>
          </w:tcPr>
          <w:p w:rsidR="008D107F" w:rsidRPr="00704349" w:rsidRDefault="008D107F" w:rsidP="0031212C">
            <w:pPr>
              <w:ind w:left="0" w:right="50"/>
            </w:pPr>
            <w:r w:rsidRPr="00704349">
              <w:t>BMI</w:t>
            </w:r>
          </w:p>
        </w:tc>
        <w:tc>
          <w:tcPr>
            <w:tcW w:w="2985" w:type="dxa"/>
          </w:tcPr>
          <w:p w:rsidR="008D107F" w:rsidRPr="00704349" w:rsidRDefault="008D107F" w:rsidP="0031212C">
            <w:pPr>
              <w:ind w:left="17" w:right="0"/>
            </w:pPr>
            <w:r w:rsidRPr="00704349">
              <w:t>25.32 kg/m</w:t>
            </w:r>
            <w:r w:rsidRPr="00590069">
              <w:rPr>
                <w:vertAlign w:val="superscript"/>
              </w:rPr>
              <w:t>2</w:t>
            </w:r>
          </w:p>
        </w:tc>
        <w:tc>
          <w:tcPr>
            <w:tcW w:w="2986" w:type="dxa"/>
          </w:tcPr>
          <w:p w:rsidR="008D107F" w:rsidRPr="00704349" w:rsidRDefault="008D107F" w:rsidP="0031212C">
            <w:pPr>
              <w:ind w:left="0" w:right="0"/>
            </w:pPr>
            <w:r w:rsidRPr="00704349">
              <w:t>24.05 kg/m</w:t>
            </w:r>
            <w:r w:rsidRPr="00590069">
              <w:rPr>
                <w:vertAlign w:val="superscript"/>
              </w:rPr>
              <w:t>2</w:t>
            </w:r>
          </w:p>
        </w:tc>
      </w:tr>
      <w:tr w:rsidR="008D107F" w:rsidRPr="00704349" w:rsidTr="0031212C">
        <w:tc>
          <w:tcPr>
            <w:tcW w:w="2960" w:type="dxa"/>
          </w:tcPr>
          <w:p w:rsidR="008D107F" w:rsidRPr="00704349" w:rsidRDefault="008D107F" w:rsidP="0031212C">
            <w:pPr>
              <w:ind w:left="0" w:right="50"/>
            </w:pPr>
            <w:r w:rsidRPr="00704349">
              <w:t>BMI&gt; 30 kg/m</w:t>
            </w:r>
            <w:r w:rsidRPr="00590069">
              <w:rPr>
                <w:vertAlign w:val="superscript"/>
              </w:rPr>
              <w:t>2</w:t>
            </w:r>
          </w:p>
        </w:tc>
        <w:tc>
          <w:tcPr>
            <w:tcW w:w="2985" w:type="dxa"/>
          </w:tcPr>
          <w:p w:rsidR="008D107F" w:rsidRPr="00704349" w:rsidRDefault="008D107F" w:rsidP="0031212C">
            <w:pPr>
              <w:ind w:left="17" w:right="0"/>
            </w:pPr>
            <w:r w:rsidRPr="00704349">
              <w:t>17%</w:t>
            </w:r>
          </w:p>
        </w:tc>
        <w:tc>
          <w:tcPr>
            <w:tcW w:w="2986" w:type="dxa"/>
          </w:tcPr>
          <w:p w:rsidR="008D107F" w:rsidRPr="00704349" w:rsidRDefault="008D107F" w:rsidP="0031212C">
            <w:pPr>
              <w:ind w:left="0" w:right="0"/>
            </w:pPr>
            <w:r w:rsidRPr="00704349">
              <w:t>7.5%</w:t>
            </w:r>
          </w:p>
        </w:tc>
      </w:tr>
      <w:tr w:rsidR="008D107F" w:rsidRPr="00704349" w:rsidTr="0031212C">
        <w:tc>
          <w:tcPr>
            <w:tcW w:w="2960" w:type="dxa"/>
          </w:tcPr>
          <w:p w:rsidR="008D107F" w:rsidRPr="00704349" w:rsidRDefault="008D107F" w:rsidP="0031212C">
            <w:pPr>
              <w:ind w:left="0" w:right="50"/>
            </w:pPr>
            <w:r w:rsidRPr="00704349">
              <w:t>Nulliparous</w:t>
            </w:r>
          </w:p>
        </w:tc>
        <w:tc>
          <w:tcPr>
            <w:tcW w:w="2985" w:type="dxa"/>
          </w:tcPr>
          <w:p w:rsidR="008D107F" w:rsidRPr="00704349" w:rsidRDefault="008D107F" w:rsidP="0031212C">
            <w:pPr>
              <w:ind w:left="17" w:right="0"/>
            </w:pPr>
            <w:r w:rsidRPr="00704349">
              <w:t>38.8%</w:t>
            </w:r>
          </w:p>
        </w:tc>
        <w:tc>
          <w:tcPr>
            <w:tcW w:w="2986" w:type="dxa"/>
          </w:tcPr>
          <w:p w:rsidR="008D107F" w:rsidRPr="00704349" w:rsidRDefault="008D107F" w:rsidP="0031212C">
            <w:pPr>
              <w:ind w:left="0" w:right="0"/>
            </w:pPr>
            <w:r w:rsidRPr="00704349">
              <w:t>21.7%</w:t>
            </w:r>
          </w:p>
        </w:tc>
      </w:tr>
    </w:tbl>
    <w:p w:rsidR="008D107F" w:rsidRPr="00DE79DE" w:rsidRDefault="008D107F" w:rsidP="00D4192E">
      <w:pPr>
        <w:pStyle w:val="Heading6"/>
      </w:pPr>
      <w:r w:rsidRPr="00DE79DE">
        <w:t xml:space="preserve">Study </w:t>
      </w:r>
      <w:r w:rsidRPr="00D4192E">
        <w:t>treatments</w:t>
      </w:r>
    </w:p>
    <w:p w:rsidR="008D107F" w:rsidRPr="00DE79DE" w:rsidRDefault="008D107F" w:rsidP="00D4192E">
      <w:r w:rsidRPr="00DE79DE">
        <w:t>In the pivotal study A52238, a total of 2884 women with an insertion attempt were assigned to the FAS of the study, with 1432 women on LCS12 and 1452 women on LCS16. The mean treatment duration for the LCS12 group was 821 days or 2.25 women years (</w:t>
      </w:r>
      <w:proofErr w:type="spellStart"/>
      <w:r w:rsidRPr="00DE79DE">
        <w:t>wy</w:t>
      </w:r>
      <w:proofErr w:type="spellEnd"/>
      <w:r w:rsidRPr="00DE79DE">
        <w:t xml:space="preserve">) and 843 days or 2.31 </w:t>
      </w:r>
      <w:proofErr w:type="spellStart"/>
      <w:r w:rsidRPr="00DE79DE">
        <w:t>wy</w:t>
      </w:r>
      <w:proofErr w:type="spellEnd"/>
      <w:r w:rsidRPr="00DE79DE">
        <w:t xml:space="preserve"> f</w:t>
      </w:r>
      <w:r w:rsidR="0031212C">
        <w:t>or the LCS16 group.</w:t>
      </w:r>
    </w:p>
    <w:p w:rsidR="008D107F" w:rsidRPr="00DE79DE" w:rsidRDefault="008D107F" w:rsidP="00D4192E">
      <w:r w:rsidRPr="00DE79DE">
        <w:t xml:space="preserve">In study A46796, a total of 741 women were included in the FAS: 240 women in the LCS12 group, 245 women in the LCS16 group and 256 women in the </w:t>
      </w:r>
      <w:proofErr w:type="spellStart"/>
      <w:r w:rsidRPr="00DE79DE">
        <w:t>Mirena</w:t>
      </w:r>
      <w:proofErr w:type="spellEnd"/>
      <w:r w:rsidRPr="00DE79DE">
        <w:t xml:space="preserve"> group. The mean treatment duration was 915 days or 2.51 </w:t>
      </w:r>
      <w:proofErr w:type="spellStart"/>
      <w:r w:rsidRPr="00DE79DE">
        <w:t>wy</w:t>
      </w:r>
      <w:proofErr w:type="spellEnd"/>
      <w:r w:rsidRPr="00DE79DE">
        <w:t xml:space="preserve"> in the LCS12 group, 912 days or 2.50 </w:t>
      </w:r>
      <w:proofErr w:type="spellStart"/>
      <w:r w:rsidRPr="00DE79DE">
        <w:t>wy</w:t>
      </w:r>
      <w:proofErr w:type="spellEnd"/>
      <w:r w:rsidRPr="00DE79DE">
        <w:t xml:space="preserve"> in the LCS16 group, and 895 days </w:t>
      </w:r>
      <w:r w:rsidR="00D4192E">
        <w:t xml:space="preserve">or 2.45 </w:t>
      </w:r>
      <w:proofErr w:type="spellStart"/>
      <w:r w:rsidR="00D4192E">
        <w:t>wy</w:t>
      </w:r>
      <w:proofErr w:type="spellEnd"/>
      <w:r w:rsidR="00D4192E">
        <w:t xml:space="preserve"> in the </w:t>
      </w:r>
      <w:proofErr w:type="spellStart"/>
      <w:r w:rsidR="00D4192E">
        <w:t>Mirena</w:t>
      </w:r>
      <w:proofErr w:type="spellEnd"/>
      <w:r w:rsidR="00D4192E">
        <w:t xml:space="preserve"> group.</w:t>
      </w:r>
    </w:p>
    <w:p w:rsidR="008D107F" w:rsidRPr="00DE79DE" w:rsidRDefault="008D107F" w:rsidP="00D4192E">
      <w:r w:rsidRPr="00DE79DE">
        <w:t xml:space="preserve">For the pooled analysis, cumulative treatment exposure for women on LCS12 was 1488 </w:t>
      </w:r>
      <w:proofErr w:type="spellStart"/>
      <w:r w:rsidRPr="00DE79DE">
        <w:t>wy</w:t>
      </w:r>
      <w:proofErr w:type="spellEnd"/>
      <w:r w:rsidRPr="00DE79DE">
        <w:t xml:space="preserve"> for the first year, and 3779 </w:t>
      </w:r>
      <w:proofErr w:type="spellStart"/>
      <w:r w:rsidRPr="00DE79DE">
        <w:t>wy</w:t>
      </w:r>
      <w:proofErr w:type="spellEnd"/>
      <w:r w:rsidRPr="00DE79DE">
        <w:t xml:space="preserve"> at three years of treatment. The cumulative exposure for LCS16 was very similar to that for LCS12. The exposure was shorter in the </w:t>
      </w:r>
      <w:proofErr w:type="spellStart"/>
      <w:r w:rsidRPr="00DE79DE">
        <w:t>Mirena</w:t>
      </w:r>
      <w:proofErr w:type="spellEnd"/>
      <w:r w:rsidRPr="00DE79DE">
        <w:t xml:space="preserve"> arm (first year: 236 </w:t>
      </w:r>
      <w:proofErr w:type="spellStart"/>
      <w:r w:rsidRPr="00DE79DE">
        <w:t>wy</w:t>
      </w:r>
      <w:proofErr w:type="spellEnd"/>
      <w:r w:rsidRPr="00DE79DE">
        <w:t xml:space="preserve">; three years: 619 </w:t>
      </w:r>
      <w:proofErr w:type="spellStart"/>
      <w:r w:rsidRPr="00DE79DE">
        <w:t>wy</w:t>
      </w:r>
      <w:proofErr w:type="spellEnd"/>
      <w:r w:rsidRPr="00DE79DE">
        <w:t xml:space="preserve">) due to the smaller number in the </w:t>
      </w:r>
      <w:proofErr w:type="spellStart"/>
      <w:r w:rsidRPr="00DE79DE">
        <w:t>Mirena</w:t>
      </w:r>
      <w:proofErr w:type="spellEnd"/>
      <w:r w:rsidRPr="00DE79DE">
        <w:t xml:space="preserve"> group. The pooled analysis showed a trend toward shorter mean exposure time in younger and nulliparous women. On average, the mean exposure for women on LCS12 in the youngest age group or nulliparous group was approximately 60 or 40 days shorter when compared to the overall population.</w:t>
      </w:r>
    </w:p>
    <w:p w:rsidR="008D107F" w:rsidRPr="00DE79DE" w:rsidRDefault="008D107F" w:rsidP="00D4192E">
      <w:r w:rsidRPr="00DE79DE">
        <w:t xml:space="preserve">The overall profiles of medical history, prior or concomitant medication were comparable across the studies and between the treatment groups. The most frequently used concomitant medications recorded over a treatment period of three years were ibuprofen and paracetamol including medication for pain, or prophylaxis of pain associated with the insertion procedure or </w:t>
      </w:r>
      <w:r w:rsidRPr="00DE79DE">
        <w:lastRenderedPageBreak/>
        <w:t>used for a wide variety of reasons at any time during the 3 year treatment period; others less frequently used were antibiotics and antifungals.</w:t>
      </w:r>
    </w:p>
    <w:p w:rsidR="008D107F" w:rsidRPr="00DE79DE" w:rsidRDefault="008D107F" w:rsidP="00D4192E">
      <w:pPr>
        <w:pStyle w:val="Heading6"/>
      </w:pPr>
      <w:r w:rsidRPr="00DE79DE">
        <w:t xml:space="preserve">Efficacy variables and </w:t>
      </w:r>
      <w:r w:rsidRPr="00D4192E">
        <w:t>outcomes</w:t>
      </w:r>
    </w:p>
    <w:p w:rsidR="008D107F" w:rsidRPr="00DE79DE" w:rsidRDefault="008D107F" w:rsidP="006550A8">
      <w:r w:rsidRPr="00DE79DE">
        <w:t>The primary efficacy outcome was contraceptive reliability; assessed by calculating the PI and pe</w:t>
      </w:r>
      <w:r w:rsidR="006550A8">
        <w:t>rforming a life-table analysis.</w:t>
      </w:r>
    </w:p>
    <w:p w:rsidR="008D107F" w:rsidRPr="00DE79DE" w:rsidRDefault="008D107F" w:rsidP="006550A8">
      <w:pPr>
        <w:pStyle w:val="ListBullet"/>
      </w:pPr>
      <w:r w:rsidRPr="00DE79DE">
        <w:t xml:space="preserve">Pearl Index (PI) - The PI for the 3 years of treatment (i.e. 3-year PI) and for the first year of treatment (i.e. Year 1 PI) were the primary criteria to assess the contraceptive reliability of LCS12.  As the PI usually assumed to be constant over time, and as this cannot automatically be assumed for the study treatments, several different </w:t>
      </w:r>
      <w:proofErr w:type="spellStart"/>
      <w:r w:rsidRPr="00DE79DE">
        <w:t>prespec</w:t>
      </w:r>
      <w:r w:rsidR="006550A8">
        <w:t>ified</w:t>
      </w:r>
      <w:proofErr w:type="spellEnd"/>
      <w:r w:rsidR="006550A8">
        <w:t xml:space="preserve"> PIs were also calculated.</w:t>
      </w:r>
    </w:p>
    <w:p w:rsidR="008D107F" w:rsidRPr="00DE79DE" w:rsidRDefault="008D107F" w:rsidP="006550A8">
      <w:pPr>
        <w:pStyle w:val="ListBullet2"/>
      </w:pPr>
      <w:r w:rsidRPr="00DE79DE">
        <w:t>'First year PI' was the PI obtained in the first year of treatment, i.e., number of pregnancies that occurred during the first year of treatment divided by time (in 100 women years). Primary outcome</w:t>
      </w:r>
    </w:p>
    <w:p w:rsidR="008D107F" w:rsidRPr="00DE79DE" w:rsidRDefault="008D107F" w:rsidP="006550A8">
      <w:pPr>
        <w:pStyle w:val="ListBullet2"/>
      </w:pPr>
      <w:r w:rsidRPr="00DE79DE">
        <w:t>'Second year PI', PI obtained in the second year of treatment, i.e., number of pregnancies that occurred during the second year of treatment divided by time (in 100 women years)</w:t>
      </w:r>
    </w:p>
    <w:p w:rsidR="008D107F" w:rsidRPr="00DE79DE" w:rsidRDefault="008D107F" w:rsidP="006550A8">
      <w:pPr>
        <w:pStyle w:val="ListBullet2"/>
      </w:pPr>
      <w:r w:rsidRPr="00DE79DE">
        <w:t>'Third year PI', PI obtained in the third year of treatment, i.e., number of pregnancies that occurred during the third year of treatment divided by time (in 100</w:t>
      </w:r>
      <w:r w:rsidR="006550A8">
        <w:t xml:space="preserve"> women years)</w:t>
      </w:r>
    </w:p>
    <w:p w:rsidR="008D107F" w:rsidRPr="00DE79DE" w:rsidRDefault="008D107F" w:rsidP="006550A8">
      <w:pPr>
        <w:pStyle w:val="ListBullet2"/>
      </w:pPr>
      <w:r w:rsidRPr="00DE79DE">
        <w:t>'Two years PI', PI obtained in the first two years of treatment, i.e., number of pregnancies that occurred during the first two years of treatment divided by time (in 100 women years) the women were under risk of getting pregnant in the first two years of treatment.</w:t>
      </w:r>
    </w:p>
    <w:p w:rsidR="008D107F" w:rsidRPr="00DE79DE" w:rsidRDefault="008D107F" w:rsidP="006550A8">
      <w:pPr>
        <w:pStyle w:val="ListBullet2"/>
      </w:pPr>
      <w:r w:rsidRPr="00DE79DE">
        <w:t>'Three years PI', PI obtained in the first three years of treatment, i.e., number of pregnancies that occurred during the first three years of treatment divided by time (in 100 women years). Primary outcome</w:t>
      </w:r>
    </w:p>
    <w:p w:rsidR="008D107F" w:rsidRPr="00DE79DE" w:rsidRDefault="008D107F" w:rsidP="006550A8">
      <w:pPr>
        <w:pStyle w:val="ListBullet2"/>
      </w:pPr>
      <w:r w:rsidRPr="00DE79DE">
        <w:t>'Overall PI', PI obtained during the whole study, i.e., number of pregnancies that occurred during treatment divided by the time</w:t>
      </w:r>
      <w:r w:rsidR="006550A8">
        <w:t xml:space="preserve"> the women (in 100 women years)</w:t>
      </w:r>
    </w:p>
    <w:p w:rsidR="008D107F" w:rsidRPr="00DE79DE" w:rsidRDefault="008D107F" w:rsidP="006550A8">
      <w:pPr>
        <w:pStyle w:val="ListBullet3"/>
      </w:pPr>
      <w:r w:rsidRPr="00DE79DE">
        <w:t>Unadjusted and adjusted PIs were calculated</w:t>
      </w:r>
    </w:p>
    <w:p w:rsidR="008D107F" w:rsidRPr="00DE79DE" w:rsidRDefault="008D107F" w:rsidP="006550A8">
      <w:pPr>
        <w:pStyle w:val="ListBullet"/>
      </w:pPr>
      <w:r w:rsidRPr="00DE79DE">
        <w:t xml:space="preserve">Life Table analysis using a Kaplan-Meier analysis on the basis of pregnancies </w:t>
      </w:r>
      <w:r w:rsidRPr="006550A8">
        <w:t>occurring</w:t>
      </w:r>
      <w:r w:rsidRPr="00DE79DE">
        <w:t xml:space="preserve"> during study treatment.</w:t>
      </w:r>
    </w:p>
    <w:p w:rsidR="008D107F" w:rsidRPr="00DE79DE" w:rsidRDefault="008D107F" w:rsidP="006550A8">
      <w:r w:rsidRPr="00DE79DE">
        <w:t>A negative pregnancy result was a prerequisite for the IUS insertion. Pregnancy tests were also performed at the final study visit. In study A46796, home pregnancy tests were a</w:t>
      </w:r>
      <w:r w:rsidR="006550A8">
        <w:t>lso performed on monthly basis.</w:t>
      </w:r>
    </w:p>
    <w:p w:rsidR="008D107F" w:rsidRPr="00DE79DE" w:rsidRDefault="008D107F" w:rsidP="006550A8">
      <w:r w:rsidRPr="00DE79DE">
        <w:t>Other efficacy outcomes included:</w:t>
      </w:r>
    </w:p>
    <w:p w:rsidR="008D107F" w:rsidRPr="00DE79DE" w:rsidRDefault="008D107F" w:rsidP="006550A8">
      <w:pPr>
        <w:pStyle w:val="ListBullet"/>
      </w:pPr>
      <w:r w:rsidRPr="00704349">
        <w:rPr>
          <w:i/>
          <w:iCs/>
        </w:rPr>
        <w:t>Menstrual bleeding analysis</w:t>
      </w:r>
      <w:r w:rsidRPr="00DE79DE">
        <w:t xml:space="preserve"> - Based on the day-to-day information obtained from the diary cards, menstrual bleeding patterns were reported using descriptive statistics. The bleeding pattern indices include number of days of bleeding and/or spotting, and analysis of the episodes of bleeding and spotting, bleeding only and spotting only. Menstrual bleeding patterns were analysed by reference periods: 90-day reference periods over the 3-year treatment, and 30-day reference periods for the first year of treatment. For each 90-day reference period, the proportion of women with amenorrhea, prolonged, frequent, infrequent and irr</w:t>
      </w:r>
      <w:r w:rsidR="006550A8">
        <w:t>egular bleeding was calculated.</w:t>
      </w:r>
    </w:p>
    <w:p w:rsidR="008D107F" w:rsidRPr="00DE79DE" w:rsidRDefault="008D107F" w:rsidP="006550A8">
      <w:pPr>
        <w:pStyle w:val="ListBullet"/>
      </w:pPr>
      <w:r w:rsidRPr="00704349">
        <w:rPr>
          <w:i/>
          <w:iCs/>
        </w:rPr>
        <w:t>Treatment compliance</w:t>
      </w:r>
      <w:r w:rsidRPr="00DE79DE">
        <w:t xml:space="preserve"> - Study drug compliance (i.e. IUS location) was verified by ultrasound at all visits after insertion. The woman was considered compliant with the study treatment if the IUS was located in the fundal position or was displaced but still completely within the uterine cavity. In addition, the presence of the removal thr</w:t>
      </w:r>
      <w:r w:rsidR="006550A8">
        <w:t>eads was checked at each visit.</w:t>
      </w:r>
    </w:p>
    <w:p w:rsidR="008D107F" w:rsidRPr="00DE79DE" w:rsidRDefault="008D107F" w:rsidP="006550A8">
      <w:pPr>
        <w:pStyle w:val="ListBullet"/>
      </w:pPr>
      <w:r w:rsidRPr="00DE79DE">
        <w:lastRenderedPageBreak/>
        <w:t xml:space="preserve">If the IUS was partially or totally expelled or if it had perforated the cervix or the body of the uterus during the treatment </w:t>
      </w:r>
      <w:r w:rsidRPr="006550A8">
        <w:t>period</w:t>
      </w:r>
      <w:r w:rsidRPr="00DE79DE">
        <w:t xml:space="preserve"> the woman was withdrawn from the study. Expulsions were counted but only some were reported as an AE.</w:t>
      </w:r>
    </w:p>
    <w:p w:rsidR="008D107F" w:rsidRPr="00DE79DE" w:rsidRDefault="008D107F" w:rsidP="006550A8">
      <w:pPr>
        <w:pStyle w:val="ListBullet"/>
      </w:pPr>
      <w:r w:rsidRPr="00704349">
        <w:rPr>
          <w:i/>
          <w:iCs/>
        </w:rPr>
        <w:t>Return to fertility</w:t>
      </w:r>
      <w:r w:rsidRPr="00DE79DE">
        <w:t xml:space="preserve">- the time to </w:t>
      </w:r>
      <w:r w:rsidRPr="006550A8">
        <w:t>return</w:t>
      </w:r>
      <w:r w:rsidRPr="00DE79DE">
        <w:t xml:space="preserve">-to-fertility was followed for up to a year in all women who discontinued treatment because of wish for pregnancy. Women were instructed to contact the study site if they became pregnant within 3 months after their end of study visit (all women in both studies). In study A52238 all women were contacted by the sites 3 months after the end of study treatment. Women who had discontinued the study because of a wish for pregnancy were to be contacted by the study site 12 months after the end study treatment (ongoing at the time of the submission). All women in study A46796 were to be contacted by the study site at 3 and 12 months after the end study treatment to gather information </w:t>
      </w:r>
      <w:r w:rsidR="006550A8">
        <w:t>on after treatment pregnancies.</w:t>
      </w:r>
    </w:p>
    <w:p w:rsidR="008D107F" w:rsidRPr="00DE79DE" w:rsidRDefault="008D107F" w:rsidP="006550A8">
      <w:pPr>
        <w:pStyle w:val="ListBullet"/>
      </w:pPr>
      <w:r w:rsidRPr="00704349">
        <w:rPr>
          <w:i/>
          <w:iCs/>
        </w:rPr>
        <w:t xml:space="preserve">User satisfaction </w:t>
      </w:r>
      <w:proofErr w:type="gramStart"/>
      <w:r w:rsidRPr="00704349">
        <w:rPr>
          <w:i/>
          <w:iCs/>
        </w:rPr>
        <w:t>questionnaire</w:t>
      </w:r>
      <w:r w:rsidRPr="00DE79DE">
        <w:t xml:space="preserve">  -</w:t>
      </w:r>
      <w:proofErr w:type="gramEnd"/>
      <w:r w:rsidRPr="00DE79DE">
        <w:t xml:space="preserve"> User </w:t>
      </w:r>
      <w:r w:rsidRPr="006550A8">
        <w:t>satisfaction</w:t>
      </w:r>
      <w:r w:rsidRPr="00DE79DE">
        <w:t xml:space="preserve"> was evaluated only in the pivotal study A52238 (after implementation of protocol amendment 3). Women were asked to fill in user satisfaction questionnaires at the end-of-study visit. The degree of user satisfaction was assessed in eight </w:t>
      </w:r>
      <w:r w:rsidR="006550A8">
        <w:t>questions.</w:t>
      </w:r>
    </w:p>
    <w:p w:rsidR="008D107F" w:rsidRPr="00DE79DE" w:rsidRDefault="008D107F" w:rsidP="006550A8">
      <w:pPr>
        <w:pStyle w:val="Heading6"/>
      </w:pPr>
      <w:r w:rsidRPr="006550A8">
        <w:t>Randomisation</w:t>
      </w:r>
      <w:r w:rsidRPr="00DE79DE">
        <w:t xml:space="preserve"> and blinding methods</w:t>
      </w:r>
    </w:p>
    <w:p w:rsidR="008D107F" w:rsidRPr="00DE79DE" w:rsidRDefault="008D107F" w:rsidP="006550A8">
      <w:r w:rsidRPr="00DE79DE">
        <w:t>For study A46796, randomisation was undertaken using a computer generated code (global biostatistics). For study A52238, randomisation was undertaken using a computer generated code (global biostatistics).</w:t>
      </w:r>
    </w:p>
    <w:p w:rsidR="008D107F" w:rsidRPr="00DE79DE" w:rsidRDefault="008D107F" w:rsidP="006550A8">
      <w:r w:rsidRPr="00DE79DE">
        <w:t>A46796. Although in the study report it states that “the study was not blinded” (page 34 of study report), as the subjects were not aware of which IUS they had the study is technic</w:t>
      </w:r>
      <w:r w:rsidR="00641945">
        <w:t>ally single blind.</w:t>
      </w:r>
    </w:p>
    <w:p w:rsidR="008D107F" w:rsidRPr="00DE79DE" w:rsidRDefault="008D107F" w:rsidP="006550A8">
      <w:r w:rsidRPr="00DE79DE">
        <w:t>A52238. The study was open, however all evaluators</w:t>
      </w:r>
      <w:r w:rsidR="00641945">
        <w:t xml:space="preserve"> of efficacy and safety apart f</w:t>
      </w:r>
      <w:r w:rsidRPr="00DE79DE">
        <w:t>r</w:t>
      </w:r>
      <w:r w:rsidR="00641945">
        <w:t>o</w:t>
      </w:r>
      <w:r w:rsidRPr="00DE79DE">
        <w:t>m the investigators and study nurses were to be blinded. The allocated treatment was not be revealed to the patient prior to the completion of the study.</w:t>
      </w:r>
    </w:p>
    <w:p w:rsidR="008D107F" w:rsidRPr="00DE79DE" w:rsidRDefault="008D107F" w:rsidP="006550A8">
      <w:r w:rsidRPr="00DE79DE">
        <w:t xml:space="preserve">For the supportive 10982 (A </w:t>
      </w:r>
      <w:proofErr w:type="spellStart"/>
      <w:r w:rsidRPr="00DE79DE">
        <w:t>Multicenter</w:t>
      </w:r>
      <w:proofErr w:type="spellEnd"/>
      <w:r w:rsidRPr="00DE79DE">
        <w:t>, Open-Label, Non-Randomized Study of SH G 00650 (</w:t>
      </w:r>
      <w:proofErr w:type="spellStart"/>
      <w:r w:rsidRPr="00DE79DE">
        <w:t>Mirena</w:t>
      </w:r>
      <w:proofErr w:type="spellEnd"/>
      <w:r w:rsidRPr="00DE79DE">
        <w:t xml:space="preserve">) A </w:t>
      </w:r>
      <w:proofErr w:type="spellStart"/>
      <w:r w:rsidRPr="00DE79DE">
        <w:t>Levonorgestrel</w:t>
      </w:r>
      <w:proofErr w:type="spellEnd"/>
      <w:r w:rsidRPr="00DE79DE">
        <w:t xml:space="preserve"> Intrauterine System) in </w:t>
      </w:r>
      <w:proofErr w:type="spellStart"/>
      <w:r w:rsidRPr="00DE79DE">
        <w:t>Parous</w:t>
      </w:r>
      <w:proofErr w:type="spellEnd"/>
      <w:r w:rsidRPr="00DE79DE">
        <w:t xml:space="preserve"> Women Seeking Contraception to Evaluate its Efficacy, Safety, and Pharmacokinetic Profile When Inserted for 12 months) there was no randomisation, however this was a study of a higher dose and longer insertion time of LNG. This was not re-evaluated.</w:t>
      </w:r>
    </w:p>
    <w:p w:rsidR="008D107F" w:rsidRPr="00DE79DE" w:rsidRDefault="008D107F" w:rsidP="006550A8">
      <w:pPr>
        <w:pStyle w:val="Heading6"/>
      </w:pPr>
      <w:r w:rsidRPr="00DE79DE">
        <w:t>Analysis populations</w:t>
      </w:r>
    </w:p>
    <w:p w:rsidR="008D107F" w:rsidRPr="00DE79DE" w:rsidRDefault="008D107F" w:rsidP="006550A8">
      <w:r w:rsidRPr="00DE79DE">
        <w:t>The full analysis set (FAS) was defined as including all women for whom the IUS was inserted or the insertion of an IUS was attempted, according to the treatment actually received.  The FAS is identical for the efficacy and safety assessment.</w:t>
      </w:r>
    </w:p>
    <w:p w:rsidR="008D107F" w:rsidRPr="00DE79DE" w:rsidDel="0081373E" w:rsidRDefault="008D107F" w:rsidP="006550A8">
      <w:pPr>
        <w:pStyle w:val="Heading6"/>
      </w:pPr>
      <w:r w:rsidRPr="00DE79DE" w:rsidDel="0081373E">
        <w:t>Sample size</w:t>
      </w:r>
    </w:p>
    <w:p w:rsidR="008D107F" w:rsidRPr="006550A8" w:rsidRDefault="008D107F" w:rsidP="006550A8">
      <w:pPr>
        <w:pStyle w:val="ListBullet"/>
        <w:rPr>
          <w:b/>
        </w:rPr>
      </w:pPr>
      <w:r w:rsidRPr="006550A8">
        <w:rPr>
          <w:b/>
        </w:rPr>
        <w:t>A46796</w:t>
      </w:r>
    </w:p>
    <w:p w:rsidR="008D107F" w:rsidRPr="00DE79DE" w:rsidRDefault="008D107F" w:rsidP="006550A8">
      <w:r w:rsidRPr="00DE79DE">
        <w:t xml:space="preserve">This was a dose-controlled, 3-arm, parallel group, phase II dose-finding study. Two doses of IUS administered LNG: 12 and 16 </w:t>
      </w:r>
      <w:proofErr w:type="spellStart"/>
      <w:r w:rsidRPr="00DE79DE">
        <w:t>μg</w:t>
      </w:r>
      <w:proofErr w:type="spellEnd"/>
      <w:r w:rsidRPr="00DE79DE">
        <w:t xml:space="preserve"> per day and compared to MIRENA (20 </w:t>
      </w:r>
      <w:proofErr w:type="spellStart"/>
      <w:r w:rsidRPr="00DE79DE">
        <w:t>μg</w:t>
      </w:r>
      <w:proofErr w:type="spellEnd"/>
      <w:r w:rsidRPr="00DE79DE">
        <w:t xml:space="preserve"> LNG per day). The sample size was designed to rule out an ‘unacceptable’ pregnancy rate in the study arm and to rule out treatment failure, as to show non-inferiority against MIRENA, using as an endpoint a PI initially set at 0.2 per 100 woman years, 1000 women would hav</w:t>
      </w:r>
      <w:r w:rsidR="003C1BA2">
        <w:t xml:space="preserve">e been needed in the LCS12 arm. </w:t>
      </w:r>
      <w:r w:rsidRPr="00DE79DE">
        <w:t xml:space="preserve"> In summary, a total of 690 generally healthy 21 to 40-year old fertile women in need of contraception were thus planned to be randomised to 3 equal-sized treatment arms of 230 women each. Actually 742 women were randomised and a total of 738 women were included in the FAS: 239 women in the LCS12 group, 245 women in the LCS16 group and 254 women in the </w:t>
      </w:r>
      <w:proofErr w:type="spellStart"/>
      <w:r w:rsidRPr="00DE79DE">
        <w:t>Mirena</w:t>
      </w:r>
      <w:proofErr w:type="spellEnd"/>
      <w:r w:rsidRPr="00DE79DE">
        <w:t xml:space="preserve"> group.</w:t>
      </w:r>
    </w:p>
    <w:p w:rsidR="008D107F" w:rsidRPr="00DE79DE" w:rsidRDefault="008D107F" w:rsidP="00C75BA5">
      <w:r w:rsidRPr="00DE79DE">
        <w:lastRenderedPageBreak/>
        <w:t xml:space="preserve">Exposure: The mean treatment duration was 915 days or 2.51 </w:t>
      </w:r>
      <w:proofErr w:type="spellStart"/>
      <w:r w:rsidRPr="00DE79DE">
        <w:t>wy</w:t>
      </w:r>
      <w:proofErr w:type="spellEnd"/>
      <w:r w:rsidRPr="00DE79DE">
        <w:t xml:space="preserve"> in the LCS12 group, 912 days or 2.50 </w:t>
      </w:r>
      <w:proofErr w:type="spellStart"/>
      <w:r w:rsidRPr="00DE79DE">
        <w:t>wy</w:t>
      </w:r>
      <w:proofErr w:type="spellEnd"/>
      <w:r w:rsidRPr="00DE79DE">
        <w:t xml:space="preserve"> in the LCS16 group, and 895 days or 2.45 </w:t>
      </w:r>
      <w:proofErr w:type="spellStart"/>
      <w:r w:rsidRPr="00DE79DE">
        <w:t>wy</w:t>
      </w:r>
      <w:proofErr w:type="spellEnd"/>
      <w:r w:rsidRPr="00DE79DE">
        <w:t xml:space="preserve"> in the </w:t>
      </w:r>
      <w:proofErr w:type="spellStart"/>
      <w:r w:rsidRPr="00DE79DE">
        <w:t>Mirena</w:t>
      </w:r>
      <w:proofErr w:type="spellEnd"/>
      <w:r w:rsidRPr="00DE79DE">
        <w:t xml:space="preserve"> group. For the pooled population across the two studies, the cumulative treatment exposure for women on LCS12 was 1488 </w:t>
      </w:r>
      <w:proofErr w:type="spellStart"/>
      <w:r w:rsidRPr="00DE79DE">
        <w:t>wy</w:t>
      </w:r>
      <w:proofErr w:type="spellEnd"/>
      <w:r w:rsidRPr="00DE79DE">
        <w:t xml:space="preserve"> for the first year, and 3779 </w:t>
      </w:r>
      <w:proofErr w:type="spellStart"/>
      <w:r w:rsidRPr="00DE79DE">
        <w:t>wy</w:t>
      </w:r>
      <w:proofErr w:type="spellEnd"/>
      <w:r w:rsidRPr="00DE79DE">
        <w:t xml:space="preserve"> at three years of treatment. The cumulative exposure for LCS16 was very similar to that for LCS12, but it was shorter in the </w:t>
      </w:r>
      <w:proofErr w:type="spellStart"/>
      <w:r w:rsidRPr="00DE79DE">
        <w:t>Mirena</w:t>
      </w:r>
      <w:proofErr w:type="spellEnd"/>
      <w:r w:rsidRPr="00DE79DE">
        <w:t xml:space="preserve"> group (first year: 236 </w:t>
      </w:r>
      <w:proofErr w:type="spellStart"/>
      <w:r w:rsidRPr="00DE79DE">
        <w:t>wy</w:t>
      </w:r>
      <w:proofErr w:type="spellEnd"/>
      <w:r w:rsidRPr="00DE79DE">
        <w:t xml:space="preserve">; three years: 619 </w:t>
      </w:r>
      <w:proofErr w:type="spellStart"/>
      <w:r w:rsidRPr="00DE79DE">
        <w:t>wy</w:t>
      </w:r>
      <w:proofErr w:type="spellEnd"/>
      <w:r w:rsidRPr="00DE79DE">
        <w:t>)</w:t>
      </w:r>
      <w:proofErr w:type="gramStart"/>
      <w:r w:rsidRPr="00DE79DE">
        <w:t>..</w:t>
      </w:r>
      <w:proofErr w:type="gramEnd"/>
      <w:r w:rsidRPr="00DE79DE">
        <w:t xml:space="preserve"> Based on the pooled analysis, a trend toward shorter mean exposure time was seen for younger and nulliparous women. On average, the mean exposure for women on LCS12 in the youngest age group or nulliparous group was approximately 60 or 40 days shorter when comp</w:t>
      </w:r>
      <w:r w:rsidR="00C75BA5">
        <w:t>ared to the overall population.</w:t>
      </w:r>
    </w:p>
    <w:p w:rsidR="008D107F" w:rsidRPr="00DE79DE" w:rsidRDefault="008D107F" w:rsidP="00C75BA5">
      <w:r w:rsidRPr="00DE79DE">
        <w:t>The following subsets of the study population were defined for the analysis</w:t>
      </w:r>
    </w:p>
    <w:p w:rsidR="008D107F" w:rsidRPr="00DE79DE" w:rsidRDefault="008D107F" w:rsidP="00C75BA5">
      <w:pPr>
        <w:pStyle w:val="ListBullet"/>
      </w:pPr>
      <w:r w:rsidRPr="00DE79DE">
        <w:t>Subset 1: Ovarian and cervical function (studied in 60 subjects, 20 per treatment arm)</w:t>
      </w:r>
    </w:p>
    <w:p w:rsidR="008D107F" w:rsidRPr="00DE79DE" w:rsidRDefault="008D107F" w:rsidP="00C75BA5">
      <w:pPr>
        <w:pStyle w:val="ListBullet"/>
      </w:pPr>
      <w:r w:rsidRPr="00DE79DE">
        <w:t xml:space="preserve">Subset 2: Endometrial histology (studied in 90 </w:t>
      </w:r>
      <w:r w:rsidRPr="00C75BA5">
        <w:t>subjects</w:t>
      </w:r>
      <w:r w:rsidRPr="00DE79DE">
        <w:t>, 30 per treatment arm)</w:t>
      </w:r>
    </w:p>
    <w:p w:rsidR="008D107F" w:rsidRPr="00DE79DE" w:rsidRDefault="008D107F" w:rsidP="003C1BA2">
      <w:pPr>
        <w:pStyle w:val="ListBullet"/>
      </w:pPr>
      <w:r w:rsidRPr="00DE79DE">
        <w:t>Subset 3: Pharmacokinetics (studied in 36 subjects, 12 per treatment arm) – already discussed in Section 4.1</w:t>
      </w:r>
    </w:p>
    <w:p w:rsidR="008D107F" w:rsidRPr="00DE79DE" w:rsidRDefault="008D107F" w:rsidP="00C75BA5">
      <w:r w:rsidRPr="00DE79DE">
        <w:t xml:space="preserve">Time points for data collection are screening, baseline, months 1, 6, 12, 18, 24, </w:t>
      </w:r>
      <w:r w:rsidR="00C75BA5">
        <w:t>30 and 36 (end-of-study visit).</w:t>
      </w:r>
    </w:p>
    <w:p w:rsidR="008D107F" w:rsidRPr="00DE79DE" w:rsidRDefault="008D107F" w:rsidP="00C75BA5">
      <w:r w:rsidRPr="00DE79DE">
        <w:t>All tabulations, listings, graphs and analy</w:t>
      </w:r>
      <w:r w:rsidR="000A2760">
        <w:t>ses were undertaken using SAS</w:t>
      </w:r>
      <w:r w:rsidRPr="00DE79DE">
        <w:t xml:space="preserve"> in the currently available production environment at Bayer Schering </w:t>
      </w:r>
      <w:proofErr w:type="spellStart"/>
      <w:r w:rsidRPr="00DE79DE">
        <w:t>Pharma</w:t>
      </w:r>
      <w:proofErr w:type="spellEnd"/>
      <w:r w:rsidRPr="00DE79DE">
        <w:t>.</w:t>
      </w:r>
    </w:p>
    <w:p w:rsidR="008D107F" w:rsidRPr="00C75BA5" w:rsidRDefault="008D107F" w:rsidP="00C75BA5">
      <w:pPr>
        <w:pStyle w:val="ListBullet"/>
        <w:rPr>
          <w:b/>
        </w:rPr>
      </w:pPr>
      <w:r w:rsidRPr="00C75BA5">
        <w:rPr>
          <w:b/>
        </w:rPr>
        <w:t>A52238</w:t>
      </w:r>
    </w:p>
    <w:p w:rsidR="008D107F" w:rsidRPr="00DE79DE" w:rsidRDefault="008D107F" w:rsidP="00C75BA5">
      <w:r w:rsidRPr="00DE79DE">
        <w:t>This was a multi-</w:t>
      </w:r>
      <w:proofErr w:type="spellStart"/>
      <w:r w:rsidRPr="00DE79DE">
        <w:t>center</w:t>
      </w:r>
      <w:proofErr w:type="spellEnd"/>
      <w:r w:rsidRPr="00DE79DE">
        <w:t xml:space="preserve">, randomized, open-label, 2-arm, parallel-group phase 3 study. Two doses of </w:t>
      </w:r>
      <w:proofErr w:type="spellStart"/>
      <w:r w:rsidRPr="00DE79DE">
        <w:t>levonorgestrel</w:t>
      </w:r>
      <w:proofErr w:type="spellEnd"/>
      <w:r w:rsidRPr="00DE79DE">
        <w:t xml:space="preserve"> 12 </w:t>
      </w:r>
      <w:proofErr w:type="spellStart"/>
      <w:r w:rsidRPr="00DE79DE">
        <w:t>μg</w:t>
      </w:r>
      <w:proofErr w:type="spellEnd"/>
      <w:r w:rsidRPr="00DE79DE">
        <w:t xml:space="preserve"> and 16 </w:t>
      </w:r>
      <w:proofErr w:type="spellStart"/>
      <w:r w:rsidRPr="00DE79DE">
        <w:t>μg</w:t>
      </w:r>
      <w:proofErr w:type="spellEnd"/>
      <w:r w:rsidRPr="00DE79DE">
        <w:t xml:space="preserve"> per day, administered via an IUD were studied. There was no control group. The LCS 12 </w:t>
      </w:r>
      <w:proofErr w:type="spellStart"/>
      <w:r w:rsidRPr="00DE79DE">
        <w:t>μg</w:t>
      </w:r>
      <w:proofErr w:type="spellEnd"/>
      <w:r w:rsidRPr="00DE79DE">
        <w:t xml:space="preserve"> was continued for up to 3 years and the 16</w:t>
      </w:r>
      <w:r w:rsidR="003C1BA2">
        <w:t xml:space="preserve"> </w:t>
      </w:r>
      <w:proofErr w:type="spellStart"/>
      <w:r w:rsidRPr="00DE79DE">
        <w:t>μg</w:t>
      </w:r>
      <w:proofErr w:type="spellEnd"/>
      <w:r w:rsidRPr="00DE79DE">
        <w:t xml:space="preserve"> treatment arm was continued for up to 5 years.</w:t>
      </w:r>
    </w:p>
    <w:p w:rsidR="008D107F" w:rsidRPr="00DE79DE" w:rsidRDefault="008D107F" w:rsidP="00C75BA5">
      <w:r w:rsidRPr="00DE79DE">
        <w:t>It was planned that a total of 2820 generally healthy women 18 to 35 years of age desiring contraception would be randomised to 2 equal-sized treatment arms (1410 subjects per dose).  In fact, a total of 2884 women with an insertion attempt were included in the FAS, with 1432 women on</w:t>
      </w:r>
      <w:r w:rsidR="00C75BA5">
        <w:t xml:space="preserve"> LCS12 and 1452 women on LCS16.</w:t>
      </w:r>
    </w:p>
    <w:p w:rsidR="008D107F" w:rsidRPr="00DE79DE" w:rsidRDefault="008D107F" w:rsidP="00C75BA5">
      <w:r w:rsidRPr="00DE79DE">
        <w:t xml:space="preserve">It was planned a priori that additional variables would be studied in 4 subsets in pre-selected </w:t>
      </w:r>
      <w:proofErr w:type="spellStart"/>
      <w:r w:rsidRPr="00DE79DE">
        <w:t>centers</w:t>
      </w:r>
      <w:proofErr w:type="spellEnd"/>
      <w:r w:rsidRPr="00DE79DE">
        <w:t>. These subsets were:</w:t>
      </w:r>
    </w:p>
    <w:p w:rsidR="008D107F" w:rsidRPr="00DE79DE" w:rsidRDefault="008D107F" w:rsidP="00C75BA5">
      <w:pPr>
        <w:pStyle w:val="ListBullet"/>
      </w:pPr>
      <w:r w:rsidRPr="00DE79DE">
        <w:t xml:space="preserve">Subset 1 (S1): Ovarian and cervical </w:t>
      </w:r>
      <w:r w:rsidRPr="00C75BA5">
        <w:t>function</w:t>
      </w:r>
      <w:r w:rsidRPr="00DE79DE">
        <w:t xml:space="preserve"> studied in 40 subjects (20 per treatment arm)</w:t>
      </w:r>
    </w:p>
    <w:p w:rsidR="008D107F" w:rsidRPr="00DE79DE" w:rsidRDefault="008D107F" w:rsidP="00C75BA5">
      <w:pPr>
        <w:pStyle w:val="ListBullet"/>
      </w:pPr>
      <w:r w:rsidRPr="00DE79DE">
        <w:t xml:space="preserve">Subsets 2A (S2A) and 2B (S2B): </w:t>
      </w:r>
      <w:r w:rsidRPr="00C75BA5">
        <w:t>Endometrial</w:t>
      </w:r>
      <w:r w:rsidRPr="00DE79DE">
        <w:t xml:space="preserve"> histology studied in 60 subjects (30 per treatment arm) (S2A), and assessment of haemostatic factors (S2B) (same 60 subjects)</w:t>
      </w:r>
    </w:p>
    <w:p w:rsidR="008D107F" w:rsidRPr="00DE79DE" w:rsidRDefault="008D107F" w:rsidP="00C75BA5">
      <w:pPr>
        <w:pStyle w:val="ListBullet"/>
      </w:pPr>
      <w:r w:rsidRPr="00DE79DE">
        <w:t xml:space="preserve">Subset 3 (S3): Detailed pharmacokinetics </w:t>
      </w:r>
      <w:r w:rsidRPr="00C75BA5">
        <w:t>studied</w:t>
      </w:r>
      <w:r w:rsidRPr="00DE79DE">
        <w:t xml:space="preserve"> and serum silver ion concentration in 24 subjects (12 per treatment arm)</w:t>
      </w:r>
    </w:p>
    <w:p w:rsidR="008D107F" w:rsidRPr="00DE79DE" w:rsidRDefault="008D107F" w:rsidP="00C75BA5">
      <w:pPr>
        <w:pStyle w:val="ListBullet"/>
      </w:pPr>
      <w:r w:rsidRPr="00DE79DE">
        <w:t>Subset 4 (S4): Bone mineral density (BMD) studied in 200 subjects (100 per treatment arm)</w:t>
      </w:r>
    </w:p>
    <w:p w:rsidR="008D107F" w:rsidRPr="00DE79DE" w:rsidRDefault="008D107F" w:rsidP="00C75BA5">
      <w:r w:rsidRPr="00DE79DE">
        <w:t>It should be noted that the Full analysis set (FAS) includes all subjects randomised who received treatment (had at least one insertion attempt, even if unsuccessful), using the treatment actually received. All safety and efficacy evaluat</w:t>
      </w:r>
      <w:r w:rsidR="00C75BA5">
        <w:t>ions were conducted on the FAS.</w:t>
      </w:r>
    </w:p>
    <w:p w:rsidR="008D107F" w:rsidRPr="00DE79DE" w:rsidRDefault="008D107F" w:rsidP="00C75BA5">
      <w:r w:rsidRPr="00843726">
        <w:rPr>
          <w:b/>
          <w:bCs/>
        </w:rPr>
        <w:t>Exposure:</w:t>
      </w:r>
      <w:r w:rsidRPr="00DE79DE">
        <w:t xml:space="preserve"> The mean treatment duration for the LCS12 group was 821 days or 2.25 women years (</w:t>
      </w:r>
      <w:proofErr w:type="spellStart"/>
      <w:r w:rsidRPr="00DE79DE">
        <w:t>wy</w:t>
      </w:r>
      <w:proofErr w:type="spellEnd"/>
      <w:r w:rsidRPr="00DE79DE">
        <w:t xml:space="preserve">) and 843 days </w:t>
      </w:r>
      <w:r w:rsidR="00C75BA5">
        <w:t xml:space="preserve">or 2.31 </w:t>
      </w:r>
      <w:proofErr w:type="spellStart"/>
      <w:r w:rsidR="00C75BA5">
        <w:t>wy</w:t>
      </w:r>
      <w:proofErr w:type="spellEnd"/>
      <w:r w:rsidR="00C75BA5">
        <w:t xml:space="preserve"> for the LCS16 group.</w:t>
      </w:r>
    </w:p>
    <w:p w:rsidR="008D107F" w:rsidRPr="00DE79DE" w:rsidRDefault="008D107F" w:rsidP="00C75BA5">
      <w:pPr>
        <w:pStyle w:val="Heading6"/>
      </w:pPr>
      <w:r w:rsidRPr="00DE79DE">
        <w:t>Statistical methods</w:t>
      </w:r>
    </w:p>
    <w:p w:rsidR="008D107F" w:rsidRPr="00DE79DE" w:rsidRDefault="00C75BA5" w:rsidP="00C75BA5">
      <w:r>
        <w:t>There were 3 datasets</w:t>
      </w:r>
    </w:p>
    <w:p w:rsidR="008D107F" w:rsidRPr="00DE79DE" w:rsidRDefault="008D107F" w:rsidP="00832489">
      <w:pPr>
        <w:pStyle w:val="Numberbullet0"/>
        <w:ind w:left="426" w:hanging="284"/>
      </w:pPr>
      <w:r w:rsidRPr="00DE79DE">
        <w:t xml:space="preserve">FAS – For A46796; this analysis set included all randomised subjects who had a successful insertion and it was analysed according to the treatment actually received. For A52238 and </w:t>
      </w:r>
      <w:r w:rsidRPr="00DE79DE">
        <w:lastRenderedPageBreak/>
        <w:t xml:space="preserve">the pooled analysis, all randomised women with a successful or </w:t>
      </w:r>
      <w:proofErr w:type="spellStart"/>
      <w:r w:rsidRPr="00DE79DE">
        <w:t>non successful</w:t>
      </w:r>
      <w:proofErr w:type="spellEnd"/>
      <w:r w:rsidRPr="00DE79DE">
        <w:t xml:space="preserve"> insertion were included in the FAS, which was the set used for all sa</w:t>
      </w:r>
      <w:r w:rsidR="00C75BA5">
        <w:t>fety and efficacy analyses.</w:t>
      </w:r>
    </w:p>
    <w:p w:rsidR="008D107F" w:rsidRPr="00DE79DE" w:rsidRDefault="008D107F" w:rsidP="00832489">
      <w:pPr>
        <w:pStyle w:val="Numberbullet0"/>
        <w:ind w:left="426" w:hanging="284"/>
      </w:pPr>
      <w:r w:rsidRPr="00DE79DE">
        <w:t>Per Protocol set (PPS)</w:t>
      </w:r>
    </w:p>
    <w:p w:rsidR="008D107F" w:rsidRPr="00DE79DE" w:rsidRDefault="008D107F" w:rsidP="00C75BA5">
      <w:r w:rsidRPr="00DE79DE">
        <w:t>For A46796, the PPS (in the study protocol called ‘valid case analysis set’) applied to the primary efficacy variable (i.e. the PI). A subject was excluded from the PPS for the following reasons:</w:t>
      </w:r>
    </w:p>
    <w:p w:rsidR="008D107F" w:rsidRPr="00DE79DE" w:rsidRDefault="008D107F" w:rsidP="00832489">
      <w:pPr>
        <w:pStyle w:val="ListBullet"/>
      </w:pPr>
      <w:r w:rsidRPr="00DE79DE">
        <w:t xml:space="preserve">use of another </w:t>
      </w:r>
      <w:r w:rsidRPr="00832489">
        <w:t>experimental</w:t>
      </w:r>
      <w:r w:rsidRPr="00DE79DE">
        <w:t xml:space="preserve"> drug</w:t>
      </w:r>
    </w:p>
    <w:p w:rsidR="008D107F" w:rsidRPr="00DE79DE" w:rsidRDefault="008D107F" w:rsidP="00832489">
      <w:pPr>
        <w:pStyle w:val="ListBullet"/>
      </w:pPr>
      <w:r w:rsidRPr="00DE79DE">
        <w:t xml:space="preserve">other major protocol </w:t>
      </w:r>
      <w:r w:rsidRPr="00832489">
        <w:t>deviation</w:t>
      </w:r>
      <w:r w:rsidRPr="00DE79DE">
        <w:t xml:space="preserve"> present</w:t>
      </w:r>
    </w:p>
    <w:p w:rsidR="008D107F" w:rsidRPr="00DE79DE" w:rsidRDefault="008D107F" w:rsidP="00832489">
      <w:r w:rsidRPr="00DE79DE">
        <w:t>However in the analyses, the FAS and the PPS were identical.</w:t>
      </w:r>
    </w:p>
    <w:p w:rsidR="008D107F" w:rsidRPr="00DE79DE" w:rsidRDefault="008D107F" w:rsidP="00832489">
      <w:r w:rsidRPr="00DE79DE">
        <w:t>There was no PPS in the A52238.</w:t>
      </w:r>
    </w:p>
    <w:p w:rsidR="008D107F" w:rsidRPr="00DE79DE" w:rsidRDefault="008D107F" w:rsidP="00832489">
      <w:pPr>
        <w:pStyle w:val="Numberbullet0"/>
        <w:ind w:left="426" w:hanging="188"/>
      </w:pPr>
      <w:r w:rsidRPr="00DE79DE">
        <w:t>Safety analysis set (</w:t>
      </w:r>
      <w:proofErr w:type="spellStart"/>
      <w:r w:rsidRPr="00DE79DE">
        <w:t>SafetyAS</w:t>
      </w:r>
      <w:proofErr w:type="spellEnd"/>
      <w:r w:rsidRPr="00DE79DE">
        <w:t>)</w:t>
      </w:r>
    </w:p>
    <w:p w:rsidR="008D107F" w:rsidRPr="00DE79DE" w:rsidRDefault="008D107F" w:rsidP="00832489">
      <w:r w:rsidRPr="00DE79DE">
        <w:t>No safety dataset was defined as FAS was used for safety analysis.</w:t>
      </w:r>
    </w:p>
    <w:p w:rsidR="008D107F" w:rsidRPr="00DE79DE" w:rsidRDefault="008D107F" w:rsidP="00832489">
      <w:pPr>
        <w:pStyle w:val="Heading6"/>
      </w:pPr>
      <w:r w:rsidRPr="00DE79DE">
        <w:t xml:space="preserve">Participant flow </w:t>
      </w:r>
    </w:p>
    <w:p w:rsidR="008D107F" w:rsidRPr="00832489" w:rsidRDefault="008D107F" w:rsidP="00832489">
      <w:pPr>
        <w:pStyle w:val="ListBullet"/>
        <w:rPr>
          <w:b/>
        </w:rPr>
      </w:pPr>
      <w:r w:rsidRPr="00832489">
        <w:rPr>
          <w:b/>
        </w:rPr>
        <w:t>S</w:t>
      </w:r>
      <w:r w:rsidR="003C1BA2" w:rsidRPr="00832489">
        <w:rPr>
          <w:b/>
        </w:rPr>
        <w:t xml:space="preserve">tudy </w:t>
      </w:r>
      <w:r w:rsidRPr="00832489">
        <w:rPr>
          <w:b/>
        </w:rPr>
        <w:t>A46796</w:t>
      </w:r>
    </w:p>
    <w:p w:rsidR="008D107F" w:rsidRPr="00DE79DE" w:rsidRDefault="008D107F" w:rsidP="00832489">
      <w:r w:rsidRPr="00DE79DE">
        <w:t xml:space="preserve">742 randomised to LCS12 (240), LCS16 (246) and </w:t>
      </w:r>
      <w:proofErr w:type="spellStart"/>
      <w:r w:rsidRPr="00DE79DE">
        <w:t>Mirena</w:t>
      </w:r>
      <w:proofErr w:type="spellEnd"/>
      <w:r w:rsidRPr="00DE79DE">
        <w:t xml:space="preserve"> (256) respectively. In the first year, 1 in LCS12 failed insertion (cervical abnormality), 1 LCS16 failed insertion (technical) and 2 </w:t>
      </w:r>
      <w:proofErr w:type="spellStart"/>
      <w:r w:rsidRPr="00DE79DE">
        <w:t>Mirena</w:t>
      </w:r>
      <w:proofErr w:type="spellEnd"/>
      <w:r w:rsidRPr="00DE79DE">
        <w:t xml:space="preserve"> failed insertion (1 vasovagal, 1 cervical).</w:t>
      </w:r>
    </w:p>
    <w:p w:rsidR="008D107F" w:rsidRPr="00DE79DE" w:rsidRDefault="008D107F" w:rsidP="00832489">
      <w:r w:rsidRPr="00DE79DE">
        <w:t xml:space="preserve">This gave LCS12 239, LCS16 245 and </w:t>
      </w:r>
      <w:proofErr w:type="spellStart"/>
      <w:r w:rsidRPr="00DE79DE">
        <w:t>Mirena</w:t>
      </w:r>
      <w:proofErr w:type="spellEnd"/>
      <w:r w:rsidRPr="00DE79DE">
        <w:t xml:space="preserve"> 254 women who were treated. These were the women included in the FAS, PPS and SAS.</w:t>
      </w:r>
    </w:p>
    <w:p w:rsidR="008D107F" w:rsidRPr="00DE79DE" w:rsidRDefault="008D107F" w:rsidP="00832489">
      <w:r w:rsidRPr="00DE79DE">
        <w:t>Of the 239, 245 and 254 women treated in the three groups, there were 24, 33 and 36 premature discontinuations respectively, primarily for AEs.</w:t>
      </w:r>
    </w:p>
    <w:p w:rsidR="008D107F" w:rsidRPr="00DE79DE" w:rsidRDefault="008D107F" w:rsidP="00832489">
      <w:r w:rsidRPr="00DE79DE">
        <w:t>This gave 215, 212 and 218 women entering Year 2 respectively.</w:t>
      </w:r>
    </w:p>
    <w:p w:rsidR="008D107F" w:rsidRPr="00DE79DE" w:rsidRDefault="008D107F" w:rsidP="00832489">
      <w:proofErr w:type="gramStart"/>
      <w:r w:rsidRPr="00DE79DE">
        <w:t>Then 28, 23 and 25 premature discontinuations respectively in Year 2, primarily for AEs.</w:t>
      </w:r>
      <w:proofErr w:type="gramEnd"/>
    </w:p>
    <w:p w:rsidR="008D107F" w:rsidRPr="00DE79DE" w:rsidRDefault="008D107F" w:rsidP="00832489">
      <w:r w:rsidRPr="00DE79DE">
        <w:t>This gave 187,189, 193 women entering into Year 3 respectively.</w:t>
      </w:r>
    </w:p>
    <w:p w:rsidR="008D107F" w:rsidRPr="00DE79DE" w:rsidRDefault="008D107F" w:rsidP="00832489">
      <w:proofErr w:type="gramStart"/>
      <w:r w:rsidRPr="00DE79DE">
        <w:t>Then 13,</w:t>
      </w:r>
      <w:r w:rsidR="00452DB3">
        <w:t xml:space="preserve"> </w:t>
      </w:r>
      <w:r w:rsidRPr="00DE79DE">
        <w:t>15,</w:t>
      </w:r>
      <w:r w:rsidR="00452DB3">
        <w:t xml:space="preserve"> </w:t>
      </w:r>
      <w:r w:rsidRPr="00DE79DE">
        <w:t xml:space="preserve">11 premature discontinuations respectively in Year 3, primarily AEs and loss to </w:t>
      </w:r>
      <w:proofErr w:type="spellStart"/>
      <w:r w:rsidRPr="00DE79DE">
        <w:t>followup</w:t>
      </w:r>
      <w:proofErr w:type="spellEnd"/>
      <w:r w:rsidRPr="00DE79DE">
        <w:t>.</w:t>
      </w:r>
      <w:proofErr w:type="gramEnd"/>
    </w:p>
    <w:p w:rsidR="008D107F" w:rsidRPr="00DE79DE" w:rsidRDefault="008D107F" w:rsidP="00832489">
      <w:r w:rsidRPr="00DE79DE">
        <w:t>Overall 174,174,182 women completed the study in the three respective arms.</w:t>
      </w:r>
    </w:p>
    <w:p w:rsidR="008D107F" w:rsidRPr="00DE79DE" w:rsidRDefault="003C1BA2" w:rsidP="00832489">
      <w:pPr>
        <w:pStyle w:val="TableTitle"/>
      </w:pPr>
      <w:proofErr w:type="gramStart"/>
      <w:r>
        <w:t>Table 11</w:t>
      </w:r>
      <w:r w:rsidR="00700B3B">
        <w:t>.</w:t>
      </w:r>
      <w:proofErr w:type="gramEnd"/>
      <w:r w:rsidR="00700B3B">
        <w:t xml:space="preserve"> </w:t>
      </w:r>
      <w:r w:rsidR="008D107F" w:rsidRPr="00DE79DE">
        <w:t>Number of premature discontinuations after randomisation, with reasons</w:t>
      </w:r>
    </w:p>
    <w:tbl>
      <w:tblPr>
        <w:tblStyle w:val="TableTGAblue"/>
        <w:tblW w:w="0" w:type="auto"/>
        <w:tblLook w:val="0620" w:firstRow="1" w:lastRow="0" w:firstColumn="0" w:lastColumn="0" w:noHBand="1" w:noVBand="1"/>
      </w:tblPr>
      <w:tblGrid>
        <w:gridCol w:w="1985"/>
        <w:gridCol w:w="1691"/>
        <w:gridCol w:w="1691"/>
        <w:gridCol w:w="1691"/>
        <w:gridCol w:w="1691"/>
      </w:tblGrid>
      <w:tr w:rsidR="008D107F" w:rsidRPr="00700B3B" w:rsidTr="00773551">
        <w:trPr>
          <w:cnfStyle w:val="100000000000" w:firstRow="1" w:lastRow="0" w:firstColumn="0" w:lastColumn="0" w:oddVBand="0" w:evenVBand="0" w:oddHBand="0" w:evenHBand="0" w:firstRowFirstColumn="0" w:firstRowLastColumn="0" w:lastRowFirstColumn="0" w:lastRowLastColumn="0"/>
          <w:tblHeader/>
        </w:trPr>
        <w:tc>
          <w:tcPr>
            <w:tcW w:w="1985" w:type="dxa"/>
          </w:tcPr>
          <w:p w:rsidR="008D107F" w:rsidRPr="00700B3B" w:rsidRDefault="008D107F" w:rsidP="00773551">
            <w:pPr>
              <w:ind w:left="0" w:right="68"/>
            </w:pPr>
          </w:p>
        </w:tc>
        <w:tc>
          <w:tcPr>
            <w:tcW w:w="1691" w:type="dxa"/>
          </w:tcPr>
          <w:p w:rsidR="008D107F" w:rsidRPr="00700B3B" w:rsidRDefault="008D107F" w:rsidP="00773551">
            <w:pPr>
              <w:tabs>
                <w:tab w:val="left" w:pos="1475"/>
              </w:tabs>
              <w:ind w:left="0" w:right="58"/>
            </w:pPr>
            <w:r w:rsidRPr="00700B3B">
              <w:t>LCS12 N=239 (%)</w:t>
            </w:r>
          </w:p>
        </w:tc>
        <w:tc>
          <w:tcPr>
            <w:tcW w:w="1691" w:type="dxa"/>
          </w:tcPr>
          <w:p w:rsidR="008D107F" w:rsidRPr="00700B3B" w:rsidRDefault="008D107F" w:rsidP="00773551">
            <w:pPr>
              <w:tabs>
                <w:tab w:val="left" w:pos="1427"/>
              </w:tabs>
              <w:ind w:left="10" w:right="48"/>
            </w:pPr>
            <w:r w:rsidRPr="00700B3B">
              <w:t>LCS16 N=245 (%)</w:t>
            </w:r>
          </w:p>
        </w:tc>
        <w:tc>
          <w:tcPr>
            <w:tcW w:w="1691" w:type="dxa"/>
          </w:tcPr>
          <w:p w:rsidR="008D107F" w:rsidRPr="00700B3B" w:rsidRDefault="008D107F" w:rsidP="00773551">
            <w:pPr>
              <w:ind w:left="20" w:right="38"/>
            </w:pPr>
            <w:proofErr w:type="spellStart"/>
            <w:r w:rsidRPr="00700B3B">
              <w:t>Mirena</w:t>
            </w:r>
            <w:proofErr w:type="spellEnd"/>
            <w:r w:rsidRPr="00700B3B">
              <w:t xml:space="preserve"> N= 254 (%)</w:t>
            </w:r>
          </w:p>
        </w:tc>
        <w:tc>
          <w:tcPr>
            <w:tcW w:w="1691" w:type="dxa"/>
          </w:tcPr>
          <w:p w:rsidR="003C1BA2" w:rsidRDefault="008D107F" w:rsidP="00773551">
            <w:pPr>
              <w:ind w:left="30" w:right="28"/>
            </w:pPr>
            <w:r w:rsidRPr="00700B3B">
              <w:t>Total = 738</w:t>
            </w:r>
            <w:r w:rsidR="003C1BA2">
              <w:t xml:space="preserve"> </w:t>
            </w:r>
          </w:p>
          <w:p w:rsidR="008D107F" w:rsidRPr="00700B3B" w:rsidRDefault="008D107F" w:rsidP="00773551">
            <w:pPr>
              <w:ind w:left="30" w:right="28"/>
            </w:pPr>
            <w:r w:rsidRPr="00700B3B">
              <w:t>(100%)</w:t>
            </w:r>
          </w:p>
        </w:tc>
      </w:tr>
      <w:tr w:rsidR="008D107F" w:rsidRPr="00700B3B" w:rsidTr="00773551">
        <w:tc>
          <w:tcPr>
            <w:tcW w:w="1985" w:type="dxa"/>
          </w:tcPr>
          <w:p w:rsidR="008D107F" w:rsidRPr="00700B3B" w:rsidRDefault="008D107F" w:rsidP="00773551">
            <w:pPr>
              <w:ind w:left="0" w:right="68"/>
            </w:pPr>
            <w:r w:rsidRPr="00700B3B">
              <w:t>Completed</w:t>
            </w:r>
          </w:p>
        </w:tc>
        <w:tc>
          <w:tcPr>
            <w:tcW w:w="1691" w:type="dxa"/>
          </w:tcPr>
          <w:p w:rsidR="008D107F" w:rsidRPr="00700B3B" w:rsidRDefault="008D107F" w:rsidP="00773551">
            <w:pPr>
              <w:tabs>
                <w:tab w:val="left" w:pos="1475"/>
              </w:tabs>
              <w:ind w:left="0" w:right="58"/>
            </w:pPr>
            <w:r w:rsidRPr="00700B3B">
              <w:t>174 (72.8)</w:t>
            </w:r>
          </w:p>
        </w:tc>
        <w:tc>
          <w:tcPr>
            <w:tcW w:w="1691" w:type="dxa"/>
          </w:tcPr>
          <w:p w:rsidR="008D107F" w:rsidRPr="00700B3B" w:rsidRDefault="008D107F" w:rsidP="00773551">
            <w:pPr>
              <w:tabs>
                <w:tab w:val="left" w:pos="1427"/>
              </w:tabs>
              <w:ind w:left="10" w:right="48"/>
            </w:pPr>
            <w:r w:rsidRPr="00700B3B">
              <w:t>174 (71)</w:t>
            </w:r>
          </w:p>
        </w:tc>
        <w:tc>
          <w:tcPr>
            <w:tcW w:w="1691" w:type="dxa"/>
          </w:tcPr>
          <w:p w:rsidR="008D107F" w:rsidRPr="00700B3B" w:rsidRDefault="008D107F" w:rsidP="00773551">
            <w:pPr>
              <w:ind w:left="20" w:right="38"/>
            </w:pPr>
            <w:r w:rsidRPr="00700B3B">
              <w:t>182 (71.7)</w:t>
            </w:r>
          </w:p>
        </w:tc>
        <w:tc>
          <w:tcPr>
            <w:tcW w:w="1691" w:type="dxa"/>
          </w:tcPr>
          <w:p w:rsidR="008D107F" w:rsidRPr="00700B3B" w:rsidRDefault="008D107F" w:rsidP="00773551">
            <w:pPr>
              <w:ind w:left="30" w:right="28"/>
            </w:pPr>
            <w:r w:rsidRPr="00700B3B">
              <w:t>530 (71.8)</w:t>
            </w:r>
          </w:p>
        </w:tc>
      </w:tr>
      <w:tr w:rsidR="008D107F" w:rsidRPr="00700B3B" w:rsidTr="00773551">
        <w:tc>
          <w:tcPr>
            <w:tcW w:w="1985" w:type="dxa"/>
          </w:tcPr>
          <w:p w:rsidR="008D107F" w:rsidRPr="00700B3B" w:rsidRDefault="008D107F" w:rsidP="00773551">
            <w:pPr>
              <w:ind w:left="0" w:right="68"/>
            </w:pPr>
            <w:r w:rsidRPr="00700B3B">
              <w:t>Prematurely discontinued</w:t>
            </w:r>
          </w:p>
        </w:tc>
        <w:tc>
          <w:tcPr>
            <w:tcW w:w="1691" w:type="dxa"/>
          </w:tcPr>
          <w:p w:rsidR="008D107F" w:rsidRPr="00700B3B" w:rsidRDefault="008D107F" w:rsidP="00773551">
            <w:pPr>
              <w:tabs>
                <w:tab w:val="left" w:pos="1475"/>
              </w:tabs>
              <w:ind w:left="0" w:right="58"/>
            </w:pPr>
            <w:r w:rsidRPr="00700B3B">
              <w:t>65 (27.2)</w:t>
            </w:r>
          </w:p>
        </w:tc>
        <w:tc>
          <w:tcPr>
            <w:tcW w:w="1691" w:type="dxa"/>
          </w:tcPr>
          <w:p w:rsidR="008D107F" w:rsidRPr="00700B3B" w:rsidRDefault="008D107F" w:rsidP="00773551">
            <w:pPr>
              <w:tabs>
                <w:tab w:val="left" w:pos="1427"/>
              </w:tabs>
              <w:ind w:left="10" w:right="48"/>
            </w:pPr>
            <w:r w:rsidRPr="00700B3B">
              <w:t>71 (29)</w:t>
            </w:r>
          </w:p>
        </w:tc>
        <w:tc>
          <w:tcPr>
            <w:tcW w:w="1691" w:type="dxa"/>
          </w:tcPr>
          <w:p w:rsidR="008D107F" w:rsidRPr="00700B3B" w:rsidRDefault="008D107F" w:rsidP="00773551">
            <w:pPr>
              <w:ind w:left="20" w:right="38"/>
            </w:pPr>
            <w:r w:rsidRPr="00700B3B">
              <w:t>72 (28.3)</w:t>
            </w:r>
          </w:p>
        </w:tc>
        <w:tc>
          <w:tcPr>
            <w:tcW w:w="1691" w:type="dxa"/>
          </w:tcPr>
          <w:p w:rsidR="008D107F" w:rsidRPr="00700B3B" w:rsidRDefault="008D107F" w:rsidP="00773551">
            <w:pPr>
              <w:ind w:left="30" w:right="28"/>
            </w:pPr>
            <w:r w:rsidRPr="00700B3B">
              <w:t>208 (28.2)</w:t>
            </w:r>
          </w:p>
        </w:tc>
      </w:tr>
      <w:tr w:rsidR="003C1BA2" w:rsidRPr="00700B3B" w:rsidTr="00773551">
        <w:tc>
          <w:tcPr>
            <w:tcW w:w="8749" w:type="dxa"/>
            <w:gridSpan w:val="5"/>
          </w:tcPr>
          <w:p w:rsidR="003C1BA2" w:rsidRPr="003C1BA2" w:rsidRDefault="003C1BA2" w:rsidP="00773551">
            <w:pPr>
              <w:tabs>
                <w:tab w:val="left" w:pos="1427"/>
                <w:tab w:val="left" w:pos="1475"/>
              </w:tabs>
              <w:ind w:left="30" w:right="28"/>
              <w:rPr>
                <w:bCs/>
              </w:rPr>
            </w:pPr>
            <w:r w:rsidRPr="003C1BA2">
              <w:rPr>
                <w:bCs/>
              </w:rPr>
              <w:t>Reason for discontinuation</w:t>
            </w:r>
          </w:p>
        </w:tc>
      </w:tr>
      <w:tr w:rsidR="008D107F" w:rsidRPr="00700B3B" w:rsidTr="00773551">
        <w:tc>
          <w:tcPr>
            <w:tcW w:w="1985" w:type="dxa"/>
          </w:tcPr>
          <w:p w:rsidR="008D107F" w:rsidRPr="00700B3B" w:rsidRDefault="008D107F" w:rsidP="00773551">
            <w:pPr>
              <w:ind w:left="0" w:right="68"/>
            </w:pPr>
            <w:r w:rsidRPr="00700B3B">
              <w:t>Withdrawal of consent</w:t>
            </w:r>
          </w:p>
        </w:tc>
        <w:tc>
          <w:tcPr>
            <w:tcW w:w="1691" w:type="dxa"/>
          </w:tcPr>
          <w:p w:rsidR="008D107F" w:rsidRPr="00700B3B" w:rsidRDefault="008D107F" w:rsidP="00773551">
            <w:pPr>
              <w:tabs>
                <w:tab w:val="left" w:pos="1475"/>
              </w:tabs>
              <w:ind w:left="0" w:right="58"/>
            </w:pPr>
            <w:r w:rsidRPr="00700B3B">
              <w:t>1 (1.5)</w:t>
            </w:r>
          </w:p>
        </w:tc>
        <w:tc>
          <w:tcPr>
            <w:tcW w:w="1691" w:type="dxa"/>
          </w:tcPr>
          <w:p w:rsidR="008D107F" w:rsidRPr="00700B3B" w:rsidRDefault="008D107F" w:rsidP="00773551">
            <w:pPr>
              <w:tabs>
                <w:tab w:val="left" w:pos="1427"/>
              </w:tabs>
              <w:ind w:left="10" w:right="48"/>
            </w:pPr>
            <w:r w:rsidRPr="00700B3B">
              <w:t>2 (2.8)</w:t>
            </w:r>
          </w:p>
        </w:tc>
        <w:tc>
          <w:tcPr>
            <w:tcW w:w="1691" w:type="dxa"/>
          </w:tcPr>
          <w:p w:rsidR="008D107F" w:rsidRPr="00700B3B" w:rsidRDefault="008D107F" w:rsidP="00773551">
            <w:pPr>
              <w:ind w:left="20" w:right="38"/>
            </w:pPr>
            <w:r w:rsidRPr="00700B3B">
              <w:t>0 (0)</w:t>
            </w:r>
          </w:p>
        </w:tc>
        <w:tc>
          <w:tcPr>
            <w:tcW w:w="1691" w:type="dxa"/>
          </w:tcPr>
          <w:p w:rsidR="008D107F" w:rsidRPr="00700B3B" w:rsidRDefault="008D107F" w:rsidP="00773551">
            <w:pPr>
              <w:ind w:left="30" w:right="28"/>
            </w:pPr>
            <w:r w:rsidRPr="00700B3B">
              <w:t>2 (1.4)</w:t>
            </w:r>
          </w:p>
        </w:tc>
      </w:tr>
      <w:tr w:rsidR="008D107F" w:rsidRPr="00700B3B" w:rsidTr="00773551">
        <w:tc>
          <w:tcPr>
            <w:tcW w:w="1985" w:type="dxa"/>
          </w:tcPr>
          <w:p w:rsidR="008D107F" w:rsidRPr="00700B3B" w:rsidRDefault="008D107F" w:rsidP="00773551">
            <w:pPr>
              <w:ind w:left="0" w:right="68"/>
            </w:pPr>
            <w:r w:rsidRPr="00700B3B">
              <w:t xml:space="preserve">Protocol </w:t>
            </w:r>
            <w:r w:rsidRPr="00700B3B">
              <w:lastRenderedPageBreak/>
              <w:t>deviation</w:t>
            </w:r>
          </w:p>
        </w:tc>
        <w:tc>
          <w:tcPr>
            <w:tcW w:w="1691" w:type="dxa"/>
          </w:tcPr>
          <w:p w:rsidR="008D107F" w:rsidRPr="00700B3B" w:rsidRDefault="008D107F" w:rsidP="00773551">
            <w:pPr>
              <w:tabs>
                <w:tab w:val="left" w:pos="1475"/>
              </w:tabs>
              <w:ind w:left="0" w:right="58"/>
            </w:pPr>
            <w:r w:rsidRPr="00700B3B">
              <w:lastRenderedPageBreak/>
              <w:t>2 (3.1)</w:t>
            </w:r>
          </w:p>
        </w:tc>
        <w:tc>
          <w:tcPr>
            <w:tcW w:w="1691" w:type="dxa"/>
          </w:tcPr>
          <w:p w:rsidR="008D107F" w:rsidRPr="00700B3B" w:rsidRDefault="008D107F" w:rsidP="00773551">
            <w:pPr>
              <w:tabs>
                <w:tab w:val="left" w:pos="1427"/>
              </w:tabs>
              <w:ind w:left="10" w:right="48"/>
            </w:pPr>
            <w:r w:rsidRPr="00700B3B">
              <w:t>2(2.8)</w:t>
            </w:r>
          </w:p>
        </w:tc>
        <w:tc>
          <w:tcPr>
            <w:tcW w:w="1691" w:type="dxa"/>
          </w:tcPr>
          <w:p w:rsidR="008D107F" w:rsidRPr="00700B3B" w:rsidRDefault="008D107F" w:rsidP="00773551">
            <w:pPr>
              <w:ind w:left="20" w:right="38"/>
            </w:pPr>
            <w:r w:rsidRPr="00700B3B">
              <w:t>1 (1.4)</w:t>
            </w:r>
          </w:p>
        </w:tc>
        <w:tc>
          <w:tcPr>
            <w:tcW w:w="1691" w:type="dxa"/>
          </w:tcPr>
          <w:p w:rsidR="008D107F" w:rsidRPr="00700B3B" w:rsidRDefault="008D107F" w:rsidP="00773551">
            <w:pPr>
              <w:ind w:left="30" w:right="28"/>
            </w:pPr>
            <w:r w:rsidRPr="00700B3B">
              <w:t>5 (2.4)</w:t>
            </w:r>
          </w:p>
        </w:tc>
      </w:tr>
      <w:tr w:rsidR="008D107F" w:rsidRPr="00700B3B" w:rsidTr="00773551">
        <w:tc>
          <w:tcPr>
            <w:tcW w:w="1985" w:type="dxa"/>
          </w:tcPr>
          <w:p w:rsidR="008D107F" w:rsidRPr="00700B3B" w:rsidRDefault="008D107F" w:rsidP="00773551">
            <w:pPr>
              <w:ind w:left="0" w:right="68"/>
            </w:pPr>
            <w:r w:rsidRPr="00700B3B">
              <w:lastRenderedPageBreak/>
              <w:t>Adverse event</w:t>
            </w:r>
          </w:p>
        </w:tc>
        <w:tc>
          <w:tcPr>
            <w:tcW w:w="1691" w:type="dxa"/>
          </w:tcPr>
          <w:p w:rsidR="008D107F" w:rsidRPr="00700B3B" w:rsidRDefault="008D107F" w:rsidP="00773551">
            <w:pPr>
              <w:tabs>
                <w:tab w:val="left" w:pos="1475"/>
              </w:tabs>
              <w:ind w:left="0" w:right="58"/>
            </w:pPr>
            <w:r w:rsidRPr="00700B3B">
              <w:t>41 (63.1)</w:t>
            </w:r>
          </w:p>
        </w:tc>
        <w:tc>
          <w:tcPr>
            <w:tcW w:w="1691" w:type="dxa"/>
          </w:tcPr>
          <w:p w:rsidR="008D107F" w:rsidRPr="00700B3B" w:rsidRDefault="008D107F" w:rsidP="00773551">
            <w:pPr>
              <w:tabs>
                <w:tab w:val="left" w:pos="1427"/>
              </w:tabs>
              <w:ind w:left="10" w:right="48"/>
            </w:pPr>
            <w:r w:rsidRPr="00700B3B">
              <w:t>43 (60.6)</w:t>
            </w:r>
          </w:p>
        </w:tc>
        <w:tc>
          <w:tcPr>
            <w:tcW w:w="1691" w:type="dxa"/>
          </w:tcPr>
          <w:p w:rsidR="008D107F" w:rsidRPr="00700B3B" w:rsidRDefault="008D107F" w:rsidP="00773551">
            <w:pPr>
              <w:ind w:left="20" w:right="38"/>
            </w:pPr>
            <w:r w:rsidRPr="00700B3B">
              <w:t>48 (66.7)</w:t>
            </w:r>
          </w:p>
        </w:tc>
        <w:tc>
          <w:tcPr>
            <w:tcW w:w="1691" w:type="dxa"/>
          </w:tcPr>
          <w:p w:rsidR="008D107F" w:rsidRPr="00700B3B" w:rsidRDefault="008D107F" w:rsidP="00773551">
            <w:pPr>
              <w:ind w:left="30" w:right="28"/>
            </w:pPr>
            <w:r w:rsidRPr="00700B3B">
              <w:t>132 (63.5)</w:t>
            </w:r>
          </w:p>
        </w:tc>
      </w:tr>
      <w:tr w:rsidR="008D107F" w:rsidRPr="00700B3B" w:rsidTr="00773551">
        <w:tc>
          <w:tcPr>
            <w:tcW w:w="1985" w:type="dxa"/>
          </w:tcPr>
          <w:p w:rsidR="008D107F" w:rsidRPr="00700B3B" w:rsidRDefault="008D107F" w:rsidP="00773551">
            <w:pPr>
              <w:ind w:left="0" w:right="68"/>
            </w:pPr>
            <w:r w:rsidRPr="00700B3B">
              <w:t>Lost to follow up</w:t>
            </w:r>
          </w:p>
        </w:tc>
        <w:tc>
          <w:tcPr>
            <w:tcW w:w="1691" w:type="dxa"/>
          </w:tcPr>
          <w:p w:rsidR="008D107F" w:rsidRPr="00700B3B" w:rsidRDefault="008D107F" w:rsidP="00773551">
            <w:pPr>
              <w:tabs>
                <w:tab w:val="left" w:pos="1475"/>
              </w:tabs>
              <w:ind w:left="0" w:right="58"/>
            </w:pPr>
            <w:r w:rsidRPr="00700B3B">
              <w:t>0</w:t>
            </w:r>
          </w:p>
        </w:tc>
        <w:tc>
          <w:tcPr>
            <w:tcW w:w="1691" w:type="dxa"/>
          </w:tcPr>
          <w:p w:rsidR="008D107F" w:rsidRPr="00700B3B" w:rsidRDefault="008D107F" w:rsidP="00773551">
            <w:pPr>
              <w:tabs>
                <w:tab w:val="left" w:pos="1427"/>
              </w:tabs>
              <w:ind w:left="10" w:right="48"/>
            </w:pPr>
            <w:r w:rsidRPr="00700B3B">
              <w:t>4(5.6)</w:t>
            </w:r>
          </w:p>
        </w:tc>
        <w:tc>
          <w:tcPr>
            <w:tcW w:w="1691" w:type="dxa"/>
          </w:tcPr>
          <w:p w:rsidR="008D107F" w:rsidRPr="00700B3B" w:rsidRDefault="008D107F" w:rsidP="00773551">
            <w:pPr>
              <w:ind w:left="20" w:right="38"/>
            </w:pPr>
            <w:r w:rsidRPr="00700B3B">
              <w:t>0</w:t>
            </w:r>
          </w:p>
        </w:tc>
        <w:tc>
          <w:tcPr>
            <w:tcW w:w="1691" w:type="dxa"/>
          </w:tcPr>
          <w:p w:rsidR="008D107F" w:rsidRPr="00700B3B" w:rsidRDefault="008D107F" w:rsidP="00773551">
            <w:pPr>
              <w:ind w:left="30" w:right="28"/>
            </w:pPr>
            <w:r w:rsidRPr="00700B3B">
              <w:t>5 (2.4)</w:t>
            </w:r>
          </w:p>
        </w:tc>
      </w:tr>
    </w:tbl>
    <w:p w:rsidR="008D107F" w:rsidRPr="00773551" w:rsidRDefault="008D107F" w:rsidP="00773551">
      <w:pPr>
        <w:pStyle w:val="ListBullet"/>
        <w:rPr>
          <w:b/>
        </w:rPr>
      </w:pPr>
      <w:r w:rsidRPr="00773551">
        <w:rPr>
          <w:b/>
        </w:rPr>
        <w:t>S</w:t>
      </w:r>
      <w:r w:rsidR="003C1BA2" w:rsidRPr="00773551">
        <w:rPr>
          <w:b/>
        </w:rPr>
        <w:t xml:space="preserve">tudy </w:t>
      </w:r>
      <w:r w:rsidRPr="00773551">
        <w:rPr>
          <w:b/>
        </w:rPr>
        <w:t>A52238</w:t>
      </w:r>
    </w:p>
    <w:p w:rsidR="008D107F" w:rsidRPr="002C78AD" w:rsidRDefault="008D107F" w:rsidP="00773551">
      <w:r w:rsidRPr="002C78AD">
        <w:t xml:space="preserve">A total of 3661 women were screened for inclusion in the study, with 2885 randomised. One subject was randomized but no insertion was attempted and was excluded from the FAS of 2884 subjects. Of the 776 women (21.2%) who were screened but not randomised, 401 did not meet the inclusion and exclusion criteria, 164 withdrew consent, 85 had no further information available, 44 could not be included due to pregnancy, and 82 discontinued for other reasons which were not easy to find in the submission. The women in the study were recruited from 138 </w:t>
      </w:r>
      <w:proofErr w:type="spellStart"/>
      <w:r w:rsidRPr="002C78AD">
        <w:t>centers</w:t>
      </w:r>
      <w:proofErr w:type="spellEnd"/>
      <w:r w:rsidRPr="002C78AD">
        <w:t xml:space="preserve"> in 11 countries.</w:t>
      </w:r>
    </w:p>
    <w:p w:rsidR="008D107F" w:rsidRPr="002C78AD" w:rsidRDefault="008D107F" w:rsidP="00773551">
      <w:r w:rsidRPr="002C78AD">
        <w:t xml:space="preserve">During the first year of treatment, 511 subjects (17.7%) prematurely discontinued the study treatment and in the second year of treatment 397 subjects (16.7%) prematurely discontinued treatment. During the third year of treatment, 285 subjects discontinued 14.4%) and these were fairly evenly distributed between the treatment group. The reason for most premature discontinuations in both treatment groups was an adverse event, with a slightly higher proportion occurring in the LCS12 group. The reason for discontinuation </w:t>
      </w:r>
      <w:r w:rsidR="003C1BA2" w:rsidRPr="002C78AD">
        <w:t>labelled</w:t>
      </w:r>
      <w:r w:rsidRPr="002C78AD">
        <w:t xml:space="preserve"> “other” included a large number of women who discontinued due to a wish for pregnancy (LCS12: 115, LCS16: 117), and smaller numbers who had no further need for contraception, who could not attend visits, who had a failed insertion (13 subjects), or </w:t>
      </w:r>
      <w:r w:rsidR="00773551">
        <w:t>who had other personal reasons.</w:t>
      </w:r>
    </w:p>
    <w:p w:rsidR="008D107F" w:rsidRPr="002C78AD" w:rsidRDefault="003C1BA2" w:rsidP="00773551">
      <w:pPr>
        <w:pStyle w:val="TableTitle"/>
      </w:pPr>
      <w:proofErr w:type="gramStart"/>
      <w:r>
        <w:t>Table 12</w:t>
      </w:r>
      <w:r w:rsidR="0023502D">
        <w:t>.</w:t>
      </w:r>
      <w:proofErr w:type="gramEnd"/>
      <w:r w:rsidR="0023502D">
        <w:t xml:space="preserve"> </w:t>
      </w:r>
      <w:r w:rsidR="008D107F" w:rsidRPr="002C78AD">
        <w:t>Number of premature discontinuations after randomisation</w:t>
      </w:r>
    </w:p>
    <w:tbl>
      <w:tblPr>
        <w:tblStyle w:val="TableTGAblue"/>
        <w:tblW w:w="0" w:type="auto"/>
        <w:tblLook w:val="0620" w:firstRow="1" w:lastRow="0" w:firstColumn="0" w:lastColumn="0" w:noHBand="1" w:noVBand="1"/>
      </w:tblPr>
      <w:tblGrid>
        <w:gridCol w:w="2268"/>
        <w:gridCol w:w="2032"/>
        <w:gridCol w:w="2032"/>
        <w:gridCol w:w="2032"/>
      </w:tblGrid>
      <w:tr w:rsidR="008D107F" w:rsidRPr="0023502D" w:rsidTr="00773551">
        <w:trPr>
          <w:cnfStyle w:val="100000000000" w:firstRow="1" w:lastRow="0" w:firstColumn="0" w:lastColumn="0" w:oddVBand="0" w:evenVBand="0" w:oddHBand="0" w:evenHBand="0" w:firstRowFirstColumn="0" w:firstRowLastColumn="0" w:lastRowFirstColumn="0" w:lastRowLastColumn="0"/>
          <w:tblHeader/>
        </w:trPr>
        <w:tc>
          <w:tcPr>
            <w:tcW w:w="2268" w:type="dxa"/>
          </w:tcPr>
          <w:p w:rsidR="008D107F" w:rsidRPr="0023502D" w:rsidRDefault="008D107F" w:rsidP="00773551">
            <w:pPr>
              <w:ind w:left="0" w:right="67"/>
            </w:pPr>
          </w:p>
        </w:tc>
        <w:tc>
          <w:tcPr>
            <w:tcW w:w="2032" w:type="dxa"/>
          </w:tcPr>
          <w:p w:rsidR="008D107F" w:rsidRPr="0023502D" w:rsidRDefault="008D107F" w:rsidP="00773551">
            <w:pPr>
              <w:ind w:left="0" w:right="0"/>
            </w:pPr>
            <w:r w:rsidRPr="0023502D">
              <w:t>LCS12 no. (%)</w:t>
            </w:r>
          </w:p>
        </w:tc>
        <w:tc>
          <w:tcPr>
            <w:tcW w:w="2032" w:type="dxa"/>
          </w:tcPr>
          <w:p w:rsidR="008D107F" w:rsidRPr="0023502D" w:rsidRDefault="008D107F" w:rsidP="00773551">
            <w:pPr>
              <w:ind w:left="0" w:right="20"/>
            </w:pPr>
            <w:r w:rsidRPr="0023502D">
              <w:t>LCS16 no. (%)</w:t>
            </w:r>
          </w:p>
        </w:tc>
        <w:tc>
          <w:tcPr>
            <w:tcW w:w="2032" w:type="dxa"/>
          </w:tcPr>
          <w:p w:rsidR="008D107F" w:rsidRPr="0023502D" w:rsidRDefault="008D107F" w:rsidP="00773551">
            <w:pPr>
              <w:ind w:left="47" w:right="0"/>
            </w:pPr>
            <w:r w:rsidRPr="0023502D">
              <w:t>Total no. (%)</w:t>
            </w:r>
          </w:p>
        </w:tc>
      </w:tr>
      <w:tr w:rsidR="008D107F" w:rsidRPr="0023502D" w:rsidTr="00773551">
        <w:tc>
          <w:tcPr>
            <w:tcW w:w="2268" w:type="dxa"/>
          </w:tcPr>
          <w:p w:rsidR="008D107F" w:rsidRPr="0023502D" w:rsidRDefault="008D107F" w:rsidP="00773551">
            <w:pPr>
              <w:ind w:left="0" w:right="67"/>
            </w:pPr>
          </w:p>
        </w:tc>
        <w:tc>
          <w:tcPr>
            <w:tcW w:w="2032" w:type="dxa"/>
          </w:tcPr>
          <w:p w:rsidR="008D107F" w:rsidRPr="0023502D" w:rsidRDefault="008D107F" w:rsidP="00773551">
            <w:pPr>
              <w:ind w:left="0" w:right="0"/>
            </w:pPr>
            <w:r w:rsidRPr="0023502D">
              <w:t>1432 (100)</w:t>
            </w:r>
          </w:p>
        </w:tc>
        <w:tc>
          <w:tcPr>
            <w:tcW w:w="2032" w:type="dxa"/>
          </w:tcPr>
          <w:p w:rsidR="008D107F" w:rsidRPr="0023502D" w:rsidRDefault="008D107F" w:rsidP="00773551">
            <w:pPr>
              <w:ind w:left="0" w:right="20"/>
            </w:pPr>
            <w:r w:rsidRPr="0023502D">
              <w:t>1453 (100)</w:t>
            </w:r>
          </w:p>
        </w:tc>
        <w:tc>
          <w:tcPr>
            <w:tcW w:w="2032" w:type="dxa"/>
          </w:tcPr>
          <w:p w:rsidR="008D107F" w:rsidRPr="0023502D" w:rsidRDefault="008D107F" w:rsidP="00773551">
            <w:pPr>
              <w:ind w:left="47" w:right="0"/>
            </w:pPr>
            <w:r w:rsidRPr="0023502D">
              <w:t>2885 (100)</w:t>
            </w:r>
          </w:p>
        </w:tc>
      </w:tr>
      <w:tr w:rsidR="008D107F" w:rsidRPr="0023502D" w:rsidTr="00773551">
        <w:tc>
          <w:tcPr>
            <w:tcW w:w="2268" w:type="dxa"/>
          </w:tcPr>
          <w:p w:rsidR="008D107F" w:rsidRPr="0023502D" w:rsidRDefault="008D107F" w:rsidP="00773551">
            <w:pPr>
              <w:ind w:left="0" w:right="67"/>
            </w:pPr>
            <w:r w:rsidRPr="0023502D">
              <w:t>Study medication never</w:t>
            </w:r>
            <w:r w:rsidR="00D01B7B">
              <w:t xml:space="preserve"> </w:t>
            </w:r>
            <w:r w:rsidRPr="0023502D">
              <w:t>administered</w:t>
            </w:r>
          </w:p>
        </w:tc>
        <w:tc>
          <w:tcPr>
            <w:tcW w:w="2032" w:type="dxa"/>
          </w:tcPr>
          <w:p w:rsidR="008D107F" w:rsidRPr="0023502D" w:rsidRDefault="008D107F" w:rsidP="00773551">
            <w:pPr>
              <w:ind w:left="0" w:right="0"/>
            </w:pPr>
            <w:r w:rsidRPr="0023502D">
              <w:t>0.2 (0.1)</w:t>
            </w:r>
          </w:p>
        </w:tc>
        <w:tc>
          <w:tcPr>
            <w:tcW w:w="2032" w:type="dxa"/>
          </w:tcPr>
          <w:p w:rsidR="008D107F" w:rsidRPr="0023502D" w:rsidRDefault="008D107F" w:rsidP="00773551">
            <w:pPr>
              <w:ind w:left="0" w:right="20"/>
            </w:pPr>
            <w:r w:rsidRPr="0023502D">
              <w:t>2 (&lt;0.1)</w:t>
            </w:r>
          </w:p>
        </w:tc>
        <w:tc>
          <w:tcPr>
            <w:tcW w:w="2032" w:type="dxa"/>
          </w:tcPr>
          <w:p w:rsidR="008D107F" w:rsidRPr="0023502D" w:rsidRDefault="008D107F" w:rsidP="00773551">
            <w:pPr>
              <w:ind w:left="47" w:right="0"/>
            </w:pPr>
          </w:p>
        </w:tc>
      </w:tr>
      <w:tr w:rsidR="008D107F" w:rsidRPr="0023502D" w:rsidTr="00773551">
        <w:tc>
          <w:tcPr>
            <w:tcW w:w="2268" w:type="dxa"/>
          </w:tcPr>
          <w:p w:rsidR="008D107F" w:rsidRPr="0023502D" w:rsidRDefault="008D107F" w:rsidP="00773551">
            <w:pPr>
              <w:ind w:left="0" w:right="67"/>
            </w:pPr>
            <w:r w:rsidRPr="0023502D">
              <w:t>Completed first 3 years</w:t>
            </w:r>
          </w:p>
        </w:tc>
        <w:tc>
          <w:tcPr>
            <w:tcW w:w="2032" w:type="dxa"/>
          </w:tcPr>
          <w:p w:rsidR="008D107F" w:rsidRPr="0023502D" w:rsidRDefault="008D107F" w:rsidP="00773551">
            <w:pPr>
              <w:ind w:left="0" w:right="0"/>
            </w:pPr>
            <w:r w:rsidRPr="0023502D">
              <w:t>819 (57.2)</w:t>
            </w:r>
          </w:p>
        </w:tc>
        <w:tc>
          <w:tcPr>
            <w:tcW w:w="2032" w:type="dxa"/>
          </w:tcPr>
          <w:p w:rsidR="008D107F" w:rsidRPr="0023502D" w:rsidRDefault="008D107F" w:rsidP="00773551">
            <w:pPr>
              <w:ind w:left="0" w:right="20"/>
            </w:pPr>
            <w:r w:rsidRPr="0023502D">
              <w:t>870 (59.9)</w:t>
            </w:r>
          </w:p>
        </w:tc>
        <w:tc>
          <w:tcPr>
            <w:tcW w:w="2032" w:type="dxa"/>
          </w:tcPr>
          <w:p w:rsidR="008D107F" w:rsidRPr="0023502D" w:rsidRDefault="008D107F" w:rsidP="00773551">
            <w:pPr>
              <w:ind w:left="47" w:right="0"/>
            </w:pPr>
            <w:r w:rsidRPr="0023502D">
              <w:t>1689 (58.5)</w:t>
            </w:r>
          </w:p>
        </w:tc>
      </w:tr>
      <w:tr w:rsidR="008D107F" w:rsidRPr="0023502D" w:rsidTr="00773551">
        <w:tc>
          <w:tcPr>
            <w:tcW w:w="2268" w:type="dxa"/>
          </w:tcPr>
          <w:p w:rsidR="008D107F" w:rsidRPr="0023502D" w:rsidRDefault="008D107F" w:rsidP="00773551">
            <w:pPr>
              <w:ind w:left="0" w:right="67"/>
            </w:pPr>
            <w:r w:rsidRPr="0023502D">
              <w:t>Prematurely discontinued</w:t>
            </w:r>
          </w:p>
        </w:tc>
        <w:tc>
          <w:tcPr>
            <w:tcW w:w="2032" w:type="dxa"/>
          </w:tcPr>
          <w:p w:rsidR="008D107F" w:rsidRPr="0023502D" w:rsidRDefault="008D107F" w:rsidP="00773551">
            <w:pPr>
              <w:ind w:left="0" w:right="0"/>
            </w:pPr>
            <w:r w:rsidRPr="0023502D">
              <w:t>612 (42.7)</w:t>
            </w:r>
          </w:p>
        </w:tc>
        <w:tc>
          <w:tcPr>
            <w:tcW w:w="2032" w:type="dxa"/>
          </w:tcPr>
          <w:p w:rsidR="008D107F" w:rsidRPr="0023502D" w:rsidRDefault="008D107F" w:rsidP="00773551">
            <w:pPr>
              <w:ind w:left="0" w:right="20"/>
            </w:pPr>
            <w:r w:rsidRPr="0023502D">
              <w:t>581 (40.0)</w:t>
            </w:r>
          </w:p>
        </w:tc>
        <w:tc>
          <w:tcPr>
            <w:tcW w:w="2032" w:type="dxa"/>
          </w:tcPr>
          <w:p w:rsidR="008D107F" w:rsidRPr="0023502D" w:rsidRDefault="008D107F" w:rsidP="00773551">
            <w:pPr>
              <w:ind w:left="47" w:right="0"/>
            </w:pPr>
            <w:r w:rsidRPr="0023502D">
              <w:t>1193 (41.4)</w:t>
            </w:r>
          </w:p>
        </w:tc>
      </w:tr>
      <w:tr w:rsidR="008D107F" w:rsidRPr="0023502D" w:rsidTr="00773551">
        <w:tc>
          <w:tcPr>
            <w:tcW w:w="2268" w:type="dxa"/>
          </w:tcPr>
          <w:p w:rsidR="008D107F" w:rsidRPr="0023502D" w:rsidRDefault="008D107F" w:rsidP="00773551">
            <w:pPr>
              <w:ind w:left="0" w:right="67"/>
            </w:pPr>
            <w:r w:rsidRPr="0023502D">
              <w:t>Missing</w:t>
            </w:r>
          </w:p>
        </w:tc>
        <w:tc>
          <w:tcPr>
            <w:tcW w:w="2032" w:type="dxa"/>
          </w:tcPr>
          <w:p w:rsidR="008D107F" w:rsidRPr="0023502D" w:rsidRDefault="008D107F" w:rsidP="00773551">
            <w:pPr>
              <w:ind w:left="0" w:right="0"/>
            </w:pPr>
            <w:r w:rsidRPr="0023502D">
              <w:t xml:space="preserve">1 (&lt;0.1%) </w:t>
            </w:r>
          </w:p>
        </w:tc>
        <w:tc>
          <w:tcPr>
            <w:tcW w:w="2032" w:type="dxa"/>
          </w:tcPr>
          <w:p w:rsidR="008D107F" w:rsidRPr="0023502D" w:rsidRDefault="008D107F" w:rsidP="00773551">
            <w:pPr>
              <w:ind w:left="0" w:right="20"/>
            </w:pPr>
            <w:r w:rsidRPr="0023502D">
              <w:t>0 1 (&lt;0.1%)</w:t>
            </w:r>
          </w:p>
        </w:tc>
        <w:tc>
          <w:tcPr>
            <w:tcW w:w="2032" w:type="dxa"/>
          </w:tcPr>
          <w:p w:rsidR="008D107F" w:rsidRPr="0023502D" w:rsidRDefault="008D107F" w:rsidP="00773551">
            <w:pPr>
              <w:ind w:left="47" w:right="0"/>
            </w:pPr>
          </w:p>
        </w:tc>
      </w:tr>
      <w:tr w:rsidR="008D107F" w:rsidRPr="0023502D" w:rsidTr="00773551">
        <w:tc>
          <w:tcPr>
            <w:tcW w:w="2268" w:type="dxa"/>
          </w:tcPr>
          <w:p w:rsidR="008D107F" w:rsidRPr="00D01B7B" w:rsidRDefault="008D107F" w:rsidP="00773551">
            <w:pPr>
              <w:ind w:left="0" w:right="67"/>
              <w:rPr>
                <w:bCs/>
              </w:rPr>
            </w:pPr>
            <w:r w:rsidRPr="00D01B7B">
              <w:rPr>
                <w:bCs/>
              </w:rPr>
              <w:t>Reason for discontinuation</w:t>
            </w:r>
          </w:p>
        </w:tc>
        <w:tc>
          <w:tcPr>
            <w:tcW w:w="2032" w:type="dxa"/>
          </w:tcPr>
          <w:p w:rsidR="008D107F" w:rsidRPr="00D01B7B" w:rsidRDefault="008D107F" w:rsidP="00773551">
            <w:pPr>
              <w:ind w:left="0" w:right="0"/>
              <w:rPr>
                <w:bCs/>
              </w:rPr>
            </w:pPr>
            <w:r w:rsidRPr="00D01B7B">
              <w:rPr>
                <w:bCs/>
              </w:rPr>
              <w:t xml:space="preserve">613 (100) </w:t>
            </w:r>
          </w:p>
        </w:tc>
        <w:tc>
          <w:tcPr>
            <w:tcW w:w="2032" w:type="dxa"/>
          </w:tcPr>
          <w:p w:rsidR="008D107F" w:rsidRPr="00D01B7B" w:rsidRDefault="008D107F" w:rsidP="00773551">
            <w:pPr>
              <w:ind w:left="0" w:right="20"/>
              <w:rPr>
                <w:bCs/>
              </w:rPr>
            </w:pPr>
            <w:r w:rsidRPr="00D01B7B">
              <w:rPr>
                <w:bCs/>
              </w:rPr>
              <w:t>583 (100)</w:t>
            </w:r>
          </w:p>
        </w:tc>
        <w:tc>
          <w:tcPr>
            <w:tcW w:w="2032" w:type="dxa"/>
          </w:tcPr>
          <w:p w:rsidR="008D107F" w:rsidRPr="00D01B7B" w:rsidRDefault="008D107F" w:rsidP="00773551">
            <w:pPr>
              <w:ind w:left="47" w:right="0"/>
              <w:rPr>
                <w:bCs/>
              </w:rPr>
            </w:pPr>
            <w:r w:rsidRPr="00D01B7B">
              <w:rPr>
                <w:bCs/>
              </w:rPr>
              <w:t>1196 (100)</w:t>
            </w:r>
          </w:p>
        </w:tc>
      </w:tr>
      <w:tr w:rsidR="008D107F" w:rsidRPr="0023502D" w:rsidTr="00773551">
        <w:tc>
          <w:tcPr>
            <w:tcW w:w="2268" w:type="dxa"/>
          </w:tcPr>
          <w:p w:rsidR="008D107F" w:rsidRPr="0023502D" w:rsidRDefault="008D107F" w:rsidP="00773551">
            <w:pPr>
              <w:ind w:left="0" w:right="67"/>
            </w:pPr>
            <w:r w:rsidRPr="0023502D">
              <w:t>Withdrawal of</w:t>
            </w:r>
            <w:r w:rsidR="00D01B7B">
              <w:t xml:space="preserve"> </w:t>
            </w:r>
            <w:r w:rsidRPr="0023502D">
              <w:t>consent</w:t>
            </w:r>
          </w:p>
        </w:tc>
        <w:tc>
          <w:tcPr>
            <w:tcW w:w="2032" w:type="dxa"/>
          </w:tcPr>
          <w:p w:rsidR="008D107F" w:rsidRPr="0023502D" w:rsidRDefault="008D107F" w:rsidP="00773551">
            <w:pPr>
              <w:ind w:left="0" w:right="0"/>
            </w:pPr>
            <w:r w:rsidRPr="0023502D">
              <w:t>26 (4.2)</w:t>
            </w:r>
          </w:p>
        </w:tc>
        <w:tc>
          <w:tcPr>
            <w:tcW w:w="2032" w:type="dxa"/>
          </w:tcPr>
          <w:p w:rsidR="008D107F" w:rsidRPr="0023502D" w:rsidRDefault="008D107F" w:rsidP="00773551">
            <w:pPr>
              <w:ind w:left="0" w:right="20"/>
            </w:pPr>
            <w:r w:rsidRPr="0023502D">
              <w:t>31 (5.3)</w:t>
            </w:r>
          </w:p>
        </w:tc>
        <w:tc>
          <w:tcPr>
            <w:tcW w:w="2032" w:type="dxa"/>
          </w:tcPr>
          <w:p w:rsidR="008D107F" w:rsidRPr="0023502D" w:rsidRDefault="008D107F" w:rsidP="00773551">
            <w:pPr>
              <w:ind w:left="47" w:right="0"/>
            </w:pPr>
            <w:r w:rsidRPr="0023502D">
              <w:t>57 (4.8)</w:t>
            </w:r>
          </w:p>
        </w:tc>
      </w:tr>
      <w:tr w:rsidR="008D107F" w:rsidRPr="0023502D" w:rsidTr="00773551">
        <w:trPr>
          <w:trHeight w:val="309"/>
        </w:trPr>
        <w:tc>
          <w:tcPr>
            <w:tcW w:w="2268" w:type="dxa"/>
          </w:tcPr>
          <w:p w:rsidR="008D107F" w:rsidRPr="0023502D" w:rsidRDefault="008D107F" w:rsidP="00773551">
            <w:pPr>
              <w:ind w:left="0" w:right="67"/>
            </w:pPr>
            <w:r w:rsidRPr="0023502D">
              <w:t>Protocol deviation</w:t>
            </w:r>
          </w:p>
        </w:tc>
        <w:tc>
          <w:tcPr>
            <w:tcW w:w="2032" w:type="dxa"/>
          </w:tcPr>
          <w:p w:rsidR="008D107F" w:rsidRPr="0023502D" w:rsidRDefault="008D107F" w:rsidP="00773551">
            <w:pPr>
              <w:ind w:left="0" w:right="0"/>
            </w:pPr>
            <w:r w:rsidRPr="0023502D">
              <w:t xml:space="preserve">16 (2.6) </w:t>
            </w:r>
          </w:p>
        </w:tc>
        <w:tc>
          <w:tcPr>
            <w:tcW w:w="2032" w:type="dxa"/>
          </w:tcPr>
          <w:p w:rsidR="008D107F" w:rsidRPr="0023502D" w:rsidRDefault="008D107F" w:rsidP="00773551">
            <w:pPr>
              <w:ind w:left="0" w:right="20"/>
            </w:pPr>
            <w:r w:rsidRPr="0023502D">
              <w:t xml:space="preserve">16 (2.7) </w:t>
            </w:r>
          </w:p>
        </w:tc>
        <w:tc>
          <w:tcPr>
            <w:tcW w:w="2032" w:type="dxa"/>
          </w:tcPr>
          <w:p w:rsidR="008D107F" w:rsidRPr="0023502D" w:rsidRDefault="008D107F" w:rsidP="00773551">
            <w:pPr>
              <w:ind w:left="47" w:right="0"/>
            </w:pPr>
            <w:r w:rsidRPr="0023502D">
              <w:t>32 (2.7)</w:t>
            </w:r>
          </w:p>
        </w:tc>
      </w:tr>
      <w:tr w:rsidR="008D107F" w:rsidRPr="0023502D" w:rsidTr="00773551">
        <w:tc>
          <w:tcPr>
            <w:tcW w:w="2268" w:type="dxa"/>
          </w:tcPr>
          <w:p w:rsidR="008D107F" w:rsidRPr="0023502D" w:rsidRDefault="008D107F" w:rsidP="00773551">
            <w:pPr>
              <w:ind w:left="0" w:right="67"/>
            </w:pPr>
            <w:r w:rsidRPr="0023502D">
              <w:lastRenderedPageBreak/>
              <w:t>Adverse event</w:t>
            </w:r>
          </w:p>
        </w:tc>
        <w:tc>
          <w:tcPr>
            <w:tcW w:w="2032" w:type="dxa"/>
          </w:tcPr>
          <w:p w:rsidR="008D107F" w:rsidRPr="0023502D" w:rsidRDefault="008D107F" w:rsidP="00773551">
            <w:pPr>
              <w:ind w:left="0" w:right="0"/>
            </w:pPr>
            <w:r w:rsidRPr="0023502D">
              <w:t>313 (51.1)</w:t>
            </w:r>
          </w:p>
        </w:tc>
        <w:tc>
          <w:tcPr>
            <w:tcW w:w="2032" w:type="dxa"/>
          </w:tcPr>
          <w:p w:rsidR="008D107F" w:rsidRPr="0023502D" w:rsidRDefault="008D107F" w:rsidP="00773551">
            <w:pPr>
              <w:ind w:left="0" w:right="20"/>
            </w:pPr>
            <w:r w:rsidRPr="0023502D">
              <w:t xml:space="preserve">278 (47.7) </w:t>
            </w:r>
          </w:p>
        </w:tc>
        <w:tc>
          <w:tcPr>
            <w:tcW w:w="2032" w:type="dxa"/>
          </w:tcPr>
          <w:p w:rsidR="008D107F" w:rsidRPr="0023502D" w:rsidRDefault="008D107F" w:rsidP="00773551">
            <w:pPr>
              <w:ind w:left="47" w:right="0"/>
            </w:pPr>
            <w:r w:rsidRPr="0023502D">
              <w:t>591 (49.4)</w:t>
            </w:r>
          </w:p>
        </w:tc>
      </w:tr>
      <w:tr w:rsidR="008D107F" w:rsidRPr="0023502D" w:rsidTr="00773551">
        <w:tc>
          <w:tcPr>
            <w:tcW w:w="2268" w:type="dxa"/>
          </w:tcPr>
          <w:p w:rsidR="008D107F" w:rsidRPr="0023502D" w:rsidRDefault="008D107F" w:rsidP="00773551">
            <w:pPr>
              <w:ind w:left="0" w:right="67"/>
            </w:pPr>
            <w:r w:rsidRPr="0023502D">
              <w:t>Lost to follow-up</w:t>
            </w:r>
          </w:p>
        </w:tc>
        <w:tc>
          <w:tcPr>
            <w:tcW w:w="2032" w:type="dxa"/>
          </w:tcPr>
          <w:p w:rsidR="008D107F" w:rsidRPr="0023502D" w:rsidRDefault="008D107F" w:rsidP="00773551">
            <w:pPr>
              <w:ind w:left="0" w:right="0"/>
            </w:pPr>
            <w:r w:rsidRPr="0023502D">
              <w:t>63 (10.3)</w:t>
            </w:r>
          </w:p>
        </w:tc>
        <w:tc>
          <w:tcPr>
            <w:tcW w:w="2032" w:type="dxa"/>
          </w:tcPr>
          <w:p w:rsidR="008D107F" w:rsidRPr="0023502D" w:rsidRDefault="008D107F" w:rsidP="00773551">
            <w:pPr>
              <w:ind w:left="0" w:right="20"/>
            </w:pPr>
            <w:r w:rsidRPr="0023502D">
              <w:t>61 (10.5))</w:t>
            </w:r>
          </w:p>
        </w:tc>
        <w:tc>
          <w:tcPr>
            <w:tcW w:w="2032" w:type="dxa"/>
          </w:tcPr>
          <w:p w:rsidR="008D107F" w:rsidRPr="0023502D" w:rsidRDefault="008D107F" w:rsidP="00773551">
            <w:pPr>
              <w:ind w:left="47" w:right="0"/>
            </w:pPr>
            <w:r w:rsidRPr="0023502D">
              <w:t>124 (10.4)</w:t>
            </w:r>
          </w:p>
        </w:tc>
      </w:tr>
      <w:tr w:rsidR="008D107F" w:rsidRPr="0023502D" w:rsidTr="00773551">
        <w:tc>
          <w:tcPr>
            <w:tcW w:w="2268" w:type="dxa"/>
          </w:tcPr>
          <w:p w:rsidR="008D107F" w:rsidRPr="0023502D" w:rsidRDefault="008D107F" w:rsidP="00773551">
            <w:pPr>
              <w:ind w:left="0" w:right="67"/>
            </w:pPr>
            <w:r w:rsidRPr="0023502D">
              <w:t>Pregnancy</w:t>
            </w:r>
          </w:p>
        </w:tc>
        <w:tc>
          <w:tcPr>
            <w:tcW w:w="2032" w:type="dxa"/>
          </w:tcPr>
          <w:p w:rsidR="008D107F" w:rsidRPr="0023502D" w:rsidRDefault="008D107F" w:rsidP="00773551">
            <w:pPr>
              <w:ind w:left="0" w:right="0"/>
            </w:pPr>
            <w:r w:rsidRPr="0023502D">
              <w:t xml:space="preserve">9 (1.5) </w:t>
            </w:r>
          </w:p>
        </w:tc>
        <w:tc>
          <w:tcPr>
            <w:tcW w:w="2032" w:type="dxa"/>
          </w:tcPr>
          <w:p w:rsidR="008D107F" w:rsidRPr="0023502D" w:rsidRDefault="008D107F" w:rsidP="00773551">
            <w:pPr>
              <w:ind w:left="0" w:right="20"/>
            </w:pPr>
            <w:r w:rsidRPr="0023502D">
              <w:t xml:space="preserve">10 (1.7) </w:t>
            </w:r>
          </w:p>
        </w:tc>
        <w:tc>
          <w:tcPr>
            <w:tcW w:w="2032" w:type="dxa"/>
          </w:tcPr>
          <w:p w:rsidR="008D107F" w:rsidRPr="0023502D" w:rsidRDefault="008D107F" w:rsidP="00773551">
            <w:pPr>
              <w:ind w:left="47" w:right="0"/>
            </w:pPr>
            <w:r w:rsidRPr="0023502D">
              <w:t>19 (1.6)</w:t>
            </w:r>
          </w:p>
        </w:tc>
      </w:tr>
      <w:tr w:rsidR="008D107F" w:rsidRPr="0023502D" w:rsidTr="00773551">
        <w:tc>
          <w:tcPr>
            <w:tcW w:w="2268" w:type="dxa"/>
          </w:tcPr>
          <w:p w:rsidR="008D107F" w:rsidRPr="0023502D" w:rsidRDefault="008D107F" w:rsidP="00773551">
            <w:pPr>
              <w:ind w:left="0" w:right="67"/>
            </w:pPr>
            <w:r w:rsidRPr="0023502D">
              <w:t>Other</w:t>
            </w:r>
          </w:p>
        </w:tc>
        <w:tc>
          <w:tcPr>
            <w:tcW w:w="2032" w:type="dxa"/>
          </w:tcPr>
          <w:p w:rsidR="008D107F" w:rsidRPr="0023502D" w:rsidRDefault="008D107F" w:rsidP="00773551">
            <w:pPr>
              <w:ind w:left="0" w:right="0"/>
            </w:pPr>
            <w:r w:rsidRPr="0023502D">
              <w:t xml:space="preserve">186 (30.3) </w:t>
            </w:r>
          </w:p>
        </w:tc>
        <w:tc>
          <w:tcPr>
            <w:tcW w:w="2032" w:type="dxa"/>
          </w:tcPr>
          <w:p w:rsidR="008D107F" w:rsidRPr="0023502D" w:rsidRDefault="008D107F" w:rsidP="00773551">
            <w:pPr>
              <w:ind w:left="0" w:right="20"/>
            </w:pPr>
            <w:r w:rsidRPr="0023502D">
              <w:t xml:space="preserve">186 (31.9) </w:t>
            </w:r>
          </w:p>
        </w:tc>
        <w:tc>
          <w:tcPr>
            <w:tcW w:w="2032" w:type="dxa"/>
          </w:tcPr>
          <w:p w:rsidR="008D107F" w:rsidRPr="0023502D" w:rsidRDefault="008D107F" w:rsidP="00773551">
            <w:pPr>
              <w:ind w:left="47" w:right="0"/>
            </w:pPr>
            <w:r w:rsidRPr="0023502D">
              <w:t>372 (31.1)</w:t>
            </w:r>
          </w:p>
        </w:tc>
      </w:tr>
    </w:tbl>
    <w:p w:rsidR="008D107F" w:rsidRPr="002C78AD" w:rsidRDefault="008D107F" w:rsidP="00773551">
      <w:r w:rsidRPr="002C78AD">
        <w:t xml:space="preserve">Slightly fewer women with one or more births discontinued due to withdrawal of consent or an AE than nulliparous women (20.7% vs. 25.2%). In general the number of women dropping out due to bleeding or investigator-assessed, progestin-related side effects was low in both </w:t>
      </w:r>
      <w:proofErr w:type="spellStart"/>
      <w:r w:rsidRPr="002C78AD">
        <w:t>parous</w:t>
      </w:r>
      <w:proofErr w:type="spellEnd"/>
      <w:r w:rsidRPr="002C78AD">
        <w:t xml:space="preserve"> and nulliparous women and in both treatment groups. </w:t>
      </w:r>
    </w:p>
    <w:p w:rsidR="008D107F" w:rsidRPr="002C78AD" w:rsidRDefault="008D107F" w:rsidP="00773551">
      <w:pPr>
        <w:pStyle w:val="Heading6"/>
      </w:pPr>
      <w:r w:rsidRPr="002C78AD">
        <w:t xml:space="preserve">Major </w:t>
      </w:r>
      <w:r w:rsidRPr="00773551">
        <w:t>protocol</w:t>
      </w:r>
      <w:r w:rsidRPr="002C78AD">
        <w:t xml:space="preserve"> violations/deviations</w:t>
      </w:r>
    </w:p>
    <w:p w:rsidR="008D107F" w:rsidRPr="002C78AD" w:rsidRDefault="008D107F" w:rsidP="00773551">
      <w:r w:rsidRPr="002C78AD">
        <w:t>Exposure times were subtracted if</w:t>
      </w:r>
      <w:r w:rsidR="00773551">
        <w:t xml:space="preserve"> alternative contraception used.</w:t>
      </w:r>
    </w:p>
    <w:p w:rsidR="008D107F" w:rsidRPr="002C78AD" w:rsidRDefault="008D107F" w:rsidP="00773551">
      <w:r w:rsidRPr="002C78AD">
        <w:t>In A46796, at each visit, the subject reported whether concomitant use of other contraceptive methods took place or not after the previous visit. If so, the period of concomitant contraceptive method use was excluded from the exposure time calculated for that subject. Occasional use was therefore able to be adjusted for, but the time period between the preceding visit and the current visit was excluded if the subject was using often.</w:t>
      </w:r>
    </w:p>
    <w:p w:rsidR="008D107F" w:rsidRPr="002C78AD" w:rsidRDefault="008D107F" w:rsidP="00773551">
      <w:r w:rsidRPr="002C78AD">
        <w:t>In A52238, use of subject diaries enabled the time of any use of other contraception to be removed from the PI e</w:t>
      </w:r>
      <w:r w:rsidR="00773551">
        <w:t>xposure time calculation.</w:t>
      </w:r>
    </w:p>
    <w:p w:rsidR="008D107F" w:rsidRPr="002C78AD" w:rsidRDefault="008D107F" w:rsidP="00773551">
      <w:pPr>
        <w:pStyle w:val="Heading6"/>
      </w:pPr>
      <w:r w:rsidRPr="002C78AD">
        <w:t>Baseline data</w:t>
      </w:r>
    </w:p>
    <w:p w:rsidR="008D107F" w:rsidRPr="00773551" w:rsidRDefault="008D107F" w:rsidP="00773551">
      <w:pPr>
        <w:pStyle w:val="ListBullet"/>
        <w:rPr>
          <w:b/>
        </w:rPr>
      </w:pPr>
      <w:r w:rsidRPr="00773551">
        <w:rPr>
          <w:b/>
        </w:rPr>
        <w:t>S</w:t>
      </w:r>
      <w:r w:rsidR="00D01B7B" w:rsidRPr="00773551">
        <w:rPr>
          <w:b/>
        </w:rPr>
        <w:t>tudy</w:t>
      </w:r>
      <w:r w:rsidRPr="00773551">
        <w:rPr>
          <w:b/>
        </w:rPr>
        <w:t xml:space="preserve"> A46796</w:t>
      </w:r>
    </w:p>
    <w:p w:rsidR="008D107F" w:rsidRPr="002C78AD" w:rsidRDefault="00B3081E" w:rsidP="00773551">
      <w:r>
        <w:t>[</w:t>
      </w:r>
      <w:r w:rsidR="008D107F" w:rsidRPr="002C78AD">
        <w:t xml:space="preserve">Baseline data is </w:t>
      </w:r>
      <w:r w:rsidR="00D01B7B">
        <w:t>described in an Appendix not included in this Extract</w:t>
      </w:r>
      <w:r w:rsidR="008D107F" w:rsidRPr="002C78AD">
        <w:t>.</w:t>
      </w:r>
      <w:r>
        <w:t>]</w:t>
      </w:r>
    </w:p>
    <w:p w:rsidR="008D107F" w:rsidRPr="00773551" w:rsidRDefault="008D107F" w:rsidP="00773551">
      <w:pPr>
        <w:pStyle w:val="ListBullet"/>
        <w:rPr>
          <w:b/>
        </w:rPr>
      </w:pPr>
      <w:r w:rsidRPr="00773551">
        <w:rPr>
          <w:b/>
        </w:rPr>
        <w:t>S</w:t>
      </w:r>
      <w:r w:rsidR="00D01B7B" w:rsidRPr="00773551">
        <w:rPr>
          <w:b/>
        </w:rPr>
        <w:t xml:space="preserve">tudy </w:t>
      </w:r>
      <w:r w:rsidRPr="00773551">
        <w:rPr>
          <w:b/>
        </w:rPr>
        <w:t>A52238</w:t>
      </w:r>
    </w:p>
    <w:p w:rsidR="008D107F" w:rsidRPr="002C78AD" w:rsidRDefault="00B3081E" w:rsidP="00773551">
      <w:r>
        <w:t>[</w:t>
      </w:r>
      <w:r w:rsidR="00D01B7B" w:rsidRPr="00D01B7B">
        <w:t>Baseline data is described in an Appendix not included in this Extract.</w:t>
      </w:r>
      <w:r>
        <w:t>]</w:t>
      </w:r>
    </w:p>
    <w:p w:rsidR="008D107F" w:rsidRPr="002C78AD" w:rsidRDefault="008D107F" w:rsidP="00773551">
      <w:pPr>
        <w:pStyle w:val="Heading6"/>
      </w:pPr>
      <w:r w:rsidRPr="002C78AD">
        <w:t>Results for the primary efficacy outcome</w:t>
      </w:r>
    </w:p>
    <w:p w:rsidR="008D107F" w:rsidRPr="00773551" w:rsidRDefault="008D107F" w:rsidP="00773551">
      <w:pPr>
        <w:rPr>
          <w:b/>
        </w:rPr>
      </w:pPr>
      <w:r w:rsidRPr="00773551">
        <w:rPr>
          <w:b/>
        </w:rPr>
        <w:t>PEARL INDEX (PI)</w:t>
      </w:r>
    </w:p>
    <w:p w:rsidR="008D107F" w:rsidRPr="002C78AD" w:rsidRDefault="008D107F" w:rsidP="00773551">
      <w:r w:rsidRPr="002C78AD">
        <w:t xml:space="preserve">Unadjusted and adjusted PIs were calculated; the differences between the unadjusted and adjusted PIs were in the calculation of the crude exposure time in case of IUS expulsion (total or partial). Furthermore, pregnancies that occurred after the IUS was known not to be </w:t>
      </w:r>
      <w:r w:rsidRPr="00B3081E">
        <w:rPr>
          <w:i/>
          <w:iCs/>
        </w:rPr>
        <w:t>in situ</w:t>
      </w:r>
      <w:r w:rsidRPr="002C78AD">
        <w:t xml:space="preserve"> or displaced in the uterus were not to be counted for the adjusted PI. The resulting differences in the relevant exposure times were very small; thus, the unadjusted and adjusted PIs are very similar if not identical.</w:t>
      </w:r>
    </w:p>
    <w:p w:rsidR="008D107F" w:rsidRPr="00773551" w:rsidRDefault="007D4859" w:rsidP="00773551">
      <w:pPr>
        <w:pStyle w:val="ListBullet"/>
        <w:rPr>
          <w:b/>
        </w:rPr>
      </w:pPr>
      <w:r w:rsidRPr="00773551">
        <w:rPr>
          <w:b/>
        </w:rPr>
        <w:t xml:space="preserve">Study </w:t>
      </w:r>
      <w:r w:rsidR="008D107F" w:rsidRPr="00773551">
        <w:rPr>
          <w:b/>
        </w:rPr>
        <w:t>A52238</w:t>
      </w:r>
    </w:p>
    <w:p w:rsidR="008D107F" w:rsidRPr="002C78AD" w:rsidRDefault="008D107F" w:rsidP="00773551">
      <w:r w:rsidRPr="002C78AD">
        <w:t xml:space="preserve">In this study, a total of 20 pregnancies were observed under treatment; 10 in each treatment group. Of these, 3 in the LCS12 group (30%) and 7 in the LCS16 group (70%) were ectopic. Of the remaining 7 pregnancies in the LCS12 group, 3 pregnancies ended in spontaneous abortion and 1 in induced abortion, 2 pregnancies were normal and carried to term, and 1 pregnancy was delivered prematurely by </w:t>
      </w:r>
      <w:proofErr w:type="spellStart"/>
      <w:r w:rsidRPr="002C78AD">
        <w:t>cesarean</w:t>
      </w:r>
      <w:proofErr w:type="spellEnd"/>
      <w:r w:rsidRPr="002C78AD">
        <w:t xml:space="preserve"> section due to preeclampsia, with a normal </w:t>
      </w:r>
      <w:proofErr w:type="spellStart"/>
      <w:r w:rsidRPr="002C78AD">
        <w:t>fetal</w:t>
      </w:r>
      <w:proofErr w:type="spellEnd"/>
      <w:r w:rsidRPr="002C78AD">
        <w:t xml:space="preserve"> outcome. Of the 3 remaining pregnancies in the LCS16 group, 1 was a blighted ovum that ended in spontaneous abortion, 1 was a spontaneous abortion, and 1 pregnancy </w:t>
      </w:r>
      <w:r w:rsidR="00773551">
        <w:t>was normal and carried to term.</w:t>
      </w:r>
    </w:p>
    <w:p w:rsidR="008D107F" w:rsidRPr="002C78AD" w:rsidRDefault="008D107F" w:rsidP="00773551">
      <w:r w:rsidRPr="002C78AD">
        <w:lastRenderedPageBreak/>
        <w:t>Examining the yearly PIs for all women in the pivotal study A52238 it can be seen that for 18- to 35-year old women, the unadjusted PI for LCS12 for the first year was 0.41 with the upper limit of the two-sided 95% CI of 0.96, and PI=0.33 for the total three years of use, with the upper limit of</w:t>
      </w:r>
      <w:r w:rsidR="00773551">
        <w:t xml:space="preserve"> the two-sided 95% CI of 0.60. </w:t>
      </w:r>
      <w:r w:rsidRPr="002C78AD">
        <w:t>The CHMP recommend that the difference between the point estimate and the 95% CI of the PI is &lt;1.</w:t>
      </w:r>
    </w:p>
    <w:p w:rsidR="00EA7E79" w:rsidRPr="00EA7E79" w:rsidRDefault="00B3081E" w:rsidP="00773551">
      <w:pPr>
        <w:pStyle w:val="TableTitle"/>
        <w:rPr>
          <w:lang w:eastAsia="ja-JP"/>
        </w:rPr>
      </w:pPr>
      <w:proofErr w:type="gramStart"/>
      <w:r>
        <w:rPr>
          <w:lang w:val="en-US" w:eastAsia="ja-JP"/>
        </w:rPr>
        <w:t>Table 13</w:t>
      </w:r>
      <w:r w:rsidR="00883666">
        <w:rPr>
          <w:lang w:val="en-US" w:eastAsia="ja-JP"/>
        </w:rPr>
        <w:t>.</w:t>
      </w:r>
      <w:proofErr w:type="gramEnd"/>
      <w:r w:rsidR="00883666">
        <w:rPr>
          <w:lang w:val="en-US" w:eastAsia="ja-JP"/>
        </w:rPr>
        <w:t xml:space="preserve"> </w:t>
      </w:r>
      <w:r w:rsidR="00EA7E79" w:rsidRPr="00EA7E79">
        <w:rPr>
          <w:lang w:eastAsia="ja-JP"/>
        </w:rPr>
        <w:t xml:space="preserve">PIs by year of treatment for women 18 to 35 years of age, 3-year and Year 1 PIs by subgroup and treatment, unadjusted – FAS, study A52238 </w:t>
      </w:r>
    </w:p>
    <w:tbl>
      <w:tblPr>
        <w:tblStyle w:val="TableTGAblue"/>
        <w:tblW w:w="9214" w:type="dxa"/>
        <w:tblLayout w:type="fixed"/>
        <w:tblLook w:val="0620" w:firstRow="1" w:lastRow="0" w:firstColumn="0" w:lastColumn="0" w:noHBand="1" w:noVBand="1"/>
      </w:tblPr>
      <w:tblGrid>
        <w:gridCol w:w="850"/>
        <w:gridCol w:w="1135"/>
        <w:gridCol w:w="1276"/>
        <w:gridCol w:w="992"/>
        <w:gridCol w:w="992"/>
        <w:gridCol w:w="40"/>
        <w:gridCol w:w="1094"/>
        <w:gridCol w:w="139"/>
        <w:gridCol w:w="995"/>
        <w:gridCol w:w="96"/>
        <w:gridCol w:w="46"/>
        <w:gridCol w:w="709"/>
        <w:gridCol w:w="850"/>
      </w:tblGrid>
      <w:tr w:rsidR="008D107F" w:rsidRPr="00AA0299" w:rsidTr="00773551">
        <w:trPr>
          <w:cnfStyle w:val="100000000000" w:firstRow="1" w:lastRow="0" w:firstColumn="0" w:lastColumn="0" w:oddVBand="0" w:evenVBand="0" w:oddHBand="0" w:evenHBand="0" w:firstRowFirstColumn="0" w:firstRowLastColumn="0" w:lastRowFirstColumn="0" w:lastRowLastColumn="0"/>
          <w:trHeight w:val="141"/>
          <w:tblHeader/>
        </w:trPr>
        <w:tc>
          <w:tcPr>
            <w:tcW w:w="5245" w:type="dxa"/>
            <w:gridSpan w:val="5"/>
          </w:tcPr>
          <w:p w:rsidR="008D107F" w:rsidRPr="00AA0299" w:rsidRDefault="008D107F" w:rsidP="00773551">
            <w:pPr>
              <w:tabs>
                <w:tab w:val="left" w:pos="634"/>
              </w:tabs>
              <w:ind w:left="0" w:right="67"/>
            </w:pPr>
            <w:r w:rsidRPr="00AA0299">
              <w:t>LCS12</w:t>
            </w:r>
          </w:p>
        </w:tc>
        <w:tc>
          <w:tcPr>
            <w:tcW w:w="3969" w:type="dxa"/>
            <w:gridSpan w:val="8"/>
          </w:tcPr>
          <w:p w:rsidR="008D107F" w:rsidRPr="00AA0299" w:rsidRDefault="008D107F" w:rsidP="00773551">
            <w:pPr>
              <w:ind w:left="1" w:right="68"/>
            </w:pPr>
            <w:r w:rsidRPr="00AA0299">
              <w:t>LCS16</w:t>
            </w:r>
          </w:p>
        </w:tc>
      </w:tr>
      <w:tr w:rsidR="00F938BC" w:rsidRPr="00AA0299" w:rsidTr="00773551">
        <w:trPr>
          <w:cnfStyle w:val="100000000000" w:firstRow="1" w:lastRow="0" w:firstColumn="0" w:lastColumn="0" w:oddVBand="0" w:evenVBand="0" w:oddHBand="0" w:evenHBand="0" w:firstRowFirstColumn="0" w:firstRowLastColumn="0" w:lastRowFirstColumn="0" w:lastRowLastColumn="0"/>
          <w:trHeight w:val="493"/>
          <w:tblHeader/>
        </w:trPr>
        <w:tc>
          <w:tcPr>
            <w:tcW w:w="850" w:type="dxa"/>
          </w:tcPr>
          <w:p w:rsidR="008D107F" w:rsidRPr="00AA0299" w:rsidRDefault="008D107F" w:rsidP="00773551">
            <w:pPr>
              <w:tabs>
                <w:tab w:val="left" w:pos="634"/>
              </w:tabs>
              <w:ind w:left="0" w:right="67"/>
            </w:pPr>
            <w:r w:rsidRPr="00AA0299">
              <w:t>Year</w:t>
            </w:r>
          </w:p>
        </w:tc>
        <w:tc>
          <w:tcPr>
            <w:tcW w:w="1135" w:type="dxa"/>
          </w:tcPr>
          <w:p w:rsidR="008D107F" w:rsidRPr="00AA0299" w:rsidRDefault="008D107F" w:rsidP="00773551">
            <w:pPr>
              <w:tabs>
                <w:tab w:val="left" w:pos="634"/>
              </w:tabs>
              <w:ind w:left="0" w:right="67"/>
            </w:pPr>
            <w:r w:rsidRPr="00AA0299">
              <w:t>No.</w:t>
            </w:r>
            <w:r w:rsidR="00883666" w:rsidRPr="00AA0299">
              <w:t xml:space="preserve"> </w:t>
            </w:r>
            <w:r w:rsidR="00F938BC" w:rsidRPr="00AA0299">
              <w:t xml:space="preserve">women/ no. </w:t>
            </w:r>
            <w:proofErr w:type="spellStart"/>
            <w:r w:rsidRPr="00AA0299">
              <w:t>preg</w:t>
            </w:r>
            <w:r w:rsidR="00F938BC" w:rsidRPr="00AA0299">
              <w:t>-</w:t>
            </w:r>
            <w:r w:rsidRPr="00AA0299">
              <w:t>nancies</w:t>
            </w:r>
            <w:proofErr w:type="spellEnd"/>
          </w:p>
        </w:tc>
        <w:tc>
          <w:tcPr>
            <w:tcW w:w="1276" w:type="dxa"/>
          </w:tcPr>
          <w:p w:rsidR="008D107F" w:rsidRPr="00AA0299" w:rsidRDefault="00773551" w:rsidP="00773551">
            <w:pPr>
              <w:tabs>
                <w:tab w:val="left" w:pos="634"/>
              </w:tabs>
              <w:ind w:left="0" w:right="67"/>
            </w:pPr>
            <w:r>
              <w:t>Relevant exposure time (</w:t>
            </w:r>
            <w:proofErr w:type="spellStart"/>
            <w:r>
              <w:t>wy</w:t>
            </w:r>
            <w:proofErr w:type="spellEnd"/>
            <w:r>
              <w:t>)</w:t>
            </w:r>
          </w:p>
        </w:tc>
        <w:tc>
          <w:tcPr>
            <w:tcW w:w="992" w:type="dxa"/>
          </w:tcPr>
          <w:p w:rsidR="008D107F" w:rsidRPr="00AA0299" w:rsidRDefault="008D107F" w:rsidP="00773551">
            <w:pPr>
              <w:tabs>
                <w:tab w:val="left" w:pos="634"/>
              </w:tabs>
              <w:ind w:left="0" w:right="67"/>
            </w:pPr>
            <w:r w:rsidRPr="00AA0299">
              <w:t xml:space="preserve">Pearl </w:t>
            </w:r>
            <w:r w:rsidR="00F938BC" w:rsidRPr="00AA0299">
              <w:t xml:space="preserve">index </w:t>
            </w:r>
            <w:proofErr w:type="spellStart"/>
            <w:r w:rsidRPr="00AA0299">
              <w:t>unadj</w:t>
            </w:r>
            <w:r w:rsidR="00B3081E" w:rsidRPr="00AA0299">
              <w:t>-</w:t>
            </w:r>
            <w:r w:rsidR="00F938BC" w:rsidRPr="00AA0299">
              <w:t>usted</w:t>
            </w:r>
            <w:proofErr w:type="spellEnd"/>
            <w:r w:rsidRPr="00AA0299">
              <w:t xml:space="preserve"> </w:t>
            </w:r>
          </w:p>
        </w:tc>
        <w:tc>
          <w:tcPr>
            <w:tcW w:w="992" w:type="dxa"/>
          </w:tcPr>
          <w:p w:rsidR="008D107F" w:rsidRPr="00AA0299" w:rsidRDefault="008D107F" w:rsidP="00773551">
            <w:pPr>
              <w:tabs>
                <w:tab w:val="left" w:pos="634"/>
              </w:tabs>
              <w:ind w:left="0" w:right="67"/>
            </w:pPr>
            <w:r w:rsidRPr="00AA0299">
              <w:t>Upper 95%</w:t>
            </w:r>
            <w:r w:rsidR="005C1674" w:rsidRPr="00AA0299">
              <w:t xml:space="preserve"> </w:t>
            </w:r>
            <w:r w:rsidRPr="00AA0299">
              <w:t xml:space="preserve">CI </w:t>
            </w:r>
          </w:p>
        </w:tc>
        <w:tc>
          <w:tcPr>
            <w:tcW w:w="1134" w:type="dxa"/>
            <w:gridSpan w:val="2"/>
          </w:tcPr>
          <w:p w:rsidR="008D107F" w:rsidRPr="00AA0299" w:rsidRDefault="008D107F" w:rsidP="00773551">
            <w:pPr>
              <w:ind w:left="1" w:right="68"/>
            </w:pPr>
            <w:r w:rsidRPr="00AA0299">
              <w:t>No. women/</w:t>
            </w:r>
            <w:r w:rsidR="00F938BC" w:rsidRPr="00AA0299">
              <w:t xml:space="preserve"> </w:t>
            </w:r>
            <w:r w:rsidRPr="00AA0299">
              <w:t xml:space="preserve">no. </w:t>
            </w:r>
            <w:proofErr w:type="spellStart"/>
            <w:r w:rsidRPr="00AA0299">
              <w:t>preg</w:t>
            </w:r>
            <w:r w:rsidR="00F938BC" w:rsidRPr="00AA0299">
              <w:t>-</w:t>
            </w:r>
            <w:r w:rsidR="00773551">
              <w:t>nancies</w:t>
            </w:r>
            <w:proofErr w:type="spellEnd"/>
          </w:p>
        </w:tc>
        <w:tc>
          <w:tcPr>
            <w:tcW w:w="1134" w:type="dxa"/>
            <w:gridSpan w:val="2"/>
          </w:tcPr>
          <w:p w:rsidR="008D107F" w:rsidRPr="00AA0299" w:rsidRDefault="00773551" w:rsidP="00773551">
            <w:pPr>
              <w:ind w:left="1" w:right="68"/>
            </w:pPr>
            <w:r>
              <w:t>Relevant exposure time (</w:t>
            </w:r>
            <w:proofErr w:type="spellStart"/>
            <w:r>
              <w:t>wy</w:t>
            </w:r>
            <w:proofErr w:type="spellEnd"/>
            <w:r>
              <w:t>)</w:t>
            </w:r>
          </w:p>
        </w:tc>
        <w:tc>
          <w:tcPr>
            <w:tcW w:w="851" w:type="dxa"/>
            <w:gridSpan w:val="3"/>
          </w:tcPr>
          <w:p w:rsidR="008D107F" w:rsidRPr="00AA0299" w:rsidRDefault="008D107F" w:rsidP="00773551">
            <w:pPr>
              <w:ind w:left="1" w:right="68"/>
            </w:pPr>
            <w:r w:rsidRPr="00AA0299">
              <w:t xml:space="preserve">Pearl </w:t>
            </w:r>
            <w:r w:rsidR="00F938BC" w:rsidRPr="00AA0299">
              <w:t xml:space="preserve">index </w:t>
            </w:r>
            <w:proofErr w:type="spellStart"/>
            <w:r w:rsidRPr="00AA0299">
              <w:t>unadj</w:t>
            </w:r>
            <w:proofErr w:type="spellEnd"/>
            <w:r w:rsidRPr="00AA0299">
              <w:t xml:space="preserve"> </w:t>
            </w:r>
            <w:r w:rsidR="00F938BC" w:rsidRPr="00AA0299">
              <w:t>-</w:t>
            </w:r>
            <w:proofErr w:type="spellStart"/>
            <w:r w:rsidR="00F938BC" w:rsidRPr="00AA0299">
              <w:t>usted</w:t>
            </w:r>
            <w:proofErr w:type="spellEnd"/>
          </w:p>
        </w:tc>
        <w:tc>
          <w:tcPr>
            <w:tcW w:w="850" w:type="dxa"/>
          </w:tcPr>
          <w:p w:rsidR="008D107F" w:rsidRPr="00AA0299" w:rsidRDefault="008D107F" w:rsidP="00773551">
            <w:pPr>
              <w:ind w:left="1" w:right="68"/>
            </w:pPr>
            <w:r w:rsidRPr="00AA0299">
              <w:t>Upper 95%</w:t>
            </w:r>
            <w:r w:rsidR="005C1674" w:rsidRPr="00AA0299">
              <w:t xml:space="preserve"> </w:t>
            </w:r>
            <w:r w:rsidR="00773551">
              <w:t>CI</w:t>
            </w:r>
          </w:p>
        </w:tc>
      </w:tr>
      <w:tr w:rsidR="008D107F" w:rsidRPr="00AA0299" w:rsidTr="00773551">
        <w:trPr>
          <w:trHeight w:val="141"/>
        </w:trPr>
        <w:tc>
          <w:tcPr>
            <w:tcW w:w="9214" w:type="dxa"/>
            <w:gridSpan w:val="13"/>
          </w:tcPr>
          <w:p w:rsidR="008D107F" w:rsidRPr="00AA0299" w:rsidRDefault="008D107F" w:rsidP="00773551">
            <w:pPr>
              <w:tabs>
                <w:tab w:val="left" w:pos="634"/>
              </w:tabs>
              <w:ind w:left="1" w:right="68"/>
              <w:rPr>
                <w:bCs/>
              </w:rPr>
            </w:pPr>
            <w:r w:rsidRPr="00AA0299">
              <w:rPr>
                <w:bCs/>
              </w:rPr>
              <w:t>PI by year of treatment and over 3 yea</w:t>
            </w:r>
            <w:r w:rsidR="00773551">
              <w:rPr>
                <w:bCs/>
              </w:rPr>
              <w:t>rs, women 18 to 35 years of age</w:t>
            </w:r>
            <w:r w:rsidRPr="00AA0299">
              <w:rPr>
                <w:bCs/>
              </w:rPr>
              <w:t xml:space="preserve"> (all women in study)</w:t>
            </w:r>
          </w:p>
        </w:tc>
      </w:tr>
      <w:tr w:rsidR="008D107F" w:rsidRPr="00AA0299" w:rsidTr="00773551">
        <w:trPr>
          <w:trHeight w:val="141"/>
        </w:trPr>
        <w:tc>
          <w:tcPr>
            <w:tcW w:w="850" w:type="dxa"/>
          </w:tcPr>
          <w:p w:rsidR="008D107F" w:rsidRPr="00AA0299" w:rsidRDefault="00773551" w:rsidP="00773551">
            <w:pPr>
              <w:tabs>
                <w:tab w:val="left" w:pos="634"/>
              </w:tabs>
              <w:ind w:left="0" w:right="67"/>
            </w:pPr>
            <w:r>
              <w:t>Y 1 PI</w:t>
            </w:r>
          </w:p>
        </w:tc>
        <w:tc>
          <w:tcPr>
            <w:tcW w:w="1135" w:type="dxa"/>
          </w:tcPr>
          <w:p w:rsidR="008D107F" w:rsidRPr="00AA0299" w:rsidRDefault="00773551" w:rsidP="00773551">
            <w:pPr>
              <w:tabs>
                <w:tab w:val="left" w:pos="634"/>
              </w:tabs>
              <w:ind w:left="0" w:right="67"/>
            </w:pPr>
            <w:r>
              <w:t>1432 / 5</w:t>
            </w:r>
          </w:p>
        </w:tc>
        <w:tc>
          <w:tcPr>
            <w:tcW w:w="1276" w:type="dxa"/>
          </w:tcPr>
          <w:p w:rsidR="008D107F" w:rsidRPr="00AA0299" w:rsidRDefault="00773551" w:rsidP="00773551">
            <w:pPr>
              <w:tabs>
                <w:tab w:val="left" w:pos="634"/>
              </w:tabs>
              <w:ind w:left="0" w:right="67"/>
            </w:pPr>
            <w:r>
              <w:t>1217.78</w:t>
            </w:r>
          </w:p>
        </w:tc>
        <w:tc>
          <w:tcPr>
            <w:tcW w:w="992" w:type="dxa"/>
          </w:tcPr>
          <w:p w:rsidR="008D107F" w:rsidRPr="00AA0299" w:rsidRDefault="00773551" w:rsidP="00773551">
            <w:pPr>
              <w:tabs>
                <w:tab w:val="left" w:pos="634"/>
              </w:tabs>
              <w:ind w:left="0" w:right="67"/>
            </w:pPr>
            <w:r>
              <w:t>0.41</w:t>
            </w:r>
          </w:p>
        </w:tc>
        <w:tc>
          <w:tcPr>
            <w:tcW w:w="992" w:type="dxa"/>
          </w:tcPr>
          <w:p w:rsidR="008D107F" w:rsidRPr="00AA0299" w:rsidRDefault="00773551" w:rsidP="00773551">
            <w:pPr>
              <w:tabs>
                <w:tab w:val="left" w:pos="634"/>
              </w:tabs>
              <w:ind w:left="0" w:right="67"/>
            </w:pPr>
            <w:r>
              <w:t>0.96</w:t>
            </w:r>
          </w:p>
        </w:tc>
        <w:tc>
          <w:tcPr>
            <w:tcW w:w="1134" w:type="dxa"/>
            <w:gridSpan w:val="2"/>
          </w:tcPr>
          <w:p w:rsidR="008D107F" w:rsidRPr="00AA0299" w:rsidRDefault="00773551" w:rsidP="00773551">
            <w:pPr>
              <w:ind w:left="1" w:right="68"/>
            </w:pPr>
            <w:r>
              <w:t>1452 / 2</w:t>
            </w:r>
          </w:p>
        </w:tc>
        <w:tc>
          <w:tcPr>
            <w:tcW w:w="1276" w:type="dxa"/>
            <w:gridSpan w:val="4"/>
          </w:tcPr>
          <w:p w:rsidR="008D107F" w:rsidRPr="00AA0299" w:rsidRDefault="00773551" w:rsidP="00773551">
            <w:pPr>
              <w:ind w:left="1" w:right="68"/>
            </w:pPr>
            <w:r>
              <w:t>1252.78</w:t>
            </w:r>
          </w:p>
        </w:tc>
        <w:tc>
          <w:tcPr>
            <w:tcW w:w="709" w:type="dxa"/>
          </w:tcPr>
          <w:p w:rsidR="008D107F" w:rsidRPr="00AA0299" w:rsidRDefault="00773551" w:rsidP="00773551">
            <w:pPr>
              <w:ind w:left="1" w:right="68"/>
            </w:pPr>
            <w:r>
              <w:t>0.16</w:t>
            </w:r>
          </w:p>
        </w:tc>
        <w:tc>
          <w:tcPr>
            <w:tcW w:w="850" w:type="dxa"/>
          </w:tcPr>
          <w:p w:rsidR="008D107F" w:rsidRPr="00AA0299" w:rsidRDefault="00773551" w:rsidP="00773551">
            <w:pPr>
              <w:ind w:left="1" w:right="68"/>
            </w:pPr>
            <w:r>
              <w:t>0.58</w:t>
            </w:r>
          </w:p>
        </w:tc>
      </w:tr>
      <w:tr w:rsidR="008D107F" w:rsidRPr="00AA0299" w:rsidTr="00773551">
        <w:trPr>
          <w:trHeight w:val="141"/>
        </w:trPr>
        <w:tc>
          <w:tcPr>
            <w:tcW w:w="850" w:type="dxa"/>
          </w:tcPr>
          <w:p w:rsidR="008D107F" w:rsidRPr="00AA0299" w:rsidRDefault="00773551" w:rsidP="00773551">
            <w:pPr>
              <w:tabs>
                <w:tab w:val="left" w:pos="634"/>
              </w:tabs>
              <w:ind w:left="0" w:right="67"/>
            </w:pPr>
            <w:r>
              <w:t>Y 2 PI</w:t>
            </w:r>
          </w:p>
        </w:tc>
        <w:tc>
          <w:tcPr>
            <w:tcW w:w="1135" w:type="dxa"/>
          </w:tcPr>
          <w:p w:rsidR="008D107F" w:rsidRPr="00AA0299" w:rsidRDefault="00773551" w:rsidP="00773551">
            <w:pPr>
              <w:tabs>
                <w:tab w:val="left" w:pos="634"/>
              </w:tabs>
              <w:ind w:left="0" w:right="67"/>
            </w:pPr>
            <w:r>
              <w:t>1162 / 3</w:t>
            </w:r>
          </w:p>
        </w:tc>
        <w:tc>
          <w:tcPr>
            <w:tcW w:w="1276" w:type="dxa"/>
          </w:tcPr>
          <w:p w:rsidR="008D107F" w:rsidRPr="00AA0299" w:rsidRDefault="00773551" w:rsidP="00773551">
            <w:pPr>
              <w:tabs>
                <w:tab w:val="left" w:pos="634"/>
              </w:tabs>
              <w:ind w:left="0" w:right="67"/>
            </w:pPr>
            <w:r>
              <w:t>1015.67</w:t>
            </w:r>
          </w:p>
        </w:tc>
        <w:tc>
          <w:tcPr>
            <w:tcW w:w="992" w:type="dxa"/>
          </w:tcPr>
          <w:p w:rsidR="008D107F" w:rsidRPr="00AA0299" w:rsidRDefault="00773551" w:rsidP="00773551">
            <w:pPr>
              <w:tabs>
                <w:tab w:val="left" w:pos="634"/>
              </w:tabs>
              <w:ind w:left="0" w:right="67"/>
            </w:pPr>
            <w:r>
              <w:t>0.30</w:t>
            </w:r>
          </w:p>
        </w:tc>
        <w:tc>
          <w:tcPr>
            <w:tcW w:w="992" w:type="dxa"/>
          </w:tcPr>
          <w:p w:rsidR="008D107F" w:rsidRPr="00AA0299" w:rsidRDefault="00773551" w:rsidP="00773551">
            <w:pPr>
              <w:tabs>
                <w:tab w:val="left" w:pos="634"/>
              </w:tabs>
              <w:ind w:left="0" w:right="67"/>
            </w:pPr>
            <w:r>
              <w:t>0.86</w:t>
            </w:r>
          </w:p>
        </w:tc>
        <w:tc>
          <w:tcPr>
            <w:tcW w:w="1134" w:type="dxa"/>
            <w:gridSpan w:val="2"/>
          </w:tcPr>
          <w:p w:rsidR="008D107F" w:rsidRPr="00AA0299" w:rsidRDefault="00773551" w:rsidP="00773551">
            <w:pPr>
              <w:ind w:left="1" w:right="68"/>
            </w:pPr>
            <w:r>
              <w:t>1206 / 4</w:t>
            </w:r>
          </w:p>
        </w:tc>
        <w:tc>
          <w:tcPr>
            <w:tcW w:w="1276" w:type="dxa"/>
            <w:gridSpan w:val="4"/>
          </w:tcPr>
          <w:p w:rsidR="008D107F" w:rsidRPr="00AA0299" w:rsidRDefault="00773551" w:rsidP="00773551">
            <w:pPr>
              <w:ind w:left="1" w:right="68"/>
            </w:pPr>
            <w:r>
              <w:t>1067.49</w:t>
            </w:r>
          </w:p>
        </w:tc>
        <w:tc>
          <w:tcPr>
            <w:tcW w:w="709" w:type="dxa"/>
          </w:tcPr>
          <w:p w:rsidR="008D107F" w:rsidRPr="00AA0299" w:rsidRDefault="00773551" w:rsidP="00773551">
            <w:pPr>
              <w:ind w:left="1" w:right="68"/>
            </w:pPr>
            <w:r>
              <w:t>0.37</w:t>
            </w:r>
          </w:p>
        </w:tc>
        <w:tc>
          <w:tcPr>
            <w:tcW w:w="850" w:type="dxa"/>
          </w:tcPr>
          <w:p w:rsidR="008D107F" w:rsidRPr="00AA0299" w:rsidRDefault="00773551" w:rsidP="00773551">
            <w:pPr>
              <w:ind w:left="1" w:right="68"/>
            </w:pPr>
            <w:r>
              <w:t>0.96</w:t>
            </w:r>
          </w:p>
        </w:tc>
      </w:tr>
      <w:tr w:rsidR="008D107F" w:rsidRPr="00AA0299" w:rsidTr="00773551">
        <w:trPr>
          <w:trHeight w:val="141"/>
        </w:trPr>
        <w:tc>
          <w:tcPr>
            <w:tcW w:w="850" w:type="dxa"/>
          </w:tcPr>
          <w:p w:rsidR="008D107F" w:rsidRPr="00AA0299" w:rsidRDefault="00773551" w:rsidP="00773551">
            <w:pPr>
              <w:tabs>
                <w:tab w:val="left" w:pos="634"/>
              </w:tabs>
              <w:ind w:left="0" w:right="67"/>
            </w:pPr>
            <w:r>
              <w:t>Y 3 PI</w:t>
            </w:r>
          </w:p>
        </w:tc>
        <w:tc>
          <w:tcPr>
            <w:tcW w:w="1135" w:type="dxa"/>
          </w:tcPr>
          <w:p w:rsidR="008D107F" w:rsidRPr="00AA0299" w:rsidRDefault="00773551" w:rsidP="00773551">
            <w:pPr>
              <w:tabs>
                <w:tab w:val="left" w:pos="634"/>
              </w:tabs>
              <w:ind w:left="0" w:right="67"/>
            </w:pPr>
            <w:r>
              <w:t>960 / 2</w:t>
            </w:r>
          </w:p>
        </w:tc>
        <w:tc>
          <w:tcPr>
            <w:tcW w:w="1276" w:type="dxa"/>
          </w:tcPr>
          <w:p w:rsidR="008D107F" w:rsidRPr="00AA0299" w:rsidRDefault="00773551" w:rsidP="00773551">
            <w:pPr>
              <w:tabs>
                <w:tab w:val="left" w:pos="634"/>
              </w:tabs>
              <w:ind w:left="0" w:right="67"/>
            </w:pPr>
            <w:r>
              <w:t>825.17</w:t>
            </w:r>
          </w:p>
        </w:tc>
        <w:tc>
          <w:tcPr>
            <w:tcW w:w="992" w:type="dxa"/>
          </w:tcPr>
          <w:p w:rsidR="008D107F" w:rsidRPr="00AA0299" w:rsidRDefault="00773551" w:rsidP="00773551">
            <w:pPr>
              <w:tabs>
                <w:tab w:val="left" w:pos="634"/>
              </w:tabs>
              <w:ind w:left="0" w:right="67"/>
            </w:pPr>
            <w:r>
              <w:t>0.24</w:t>
            </w:r>
          </w:p>
        </w:tc>
        <w:tc>
          <w:tcPr>
            <w:tcW w:w="992" w:type="dxa"/>
          </w:tcPr>
          <w:p w:rsidR="008D107F" w:rsidRPr="00AA0299" w:rsidRDefault="00773551" w:rsidP="00773551">
            <w:pPr>
              <w:tabs>
                <w:tab w:val="left" w:pos="634"/>
              </w:tabs>
              <w:ind w:left="0" w:right="67"/>
            </w:pPr>
            <w:r>
              <w:t>0.88</w:t>
            </w:r>
          </w:p>
        </w:tc>
        <w:tc>
          <w:tcPr>
            <w:tcW w:w="1134" w:type="dxa"/>
            <w:gridSpan w:val="2"/>
          </w:tcPr>
          <w:p w:rsidR="008D107F" w:rsidRPr="00AA0299" w:rsidRDefault="00773551" w:rsidP="00773551">
            <w:pPr>
              <w:ind w:left="1" w:right="68"/>
            </w:pPr>
            <w:r>
              <w:t>1010 / 4</w:t>
            </w:r>
          </w:p>
        </w:tc>
        <w:tc>
          <w:tcPr>
            <w:tcW w:w="1276" w:type="dxa"/>
            <w:gridSpan w:val="4"/>
          </w:tcPr>
          <w:p w:rsidR="008D107F" w:rsidRPr="00AA0299" w:rsidRDefault="00773551" w:rsidP="00773551">
            <w:pPr>
              <w:ind w:left="1" w:right="68"/>
            </w:pPr>
            <w:r>
              <w:t>891.09</w:t>
            </w:r>
          </w:p>
        </w:tc>
        <w:tc>
          <w:tcPr>
            <w:tcW w:w="709" w:type="dxa"/>
          </w:tcPr>
          <w:p w:rsidR="008D107F" w:rsidRPr="00AA0299" w:rsidRDefault="00773551" w:rsidP="00773551">
            <w:pPr>
              <w:ind w:left="1" w:right="68"/>
            </w:pPr>
            <w:r>
              <w:t>0.45</w:t>
            </w:r>
          </w:p>
        </w:tc>
        <w:tc>
          <w:tcPr>
            <w:tcW w:w="850" w:type="dxa"/>
          </w:tcPr>
          <w:p w:rsidR="008D107F" w:rsidRPr="00AA0299" w:rsidRDefault="00773551" w:rsidP="00773551">
            <w:pPr>
              <w:ind w:left="1" w:right="68"/>
            </w:pPr>
            <w:r>
              <w:t>1.15</w:t>
            </w:r>
          </w:p>
        </w:tc>
      </w:tr>
      <w:tr w:rsidR="008D107F" w:rsidRPr="00AA0299" w:rsidTr="00773551">
        <w:trPr>
          <w:trHeight w:val="141"/>
        </w:trPr>
        <w:tc>
          <w:tcPr>
            <w:tcW w:w="850" w:type="dxa"/>
          </w:tcPr>
          <w:p w:rsidR="008D107F" w:rsidRPr="00AA0299" w:rsidRDefault="00773551" w:rsidP="00773551">
            <w:pPr>
              <w:tabs>
                <w:tab w:val="left" w:pos="634"/>
              </w:tabs>
              <w:ind w:left="0" w:right="67"/>
              <w:rPr>
                <w:bCs/>
              </w:rPr>
            </w:pPr>
            <w:r>
              <w:rPr>
                <w:bCs/>
              </w:rPr>
              <w:t>3-year PI</w:t>
            </w:r>
          </w:p>
        </w:tc>
        <w:tc>
          <w:tcPr>
            <w:tcW w:w="1135" w:type="dxa"/>
          </w:tcPr>
          <w:p w:rsidR="008D107F" w:rsidRPr="00AA0299" w:rsidRDefault="00773551" w:rsidP="00773551">
            <w:pPr>
              <w:tabs>
                <w:tab w:val="left" w:pos="634"/>
              </w:tabs>
              <w:ind w:left="0" w:right="67"/>
            </w:pPr>
            <w:r>
              <w:t>1432 / 10</w:t>
            </w:r>
          </w:p>
        </w:tc>
        <w:tc>
          <w:tcPr>
            <w:tcW w:w="1276" w:type="dxa"/>
          </w:tcPr>
          <w:p w:rsidR="008D107F" w:rsidRPr="00AA0299" w:rsidRDefault="00773551" w:rsidP="00773551">
            <w:pPr>
              <w:tabs>
                <w:tab w:val="left" w:pos="634"/>
              </w:tabs>
              <w:ind w:left="0" w:right="67"/>
            </w:pPr>
            <w:r>
              <w:t>3058.62</w:t>
            </w:r>
          </w:p>
        </w:tc>
        <w:tc>
          <w:tcPr>
            <w:tcW w:w="992" w:type="dxa"/>
          </w:tcPr>
          <w:p w:rsidR="008D107F" w:rsidRPr="00AA0299" w:rsidRDefault="00773551" w:rsidP="00773551">
            <w:pPr>
              <w:tabs>
                <w:tab w:val="left" w:pos="634"/>
              </w:tabs>
              <w:ind w:left="0" w:right="67"/>
            </w:pPr>
            <w:r>
              <w:t>0.33</w:t>
            </w:r>
          </w:p>
        </w:tc>
        <w:tc>
          <w:tcPr>
            <w:tcW w:w="992" w:type="dxa"/>
          </w:tcPr>
          <w:p w:rsidR="008D107F" w:rsidRPr="00AA0299" w:rsidRDefault="00773551" w:rsidP="00773551">
            <w:pPr>
              <w:tabs>
                <w:tab w:val="left" w:pos="634"/>
              </w:tabs>
              <w:ind w:left="0" w:right="67"/>
            </w:pPr>
            <w:r>
              <w:t>0.60</w:t>
            </w:r>
          </w:p>
        </w:tc>
        <w:tc>
          <w:tcPr>
            <w:tcW w:w="1134" w:type="dxa"/>
            <w:gridSpan w:val="2"/>
          </w:tcPr>
          <w:p w:rsidR="008D107F" w:rsidRPr="00AA0299" w:rsidRDefault="00773551" w:rsidP="00773551">
            <w:pPr>
              <w:ind w:left="1" w:right="68"/>
            </w:pPr>
            <w:r>
              <w:t>1452 / 10</w:t>
            </w:r>
          </w:p>
        </w:tc>
        <w:tc>
          <w:tcPr>
            <w:tcW w:w="1276" w:type="dxa"/>
            <w:gridSpan w:val="4"/>
          </w:tcPr>
          <w:p w:rsidR="008D107F" w:rsidRPr="00AA0299" w:rsidRDefault="00773551" w:rsidP="00773551">
            <w:pPr>
              <w:ind w:left="1" w:right="68"/>
            </w:pPr>
            <w:r>
              <w:t>3211.36</w:t>
            </w:r>
          </w:p>
        </w:tc>
        <w:tc>
          <w:tcPr>
            <w:tcW w:w="709" w:type="dxa"/>
          </w:tcPr>
          <w:p w:rsidR="008D107F" w:rsidRPr="00AA0299" w:rsidRDefault="00773551" w:rsidP="00773551">
            <w:pPr>
              <w:ind w:left="1" w:right="68"/>
            </w:pPr>
            <w:r>
              <w:t>0.31</w:t>
            </w:r>
          </w:p>
        </w:tc>
        <w:tc>
          <w:tcPr>
            <w:tcW w:w="850" w:type="dxa"/>
          </w:tcPr>
          <w:p w:rsidR="008D107F" w:rsidRPr="00AA0299" w:rsidRDefault="00773551" w:rsidP="00773551">
            <w:pPr>
              <w:ind w:left="1" w:right="68"/>
            </w:pPr>
            <w:r>
              <w:t>0.57</w:t>
            </w:r>
          </w:p>
        </w:tc>
      </w:tr>
      <w:tr w:rsidR="008D107F" w:rsidRPr="00AA0299" w:rsidTr="00773551">
        <w:trPr>
          <w:trHeight w:val="141"/>
        </w:trPr>
        <w:tc>
          <w:tcPr>
            <w:tcW w:w="9214" w:type="dxa"/>
            <w:gridSpan w:val="13"/>
          </w:tcPr>
          <w:p w:rsidR="008D107F" w:rsidRPr="00AA0299" w:rsidRDefault="008D107F" w:rsidP="00773551">
            <w:pPr>
              <w:tabs>
                <w:tab w:val="left" w:pos="634"/>
              </w:tabs>
              <w:ind w:left="1" w:right="68"/>
              <w:rPr>
                <w:bCs/>
              </w:rPr>
            </w:pPr>
            <w:r w:rsidRPr="00AA0299">
              <w:rPr>
                <w:bCs/>
              </w:rPr>
              <w:t>3-year PI, women 18 to 35 years of age and by subgroup</w:t>
            </w:r>
          </w:p>
        </w:tc>
      </w:tr>
      <w:tr w:rsidR="008D107F" w:rsidRPr="00AA0299" w:rsidTr="00773551">
        <w:trPr>
          <w:trHeight w:val="141"/>
        </w:trPr>
        <w:tc>
          <w:tcPr>
            <w:tcW w:w="9214" w:type="dxa"/>
            <w:gridSpan w:val="13"/>
          </w:tcPr>
          <w:p w:rsidR="008D107F" w:rsidRPr="00AA0299" w:rsidRDefault="00773551" w:rsidP="00773551">
            <w:pPr>
              <w:tabs>
                <w:tab w:val="left" w:pos="634"/>
              </w:tabs>
              <w:ind w:left="1" w:right="68"/>
              <w:rPr>
                <w:bCs/>
              </w:rPr>
            </w:pPr>
            <w:r>
              <w:rPr>
                <w:bCs/>
              </w:rPr>
              <w:t>Age</w:t>
            </w:r>
          </w:p>
        </w:tc>
      </w:tr>
      <w:tr w:rsidR="008D107F" w:rsidRPr="00AA0299" w:rsidTr="00773551">
        <w:trPr>
          <w:trHeight w:val="141"/>
        </w:trPr>
        <w:tc>
          <w:tcPr>
            <w:tcW w:w="850" w:type="dxa"/>
          </w:tcPr>
          <w:p w:rsidR="008D107F" w:rsidRPr="00AA0299" w:rsidRDefault="008D107F" w:rsidP="00773551">
            <w:pPr>
              <w:tabs>
                <w:tab w:val="left" w:pos="634"/>
              </w:tabs>
              <w:ind w:left="0" w:right="67"/>
            </w:pPr>
            <w:r w:rsidRPr="00AA0299">
              <w:t xml:space="preserve">18-35 </w:t>
            </w:r>
          </w:p>
        </w:tc>
        <w:tc>
          <w:tcPr>
            <w:tcW w:w="1135" w:type="dxa"/>
          </w:tcPr>
          <w:p w:rsidR="008D107F" w:rsidRPr="00AA0299" w:rsidRDefault="008D107F" w:rsidP="00773551">
            <w:pPr>
              <w:tabs>
                <w:tab w:val="left" w:pos="634"/>
              </w:tabs>
              <w:ind w:left="0" w:right="67"/>
            </w:pPr>
            <w:r w:rsidRPr="00AA0299">
              <w:t xml:space="preserve">1432 / 10 </w:t>
            </w:r>
          </w:p>
        </w:tc>
        <w:tc>
          <w:tcPr>
            <w:tcW w:w="1276" w:type="dxa"/>
          </w:tcPr>
          <w:p w:rsidR="008D107F" w:rsidRPr="00AA0299" w:rsidRDefault="008D107F" w:rsidP="00773551">
            <w:pPr>
              <w:tabs>
                <w:tab w:val="left" w:pos="634"/>
              </w:tabs>
              <w:ind w:left="0" w:right="67"/>
            </w:pPr>
            <w:r w:rsidRPr="00AA0299">
              <w:t xml:space="preserve">3058.62 </w:t>
            </w:r>
          </w:p>
        </w:tc>
        <w:tc>
          <w:tcPr>
            <w:tcW w:w="992" w:type="dxa"/>
          </w:tcPr>
          <w:p w:rsidR="008D107F" w:rsidRPr="00AA0299" w:rsidRDefault="008D107F" w:rsidP="00773551">
            <w:pPr>
              <w:tabs>
                <w:tab w:val="left" w:pos="634"/>
              </w:tabs>
              <w:ind w:left="0" w:right="67"/>
            </w:pPr>
            <w:r w:rsidRPr="00AA0299">
              <w:t xml:space="preserve">0.33 </w:t>
            </w:r>
          </w:p>
        </w:tc>
        <w:tc>
          <w:tcPr>
            <w:tcW w:w="992" w:type="dxa"/>
          </w:tcPr>
          <w:p w:rsidR="008D107F" w:rsidRPr="00AA0299" w:rsidRDefault="008D107F" w:rsidP="00773551">
            <w:pPr>
              <w:tabs>
                <w:tab w:val="left" w:pos="634"/>
              </w:tabs>
              <w:ind w:left="0" w:right="67"/>
            </w:pPr>
            <w:r w:rsidRPr="00AA0299">
              <w:t xml:space="preserve">0.60 </w:t>
            </w:r>
          </w:p>
        </w:tc>
        <w:tc>
          <w:tcPr>
            <w:tcW w:w="1134" w:type="dxa"/>
            <w:gridSpan w:val="2"/>
          </w:tcPr>
          <w:p w:rsidR="008D107F" w:rsidRPr="00AA0299" w:rsidRDefault="008D107F" w:rsidP="00773551">
            <w:pPr>
              <w:ind w:left="1" w:right="68"/>
            </w:pPr>
            <w:r w:rsidRPr="00AA0299">
              <w:t xml:space="preserve">1452 / 10 </w:t>
            </w:r>
          </w:p>
        </w:tc>
        <w:tc>
          <w:tcPr>
            <w:tcW w:w="1276" w:type="dxa"/>
            <w:gridSpan w:val="4"/>
          </w:tcPr>
          <w:p w:rsidR="008D107F" w:rsidRPr="00AA0299" w:rsidRDefault="008D107F" w:rsidP="00773551">
            <w:pPr>
              <w:ind w:left="1" w:right="68"/>
            </w:pPr>
            <w:r w:rsidRPr="00AA0299">
              <w:t xml:space="preserve">3211.36 </w:t>
            </w:r>
          </w:p>
        </w:tc>
        <w:tc>
          <w:tcPr>
            <w:tcW w:w="709" w:type="dxa"/>
          </w:tcPr>
          <w:p w:rsidR="008D107F" w:rsidRPr="00AA0299" w:rsidRDefault="008D107F" w:rsidP="00773551">
            <w:pPr>
              <w:ind w:left="1" w:right="68"/>
            </w:pPr>
            <w:r w:rsidRPr="00AA0299">
              <w:t xml:space="preserve">0.31 </w:t>
            </w:r>
          </w:p>
        </w:tc>
        <w:tc>
          <w:tcPr>
            <w:tcW w:w="850" w:type="dxa"/>
          </w:tcPr>
          <w:p w:rsidR="008D107F" w:rsidRPr="00AA0299" w:rsidRDefault="008D107F" w:rsidP="00773551">
            <w:pPr>
              <w:ind w:left="1" w:right="68"/>
            </w:pPr>
            <w:r w:rsidRPr="00AA0299">
              <w:t xml:space="preserve">0.57 </w:t>
            </w:r>
          </w:p>
        </w:tc>
      </w:tr>
      <w:tr w:rsidR="008D107F" w:rsidRPr="00AA0299" w:rsidTr="00773551">
        <w:trPr>
          <w:trHeight w:val="141"/>
        </w:trPr>
        <w:tc>
          <w:tcPr>
            <w:tcW w:w="850" w:type="dxa"/>
          </w:tcPr>
          <w:p w:rsidR="008D107F" w:rsidRPr="00AA0299" w:rsidRDefault="008D107F" w:rsidP="00773551">
            <w:pPr>
              <w:tabs>
                <w:tab w:val="left" w:pos="634"/>
              </w:tabs>
              <w:ind w:left="0" w:right="67"/>
            </w:pPr>
            <w:r w:rsidRPr="00AA0299">
              <w:t xml:space="preserve">18-25 </w:t>
            </w:r>
          </w:p>
        </w:tc>
        <w:tc>
          <w:tcPr>
            <w:tcW w:w="1135" w:type="dxa"/>
          </w:tcPr>
          <w:p w:rsidR="008D107F" w:rsidRPr="00AA0299" w:rsidRDefault="008D107F" w:rsidP="00773551">
            <w:pPr>
              <w:tabs>
                <w:tab w:val="left" w:pos="634"/>
              </w:tabs>
              <w:ind w:left="0" w:right="67"/>
            </w:pPr>
            <w:r w:rsidRPr="00AA0299">
              <w:t xml:space="preserve">566 / 4 </w:t>
            </w:r>
          </w:p>
        </w:tc>
        <w:tc>
          <w:tcPr>
            <w:tcW w:w="1276" w:type="dxa"/>
          </w:tcPr>
          <w:p w:rsidR="008D107F" w:rsidRPr="00AA0299" w:rsidRDefault="008D107F" w:rsidP="00773551">
            <w:pPr>
              <w:tabs>
                <w:tab w:val="left" w:pos="634"/>
              </w:tabs>
              <w:ind w:left="0" w:right="67"/>
            </w:pPr>
            <w:r w:rsidRPr="00AA0299">
              <w:t xml:space="preserve">1114.21 </w:t>
            </w:r>
          </w:p>
        </w:tc>
        <w:tc>
          <w:tcPr>
            <w:tcW w:w="992" w:type="dxa"/>
          </w:tcPr>
          <w:p w:rsidR="008D107F" w:rsidRPr="00AA0299" w:rsidRDefault="008D107F" w:rsidP="00773551">
            <w:pPr>
              <w:tabs>
                <w:tab w:val="left" w:pos="634"/>
              </w:tabs>
              <w:ind w:left="0" w:right="67"/>
            </w:pPr>
            <w:r w:rsidRPr="00AA0299">
              <w:t xml:space="preserve">0.36 </w:t>
            </w:r>
          </w:p>
        </w:tc>
        <w:tc>
          <w:tcPr>
            <w:tcW w:w="992" w:type="dxa"/>
          </w:tcPr>
          <w:p w:rsidR="008D107F" w:rsidRPr="00AA0299" w:rsidRDefault="008D107F" w:rsidP="00773551">
            <w:pPr>
              <w:tabs>
                <w:tab w:val="left" w:pos="634"/>
              </w:tabs>
              <w:ind w:left="0" w:right="67"/>
            </w:pPr>
            <w:r w:rsidRPr="00AA0299">
              <w:t xml:space="preserve">0.92 </w:t>
            </w:r>
          </w:p>
        </w:tc>
        <w:tc>
          <w:tcPr>
            <w:tcW w:w="1134" w:type="dxa"/>
            <w:gridSpan w:val="2"/>
          </w:tcPr>
          <w:p w:rsidR="008D107F" w:rsidRPr="00AA0299" w:rsidRDefault="008D107F" w:rsidP="00773551">
            <w:pPr>
              <w:ind w:left="1" w:right="68"/>
            </w:pPr>
            <w:r w:rsidRPr="00AA0299">
              <w:t xml:space="preserve">564 / 2 </w:t>
            </w:r>
          </w:p>
        </w:tc>
        <w:tc>
          <w:tcPr>
            <w:tcW w:w="1276" w:type="dxa"/>
            <w:gridSpan w:val="4"/>
          </w:tcPr>
          <w:p w:rsidR="008D107F" w:rsidRPr="00AA0299" w:rsidRDefault="008D107F" w:rsidP="00773551">
            <w:pPr>
              <w:ind w:left="1" w:right="68"/>
            </w:pPr>
            <w:r w:rsidRPr="00AA0299">
              <w:t xml:space="preserve">1207.19 </w:t>
            </w:r>
          </w:p>
        </w:tc>
        <w:tc>
          <w:tcPr>
            <w:tcW w:w="709" w:type="dxa"/>
          </w:tcPr>
          <w:p w:rsidR="008D107F" w:rsidRPr="00AA0299" w:rsidRDefault="008D107F" w:rsidP="00773551">
            <w:pPr>
              <w:ind w:left="1" w:right="68"/>
            </w:pPr>
            <w:r w:rsidRPr="00AA0299">
              <w:t xml:space="preserve">0.17 </w:t>
            </w:r>
          </w:p>
        </w:tc>
        <w:tc>
          <w:tcPr>
            <w:tcW w:w="850" w:type="dxa"/>
          </w:tcPr>
          <w:p w:rsidR="008D107F" w:rsidRPr="00AA0299" w:rsidRDefault="008D107F" w:rsidP="00773551">
            <w:pPr>
              <w:ind w:left="1" w:right="68"/>
            </w:pPr>
            <w:r w:rsidRPr="00AA0299">
              <w:t xml:space="preserve">0.60 </w:t>
            </w:r>
          </w:p>
        </w:tc>
      </w:tr>
      <w:tr w:rsidR="008D107F" w:rsidRPr="00AA0299" w:rsidTr="00773551">
        <w:trPr>
          <w:trHeight w:val="141"/>
        </w:trPr>
        <w:tc>
          <w:tcPr>
            <w:tcW w:w="850" w:type="dxa"/>
          </w:tcPr>
          <w:p w:rsidR="008D107F" w:rsidRPr="00AA0299" w:rsidRDefault="008D107F" w:rsidP="00773551">
            <w:pPr>
              <w:tabs>
                <w:tab w:val="left" w:pos="634"/>
              </w:tabs>
              <w:ind w:left="0" w:right="67"/>
            </w:pPr>
            <w:r w:rsidRPr="00AA0299">
              <w:t xml:space="preserve">26-35 </w:t>
            </w:r>
          </w:p>
        </w:tc>
        <w:tc>
          <w:tcPr>
            <w:tcW w:w="1135" w:type="dxa"/>
          </w:tcPr>
          <w:p w:rsidR="008D107F" w:rsidRPr="00AA0299" w:rsidRDefault="008D107F" w:rsidP="00773551">
            <w:pPr>
              <w:tabs>
                <w:tab w:val="left" w:pos="634"/>
              </w:tabs>
              <w:ind w:left="0" w:right="67"/>
            </w:pPr>
            <w:r w:rsidRPr="00AA0299">
              <w:t xml:space="preserve">866 / 6 </w:t>
            </w:r>
          </w:p>
        </w:tc>
        <w:tc>
          <w:tcPr>
            <w:tcW w:w="1276" w:type="dxa"/>
          </w:tcPr>
          <w:p w:rsidR="008D107F" w:rsidRPr="00AA0299" w:rsidRDefault="008D107F" w:rsidP="00773551">
            <w:pPr>
              <w:tabs>
                <w:tab w:val="left" w:pos="634"/>
              </w:tabs>
              <w:ind w:left="0" w:right="67"/>
            </w:pPr>
            <w:r w:rsidRPr="00AA0299">
              <w:t xml:space="preserve">1944.41 </w:t>
            </w:r>
          </w:p>
        </w:tc>
        <w:tc>
          <w:tcPr>
            <w:tcW w:w="992" w:type="dxa"/>
          </w:tcPr>
          <w:p w:rsidR="008D107F" w:rsidRPr="00AA0299" w:rsidRDefault="008D107F" w:rsidP="00773551">
            <w:pPr>
              <w:tabs>
                <w:tab w:val="left" w:pos="634"/>
              </w:tabs>
              <w:ind w:left="0" w:right="67"/>
            </w:pPr>
            <w:r w:rsidRPr="00AA0299">
              <w:t xml:space="preserve">0.31 </w:t>
            </w:r>
          </w:p>
        </w:tc>
        <w:tc>
          <w:tcPr>
            <w:tcW w:w="992" w:type="dxa"/>
          </w:tcPr>
          <w:p w:rsidR="008D107F" w:rsidRPr="00AA0299" w:rsidRDefault="008D107F" w:rsidP="00773551">
            <w:pPr>
              <w:tabs>
                <w:tab w:val="left" w:pos="634"/>
              </w:tabs>
              <w:ind w:left="0" w:right="67"/>
            </w:pPr>
            <w:r w:rsidRPr="00AA0299">
              <w:t xml:space="preserve">0.67 </w:t>
            </w:r>
          </w:p>
        </w:tc>
        <w:tc>
          <w:tcPr>
            <w:tcW w:w="1134" w:type="dxa"/>
            <w:gridSpan w:val="2"/>
          </w:tcPr>
          <w:p w:rsidR="008D107F" w:rsidRPr="00AA0299" w:rsidRDefault="008D107F" w:rsidP="00773551">
            <w:pPr>
              <w:ind w:left="1" w:right="68"/>
            </w:pPr>
            <w:r w:rsidRPr="00AA0299">
              <w:t xml:space="preserve">888 / 8 </w:t>
            </w:r>
          </w:p>
        </w:tc>
        <w:tc>
          <w:tcPr>
            <w:tcW w:w="1276" w:type="dxa"/>
            <w:gridSpan w:val="4"/>
          </w:tcPr>
          <w:p w:rsidR="008D107F" w:rsidRPr="00AA0299" w:rsidRDefault="008D107F" w:rsidP="00773551">
            <w:pPr>
              <w:ind w:left="1" w:right="68"/>
            </w:pPr>
            <w:r w:rsidRPr="00AA0299">
              <w:t xml:space="preserve">2004.17 </w:t>
            </w:r>
          </w:p>
        </w:tc>
        <w:tc>
          <w:tcPr>
            <w:tcW w:w="709" w:type="dxa"/>
          </w:tcPr>
          <w:p w:rsidR="008D107F" w:rsidRPr="00AA0299" w:rsidRDefault="008D107F" w:rsidP="00773551">
            <w:pPr>
              <w:ind w:left="1" w:right="68"/>
            </w:pPr>
            <w:r w:rsidRPr="00AA0299">
              <w:t xml:space="preserve">0.40 </w:t>
            </w:r>
          </w:p>
        </w:tc>
        <w:tc>
          <w:tcPr>
            <w:tcW w:w="850" w:type="dxa"/>
          </w:tcPr>
          <w:p w:rsidR="008D107F" w:rsidRPr="00AA0299" w:rsidRDefault="008D107F" w:rsidP="00773551">
            <w:pPr>
              <w:ind w:left="1" w:right="68"/>
            </w:pPr>
            <w:r w:rsidRPr="00AA0299">
              <w:t xml:space="preserve">0.79 </w:t>
            </w:r>
          </w:p>
        </w:tc>
      </w:tr>
      <w:tr w:rsidR="008D107F" w:rsidRPr="00AA0299" w:rsidTr="00773551">
        <w:trPr>
          <w:trHeight w:val="141"/>
        </w:trPr>
        <w:tc>
          <w:tcPr>
            <w:tcW w:w="9214" w:type="dxa"/>
            <w:gridSpan w:val="13"/>
          </w:tcPr>
          <w:p w:rsidR="008D107F" w:rsidRPr="00AA0299" w:rsidRDefault="008D107F" w:rsidP="00773551">
            <w:pPr>
              <w:tabs>
                <w:tab w:val="left" w:pos="634"/>
              </w:tabs>
              <w:ind w:left="1" w:right="68"/>
              <w:rPr>
                <w:bCs/>
              </w:rPr>
            </w:pPr>
            <w:r w:rsidRPr="00AA0299">
              <w:rPr>
                <w:bCs/>
              </w:rPr>
              <w:t>Parity</w:t>
            </w:r>
          </w:p>
        </w:tc>
      </w:tr>
      <w:tr w:rsidR="008D107F" w:rsidRPr="00AA0299" w:rsidTr="00773551">
        <w:trPr>
          <w:trHeight w:val="141"/>
        </w:trPr>
        <w:tc>
          <w:tcPr>
            <w:tcW w:w="850" w:type="dxa"/>
          </w:tcPr>
          <w:p w:rsidR="008D107F" w:rsidRPr="000A2760" w:rsidRDefault="008D107F" w:rsidP="00773551">
            <w:pPr>
              <w:tabs>
                <w:tab w:val="left" w:pos="634"/>
              </w:tabs>
              <w:ind w:left="0" w:right="67"/>
            </w:pPr>
            <w:proofErr w:type="spellStart"/>
            <w:r w:rsidRPr="000A2760">
              <w:t>Nulli</w:t>
            </w:r>
            <w:r w:rsidR="00AA0299" w:rsidRPr="000A2760">
              <w:t>-</w:t>
            </w:r>
            <w:r w:rsidRPr="000A2760">
              <w:t>par</w:t>
            </w:r>
            <w:r w:rsidR="00F938BC" w:rsidRPr="000A2760">
              <w:t>ous</w:t>
            </w:r>
            <w:proofErr w:type="spellEnd"/>
            <w:r w:rsidRPr="000A2760">
              <w:t xml:space="preserve"> </w:t>
            </w:r>
          </w:p>
        </w:tc>
        <w:tc>
          <w:tcPr>
            <w:tcW w:w="1135" w:type="dxa"/>
          </w:tcPr>
          <w:p w:rsidR="008D107F" w:rsidRPr="00AA0299" w:rsidRDefault="008D107F" w:rsidP="00773551">
            <w:pPr>
              <w:tabs>
                <w:tab w:val="left" w:pos="634"/>
              </w:tabs>
              <w:ind w:left="0" w:right="67"/>
            </w:pPr>
            <w:r w:rsidRPr="00AA0299">
              <w:t xml:space="preserve">556 / 4 </w:t>
            </w:r>
          </w:p>
        </w:tc>
        <w:tc>
          <w:tcPr>
            <w:tcW w:w="1276" w:type="dxa"/>
          </w:tcPr>
          <w:p w:rsidR="008D107F" w:rsidRPr="00AA0299" w:rsidRDefault="008D107F" w:rsidP="00773551">
            <w:pPr>
              <w:tabs>
                <w:tab w:val="left" w:pos="634"/>
              </w:tabs>
              <w:ind w:left="0" w:right="67"/>
            </w:pPr>
            <w:r w:rsidRPr="00AA0299">
              <w:t xml:space="preserve">1110.63 </w:t>
            </w:r>
          </w:p>
        </w:tc>
        <w:tc>
          <w:tcPr>
            <w:tcW w:w="992" w:type="dxa"/>
          </w:tcPr>
          <w:p w:rsidR="008D107F" w:rsidRPr="00AA0299" w:rsidRDefault="008D107F" w:rsidP="00773551">
            <w:pPr>
              <w:tabs>
                <w:tab w:val="left" w:pos="634"/>
              </w:tabs>
              <w:ind w:left="0" w:right="67"/>
            </w:pPr>
            <w:r w:rsidRPr="00AA0299">
              <w:t xml:space="preserve">0.36 </w:t>
            </w:r>
          </w:p>
        </w:tc>
        <w:tc>
          <w:tcPr>
            <w:tcW w:w="992" w:type="dxa"/>
          </w:tcPr>
          <w:p w:rsidR="008D107F" w:rsidRPr="00AA0299" w:rsidRDefault="008D107F" w:rsidP="00773551">
            <w:pPr>
              <w:tabs>
                <w:tab w:val="left" w:pos="634"/>
              </w:tabs>
              <w:ind w:left="0" w:right="67"/>
            </w:pPr>
            <w:r w:rsidRPr="00AA0299">
              <w:t xml:space="preserve">0.92 </w:t>
            </w:r>
          </w:p>
        </w:tc>
        <w:tc>
          <w:tcPr>
            <w:tcW w:w="1134" w:type="dxa"/>
            <w:gridSpan w:val="2"/>
          </w:tcPr>
          <w:p w:rsidR="008D107F" w:rsidRPr="00AA0299" w:rsidRDefault="008D107F" w:rsidP="00773551">
            <w:pPr>
              <w:ind w:left="1" w:right="68"/>
            </w:pPr>
            <w:r w:rsidRPr="00AA0299">
              <w:t xml:space="preserve">574 / 3 </w:t>
            </w:r>
          </w:p>
        </w:tc>
        <w:tc>
          <w:tcPr>
            <w:tcW w:w="1230" w:type="dxa"/>
            <w:gridSpan w:val="3"/>
          </w:tcPr>
          <w:p w:rsidR="008D107F" w:rsidRPr="00AA0299" w:rsidRDefault="008D107F" w:rsidP="00773551">
            <w:pPr>
              <w:ind w:left="1" w:right="68"/>
            </w:pPr>
            <w:r w:rsidRPr="00AA0299">
              <w:t xml:space="preserve">1205.33 </w:t>
            </w:r>
          </w:p>
        </w:tc>
        <w:tc>
          <w:tcPr>
            <w:tcW w:w="755" w:type="dxa"/>
            <w:gridSpan w:val="2"/>
          </w:tcPr>
          <w:p w:rsidR="008D107F" w:rsidRPr="00AA0299" w:rsidRDefault="008D107F" w:rsidP="00773551">
            <w:pPr>
              <w:ind w:left="1" w:right="68"/>
            </w:pPr>
            <w:r w:rsidRPr="00AA0299">
              <w:t xml:space="preserve">0.25 </w:t>
            </w:r>
          </w:p>
        </w:tc>
        <w:tc>
          <w:tcPr>
            <w:tcW w:w="850" w:type="dxa"/>
          </w:tcPr>
          <w:p w:rsidR="008D107F" w:rsidRPr="00AA0299" w:rsidRDefault="008D107F" w:rsidP="00773551">
            <w:pPr>
              <w:ind w:left="1" w:right="68"/>
            </w:pPr>
            <w:r w:rsidRPr="00AA0299">
              <w:t xml:space="preserve">0.73 </w:t>
            </w:r>
          </w:p>
        </w:tc>
      </w:tr>
      <w:tr w:rsidR="008D107F" w:rsidRPr="00AA0299" w:rsidTr="00773551">
        <w:trPr>
          <w:trHeight w:val="141"/>
        </w:trPr>
        <w:tc>
          <w:tcPr>
            <w:tcW w:w="850" w:type="dxa"/>
          </w:tcPr>
          <w:p w:rsidR="008D107F" w:rsidRPr="000A2760" w:rsidRDefault="008D107F" w:rsidP="00773551">
            <w:pPr>
              <w:tabs>
                <w:tab w:val="left" w:pos="634"/>
              </w:tabs>
              <w:ind w:left="0" w:right="67"/>
            </w:pPr>
            <w:proofErr w:type="spellStart"/>
            <w:r w:rsidRPr="000A2760">
              <w:t>Parous</w:t>
            </w:r>
            <w:proofErr w:type="spellEnd"/>
            <w:r w:rsidRPr="000A2760">
              <w:t xml:space="preserve"> </w:t>
            </w:r>
          </w:p>
        </w:tc>
        <w:tc>
          <w:tcPr>
            <w:tcW w:w="1135" w:type="dxa"/>
          </w:tcPr>
          <w:p w:rsidR="008D107F" w:rsidRPr="00AA0299" w:rsidRDefault="008D107F" w:rsidP="00773551">
            <w:pPr>
              <w:tabs>
                <w:tab w:val="left" w:pos="634"/>
              </w:tabs>
              <w:ind w:left="0" w:right="67"/>
            </w:pPr>
            <w:r w:rsidRPr="00AA0299">
              <w:t xml:space="preserve">876 / 6 </w:t>
            </w:r>
          </w:p>
        </w:tc>
        <w:tc>
          <w:tcPr>
            <w:tcW w:w="1276" w:type="dxa"/>
          </w:tcPr>
          <w:p w:rsidR="008D107F" w:rsidRPr="00AA0299" w:rsidRDefault="008D107F" w:rsidP="00773551">
            <w:pPr>
              <w:tabs>
                <w:tab w:val="left" w:pos="634"/>
              </w:tabs>
              <w:ind w:left="0" w:right="67"/>
            </w:pPr>
            <w:r w:rsidRPr="00AA0299">
              <w:t xml:space="preserve">1947.99 </w:t>
            </w:r>
          </w:p>
        </w:tc>
        <w:tc>
          <w:tcPr>
            <w:tcW w:w="992" w:type="dxa"/>
          </w:tcPr>
          <w:p w:rsidR="008D107F" w:rsidRPr="00AA0299" w:rsidRDefault="008D107F" w:rsidP="00773551">
            <w:pPr>
              <w:tabs>
                <w:tab w:val="left" w:pos="634"/>
              </w:tabs>
              <w:ind w:left="0" w:right="67"/>
            </w:pPr>
            <w:r w:rsidRPr="00AA0299">
              <w:t xml:space="preserve">0.31 </w:t>
            </w:r>
          </w:p>
        </w:tc>
        <w:tc>
          <w:tcPr>
            <w:tcW w:w="992" w:type="dxa"/>
          </w:tcPr>
          <w:p w:rsidR="008D107F" w:rsidRPr="00AA0299" w:rsidRDefault="008D107F" w:rsidP="00773551">
            <w:pPr>
              <w:tabs>
                <w:tab w:val="left" w:pos="634"/>
              </w:tabs>
              <w:ind w:left="0" w:right="67"/>
            </w:pPr>
            <w:r w:rsidRPr="00AA0299">
              <w:t xml:space="preserve">0.67 </w:t>
            </w:r>
          </w:p>
        </w:tc>
        <w:tc>
          <w:tcPr>
            <w:tcW w:w="1134" w:type="dxa"/>
            <w:gridSpan w:val="2"/>
          </w:tcPr>
          <w:p w:rsidR="008D107F" w:rsidRPr="00AA0299" w:rsidRDefault="008D107F" w:rsidP="00773551">
            <w:pPr>
              <w:ind w:left="1" w:right="68"/>
            </w:pPr>
            <w:r w:rsidRPr="00AA0299">
              <w:t xml:space="preserve">878 / 7 </w:t>
            </w:r>
          </w:p>
        </w:tc>
        <w:tc>
          <w:tcPr>
            <w:tcW w:w="1230" w:type="dxa"/>
            <w:gridSpan w:val="3"/>
          </w:tcPr>
          <w:p w:rsidR="008D107F" w:rsidRPr="00AA0299" w:rsidRDefault="008D107F" w:rsidP="00773551">
            <w:pPr>
              <w:ind w:left="1" w:right="68"/>
            </w:pPr>
            <w:r w:rsidRPr="00AA0299">
              <w:t xml:space="preserve">2006.03 </w:t>
            </w:r>
          </w:p>
        </w:tc>
        <w:tc>
          <w:tcPr>
            <w:tcW w:w="755" w:type="dxa"/>
            <w:gridSpan w:val="2"/>
          </w:tcPr>
          <w:p w:rsidR="008D107F" w:rsidRPr="00AA0299" w:rsidRDefault="008D107F" w:rsidP="00773551">
            <w:pPr>
              <w:ind w:left="1" w:right="68"/>
            </w:pPr>
            <w:r w:rsidRPr="00AA0299">
              <w:t xml:space="preserve">0.35 </w:t>
            </w:r>
          </w:p>
        </w:tc>
        <w:tc>
          <w:tcPr>
            <w:tcW w:w="850" w:type="dxa"/>
          </w:tcPr>
          <w:p w:rsidR="008D107F" w:rsidRPr="00AA0299" w:rsidRDefault="008D107F" w:rsidP="00773551">
            <w:pPr>
              <w:ind w:left="1" w:right="68"/>
            </w:pPr>
            <w:r w:rsidRPr="00AA0299">
              <w:t xml:space="preserve">0.72 </w:t>
            </w:r>
          </w:p>
        </w:tc>
      </w:tr>
      <w:tr w:rsidR="008D107F" w:rsidRPr="00AA0299" w:rsidTr="00773551">
        <w:trPr>
          <w:trHeight w:val="141"/>
        </w:trPr>
        <w:tc>
          <w:tcPr>
            <w:tcW w:w="9214" w:type="dxa"/>
            <w:gridSpan w:val="13"/>
          </w:tcPr>
          <w:p w:rsidR="008D107F" w:rsidRPr="00AA0299" w:rsidRDefault="008D107F" w:rsidP="00773551">
            <w:pPr>
              <w:tabs>
                <w:tab w:val="left" w:pos="634"/>
              </w:tabs>
              <w:ind w:left="1" w:right="68"/>
              <w:rPr>
                <w:bCs/>
              </w:rPr>
            </w:pPr>
            <w:r w:rsidRPr="00AA0299">
              <w:rPr>
                <w:bCs/>
              </w:rPr>
              <w:t>BMI</w:t>
            </w:r>
          </w:p>
        </w:tc>
      </w:tr>
      <w:tr w:rsidR="008D107F" w:rsidRPr="00AA0299" w:rsidTr="00773551">
        <w:trPr>
          <w:trHeight w:val="141"/>
        </w:trPr>
        <w:tc>
          <w:tcPr>
            <w:tcW w:w="850" w:type="dxa"/>
          </w:tcPr>
          <w:p w:rsidR="008D107F" w:rsidRPr="00AA0299" w:rsidRDefault="008D107F" w:rsidP="00773551">
            <w:pPr>
              <w:tabs>
                <w:tab w:val="left" w:pos="634"/>
              </w:tabs>
              <w:ind w:left="0" w:right="67"/>
            </w:pPr>
            <w:r w:rsidRPr="00AA0299">
              <w:t>&lt;30 kg/m</w:t>
            </w:r>
            <w:r w:rsidRPr="00AA0299">
              <w:rPr>
                <w:vertAlign w:val="superscript"/>
              </w:rPr>
              <w:lastRenderedPageBreak/>
              <w:t xml:space="preserve">2 </w:t>
            </w:r>
          </w:p>
        </w:tc>
        <w:tc>
          <w:tcPr>
            <w:tcW w:w="1135" w:type="dxa"/>
          </w:tcPr>
          <w:p w:rsidR="008D107F" w:rsidRPr="00AA0299" w:rsidRDefault="008D107F" w:rsidP="00773551">
            <w:pPr>
              <w:tabs>
                <w:tab w:val="left" w:pos="634"/>
              </w:tabs>
              <w:ind w:left="0" w:right="67"/>
            </w:pPr>
            <w:r w:rsidRPr="00AA0299">
              <w:lastRenderedPageBreak/>
              <w:t xml:space="preserve">1187 / 9 </w:t>
            </w:r>
          </w:p>
        </w:tc>
        <w:tc>
          <w:tcPr>
            <w:tcW w:w="1276" w:type="dxa"/>
          </w:tcPr>
          <w:p w:rsidR="008D107F" w:rsidRPr="00AA0299" w:rsidRDefault="008D107F" w:rsidP="00773551">
            <w:pPr>
              <w:tabs>
                <w:tab w:val="left" w:pos="634"/>
              </w:tabs>
              <w:ind w:left="0" w:right="67"/>
            </w:pPr>
            <w:r w:rsidRPr="00AA0299">
              <w:t xml:space="preserve">2547.32 </w:t>
            </w:r>
          </w:p>
        </w:tc>
        <w:tc>
          <w:tcPr>
            <w:tcW w:w="992" w:type="dxa"/>
          </w:tcPr>
          <w:p w:rsidR="008D107F" w:rsidRPr="00AA0299" w:rsidRDefault="008D107F" w:rsidP="00773551">
            <w:pPr>
              <w:tabs>
                <w:tab w:val="left" w:pos="634"/>
              </w:tabs>
              <w:ind w:left="0" w:right="67"/>
            </w:pPr>
            <w:r w:rsidRPr="00AA0299">
              <w:t xml:space="preserve">0.35 </w:t>
            </w:r>
          </w:p>
        </w:tc>
        <w:tc>
          <w:tcPr>
            <w:tcW w:w="1032" w:type="dxa"/>
            <w:gridSpan w:val="2"/>
          </w:tcPr>
          <w:p w:rsidR="008D107F" w:rsidRPr="00AA0299" w:rsidRDefault="008D107F" w:rsidP="00773551">
            <w:pPr>
              <w:tabs>
                <w:tab w:val="left" w:pos="634"/>
              </w:tabs>
              <w:ind w:left="1" w:right="68"/>
            </w:pPr>
            <w:r w:rsidRPr="00AA0299">
              <w:t xml:space="preserve">0.67 </w:t>
            </w:r>
          </w:p>
        </w:tc>
        <w:tc>
          <w:tcPr>
            <w:tcW w:w="1233" w:type="dxa"/>
            <w:gridSpan w:val="2"/>
          </w:tcPr>
          <w:p w:rsidR="008D107F" w:rsidRPr="00AA0299" w:rsidRDefault="008D107F" w:rsidP="00773551">
            <w:pPr>
              <w:ind w:left="1" w:right="68"/>
            </w:pPr>
            <w:r w:rsidRPr="00AA0299">
              <w:t xml:space="preserve">1198 / 6 </w:t>
            </w:r>
          </w:p>
        </w:tc>
        <w:tc>
          <w:tcPr>
            <w:tcW w:w="1091" w:type="dxa"/>
            <w:gridSpan w:val="2"/>
          </w:tcPr>
          <w:p w:rsidR="008D107F" w:rsidRPr="00AA0299" w:rsidRDefault="008D107F" w:rsidP="00773551">
            <w:pPr>
              <w:ind w:left="1" w:right="68"/>
            </w:pPr>
            <w:r w:rsidRPr="00AA0299">
              <w:t xml:space="preserve">2664.82 </w:t>
            </w:r>
          </w:p>
        </w:tc>
        <w:tc>
          <w:tcPr>
            <w:tcW w:w="755" w:type="dxa"/>
            <w:gridSpan w:val="2"/>
          </w:tcPr>
          <w:p w:rsidR="008D107F" w:rsidRPr="00AA0299" w:rsidRDefault="008D107F" w:rsidP="00773551">
            <w:pPr>
              <w:ind w:left="1" w:right="68"/>
            </w:pPr>
            <w:r w:rsidRPr="00AA0299">
              <w:t xml:space="preserve">0.23 </w:t>
            </w:r>
          </w:p>
        </w:tc>
        <w:tc>
          <w:tcPr>
            <w:tcW w:w="850" w:type="dxa"/>
          </w:tcPr>
          <w:p w:rsidR="008D107F" w:rsidRPr="00AA0299" w:rsidRDefault="008D107F" w:rsidP="00773551">
            <w:pPr>
              <w:ind w:left="1" w:right="68"/>
            </w:pPr>
            <w:r w:rsidRPr="00AA0299">
              <w:t xml:space="preserve">0.49 </w:t>
            </w:r>
          </w:p>
        </w:tc>
      </w:tr>
      <w:tr w:rsidR="008D107F" w:rsidRPr="00AA0299" w:rsidTr="00773551">
        <w:trPr>
          <w:trHeight w:val="150"/>
        </w:trPr>
        <w:tc>
          <w:tcPr>
            <w:tcW w:w="850" w:type="dxa"/>
          </w:tcPr>
          <w:p w:rsidR="008D107F" w:rsidRPr="00AA0299" w:rsidRDefault="008D107F" w:rsidP="00773551">
            <w:pPr>
              <w:tabs>
                <w:tab w:val="left" w:pos="634"/>
              </w:tabs>
              <w:ind w:left="0" w:right="67"/>
            </w:pPr>
            <w:r w:rsidRPr="00AA0299">
              <w:lastRenderedPageBreak/>
              <w:t>≥30 kg/m</w:t>
            </w:r>
            <w:r w:rsidRPr="00AA0299">
              <w:rPr>
                <w:vertAlign w:val="superscript"/>
              </w:rPr>
              <w:t>2</w:t>
            </w:r>
            <w:r w:rsidRPr="00AA0299">
              <w:t xml:space="preserve"> </w:t>
            </w:r>
          </w:p>
        </w:tc>
        <w:tc>
          <w:tcPr>
            <w:tcW w:w="1135" w:type="dxa"/>
          </w:tcPr>
          <w:p w:rsidR="008D107F" w:rsidRPr="00AA0299" w:rsidRDefault="008D107F" w:rsidP="00773551">
            <w:pPr>
              <w:tabs>
                <w:tab w:val="left" w:pos="634"/>
              </w:tabs>
              <w:ind w:left="0" w:right="67"/>
            </w:pPr>
            <w:r w:rsidRPr="00AA0299">
              <w:t xml:space="preserve">244 / 1 </w:t>
            </w:r>
          </w:p>
        </w:tc>
        <w:tc>
          <w:tcPr>
            <w:tcW w:w="1276" w:type="dxa"/>
          </w:tcPr>
          <w:p w:rsidR="008D107F" w:rsidRPr="00AA0299" w:rsidRDefault="008D107F" w:rsidP="00773551">
            <w:pPr>
              <w:tabs>
                <w:tab w:val="left" w:pos="634"/>
              </w:tabs>
              <w:ind w:left="0" w:right="67"/>
            </w:pPr>
            <w:r w:rsidRPr="00AA0299">
              <w:t xml:space="preserve">509.34 </w:t>
            </w:r>
          </w:p>
        </w:tc>
        <w:tc>
          <w:tcPr>
            <w:tcW w:w="992" w:type="dxa"/>
          </w:tcPr>
          <w:p w:rsidR="008D107F" w:rsidRPr="00AA0299" w:rsidRDefault="008D107F" w:rsidP="00773551">
            <w:pPr>
              <w:tabs>
                <w:tab w:val="left" w:pos="634"/>
              </w:tabs>
              <w:ind w:left="0" w:right="67"/>
            </w:pPr>
            <w:r w:rsidRPr="00AA0299">
              <w:t xml:space="preserve">0.20 </w:t>
            </w:r>
          </w:p>
        </w:tc>
        <w:tc>
          <w:tcPr>
            <w:tcW w:w="1032" w:type="dxa"/>
            <w:gridSpan w:val="2"/>
          </w:tcPr>
          <w:p w:rsidR="008D107F" w:rsidRPr="00AA0299" w:rsidRDefault="008D107F" w:rsidP="00773551">
            <w:pPr>
              <w:tabs>
                <w:tab w:val="left" w:pos="634"/>
              </w:tabs>
              <w:ind w:left="1" w:right="68"/>
            </w:pPr>
            <w:r w:rsidRPr="00AA0299">
              <w:t xml:space="preserve">1.09 </w:t>
            </w:r>
          </w:p>
        </w:tc>
        <w:tc>
          <w:tcPr>
            <w:tcW w:w="1233" w:type="dxa"/>
            <w:gridSpan w:val="2"/>
          </w:tcPr>
          <w:p w:rsidR="008D107F" w:rsidRPr="00AA0299" w:rsidRDefault="008D107F" w:rsidP="00773551">
            <w:pPr>
              <w:ind w:left="1" w:right="68"/>
            </w:pPr>
            <w:r w:rsidRPr="00AA0299">
              <w:t xml:space="preserve">250 / 4 </w:t>
            </w:r>
          </w:p>
        </w:tc>
        <w:tc>
          <w:tcPr>
            <w:tcW w:w="1091" w:type="dxa"/>
            <w:gridSpan w:val="2"/>
          </w:tcPr>
          <w:p w:rsidR="008D107F" w:rsidRPr="00AA0299" w:rsidRDefault="008D107F" w:rsidP="00773551">
            <w:pPr>
              <w:ind w:left="1" w:right="68"/>
            </w:pPr>
            <w:r w:rsidRPr="00AA0299">
              <w:t xml:space="preserve">538.41 </w:t>
            </w:r>
          </w:p>
        </w:tc>
        <w:tc>
          <w:tcPr>
            <w:tcW w:w="755" w:type="dxa"/>
            <w:gridSpan w:val="2"/>
          </w:tcPr>
          <w:p w:rsidR="008D107F" w:rsidRPr="00AA0299" w:rsidRDefault="008D107F" w:rsidP="00773551">
            <w:pPr>
              <w:ind w:left="1" w:right="68"/>
            </w:pPr>
            <w:r w:rsidRPr="00AA0299">
              <w:t xml:space="preserve">0.74 </w:t>
            </w:r>
          </w:p>
        </w:tc>
        <w:tc>
          <w:tcPr>
            <w:tcW w:w="850" w:type="dxa"/>
          </w:tcPr>
          <w:p w:rsidR="008D107F" w:rsidRPr="00AA0299" w:rsidRDefault="008D107F" w:rsidP="00773551">
            <w:pPr>
              <w:ind w:left="1" w:right="68"/>
            </w:pPr>
            <w:r w:rsidRPr="00AA0299">
              <w:t xml:space="preserve">1.90 </w:t>
            </w:r>
          </w:p>
        </w:tc>
      </w:tr>
    </w:tbl>
    <w:p w:rsidR="008D107F" w:rsidRPr="00755302" w:rsidRDefault="008D107F" w:rsidP="00773551">
      <w:r w:rsidRPr="00755302">
        <w:t>The unadjusted 3-year PIs for all women, 18 to 35 years of age were similar in LCS12 and 16. The unadjusted 3-year PI for younger women (18 to 25 years) was greater in the LCS12 than the LCS16 group but not in the older group (26 to 35 years).</w:t>
      </w:r>
    </w:p>
    <w:p w:rsidR="008D107F" w:rsidRPr="00755302" w:rsidRDefault="008D107F" w:rsidP="00773551">
      <w:r w:rsidRPr="00755302">
        <w:t xml:space="preserve">The unadjusted 3-year PIs were similar for </w:t>
      </w:r>
      <w:proofErr w:type="spellStart"/>
      <w:r w:rsidRPr="00755302">
        <w:t>parous</w:t>
      </w:r>
      <w:proofErr w:type="spellEnd"/>
      <w:r w:rsidRPr="00755302">
        <w:t xml:space="preserve"> and nulliparous women within and across the treatments but numerically higher for LCS 12. The CIs of the two BMI categories overlap suggesting (although this is a post hoc analysis) that PI is unlikely to be affected by the BMI. </w:t>
      </w:r>
    </w:p>
    <w:p w:rsidR="008D107F" w:rsidRPr="00755302" w:rsidRDefault="008D107F" w:rsidP="00773551">
      <w:r w:rsidRPr="00755302">
        <w:t xml:space="preserve">There were no relevant differences in the Year 1 PI between the nulliparous and </w:t>
      </w:r>
      <w:proofErr w:type="spellStart"/>
      <w:r w:rsidRPr="00755302">
        <w:t>parous</w:t>
      </w:r>
      <w:proofErr w:type="spellEnd"/>
      <w:r w:rsidRPr="00755302">
        <w:t xml:space="preserve"> women treated with LCS12. In terms of effect of body size on PI, the small size of the subgroup of women with BMI ≥ 30 kg/m</w:t>
      </w:r>
      <w:r w:rsidRPr="00590069">
        <w:rPr>
          <w:vertAlign w:val="superscript"/>
        </w:rPr>
        <w:t>2</w:t>
      </w:r>
      <w:r w:rsidRPr="00755302">
        <w:t xml:space="preserve"> does not allow for a detection of differences here. However, the widely overlapping 95% CIs between the subgroups suggests no differen</w:t>
      </w:r>
      <w:r w:rsidR="00773551">
        <w:t>ces in the PI based on the BMI.</w:t>
      </w:r>
    </w:p>
    <w:p w:rsidR="008D107F" w:rsidRPr="00755302" w:rsidRDefault="008D107F" w:rsidP="00773551">
      <w:r w:rsidRPr="00755302">
        <w:t xml:space="preserve">There are no relevant differences in the PIs between the pivotal study A52238 and the pooled analysis. For the LCS12 treatment, the pooled data is driven by data in A52238 which had most of the pregnancies (10 versus 1), and PIs based on the pooled data are almost the same as in A52238. </w:t>
      </w:r>
    </w:p>
    <w:p w:rsidR="008D107F" w:rsidRPr="00773551" w:rsidRDefault="007D4859" w:rsidP="00773551">
      <w:pPr>
        <w:pStyle w:val="ListBullet"/>
        <w:rPr>
          <w:b/>
        </w:rPr>
      </w:pPr>
      <w:r w:rsidRPr="00773551">
        <w:rPr>
          <w:b/>
        </w:rPr>
        <w:t xml:space="preserve">Study </w:t>
      </w:r>
      <w:r w:rsidR="008D107F" w:rsidRPr="00773551">
        <w:rPr>
          <w:b/>
        </w:rPr>
        <w:t>A46796</w:t>
      </w:r>
    </w:p>
    <w:p w:rsidR="008D107F" w:rsidRPr="00755302" w:rsidRDefault="008D107F" w:rsidP="00773551">
      <w:r w:rsidRPr="00755302">
        <w:t>In study A46796, 6 pregnancies were observed during treatment: 1 (an ectopic pregnancy) in the LCS12 group and 5 in the LCS16 group (2 ectopic, 2 ended in spontaneous abortion and one the result of an unnoticed expulsion - this pregnancy was normal and carried to term). There were no p</w:t>
      </w:r>
      <w:r w:rsidR="00773551">
        <w:t xml:space="preserve">regnancies in the </w:t>
      </w:r>
      <w:proofErr w:type="spellStart"/>
      <w:r w:rsidR="00773551">
        <w:t>Mirena</w:t>
      </w:r>
      <w:proofErr w:type="spellEnd"/>
      <w:r w:rsidR="00773551">
        <w:t xml:space="preserve"> group.</w:t>
      </w:r>
    </w:p>
    <w:p w:rsidR="008D107F" w:rsidRPr="00755302" w:rsidRDefault="007D4859" w:rsidP="00EE0C98">
      <w:pPr>
        <w:pStyle w:val="TableTitle"/>
      </w:pPr>
      <w:proofErr w:type="gramStart"/>
      <w:r>
        <w:lastRenderedPageBreak/>
        <w:t>Table 14</w:t>
      </w:r>
      <w:r w:rsidR="00C06A9A">
        <w:t>.</w:t>
      </w:r>
      <w:proofErr w:type="gramEnd"/>
      <w:r w:rsidR="00C06A9A">
        <w:t xml:space="preserve"> </w:t>
      </w:r>
      <w:r w:rsidR="008D107F" w:rsidRPr="00755302">
        <w:t>Unadjusted Pearl Index A46796</w:t>
      </w:r>
    </w:p>
    <w:p w:rsidR="008D107F" w:rsidRPr="008D107F" w:rsidRDefault="008D107F" w:rsidP="00EE0C98">
      <w:pPr>
        <w:rPr>
          <w:lang w:eastAsia="ja-JP"/>
        </w:rPr>
      </w:pPr>
      <w:r w:rsidRPr="008D107F">
        <w:rPr>
          <w:noProof/>
          <w:lang w:eastAsia="en-AU"/>
        </w:rPr>
        <w:drawing>
          <wp:inline distT="0" distB="0" distL="0" distR="0" wp14:anchorId="62B0B141" wp14:editId="2F8CF384">
            <wp:extent cx="5435557" cy="4184960"/>
            <wp:effectExtent l="19050" t="0" r="0" b="0"/>
            <wp:docPr id="12" name="Picture 88" descr="Table 14. Unadjusted Pearl Index A4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cstate="print"/>
                    <a:srcRect/>
                    <a:stretch>
                      <a:fillRect/>
                    </a:stretch>
                  </pic:blipFill>
                  <pic:spPr bwMode="auto">
                    <a:xfrm>
                      <a:off x="0" y="0"/>
                      <a:ext cx="5433676" cy="4183512"/>
                    </a:xfrm>
                    <a:prstGeom prst="rect">
                      <a:avLst/>
                    </a:prstGeom>
                    <a:noFill/>
                    <a:ln w="9525">
                      <a:noFill/>
                      <a:miter lim="800000"/>
                      <a:headEnd/>
                      <a:tailEnd/>
                    </a:ln>
                  </pic:spPr>
                </pic:pic>
              </a:graphicData>
            </a:graphic>
          </wp:inline>
        </w:drawing>
      </w:r>
    </w:p>
    <w:p w:rsidR="008D107F" w:rsidRPr="00EA7E79" w:rsidRDefault="008D107F" w:rsidP="00EE0C98">
      <w:r w:rsidRPr="00EA7E79">
        <w:t xml:space="preserve">The adjusted and unadjusted 3-year Pearl indices (PI) were identical (LCS12: 0.17, LCS16: 0.83, </w:t>
      </w:r>
      <w:proofErr w:type="spellStart"/>
      <w:r w:rsidRPr="00EA7E79">
        <w:t>Mirena</w:t>
      </w:r>
      <w:proofErr w:type="spellEnd"/>
      <w:r w:rsidRPr="00EA7E79">
        <w:t xml:space="preserve">: 0) because no pregnancy was excluded for the calculation of the adjusted PIs. The upper limits of the 95% confidence interval (CI) were below 2 for all 3 treatment groups. Since no pregnancies occurred in the </w:t>
      </w:r>
      <w:proofErr w:type="spellStart"/>
      <w:r w:rsidRPr="00EA7E79">
        <w:t>Mirena</w:t>
      </w:r>
      <w:proofErr w:type="spellEnd"/>
      <w:r w:rsidRPr="00EA7E79">
        <w:t xml:space="preserve"> group, the PI for this group was 0 at </w:t>
      </w:r>
      <w:proofErr w:type="spellStart"/>
      <w:r w:rsidRPr="00EA7E79">
        <w:t>all time</w:t>
      </w:r>
      <w:proofErr w:type="spellEnd"/>
      <w:r w:rsidRPr="00EA7E79">
        <w:t xml:space="preserve"> points.</w:t>
      </w:r>
    </w:p>
    <w:p w:rsidR="008D107F" w:rsidRPr="00EA7E79" w:rsidRDefault="008D107F" w:rsidP="00EE0C98">
      <w:r w:rsidRPr="00EA7E79">
        <w:t>The highest PI (unadjusted PI: 1.52; adjusted PI: 1.53) was observed in Year 2 for the LCS16 arm. With the exception of this group and time, all PI were below 1 and the upper limit of the 95% CI never exceeded 4.5.</w:t>
      </w:r>
    </w:p>
    <w:p w:rsidR="008D107F" w:rsidRPr="00EA7E79" w:rsidRDefault="008D107F" w:rsidP="00EE0C98">
      <w:r w:rsidRPr="00EA7E79">
        <w:t xml:space="preserve">Note: the requirement of the EMEA guidance, that the difference between the point estimate for the Pearl index and the upper 95% CI limit should not exceed 1, is met for the three year Pearl index of </w:t>
      </w:r>
      <w:proofErr w:type="spellStart"/>
      <w:r w:rsidRPr="00EA7E79">
        <w:t>Mirena</w:t>
      </w:r>
      <w:proofErr w:type="spellEnd"/>
      <w:r w:rsidRPr="00EA7E79">
        <w:t xml:space="preserve"> and LCS12, even though this was only a phase 2 study. The requirement was thus missed for LCS16.</w:t>
      </w:r>
    </w:p>
    <w:p w:rsidR="008D107F" w:rsidRPr="00EA7E79" w:rsidRDefault="008D107F" w:rsidP="00EE0C98">
      <w:r w:rsidRPr="00EA7E79">
        <w:t xml:space="preserve">As the risk of ectopic pregnancy has been a concern with previous IUDs, this aspect of the submission is of interest. Specifically, the risk of ectopic pregnancy was 0.2% for LCS12 and 0.5% for LCS16 in the A55238 study, and 0.4% for LCS12, 0.8% for LCS16 and 0% for </w:t>
      </w:r>
      <w:proofErr w:type="spellStart"/>
      <w:r w:rsidRPr="00EA7E79">
        <w:t>Mirena</w:t>
      </w:r>
      <w:proofErr w:type="spellEnd"/>
      <w:r w:rsidRPr="00EA7E79">
        <w:t xml:space="preserve"> in the A46976 study (See Section 8.3).</w:t>
      </w:r>
    </w:p>
    <w:p w:rsidR="008D107F" w:rsidRPr="00AD46F6" w:rsidRDefault="008D107F" w:rsidP="00AD46F6">
      <w:pPr>
        <w:rPr>
          <w:b/>
        </w:rPr>
      </w:pPr>
      <w:r w:rsidRPr="00AD46F6">
        <w:rPr>
          <w:b/>
        </w:rPr>
        <w:t>LIFE TABLE ANALYSIS (Kaplan-Meier analysis)</w:t>
      </w:r>
    </w:p>
    <w:p w:rsidR="008D107F" w:rsidRPr="00AD46F6" w:rsidRDefault="007D4859" w:rsidP="00AD46F6">
      <w:pPr>
        <w:pStyle w:val="ListBullet"/>
        <w:rPr>
          <w:b/>
        </w:rPr>
      </w:pPr>
      <w:r w:rsidRPr="00AD46F6">
        <w:rPr>
          <w:b/>
        </w:rPr>
        <w:t xml:space="preserve">Study </w:t>
      </w:r>
      <w:r w:rsidR="008D107F" w:rsidRPr="00AD46F6">
        <w:rPr>
          <w:b/>
        </w:rPr>
        <w:t>A52238</w:t>
      </w:r>
    </w:p>
    <w:p w:rsidR="008D107F" w:rsidRDefault="008D107F" w:rsidP="00AD46F6">
      <w:r w:rsidRPr="00EA7E79">
        <w:t>A life table analysis was performed to obtain data on cumulative failure rate (i.e. probability of becoming pregnant) over the 3 years of treatment by age, parity and BMI groups, by year of treatment for all wom</w:t>
      </w:r>
      <w:r w:rsidR="00AD46F6">
        <w:t>en in the pivotal study A52238.</w:t>
      </w:r>
    </w:p>
    <w:p w:rsidR="007D4859" w:rsidRPr="007D4859" w:rsidRDefault="007D4859" w:rsidP="00AD46F6">
      <w:pPr>
        <w:pStyle w:val="TableTitle"/>
      </w:pPr>
      <w:proofErr w:type="gramStart"/>
      <w:r w:rsidRPr="007D4859">
        <w:lastRenderedPageBreak/>
        <w:t>Table 15.</w:t>
      </w:r>
      <w:proofErr w:type="gramEnd"/>
      <w:r w:rsidRPr="007D4859">
        <w:t xml:space="preserve"> Cumulative, 3-year failure rate by subgroup and treatment and by year of treatment for women 18 to 35 years of age, unadjusted – FAS, study A52238</w:t>
      </w:r>
    </w:p>
    <w:tbl>
      <w:tblPr>
        <w:tblStyle w:val="TableTGAblue"/>
        <w:tblW w:w="0" w:type="auto"/>
        <w:tblLayout w:type="fixed"/>
        <w:tblLook w:val="0620" w:firstRow="1" w:lastRow="0" w:firstColumn="0" w:lastColumn="0" w:noHBand="1" w:noVBand="1"/>
      </w:tblPr>
      <w:tblGrid>
        <w:gridCol w:w="1276"/>
        <w:gridCol w:w="176"/>
        <w:gridCol w:w="816"/>
        <w:gridCol w:w="1418"/>
        <w:gridCol w:w="1735"/>
        <w:gridCol w:w="1275"/>
        <w:gridCol w:w="1134"/>
        <w:gridCol w:w="959"/>
      </w:tblGrid>
      <w:tr w:rsidR="00EA7E79" w:rsidRPr="00EA7E79" w:rsidTr="00AD46F6">
        <w:trPr>
          <w:cnfStyle w:val="100000000000" w:firstRow="1" w:lastRow="0" w:firstColumn="0" w:lastColumn="0" w:oddVBand="0" w:evenVBand="0" w:oddHBand="0" w:evenHBand="0" w:firstRowFirstColumn="0" w:firstRowLastColumn="0" w:lastRowFirstColumn="0" w:lastRowLastColumn="0"/>
          <w:trHeight w:val="483"/>
          <w:tblHeader/>
        </w:trPr>
        <w:tc>
          <w:tcPr>
            <w:tcW w:w="1276" w:type="dxa"/>
          </w:tcPr>
          <w:p w:rsidR="00EA7E79" w:rsidRPr="00EA7E79" w:rsidRDefault="00EA7E79" w:rsidP="00AD46F6">
            <w:pPr>
              <w:ind w:left="0" w:right="102"/>
            </w:pPr>
          </w:p>
        </w:tc>
        <w:tc>
          <w:tcPr>
            <w:tcW w:w="992" w:type="dxa"/>
            <w:gridSpan w:val="2"/>
          </w:tcPr>
          <w:p w:rsidR="00EA7E79" w:rsidRPr="00EA7E79" w:rsidRDefault="00EA7E79" w:rsidP="00AD46F6">
            <w:pPr>
              <w:ind w:left="0" w:right="67"/>
              <w:rPr>
                <w:color w:val="000000" w:themeColor="text1"/>
              </w:rPr>
            </w:pPr>
            <w:r w:rsidRPr="00EA7E79">
              <w:t>N</w:t>
            </w:r>
          </w:p>
        </w:tc>
        <w:tc>
          <w:tcPr>
            <w:tcW w:w="1418" w:type="dxa"/>
          </w:tcPr>
          <w:p w:rsidR="00EA7E79" w:rsidRPr="00EA7E79" w:rsidRDefault="00AD46F6" w:rsidP="00AD46F6">
            <w:pPr>
              <w:ind w:left="0" w:right="68"/>
            </w:pPr>
            <w:r>
              <w:t>No. pregnancies</w:t>
            </w:r>
          </w:p>
        </w:tc>
        <w:tc>
          <w:tcPr>
            <w:tcW w:w="1735" w:type="dxa"/>
          </w:tcPr>
          <w:p w:rsidR="00EA7E79" w:rsidRPr="00EA7E79" w:rsidRDefault="00AD46F6" w:rsidP="00AD46F6">
            <w:pPr>
              <w:ind w:left="0" w:right="0"/>
            </w:pPr>
            <w:r>
              <w:t>Relevant exposure time (</w:t>
            </w:r>
            <w:proofErr w:type="spellStart"/>
            <w:r>
              <w:t>wy</w:t>
            </w:r>
            <w:proofErr w:type="spellEnd"/>
            <w:r>
              <w:t>)</w:t>
            </w:r>
          </w:p>
        </w:tc>
        <w:tc>
          <w:tcPr>
            <w:tcW w:w="1275" w:type="dxa"/>
          </w:tcPr>
          <w:p w:rsidR="00EA7E79" w:rsidRPr="00EA7E79" w:rsidRDefault="00AD46F6" w:rsidP="00AD46F6">
            <w:pPr>
              <w:ind w:left="0" w:right="0"/>
            </w:pPr>
            <w:r>
              <w:t>Cum. failure rate</w:t>
            </w:r>
          </w:p>
        </w:tc>
        <w:tc>
          <w:tcPr>
            <w:tcW w:w="1134" w:type="dxa"/>
          </w:tcPr>
          <w:p w:rsidR="00EA7E79" w:rsidRPr="00EA7E79" w:rsidRDefault="00EA7E79" w:rsidP="00AD46F6">
            <w:pPr>
              <w:ind w:left="108" w:right="0"/>
            </w:pPr>
            <w:r w:rsidRPr="00EA7E79">
              <w:t xml:space="preserve">Lower </w:t>
            </w:r>
          </w:p>
          <w:p w:rsidR="00EA7E79" w:rsidRPr="00EA7E79" w:rsidRDefault="00AD46F6" w:rsidP="00AD46F6">
            <w:pPr>
              <w:ind w:left="108" w:right="0"/>
            </w:pPr>
            <w:r>
              <w:t>95% CL</w:t>
            </w:r>
          </w:p>
        </w:tc>
        <w:tc>
          <w:tcPr>
            <w:tcW w:w="959" w:type="dxa"/>
          </w:tcPr>
          <w:p w:rsidR="00EA7E79" w:rsidRPr="00EA7E79" w:rsidRDefault="00EA7E79" w:rsidP="00AD46F6">
            <w:pPr>
              <w:ind w:left="0" w:right="0"/>
            </w:pPr>
            <w:r w:rsidRPr="00EA7E79">
              <w:t xml:space="preserve">Upper </w:t>
            </w:r>
          </w:p>
          <w:p w:rsidR="00EA7E79" w:rsidRPr="00EA7E79" w:rsidRDefault="00AD46F6" w:rsidP="00AD46F6">
            <w:pPr>
              <w:ind w:left="0" w:right="0"/>
            </w:pPr>
            <w:r>
              <w:t>95% CL</w:t>
            </w:r>
          </w:p>
        </w:tc>
      </w:tr>
      <w:tr w:rsidR="008D107F" w:rsidRPr="00EA7E79" w:rsidTr="00AD46F6">
        <w:trPr>
          <w:trHeight w:val="227"/>
        </w:trPr>
        <w:tc>
          <w:tcPr>
            <w:tcW w:w="8789" w:type="dxa"/>
            <w:gridSpan w:val="8"/>
          </w:tcPr>
          <w:p w:rsidR="008D107F" w:rsidRPr="00AD46F6" w:rsidRDefault="008D107F" w:rsidP="00AD46F6">
            <w:pPr>
              <w:ind w:left="0" w:right="0"/>
              <w:rPr>
                <w:b/>
                <w:bCs/>
              </w:rPr>
            </w:pPr>
            <w:r w:rsidRPr="00AD46F6">
              <w:rPr>
                <w:b/>
                <w:bCs/>
              </w:rPr>
              <w:t>LCS12</w:t>
            </w:r>
          </w:p>
        </w:tc>
      </w:tr>
      <w:tr w:rsidR="008D107F" w:rsidRPr="00EA7E79" w:rsidTr="00AD46F6">
        <w:trPr>
          <w:trHeight w:val="138"/>
        </w:trPr>
        <w:tc>
          <w:tcPr>
            <w:tcW w:w="1276" w:type="dxa"/>
          </w:tcPr>
          <w:p w:rsidR="008D107F" w:rsidRPr="00EA7E79" w:rsidRDefault="008D107F" w:rsidP="00AD46F6">
            <w:pPr>
              <w:ind w:left="0" w:right="102"/>
            </w:pPr>
            <w:r w:rsidRPr="00EA7E79">
              <w:t xml:space="preserve">Year 1 </w:t>
            </w:r>
          </w:p>
        </w:tc>
        <w:tc>
          <w:tcPr>
            <w:tcW w:w="992" w:type="dxa"/>
            <w:gridSpan w:val="2"/>
          </w:tcPr>
          <w:p w:rsidR="008D107F" w:rsidRPr="00EA7E79" w:rsidRDefault="008D107F" w:rsidP="00AD46F6">
            <w:pPr>
              <w:ind w:left="0" w:right="67"/>
            </w:pPr>
            <w:r w:rsidRPr="00EA7E79">
              <w:t xml:space="preserve">1432 </w:t>
            </w:r>
          </w:p>
        </w:tc>
        <w:tc>
          <w:tcPr>
            <w:tcW w:w="1418" w:type="dxa"/>
          </w:tcPr>
          <w:p w:rsidR="008D107F" w:rsidRPr="00EA7E79" w:rsidRDefault="008D107F" w:rsidP="00AD46F6">
            <w:pPr>
              <w:ind w:left="0" w:right="68"/>
            </w:pPr>
            <w:r w:rsidRPr="00EA7E79">
              <w:t>5</w:t>
            </w:r>
          </w:p>
        </w:tc>
        <w:tc>
          <w:tcPr>
            <w:tcW w:w="1735" w:type="dxa"/>
          </w:tcPr>
          <w:p w:rsidR="008D107F" w:rsidRPr="00EA7E79" w:rsidRDefault="008D107F" w:rsidP="00AD46F6">
            <w:pPr>
              <w:ind w:left="0" w:right="0"/>
            </w:pPr>
            <w:r w:rsidRPr="00EA7E79">
              <w:t xml:space="preserve">1217.78 </w:t>
            </w:r>
          </w:p>
        </w:tc>
        <w:tc>
          <w:tcPr>
            <w:tcW w:w="1275" w:type="dxa"/>
          </w:tcPr>
          <w:p w:rsidR="008D107F" w:rsidRPr="00EA7E79" w:rsidRDefault="008D107F" w:rsidP="00AD46F6">
            <w:pPr>
              <w:ind w:left="0" w:right="0"/>
            </w:pPr>
            <w:r w:rsidRPr="00EA7E79">
              <w:t xml:space="preserve">0.004 </w:t>
            </w:r>
          </w:p>
        </w:tc>
        <w:tc>
          <w:tcPr>
            <w:tcW w:w="1134" w:type="dxa"/>
          </w:tcPr>
          <w:p w:rsidR="008D107F" w:rsidRPr="00EA7E79" w:rsidRDefault="008D107F" w:rsidP="00AD46F6">
            <w:pPr>
              <w:ind w:left="108" w:right="0"/>
            </w:pPr>
            <w:r w:rsidRPr="00EA7E79">
              <w:t xml:space="preserve">0.002 </w:t>
            </w:r>
          </w:p>
        </w:tc>
        <w:tc>
          <w:tcPr>
            <w:tcW w:w="959" w:type="dxa"/>
          </w:tcPr>
          <w:p w:rsidR="008D107F" w:rsidRPr="00EA7E79" w:rsidRDefault="008D107F" w:rsidP="00AD46F6">
            <w:pPr>
              <w:ind w:left="0" w:right="0"/>
            </w:pPr>
            <w:r w:rsidRPr="00EA7E79">
              <w:t xml:space="preserve">0.010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Year 2 </w:t>
            </w:r>
          </w:p>
        </w:tc>
        <w:tc>
          <w:tcPr>
            <w:tcW w:w="992" w:type="dxa"/>
            <w:gridSpan w:val="2"/>
          </w:tcPr>
          <w:p w:rsidR="008D107F" w:rsidRPr="00EA7E79" w:rsidRDefault="008D107F" w:rsidP="00AD46F6">
            <w:pPr>
              <w:ind w:left="0" w:right="67"/>
            </w:pPr>
            <w:r w:rsidRPr="00EA7E79">
              <w:t xml:space="preserve">1162 </w:t>
            </w:r>
          </w:p>
        </w:tc>
        <w:tc>
          <w:tcPr>
            <w:tcW w:w="1418" w:type="dxa"/>
          </w:tcPr>
          <w:p w:rsidR="008D107F" w:rsidRPr="00EA7E79" w:rsidRDefault="008D107F" w:rsidP="00AD46F6">
            <w:pPr>
              <w:ind w:left="0" w:right="68"/>
            </w:pPr>
            <w:r w:rsidRPr="00EA7E79">
              <w:t>3</w:t>
            </w:r>
          </w:p>
        </w:tc>
        <w:tc>
          <w:tcPr>
            <w:tcW w:w="1735" w:type="dxa"/>
          </w:tcPr>
          <w:p w:rsidR="008D107F" w:rsidRPr="00EA7E79" w:rsidRDefault="008D107F" w:rsidP="00AD46F6">
            <w:pPr>
              <w:ind w:left="0" w:right="0"/>
            </w:pPr>
            <w:r w:rsidRPr="00EA7E79">
              <w:t xml:space="preserve">1015.67 </w:t>
            </w:r>
          </w:p>
        </w:tc>
        <w:tc>
          <w:tcPr>
            <w:tcW w:w="1275" w:type="dxa"/>
          </w:tcPr>
          <w:p w:rsidR="008D107F" w:rsidRPr="00EA7E79" w:rsidRDefault="008D107F" w:rsidP="00AD46F6">
            <w:pPr>
              <w:ind w:left="0" w:right="0"/>
            </w:pPr>
            <w:r w:rsidRPr="00EA7E79">
              <w:t xml:space="preserve">0.003 </w:t>
            </w:r>
          </w:p>
        </w:tc>
        <w:tc>
          <w:tcPr>
            <w:tcW w:w="1134" w:type="dxa"/>
          </w:tcPr>
          <w:p w:rsidR="008D107F" w:rsidRPr="00EA7E79" w:rsidRDefault="008D107F" w:rsidP="00AD46F6">
            <w:pPr>
              <w:ind w:left="108" w:right="0"/>
            </w:pPr>
            <w:r w:rsidRPr="00EA7E79">
              <w:t xml:space="preserve">0.001 </w:t>
            </w:r>
          </w:p>
        </w:tc>
        <w:tc>
          <w:tcPr>
            <w:tcW w:w="959" w:type="dxa"/>
          </w:tcPr>
          <w:p w:rsidR="008D107F" w:rsidRPr="00EA7E79" w:rsidRDefault="008D107F" w:rsidP="00AD46F6">
            <w:pPr>
              <w:ind w:left="0" w:right="0"/>
            </w:pPr>
            <w:r w:rsidRPr="00EA7E79">
              <w:t xml:space="preserve">0.009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Year 3 </w:t>
            </w:r>
          </w:p>
        </w:tc>
        <w:tc>
          <w:tcPr>
            <w:tcW w:w="992" w:type="dxa"/>
            <w:gridSpan w:val="2"/>
          </w:tcPr>
          <w:p w:rsidR="008D107F" w:rsidRPr="00EA7E79" w:rsidRDefault="008D107F" w:rsidP="00AD46F6">
            <w:pPr>
              <w:ind w:left="0" w:right="67"/>
            </w:pPr>
            <w:r w:rsidRPr="00EA7E79">
              <w:t xml:space="preserve">960 </w:t>
            </w:r>
          </w:p>
        </w:tc>
        <w:tc>
          <w:tcPr>
            <w:tcW w:w="1418" w:type="dxa"/>
          </w:tcPr>
          <w:p w:rsidR="008D107F" w:rsidRPr="00EA7E79" w:rsidRDefault="008D107F" w:rsidP="00AD46F6">
            <w:pPr>
              <w:ind w:left="0" w:right="68"/>
            </w:pPr>
            <w:r w:rsidRPr="00EA7E79">
              <w:t>2</w:t>
            </w:r>
          </w:p>
        </w:tc>
        <w:tc>
          <w:tcPr>
            <w:tcW w:w="1735" w:type="dxa"/>
          </w:tcPr>
          <w:p w:rsidR="008D107F" w:rsidRPr="00EA7E79" w:rsidRDefault="008D107F" w:rsidP="00AD46F6">
            <w:pPr>
              <w:ind w:left="0" w:right="0"/>
            </w:pPr>
            <w:r w:rsidRPr="00EA7E79">
              <w:t xml:space="preserve">825.17 </w:t>
            </w:r>
          </w:p>
        </w:tc>
        <w:tc>
          <w:tcPr>
            <w:tcW w:w="1275" w:type="dxa"/>
          </w:tcPr>
          <w:p w:rsidR="008D107F" w:rsidRPr="00EA7E79" w:rsidRDefault="008D107F" w:rsidP="00AD46F6">
            <w:pPr>
              <w:ind w:left="0" w:right="0"/>
            </w:pPr>
            <w:r w:rsidRPr="00EA7E79">
              <w:t xml:space="preserve">0.002 </w:t>
            </w:r>
          </w:p>
        </w:tc>
        <w:tc>
          <w:tcPr>
            <w:tcW w:w="1134" w:type="dxa"/>
          </w:tcPr>
          <w:p w:rsidR="008D107F" w:rsidRPr="00EA7E79" w:rsidRDefault="008D107F" w:rsidP="00AD46F6">
            <w:pPr>
              <w:ind w:left="108" w:right="0"/>
            </w:pPr>
            <w:r w:rsidRPr="00EA7E79">
              <w:t xml:space="preserve">0.001 </w:t>
            </w:r>
          </w:p>
        </w:tc>
        <w:tc>
          <w:tcPr>
            <w:tcW w:w="959" w:type="dxa"/>
          </w:tcPr>
          <w:p w:rsidR="008D107F" w:rsidRPr="00EA7E79" w:rsidRDefault="008D107F" w:rsidP="00AD46F6">
            <w:pPr>
              <w:ind w:left="0" w:right="0"/>
            </w:pPr>
            <w:r w:rsidRPr="00EA7E79">
              <w:t xml:space="preserve">0.009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t xml:space="preserve">Cumulative, 3-year failure rate for women 18 to 35 years of age and by subgroup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t xml:space="preserve">Age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18-35 years </w:t>
            </w:r>
          </w:p>
        </w:tc>
        <w:tc>
          <w:tcPr>
            <w:tcW w:w="992" w:type="dxa"/>
            <w:gridSpan w:val="2"/>
          </w:tcPr>
          <w:p w:rsidR="008D107F" w:rsidRPr="00EA7E79" w:rsidRDefault="008D107F" w:rsidP="00AD46F6">
            <w:pPr>
              <w:ind w:left="0" w:right="67"/>
            </w:pPr>
            <w:r w:rsidRPr="00EA7E79">
              <w:t xml:space="preserve">1432 </w:t>
            </w:r>
          </w:p>
        </w:tc>
        <w:tc>
          <w:tcPr>
            <w:tcW w:w="1418" w:type="dxa"/>
          </w:tcPr>
          <w:p w:rsidR="008D107F" w:rsidRPr="00EA7E79" w:rsidRDefault="008D107F" w:rsidP="00AD46F6">
            <w:pPr>
              <w:ind w:left="0" w:right="68"/>
            </w:pPr>
            <w:r w:rsidRPr="00EA7E79">
              <w:t>10</w:t>
            </w:r>
          </w:p>
        </w:tc>
        <w:tc>
          <w:tcPr>
            <w:tcW w:w="1735" w:type="dxa"/>
          </w:tcPr>
          <w:p w:rsidR="008D107F" w:rsidRPr="00EA7E79" w:rsidRDefault="008D107F" w:rsidP="00AD46F6">
            <w:pPr>
              <w:ind w:left="0" w:right="0"/>
            </w:pPr>
            <w:r w:rsidRPr="00EA7E79">
              <w:t xml:space="preserve">3058.62 </w:t>
            </w:r>
          </w:p>
        </w:tc>
        <w:tc>
          <w:tcPr>
            <w:tcW w:w="1275" w:type="dxa"/>
          </w:tcPr>
          <w:p w:rsidR="008D107F" w:rsidRPr="00EA7E79" w:rsidRDefault="008D107F" w:rsidP="00AD46F6">
            <w:pPr>
              <w:ind w:left="0" w:right="0"/>
            </w:pPr>
            <w:r w:rsidRPr="00EA7E79">
              <w:t xml:space="preserve">0.009 </w:t>
            </w:r>
          </w:p>
        </w:tc>
        <w:tc>
          <w:tcPr>
            <w:tcW w:w="1134" w:type="dxa"/>
          </w:tcPr>
          <w:p w:rsidR="008D107F" w:rsidRPr="00EA7E79" w:rsidRDefault="008D107F" w:rsidP="00AD46F6">
            <w:pPr>
              <w:ind w:left="108" w:right="0"/>
            </w:pPr>
            <w:r w:rsidRPr="00EA7E79">
              <w:t xml:space="preserve">0.005 </w:t>
            </w:r>
          </w:p>
        </w:tc>
        <w:tc>
          <w:tcPr>
            <w:tcW w:w="959" w:type="dxa"/>
          </w:tcPr>
          <w:p w:rsidR="008D107F" w:rsidRPr="00EA7E79" w:rsidRDefault="008D107F" w:rsidP="00AD46F6">
            <w:pPr>
              <w:ind w:left="0" w:right="0"/>
            </w:pPr>
            <w:r w:rsidRPr="00EA7E79">
              <w:t xml:space="preserve">0.017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18-25 years </w:t>
            </w:r>
          </w:p>
        </w:tc>
        <w:tc>
          <w:tcPr>
            <w:tcW w:w="992" w:type="dxa"/>
            <w:gridSpan w:val="2"/>
          </w:tcPr>
          <w:p w:rsidR="008D107F" w:rsidRPr="00EA7E79" w:rsidRDefault="008D107F" w:rsidP="00AD46F6">
            <w:pPr>
              <w:ind w:left="0" w:right="67"/>
            </w:pPr>
            <w:r w:rsidRPr="00EA7E79">
              <w:t xml:space="preserve">566 </w:t>
            </w:r>
          </w:p>
        </w:tc>
        <w:tc>
          <w:tcPr>
            <w:tcW w:w="1418" w:type="dxa"/>
          </w:tcPr>
          <w:p w:rsidR="008D107F" w:rsidRPr="00EA7E79" w:rsidRDefault="008D107F" w:rsidP="00AD46F6">
            <w:pPr>
              <w:ind w:left="0" w:right="68"/>
            </w:pPr>
            <w:r w:rsidRPr="00EA7E79">
              <w:t>4</w:t>
            </w:r>
          </w:p>
        </w:tc>
        <w:tc>
          <w:tcPr>
            <w:tcW w:w="1735" w:type="dxa"/>
          </w:tcPr>
          <w:p w:rsidR="008D107F" w:rsidRPr="00EA7E79" w:rsidRDefault="008D107F" w:rsidP="00AD46F6">
            <w:pPr>
              <w:ind w:left="0" w:right="0"/>
            </w:pPr>
            <w:r w:rsidRPr="00EA7E79">
              <w:t xml:space="preserve">1114.21 </w:t>
            </w:r>
          </w:p>
        </w:tc>
        <w:tc>
          <w:tcPr>
            <w:tcW w:w="1275" w:type="dxa"/>
          </w:tcPr>
          <w:p w:rsidR="008D107F" w:rsidRPr="00EA7E79" w:rsidRDefault="008D107F" w:rsidP="00AD46F6">
            <w:pPr>
              <w:ind w:left="0" w:right="0"/>
            </w:pPr>
            <w:r w:rsidRPr="00EA7E79">
              <w:t xml:space="preserve">0.010 </w:t>
            </w:r>
          </w:p>
        </w:tc>
        <w:tc>
          <w:tcPr>
            <w:tcW w:w="1134" w:type="dxa"/>
          </w:tcPr>
          <w:p w:rsidR="008D107F" w:rsidRPr="00EA7E79" w:rsidRDefault="008D107F" w:rsidP="00AD46F6">
            <w:pPr>
              <w:ind w:left="108" w:right="0"/>
            </w:pPr>
            <w:r w:rsidRPr="00EA7E79">
              <w:t xml:space="preserve">0.004 </w:t>
            </w:r>
          </w:p>
        </w:tc>
        <w:tc>
          <w:tcPr>
            <w:tcW w:w="959" w:type="dxa"/>
          </w:tcPr>
          <w:p w:rsidR="008D107F" w:rsidRPr="00EA7E79" w:rsidRDefault="008D107F" w:rsidP="00AD46F6">
            <w:pPr>
              <w:ind w:left="0" w:right="0"/>
            </w:pPr>
            <w:r w:rsidRPr="00EA7E79">
              <w:t xml:space="preserve">0.027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26-35 years </w:t>
            </w:r>
          </w:p>
        </w:tc>
        <w:tc>
          <w:tcPr>
            <w:tcW w:w="992" w:type="dxa"/>
            <w:gridSpan w:val="2"/>
          </w:tcPr>
          <w:p w:rsidR="008D107F" w:rsidRPr="00EA7E79" w:rsidRDefault="008D107F" w:rsidP="00AD46F6">
            <w:pPr>
              <w:ind w:left="0" w:right="67"/>
            </w:pPr>
            <w:r w:rsidRPr="00EA7E79">
              <w:t xml:space="preserve">866 </w:t>
            </w:r>
          </w:p>
        </w:tc>
        <w:tc>
          <w:tcPr>
            <w:tcW w:w="1418" w:type="dxa"/>
          </w:tcPr>
          <w:p w:rsidR="008D107F" w:rsidRPr="00EA7E79" w:rsidRDefault="008D107F" w:rsidP="00AD46F6">
            <w:pPr>
              <w:ind w:left="0" w:right="68"/>
            </w:pPr>
            <w:r w:rsidRPr="00EA7E79">
              <w:t>6</w:t>
            </w:r>
          </w:p>
        </w:tc>
        <w:tc>
          <w:tcPr>
            <w:tcW w:w="1735" w:type="dxa"/>
          </w:tcPr>
          <w:p w:rsidR="008D107F" w:rsidRPr="00EA7E79" w:rsidRDefault="008D107F" w:rsidP="00AD46F6">
            <w:pPr>
              <w:ind w:left="0" w:right="0"/>
            </w:pPr>
            <w:r w:rsidRPr="00EA7E79">
              <w:t xml:space="preserve">1944.41 </w:t>
            </w:r>
          </w:p>
        </w:tc>
        <w:tc>
          <w:tcPr>
            <w:tcW w:w="1275" w:type="dxa"/>
          </w:tcPr>
          <w:p w:rsidR="008D107F" w:rsidRPr="00EA7E79" w:rsidRDefault="008D107F" w:rsidP="00AD46F6">
            <w:pPr>
              <w:ind w:left="0" w:right="0"/>
            </w:pPr>
            <w:r w:rsidRPr="00EA7E79">
              <w:t xml:space="preserve">0.008 </w:t>
            </w:r>
          </w:p>
        </w:tc>
        <w:tc>
          <w:tcPr>
            <w:tcW w:w="1134" w:type="dxa"/>
          </w:tcPr>
          <w:p w:rsidR="008D107F" w:rsidRPr="00EA7E79" w:rsidRDefault="008D107F" w:rsidP="00AD46F6">
            <w:pPr>
              <w:ind w:left="108" w:right="0"/>
            </w:pPr>
            <w:r w:rsidRPr="00EA7E79">
              <w:t xml:space="preserve">0.004 </w:t>
            </w:r>
          </w:p>
        </w:tc>
        <w:tc>
          <w:tcPr>
            <w:tcW w:w="959" w:type="dxa"/>
          </w:tcPr>
          <w:p w:rsidR="008D107F" w:rsidRPr="00EA7E79" w:rsidRDefault="008D107F" w:rsidP="00AD46F6">
            <w:pPr>
              <w:ind w:left="0" w:right="0"/>
            </w:pPr>
            <w:r w:rsidRPr="00EA7E79">
              <w:t xml:space="preserve">0.019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t xml:space="preserve">Parity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Nulliparous </w:t>
            </w:r>
          </w:p>
        </w:tc>
        <w:tc>
          <w:tcPr>
            <w:tcW w:w="992" w:type="dxa"/>
            <w:gridSpan w:val="2"/>
          </w:tcPr>
          <w:p w:rsidR="008D107F" w:rsidRPr="00EA7E79" w:rsidRDefault="008D107F" w:rsidP="00AD46F6">
            <w:pPr>
              <w:ind w:left="0" w:right="67"/>
            </w:pPr>
            <w:r w:rsidRPr="00EA7E79">
              <w:t xml:space="preserve">556 </w:t>
            </w:r>
          </w:p>
        </w:tc>
        <w:tc>
          <w:tcPr>
            <w:tcW w:w="1418" w:type="dxa"/>
          </w:tcPr>
          <w:p w:rsidR="008D107F" w:rsidRPr="00EA7E79" w:rsidRDefault="008D107F" w:rsidP="00AD46F6">
            <w:pPr>
              <w:ind w:left="0" w:right="68"/>
            </w:pPr>
            <w:r w:rsidRPr="00EA7E79">
              <w:t>4</w:t>
            </w:r>
          </w:p>
        </w:tc>
        <w:tc>
          <w:tcPr>
            <w:tcW w:w="1735" w:type="dxa"/>
          </w:tcPr>
          <w:p w:rsidR="008D107F" w:rsidRPr="00EA7E79" w:rsidRDefault="008D107F" w:rsidP="00AD46F6">
            <w:pPr>
              <w:ind w:left="0" w:right="0"/>
            </w:pPr>
            <w:r w:rsidRPr="00EA7E79">
              <w:t xml:space="preserve">1110.63 </w:t>
            </w:r>
          </w:p>
        </w:tc>
        <w:tc>
          <w:tcPr>
            <w:tcW w:w="1275" w:type="dxa"/>
          </w:tcPr>
          <w:p w:rsidR="008D107F" w:rsidRPr="00EA7E79" w:rsidRDefault="008D107F" w:rsidP="00AD46F6">
            <w:pPr>
              <w:ind w:left="0" w:right="0"/>
            </w:pPr>
            <w:r w:rsidRPr="00EA7E79">
              <w:t xml:space="preserve">0.010 </w:t>
            </w:r>
          </w:p>
        </w:tc>
        <w:tc>
          <w:tcPr>
            <w:tcW w:w="1134" w:type="dxa"/>
          </w:tcPr>
          <w:p w:rsidR="008D107F" w:rsidRPr="00EA7E79" w:rsidRDefault="008D107F" w:rsidP="00AD46F6">
            <w:pPr>
              <w:ind w:left="108" w:right="0"/>
            </w:pPr>
            <w:r w:rsidRPr="00EA7E79">
              <w:t xml:space="preserve">0.004 </w:t>
            </w:r>
          </w:p>
        </w:tc>
        <w:tc>
          <w:tcPr>
            <w:tcW w:w="959" w:type="dxa"/>
          </w:tcPr>
          <w:p w:rsidR="008D107F" w:rsidRPr="00EA7E79" w:rsidRDefault="008D107F" w:rsidP="00AD46F6">
            <w:pPr>
              <w:ind w:left="0" w:right="0"/>
            </w:pPr>
            <w:r w:rsidRPr="00EA7E79">
              <w:t xml:space="preserve">0.026 </w:t>
            </w:r>
          </w:p>
        </w:tc>
      </w:tr>
      <w:tr w:rsidR="008D107F" w:rsidRPr="00EA7E79" w:rsidTr="00AD46F6">
        <w:trPr>
          <w:trHeight w:val="138"/>
        </w:trPr>
        <w:tc>
          <w:tcPr>
            <w:tcW w:w="1276" w:type="dxa"/>
          </w:tcPr>
          <w:p w:rsidR="008D107F" w:rsidRPr="00EA7E79" w:rsidRDefault="008D107F" w:rsidP="00AD46F6">
            <w:pPr>
              <w:ind w:left="0" w:right="102"/>
            </w:pPr>
            <w:proofErr w:type="spellStart"/>
            <w:r w:rsidRPr="00EA7E79">
              <w:t>Parous</w:t>
            </w:r>
            <w:proofErr w:type="spellEnd"/>
            <w:r w:rsidRPr="00EA7E79">
              <w:t xml:space="preserve"> </w:t>
            </w:r>
          </w:p>
        </w:tc>
        <w:tc>
          <w:tcPr>
            <w:tcW w:w="992" w:type="dxa"/>
            <w:gridSpan w:val="2"/>
          </w:tcPr>
          <w:p w:rsidR="008D107F" w:rsidRPr="00EA7E79" w:rsidRDefault="008D107F" w:rsidP="00AD46F6">
            <w:pPr>
              <w:ind w:left="0" w:right="67"/>
            </w:pPr>
            <w:r w:rsidRPr="00EA7E79">
              <w:t xml:space="preserve">876 </w:t>
            </w:r>
          </w:p>
        </w:tc>
        <w:tc>
          <w:tcPr>
            <w:tcW w:w="1418" w:type="dxa"/>
          </w:tcPr>
          <w:p w:rsidR="008D107F" w:rsidRPr="00EA7E79" w:rsidRDefault="008D107F" w:rsidP="00AD46F6">
            <w:pPr>
              <w:ind w:left="0" w:right="68"/>
            </w:pPr>
            <w:r w:rsidRPr="00EA7E79">
              <w:t>6</w:t>
            </w:r>
          </w:p>
        </w:tc>
        <w:tc>
          <w:tcPr>
            <w:tcW w:w="1735" w:type="dxa"/>
          </w:tcPr>
          <w:p w:rsidR="008D107F" w:rsidRPr="00EA7E79" w:rsidRDefault="008D107F" w:rsidP="00AD46F6">
            <w:pPr>
              <w:ind w:left="0" w:right="0"/>
            </w:pPr>
            <w:r w:rsidRPr="00EA7E79">
              <w:t xml:space="preserve">1947.99 </w:t>
            </w:r>
          </w:p>
        </w:tc>
        <w:tc>
          <w:tcPr>
            <w:tcW w:w="1275" w:type="dxa"/>
          </w:tcPr>
          <w:p w:rsidR="008D107F" w:rsidRPr="00EA7E79" w:rsidRDefault="008D107F" w:rsidP="00AD46F6">
            <w:pPr>
              <w:ind w:left="0" w:right="0"/>
            </w:pPr>
            <w:r w:rsidRPr="00EA7E79">
              <w:t xml:space="preserve">0.009 </w:t>
            </w:r>
          </w:p>
        </w:tc>
        <w:tc>
          <w:tcPr>
            <w:tcW w:w="1134" w:type="dxa"/>
          </w:tcPr>
          <w:p w:rsidR="008D107F" w:rsidRPr="00EA7E79" w:rsidRDefault="008D107F" w:rsidP="00AD46F6">
            <w:pPr>
              <w:ind w:left="108" w:right="0"/>
            </w:pPr>
            <w:r w:rsidRPr="00EA7E79">
              <w:t xml:space="preserve">0.004 </w:t>
            </w:r>
          </w:p>
        </w:tc>
        <w:tc>
          <w:tcPr>
            <w:tcW w:w="959" w:type="dxa"/>
          </w:tcPr>
          <w:p w:rsidR="008D107F" w:rsidRPr="00EA7E79" w:rsidRDefault="008D107F" w:rsidP="00AD46F6">
            <w:pPr>
              <w:ind w:left="0" w:right="0"/>
            </w:pPr>
            <w:r w:rsidRPr="00EA7E79">
              <w:t xml:space="preserve">0.019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t xml:space="preserve">BMI </w:t>
            </w:r>
          </w:p>
        </w:tc>
      </w:tr>
      <w:tr w:rsidR="008D107F" w:rsidRPr="00EA7E79" w:rsidTr="00AD46F6">
        <w:trPr>
          <w:trHeight w:val="138"/>
        </w:trPr>
        <w:tc>
          <w:tcPr>
            <w:tcW w:w="1276" w:type="dxa"/>
          </w:tcPr>
          <w:p w:rsidR="008D107F" w:rsidRPr="00EA7E79" w:rsidRDefault="008D107F" w:rsidP="00AD46F6">
            <w:pPr>
              <w:ind w:left="0" w:right="102"/>
            </w:pPr>
            <w:r w:rsidRPr="00EA7E79">
              <w:t>&lt;30 kg/m</w:t>
            </w:r>
            <w:r w:rsidRPr="00590069">
              <w:rPr>
                <w:vertAlign w:val="superscript"/>
              </w:rPr>
              <w:t>2</w:t>
            </w:r>
            <w:r w:rsidRPr="00EA7E79">
              <w:t xml:space="preserve"> </w:t>
            </w:r>
          </w:p>
        </w:tc>
        <w:tc>
          <w:tcPr>
            <w:tcW w:w="992" w:type="dxa"/>
            <w:gridSpan w:val="2"/>
          </w:tcPr>
          <w:p w:rsidR="008D107F" w:rsidRPr="00EA7E79" w:rsidRDefault="008D107F" w:rsidP="00AD46F6">
            <w:pPr>
              <w:ind w:left="0" w:right="67"/>
            </w:pPr>
            <w:r w:rsidRPr="00EA7E79">
              <w:t xml:space="preserve">1187 </w:t>
            </w:r>
          </w:p>
        </w:tc>
        <w:tc>
          <w:tcPr>
            <w:tcW w:w="1418" w:type="dxa"/>
          </w:tcPr>
          <w:p w:rsidR="008D107F" w:rsidRPr="00EA7E79" w:rsidRDefault="008D107F" w:rsidP="00AD46F6">
            <w:pPr>
              <w:ind w:left="0" w:right="68"/>
            </w:pPr>
            <w:r w:rsidRPr="00EA7E79">
              <w:t>9</w:t>
            </w:r>
          </w:p>
        </w:tc>
        <w:tc>
          <w:tcPr>
            <w:tcW w:w="1735" w:type="dxa"/>
          </w:tcPr>
          <w:p w:rsidR="008D107F" w:rsidRPr="00EA7E79" w:rsidRDefault="008D107F" w:rsidP="00AD46F6">
            <w:pPr>
              <w:ind w:left="0" w:right="0"/>
            </w:pPr>
            <w:r w:rsidRPr="00EA7E79">
              <w:t xml:space="preserve">2547.32 </w:t>
            </w:r>
          </w:p>
        </w:tc>
        <w:tc>
          <w:tcPr>
            <w:tcW w:w="1275" w:type="dxa"/>
          </w:tcPr>
          <w:p w:rsidR="008D107F" w:rsidRPr="00EA7E79" w:rsidRDefault="008D107F" w:rsidP="00AD46F6">
            <w:pPr>
              <w:ind w:left="0" w:right="0"/>
            </w:pPr>
            <w:r w:rsidRPr="00EA7E79">
              <w:t xml:space="preserve">0.010 </w:t>
            </w:r>
          </w:p>
        </w:tc>
        <w:tc>
          <w:tcPr>
            <w:tcW w:w="1134" w:type="dxa"/>
          </w:tcPr>
          <w:p w:rsidR="008D107F" w:rsidRPr="00EA7E79" w:rsidRDefault="008D107F" w:rsidP="00AD46F6">
            <w:pPr>
              <w:ind w:left="108" w:right="0"/>
            </w:pPr>
            <w:r w:rsidRPr="00EA7E79">
              <w:t xml:space="preserve">0.005 </w:t>
            </w:r>
          </w:p>
        </w:tc>
        <w:tc>
          <w:tcPr>
            <w:tcW w:w="959" w:type="dxa"/>
          </w:tcPr>
          <w:p w:rsidR="008D107F" w:rsidRPr="00EA7E79" w:rsidRDefault="008D107F" w:rsidP="00AD46F6">
            <w:pPr>
              <w:ind w:left="0" w:right="0"/>
            </w:pPr>
            <w:r w:rsidRPr="00EA7E79">
              <w:t xml:space="preserve">0.019 </w:t>
            </w:r>
          </w:p>
        </w:tc>
      </w:tr>
      <w:tr w:rsidR="008D107F" w:rsidRPr="00EA7E79" w:rsidTr="00AD46F6">
        <w:trPr>
          <w:trHeight w:val="147"/>
        </w:trPr>
        <w:tc>
          <w:tcPr>
            <w:tcW w:w="1276" w:type="dxa"/>
          </w:tcPr>
          <w:p w:rsidR="008D107F" w:rsidRPr="00EA7E79" w:rsidRDefault="008D107F" w:rsidP="00AD46F6">
            <w:pPr>
              <w:ind w:left="0" w:right="102"/>
            </w:pPr>
            <w:r w:rsidRPr="00EA7E79">
              <w:t>≥30 kg/m</w:t>
            </w:r>
            <w:r w:rsidRPr="00590069">
              <w:rPr>
                <w:vertAlign w:val="superscript"/>
              </w:rPr>
              <w:t>2</w:t>
            </w:r>
            <w:r w:rsidRPr="00EA7E79">
              <w:t xml:space="preserve"> </w:t>
            </w:r>
          </w:p>
        </w:tc>
        <w:tc>
          <w:tcPr>
            <w:tcW w:w="992" w:type="dxa"/>
            <w:gridSpan w:val="2"/>
          </w:tcPr>
          <w:p w:rsidR="008D107F" w:rsidRPr="00EA7E79" w:rsidRDefault="008D107F" w:rsidP="00AD46F6">
            <w:pPr>
              <w:ind w:left="0" w:right="67"/>
            </w:pPr>
            <w:r w:rsidRPr="00EA7E79">
              <w:t xml:space="preserve">244 </w:t>
            </w:r>
          </w:p>
        </w:tc>
        <w:tc>
          <w:tcPr>
            <w:tcW w:w="1418" w:type="dxa"/>
          </w:tcPr>
          <w:p w:rsidR="008D107F" w:rsidRPr="00EA7E79" w:rsidRDefault="008D107F" w:rsidP="00AD46F6">
            <w:pPr>
              <w:ind w:left="0" w:right="68"/>
            </w:pPr>
            <w:r w:rsidRPr="00EA7E79">
              <w:t>1</w:t>
            </w:r>
          </w:p>
        </w:tc>
        <w:tc>
          <w:tcPr>
            <w:tcW w:w="1735" w:type="dxa"/>
          </w:tcPr>
          <w:p w:rsidR="008D107F" w:rsidRPr="00EA7E79" w:rsidRDefault="008D107F" w:rsidP="00AD46F6">
            <w:pPr>
              <w:ind w:left="0" w:right="0"/>
            </w:pPr>
            <w:r w:rsidRPr="00EA7E79">
              <w:t xml:space="preserve">509.34 </w:t>
            </w:r>
          </w:p>
        </w:tc>
        <w:tc>
          <w:tcPr>
            <w:tcW w:w="1275" w:type="dxa"/>
          </w:tcPr>
          <w:p w:rsidR="008D107F" w:rsidRPr="00EA7E79" w:rsidRDefault="008D107F" w:rsidP="00AD46F6">
            <w:pPr>
              <w:ind w:left="0" w:right="0"/>
            </w:pPr>
            <w:r w:rsidRPr="00EA7E79">
              <w:t xml:space="preserve">0.005 </w:t>
            </w:r>
          </w:p>
        </w:tc>
        <w:tc>
          <w:tcPr>
            <w:tcW w:w="1134" w:type="dxa"/>
          </w:tcPr>
          <w:p w:rsidR="008D107F" w:rsidRPr="00EA7E79" w:rsidRDefault="008D107F" w:rsidP="00AD46F6">
            <w:pPr>
              <w:ind w:left="108" w:right="0"/>
            </w:pPr>
            <w:r w:rsidRPr="00EA7E79">
              <w:t xml:space="preserve">0.001 </w:t>
            </w:r>
          </w:p>
        </w:tc>
        <w:tc>
          <w:tcPr>
            <w:tcW w:w="959" w:type="dxa"/>
          </w:tcPr>
          <w:p w:rsidR="008D107F" w:rsidRPr="00EA7E79" w:rsidRDefault="008D107F" w:rsidP="00AD46F6">
            <w:pPr>
              <w:ind w:left="0" w:right="0"/>
            </w:pPr>
            <w:r w:rsidRPr="00EA7E79">
              <w:t xml:space="preserve">0.033 </w:t>
            </w:r>
          </w:p>
        </w:tc>
      </w:tr>
      <w:tr w:rsidR="008D107F" w:rsidRPr="00EA7E79" w:rsidTr="00AD46F6">
        <w:trPr>
          <w:trHeight w:val="239"/>
        </w:trPr>
        <w:tc>
          <w:tcPr>
            <w:tcW w:w="8789" w:type="dxa"/>
            <w:gridSpan w:val="8"/>
          </w:tcPr>
          <w:p w:rsidR="008D107F" w:rsidRPr="00AD46F6" w:rsidRDefault="008D107F" w:rsidP="00AD46F6">
            <w:pPr>
              <w:ind w:left="0" w:right="0"/>
              <w:rPr>
                <w:b/>
                <w:bCs/>
              </w:rPr>
            </w:pPr>
            <w:r w:rsidRPr="00AD46F6">
              <w:rPr>
                <w:b/>
                <w:bCs/>
              </w:rPr>
              <w:t>LCS16</w:t>
            </w:r>
          </w:p>
        </w:tc>
      </w:tr>
      <w:tr w:rsidR="008D107F" w:rsidRPr="00EA7E79" w:rsidTr="00AD46F6">
        <w:trPr>
          <w:trHeight w:val="138"/>
        </w:trPr>
        <w:tc>
          <w:tcPr>
            <w:tcW w:w="1276" w:type="dxa"/>
          </w:tcPr>
          <w:p w:rsidR="008D107F" w:rsidRPr="00EA7E79" w:rsidRDefault="008D107F" w:rsidP="00AD46F6">
            <w:pPr>
              <w:ind w:left="0" w:right="102"/>
            </w:pPr>
            <w:r w:rsidRPr="00EA7E79">
              <w:t xml:space="preserve">Year 1 </w:t>
            </w:r>
          </w:p>
        </w:tc>
        <w:tc>
          <w:tcPr>
            <w:tcW w:w="992" w:type="dxa"/>
            <w:gridSpan w:val="2"/>
          </w:tcPr>
          <w:p w:rsidR="008D107F" w:rsidRPr="00EA7E79" w:rsidRDefault="008D107F" w:rsidP="00AD46F6">
            <w:pPr>
              <w:ind w:left="0" w:right="67"/>
            </w:pPr>
            <w:r w:rsidRPr="00EA7E79">
              <w:t xml:space="preserve">1452 </w:t>
            </w:r>
          </w:p>
        </w:tc>
        <w:tc>
          <w:tcPr>
            <w:tcW w:w="1418" w:type="dxa"/>
          </w:tcPr>
          <w:p w:rsidR="008D107F" w:rsidRPr="00EA7E79" w:rsidRDefault="008D107F" w:rsidP="00AD46F6">
            <w:pPr>
              <w:ind w:left="0" w:right="68"/>
            </w:pPr>
            <w:r w:rsidRPr="00EA7E79">
              <w:t>2</w:t>
            </w:r>
          </w:p>
        </w:tc>
        <w:tc>
          <w:tcPr>
            <w:tcW w:w="1735" w:type="dxa"/>
          </w:tcPr>
          <w:p w:rsidR="008D107F" w:rsidRPr="00EA7E79" w:rsidRDefault="008D107F" w:rsidP="00AD46F6">
            <w:pPr>
              <w:ind w:left="0" w:right="0"/>
            </w:pPr>
            <w:r w:rsidRPr="00EA7E79">
              <w:t xml:space="preserve">1252.78 </w:t>
            </w:r>
          </w:p>
        </w:tc>
        <w:tc>
          <w:tcPr>
            <w:tcW w:w="1275" w:type="dxa"/>
          </w:tcPr>
          <w:p w:rsidR="008D107F" w:rsidRPr="00EA7E79" w:rsidRDefault="008D107F" w:rsidP="00AD46F6">
            <w:pPr>
              <w:ind w:left="0" w:right="0"/>
            </w:pPr>
            <w:r w:rsidRPr="00EA7E79">
              <w:t xml:space="preserve">0.002 </w:t>
            </w:r>
          </w:p>
        </w:tc>
        <w:tc>
          <w:tcPr>
            <w:tcW w:w="1134" w:type="dxa"/>
          </w:tcPr>
          <w:p w:rsidR="008D107F" w:rsidRPr="00EA7E79" w:rsidRDefault="008D107F" w:rsidP="00AD46F6">
            <w:pPr>
              <w:ind w:left="108" w:right="0"/>
            </w:pPr>
            <w:r w:rsidRPr="00EA7E79">
              <w:t xml:space="preserve">0.000 </w:t>
            </w:r>
          </w:p>
        </w:tc>
        <w:tc>
          <w:tcPr>
            <w:tcW w:w="959" w:type="dxa"/>
          </w:tcPr>
          <w:p w:rsidR="008D107F" w:rsidRPr="00EA7E79" w:rsidRDefault="008D107F" w:rsidP="00AD46F6">
            <w:pPr>
              <w:ind w:left="0" w:right="0"/>
            </w:pPr>
            <w:r w:rsidRPr="00EA7E79">
              <w:t xml:space="preserve">0.007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Year 2 </w:t>
            </w:r>
          </w:p>
        </w:tc>
        <w:tc>
          <w:tcPr>
            <w:tcW w:w="992" w:type="dxa"/>
            <w:gridSpan w:val="2"/>
          </w:tcPr>
          <w:p w:rsidR="008D107F" w:rsidRPr="00EA7E79" w:rsidRDefault="008D107F" w:rsidP="00AD46F6">
            <w:pPr>
              <w:ind w:left="0" w:right="67"/>
            </w:pPr>
            <w:r w:rsidRPr="00EA7E79">
              <w:t xml:space="preserve">1206 </w:t>
            </w:r>
          </w:p>
        </w:tc>
        <w:tc>
          <w:tcPr>
            <w:tcW w:w="1418" w:type="dxa"/>
          </w:tcPr>
          <w:p w:rsidR="008D107F" w:rsidRPr="00EA7E79" w:rsidRDefault="008D107F" w:rsidP="00AD46F6">
            <w:pPr>
              <w:ind w:left="0" w:right="68"/>
            </w:pPr>
            <w:r w:rsidRPr="00EA7E79">
              <w:t>4</w:t>
            </w:r>
          </w:p>
        </w:tc>
        <w:tc>
          <w:tcPr>
            <w:tcW w:w="1735" w:type="dxa"/>
          </w:tcPr>
          <w:p w:rsidR="008D107F" w:rsidRPr="00EA7E79" w:rsidRDefault="008D107F" w:rsidP="00AD46F6">
            <w:pPr>
              <w:ind w:left="0" w:right="0"/>
            </w:pPr>
            <w:r w:rsidRPr="00EA7E79">
              <w:t xml:space="preserve">1067.49 </w:t>
            </w:r>
          </w:p>
        </w:tc>
        <w:tc>
          <w:tcPr>
            <w:tcW w:w="1275" w:type="dxa"/>
          </w:tcPr>
          <w:p w:rsidR="008D107F" w:rsidRPr="00EA7E79" w:rsidRDefault="008D107F" w:rsidP="00AD46F6">
            <w:pPr>
              <w:ind w:left="0" w:right="0"/>
            </w:pPr>
            <w:r w:rsidRPr="00EA7E79">
              <w:t xml:space="preserve">0.004 </w:t>
            </w:r>
          </w:p>
        </w:tc>
        <w:tc>
          <w:tcPr>
            <w:tcW w:w="1134" w:type="dxa"/>
          </w:tcPr>
          <w:p w:rsidR="008D107F" w:rsidRPr="00EA7E79" w:rsidRDefault="008D107F" w:rsidP="00AD46F6">
            <w:pPr>
              <w:ind w:left="108" w:right="0"/>
            </w:pPr>
            <w:r w:rsidRPr="00EA7E79">
              <w:t xml:space="preserve">0.001 </w:t>
            </w:r>
          </w:p>
        </w:tc>
        <w:tc>
          <w:tcPr>
            <w:tcW w:w="959" w:type="dxa"/>
          </w:tcPr>
          <w:p w:rsidR="008D107F" w:rsidRPr="00EA7E79" w:rsidRDefault="008D107F" w:rsidP="00AD46F6">
            <w:pPr>
              <w:ind w:left="0" w:right="0"/>
            </w:pPr>
            <w:r w:rsidRPr="00EA7E79">
              <w:t xml:space="preserve">0.010 </w:t>
            </w:r>
          </w:p>
        </w:tc>
      </w:tr>
      <w:tr w:rsidR="008D107F" w:rsidRPr="00EA7E79" w:rsidTr="00AD46F6">
        <w:trPr>
          <w:trHeight w:val="138"/>
        </w:trPr>
        <w:tc>
          <w:tcPr>
            <w:tcW w:w="1276" w:type="dxa"/>
          </w:tcPr>
          <w:p w:rsidR="008D107F" w:rsidRPr="00EA7E79" w:rsidRDefault="008D107F" w:rsidP="00AD46F6">
            <w:pPr>
              <w:ind w:left="0" w:right="102"/>
            </w:pPr>
            <w:r w:rsidRPr="00EA7E79">
              <w:t xml:space="preserve">Year 3 </w:t>
            </w:r>
          </w:p>
        </w:tc>
        <w:tc>
          <w:tcPr>
            <w:tcW w:w="992" w:type="dxa"/>
            <w:gridSpan w:val="2"/>
          </w:tcPr>
          <w:p w:rsidR="008D107F" w:rsidRPr="00EA7E79" w:rsidRDefault="008D107F" w:rsidP="00AD46F6">
            <w:pPr>
              <w:ind w:left="0" w:right="67"/>
            </w:pPr>
            <w:r w:rsidRPr="00EA7E79">
              <w:t xml:space="preserve">1010 </w:t>
            </w:r>
          </w:p>
        </w:tc>
        <w:tc>
          <w:tcPr>
            <w:tcW w:w="1418" w:type="dxa"/>
          </w:tcPr>
          <w:p w:rsidR="008D107F" w:rsidRPr="00EA7E79" w:rsidRDefault="008D107F" w:rsidP="00AD46F6">
            <w:pPr>
              <w:ind w:left="0" w:right="68"/>
            </w:pPr>
            <w:r w:rsidRPr="00EA7E79">
              <w:t>4</w:t>
            </w:r>
          </w:p>
        </w:tc>
        <w:tc>
          <w:tcPr>
            <w:tcW w:w="1735" w:type="dxa"/>
          </w:tcPr>
          <w:p w:rsidR="008D107F" w:rsidRPr="00EA7E79" w:rsidRDefault="008D107F" w:rsidP="00AD46F6">
            <w:pPr>
              <w:ind w:left="0" w:right="0"/>
            </w:pPr>
            <w:r w:rsidRPr="00EA7E79">
              <w:t xml:space="preserve">891.09 </w:t>
            </w:r>
          </w:p>
        </w:tc>
        <w:tc>
          <w:tcPr>
            <w:tcW w:w="1275" w:type="dxa"/>
          </w:tcPr>
          <w:p w:rsidR="008D107F" w:rsidRPr="00EA7E79" w:rsidRDefault="008D107F" w:rsidP="00AD46F6">
            <w:pPr>
              <w:ind w:left="0" w:right="0"/>
            </w:pPr>
            <w:r w:rsidRPr="00EA7E79">
              <w:t xml:space="preserve">0.004 </w:t>
            </w:r>
          </w:p>
        </w:tc>
        <w:tc>
          <w:tcPr>
            <w:tcW w:w="1134" w:type="dxa"/>
          </w:tcPr>
          <w:p w:rsidR="008D107F" w:rsidRPr="00EA7E79" w:rsidRDefault="008D107F" w:rsidP="00AD46F6">
            <w:pPr>
              <w:ind w:left="108" w:right="0"/>
            </w:pPr>
            <w:r w:rsidRPr="00EA7E79">
              <w:t xml:space="preserve">0.002 </w:t>
            </w:r>
          </w:p>
        </w:tc>
        <w:tc>
          <w:tcPr>
            <w:tcW w:w="959" w:type="dxa"/>
          </w:tcPr>
          <w:p w:rsidR="008D107F" w:rsidRPr="00EA7E79" w:rsidRDefault="008D107F" w:rsidP="00AD46F6">
            <w:pPr>
              <w:ind w:left="0" w:right="0"/>
            </w:pPr>
            <w:r w:rsidRPr="00EA7E79">
              <w:t xml:space="preserve">0.011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t xml:space="preserve">Cumulative, 3-year failure rate for women 18 to 35 years of age and by subgroup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lastRenderedPageBreak/>
              <w:t xml:space="preserve">Age </w:t>
            </w:r>
          </w:p>
        </w:tc>
      </w:tr>
      <w:tr w:rsidR="008D107F" w:rsidRPr="00EA7E79" w:rsidTr="00AD46F6">
        <w:trPr>
          <w:trHeight w:val="138"/>
        </w:trPr>
        <w:tc>
          <w:tcPr>
            <w:tcW w:w="1452" w:type="dxa"/>
            <w:gridSpan w:val="2"/>
          </w:tcPr>
          <w:p w:rsidR="008D107F" w:rsidRPr="00EA7E79" w:rsidRDefault="008D107F" w:rsidP="00AD46F6">
            <w:pPr>
              <w:ind w:left="0" w:right="67"/>
            </w:pPr>
            <w:r w:rsidRPr="00EA7E79">
              <w:t xml:space="preserve">18-35 years </w:t>
            </w:r>
          </w:p>
        </w:tc>
        <w:tc>
          <w:tcPr>
            <w:tcW w:w="816" w:type="dxa"/>
          </w:tcPr>
          <w:p w:rsidR="008D107F" w:rsidRPr="00EA7E79" w:rsidRDefault="008D107F" w:rsidP="00AD46F6">
            <w:pPr>
              <w:ind w:left="0" w:right="67"/>
            </w:pPr>
            <w:r w:rsidRPr="00EA7E79">
              <w:t xml:space="preserve">1452 </w:t>
            </w:r>
          </w:p>
        </w:tc>
        <w:tc>
          <w:tcPr>
            <w:tcW w:w="1418" w:type="dxa"/>
          </w:tcPr>
          <w:p w:rsidR="008D107F" w:rsidRPr="00EA7E79" w:rsidRDefault="008D107F" w:rsidP="00AD46F6">
            <w:pPr>
              <w:ind w:left="0" w:right="68"/>
            </w:pPr>
            <w:r w:rsidRPr="00EA7E79">
              <w:t>10</w:t>
            </w:r>
          </w:p>
        </w:tc>
        <w:tc>
          <w:tcPr>
            <w:tcW w:w="1735" w:type="dxa"/>
          </w:tcPr>
          <w:p w:rsidR="008D107F" w:rsidRPr="00EA7E79" w:rsidRDefault="008D107F" w:rsidP="00AD46F6">
            <w:pPr>
              <w:ind w:left="0" w:right="0"/>
            </w:pPr>
            <w:r w:rsidRPr="00EA7E79">
              <w:t xml:space="preserve">3211.36 </w:t>
            </w:r>
          </w:p>
        </w:tc>
        <w:tc>
          <w:tcPr>
            <w:tcW w:w="1275" w:type="dxa"/>
          </w:tcPr>
          <w:p w:rsidR="008D107F" w:rsidRPr="00EA7E79" w:rsidRDefault="008D107F" w:rsidP="00AD46F6">
            <w:pPr>
              <w:ind w:left="0" w:right="0"/>
            </w:pPr>
            <w:r w:rsidRPr="00EA7E79">
              <w:t xml:space="preserve">0.010 </w:t>
            </w:r>
          </w:p>
        </w:tc>
        <w:tc>
          <w:tcPr>
            <w:tcW w:w="1134" w:type="dxa"/>
          </w:tcPr>
          <w:p w:rsidR="008D107F" w:rsidRPr="00EA7E79" w:rsidRDefault="008D107F" w:rsidP="00AD46F6">
            <w:pPr>
              <w:ind w:left="108" w:right="0"/>
            </w:pPr>
            <w:r w:rsidRPr="00EA7E79">
              <w:t xml:space="preserve">0.005 </w:t>
            </w:r>
          </w:p>
        </w:tc>
        <w:tc>
          <w:tcPr>
            <w:tcW w:w="959" w:type="dxa"/>
          </w:tcPr>
          <w:p w:rsidR="008D107F" w:rsidRPr="00EA7E79" w:rsidRDefault="008D107F" w:rsidP="00AD46F6">
            <w:pPr>
              <w:ind w:left="0" w:right="0"/>
            </w:pPr>
            <w:r w:rsidRPr="00EA7E79">
              <w:t xml:space="preserve">0.018 </w:t>
            </w:r>
          </w:p>
        </w:tc>
      </w:tr>
      <w:tr w:rsidR="008D107F" w:rsidRPr="00EA7E79" w:rsidTr="00AD46F6">
        <w:trPr>
          <w:trHeight w:val="138"/>
        </w:trPr>
        <w:tc>
          <w:tcPr>
            <w:tcW w:w="1452" w:type="dxa"/>
            <w:gridSpan w:val="2"/>
          </w:tcPr>
          <w:p w:rsidR="008D107F" w:rsidRPr="00EA7E79" w:rsidRDefault="008D107F" w:rsidP="00AD46F6">
            <w:pPr>
              <w:ind w:left="0" w:right="67"/>
            </w:pPr>
            <w:r w:rsidRPr="00EA7E79">
              <w:t xml:space="preserve">18-25 years </w:t>
            </w:r>
          </w:p>
        </w:tc>
        <w:tc>
          <w:tcPr>
            <w:tcW w:w="816" w:type="dxa"/>
          </w:tcPr>
          <w:p w:rsidR="008D107F" w:rsidRPr="00EA7E79" w:rsidRDefault="008D107F" w:rsidP="00AD46F6">
            <w:pPr>
              <w:ind w:left="0" w:right="67"/>
            </w:pPr>
            <w:r w:rsidRPr="00EA7E79">
              <w:t xml:space="preserve">564 </w:t>
            </w:r>
          </w:p>
        </w:tc>
        <w:tc>
          <w:tcPr>
            <w:tcW w:w="1418" w:type="dxa"/>
          </w:tcPr>
          <w:p w:rsidR="008D107F" w:rsidRPr="00EA7E79" w:rsidRDefault="008D107F" w:rsidP="00AD46F6">
            <w:pPr>
              <w:ind w:left="0" w:right="68"/>
            </w:pPr>
            <w:r w:rsidRPr="00EA7E79">
              <w:t>2</w:t>
            </w:r>
          </w:p>
        </w:tc>
        <w:tc>
          <w:tcPr>
            <w:tcW w:w="1735" w:type="dxa"/>
          </w:tcPr>
          <w:p w:rsidR="008D107F" w:rsidRPr="00EA7E79" w:rsidRDefault="008D107F" w:rsidP="00AD46F6">
            <w:pPr>
              <w:ind w:left="0" w:right="0"/>
            </w:pPr>
            <w:r w:rsidRPr="00EA7E79">
              <w:t xml:space="preserve">1207.19 </w:t>
            </w:r>
          </w:p>
        </w:tc>
        <w:tc>
          <w:tcPr>
            <w:tcW w:w="1275" w:type="dxa"/>
          </w:tcPr>
          <w:p w:rsidR="008D107F" w:rsidRPr="00EA7E79" w:rsidRDefault="008D107F" w:rsidP="00AD46F6">
            <w:pPr>
              <w:ind w:left="0" w:right="0"/>
            </w:pPr>
            <w:r w:rsidRPr="00EA7E79">
              <w:t xml:space="preserve">0.005 </w:t>
            </w:r>
          </w:p>
        </w:tc>
        <w:tc>
          <w:tcPr>
            <w:tcW w:w="1134" w:type="dxa"/>
          </w:tcPr>
          <w:p w:rsidR="008D107F" w:rsidRPr="00EA7E79" w:rsidRDefault="008D107F" w:rsidP="00AD46F6">
            <w:pPr>
              <w:ind w:left="108" w:right="0"/>
            </w:pPr>
            <w:r w:rsidRPr="00EA7E79">
              <w:t xml:space="preserve">0.001 </w:t>
            </w:r>
          </w:p>
        </w:tc>
        <w:tc>
          <w:tcPr>
            <w:tcW w:w="959" w:type="dxa"/>
          </w:tcPr>
          <w:p w:rsidR="008D107F" w:rsidRPr="00EA7E79" w:rsidRDefault="008D107F" w:rsidP="00AD46F6">
            <w:pPr>
              <w:ind w:left="0" w:right="0"/>
            </w:pPr>
            <w:r w:rsidRPr="00EA7E79">
              <w:t xml:space="preserve">0.020 </w:t>
            </w:r>
          </w:p>
        </w:tc>
      </w:tr>
      <w:tr w:rsidR="008D107F" w:rsidRPr="00EA7E79" w:rsidTr="00AD46F6">
        <w:trPr>
          <w:trHeight w:val="138"/>
        </w:trPr>
        <w:tc>
          <w:tcPr>
            <w:tcW w:w="1452" w:type="dxa"/>
            <w:gridSpan w:val="2"/>
          </w:tcPr>
          <w:p w:rsidR="008D107F" w:rsidRPr="00EA7E79" w:rsidRDefault="008D107F" w:rsidP="00AD46F6">
            <w:pPr>
              <w:ind w:left="0" w:right="67"/>
            </w:pPr>
            <w:r w:rsidRPr="00EA7E79">
              <w:t xml:space="preserve">26-35 years </w:t>
            </w:r>
          </w:p>
        </w:tc>
        <w:tc>
          <w:tcPr>
            <w:tcW w:w="816" w:type="dxa"/>
          </w:tcPr>
          <w:p w:rsidR="008D107F" w:rsidRPr="00EA7E79" w:rsidRDefault="008D107F" w:rsidP="00AD46F6">
            <w:pPr>
              <w:ind w:left="0" w:right="67"/>
            </w:pPr>
            <w:r w:rsidRPr="00EA7E79">
              <w:t xml:space="preserve">888 </w:t>
            </w:r>
          </w:p>
        </w:tc>
        <w:tc>
          <w:tcPr>
            <w:tcW w:w="1418" w:type="dxa"/>
          </w:tcPr>
          <w:p w:rsidR="008D107F" w:rsidRPr="00EA7E79" w:rsidRDefault="008D107F" w:rsidP="00AD46F6">
            <w:pPr>
              <w:ind w:left="0" w:right="68"/>
            </w:pPr>
            <w:r w:rsidRPr="00EA7E79">
              <w:t>8</w:t>
            </w:r>
          </w:p>
        </w:tc>
        <w:tc>
          <w:tcPr>
            <w:tcW w:w="1735" w:type="dxa"/>
          </w:tcPr>
          <w:p w:rsidR="008D107F" w:rsidRPr="00EA7E79" w:rsidRDefault="008D107F" w:rsidP="00AD46F6">
            <w:pPr>
              <w:ind w:left="0" w:right="0"/>
            </w:pPr>
            <w:r w:rsidRPr="00EA7E79">
              <w:t xml:space="preserve">2004.17 </w:t>
            </w:r>
          </w:p>
        </w:tc>
        <w:tc>
          <w:tcPr>
            <w:tcW w:w="1275" w:type="dxa"/>
          </w:tcPr>
          <w:p w:rsidR="008D107F" w:rsidRPr="00EA7E79" w:rsidRDefault="008D107F" w:rsidP="00AD46F6">
            <w:pPr>
              <w:ind w:left="0" w:right="0"/>
            </w:pPr>
            <w:r w:rsidRPr="00EA7E79">
              <w:t xml:space="preserve">0.012 </w:t>
            </w:r>
          </w:p>
        </w:tc>
        <w:tc>
          <w:tcPr>
            <w:tcW w:w="1134" w:type="dxa"/>
          </w:tcPr>
          <w:p w:rsidR="008D107F" w:rsidRPr="00EA7E79" w:rsidRDefault="008D107F" w:rsidP="00AD46F6">
            <w:pPr>
              <w:ind w:left="108" w:right="0"/>
            </w:pPr>
            <w:r w:rsidRPr="00EA7E79">
              <w:t xml:space="preserve">0.006 </w:t>
            </w:r>
          </w:p>
        </w:tc>
        <w:tc>
          <w:tcPr>
            <w:tcW w:w="959" w:type="dxa"/>
          </w:tcPr>
          <w:p w:rsidR="008D107F" w:rsidRPr="00EA7E79" w:rsidRDefault="008D107F" w:rsidP="00AD46F6">
            <w:pPr>
              <w:ind w:left="0" w:right="0"/>
            </w:pPr>
            <w:r w:rsidRPr="00EA7E79">
              <w:t xml:space="preserve">0.025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t xml:space="preserve">Parity </w:t>
            </w:r>
          </w:p>
        </w:tc>
      </w:tr>
      <w:tr w:rsidR="008D107F" w:rsidRPr="00EA7E79" w:rsidTr="00AD46F6">
        <w:trPr>
          <w:trHeight w:val="138"/>
        </w:trPr>
        <w:tc>
          <w:tcPr>
            <w:tcW w:w="1452" w:type="dxa"/>
            <w:gridSpan w:val="2"/>
          </w:tcPr>
          <w:p w:rsidR="008D107F" w:rsidRPr="000A2760" w:rsidRDefault="008D107F" w:rsidP="00AD46F6">
            <w:pPr>
              <w:ind w:left="0" w:right="67"/>
            </w:pPr>
            <w:r w:rsidRPr="000A2760">
              <w:t xml:space="preserve">Nulliparous </w:t>
            </w:r>
          </w:p>
        </w:tc>
        <w:tc>
          <w:tcPr>
            <w:tcW w:w="816" w:type="dxa"/>
          </w:tcPr>
          <w:p w:rsidR="008D107F" w:rsidRPr="00EA7E79" w:rsidRDefault="008D107F" w:rsidP="00AD46F6">
            <w:pPr>
              <w:ind w:left="0" w:right="67"/>
            </w:pPr>
            <w:r w:rsidRPr="00EA7E79">
              <w:t xml:space="preserve">574 </w:t>
            </w:r>
          </w:p>
        </w:tc>
        <w:tc>
          <w:tcPr>
            <w:tcW w:w="1418" w:type="dxa"/>
          </w:tcPr>
          <w:p w:rsidR="008D107F" w:rsidRPr="00EA7E79" w:rsidRDefault="008D107F" w:rsidP="00AD46F6">
            <w:pPr>
              <w:ind w:left="0" w:right="68"/>
            </w:pPr>
            <w:r w:rsidRPr="00EA7E79">
              <w:t>3</w:t>
            </w:r>
          </w:p>
        </w:tc>
        <w:tc>
          <w:tcPr>
            <w:tcW w:w="1735" w:type="dxa"/>
          </w:tcPr>
          <w:p w:rsidR="008D107F" w:rsidRPr="00EA7E79" w:rsidRDefault="008D107F" w:rsidP="00AD46F6">
            <w:pPr>
              <w:ind w:left="0" w:right="0"/>
            </w:pPr>
            <w:r w:rsidRPr="00EA7E79">
              <w:t xml:space="preserve">1205.33 </w:t>
            </w:r>
          </w:p>
        </w:tc>
        <w:tc>
          <w:tcPr>
            <w:tcW w:w="1275" w:type="dxa"/>
          </w:tcPr>
          <w:p w:rsidR="008D107F" w:rsidRPr="00EA7E79" w:rsidRDefault="008D107F" w:rsidP="00AD46F6">
            <w:pPr>
              <w:ind w:left="0" w:right="0"/>
            </w:pPr>
            <w:r w:rsidRPr="00EA7E79">
              <w:t xml:space="preserve">0.008 </w:t>
            </w:r>
          </w:p>
        </w:tc>
        <w:tc>
          <w:tcPr>
            <w:tcW w:w="1134" w:type="dxa"/>
          </w:tcPr>
          <w:p w:rsidR="008D107F" w:rsidRPr="00EA7E79" w:rsidRDefault="008D107F" w:rsidP="00AD46F6">
            <w:pPr>
              <w:ind w:left="108" w:right="0"/>
            </w:pPr>
            <w:r w:rsidRPr="00EA7E79">
              <w:t xml:space="preserve">0.005 </w:t>
            </w:r>
          </w:p>
        </w:tc>
        <w:tc>
          <w:tcPr>
            <w:tcW w:w="959" w:type="dxa"/>
          </w:tcPr>
          <w:p w:rsidR="008D107F" w:rsidRPr="00EA7E79" w:rsidRDefault="008D107F" w:rsidP="00AD46F6">
            <w:pPr>
              <w:ind w:left="0" w:right="0"/>
            </w:pPr>
            <w:r w:rsidRPr="00EA7E79">
              <w:t xml:space="preserve">0.026 </w:t>
            </w:r>
          </w:p>
        </w:tc>
      </w:tr>
      <w:tr w:rsidR="008D107F" w:rsidRPr="00EA7E79" w:rsidTr="00AD46F6">
        <w:trPr>
          <w:trHeight w:val="138"/>
        </w:trPr>
        <w:tc>
          <w:tcPr>
            <w:tcW w:w="1452" w:type="dxa"/>
            <w:gridSpan w:val="2"/>
          </w:tcPr>
          <w:p w:rsidR="008D107F" w:rsidRPr="000A2760" w:rsidRDefault="008D107F" w:rsidP="00AD46F6">
            <w:pPr>
              <w:ind w:left="0" w:right="67"/>
            </w:pPr>
            <w:proofErr w:type="spellStart"/>
            <w:r w:rsidRPr="000A2760">
              <w:t>Parous</w:t>
            </w:r>
            <w:proofErr w:type="spellEnd"/>
            <w:r w:rsidRPr="000A2760">
              <w:t xml:space="preserve"> </w:t>
            </w:r>
          </w:p>
        </w:tc>
        <w:tc>
          <w:tcPr>
            <w:tcW w:w="816" w:type="dxa"/>
          </w:tcPr>
          <w:p w:rsidR="008D107F" w:rsidRPr="00EA7E79" w:rsidRDefault="008D107F" w:rsidP="00AD46F6">
            <w:pPr>
              <w:ind w:left="0" w:right="67"/>
            </w:pPr>
            <w:r w:rsidRPr="00EA7E79">
              <w:t xml:space="preserve">878 </w:t>
            </w:r>
          </w:p>
        </w:tc>
        <w:tc>
          <w:tcPr>
            <w:tcW w:w="1418" w:type="dxa"/>
          </w:tcPr>
          <w:p w:rsidR="008D107F" w:rsidRPr="00EA7E79" w:rsidRDefault="008D107F" w:rsidP="00AD46F6">
            <w:pPr>
              <w:ind w:left="0" w:right="68"/>
            </w:pPr>
            <w:r w:rsidRPr="00EA7E79">
              <w:t>7</w:t>
            </w:r>
          </w:p>
        </w:tc>
        <w:tc>
          <w:tcPr>
            <w:tcW w:w="1735" w:type="dxa"/>
          </w:tcPr>
          <w:p w:rsidR="008D107F" w:rsidRPr="00EA7E79" w:rsidRDefault="008D107F" w:rsidP="00AD46F6">
            <w:pPr>
              <w:ind w:left="0" w:right="0"/>
            </w:pPr>
            <w:r w:rsidRPr="00EA7E79">
              <w:t xml:space="preserve">2006.03 </w:t>
            </w:r>
          </w:p>
        </w:tc>
        <w:tc>
          <w:tcPr>
            <w:tcW w:w="1275" w:type="dxa"/>
          </w:tcPr>
          <w:p w:rsidR="008D107F" w:rsidRPr="00EA7E79" w:rsidRDefault="008D107F" w:rsidP="00AD46F6">
            <w:pPr>
              <w:ind w:left="0" w:right="0"/>
            </w:pPr>
            <w:r w:rsidRPr="00EA7E79">
              <w:t xml:space="preserve">0.010 </w:t>
            </w:r>
          </w:p>
        </w:tc>
        <w:tc>
          <w:tcPr>
            <w:tcW w:w="1134" w:type="dxa"/>
          </w:tcPr>
          <w:p w:rsidR="008D107F" w:rsidRPr="00EA7E79" w:rsidRDefault="008D107F" w:rsidP="00AD46F6">
            <w:pPr>
              <w:ind w:left="108" w:right="0"/>
            </w:pPr>
            <w:r w:rsidRPr="00EA7E79">
              <w:t xml:space="preserve">0.005 </w:t>
            </w:r>
          </w:p>
        </w:tc>
        <w:tc>
          <w:tcPr>
            <w:tcW w:w="959" w:type="dxa"/>
          </w:tcPr>
          <w:p w:rsidR="008D107F" w:rsidRPr="00EA7E79" w:rsidRDefault="008D107F" w:rsidP="00AD46F6">
            <w:pPr>
              <w:ind w:left="0" w:right="0"/>
            </w:pPr>
            <w:r w:rsidRPr="00EA7E79">
              <w:t xml:space="preserve">0.022 </w:t>
            </w:r>
          </w:p>
        </w:tc>
      </w:tr>
      <w:tr w:rsidR="008D107F" w:rsidRPr="00EA7E79" w:rsidTr="00AD46F6">
        <w:trPr>
          <w:trHeight w:val="138"/>
        </w:trPr>
        <w:tc>
          <w:tcPr>
            <w:tcW w:w="8789" w:type="dxa"/>
            <w:gridSpan w:val="8"/>
          </w:tcPr>
          <w:p w:rsidR="008D107F" w:rsidRPr="00AD46F6" w:rsidRDefault="008D107F" w:rsidP="00AD46F6">
            <w:pPr>
              <w:ind w:left="0" w:right="0"/>
              <w:rPr>
                <w:b/>
                <w:bCs/>
              </w:rPr>
            </w:pPr>
            <w:r w:rsidRPr="00AD46F6">
              <w:rPr>
                <w:b/>
                <w:bCs/>
              </w:rPr>
              <w:t xml:space="preserve">BMI </w:t>
            </w:r>
          </w:p>
        </w:tc>
      </w:tr>
      <w:tr w:rsidR="008D107F" w:rsidRPr="00EA7E79" w:rsidTr="00AD46F6">
        <w:trPr>
          <w:trHeight w:val="138"/>
        </w:trPr>
        <w:tc>
          <w:tcPr>
            <w:tcW w:w="1452" w:type="dxa"/>
            <w:gridSpan w:val="2"/>
          </w:tcPr>
          <w:p w:rsidR="008D107F" w:rsidRPr="00EA7E79" w:rsidRDefault="008D107F" w:rsidP="00AD46F6">
            <w:pPr>
              <w:ind w:left="0" w:right="67"/>
            </w:pPr>
            <w:r w:rsidRPr="00EA7E79">
              <w:t>&lt;30 kg/m</w:t>
            </w:r>
            <w:r w:rsidRPr="00590069">
              <w:rPr>
                <w:vertAlign w:val="superscript"/>
              </w:rPr>
              <w:t>2</w:t>
            </w:r>
            <w:r w:rsidRPr="00EA7E79">
              <w:t xml:space="preserve"> </w:t>
            </w:r>
          </w:p>
        </w:tc>
        <w:tc>
          <w:tcPr>
            <w:tcW w:w="816" w:type="dxa"/>
          </w:tcPr>
          <w:p w:rsidR="008D107F" w:rsidRPr="00EA7E79" w:rsidRDefault="008D107F" w:rsidP="00AD46F6">
            <w:pPr>
              <w:ind w:left="0" w:right="67"/>
            </w:pPr>
            <w:r w:rsidRPr="00EA7E79">
              <w:t xml:space="preserve">1198 </w:t>
            </w:r>
          </w:p>
        </w:tc>
        <w:tc>
          <w:tcPr>
            <w:tcW w:w="1418" w:type="dxa"/>
          </w:tcPr>
          <w:p w:rsidR="008D107F" w:rsidRPr="00EA7E79" w:rsidRDefault="008D107F" w:rsidP="00AD46F6">
            <w:pPr>
              <w:ind w:left="0" w:right="68"/>
            </w:pPr>
            <w:r w:rsidRPr="00EA7E79">
              <w:t>6</w:t>
            </w:r>
          </w:p>
        </w:tc>
        <w:tc>
          <w:tcPr>
            <w:tcW w:w="1735" w:type="dxa"/>
          </w:tcPr>
          <w:p w:rsidR="008D107F" w:rsidRPr="00EA7E79" w:rsidRDefault="008D107F" w:rsidP="00AD46F6">
            <w:pPr>
              <w:ind w:left="0" w:right="0"/>
            </w:pPr>
            <w:r w:rsidRPr="00EA7E79">
              <w:t xml:space="preserve">2664.82 </w:t>
            </w:r>
          </w:p>
        </w:tc>
        <w:tc>
          <w:tcPr>
            <w:tcW w:w="1275" w:type="dxa"/>
          </w:tcPr>
          <w:p w:rsidR="008D107F" w:rsidRPr="00EA7E79" w:rsidRDefault="008D107F" w:rsidP="00AD46F6">
            <w:pPr>
              <w:ind w:left="0" w:right="0"/>
            </w:pPr>
            <w:r w:rsidRPr="00EA7E79">
              <w:t xml:space="preserve">0.007 </w:t>
            </w:r>
          </w:p>
        </w:tc>
        <w:tc>
          <w:tcPr>
            <w:tcW w:w="1134" w:type="dxa"/>
          </w:tcPr>
          <w:p w:rsidR="008D107F" w:rsidRPr="00EA7E79" w:rsidRDefault="008D107F" w:rsidP="00AD46F6">
            <w:pPr>
              <w:ind w:left="108" w:right="0"/>
            </w:pPr>
            <w:r w:rsidRPr="00EA7E79">
              <w:t xml:space="preserve">0.003 </w:t>
            </w:r>
          </w:p>
        </w:tc>
        <w:tc>
          <w:tcPr>
            <w:tcW w:w="959" w:type="dxa"/>
          </w:tcPr>
          <w:p w:rsidR="008D107F" w:rsidRPr="00EA7E79" w:rsidRDefault="008D107F" w:rsidP="00AD46F6">
            <w:pPr>
              <w:ind w:left="0" w:right="0"/>
            </w:pPr>
            <w:r w:rsidRPr="00EA7E79">
              <w:t xml:space="preserve">0.016 </w:t>
            </w:r>
          </w:p>
        </w:tc>
      </w:tr>
      <w:tr w:rsidR="008D107F" w:rsidRPr="00EA7E79" w:rsidTr="00AD46F6">
        <w:trPr>
          <w:trHeight w:val="147"/>
        </w:trPr>
        <w:tc>
          <w:tcPr>
            <w:tcW w:w="1452" w:type="dxa"/>
            <w:gridSpan w:val="2"/>
          </w:tcPr>
          <w:p w:rsidR="008D107F" w:rsidRPr="00EA7E79" w:rsidRDefault="008D107F" w:rsidP="00AD46F6">
            <w:pPr>
              <w:ind w:left="0" w:right="67"/>
            </w:pPr>
            <w:r w:rsidRPr="00EA7E79">
              <w:t>≥30 kg/m</w:t>
            </w:r>
            <w:r w:rsidRPr="00590069">
              <w:rPr>
                <w:vertAlign w:val="superscript"/>
              </w:rPr>
              <w:t>2</w:t>
            </w:r>
            <w:r w:rsidRPr="00EA7E79">
              <w:t xml:space="preserve"> </w:t>
            </w:r>
          </w:p>
        </w:tc>
        <w:tc>
          <w:tcPr>
            <w:tcW w:w="816" w:type="dxa"/>
          </w:tcPr>
          <w:p w:rsidR="008D107F" w:rsidRPr="00EA7E79" w:rsidRDefault="008D107F" w:rsidP="00AD46F6">
            <w:pPr>
              <w:ind w:left="0" w:right="67"/>
            </w:pPr>
            <w:r w:rsidRPr="00EA7E79">
              <w:t xml:space="preserve">250 </w:t>
            </w:r>
          </w:p>
        </w:tc>
        <w:tc>
          <w:tcPr>
            <w:tcW w:w="1418" w:type="dxa"/>
          </w:tcPr>
          <w:p w:rsidR="008D107F" w:rsidRPr="00EA7E79" w:rsidRDefault="008D107F" w:rsidP="00AD46F6">
            <w:pPr>
              <w:ind w:left="0" w:right="68"/>
            </w:pPr>
            <w:r w:rsidRPr="00EA7E79">
              <w:t>4</w:t>
            </w:r>
          </w:p>
        </w:tc>
        <w:tc>
          <w:tcPr>
            <w:tcW w:w="1735" w:type="dxa"/>
          </w:tcPr>
          <w:p w:rsidR="008D107F" w:rsidRPr="00EA7E79" w:rsidRDefault="008D107F" w:rsidP="00AD46F6">
            <w:pPr>
              <w:ind w:left="0" w:right="0"/>
            </w:pPr>
            <w:r w:rsidRPr="00EA7E79">
              <w:t xml:space="preserve">538.41 </w:t>
            </w:r>
          </w:p>
        </w:tc>
        <w:tc>
          <w:tcPr>
            <w:tcW w:w="1275" w:type="dxa"/>
          </w:tcPr>
          <w:p w:rsidR="008D107F" w:rsidRPr="00EA7E79" w:rsidRDefault="008D107F" w:rsidP="00AD46F6">
            <w:pPr>
              <w:ind w:left="0" w:right="0"/>
            </w:pPr>
            <w:r w:rsidRPr="00EA7E79">
              <w:t xml:space="preserve">0.022 </w:t>
            </w:r>
          </w:p>
        </w:tc>
        <w:tc>
          <w:tcPr>
            <w:tcW w:w="1134" w:type="dxa"/>
          </w:tcPr>
          <w:p w:rsidR="008D107F" w:rsidRPr="00EA7E79" w:rsidRDefault="008D107F" w:rsidP="00AD46F6">
            <w:pPr>
              <w:ind w:left="108" w:right="0"/>
            </w:pPr>
            <w:r w:rsidRPr="00EA7E79">
              <w:t xml:space="preserve">0.008 </w:t>
            </w:r>
          </w:p>
        </w:tc>
        <w:tc>
          <w:tcPr>
            <w:tcW w:w="959" w:type="dxa"/>
          </w:tcPr>
          <w:p w:rsidR="008D107F" w:rsidRPr="00EA7E79" w:rsidRDefault="008D107F" w:rsidP="00AD46F6">
            <w:pPr>
              <w:ind w:left="0" w:right="0"/>
            </w:pPr>
            <w:r w:rsidRPr="00EA7E79">
              <w:t xml:space="preserve">0.057 </w:t>
            </w:r>
          </w:p>
        </w:tc>
      </w:tr>
    </w:tbl>
    <w:p w:rsidR="008D107F" w:rsidRPr="008C5F31" w:rsidRDefault="008D107F" w:rsidP="00AD46F6">
      <w:r w:rsidRPr="008C5F31">
        <w:t>For 18- to 35-year old women, the cumulative failure rate (Kaplan-Meier estimate) at year 1 was 0.4% and 0.9% for three years</w:t>
      </w:r>
      <w:r w:rsidR="007D4859">
        <w:t>.</w:t>
      </w:r>
    </w:p>
    <w:p w:rsidR="008D107F" w:rsidRPr="008C5F31" w:rsidRDefault="008D107F" w:rsidP="00AD46F6">
      <w:r w:rsidRPr="008C5F31">
        <w:t>There were no relevant differences in the unadjusted, cumulative 3-year failure rate for women 18 to 35 years of age. Subgroup analyses did not show any relevant differences between the subgroups within the LCS12 treatment</w:t>
      </w:r>
      <w:r w:rsidR="00AD46F6">
        <w:t>.</w:t>
      </w:r>
    </w:p>
    <w:p w:rsidR="008D107F" w:rsidRPr="00AD46F6" w:rsidRDefault="007D4859" w:rsidP="00AD46F6">
      <w:pPr>
        <w:pStyle w:val="ListBullet"/>
        <w:rPr>
          <w:b/>
        </w:rPr>
      </w:pPr>
      <w:r w:rsidRPr="00AD46F6">
        <w:rPr>
          <w:b/>
        </w:rPr>
        <w:t xml:space="preserve">Study </w:t>
      </w:r>
      <w:r w:rsidR="008D107F" w:rsidRPr="00AD46F6">
        <w:rPr>
          <w:b/>
        </w:rPr>
        <w:t>A46796</w:t>
      </w:r>
    </w:p>
    <w:p w:rsidR="008D107F" w:rsidRPr="00AD46F6" w:rsidRDefault="008D107F" w:rsidP="00AD46F6">
      <w:pPr>
        <w:rPr>
          <w:b/>
        </w:rPr>
      </w:pPr>
      <w:r w:rsidRPr="00AD46F6">
        <w:rPr>
          <w:b/>
        </w:rPr>
        <w:t>Probability of getting pregnant, using Kaplan-Meier Life Table Analysis</w:t>
      </w:r>
    </w:p>
    <w:p w:rsidR="008D107F" w:rsidRDefault="008D107F" w:rsidP="00AD46F6">
      <w:r w:rsidRPr="008C5F31">
        <w:t xml:space="preserve">The cumulative failure rate (i.e. the probability of getting pregnant, calculated using the Kaplan-Meier method as required by the EMEA guideline) led to results similar to the PI above. The cumulative failure rate over 3 years was 0.005 in the LCS12 group, 0.025 in the LCS16 group, and 0.000 in the </w:t>
      </w:r>
      <w:proofErr w:type="spellStart"/>
      <w:r w:rsidRPr="008C5F31">
        <w:t>Mirena</w:t>
      </w:r>
      <w:proofErr w:type="spellEnd"/>
      <w:r w:rsidRPr="008C5F31">
        <w:t xml:space="preserve"> group. The results are summarized by year below (unadjusted). The adjusted ca</w:t>
      </w:r>
      <w:r w:rsidR="00AD46F6">
        <w:t>lculations were similar.</w:t>
      </w:r>
    </w:p>
    <w:p w:rsidR="007D4859" w:rsidRPr="008C5F31" w:rsidRDefault="007D4859" w:rsidP="00865F94">
      <w:pPr>
        <w:pStyle w:val="TableTitle"/>
      </w:pPr>
      <w:proofErr w:type="gramStart"/>
      <w:r>
        <w:lastRenderedPageBreak/>
        <w:t>Table 16.</w:t>
      </w:r>
      <w:proofErr w:type="gramEnd"/>
      <w:r>
        <w:t xml:space="preserve"> C</w:t>
      </w:r>
      <w:r w:rsidRPr="007D4859">
        <w:t>umulative failure rate over 3 years summarized by year (unadjusted).</w:t>
      </w:r>
    </w:p>
    <w:p w:rsidR="008D107F" w:rsidRPr="008D107F" w:rsidRDefault="008D107F" w:rsidP="00865F94">
      <w:pPr>
        <w:rPr>
          <w:lang w:eastAsia="ja-JP"/>
        </w:rPr>
      </w:pPr>
      <w:r w:rsidRPr="008D107F">
        <w:rPr>
          <w:noProof/>
          <w:lang w:eastAsia="en-AU"/>
        </w:rPr>
        <w:drawing>
          <wp:inline distT="0" distB="0" distL="0" distR="0" wp14:anchorId="4D66CDD1" wp14:editId="7BF2B3F9">
            <wp:extent cx="5647065" cy="3559629"/>
            <wp:effectExtent l="19050" t="0" r="0" b="0"/>
            <wp:docPr id="13" name="Picture 89" descr="Table 16. Cumulative failure rate over 3 years summarized by year (unadju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srcRect/>
                    <a:stretch>
                      <a:fillRect/>
                    </a:stretch>
                  </pic:blipFill>
                  <pic:spPr bwMode="auto">
                    <a:xfrm>
                      <a:off x="0" y="0"/>
                      <a:ext cx="5650387" cy="3561723"/>
                    </a:xfrm>
                    <a:prstGeom prst="rect">
                      <a:avLst/>
                    </a:prstGeom>
                    <a:noFill/>
                    <a:ln w="9525">
                      <a:noFill/>
                      <a:miter lim="800000"/>
                      <a:headEnd/>
                      <a:tailEnd/>
                    </a:ln>
                  </pic:spPr>
                </pic:pic>
              </a:graphicData>
            </a:graphic>
          </wp:inline>
        </w:drawing>
      </w:r>
    </w:p>
    <w:p w:rsidR="008D107F" w:rsidRPr="008C5F31" w:rsidRDefault="008D107F" w:rsidP="00865F94">
      <w:pPr>
        <w:pStyle w:val="Heading6"/>
      </w:pPr>
      <w:r w:rsidRPr="008C5F31">
        <w:t xml:space="preserve">Results for </w:t>
      </w:r>
      <w:r w:rsidRPr="00865F94">
        <w:t>other</w:t>
      </w:r>
      <w:r w:rsidRPr="008C5F31">
        <w:t xml:space="preserve"> efficacy outcomes</w:t>
      </w:r>
    </w:p>
    <w:p w:rsidR="008D107F" w:rsidRPr="00865F94" w:rsidRDefault="008D107F" w:rsidP="00865F94">
      <w:pPr>
        <w:pStyle w:val="ListBullet"/>
        <w:rPr>
          <w:b/>
        </w:rPr>
      </w:pPr>
      <w:r w:rsidRPr="00865F94">
        <w:rPr>
          <w:b/>
        </w:rPr>
        <w:t>MENSTRUAL BLEEDING</w:t>
      </w:r>
    </w:p>
    <w:p w:rsidR="008D107F" w:rsidRPr="008C5F31" w:rsidRDefault="008D107F" w:rsidP="00865F94">
      <w:r w:rsidRPr="008C5F31">
        <w:t>This was analysed using the FAS</w:t>
      </w:r>
      <w:r w:rsidR="00865F94">
        <w:t>.</w:t>
      </w:r>
    </w:p>
    <w:p w:rsidR="008D107F" w:rsidRPr="008C5F31" w:rsidRDefault="008D107F" w:rsidP="00865F94">
      <w:r w:rsidRPr="008C5F31">
        <w:t>Information on menstrual bleeding data was collected using subject-kept diaries. For the analyses, 90-day reference periods were used over the entire treatment period as per WHO recommendations. The 30-day reference periods were also used in the first year of treatment to provide a more detailed view over the time period with most rapid changes.</w:t>
      </w:r>
    </w:p>
    <w:p w:rsidR="008D107F" w:rsidRPr="008C5F31" w:rsidRDefault="008D107F" w:rsidP="00865F94">
      <w:r w:rsidRPr="008C5F31">
        <w:t xml:space="preserve">The evaluation of menstrual bleeding based on the pooled data across the pivotal study A52238 and study A46796 is considered representative. Results from the </w:t>
      </w:r>
      <w:proofErr w:type="spellStart"/>
      <w:r w:rsidRPr="008C5F31">
        <w:t>Mirena</w:t>
      </w:r>
      <w:proofErr w:type="spellEnd"/>
      <w:r w:rsidRPr="008C5F31">
        <w:t xml:space="preserve"> group from study A46796 are included in the pooled analysis although the sample size is small compared to the sample sizes in the LCS arms.</w:t>
      </w:r>
    </w:p>
    <w:p w:rsidR="008D107F" w:rsidRPr="008C5F31" w:rsidRDefault="008D107F" w:rsidP="00865F94">
      <w:r w:rsidRPr="008C5F31">
        <w:t xml:space="preserve">There was a clear, dose-dependent trend for an increase in the proportion of women with amenorrhea and infrequent bleeding over the course of the study and the proportion of women with prolonged and frequent bleeding decreased during the treatment period, from about 60% during the first 90-day period to about 20% during the second 90-day period. The likelihood of amenorrhea being LCS12: 11.6%, LCS16: 20.3%, </w:t>
      </w:r>
      <w:proofErr w:type="spellStart"/>
      <w:r w:rsidRPr="008C5F31">
        <w:t>Mirena</w:t>
      </w:r>
      <w:proofErr w:type="spellEnd"/>
      <w:r w:rsidRPr="008C5F31">
        <w:t>: 23.3%) Infrequent bleeding was already twice as common during the second 90-day period compared to the first 90-day period of treatment</w:t>
      </w:r>
      <w:r w:rsidR="007D4859">
        <w:t>.</w:t>
      </w:r>
    </w:p>
    <w:p w:rsidR="008D107F" w:rsidRPr="008C5F31" w:rsidRDefault="008D107F" w:rsidP="00865F94">
      <w:r w:rsidRPr="008C5F31">
        <w:t xml:space="preserve">The proportion of women with irregular bleeding decreased from around 42% or 28% during reference periods 1 and 2, respectively, and stayed fairly constant (around 16% to 19%) in the pooled LCS12 group from reference period 5 onwards, but continued to decrease in the </w:t>
      </w:r>
      <w:proofErr w:type="spellStart"/>
      <w:r w:rsidRPr="008C5F31">
        <w:t>Mirena</w:t>
      </w:r>
      <w:proofErr w:type="spellEnd"/>
      <w:r w:rsidRPr="008C5F31">
        <w:t xml:space="preserve"> group (reference period 11: 9.3%). In the LCS12 group, the percentage of women with irregular bleeding in reference peri</w:t>
      </w:r>
      <w:r w:rsidR="00865F94">
        <w:t>od 11 was 16.7% (LCS16: 12.0%).</w:t>
      </w:r>
    </w:p>
    <w:p w:rsidR="008D107F" w:rsidRPr="00865F94" w:rsidRDefault="00865F94" w:rsidP="00865F94">
      <w:pPr>
        <w:pStyle w:val="ListBullet"/>
        <w:rPr>
          <w:b/>
        </w:rPr>
      </w:pPr>
      <w:r w:rsidRPr="00865F94">
        <w:rPr>
          <w:b/>
        </w:rPr>
        <w:t>TREATMENT COMPLIANCE</w:t>
      </w:r>
    </w:p>
    <w:p w:rsidR="008D107F" w:rsidRPr="008C5F31" w:rsidRDefault="008D107F" w:rsidP="00865F94">
      <w:r w:rsidRPr="008C5F31">
        <w:t xml:space="preserve">Compliance with the IUS treatment was evaluated at every visit by use of vaginal ultrasound. Compliance was counted if the IUS was located in the fundal position or was displaced but still </w:t>
      </w:r>
      <w:r w:rsidRPr="008C5F31">
        <w:lastRenderedPageBreak/>
        <w:t>completely within the uterine cavity.  The proportion of compliant women at the end of the study visit was 93% for A532238 - this could be explained by the way patients who had had their IUS removed or expelled were counted in the final visit as there was 99% compliance throughout the study. In study A46796, overall compliance was consistently over 96% in all treatment groups throughout the study with n</w:t>
      </w:r>
      <w:r w:rsidR="00865F94">
        <w:t>o difference between subgroups.</w:t>
      </w:r>
    </w:p>
    <w:p w:rsidR="008D107F" w:rsidRPr="00865F94" w:rsidRDefault="00865F94" w:rsidP="00865F94">
      <w:pPr>
        <w:pStyle w:val="ListBullet"/>
        <w:rPr>
          <w:b/>
        </w:rPr>
      </w:pPr>
      <w:r w:rsidRPr="00865F94">
        <w:rPr>
          <w:b/>
        </w:rPr>
        <w:t>RETURN-TO-FERTILITY</w:t>
      </w:r>
    </w:p>
    <w:p w:rsidR="008D107F" w:rsidRPr="008C5F31" w:rsidRDefault="008D107F" w:rsidP="00865F94">
      <w:r w:rsidRPr="008C5F31">
        <w:t>In Study A52238, women were asked to contact the site if they became pregnant within 3 months of discontinuation. All women were routinely contacted at 3 months after discontinuation. Those who had discontinued due to a wish for pregnancy were followed up again at 12 months. Collection of the 3-month and 12-month follow-up information was still ong</w:t>
      </w:r>
      <w:r w:rsidR="00865F94">
        <w:t>oing at the time of submission.</w:t>
      </w:r>
    </w:p>
    <w:p w:rsidR="008D107F" w:rsidRPr="008C5F31" w:rsidRDefault="008D107F" w:rsidP="00865F94">
      <w:r w:rsidRPr="008C5F31">
        <w:t xml:space="preserve">In study A46796, of women with follow-up information up to 12 months, data were available for a total of 29 women who had discontinued the study drug for wish of pregnancy (LCS12: 7, LCS16: 11, and </w:t>
      </w:r>
      <w:proofErr w:type="spellStart"/>
      <w:r w:rsidRPr="008C5F31">
        <w:t>Mirena</w:t>
      </w:r>
      <w:proofErr w:type="spellEnd"/>
      <w:r w:rsidRPr="008C5F31">
        <w:t>: 11 women), of whom 25 of the 29 had conceived during the 12-month follow-up (LCS12</w:t>
      </w:r>
      <w:r w:rsidR="00865F94">
        <w:t xml:space="preserve">: 6, LCS16: 8, and </w:t>
      </w:r>
      <w:proofErr w:type="spellStart"/>
      <w:r w:rsidR="00865F94">
        <w:t>Mirena</w:t>
      </w:r>
      <w:proofErr w:type="spellEnd"/>
      <w:r w:rsidR="00865F94">
        <w:t>: 11).</w:t>
      </w:r>
    </w:p>
    <w:p w:rsidR="008D107F" w:rsidRPr="00865F94" w:rsidRDefault="008D107F" w:rsidP="00865F94">
      <w:pPr>
        <w:pStyle w:val="ListBullet"/>
        <w:rPr>
          <w:b/>
        </w:rPr>
      </w:pPr>
      <w:r w:rsidRPr="00865F94">
        <w:rPr>
          <w:b/>
        </w:rPr>
        <w:t>SUBJECTIVE ASSESSMENT OF USER SATISFACTION</w:t>
      </w:r>
    </w:p>
    <w:p w:rsidR="008D107F" w:rsidRPr="008C5F31" w:rsidRDefault="008D107F" w:rsidP="00865F94">
      <w:r w:rsidRPr="008C5F31">
        <w:t>User satisfaction was evaluated only in the pivotal study A52238 after implementation of protocol amendment 3. Satisfaction data for women who withdrew from the study prior to Amendment 3 was therefore not collected</w:t>
      </w:r>
      <w:r w:rsidR="007D4859">
        <w:t>.</w:t>
      </w:r>
    </w:p>
    <w:p w:rsidR="008D107F" w:rsidRPr="008C5F31" w:rsidRDefault="008D107F" w:rsidP="00865F94">
      <w:r w:rsidRPr="008C5F31">
        <w:t>Data for 1053 women in the LCS12 group and 1063 women in the LCS16 group (2116 out of 2885 women in the FAS) are available.  Overall, 77.4% of were ‘very satis</w:t>
      </w:r>
      <w:r w:rsidR="00865F94">
        <w:t>fied’ with the study treatment.</w:t>
      </w:r>
    </w:p>
    <w:p w:rsidR="008D107F" w:rsidRPr="00865F94" w:rsidRDefault="008D107F" w:rsidP="00865F94">
      <w:pPr>
        <w:pStyle w:val="ListBullet"/>
        <w:rPr>
          <w:b/>
        </w:rPr>
      </w:pPr>
      <w:r w:rsidRPr="00865F94">
        <w:rPr>
          <w:b/>
        </w:rPr>
        <w:t>PHARMACOKINETICS of SILVER ION</w:t>
      </w:r>
    </w:p>
    <w:p w:rsidR="008D107F" w:rsidRPr="008C5F31" w:rsidRDefault="008D107F" w:rsidP="00865F94">
      <w:r w:rsidRPr="008C5F31">
        <w:t>The Subset 3 analysis included a PK study of the silver ion. Serum concentrations were measured as planned a priori in 13 subjects from s</w:t>
      </w:r>
      <w:r w:rsidR="007D4859">
        <w:t xml:space="preserve">ubset 3 before insertion, then </w:t>
      </w:r>
      <w:r w:rsidRPr="008C5F31">
        <w:t xml:space="preserve">at Visits 2, 6 and 10. In almost all subjects, the baseline concentration of silver in serum was below the LLOQ of 1 </w:t>
      </w:r>
      <w:proofErr w:type="spellStart"/>
      <w:r w:rsidRPr="008C5F31">
        <w:t>μg</w:t>
      </w:r>
      <w:proofErr w:type="spellEnd"/>
      <w:r w:rsidRPr="008C5F31">
        <w:t xml:space="preserve">/L. In one subject in the LCS16 group, the pre-treatment concentration of silver was </w:t>
      </w:r>
      <w:proofErr w:type="gramStart"/>
      <w:r w:rsidRPr="008C5F31">
        <w:t xml:space="preserve">1.55 </w:t>
      </w:r>
      <w:proofErr w:type="spellStart"/>
      <w:r w:rsidRPr="008C5F31">
        <w:t>μg</w:t>
      </w:r>
      <w:proofErr w:type="spellEnd"/>
      <w:r w:rsidRPr="008C5F31">
        <w:t>/L.</w:t>
      </w:r>
      <w:proofErr w:type="gramEnd"/>
      <w:r w:rsidRPr="008C5F31">
        <w:t xml:space="preserve"> After insertion of LCS12 or LCS16, the silver ion concentration in serum was always below the LLOQ of 1 </w:t>
      </w:r>
      <w:proofErr w:type="spellStart"/>
      <w:r w:rsidRPr="008C5F31">
        <w:t>μg</w:t>
      </w:r>
      <w:proofErr w:type="spellEnd"/>
      <w:r w:rsidRPr="008C5F31">
        <w:t>/L. Thus, the percentage change of serum silver ion concentrations between pre-treatment and treatment visits was not calculated.</w:t>
      </w:r>
    </w:p>
    <w:p w:rsidR="008D107F" w:rsidRPr="008C5F31" w:rsidRDefault="008D107F" w:rsidP="00865F94">
      <w:r w:rsidRPr="008C5F31">
        <w:t xml:space="preserve">Non clinical/biocompatibility studies have been undertaken with the silver ring. These are summarised in </w:t>
      </w:r>
      <w:r w:rsidR="007D4859">
        <w:t xml:space="preserve">the dossier </w:t>
      </w:r>
      <w:r w:rsidRPr="008C5F31">
        <w:t>Module 2.  The components of LCS12, which include the silver ring, are biocompatible under the conditions of the tests employed and were not mutagenic or cytotoxic.</w:t>
      </w:r>
    </w:p>
    <w:p w:rsidR="008D107F" w:rsidRPr="008C5F31" w:rsidRDefault="008D107F" w:rsidP="00865F94">
      <w:pPr>
        <w:pStyle w:val="Heading3"/>
      </w:pPr>
      <w:bookmarkStart w:id="298" w:name="_Toc229197938"/>
      <w:bookmarkStart w:id="299" w:name="_Toc343587572"/>
      <w:bookmarkStart w:id="300" w:name="_Toc219998400"/>
      <w:bookmarkStart w:id="301" w:name="_Toc219998504"/>
      <w:bookmarkStart w:id="302" w:name="_Toc219998919"/>
      <w:bookmarkStart w:id="303" w:name="_Toc219999022"/>
      <w:bookmarkStart w:id="304" w:name="_Toc219999123"/>
      <w:bookmarkStart w:id="305" w:name="_Ref271126605"/>
      <w:bookmarkStart w:id="306" w:name="_Toc272414657"/>
      <w:bookmarkStart w:id="307" w:name="_Toc290846282"/>
      <w:bookmarkStart w:id="308" w:name="_Toc290888819"/>
      <w:bookmarkStart w:id="309" w:name="_Toc380660802"/>
      <w:r w:rsidRPr="008C5F31">
        <w:t>Analysis performed across trials</w:t>
      </w:r>
      <w:bookmarkEnd w:id="298"/>
      <w:bookmarkEnd w:id="309"/>
    </w:p>
    <w:p w:rsidR="008D107F" w:rsidRPr="008C5F31" w:rsidRDefault="008D107F" w:rsidP="00865F94">
      <w:r w:rsidRPr="008C5F31">
        <w:t>A pooled analysis was undertaken and relevant data from this has been discussed as comparison in the discussion of clinical efficacy and safety endpoints when relevant.</w:t>
      </w:r>
    </w:p>
    <w:p w:rsidR="008D107F" w:rsidRPr="008C5F31" w:rsidRDefault="008D107F" w:rsidP="00865F94">
      <w:pPr>
        <w:pStyle w:val="Heading3"/>
      </w:pPr>
      <w:bookmarkStart w:id="310" w:name="_Toc229197939"/>
      <w:bookmarkStart w:id="311" w:name="_Toc380660803"/>
      <w:r w:rsidRPr="00865F94">
        <w:t>Evaluator’s</w:t>
      </w:r>
      <w:r w:rsidRPr="008C5F31">
        <w:t xml:space="preserve"> conclusions on clinical efficacy</w:t>
      </w:r>
      <w:bookmarkEnd w:id="299"/>
      <w:bookmarkEnd w:id="300"/>
      <w:bookmarkEnd w:id="301"/>
      <w:bookmarkEnd w:id="302"/>
      <w:bookmarkEnd w:id="303"/>
      <w:bookmarkEnd w:id="304"/>
      <w:bookmarkEnd w:id="310"/>
      <w:bookmarkEnd w:id="311"/>
      <w:r w:rsidRPr="008C5F31">
        <w:t xml:space="preserve"> </w:t>
      </w:r>
      <w:bookmarkEnd w:id="305"/>
      <w:bookmarkEnd w:id="306"/>
      <w:bookmarkEnd w:id="307"/>
      <w:bookmarkEnd w:id="308"/>
    </w:p>
    <w:p w:rsidR="008D107F" w:rsidRPr="00865F94" w:rsidRDefault="008D107F" w:rsidP="00865F94">
      <w:pPr>
        <w:pStyle w:val="ListBullet"/>
        <w:rPr>
          <w:b/>
        </w:rPr>
      </w:pPr>
      <w:r w:rsidRPr="00865F94">
        <w:rPr>
          <w:b/>
        </w:rPr>
        <w:t>Pregnancy</w:t>
      </w:r>
    </w:p>
    <w:p w:rsidR="008D107F" w:rsidRPr="008C5F31" w:rsidRDefault="008D107F" w:rsidP="00865F94">
      <w:r w:rsidRPr="008C5F31">
        <w:t>Although for obvious reasons, a placebo group was not studied, contraceptive efficacy of LCS12 (</w:t>
      </w:r>
      <w:proofErr w:type="spellStart"/>
      <w:r w:rsidRPr="008C5F31">
        <w:t>Jaydess</w:t>
      </w:r>
      <w:proofErr w:type="spellEnd"/>
      <w:r w:rsidRPr="008C5F31">
        <w:t xml:space="preserve">) when inserted according to the insertion instructions has been met. In the pivotal study A52238 for 18- to 35-year old women, the unadjusted PI for LCS12 for the first year was 0.41 with the upper limit of the two-sided 95% CI of 0.96, and 0.33 for the total three years of </w:t>
      </w:r>
      <w:r w:rsidRPr="008C5F31">
        <w:lastRenderedPageBreak/>
        <w:t>use, with the upper limit of the two-sided 95% CI of 0.60.  The CHMP recommend that the difference between the point estimate and the upper limit of the 95% CI of the PI is &lt;1.</w:t>
      </w:r>
    </w:p>
    <w:p w:rsidR="008D107F" w:rsidRPr="008C5F31" w:rsidRDefault="008D107F" w:rsidP="00865F94">
      <w:r w:rsidRPr="008C5F31">
        <w:t>Further, in the supporting study A46976, the highest PI (unadjusted PI: 1.52; adjusted PI: 1.53) was observed in Year 2 for the LCS16 arm. With the exception of this group and time, all PI were below 1 and the upper limit of the 95% CI never exceeded 4.5.</w:t>
      </w:r>
    </w:p>
    <w:p w:rsidR="008D107F" w:rsidRPr="008C5F31" w:rsidRDefault="008D107F" w:rsidP="00865F94">
      <w:r w:rsidRPr="008C5F31">
        <w:t xml:space="preserve">Note: the requirement of the EMEA guidance, that the difference between the point estimate for the Pearl index and the upper 95% CI limit should not exceed 1, which although being met for the three year Pearl index with </w:t>
      </w:r>
      <w:proofErr w:type="spellStart"/>
      <w:r w:rsidRPr="008C5F31">
        <w:t>Mirena</w:t>
      </w:r>
      <w:proofErr w:type="spellEnd"/>
      <w:r w:rsidRPr="008C5F31">
        <w:t xml:space="preserve"> a</w:t>
      </w:r>
      <w:r w:rsidR="00865F94">
        <w:t>nd LCS12, was missed for LCS16.</w:t>
      </w:r>
    </w:p>
    <w:p w:rsidR="008D107F" w:rsidRPr="008C5F31" w:rsidRDefault="008D107F" w:rsidP="00865F94">
      <w:r w:rsidRPr="008C5F31">
        <w:t>Using a life table analysis, and using the pivotal A52238 study LCS12 has a failure rate of approximately 0.4% at 1 year and a cumulative failure rate of approximately 0.9% at 3 years.</w:t>
      </w:r>
    </w:p>
    <w:p w:rsidR="008D107F" w:rsidRPr="008C5F31" w:rsidRDefault="008D107F" w:rsidP="00865F94">
      <w:r w:rsidRPr="008C5F31">
        <w:t>In terms of the 95% CI of the PI for the supporting study A46796 not being met in the LCS16 arm, it is noted that this is a Phase 2 study only, that it occurred in the LCS16 and not the LCS12 (</w:t>
      </w:r>
      <w:proofErr w:type="spellStart"/>
      <w:r w:rsidRPr="008C5F31">
        <w:t>Jaydess</w:t>
      </w:r>
      <w:proofErr w:type="spellEnd"/>
      <w:r w:rsidRPr="008C5F31">
        <w:t>) arm and that the failure rate also includes pregnancies due to undetected ex</w:t>
      </w:r>
      <w:r w:rsidR="00865F94">
        <w:t>pulsions.</w:t>
      </w:r>
    </w:p>
    <w:p w:rsidR="008D107F" w:rsidRPr="008C5F31" w:rsidRDefault="008D107F" w:rsidP="00865F94">
      <w:r w:rsidRPr="008C5F31">
        <w:t>Demographic and baseline characteristics of the pivotal study A53328 and study A46796 revealed demographic and baseline characteristics representative of the target population with a large group of both ≤ 25 years and/or nulliparous women (approximately 600 women in each of these categories in the total LCS12 population).  Further follow-up on those who wished to conceive but hadn’t at the completion of the study, and vigilance in special groups is required and has subsequently been provided by t</w:t>
      </w:r>
      <w:r w:rsidR="00865F94">
        <w:t>he Sponsor in the S31 request.</w:t>
      </w:r>
    </w:p>
    <w:p w:rsidR="008D107F" w:rsidRPr="006929C7" w:rsidRDefault="008D107F" w:rsidP="006929C7">
      <w:pPr>
        <w:pStyle w:val="ListBullet"/>
        <w:rPr>
          <w:b/>
        </w:rPr>
      </w:pPr>
      <w:r w:rsidRPr="006929C7">
        <w:rPr>
          <w:b/>
        </w:rPr>
        <w:t>Bleeding</w:t>
      </w:r>
    </w:p>
    <w:p w:rsidR="008D107F" w:rsidRPr="008C5F31" w:rsidRDefault="008D107F" w:rsidP="006929C7">
      <w:proofErr w:type="spellStart"/>
      <w:r w:rsidRPr="008C5F31">
        <w:t>Jaydess</w:t>
      </w:r>
      <w:proofErr w:type="spellEnd"/>
      <w:r w:rsidRPr="008C5F31">
        <w:t xml:space="preserve"> had a favourable effect on bleeding as is seen with higher high dose LNG preparations. Specifically, the proportion of women with amenorrhea gradually increased over the course of the 3year treatment period although the number was relatively small compared to the effect with </w:t>
      </w:r>
      <w:proofErr w:type="spellStart"/>
      <w:r w:rsidRPr="008C5F31">
        <w:t>Mirena</w:t>
      </w:r>
      <w:proofErr w:type="spellEnd"/>
      <w:r w:rsidRPr="008C5F31">
        <w:t xml:space="preserve">.  Additionally, the proportion of women with prolonged and frequent bleeding decreased. This effect appeared to be dose related, with increasing LNG as in LCS16 and </w:t>
      </w:r>
      <w:proofErr w:type="spellStart"/>
      <w:r w:rsidRPr="008C5F31">
        <w:t>Mirena</w:t>
      </w:r>
      <w:proofErr w:type="spellEnd"/>
      <w:r w:rsidRPr="008C5F31">
        <w:t xml:space="preserve"> having greater effects.</w:t>
      </w:r>
    </w:p>
    <w:p w:rsidR="008D107F" w:rsidRPr="006929C7" w:rsidRDefault="008D107F" w:rsidP="006929C7">
      <w:pPr>
        <w:pStyle w:val="ListBullet"/>
        <w:rPr>
          <w:b/>
        </w:rPr>
      </w:pPr>
      <w:r w:rsidRPr="006929C7">
        <w:rPr>
          <w:b/>
        </w:rPr>
        <w:t>Compliance</w:t>
      </w:r>
    </w:p>
    <w:p w:rsidR="008D107F" w:rsidRPr="008C5F31" w:rsidRDefault="008D107F" w:rsidP="006929C7">
      <w:r w:rsidRPr="008C5F31">
        <w:t xml:space="preserve">Overall compliance (as defined via IUS location with ultrasound) was high in both studies in all treatment groups. Importantly there was no difference in correct position of the IUS was seen between </w:t>
      </w:r>
      <w:proofErr w:type="spellStart"/>
      <w:r w:rsidRPr="008C5F31">
        <w:t>parous</w:t>
      </w:r>
      <w:proofErr w:type="spellEnd"/>
      <w:r w:rsidRPr="008C5F31">
        <w:t xml:space="preserve"> and nulliparous women.</w:t>
      </w:r>
    </w:p>
    <w:p w:rsidR="008D107F" w:rsidRPr="006929C7" w:rsidRDefault="006929C7" w:rsidP="006929C7">
      <w:pPr>
        <w:pStyle w:val="ListBullet"/>
        <w:rPr>
          <w:b/>
        </w:rPr>
      </w:pPr>
      <w:r w:rsidRPr="006929C7">
        <w:rPr>
          <w:b/>
        </w:rPr>
        <w:t>Early safety signals</w:t>
      </w:r>
    </w:p>
    <w:p w:rsidR="008D107F" w:rsidRPr="008C5F31" w:rsidRDefault="008D107F" w:rsidP="006929C7">
      <w:r w:rsidRPr="008C5F31">
        <w:t>An analysis of the available return-to-fertility although early, was reassuring with 25 out of 29 women who discontinued study A46796 because of wish for conception becoming pregnant during the 12-month follow-up. Unintended pregnancy due to expulsion was uncommon although monitoring post registration would be important.</w:t>
      </w:r>
    </w:p>
    <w:p w:rsidR="008D107F" w:rsidRPr="008C5F31" w:rsidRDefault="008D107F" w:rsidP="006929C7">
      <w:r w:rsidRPr="008C5F31">
        <w:t>More than three quarters of women who completed the user satisfaction questionnaire were ‘very satisfied’ with study treatment.</w:t>
      </w:r>
    </w:p>
    <w:p w:rsidR="00C22678" w:rsidRPr="008C5F31" w:rsidRDefault="008D107F" w:rsidP="006929C7">
      <w:r w:rsidRPr="008C5F31">
        <w:t xml:space="preserve">Of note, almost all women are of Caucasian origin, and thus </w:t>
      </w:r>
      <w:proofErr w:type="spellStart"/>
      <w:r w:rsidRPr="008C5F31">
        <w:t>generalisability</w:t>
      </w:r>
      <w:proofErr w:type="spellEnd"/>
      <w:r w:rsidRPr="008C5F31">
        <w:t xml:space="preserve"> to other ethnic groups cannot be made. The LCS12 has met the CHMP criteria for effective contraception, discussed above, although this was not met for LCS16 in the Phase 2 study.</w:t>
      </w:r>
    </w:p>
    <w:p w:rsidR="00C22678" w:rsidRDefault="00C22678" w:rsidP="006929C7">
      <w:pPr>
        <w:pStyle w:val="Heading2"/>
      </w:pPr>
      <w:bookmarkStart w:id="312" w:name="_Toc380660804"/>
      <w:r>
        <w:t xml:space="preserve">Clinical </w:t>
      </w:r>
      <w:r w:rsidRPr="006929C7">
        <w:t>safety</w:t>
      </w:r>
      <w:bookmarkEnd w:id="312"/>
    </w:p>
    <w:p w:rsidR="008D107F" w:rsidRPr="000B7533" w:rsidRDefault="008D107F" w:rsidP="0083085C">
      <w:bookmarkStart w:id="313" w:name="_Ref268776745"/>
      <w:r w:rsidRPr="000B7533">
        <w:t xml:space="preserve">Analysis of the safety of LCS12 is based on the same clinical studies, i.e. the pivotal phase 3 </w:t>
      </w:r>
      <w:proofErr w:type="gramStart"/>
      <w:r w:rsidRPr="000B7533">
        <w:t>study</w:t>
      </w:r>
      <w:proofErr w:type="gramEnd"/>
      <w:r w:rsidRPr="000B7533">
        <w:t xml:space="preserve"> A52238 and the comparative phase 2 study A46796, as for analysis of contraceptive efficacy.</w:t>
      </w:r>
    </w:p>
    <w:p w:rsidR="008D107F" w:rsidRPr="000B7533" w:rsidRDefault="008D107F" w:rsidP="0083085C">
      <w:r w:rsidRPr="000B7533">
        <w:lastRenderedPageBreak/>
        <w:t>Similarly, the same analysis set (FAS as defined above) was used for the safety and efficacy assessment and therefore characteristics of the study population have been discussed. Safety data were examined for each individual study an</w:t>
      </w:r>
      <w:r w:rsidR="0083085C">
        <w:t>d also for the pooled analysis.</w:t>
      </w:r>
    </w:p>
    <w:p w:rsidR="008D107F" w:rsidRPr="000B7533" w:rsidRDefault="008D107F" w:rsidP="0083085C">
      <w:r w:rsidRPr="000B7533">
        <w:t>All women who were enrolled and had an insertion attempt (both pivotal and supporting) were included in the safety analysis, including 1672 women assigned to LCS12, 1697 women assigned to LCS16, and 256 women assigne</w:t>
      </w:r>
      <w:r w:rsidR="0083085C">
        <w:t xml:space="preserve">d to </w:t>
      </w:r>
      <w:proofErr w:type="spellStart"/>
      <w:r w:rsidR="0083085C">
        <w:t>Mirena</w:t>
      </w:r>
      <w:proofErr w:type="spellEnd"/>
      <w:r w:rsidR="0083085C">
        <w:t xml:space="preserve"> (total women 3625).</w:t>
      </w:r>
    </w:p>
    <w:p w:rsidR="008D107F" w:rsidRPr="000B7533" w:rsidRDefault="008D107F" w:rsidP="0083085C">
      <w:r w:rsidRPr="000B7533">
        <w:t>Safety variables evaluated in these studies are:</w:t>
      </w:r>
    </w:p>
    <w:p w:rsidR="008D107F" w:rsidRPr="000B7533" w:rsidRDefault="008D107F" w:rsidP="0083085C">
      <w:pPr>
        <w:pStyle w:val="ListBullet"/>
      </w:pPr>
      <w:r w:rsidRPr="000B7533">
        <w:t>Concomitant medication</w:t>
      </w:r>
    </w:p>
    <w:p w:rsidR="008D107F" w:rsidRPr="000B7533" w:rsidRDefault="008D107F" w:rsidP="0083085C">
      <w:pPr>
        <w:pStyle w:val="ListBullet"/>
      </w:pPr>
      <w:r w:rsidRPr="000B7533">
        <w:t xml:space="preserve">Adverse Events (AEs) and serious adverse events (SAE) – </w:t>
      </w:r>
      <w:r w:rsidRPr="0083085C">
        <w:t>number</w:t>
      </w:r>
      <w:r w:rsidRPr="000B7533">
        <w:t xml:space="preserve"> plus analysis by age, parity, ethnicity, BMI, and time. These included expulsion of the LCS, and pelvic inflammatory disease (PID). Ovarian cysts reported as AEs if they were abnormal non-functional cysts and/or had a diameter &gt; 3 cm. Ectopic pregnancies and perforations were reported as SAEs in A52238 and A46976.</w:t>
      </w:r>
    </w:p>
    <w:p w:rsidR="008D107F" w:rsidRPr="000B7533" w:rsidRDefault="008D107F" w:rsidP="0083085C">
      <w:pPr>
        <w:pStyle w:val="ListBullet"/>
      </w:pPr>
      <w:r w:rsidRPr="000B7533">
        <w:t>Laboratory tests including pregnancy tests</w:t>
      </w:r>
    </w:p>
    <w:p w:rsidR="008D107F" w:rsidRPr="000B7533" w:rsidRDefault="008D107F" w:rsidP="0083085C">
      <w:pPr>
        <w:pStyle w:val="ListBullet"/>
      </w:pPr>
      <w:r w:rsidRPr="000B7533">
        <w:t>Vital signs</w:t>
      </w:r>
    </w:p>
    <w:p w:rsidR="008D107F" w:rsidRPr="000B7533" w:rsidRDefault="008D107F" w:rsidP="0083085C">
      <w:pPr>
        <w:pStyle w:val="ListBullet"/>
      </w:pPr>
      <w:r w:rsidRPr="000B7533">
        <w:t xml:space="preserve">General physical, breast, </w:t>
      </w:r>
      <w:proofErr w:type="spellStart"/>
      <w:r w:rsidRPr="000B7533">
        <w:t>gynecological</w:t>
      </w:r>
      <w:proofErr w:type="spellEnd"/>
      <w:r w:rsidRPr="000B7533">
        <w:t xml:space="preserve"> examinations, including vaginal and cervical smears and vaginal ultrasound (for A52238 and A46976)</w:t>
      </w:r>
    </w:p>
    <w:p w:rsidR="008D107F" w:rsidRPr="000B7533" w:rsidRDefault="0083085C" w:rsidP="0083085C">
      <w:pPr>
        <w:pStyle w:val="ListBullet"/>
      </w:pPr>
      <w:r>
        <w:t>Cervical smear.</w:t>
      </w:r>
    </w:p>
    <w:p w:rsidR="008D107F" w:rsidRPr="000B7533" w:rsidRDefault="008D107F" w:rsidP="0083085C">
      <w:r w:rsidRPr="000B7533">
        <w:t>Safety variables of special interest are:</w:t>
      </w:r>
    </w:p>
    <w:p w:rsidR="008D107F" w:rsidRPr="000B7533" w:rsidRDefault="008D107F" w:rsidP="0083085C">
      <w:pPr>
        <w:pStyle w:val="ListBullet"/>
      </w:pPr>
      <w:r w:rsidRPr="000B7533">
        <w:t xml:space="preserve">ectopic </w:t>
      </w:r>
      <w:r w:rsidRPr="0083085C">
        <w:t>pregnancy</w:t>
      </w:r>
    </w:p>
    <w:p w:rsidR="008D107F" w:rsidRPr="000B7533" w:rsidRDefault="008D107F" w:rsidP="0083085C">
      <w:pPr>
        <w:pStyle w:val="ListBullet"/>
      </w:pPr>
      <w:r w:rsidRPr="000B7533">
        <w:t xml:space="preserve">pelvic </w:t>
      </w:r>
      <w:r w:rsidRPr="0083085C">
        <w:t>inflammatory</w:t>
      </w:r>
      <w:r w:rsidR="0083085C">
        <w:t xml:space="preserve"> disease (PID)</w:t>
      </w:r>
    </w:p>
    <w:p w:rsidR="008D107F" w:rsidRPr="000B7533" w:rsidRDefault="008D107F" w:rsidP="0083085C">
      <w:pPr>
        <w:pStyle w:val="ListBullet"/>
      </w:pPr>
      <w:r w:rsidRPr="000B7533">
        <w:t>I</w:t>
      </w:r>
      <w:r w:rsidR="0083085C">
        <w:t>US expulsions and perforations.</w:t>
      </w:r>
    </w:p>
    <w:p w:rsidR="008D107F" w:rsidRPr="000B7533" w:rsidRDefault="008D107F" w:rsidP="0083085C">
      <w:pPr>
        <w:pStyle w:val="ListBullet"/>
      </w:pPr>
      <w:r w:rsidRPr="000B7533">
        <w:t>IUS insertion/remova</w:t>
      </w:r>
      <w:r w:rsidR="0083085C">
        <w:t>l ease and pain,</w:t>
      </w:r>
    </w:p>
    <w:p w:rsidR="008D107F" w:rsidRPr="000B7533" w:rsidRDefault="0083085C" w:rsidP="0083085C">
      <w:pPr>
        <w:pStyle w:val="ListBullet"/>
      </w:pPr>
      <w:r>
        <w:t>endometrial safety</w:t>
      </w:r>
    </w:p>
    <w:p w:rsidR="008D107F" w:rsidRPr="000B7533" w:rsidRDefault="008D107F" w:rsidP="0083085C">
      <w:pPr>
        <w:pStyle w:val="ListBullet"/>
      </w:pPr>
      <w:proofErr w:type="gramStart"/>
      <w:r w:rsidRPr="000B7533">
        <w:t>bone</w:t>
      </w:r>
      <w:proofErr w:type="gramEnd"/>
      <w:r w:rsidRPr="000B7533">
        <w:t xml:space="preserve"> mineral </w:t>
      </w:r>
      <w:r w:rsidRPr="0083085C">
        <w:t>density</w:t>
      </w:r>
      <w:r w:rsidRPr="000B7533">
        <w:t xml:space="preserve"> (a priori </w:t>
      </w:r>
      <w:r w:rsidR="0083085C">
        <w:t>subgroup in study A52238 only).</w:t>
      </w:r>
    </w:p>
    <w:p w:rsidR="008D107F" w:rsidRPr="000B7533" w:rsidRDefault="008D107F" w:rsidP="0083085C">
      <w:r w:rsidRPr="000B7533">
        <w:t>Stratification by age, parity, and time is also undertaken.</w:t>
      </w:r>
      <w:bookmarkEnd w:id="313"/>
    </w:p>
    <w:p w:rsidR="008D107F" w:rsidRPr="000B7533" w:rsidRDefault="008D107F" w:rsidP="0083085C">
      <w:r w:rsidRPr="000B7533">
        <w:t xml:space="preserve">In study A46796, some events such as including acne, bloating, breast pain, breast tension, oedema, headache, mood changes, nausea and weight gain) were classified as </w:t>
      </w:r>
      <w:proofErr w:type="spellStart"/>
      <w:r w:rsidRPr="000B7533">
        <w:t>progestogenic</w:t>
      </w:r>
      <w:proofErr w:type="spellEnd"/>
      <w:r w:rsidRPr="000B7533">
        <w:t>-related side effects and assessed at every visit via specific questioning. In contrast, these events were recorded as reported voluntarily by the women in study A52238. This difference in AE reporting is likely to have contributed to a higher frequency of the side effects classified as progestin-related in study A46796 (67 to 72%) than in study A52238 (50 to 52%).</w:t>
      </w:r>
    </w:p>
    <w:p w:rsidR="008D107F" w:rsidRPr="000B7533" w:rsidRDefault="008D107F" w:rsidP="0083085C">
      <w:pPr>
        <w:pStyle w:val="Heading4"/>
      </w:pPr>
      <w:bookmarkStart w:id="314" w:name="_Toc229197942"/>
      <w:r w:rsidRPr="000B7533">
        <w:t>Pivotal studies that assessed safety as a primary outcome</w:t>
      </w:r>
      <w:bookmarkEnd w:id="314"/>
    </w:p>
    <w:p w:rsidR="008D107F" w:rsidRPr="000B7533" w:rsidRDefault="008D107F" w:rsidP="0083085C">
      <w:r w:rsidRPr="000B7533">
        <w:t>There were no pivotal studies that assess</w:t>
      </w:r>
      <w:r w:rsidR="0083085C">
        <w:t>ed safety as a primary outcome.</w:t>
      </w:r>
    </w:p>
    <w:p w:rsidR="008D107F" w:rsidRPr="000B7533" w:rsidRDefault="008D107F" w:rsidP="0083085C">
      <w:r w:rsidRPr="000B7533">
        <w:t xml:space="preserve">The dose-response and non-pivotal efficacy studies A46076, A52238 and A229 provided safety data, covered in </w:t>
      </w:r>
      <w:r w:rsidR="00532DF7">
        <w:t>an Appendix not included in this Extract</w:t>
      </w:r>
      <w:r w:rsidRPr="000B7533">
        <w:t>.</w:t>
      </w:r>
    </w:p>
    <w:p w:rsidR="008D107F" w:rsidRPr="000B7533" w:rsidRDefault="008D107F" w:rsidP="0083085C">
      <w:pPr>
        <w:pStyle w:val="Heading3"/>
      </w:pPr>
      <w:bookmarkStart w:id="315" w:name="_Toc241374318"/>
      <w:bookmarkStart w:id="316" w:name="_Ref271196630"/>
      <w:bookmarkStart w:id="317" w:name="_Toc272414662"/>
      <w:bookmarkStart w:id="318" w:name="_Toc290846300"/>
      <w:bookmarkStart w:id="319" w:name="_Toc290888837"/>
      <w:bookmarkStart w:id="320" w:name="_Toc343587577"/>
      <w:bookmarkStart w:id="321" w:name="_Toc219998403"/>
      <w:bookmarkStart w:id="322" w:name="_Toc219998507"/>
      <w:bookmarkStart w:id="323" w:name="_Toc219998922"/>
      <w:bookmarkStart w:id="324" w:name="_Toc219999025"/>
      <w:bookmarkStart w:id="325" w:name="_Toc219999126"/>
      <w:bookmarkStart w:id="326" w:name="_Toc229197943"/>
      <w:bookmarkStart w:id="327" w:name="_Toc380660805"/>
      <w:r w:rsidRPr="000B7533">
        <w:lastRenderedPageBreak/>
        <w:t>Patient exposur</w:t>
      </w:r>
      <w:bookmarkEnd w:id="315"/>
      <w:bookmarkEnd w:id="316"/>
      <w:bookmarkEnd w:id="317"/>
      <w:bookmarkEnd w:id="318"/>
      <w:bookmarkEnd w:id="319"/>
      <w:r w:rsidRPr="000B7533">
        <w:t>e</w:t>
      </w:r>
      <w:bookmarkEnd w:id="320"/>
      <w:bookmarkEnd w:id="321"/>
      <w:bookmarkEnd w:id="322"/>
      <w:bookmarkEnd w:id="323"/>
      <w:bookmarkEnd w:id="324"/>
      <w:bookmarkEnd w:id="325"/>
      <w:bookmarkEnd w:id="326"/>
      <w:bookmarkEnd w:id="327"/>
    </w:p>
    <w:p w:rsidR="008D107F" w:rsidRPr="000B7533" w:rsidRDefault="008D107F" w:rsidP="0083085C">
      <w:pPr>
        <w:pStyle w:val="TableTitle"/>
      </w:pPr>
      <w:bookmarkStart w:id="328" w:name="_Toc346183338"/>
      <w:proofErr w:type="gramStart"/>
      <w:r w:rsidRPr="000B7533">
        <w:t>Table</w:t>
      </w:r>
      <w:r w:rsidR="00532DF7">
        <w:t xml:space="preserve"> 17</w:t>
      </w:r>
      <w:r w:rsidRPr="000B7533">
        <w:t>.</w:t>
      </w:r>
      <w:proofErr w:type="gramEnd"/>
      <w:r w:rsidRPr="000B7533">
        <w:t xml:space="preserve"> Mean exposure to LNG and comparators in clinical studies.</w:t>
      </w:r>
      <w:bookmarkEnd w:id="328"/>
    </w:p>
    <w:tbl>
      <w:tblPr>
        <w:tblStyle w:val="TableTGAblue"/>
        <w:tblW w:w="8364" w:type="dxa"/>
        <w:tblLayout w:type="fixed"/>
        <w:tblLook w:val="0620" w:firstRow="1" w:lastRow="0" w:firstColumn="0" w:lastColumn="0" w:noHBand="1" w:noVBand="1"/>
      </w:tblPr>
      <w:tblGrid>
        <w:gridCol w:w="2552"/>
        <w:gridCol w:w="1417"/>
        <w:gridCol w:w="1418"/>
        <w:gridCol w:w="1276"/>
        <w:gridCol w:w="1701"/>
      </w:tblGrid>
      <w:tr w:rsidR="00532DF7" w:rsidRPr="000B7533" w:rsidTr="0083085C">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tcPr>
          <w:p w:rsidR="00532DF7" w:rsidRPr="000B7533" w:rsidRDefault="00532DF7" w:rsidP="0083085C">
            <w:pPr>
              <w:keepNext/>
              <w:ind w:left="0" w:right="0"/>
            </w:pPr>
            <w:r w:rsidRPr="000B7533">
              <w:t>Study type/</w:t>
            </w:r>
          </w:p>
          <w:p w:rsidR="00532DF7" w:rsidRPr="000B7533" w:rsidRDefault="00532DF7" w:rsidP="0083085C">
            <w:pPr>
              <w:ind w:left="0" w:right="0"/>
            </w:pPr>
            <w:r w:rsidRPr="000B7533">
              <w:t>Indication</w:t>
            </w:r>
          </w:p>
        </w:tc>
        <w:tc>
          <w:tcPr>
            <w:tcW w:w="4111" w:type="dxa"/>
            <w:gridSpan w:val="3"/>
          </w:tcPr>
          <w:p w:rsidR="00532DF7" w:rsidRPr="000B7533" w:rsidRDefault="00532DF7" w:rsidP="0083085C">
            <w:pPr>
              <w:ind w:left="0" w:right="0"/>
            </w:pPr>
            <w:r w:rsidRPr="000B7533">
              <w:t>Uncontrolled studies</w:t>
            </w:r>
          </w:p>
        </w:tc>
        <w:tc>
          <w:tcPr>
            <w:tcW w:w="1701" w:type="dxa"/>
            <w:vMerge w:val="restart"/>
          </w:tcPr>
          <w:p w:rsidR="00532DF7" w:rsidRPr="000B7533" w:rsidRDefault="00532DF7" w:rsidP="0083085C">
            <w:pPr>
              <w:ind w:left="0" w:right="0"/>
            </w:pPr>
            <w:r w:rsidRPr="000B7533">
              <w:t>Total</w:t>
            </w:r>
          </w:p>
          <w:p w:rsidR="00532DF7" w:rsidRPr="000B7533" w:rsidRDefault="00532DF7" w:rsidP="0083085C">
            <w:pPr>
              <w:ind w:left="0" w:right="0"/>
            </w:pPr>
            <w:r w:rsidRPr="000B7533">
              <w:t>LNG (all doses)</w:t>
            </w:r>
          </w:p>
        </w:tc>
      </w:tr>
      <w:tr w:rsidR="00532DF7" w:rsidRPr="000B7533" w:rsidTr="0083085C">
        <w:trPr>
          <w:cnfStyle w:val="100000000000" w:firstRow="1" w:lastRow="0" w:firstColumn="0" w:lastColumn="0" w:oddVBand="0" w:evenVBand="0" w:oddHBand="0" w:evenHBand="0" w:firstRowFirstColumn="0" w:firstRowLastColumn="0" w:lastRowFirstColumn="0" w:lastRowLastColumn="0"/>
          <w:tblHeader/>
        </w:trPr>
        <w:tc>
          <w:tcPr>
            <w:tcW w:w="2552" w:type="dxa"/>
            <w:vMerge/>
          </w:tcPr>
          <w:p w:rsidR="00532DF7" w:rsidRPr="000B7533" w:rsidRDefault="00532DF7" w:rsidP="0083085C">
            <w:pPr>
              <w:ind w:left="0" w:right="0"/>
            </w:pPr>
          </w:p>
        </w:tc>
        <w:tc>
          <w:tcPr>
            <w:tcW w:w="1417" w:type="dxa"/>
          </w:tcPr>
          <w:p w:rsidR="00532DF7" w:rsidRPr="000B7533" w:rsidRDefault="00532DF7" w:rsidP="0083085C">
            <w:pPr>
              <w:ind w:left="0" w:right="0"/>
            </w:pPr>
            <w:r w:rsidRPr="000B7533">
              <w:t>LCS12</w:t>
            </w:r>
          </w:p>
        </w:tc>
        <w:tc>
          <w:tcPr>
            <w:tcW w:w="1418" w:type="dxa"/>
          </w:tcPr>
          <w:p w:rsidR="00532DF7" w:rsidRPr="000B7533" w:rsidRDefault="00532DF7" w:rsidP="0083085C">
            <w:pPr>
              <w:ind w:left="0" w:right="0"/>
            </w:pPr>
            <w:r w:rsidRPr="000B7533">
              <w:t>LCS16</w:t>
            </w:r>
          </w:p>
        </w:tc>
        <w:tc>
          <w:tcPr>
            <w:tcW w:w="1276" w:type="dxa"/>
          </w:tcPr>
          <w:p w:rsidR="00532DF7" w:rsidRPr="000B7533" w:rsidRDefault="00532DF7" w:rsidP="0083085C">
            <w:pPr>
              <w:ind w:left="0" w:right="0"/>
            </w:pPr>
            <w:proofErr w:type="spellStart"/>
            <w:r w:rsidRPr="000B7533">
              <w:t>Mirena</w:t>
            </w:r>
            <w:proofErr w:type="spellEnd"/>
          </w:p>
        </w:tc>
        <w:tc>
          <w:tcPr>
            <w:tcW w:w="1701" w:type="dxa"/>
            <w:vMerge/>
          </w:tcPr>
          <w:p w:rsidR="00532DF7" w:rsidRPr="000B7533" w:rsidRDefault="00532DF7" w:rsidP="0083085C">
            <w:pPr>
              <w:ind w:left="0" w:right="0"/>
            </w:pPr>
          </w:p>
        </w:tc>
      </w:tr>
      <w:tr w:rsidR="00532DF7" w:rsidRPr="000B7533" w:rsidTr="0083085C">
        <w:tc>
          <w:tcPr>
            <w:tcW w:w="8364" w:type="dxa"/>
            <w:gridSpan w:val="5"/>
          </w:tcPr>
          <w:p w:rsidR="00532DF7" w:rsidRPr="0083085C" w:rsidRDefault="00532DF7" w:rsidP="0083085C">
            <w:pPr>
              <w:ind w:left="0" w:right="0"/>
              <w:rPr>
                <w:b/>
              </w:rPr>
            </w:pPr>
            <w:r w:rsidRPr="0083085C">
              <w:rPr>
                <w:b/>
                <w:bCs/>
              </w:rPr>
              <w:t>Clinical pharmacology</w:t>
            </w:r>
          </w:p>
        </w:tc>
      </w:tr>
      <w:tr w:rsidR="000B7533" w:rsidRPr="000B7533" w:rsidTr="0083085C">
        <w:tc>
          <w:tcPr>
            <w:tcW w:w="2552" w:type="dxa"/>
          </w:tcPr>
          <w:p w:rsidR="000B7533" w:rsidRPr="000B7533" w:rsidRDefault="000B7533" w:rsidP="0083085C">
            <w:pPr>
              <w:ind w:left="0" w:right="0"/>
            </w:pPr>
            <w:r w:rsidRPr="000B7533">
              <w:t>Treatment duration</w:t>
            </w:r>
            <w:r w:rsidR="00532DF7">
              <w:t xml:space="preserve"> (days)</w:t>
            </w:r>
          </w:p>
        </w:tc>
        <w:tc>
          <w:tcPr>
            <w:tcW w:w="1417" w:type="dxa"/>
          </w:tcPr>
          <w:p w:rsidR="000B7533" w:rsidRPr="000B7533" w:rsidRDefault="000B7533" w:rsidP="0083085C">
            <w:pPr>
              <w:ind w:left="0" w:right="0"/>
            </w:pPr>
            <w:r w:rsidRPr="000B7533">
              <w:t xml:space="preserve">821 </w:t>
            </w:r>
          </w:p>
        </w:tc>
        <w:tc>
          <w:tcPr>
            <w:tcW w:w="1418" w:type="dxa"/>
          </w:tcPr>
          <w:p w:rsidR="000B7533" w:rsidRPr="000B7533" w:rsidRDefault="000B7533" w:rsidP="0083085C">
            <w:pPr>
              <w:ind w:left="0" w:right="0"/>
            </w:pPr>
            <w:r w:rsidRPr="000B7533">
              <w:t>843</w:t>
            </w:r>
            <w:r w:rsidR="00532DF7">
              <w:t xml:space="preserve"> </w:t>
            </w:r>
          </w:p>
        </w:tc>
        <w:tc>
          <w:tcPr>
            <w:tcW w:w="1276" w:type="dxa"/>
          </w:tcPr>
          <w:p w:rsidR="000B7533" w:rsidRPr="000B7533" w:rsidRDefault="000B7533" w:rsidP="0083085C">
            <w:pPr>
              <w:ind w:left="0" w:right="0"/>
            </w:pPr>
          </w:p>
        </w:tc>
        <w:tc>
          <w:tcPr>
            <w:tcW w:w="1701" w:type="dxa"/>
          </w:tcPr>
          <w:p w:rsidR="000B7533" w:rsidRPr="000B7533" w:rsidRDefault="00532DF7" w:rsidP="0083085C">
            <w:pPr>
              <w:ind w:left="0" w:right="0"/>
            </w:pPr>
            <w:r w:rsidRPr="000B7533">
              <w:t xml:space="preserve">1664 </w:t>
            </w:r>
          </w:p>
        </w:tc>
      </w:tr>
      <w:tr w:rsidR="000B7533" w:rsidRPr="000B7533" w:rsidTr="0083085C">
        <w:tc>
          <w:tcPr>
            <w:tcW w:w="2552" w:type="dxa"/>
          </w:tcPr>
          <w:p w:rsidR="000B7533" w:rsidRPr="000B7533" w:rsidRDefault="00532DF7" w:rsidP="0083085C">
            <w:pPr>
              <w:ind w:left="0" w:right="0"/>
            </w:pPr>
            <w:r w:rsidRPr="00532DF7">
              <w:t xml:space="preserve">Treatment duration </w:t>
            </w:r>
            <w:r>
              <w:t>(</w:t>
            </w:r>
            <w:r w:rsidR="000B7533" w:rsidRPr="000B7533">
              <w:t>Women Years</w:t>
            </w:r>
            <w:r>
              <w:t xml:space="preserve"> (</w:t>
            </w:r>
            <w:proofErr w:type="spellStart"/>
            <w:r>
              <w:t>wy</w:t>
            </w:r>
            <w:proofErr w:type="spellEnd"/>
            <w:r>
              <w:t>))</w:t>
            </w:r>
            <w:r w:rsidR="000B7533" w:rsidRPr="000B7533">
              <w:t xml:space="preserve"> </w:t>
            </w:r>
          </w:p>
        </w:tc>
        <w:tc>
          <w:tcPr>
            <w:tcW w:w="1417" w:type="dxa"/>
          </w:tcPr>
          <w:p w:rsidR="000B7533" w:rsidRPr="000B7533" w:rsidRDefault="000B7533" w:rsidP="0083085C">
            <w:pPr>
              <w:ind w:left="0" w:right="0"/>
            </w:pPr>
            <w:r w:rsidRPr="000B7533">
              <w:t>2.25</w:t>
            </w:r>
          </w:p>
        </w:tc>
        <w:tc>
          <w:tcPr>
            <w:tcW w:w="1418" w:type="dxa"/>
          </w:tcPr>
          <w:p w:rsidR="000B7533" w:rsidRPr="000B7533" w:rsidRDefault="000B7533" w:rsidP="0083085C">
            <w:pPr>
              <w:ind w:left="0" w:right="0"/>
            </w:pPr>
            <w:r w:rsidRPr="000B7533">
              <w:t>2.31</w:t>
            </w:r>
          </w:p>
        </w:tc>
        <w:tc>
          <w:tcPr>
            <w:tcW w:w="1276" w:type="dxa"/>
          </w:tcPr>
          <w:p w:rsidR="000B7533" w:rsidRPr="000B7533" w:rsidRDefault="000B7533" w:rsidP="0083085C">
            <w:pPr>
              <w:ind w:left="0" w:right="0"/>
            </w:pPr>
          </w:p>
        </w:tc>
        <w:tc>
          <w:tcPr>
            <w:tcW w:w="1701" w:type="dxa"/>
          </w:tcPr>
          <w:p w:rsidR="000B7533" w:rsidRPr="000B7533" w:rsidRDefault="00532DF7" w:rsidP="0083085C">
            <w:pPr>
              <w:ind w:left="0" w:right="0"/>
            </w:pPr>
            <w:r w:rsidRPr="000B7533">
              <w:t xml:space="preserve">2.56 </w:t>
            </w:r>
          </w:p>
        </w:tc>
      </w:tr>
      <w:tr w:rsidR="00532DF7" w:rsidRPr="000B7533" w:rsidTr="0083085C">
        <w:tc>
          <w:tcPr>
            <w:tcW w:w="8364" w:type="dxa"/>
            <w:gridSpan w:val="5"/>
          </w:tcPr>
          <w:p w:rsidR="00532DF7" w:rsidRPr="0083085C" w:rsidRDefault="00532DF7" w:rsidP="0083085C">
            <w:pPr>
              <w:ind w:left="0" w:right="0"/>
              <w:rPr>
                <w:b/>
              </w:rPr>
            </w:pPr>
            <w:r w:rsidRPr="0083085C">
              <w:rPr>
                <w:b/>
                <w:bCs/>
              </w:rPr>
              <w:t>Study A46796</w:t>
            </w:r>
          </w:p>
        </w:tc>
      </w:tr>
      <w:tr w:rsidR="00532DF7" w:rsidRPr="000B7533" w:rsidTr="0083085C">
        <w:tc>
          <w:tcPr>
            <w:tcW w:w="2552" w:type="dxa"/>
          </w:tcPr>
          <w:p w:rsidR="00532DF7" w:rsidRPr="00532DF7" w:rsidRDefault="00532DF7" w:rsidP="0083085C">
            <w:pPr>
              <w:ind w:left="0" w:right="0"/>
              <w:rPr>
                <w:bCs/>
              </w:rPr>
            </w:pPr>
            <w:r w:rsidRPr="00532DF7">
              <w:t xml:space="preserve">Treatment duration </w:t>
            </w:r>
            <w:r>
              <w:t>(</w:t>
            </w:r>
            <w:r w:rsidRPr="00532DF7">
              <w:t>days</w:t>
            </w:r>
            <w:r>
              <w:t>)</w:t>
            </w:r>
          </w:p>
        </w:tc>
        <w:tc>
          <w:tcPr>
            <w:tcW w:w="1417" w:type="dxa"/>
          </w:tcPr>
          <w:p w:rsidR="00532DF7" w:rsidRPr="000B7533" w:rsidRDefault="00532DF7" w:rsidP="0083085C">
            <w:pPr>
              <w:ind w:left="0" w:right="0"/>
            </w:pPr>
            <w:r w:rsidRPr="000B7533">
              <w:t>915</w:t>
            </w:r>
            <w:r>
              <w:t xml:space="preserve"> </w:t>
            </w:r>
          </w:p>
        </w:tc>
        <w:tc>
          <w:tcPr>
            <w:tcW w:w="1418" w:type="dxa"/>
          </w:tcPr>
          <w:p w:rsidR="00532DF7" w:rsidRPr="000B7533" w:rsidRDefault="00532DF7" w:rsidP="0083085C">
            <w:pPr>
              <w:ind w:left="0" w:right="0"/>
            </w:pPr>
            <w:r w:rsidRPr="000B7533">
              <w:t>912</w:t>
            </w:r>
          </w:p>
        </w:tc>
        <w:tc>
          <w:tcPr>
            <w:tcW w:w="1276" w:type="dxa"/>
          </w:tcPr>
          <w:p w:rsidR="00532DF7" w:rsidRPr="000B7533" w:rsidRDefault="00532DF7" w:rsidP="0083085C">
            <w:pPr>
              <w:ind w:left="0" w:right="0"/>
            </w:pPr>
            <w:r w:rsidRPr="000B7533">
              <w:t>895</w:t>
            </w:r>
          </w:p>
        </w:tc>
        <w:tc>
          <w:tcPr>
            <w:tcW w:w="1701" w:type="dxa"/>
          </w:tcPr>
          <w:p w:rsidR="00532DF7" w:rsidRPr="000B7533" w:rsidRDefault="00532DF7" w:rsidP="0083085C">
            <w:pPr>
              <w:ind w:left="0" w:right="0"/>
            </w:pPr>
            <w:r w:rsidRPr="000B7533">
              <w:t>7722</w:t>
            </w:r>
          </w:p>
        </w:tc>
      </w:tr>
      <w:tr w:rsidR="00532DF7" w:rsidRPr="000B7533" w:rsidTr="0083085C">
        <w:tc>
          <w:tcPr>
            <w:tcW w:w="2552" w:type="dxa"/>
          </w:tcPr>
          <w:p w:rsidR="00532DF7" w:rsidRPr="000B7533" w:rsidRDefault="00532DF7" w:rsidP="0083085C">
            <w:pPr>
              <w:ind w:left="0" w:right="0"/>
            </w:pPr>
            <w:r>
              <w:t>Treatment duration (</w:t>
            </w:r>
            <w:r w:rsidRPr="000B7533">
              <w:t>Women Years</w:t>
            </w:r>
            <w:r>
              <w:t>)</w:t>
            </w:r>
          </w:p>
        </w:tc>
        <w:tc>
          <w:tcPr>
            <w:tcW w:w="1417" w:type="dxa"/>
          </w:tcPr>
          <w:p w:rsidR="00532DF7" w:rsidRPr="000B7533" w:rsidRDefault="00532DF7" w:rsidP="0083085C">
            <w:pPr>
              <w:ind w:left="0" w:right="0"/>
            </w:pPr>
            <w:r w:rsidRPr="000B7533">
              <w:t>2.51</w:t>
            </w:r>
          </w:p>
        </w:tc>
        <w:tc>
          <w:tcPr>
            <w:tcW w:w="1418" w:type="dxa"/>
          </w:tcPr>
          <w:p w:rsidR="00532DF7" w:rsidRPr="000B7533" w:rsidRDefault="00532DF7" w:rsidP="0083085C">
            <w:pPr>
              <w:ind w:left="0" w:right="0"/>
            </w:pPr>
            <w:r w:rsidRPr="000B7533">
              <w:t>2.50</w:t>
            </w:r>
          </w:p>
        </w:tc>
        <w:tc>
          <w:tcPr>
            <w:tcW w:w="1276" w:type="dxa"/>
          </w:tcPr>
          <w:p w:rsidR="00532DF7" w:rsidRPr="000B7533" w:rsidRDefault="00532DF7" w:rsidP="0083085C">
            <w:pPr>
              <w:ind w:left="0" w:right="0"/>
            </w:pPr>
            <w:r w:rsidRPr="000B7533">
              <w:t>2.45</w:t>
            </w:r>
          </w:p>
        </w:tc>
        <w:tc>
          <w:tcPr>
            <w:tcW w:w="1701" w:type="dxa"/>
          </w:tcPr>
          <w:p w:rsidR="00532DF7" w:rsidRPr="000B7533" w:rsidRDefault="00532DF7" w:rsidP="0083085C">
            <w:pPr>
              <w:ind w:left="0" w:right="0"/>
            </w:pPr>
            <w:r w:rsidRPr="000B7533">
              <w:t>4.9</w:t>
            </w:r>
          </w:p>
        </w:tc>
      </w:tr>
      <w:tr w:rsidR="00532DF7" w:rsidRPr="000B7533" w:rsidTr="0083085C">
        <w:tc>
          <w:tcPr>
            <w:tcW w:w="2552" w:type="dxa"/>
          </w:tcPr>
          <w:p w:rsidR="00532DF7" w:rsidRPr="0083085C" w:rsidRDefault="00532DF7" w:rsidP="0083085C">
            <w:pPr>
              <w:ind w:left="0" w:right="0"/>
              <w:rPr>
                <w:b/>
                <w:bCs/>
              </w:rPr>
            </w:pPr>
            <w:r w:rsidRPr="0083085C">
              <w:rPr>
                <w:b/>
                <w:bCs/>
              </w:rPr>
              <w:t xml:space="preserve">TOTAL </w:t>
            </w:r>
            <w:proofErr w:type="spellStart"/>
            <w:r w:rsidRPr="0083085C">
              <w:rPr>
                <w:b/>
                <w:bCs/>
              </w:rPr>
              <w:t>wy</w:t>
            </w:r>
            <w:proofErr w:type="spellEnd"/>
            <w:r w:rsidRPr="0083085C">
              <w:rPr>
                <w:b/>
                <w:bCs/>
              </w:rPr>
              <w:t xml:space="preserve"> (days)</w:t>
            </w:r>
          </w:p>
        </w:tc>
        <w:tc>
          <w:tcPr>
            <w:tcW w:w="1417" w:type="dxa"/>
          </w:tcPr>
          <w:p w:rsidR="00532DF7" w:rsidRPr="0083085C" w:rsidRDefault="00532DF7" w:rsidP="0083085C">
            <w:pPr>
              <w:ind w:left="0" w:right="0"/>
              <w:rPr>
                <w:b/>
                <w:bCs/>
              </w:rPr>
            </w:pPr>
            <w:r w:rsidRPr="0083085C">
              <w:rPr>
                <w:b/>
                <w:bCs/>
              </w:rPr>
              <w:t>4.76 (1736)</w:t>
            </w:r>
          </w:p>
        </w:tc>
        <w:tc>
          <w:tcPr>
            <w:tcW w:w="1418" w:type="dxa"/>
          </w:tcPr>
          <w:p w:rsidR="00532DF7" w:rsidRPr="0083085C" w:rsidRDefault="00532DF7" w:rsidP="0083085C">
            <w:pPr>
              <w:ind w:left="0" w:right="0"/>
              <w:rPr>
                <w:b/>
                <w:bCs/>
              </w:rPr>
            </w:pPr>
            <w:r w:rsidRPr="0083085C">
              <w:rPr>
                <w:b/>
                <w:bCs/>
              </w:rPr>
              <w:t>4.81 (1755)</w:t>
            </w:r>
          </w:p>
        </w:tc>
        <w:tc>
          <w:tcPr>
            <w:tcW w:w="1276" w:type="dxa"/>
          </w:tcPr>
          <w:p w:rsidR="00532DF7" w:rsidRPr="0083085C" w:rsidRDefault="00532DF7" w:rsidP="0083085C">
            <w:pPr>
              <w:ind w:left="0" w:right="0"/>
              <w:rPr>
                <w:b/>
                <w:bCs/>
              </w:rPr>
            </w:pPr>
            <w:r w:rsidRPr="0083085C">
              <w:rPr>
                <w:b/>
                <w:bCs/>
              </w:rPr>
              <w:t>2.45 (895)</w:t>
            </w:r>
          </w:p>
        </w:tc>
        <w:tc>
          <w:tcPr>
            <w:tcW w:w="1701" w:type="dxa"/>
          </w:tcPr>
          <w:p w:rsidR="00532DF7" w:rsidRPr="0083085C" w:rsidRDefault="00532DF7" w:rsidP="0083085C">
            <w:pPr>
              <w:ind w:left="0" w:right="0"/>
              <w:rPr>
                <w:b/>
                <w:bCs/>
              </w:rPr>
            </w:pPr>
            <w:r w:rsidRPr="0083085C">
              <w:rPr>
                <w:b/>
                <w:bCs/>
              </w:rPr>
              <w:t>10.56 (9386)</w:t>
            </w:r>
          </w:p>
        </w:tc>
      </w:tr>
    </w:tbl>
    <w:p w:rsidR="008D107F" w:rsidRPr="000B7533" w:rsidRDefault="008D107F" w:rsidP="0083085C">
      <w:r w:rsidRPr="000B7533">
        <w:t>On average, the mean exposure for women on LCS12 in the youngest age group or nulliparous group was approximately 60 or 40 days shorter when compared to the overall population.</w:t>
      </w:r>
    </w:p>
    <w:p w:rsidR="008D107F" w:rsidRPr="000B7533" w:rsidRDefault="008D107F" w:rsidP="0083085C">
      <w:pPr>
        <w:pStyle w:val="Heading3"/>
      </w:pPr>
      <w:bookmarkStart w:id="329" w:name="_Toc241374319"/>
      <w:bookmarkStart w:id="330" w:name="_Ref271044764"/>
      <w:bookmarkStart w:id="331" w:name="_Toc272414663"/>
      <w:bookmarkStart w:id="332" w:name="_Toc290846301"/>
      <w:bookmarkStart w:id="333" w:name="_Toc290888838"/>
      <w:bookmarkStart w:id="334" w:name="_Toc343587578"/>
      <w:bookmarkStart w:id="335" w:name="_Toc219998404"/>
      <w:bookmarkStart w:id="336" w:name="_Toc219998508"/>
      <w:bookmarkStart w:id="337" w:name="_Toc219998923"/>
      <w:bookmarkStart w:id="338" w:name="_Toc219999026"/>
      <w:bookmarkStart w:id="339" w:name="_Toc219999127"/>
      <w:bookmarkStart w:id="340" w:name="_Toc229197944"/>
      <w:bookmarkStart w:id="341" w:name="_Toc380660806"/>
      <w:r w:rsidRPr="0083085C">
        <w:t>Adverse</w:t>
      </w:r>
      <w:r w:rsidRPr="000B7533">
        <w:t xml:space="preserve"> events</w:t>
      </w:r>
      <w:bookmarkEnd w:id="329"/>
      <w:bookmarkEnd w:id="330"/>
      <w:bookmarkEnd w:id="331"/>
      <w:bookmarkEnd w:id="332"/>
      <w:bookmarkEnd w:id="333"/>
      <w:bookmarkEnd w:id="334"/>
      <w:bookmarkEnd w:id="335"/>
      <w:bookmarkEnd w:id="336"/>
      <w:bookmarkEnd w:id="337"/>
      <w:bookmarkEnd w:id="338"/>
      <w:bookmarkEnd w:id="339"/>
      <w:bookmarkEnd w:id="340"/>
      <w:bookmarkEnd w:id="341"/>
    </w:p>
    <w:p w:rsidR="008D107F" w:rsidRPr="000B7533" w:rsidRDefault="008D107F" w:rsidP="0083085C">
      <w:pPr>
        <w:pStyle w:val="Heading4"/>
      </w:pPr>
      <w:bookmarkStart w:id="342" w:name="_Ref272317284"/>
      <w:bookmarkStart w:id="343" w:name="_Ref272333565"/>
      <w:bookmarkStart w:id="344" w:name="_Toc272414664"/>
      <w:bookmarkStart w:id="345" w:name="_Toc290846302"/>
      <w:bookmarkStart w:id="346" w:name="_Toc290888839"/>
      <w:bookmarkStart w:id="347" w:name="_Toc343587579"/>
      <w:bookmarkStart w:id="348" w:name="_Toc219998405"/>
      <w:bookmarkStart w:id="349" w:name="_Toc219998509"/>
      <w:bookmarkStart w:id="350" w:name="_Toc219998924"/>
      <w:bookmarkStart w:id="351" w:name="_Toc219999027"/>
      <w:bookmarkStart w:id="352" w:name="_Toc219999128"/>
      <w:bookmarkStart w:id="353" w:name="_Toc229197945"/>
      <w:r w:rsidRPr="000B7533">
        <w:t xml:space="preserve">All </w:t>
      </w:r>
      <w:r w:rsidRPr="0083085C">
        <w:t>adverse</w:t>
      </w:r>
      <w:r w:rsidRPr="000B7533">
        <w:t xml:space="preserve"> events (irrespective of relationship to study treatment)</w:t>
      </w:r>
      <w:bookmarkEnd w:id="342"/>
      <w:bookmarkEnd w:id="343"/>
      <w:bookmarkEnd w:id="344"/>
      <w:bookmarkEnd w:id="345"/>
      <w:bookmarkEnd w:id="346"/>
      <w:bookmarkEnd w:id="347"/>
      <w:bookmarkEnd w:id="348"/>
      <w:bookmarkEnd w:id="349"/>
      <w:bookmarkEnd w:id="350"/>
      <w:bookmarkEnd w:id="351"/>
      <w:bookmarkEnd w:id="352"/>
      <w:bookmarkEnd w:id="353"/>
    </w:p>
    <w:p w:rsidR="008D107F" w:rsidRDefault="008D107F" w:rsidP="0083085C">
      <w:pPr>
        <w:pStyle w:val="Heading5"/>
      </w:pPr>
      <w:r w:rsidRPr="0083085C">
        <w:t>Pivotal</w:t>
      </w:r>
      <w:r w:rsidRPr="000B7533">
        <w:t xml:space="preserve"> studies</w:t>
      </w:r>
    </w:p>
    <w:p w:rsidR="00532DF7" w:rsidRPr="00532DF7" w:rsidRDefault="00532DF7" w:rsidP="0083085C">
      <w:pPr>
        <w:pStyle w:val="TableTitle"/>
      </w:pPr>
      <w:proofErr w:type="gramStart"/>
      <w:r>
        <w:t>Table 18.</w:t>
      </w:r>
      <w:proofErr w:type="gramEnd"/>
      <w:r>
        <w:t xml:space="preserve"> </w:t>
      </w:r>
      <w:r w:rsidRPr="00C740BB">
        <w:t>Adverse event profile – FAS, studies A52238 and A46796 combined</w:t>
      </w:r>
    </w:p>
    <w:tbl>
      <w:tblPr>
        <w:tblStyle w:val="TableTGAblue"/>
        <w:tblW w:w="8897" w:type="dxa"/>
        <w:tblLayout w:type="fixed"/>
        <w:tblLook w:val="0620" w:firstRow="1" w:lastRow="0" w:firstColumn="0" w:lastColumn="0" w:noHBand="1" w:noVBand="1"/>
      </w:tblPr>
      <w:tblGrid>
        <w:gridCol w:w="1668"/>
        <w:gridCol w:w="1417"/>
        <w:gridCol w:w="1418"/>
        <w:gridCol w:w="1417"/>
        <w:gridCol w:w="1559"/>
        <w:gridCol w:w="1418"/>
      </w:tblGrid>
      <w:tr w:rsidR="00532DF7" w:rsidRPr="00C740BB" w:rsidTr="0083085C">
        <w:trPr>
          <w:cnfStyle w:val="100000000000" w:firstRow="1" w:lastRow="0" w:firstColumn="0" w:lastColumn="0" w:oddVBand="0" w:evenVBand="0" w:oddHBand="0" w:evenHBand="0" w:firstRowFirstColumn="0" w:firstRowLastColumn="0" w:lastRowFirstColumn="0" w:lastRowLastColumn="0"/>
          <w:trHeight w:val="138"/>
          <w:tblHeader/>
        </w:trPr>
        <w:tc>
          <w:tcPr>
            <w:tcW w:w="4503" w:type="dxa"/>
            <w:gridSpan w:val="3"/>
          </w:tcPr>
          <w:p w:rsidR="00532DF7" w:rsidRPr="00C740BB" w:rsidRDefault="00532DF7" w:rsidP="0083085C">
            <w:pPr>
              <w:ind w:left="0" w:right="34"/>
            </w:pPr>
            <w:r w:rsidRPr="00C740BB">
              <w:t>Study A52238</w:t>
            </w:r>
          </w:p>
        </w:tc>
        <w:tc>
          <w:tcPr>
            <w:tcW w:w="4394" w:type="dxa"/>
            <w:gridSpan w:val="3"/>
          </w:tcPr>
          <w:p w:rsidR="00532DF7" w:rsidRPr="00C740BB" w:rsidRDefault="00532DF7" w:rsidP="0083085C">
            <w:pPr>
              <w:ind w:left="33" w:right="34"/>
            </w:pPr>
            <w:r w:rsidRPr="00C740BB">
              <w:t>Study A46796</w:t>
            </w:r>
          </w:p>
        </w:tc>
      </w:tr>
      <w:tr w:rsidR="00550E25" w:rsidRPr="00C740BB" w:rsidTr="0083085C">
        <w:trPr>
          <w:cnfStyle w:val="100000000000" w:firstRow="1" w:lastRow="0" w:firstColumn="0" w:lastColumn="0" w:oddVBand="0" w:evenVBand="0" w:oddHBand="0" w:evenHBand="0" w:firstRowFirstColumn="0" w:firstRowLastColumn="0" w:lastRowFirstColumn="0" w:lastRowLastColumn="0"/>
          <w:trHeight w:val="138"/>
          <w:tblHeader/>
        </w:trPr>
        <w:tc>
          <w:tcPr>
            <w:tcW w:w="1668" w:type="dxa"/>
          </w:tcPr>
          <w:p w:rsidR="00550E25" w:rsidRPr="00C740BB" w:rsidRDefault="00550E25" w:rsidP="0083085C">
            <w:pPr>
              <w:ind w:left="0" w:right="34"/>
            </w:pPr>
          </w:p>
        </w:tc>
        <w:tc>
          <w:tcPr>
            <w:tcW w:w="1417" w:type="dxa"/>
          </w:tcPr>
          <w:p w:rsidR="00550E25" w:rsidRPr="00C740BB" w:rsidRDefault="00550E25" w:rsidP="0083085C">
            <w:pPr>
              <w:ind w:left="0" w:right="34"/>
            </w:pPr>
            <w:r w:rsidRPr="00C740BB">
              <w:t xml:space="preserve">LCS12 </w:t>
            </w:r>
          </w:p>
        </w:tc>
        <w:tc>
          <w:tcPr>
            <w:tcW w:w="1418" w:type="dxa"/>
          </w:tcPr>
          <w:p w:rsidR="00550E25" w:rsidRPr="00C740BB" w:rsidRDefault="00550E25" w:rsidP="0083085C">
            <w:pPr>
              <w:ind w:left="0" w:right="34"/>
            </w:pPr>
            <w:r w:rsidRPr="00C740BB">
              <w:t xml:space="preserve">LCS16 </w:t>
            </w:r>
          </w:p>
        </w:tc>
        <w:tc>
          <w:tcPr>
            <w:tcW w:w="1417" w:type="dxa"/>
          </w:tcPr>
          <w:p w:rsidR="00550E25" w:rsidRPr="00C740BB" w:rsidRDefault="00550E25" w:rsidP="0083085C">
            <w:pPr>
              <w:ind w:left="33" w:right="34"/>
            </w:pPr>
            <w:r w:rsidRPr="00C740BB">
              <w:t xml:space="preserve">LCS12 </w:t>
            </w:r>
          </w:p>
        </w:tc>
        <w:tc>
          <w:tcPr>
            <w:tcW w:w="1559" w:type="dxa"/>
          </w:tcPr>
          <w:p w:rsidR="00550E25" w:rsidRPr="00C740BB" w:rsidRDefault="00550E25" w:rsidP="0083085C">
            <w:pPr>
              <w:ind w:left="33" w:right="34"/>
            </w:pPr>
            <w:r w:rsidRPr="00C740BB">
              <w:t xml:space="preserve">LCS16 </w:t>
            </w:r>
          </w:p>
        </w:tc>
        <w:tc>
          <w:tcPr>
            <w:tcW w:w="1418" w:type="dxa"/>
          </w:tcPr>
          <w:p w:rsidR="00550E25" w:rsidRPr="00C740BB" w:rsidRDefault="00550E25" w:rsidP="0083085C">
            <w:pPr>
              <w:ind w:left="33" w:right="34"/>
              <w:rPr>
                <w:color w:val="000000" w:themeColor="text1"/>
              </w:rPr>
            </w:pPr>
            <w:proofErr w:type="spellStart"/>
            <w:r w:rsidRPr="00C740BB">
              <w:t>Mirena</w:t>
            </w:r>
            <w:proofErr w:type="spellEnd"/>
          </w:p>
        </w:tc>
      </w:tr>
      <w:tr w:rsidR="00550E25" w:rsidRPr="00C740BB" w:rsidTr="0083085C">
        <w:trPr>
          <w:trHeight w:val="138"/>
        </w:trPr>
        <w:tc>
          <w:tcPr>
            <w:tcW w:w="1668" w:type="dxa"/>
          </w:tcPr>
          <w:p w:rsidR="00550E25" w:rsidRPr="00C740BB" w:rsidRDefault="00550E25" w:rsidP="0083085C">
            <w:pPr>
              <w:ind w:left="0" w:right="34"/>
            </w:pPr>
            <w:proofErr w:type="gramStart"/>
            <w:r w:rsidRPr="00C740BB">
              <w:t>n</w:t>
            </w:r>
            <w:proofErr w:type="gramEnd"/>
            <w:r w:rsidRPr="00C740BB">
              <w:t xml:space="preserve"> (%) </w:t>
            </w:r>
          </w:p>
        </w:tc>
        <w:tc>
          <w:tcPr>
            <w:tcW w:w="1417" w:type="dxa"/>
          </w:tcPr>
          <w:p w:rsidR="00550E25" w:rsidRPr="00C740BB" w:rsidRDefault="00550E25" w:rsidP="0083085C">
            <w:pPr>
              <w:ind w:left="0" w:right="34"/>
            </w:pPr>
            <w:proofErr w:type="gramStart"/>
            <w:r w:rsidRPr="00C740BB">
              <w:t>n</w:t>
            </w:r>
            <w:proofErr w:type="gramEnd"/>
            <w:r w:rsidRPr="00C740BB">
              <w:t xml:space="preserve"> (%) </w:t>
            </w:r>
          </w:p>
        </w:tc>
        <w:tc>
          <w:tcPr>
            <w:tcW w:w="1418" w:type="dxa"/>
          </w:tcPr>
          <w:p w:rsidR="00550E25" w:rsidRPr="00C740BB" w:rsidRDefault="00550E25" w:rsidP="0083085C">
            <w:pPr>
              <w:ind w:left="0" w:right="34"/>
            </w:pPr>
            <w:proofErr w:type="gramStart"/>
            <w:r w:rsidRPr="00C740BB">
              <w:t>n</w:t>
            </w:r>
            <w:proofErr w:type="gramEnd"/>
            <w:r w:rsidRPr="00C740BB">
              <w:t xml:space="preserve"> (%) </w:t>
            </w:r>
          </w:p>
        </w:tc>
        <w:tc>
          <w:tcPr>
            <w:tcW w:w="1417" w:type="dxa"/>
          </w:tcPr>
          <w:p w:rsidR="00550E25" w:rsidRPr="00C740BB" w:rsidRDefault="00550E25" w:rsidP="0083085C">
            <w:pPr>
              <w:ind w:left="33" w:right="34"/>
            </w:pPr>
            <w:proofErr w:type="gramStart"/>
            <w:r w:rsidRPr="00C740BB">
              <w:t>n</w:t>
            </w:r>
            <w:proofErr w:type="gramEnd"/>
            <w:r w:rsidRPr="00C740BB">
              <w:t xml:space="preserve"> (%) </w:t>
            </w:r>
          </w:p>
        </w:tc>
        <w:tc>
          <w:tcPr>
            <w:tcW w:w="1559" w:type="dxa"/>
          </w:tcPr>
          <w:p w:rsidR="00550E25" w:rsidRPr="00C740BB" w:rsidRDefault="00550E25" w:rsidP="0083085C">
            <w:pPr>
              <w:ind w:left="33" w:right="34"/>
            </w:pPr>
            <w:proofErr w:type="gramStart"/>
            <w:r w:rsidRPr="00C740BB">
              <w:t>n</w:t>
            </w:r>
            <w:proofErr w:type="gramEnd"/>
            <w:r w:rsidRPr="00C740BB">
              <w:t xml:space="preserve"> (%) </w:t>
            </w:r>
          </w:p>
        </w:tc>
        <w:tc>
          <w:tcPr>
            <w:tcW w:w="1418" w:type="dxa"/>
          </w:tcPr>
          <w:p w:rsidR="00550E25" w:rsidRPr="00C740BB" w:rsidRDefault="00550E25" w:rsidP="0083085C">
            <w:pPr>
              <w:ind w:left="33" w:right="34"/>
            </w:pPr>
          </w:p>
        </w:tc>
      </w:tr>
      <w:tr w:rsidR="008D107F" w:rsidRPr="00C740BB" w:rsidTr="0083085C">
        <w:trPr>
          <w:trHeight w:val="138"/>
        </w:trPr>
        <w:tc>
          <w:tcPr>
            <w:tcW w:w="1668" w:type="dxa"/>
          </w:tcPr>
          <w:p w:rsidR="008D107F" w:rsidRPr="0083085C" w:rsidRDefault="008D107F" w:rsidP="0083085C">
            <w:pPr>
              <w:ind w:left="0" w:right="34"/>
              <w:rPr>
                <w:b/>
                <w:bCs/>
              </w:rPr>
            </w:pPr>
            <w:r w:rsidRPr="0083085C">
              <w:rPr>
                <w:b/>
                <w:bCs/>
              </w:rPr>
              <w:t xml:space="preserve">Total of women </w:t>
            </w:r>
          </w:p>
        </w:tc>
        <w:tc>
          <w:tcPr>
            <w:tcW w:w="1417" w:type="dxa"/>
          </w:tcPr>
          <w:p w:rsidR="008D107F" w:rsidRPr="00C740BB" w:rsidRDefault="008D107F" w:rsidP="0083085C">
            <w:pPr>
              <w:ind w:left="0" w:right="34"/>
            </w:pPr>
            <w:r w:rsidRPr="00C740BB">
              <w:t xml:space="preserve">1432 (100%) </w:t>
            </w:r>
          </w:p>
        </w:tc>
        <w:tc>
          <w:tcPr>
            <w:tcW w:w="1418" w:type="dxa"/>
          </w:tcPr>
          <w:p w:rsidR="008D107F" w:rsidRPr="00C740BB" w:rsidRDefault="008D107F" w:rsidP="0083085C">
            <w:pPr>
              <w:ind w:left="0" w:right="34"/>
            </w:pPr>
            <w:r w:rsidRPr="00C740BB">
              <w:t xml:space="preserve">1452 (100%) </w:t>
            </w:r>
          </w:p>
        </w:tc>
        <w:tc>
          <w:tcPr>
            <w:tcW w:w="1417" w:type="dxa"/>
          </w:tcPr>
          <w:p w:rsidR="008D107F" w:rsidRPr="00C740BB" w:rsidRDefault="008D107F" w:rsidP="0083085C">
            <w:pPr>
              <w:ind w:left="33" w:right="34"/>
            </w:pPr>
            <w:r w:rsidRPr="00C740BB">
              <w:t xml:space="preserve">240 (100%) </w:t>
            </w:r>
          </w:p>
        </w:tc>
        <w:tc>
          <w:tcPr>
            <w:tcW w:w="1559" w:type="dxa"/>
          </w:tcPr>
          <w:p w:rsidR="008D107F" w:rsidRPr="00C740BB" w:rsidRDefault="008D107F" w:rsidP="0083085C">
            <w:pPr>
              <w:ind w:left="33" w:right="34"/>
            </w:pPr>
            <w:r w:rsidRPr="00C740BB">
              <w:t xml:space="preserve">245 (100%) </w:t>
            </w:r>
          </w:p>
        </w:tc>
        <w:tc>
          <w:tcPr>
            <w:tcW w:w="1418" w:type="dxa"/>
          </w:tcPr>
          <w:p w:rsidR="008D107F" w:rsidRPr="00C740BB" w:rsidRDefault="008D107F" w:rsidP="0083085C">
            <w:pPr>
              <w:ind w:left="33" w:right="34"/>
            </w:pPr>
            <w:r w:rsidRPr="00C740BB">
              <w:t xml:space="preserve">256 (100%) </w:t>
            </w:r>
          </w:p>
        </w:tc>
      </w:tr>
      <w:tr w:rsidR="008D107F" w:rsidRPr="00C740BB" w:rsidTr="0083085C">
        <w:trPr>
          <w:trHeight w:val="138"/>
        </w:trPr>
        <w:tc>
          <w:tcPr>
            <w:tcW w:w="1668" w:type="dxa"/>
          </w:tcPr>
          <w:p w:rsidR="008D107F" w:rsidRPr="0083085C" w:rsidRDefault="008D107F" w:rsidP="0083085C">
            <w:pPr>
              <w:ind w:left="0" w:right="34"/>
              <w:rPr>
                <w:b/>
                <w:bCs/>
              </w:rPr>
            </w:pPr>
            <w:r w:rsidRPr="0083085C">
              <w:rPr>
                <w:b/>
                <w:bCs/>
              </w:rPr>
              <w:t xml:space="preserve">Any AE  </w:t>
            </w:r>
          </w:p>
        </w:tc>
        <w:tc>
          <w:tcPr>
            <w:tcW w:w="1417" w:type="dxa"/>
          </w:tcPr>
          <w:p w:rsidR="008D107F" w:rsidRPr="00C740BB" w:rsidRDefault="008D107F" w:rsidP="0083085C">
            <w:pPr>
              <w:ind w:left="0" w:right="34"/>
            </w:pPr>
            <w:r w:rsidRPr="00C740BB">
              <w:t xml:space="preserve">1194 (83.4%) </w:t>
            </w:r>
          </w:p>
        </w:tc>
        <w:tc>
          <w:tcPr>
            <w:tcW w:w="1418" w:type="dxa"/>
          </w:tcPr>
          <w:p w:rsidR="008D107F" w:rsidRPr="00C740BB" w:rsidRDefault="008D107F" w:rsidP="0083085C">
            <w:pPr>
              <w:ind w:left="0" w:right="34"/>
            </w:pPr>
            <w:r w:rsidRPr="00C740BB">
              <w:t xml:space="preserve">1246 (85.8%) </w:t>
            </w:r>
          </w:p>
        </w:tc>
        <w:tc>
          <w:tcPr>
            <w:tcW w:w="1417" w:type="dxa"/>
          </w:tcPr>
          <w:p w:rsidR="008D107F" w:rsidRPr="00C740BB" w:rsidRDefault="008D107F" w:rsidP="0083085C">
            <w:pPr>
              <w:ind w:left="33" w:right="34"/>
            </w:pPr>
            <w:r w:rsidRPr="00C740BB">
              <w:t xml:space="preserve">208 (86.7%) </w:t>
            </w:r>
          </w:p>
        </w:tc>
        <w:tc>
          <w:tcPr>
            <w:tcW w:w="1559" w:type="dxa"/>
          </w:tcPr>
          <w:p w:rsidR="008D107F" w:rsidRPr="00C740BB" w:rsidRDefault="008D107F" w:rsidP="0083085C">
            <w:pPr>
              <w:ind w:left="33" w:right="34"/>
            </w:pPr>
            <w:r w:rsidRPr="00C740BB">
              <w:t xml:space="preserve">220 (89.8%) </w:t>
            </w:r>
          </w:p>
        </w:tc>
        <w:tc>
          <w:tcPr>
            <w:tcW w:w="1418" w:type="dxa"/>
          </w:tcPr>
          <w:p w:rsidR="008D107F" w:rsidRPr="00C740BB" w:rsidRDefault="008D107F" w:rsidP="0083085C">
            <w:pPr>
              <w:ind w:left="33" w:right="34"/>
            </w:pPr>
            <w:r w:rsidRPr="00C740BB">
              <w:t xml:space="preserve">233 (91.0%) </w:t>
            </w:r>
          </w:p>
        </w:tc>
      </w:tr>
      <w:tr w:rsidR="008D107F" w:rsidRPr="00C740BB" w:rsidTr="0083085C">
        <w:trPr>
          <w:trHeight w:val="132"/>
        </w:trPr>
        <w:tc>
          <w:tcPr>
            <w:tcW w:w="1668" w:type="dxa"/>
          </w:tcPr>
          <w:p w:rsidR="008D107F" w:rsidRPr="00C740BB" w:rsidRDefault="008D107F" w:rsidP="0083085C">
            <w:pPr>
              <w:ind w:left="0" w:right="34"/>
            </w:pPr>
            <w:r w:rsidRPr="00C740BB">
              <w:t xml:space="preserve">Drug-related </w:t>
            </w:r>
          </w:p>
        </w:tc>
        <w:tc>
          <w:tcPr>
            <w:tcW w:w="1417" w:type="dxa"/>
          </w:tcPr>
          <w:p w:rsidR="008D107F" w:rsidRPr="00C740BB" w:rsidRDefault="008D107F" w:rsidP="0083085C">
            <w:pPr>
              <w:ind w:left="0" w:right="34"/>
            </w:pPr>
            <w:r w:rsidRPr="00C740BB">
              <w:t xml:space="preserve">710 (49.6%) </w:t>
            </w:r>
          </w:p>
        </w:tc>
        <w:tc>
          <w:tcPr>
            <w:tcW w:w="1418" w:type="dxa"/>
          </w:tcPr>
          <w:p w:rsidR="008D107F" w:rsidRPr="00C740BB" w:rsidRDefault="008D107F" w:rsidP="0083085C">
            <w:pPr>
              <w:ind w:left="0" w:right="34"/>
            </w:pPr>
            <w:r w:rsidRPr="00C740BB">
              <w:t xml:space="preserve">756 (52.1%) </w:t>
            </w:r>
          </w:p>
        </w:tc>
        <w:tc>
          <w:tcPr>
            <w:tcW w:w="1417" w:type="dxa"/>
          </w:tcPr>
          <w:p w:rsidR="008D107F" w:rsidRPr="00C740BB" w:rsidRDefault="008D107F" w:rsidP="0083085C">
            <w:pPr>
              <w:ind w:left="33" w:right="34"/>
            </w:pPr>
            <w:r w:rsidRPr="00C740BB">
              <w:t xml:space="preserve">162 (67.5%) </w:t>
            </w:r>
          </w:p>
        </w:tc>
        <w:tc>
          <w:tcPr>
            <w:tcW w:w="1559" w:type="dxa"/>
          </w:tcPr>
          <w:p w:rsidR="008D107F" w:rsidRPr="00C740BB" w:rsidRDefault="008D107F" w:rsidP="0083085C">
            <w:pPr>
              <w:ind w:left="33" w:right="34"/>
            </w:pPr>
            <w:r w:rsidRPr="00C740BB">
              <w:t xml:space="preserve">163 (66.5%) </w:t>
            </w:r>
          </w:p>
        </w:tc>
        <w:tc>
          <w:tcPr>
            <w:tcW w:w="1418" w:type="dxa"/>
          </w:tcPr>
          <w:p w:rsidR="008D107F" w:rsidRPr="00C740BB" w:rsidRDefault="008D107F" w:rsidP="0083085C">
            <w:pPr>
              <w:ind w:left="33" w:right="34"/>
            </w:pPr>
            <w:r w:rsidRPr="00C740BB">
              <w:t xml:space="preserve">184 (71.9%) </w:t>
            </w:r>
          </w:p>
        </w:tc>
      </w:tr>
      <w:tr w:rsidR="008D107F" w:rsidRPr="00C740BB" w:rsidTr="0083085C">
        <w:trPr>
          <w:trHeight w:val="132"/>
        </w:trPr>
        <w:tc>
          <w:tcPr>
            <w:tcW w:w="8897" w:type="dxa"/>
            <w:gridSpan w:val="6"/>
          </w:tcPr>
          <w:p w:rsidR="008D107F" w:rsidRPr="0083085C" w:rsidRDefault="008D107F" w:rsidP="0083085C">
            <w:pPr>
              <w:ind w:left="33" w:right="34"/>
              <w:rPr>
                <w:b/>
                <w:bCs/>
              </w:rPr>
            </w:pPr>
            <w:r w:rsidRPr="0083085C">
              <w:rPr>
                <w:b/>
                <w:bCs/>
              </w:rPr>
              <w:t xml:space="preserve">Maximum intensity </w:t>
            </w:r>
          </w:p>
        </w:tc>
      </w:tr>
      <w:tr w:rsidR="008D107F" w:rsidRPr="00C740BB" w:rsidTr="0083085C">
        <w:trPr>
          <w:trHeight w:val="132"/>
        </w:trPr>
        <w:tc>
          <w:tcPr>
            <w:tcW w:w="1668" w:type="dxa"/>
          </w:tcPr>
          <w:p w:rsidR="008D107F" w:rsidRPr="00C740BB" w:rsidRDefault="008D107F" w:rsidP="0083085C">
            <w:pPr>
              <w:ind w:left="0" w:right="34"/>
            </w:pPr>
            <w:r w:rsidRPr="00C740BB">
              <w:lastRenderedPageBreak/>
              <w:t xml:space="preserve">mild </w:t>
            </w:r>
          </w:p>
        </w:tc>
        <w:tc>
          <w:tcPr>
            <w:tcW w:w="1417" w:type="dxa"/>
          </w:tcPr>
          <w:p w:rsidR="008D107F" w:rsidRPr="00C740BB" w:rsidRDefault="008D107F" w:rsidP="0083085C">
            <w:pPr>
              <w:ind w:left="0" w:right="34"/>
            </w:pPr>
            <w:r w:rsidRPr="00C740BB">
              <w:t xml:space="preserve">313 (21.9%) </w:t>
            </w:r>
          </w:p>
        </w:tc>
        <w:tc>
          <w:tcPr>
            <w:tcW w:w="1418" w:type="dxa"/>
          </w:tcPr>
          <w:p w:rsidR="008D107F" w:rsidRPr="00C740BB" w:rsidRDefault="008D107F" w:rsidP="0083085C">
            <w:pPr>
              <w:ind w:left="0" w:right="34"/>
            </w:pPr>
            <w:r w:rsidRPr="00C740BB">
              <w:t xml:space="preserve">353 (24.3%) </w:t>
            </w:r>
          </w:p>
        </w:tc>
        <w:tc>
          <w:tcPr>
            <w:tcW w:w="1417" w:type="dxa"/>
          </w:tcPr>
          <w:p w:rsidR="008D107F" w:rsidRPr="00C740BB" w:rsidRDefault="008D107F" w:rsidP="0083085C">
            <w:pPr>
              <w:ind w:left="33" w:right="34"/>
            </w:pPr>
            <w:r w:rsidRPr="00C740BB">
              <w:t xml:space="preserve">53 (22.1%) </w:t>
            </w:r>
          </w:p>
        </w:tc>
        <w:tc>
          <w:tcPr>
            <w:tcW w:w="1559" w:type="dxa"/>
          </w:tcPr>
          <w:p w:rsidR="008D107F" w:rsidRPr="00C740BB" w:rsidRDefault="008D107F" w:rsidP="0083085C">
            <w:pPr>
              <w:ind w:left="33" w:right="34"/>
            </w:pPr>
            <w:r w:rsidRPr="00C740BB">
              <w:t xml:space="preserve">60 (24.5%) </w:t>
            </w:r>
          </w:p>
        </w:tc>
        <w:tc>
          <w:tcPr>
            <w:tcW w:w="1418" w:type="dxa"/>
          </w:tcPr>
          <w:p w:rsidR="008D107F" w:rsidRPr="00C740BB" w:rsidRDefault="008D107F" w:rsidP="0083085C">
            <w:pPr>
              <w:ind w:left="33" w:right="34"/>
            </w:pPr>
            <w:r w:rsidRPr="00C740BB">
              <w:t xml:space="preserve">51 (19.9%) </w:t>
            </w:r>
          </w:p>
        </w:tc>
      </w:tr>
      <w:tr w:rsidR="008D107F" w:rsidRPr="00C740BB" w:rsidTr="0083085C">
        <w:trPr>
          <w:trHeight w:val="132"/>
        </w:trPr>
        <w:tc>
          <w:tcPr>
            <w:tcW w:w="1668" w:type="dxa"/>
          </w:tcPr>
          <w:p w:rsidR="008D107F" w:rsidRPr="00C740BB" w:rsidRDefault="008D107F" w:rsidP="0083085C">
            <w:pPr>
              <w:ind w:left="0" w:right="34"/>
            </w:pPr>
            <w:r w:rsidRPr="00C740BB">
              <w:t xml:space="preserve">moderate </w:t>
            </w:r>
          </w:p>
        </w:tc>
        <w:tc>
          <w:tcPr>
            <w:tcW w:w="1417" w:type="dxa"/>
          </w:tcPr>
          <w:p w:rsidR="008D107F" w:rsidRPr="00C740BB" w:rsidRDefault="008D107F" w:rsidP="0083085C">
            <w:pPr>
              <w:ind w:left="0" w:right="34"/>
            </w:pPr>
            <w:r w:rsidRPr="00C740BB">
              <w:t xml:space="preserve">616 (43.0%) </w:t>
            </w:r>
          </w:p>
        </w:tc>
        <w:tc>
          <w:tcPr>
            <w:tcW w:w="1418" w:type="dxa"/>
          </w:tcPr>
          <w:p w:rsidR="008D107F" w:rsidRPr="00C740BB" w:rsidRDefault="008D107F" w:rsidP="0083085C">
            <w:pPr>
              <w:ind w:left="0" w:right="34"/>
            </w:pPr>
            <w:r w:rsidRPr="00C740BB">
              <w:t xml:space="preserve">633 (43.6%) </w:t>
            </w:r>
          </w:p>
        </w:tc>
        <w:tc>
          <w:tcPr>
            <w:tcW w:w="1417" w:type="dxa"/>
          </w:tcPr>
          <w:p w:rsidR="008D107F" w:rsidRPr="00C740BB" w:rsidRDefault="008D107F" w:rsidP="0083085C">
            <w:pPr>
              <w:ind w:left="33" w:right="34"/>
            </w:pPr>
            <w:r w:rsidRPr="00C740BB">
              <w:t xml:space="preserve">122 (50.8%) </w:t>
            </w:r>
          </w:p>
        </w:tc>
        <w:tc>
          <w:tcPr>
            <w:tcW w:w="1559" w:type="dxa"/>
          </w:tcPr>
          <w:p w:rsidR="008D107F" w:rsidRPr="00C740BB" w:rsidRDefault="008D107F" w:rsidP="0083085C">
            <w:pPr>
              <w:ind w:left="33" w:right="34"/>
            </w:pPr>
            <w:r w:rsidRPr="00C740BB">
              <w:t xml:space="preserve">121 (49.4%) </w:t>
            </w:r>
          </w:p>
        </w:tc>
        <w:tc>
          <w:tcPr>
            <w:tcW w:w="1418" w:type="dxa"/>
          </w:tcPr>
          <w:p w:rsidR="008D107F" w:rsidRPr="00C740BB" w:rsidRDefault="008D107F" w:rsidP="0083085C">
            <w:pPr>
              <w:ind w:left="33" w:right="34"/>
            </w:pPr>
            <w:r w:rsidRPr="00C740BB">
              <w:t xml:space="preserve">145 (56.6%) </w:t>
            </w:r>
          </w:p>
        </w:tc>
      </w:tr>
      <w:tr w:rsidR="008D107F" w:rsidRPr="00C740BB" w:rsidTr="0083085C">
        <w:trPr>
          <w:trHeight w:val="132"/>
        </w:trPr>
        <w:tc>
          <w:tcPr>
            <w:tcW w:w="1668" w:type="dxa"/>
          </w:tcPr>
          <w:p w:rsidR="008D107F" w:rsidRPr="00C740BB" w:rsidRDefault="008D107F" w:rsidP="0083085C">
            <w:pPr>
              <w:ind w:left="0" w:right="34"/>
            </w:pPr>
            <w:r w:rsidRPr="00C740BB">
              <w:t xml:space="preserve">severe </w:t>
            </w:r>
          </w:p>
        </w:tc>
        <w:tc>
          <w:tcPr>
            <w:tcW w:w="1417" w:type="dxa"/>
          </w:tcPr>
          <w:p w:rsidR="008D107F" w:rsidRPr="00C740BB" w:rsidRDefault="008D107F" w:rsidP="0083085C">
            <w:pPr>
              <w:ind w:left="0" w:right="34"/>
            </w:pPr>
            <w:r w:rsidRPr="00C740BB">
              <w:t xml:space="preserve">261 (18.2%) </w:t>
            </w:r>
          </w:p>
        </w:tc>
        <w:tc>
          <w:tcPr>
            <w:tcW w:w="1418" w:type="dxa"/>
          </w:tcPr>
          <w:p w:rsidR="008D107F" w:rsidRPr="00C740BB" w:rsidRDefault="008D107F" w:rsidP="0083085C">
            <w:pPr>
              <w:ind w:left="0" w:right="34"/>
            </w:pPr>
            <w:r w:rsidRPr="00C740BB">
              <w:t xml:space="preserve">250 (17.2%) </w:t>
            </w:r>
          </w:p>
        </w:tc>
        <w:tc>
          <w:tcPr>
            <w:tcW w:w="1417" w:type="dxa"/>
          </w:tcPr>
          <w:p w:rsidR="008D107F" w:rsidRPr="00C740BB" w:rsidRDefault="008D107F" w:rsidP="0083085C">
            <w:pPr>
              <w:ind w:left="33" w:right="34"/>
            </w:pPr>
            <w:r w:rsidRPr="00C740BB">
              <w:t xml:space="preserve">33 (13.8%) </w:t>
            </w:r>
          </w:p>
        </w:tc>
        <w:tc>
          <w:tcPr>
            <w:tcW w:w="1559" w:type="dxa"/>
          </w:tcPr>
          <w:p w:rsidR="008D107F" w:rsidRPr="00C740BB" w:rsidRDefault="008D107F" w:rsidP="0083085C">
            <w:pPr>
              <w:ind w:left="33" w:right="34"/>
            </w:pPr>
            <w:r w:rsidRPr="00C740BB">
              <w:t xml:space="preserve">37 (15.1%) </w:t>
            </w:r>
          </w:p>
        </w:tc>
        <w:tc>
          <w:tcPr>
            <w:tcW w:w="1418" w:type="dxa"/>
          </w:tcPr>
          <w:p w:rsidR="008D107F" w:rsidRPr="00C740BB" w:rsidRDefault="008D107F" w:rsidP="0083085C">
            <w:pPr>
              <w:ind w:left="33" w:right="34"/>
            </w:pPr>
            <w:r w:rsidRPr="00C740BB">
              <w:t xml:space="preserve">36 (14.1%) </w:t>
            </w:r>
          </w:p>
        </w:tc>
      </w:tr>
      <w:tr w:rsidR="008D107F" w:rsidRPr="00C740BB" w:rsidTr="0083085C">
        <w:trPr>
          <w:trHeight w:val="138"/>
        </w:trPr>
        <w:tc>
          <w:tcPr>
            <w:tcW w:w="1668" w:type="dxa"/>
          </w:tcPr>
          <w:p w:rsidR="008D107F" w:rsidRPr="0083085C" w:rsidRDefault="008D107F" w:rsidP="0083085C">
            <w:pPr>
              <w:ind w:left="0" w:right="34"/>
              <w:rPr>
                <w:b/>
                <w:bCs/>
              </w:rPr>
            </w:pPr>
            <w:r w:rsidRPr="0083085C">
              <w:rPr>
                <w:b/>
                <w:bCs/>
              </w:rPr>
              <w:t xml:space="preserve">Any Serious AEs (SAEs) </w:t>
            </w:r>
          </w:p>
        </w:tc>
        <w:tc>
          <w:tcPr>
            <w:tcW w:w="1417" w:type="dxa"/>
          </w:tcPr>
          <w:p w:rsidR="008D107F" w:rsidRPr="00C740BB" w:rsidRDefault="008D107F" w:rsidP="0083085C">
            <w:pPr>
              <w:ind w:left="0" w:right="34"/>
            </w:pPr>
            <w:r w:rsidRPr="00C740BB">
              <w:t xml:space="preserve">66 (4.6%) </w:t>
            </w:r>
          </w:p>
        </w:tc>
        <w:tc>
          <w:tcPr>
            <w:tcW w:w="1418" w:type="dxa"/>
          </w:tcPr>
          <w:p w:rsidR="008D107F" w:rsidRPr="00C740BB" w:rsidRDefault="008D107F" w:rsidP="0083085C">
            <w:pPr>
              <w:ind w:left="0" w:right="34"/>
            </w:pPr>
            <w:r w:rsidRPr="00C740BB">
              <w:t xml:space="preserve">71 (4.9%) </w:t>
            </w:r>
          </w:p>
        </w:tc>
        <w:tc>
          <w:tcPr>
            <w:tcW w:w="1417" w:type="dxa"/>
          </w:tcPr>
          <w:p w:rsidR="008D107F" w:rsidRPr="00C740BB" w:rsidRDefault="008D107F" w:rsidP="0083085C">
            <w:pPr>
              <w:ind w:left="33" w:right="34"/>
            </w:pPr>
            <w:r w:rsidRPr="00C740BB">
              <w:t xml:space="preserve">12 (5.0%) </w:t>
            </w:r>
          </w:p>
        </w:tc>
        <w:tc>
          <w:tcPr>
            <w:tcW w:w="1559" w:type="dxa"/>
          </w:tcPr>
          <w:p w:rsidR="008D107F" w:rsidRPr="00C740BB" w:rsidRDefault="008D107F" w:rsidP="0083085C">
            <w:pPr>
              <w:ind w:left="33" w:right="34"/>
            </w:pPr>
            <w:r w:rsidRPr="00C740BB">
              <w:t xml:space="preserve">12 (4.9%) </w:t>
            </w:r>
          </w:p>
        </w:tc>
        <w:tc>
          <w:tcPr>
            <w:tcW w:w="1418" w:type="dxa"/>
          </w:tcPr>
          <w:p w:rsidR="008D107F" w:rsidRPr="00C740BB" w:rsidRDefault="008D107F" w:rsidP="0083085C">
            <w:pPr>
              <w:ind w:left="33" w:right="34"/>
            </w:pPr>
            <w:r w:rsidRPr="00C740BB">
              <w:t xml:space="preserve">16 (6.3%) </w:t>
            </w:r>
          </w:p>
        </w:tc>
      </w:tr>
      <w:tr w:rsidR="008D107F" w:rsidRPr="00C740BB" w:rsidTr="0083085C">
        <w:trPr>
          <w:trHeight w:val="132"/>
        </w:trPr>
        <w:tc>
          <w:tcPr>
            <w:tcW w:w="1668" w:type="dxa"/>
          </w:tcPr>
          <w:p w:rsidR="008D107F" w:rsidRPr="00C740BB" w:rsidRDefault="008D107F" w:rsidP="0083085C">
            <w:pPr>
              <w:ind w:left="0" w:right="34"/>
            </w:pPr>
            <w:r w:rsidRPr="00C740BB">
              <w:t xml:space="preserve">Total deaths </w:t>
            </w:r>
          </w:p>
        </w:tc>
        <w:tc>
          <w:tcPr>
            <w:tcW w:w="1417" w:type="dxa"/>
          </w:tcPr>
          <w:p w:rsidR="008D107F" w:rsidRPr="00C740BB" w:rsidRDefault="008D107F" w:rsidP="0083085C">
            <w:pPr>
              <w:ind w:left="0" w:right="34"/>
            </w:pPr>
            <w:r w:rsidRPr="00C740BB">
              <w:t xml:space="preserve">0 (0.0%) </w:t>
            </w:r>
          </w:p>
        </w:tc>
        <w:tc>
          <w:tcPr>
            <w:tcW w:w="1418" w:type="dxa"/>
          </w:tcPr>
          <w:p w:rsidR="008D107F" w:rsidRPr="00C740BB" w:rsidRDefault="008D107F" w:rsidP="0083085C">
            <w:pPr>
              <w:ind w:left="0" w:right="34"/>
            </w:pPr>
            <w:r w:rsidRPr="00C740BB">
              <w:t xml:space="preserve">1 (&lt;0.1%) </w:t>
            </w:r>
          </w:p>
        </w:tc>
        <w:tc>
          <w:tcPr>
            <w:tcW w:w="1417" w:type="dxa"/>
          </w:tcPr>
          <w:p w:rsidR="008D107F" w:rsidRPr="00C740BB" w:rsidRDefault="008D107F" w:rsidP="0083085C">
            <w:pPr>
              <w:ind w:left="33" w:right="34"/>
            </w:pPr>
            <w:r w:rsidRPr="00C740BB">
              <w:t xml:space="preserve">0 (0.0%) </w:t>
            </w:r>
          </w:p>
        </w:tc>
        <w:tc>
          <w:tcPr>
            <w:tcW w:w="1559" w:type="dxa"/>
          </w:tcPr>
          <w:p w:rsidR="008D107F" w:rsidRPr="00C740BB" w:rsidRDefault="008D107F" w:rsidP="0083085C">
            <w:pPr>
              <w:ind w:left="33" w:right="34"/>
            </w:pPr>
            <w:r w:rsidRPr="00C740BB">
              <w:t xml:space="preserve">0 (0.0%) </w:t>
            </w:r>
          </w:p>
        </w:tc>
        <w:tc>
          <w:tcPr>
            <w:tcW w:w="1418" w:type="dxa"/>
          </w:tcPr>
          <w:p w:rsidR="008D107F" w:rsidRPr="00C740BB" w:rsidRDefault="008D107F" w:rsidP="0083085C">
            <w:pPr>
              <w:ind w:left="33" w:right="34"/>
            </w:pPr>
            <w:r w:rsidRPr="00C740BB">
              <w:t xml:space="preserve">0 (0.0%) </w:t>
            </w:r>
          </w:p>
        </w:tc>
      </w:tr>
      <w:tr w:rsidR="008D107F" w:rsidRPr="00C740BB" w:rsidTr="0083085C">
        <w:trPr>
          <w:trHeight w:val="132"/>
        </w:trPr>
        <w:tc>
          <w:tcPr>
            <w:tcW w:w="1668" w:type="dxa"/>
          </w:tcPr>
          <w:p w:rsidR="008D107F" w:rsidRPr="00C740BB" w:rsidRDefault="008D107F" w:rsidP="0083085C">
            <w:pPr>
              <w:ind w:left="0" w:right="34"/>
            </w:pPr>
            <w:r w:rsidRPr="00C740BB">
              <w:t xml:space="preserve">Drug-related SAEs </w:t>
            </w:r>
          </w:p>
        </w:tc>
        <w:tc>
          <w:tcPr>
            <w:tcW w:w="1417" w:type="dxa"/>
          </w:tcPr>
          <w:p w:rsidR="008D107F" w:rsidRPr="00C740BB" w:rsidRDefault="008D107F" w:rsidP="0083085C">
            <w:pPr>
              <w:ind w:left="0" w:right="34"/>
            </w:pPr>
            <w:r w:rsidRPr="00C740BB">
              <w:t xml:space="preserve">8 (0.6%) </w:t>
            </w:r>
          </w:p>
        </w:tc>
        <w:tc>
          <w:tcPr>
            <w:tcW w:w="1418" w:type="dxa"/>
          </w:tcPr>
          <w:p w:rsidR="008D107F" w:rsidRPr="00C740BB" w:rsidRDefault="008D107F" w:rsidP="0083085C">
            <w:pPr>
              <w:ind w:left="0" w:right="34"/>
            </w:pPr>
            <w:r w:rsidRPr="00C740BB">
              <w:t xml:space="preserve">15 (1.0%) </w:t>
            </w:r>
          </w:p>
        </w:tc>
        <w:tc>
          <w:tcPr>
            <w:tcW w:w="1417" w:type="dxa"/>
          </w:tcPr>
          <w:p w:rsidR="008D107F" w:rsidRPr="00C740BB" w:rsidRDefault="008D107F" w:rsidP="0083085C">
            <w:pPr>
              <w:ind w:left="33" w:right="34"/>
            </w:pPr>
            <w:r w:rsidRPr="00C740BB">
              <w:t xml:space="preserve">2 (0.8%) </w:t>
            </w:r>
          </w:p>
        </w:tc>
        <w:tc>
          <w:tcPr>
            <w:tcW w:w="1559" w:type="dxa"/>
          </w:tcPr>
          <w:p w:rsidR="008D107F" w:rsidRPr="00C740BB" w:rsidRDefault="008D107F" w:rsidP="0083085C">
            <w:pPr>
              <w:ind w:left="33" w:right="34"/>
            </w:pPr>
            <w:r w:rsidRPr="00C740BB">
              <w:t xml:space="preserve">3 (1.2%) </w:t>
            </w:r>
          </w:p>
        </w:tc>
        <w:tc>
          <w:tcPr>
            <w:tcW w:w="1418" w:type="dxa"/>
          </w:tcPr>
          <w:p w:rsidR="008D107F" w:rsidRPr="00C740BB" w:rsidRDefault="008D107F" w:rsidP="0083085C">
            <w:pPr>
              <w:ind w:left="33" w:right="34"/>
            </w:pPr>
            <w:r w:rsidRPr="00C740BB">
              <w:t xml:space="preserve">5 (2.0%) </w:t>
            </w:r>
          </w:p>
        </w:tc>
      </w:tr>
      <w:tr w:rsidR="008D107F" w:rsidRPr="00C740BB" w:rsidTr="0083085C">
        <w:trPr>
          <w:trHeight w:val="247"/>
        </w:trPr>
        <w:tc>
          <w:tcPr>
            <w:tcW w:w="1668" w:type="dxa"/>
          </w:tcPr>
          <w:p w:rsidR="008D107F" w:rsidRPr="00C740BB" w:rsidRDefault="008D107F" w:rsidP="0083085C">
            <w:pPr>
              <w:ind w:left="0" w:right="34"/>
            </w:pPr>
            <w:r w:rsidRPr="00C740BB">
              <w:t xml:space="preserve">Discontinuation due to AEs </w:t>
            </w:r>
          </w:p>
        </w:tc>
        <w:tc>
          <w:tcPr>
            <w:tcW w:w="1417" w:type="dxa"/>
          </w:tcPr>
          <w:p w:rsidR="008D107F" w:rsidRPr="00C740BB" w:rsidRDefault="008D107F" w:rsidP="0083085C">
            <w:pPr>
              <w:ind w:left="0" w:right="34"/>
            </w:pPr>
            <w:r w:rsidRPr="00C740BB">
              <w:t xml:space="preserve">319 (22.3%) </w:t>
            </w:r>
          </w:p>
        </w:tc>
        <w:tc>
          <w:tcPr>
            <w:tcW w:w="1418" w:type="dxa"/>
          </w:tcPr>
          <w:p w:rsidR="008D107F" w:rsidRPr="00C740BB" w:rsidRDefault="008D107F" w:rsidP="0083085C">
            <w:pPr>
              <w:ind w:left="0" w:right="34"/>
            </w:pPr>
            <w:r w:rsidRPr="00C740BB">
              <w:t xml:space="preserve">290 (20.0%) </w:t>
            </w:r>
          </w:p>
        </w:tc>
        <w:tc>
          <w:tcPr>
            <w:tcW w:w="1417" w:type="dxa"/>
          </w:tcPr>
          <w:p w:rsidR="008D107F" w:rsidRPr="00C740BB" w:rsidRDefault="008D107F" w:rsidP="0083085C">
            <w:pPr>
              <w:ind w:left="33" w:right="34"/>
            </w:pPr>
            <w:r w:rsidRPr="00C740BB">
              <w:t xml:space="preserve">42 (17.5%) </w:t>
            </w:r>
          </w:p>
        </w:tc>
        <w:tc>
          <w:tcPr>
            <w:tcW w:w="1559" w:type="dxa"/>
          </w:tcPr>
          <w:p w:rsidR="008D107F" w:rsidRPr="00C740BB" w:rsidRDefault="008D107F" w:rsidP="0083085C">
            <w:pPr>
              <w:ind w:left="33" w:right="34"/>
            </w:pPr>
            <w:r w:rsidRPr="00C740BB">
              <w:t xml:space="preserve">47 (19.2%) </w:t>
            </w:r>
          </w:p>
        </w:tc>
        <w:tc>
          <w:tcPr>
            <w:tcW w:w="1418" w:type="dxa"/>
          </w:tcPr>
          <w:p w:rsidR="008D107F" w:rsidRPr="00C740BB" w:rsidRDefault="008D107F" w:rsidP="0083085C">
            <w:pPr>
              <w:ind w:left="33" w:right="34"/>
            </w:pPr>
            <w:r w:rsidRPr="00C740BB">
              <w:t xml:space="preserve">48 (18.8%) </w:t>
            </w:r>
          </w:p>
        </w:tc>
      </w:tr>
      <w:tr w:rsidR="008D107F" w:rsidRPr="00C740BB" w:rsidTr="0083085C">
        <w:trPr>
          <w:trHeight w:val="247"/>
        </w:trPr>
        <w:tc>
          <w:tcPr>
            <w:tcW w:w="1668" w:type="dxa"/>
          </w:tcPr>
          <w:p w:rsidR="008D107F" w:rsidRPr="00C740BB" w:rsidRDefault="008D107F" w:rsidP="0083085C">
            <w:pPr>
              <w:ind w:left="0" w:right="34"/>
            </w:pPr>
            <w:r w:rsidRPr="00C740BB">
              <w:t xml:space="preserve">Discontinuation due to SAEs </w:t>
            </w:r>
          </w:p>
        </w:tc>
        <w:tc>
          <w:tcPr>
            <w:tcW w:w="1417" w:type="dxa"/>
          </w:tcPr>
          <w:p w:rsidR="008D107F" w:rsidRPr="00C740BB" w:rsidRDefault="008D107F" w:rsidP="0083085C">
            <w:pPr>
              <w:ind w:left="0" w:right="34"/>
            </w:pPr>
            <w:r w:rsidRPr="00C740BB">
              <w:t xml:space="preserve">14 (1.0%) </w:t>
            </w:r>
          </w:p>
        </w:tc>
        <w:tc>
          <w:tcPr>
            <w:tcW w:w="1418" w:type="dxa"/>
          </w:tcPr>
          <w:p w:rsidR="008D107F" w:rsidRPr="00C740BB" w:rsidRDefault="008D107F" w:rsidP="0083085C">
            <w:pPr>
              <w:ind w:left="0" w:right="34"/>
            </w:pPr>
            <w:r w:rsidRPr="00C740BB">
              <w:t xml:space="preserve">18 (1.2%) </w:t>
            </w:r>
          </w:p>
        </w:tc>
        <w:tc>
          <w:tcPr>
            <w:tcW w:w="1417" w:type="dxa"/>
          </w:tcPr>
          <w:p w:rsidR="008D107F" w:rsidRPr="00C740BB" w:rsidRDefault="008D107F" w:rsidP="0083085C">
            <w:pPr>
              <w:ind w:left="33" w:right="34"/>
            </w:pPr>
            <w:r w:rsidRPr="00C740BB">
              <w:t xml:space="preserve">1 (0.4%) </w:t>
            </w:r>
          </w:p>
        </w:tc>
        <w:tc>
          <w:tcPr>
            <w:tcW w:w="1559" w:type="dxa"/>
          </w:tcPr>
          <w:p w:rsidR="008D107F" w:rsidRPr="00C740BB" w:rsidRDefault="008D107F" w:rsidP="0083085C">
            <w:pPr>
              <w:ind w:left="33" w:right="34"/>
            </w:pPr>
            <w:r w:rsidRPr="00C740BB">
              <w:t xml:space="preserve">4(1.6%) </w:t>
            </w:r>
          </w:p>
        </w:tc>
        <w:tc>
          <w:tcPr>
            <w:tcW w:w="1418" w:type="dxa"/>
          </w:tcPr>
          <w:p w:rsidR="008D107F" w:rsidRPr="00C740BB" w:rsidRDefault="008D107F" w:rsidP="0083085C">
            <w:pPr>
              <w:ind w:left="33" w:right="34"/>
            </w:pPr>
            <w:r w:rsidRPr="00C740BB">
              <w:t xml:space="preserve">3 (1.2%) </w:t>
            </w:r>
          </w:p>
        </w:tc>
      </w:tr>
    </w:tbl>
    <w:p w:rsidR="008D107F" w:rsidRPr="000B7533" w:rsidRDefault="008D107F" w:rsidP="0083085C">
      <w:pPr>
        <w:pStyle w:val="Heading5"/>
      </w:pPr>
      <w:r w:rsidRPr="0083085C">
        <w:t>Other</w:t>
      </w:r>
      <w:r w:rsidRPr="000B7533">
        <w:t xml:space="preserve"> studies</w:t>
      </w:r>
    </w:p>
    <w:p w:rsidR="008D107F" w:rsidRPr="000B7533" w:rsidRDefault="008D107F" w:rsidP="0083085C">
      <w:proofErr w:type="gramStart"/>
      <w:r w:rsidRPr="000B7533">
        <w:t>Nil</w:t>
      </w:r>
      <w:r w:rsidR="0083085C">
        <w:t>.</w:t>
      </w:r>
      <w:proofErr w:type="gramEnd"/>
    </w:p>
    <w:p w:rsidR="008D107F" w:rsidRPr="000B7533" w:rsidRDefault="008D107F" w:rsidP="0083085C">
      <w:pPr>
        <w:pStyle w:val="Heading4"/>
      </w:pPr>
      <w:bookmarkStart w:id="354" w:name="_Ref272333567"/>
      <w:bookmarkStart w:id="355" w:name="_Toc272414665"/>
      <w:bookmarkStart w:id="356" w:name="_Toc290846303"/>
      <w:bookmarkStart w:id="357" w:name="_Toc290888840"/>
      <w:bookmarkStart w:id="358" w:name="_Toc343587580"/>
      <w:bookmarkStart w:id="359" w:name="_Toc219998406"/>
      <w:bookmarkStart w:id="360" w:name="_Toc219998510"/>
      <w:bookmarkStart w:id="361" w:name="_Toc219998925"/>
      <w:bookmarkStart w:id="362" w:name="_Toc219999028"/>
      <w:bookmarkStart w:id="363" w:name="_Toc219999129"/>
      <w:bookmarkStart w:id="364" w:name="_Toc229197946"/>
      <w:r w:rsidRPr="000B7533">
        <w:t>Treatment-related adverse events (adverse drug reactions)</w:t>
      </w:r>
      <w:bookmarkEnd w:id="354"/>
      <w:bookmarkEnd w:id="355"/>
      <w:bookmarkEnd w:id="356"/>
      <w:bookmarkEnd w:id="357"/>
      <w:bookmarkEnd w:id="358"/>
      <w:bookmarkEnd w:id="359"/>
      <w:bookmarkEnd w:id="360"/>
      <w:bookmarkEnd w:id="361"/>
      <w:bookmarkEnd w:id="362"/>
      <w:bookmarkEnd w:id="363"/>
      <w:bookmarkEnd w:id="364"/>
    </w:p>
    <w:p w:rsidR="008D107F" w:rsidRPr="000B7533" w:rsidRDefault="008D107F" w:rsidP="0083085C">
      <w:pPr>
        <w:pStyle w:val="Heading5"/>
      </w:pPr>
      <w:r w:rsidRPr="000B7533">
        <w:t>Pivotal studies</w:t>
      </w:r>
    </w:p>
    <w:p w:rsidR="008D107F" w:rsidRPr="0083085C" w:rsidRDefault="008D107F" w:rsidP="0083085C">
      <w:pPr>
        <w:rPr>
          <w:b/>
        </w:rPr>
      </w:pPr>
      <w:r w:rsidRPr="0083085C">
        <w:rPr>
          <w:b/>
        </w:rPr>
        <w:t>A52238 and A46796</w:t>
      </w:r>
    </w:p>
    <w:p w:rsidR="008D107F" w:rsidRDefault="008D107F" w:rsidP="002A6DD8">
      <w:r w:rsidRPr="000B7533">
        <w:t xml:space="preserve">In the pivotal study A52238, the most common AEs in the LCS12 group were ovarian cyst (13.0%), acne (11.4%), urinary tract infection (11.0%), headache (9.3%), dysmenorrhea (9.1%), cervical dysplasia (7.5%), bacterial vaginitis (7.3%), </w:t>
      </w:r>
      <w:proofErr w:type="spellStart"/>
      <w:r w:rsidRPr="000B7533">
        <w:t>nasopharyngitis</w:t>
      </w:r>
      <w:proofErr w:type="spellEnd"/>
      <w:r w:rsidRPr="000B7533">
        <w:t xml:space="preserve"> (7.2%), abdominal pain (7.0%), and </w:t>
      </w:r>
      <w:proofErr w:type="spellStart"/>
      <w:r w:rsidRPr="000B7533">
        <w:t>vulvovaginal</w:t>
      </w:r>
      <w:proofErr w:type="spellEnd"/>
      <w:r w:rsidRPr="000B7533">
        <w:t xml:space="preserve"> </w:t>
      </w:r>
      <w:proofErr w:type="spellStart"/>
      <w:r w:rsidRPr="000B7533">
        <w:t>mycotic</w:t>
      </w:r>
      <w:proofErr w:type="spellEnd"/>
      <w:r w:rsidRPr="000B7533">
        <w:t xml:space="preserve"> infection (6.9%). The most common AEs in A46796 are as per the table below. It can be seen that there is a higher frequency of ‘</w:t>
      </w:r>
      <w:proofErr w:type="spellStart"/>
      <w:r w:rsidRPr="000B7533">
        <w:t>progestogenic</w:t>
      </w:r>
      <w:proofErr w:type="spellEnd"/>
      <w:r w:rsidRPr="000B7533">
        <w:t>’ AEs in study A46796 as compared to study A52238 probably because in A46796, these side effects were assessed at every visit via specific questioning (unlike voluntarily reporting in A52238).</w:t>
      </w:r>
    </w:p>
    <w:p w:rsidR="00C740BB" w:rsidRPr="000B7533" w:rsidRDefault="00A9294B" w:rsidP="002A6DD8">
      <w:pPr>
        <w:pStyle w:val="TableTitle"/>
      </w:pPr>
      <w:proofErr w:type="gramStart"/>
      <w:r>
        <w:t>Table 19.</w:t>
      </w:r>
      <w:proofErr w:type="gramEnd"/>
      <w:r>
        <w:t xml:space="preserve"> M</w:t>
      </w:r>
      <w:r w:rsidRPr="00A9294B">
        <w:t>ost common AEs</w:t>
      </w:r>
      <w:r>
        <w:t xml:space="preserve">: Studies A52238 and </w:t>
      </w:r>
      <w:r w:rsidRPr="00A9294B">
        <w:t xml:space="preserve">A46796 </w:t>
      </w:r>
    </w:p>
    <w:tbl>
      <w:tblPr>
        <w:tblStyle w:val="TableTGAblue"/>
        <w:tblW w:w="0" w:type="auto"/>
        <w:tblLook w:val="0620" w:firstRow="1" w:lastRow="0" w:firstColumn="0" w:lastColumn="0" w:noHBand="1" w:noVBand="1"/>
      </w:tblPr>
      <w:tblGrid>
        <w:gridCol w:w="3119"/>
        <w:gridCol w:w="1984"/>
        <w:gridCol w:w="1985"/>
      </w:tblGrid>
      <w:tr w:rsidR="008D107F" w:rsidRPr="00C740BB" w:rsidTr="002A6DD8">
        <w:trPr>
          <w:cnfStyle w:val="100000000000" w:firstRow="1" w:lastRow="0" w:firstColumn="0" w:lastColumn="0" w:oddVBand="0" w:evenVBand="0" w:oddHBand="0" w:evenHBand="0" w:firstRowFirstColumn="0" w:firstRowLastColumn="0" w:lastRowFirstColumn="0" w:lastRowLastColumn="0"/>
          <w:tblHeader/>
        </w:trPr>
        <w:tc>
          <w:tcPr>
            <w:tcW w:w="3119" w:type="dxa"/>
          </w:tcPr>
          <w:p w:rsidR="008D107F" w:rsidRPr="00C740BB" w:rsidRDefault="008D107F" w:rsidP="002A6DD8">
            <w:pPr>
              <w:ind w:left="0" w:right="68"/>
            </w:pPr>
          </w:p>
        </w:tc>
        <w:tc>
          <w:tcPr>
            <w:tcW w:w="1984" w:type="dxa"/>
          </w:tcPr>
          <w:p w:rsidR="008D107F" w:rsidRPr="00C740BB" w:rsidRDefault="008D107F" w:rsidP="002A6DD8">
            <w:pPr>
              <w:ind w:left="0" w:right="67"/>
            </w:pPr>
            <w:r w:rsidRPr="00C740BB">
              <w:t>Incidence A52238 (%)</w:t>
            </w:r>
          </w:p>
        </w:tc>
        <w:tc>
          <w:tcPr>
            <w:tcW w:w="1985" w:type="dxa"/>
          </w:tcPr>
          <w:p w:rsidR="008D107F" w:rsidRPr="00C740BB" w:rsidRDefault="008D107F" w:rsidP="002A6DD8">
            <w:pPr>
              <w:ind w:left="0" w:right="68"/>
            </w:pPr>
            <w:r w:rsidRPr="00C740BB">
              <w:t>Incidence A46796 (%)</w:t>
            </w:r>
          </w:p>
        </w:tc>
      </w:tr>
      <w:tr w:rsidR="008D107F" w:rsidRPr="00C740BB" w:rsidTr="002A6DD8">
        <w:tc>
          <w:tcPr>
            <w:tcW w:w="3119" w:type="dxa"/>
          </w:tcPr>
          <w:p w:rsidR="008D107F" w:rsidRPr="00C740BB" w:rsidRDefault="008D107F" w:rsidP="002A6DD8">
            <w:pPr>
              <w:ind w:left="0" w:right="68"/>
            </w:pPr>
            <w:r w:rsidRPr="00C740BB">
              <w:t>Ovarian cyst</w:t>
            </w:r>
          </w:p>
        </w:tc>
        <w:tc>
          <w:tcPr>
            <w:tcW w:w="1984" w:type="dxa"/>
          </w:tcPr>
          <w:p w:rsidR="008D107F" w:rsidRPr="00C740BB" w:rsidRDefault="008D107F" w:rsidP="002A6DD8">
            <w:pPr>
              <w:ind w:left="0" w:right="67"/>
            </w:pPr>
            <w:r w:rsidRPr="00C740BB">
              <w:t>13</w:t>
            </w:r>
          </w:p>
        </w:tc>
        <w:tc>
          <w:tcPr>
            <w:tcW w:w="1985" w:type="dxa"/>
          </w:tcPr>
          <w:p w:rsidR="008D107F" w:rsidRPr="00C740BB" w:rsidRDefault="008D107F" w:rsidP="002A6DD8">
            <w:pPr>
              <w:ind w:left="0" w:right="68"/>
            </w:pPr>
            <w:r w:rsidRPr="00C740BB">
              <w:t>8.8</w:t>
            </w:r>
          </w:p>
        </w:tc>
      </w:tr>
      <w:tr w:rsidR="008D107F" w:rsidRPr="00C740BB" w:rsidTr="002A6DD8">
        <w:tc>
          <w:tcPr>
            <w:tcW w:w="3119" w:type="dxa"/>
          </w:tcPr>
          <w:p w:rsidR="008D107F" w:rsidRPr="00C740BB" w:rsidRDefault="008D107F" w:rsidP="002A6DD8">
            <w:pPr>
              <w:ind w:left="0" w:right="68"/>
            </w:pPr>
            <w:r w:rsidRPr="00C740BB">
              <w:t>Acne</w:t>
            </w:r>
          </w:p>
        </w:tc>
        <w:tc>
          <w:tcPr>
            <w:tcW w:w="1984" w:type="dxa"/>
          </w:tcPr>
          <w:p w:rsidR="008D107F" w:rsidRPr="00C740BB" w:rsidRDefault="008D107F" w:rsidP="002A6DD8">
            <w:pPr>
              <w:ind w:left="0" w:right="67"/>
            </w:pPr>
            <w:r w:rsidRPr="00C740BB">
              <w:t>11.4</w:t>
            </w:r>
          </w:p>
        </w:tc>
        <w:tc>
          <w:tcPr>
            <w:tcW w:w="1985" w:type="dxa"/>
          </w:tcPr>
          <w:p w:rsidR="008D107F" w:rsidRPr="00C740BB" w:rsidRDefault="008D107F" w:rsidP="002A6DD8">
            <w:pPr>
              <w:ind w:left="0" w:right="68"/>
            </w:pPr>
            <w:r w:rsidRPr="00C740BB">
              <w:t>26.7</w:t>
            </w:r>
          </w:p>
        </w:tc>
      </w:tr>
      <w:tr w:rsidR="008D107F" w:rsidRPr="00C740BB" w:rsidTr="002A6DD8">
        <w:tc>
          <w:tcPr>
            <w:tcW w:w="3119" w:type="dxa"/>
          </w:tcPr>
          <w:p w:rsidR="008D107F" w:rsidRPr="00C740BB" w:rsidRDefault="008D107F" w:rsidP="002A6DD8">
            <w:pPr>
              <w:ind w:left="0" w:right="68"/>
            </w:pPr>
            <w:r w:rsidRPr="00C740BB">
              <w:t>Urinary Tract infection</w:t>
            </w:r>
          </w:p>
        </w:tc>
        <w:tc>
          <w:tcPr>
            <w:tcW w:w="1984" w:type="dxa"/>
          </w:tcPr>
          <w:p w:rsidR="008D107F" w:rsidRPr="00C740BB" w:rsidRDefault="008D107F" w:rsidP="002A6DD8">
            <w:pPr>
              <w:ind w:left="0" w:right="67"/>
            </w:pPr>
            <w:r w:rsidRPr="00C740BB">
              <w:t>11</w:t>
            </w:r>
          </w:p>
        </w:tc>
        <w:tc>
          <w:tcPr>
            <w:tcW w:w="1985" w:type="dxa"/>
          </w:tcPr>
          <w:p w:rsidR="008D107F" w:rsidRPr="00C740BB" w:rsidRDefault="008D107F" w:rsidP="002A6DD8">
            <w:pPr>
              <w:ind w:left="0" w:right="68"/>
            </w:pPr>
            <w:r w:rsidRPr="00C740BB">
              <w:t>9.2</w:t>
            </w:r>
          </w:p>
        </w:tc>
      </w:tr>
      <w:tr w:rsidR="008D107F" w:rsidRPr="00C740BB" w:rsidTr="002A6DD8">
        <w:tc>
          <w:tcPr>
            <w:tcW w:w="3119" w:type="dxa"/>
          </w:tcPr>
          <w:p w:rsidR="008D107F" w:rsidRPr="00C740BB" w:rsidRDefault="008D107F" w:rsidP="002A6DD8">
            <w:pPr>
              <w:ind w:left="0" w:right="68"/>
            </w:pPr>
            <w:r w:rsidRPr="00C740BB">
              <w:lastRenderedPageBreak/>
              <w:t>headache</w:t>
            </w:r>
          </w:p>
        </w:tc>
        <w:tc>
          <w:tcPr>
            <w:tcW w:w="1984" w:type="dxa"/>
          </w:tcPr>
          <w:p w:rsidR="008D107F" w:rsidRPr="00C740BB" w:rsidRDefault="008D107F" w:rsidP="002A6DD8">
            <w:pPr>
              <w:ind w:left="0" w:right="67"/>
            </w:pPr>
            <w:r w:rsidRPr="00C740BB">
              <w:t>9.3</w:t>
            </w:r>
          </w:p>
        </w:tc>
        <w:tc>
          <w:tcPr>
            <w:tcW w:w="1985" w:type="dxa"/>
          </w:tcPr>
          <w:p w:rsidR="008D107F" w:rsidRPr="00C740BB" w:rsidRDefault="008D107F" w:rsidP="002A6DD8">
            <w:pPr>
              <w:ind w:left="0" w:right="68"/>
            </w:pPr>
            <w:r w:rsidRPr="00C740BB">
              <w:t>26.3</w:t>
            </w:r>
          </w:p>
        </w:tc>
      </w:tr>
      <w:tr w:rsidR="008D107F" w:rsidRPr="00C740BB" w:rsidTr="002A6DD8">
        <w:tc>
          <w:tcPr>
            <w:tcW w:w="3119" w:type="dxa"/>
          </w:tcPr>
          <w:p w:rsidR="008D107F" w:rsidRPr="00C740BB" w:rsidRDefault="008D107F" w:rsidP="002A6DD8">
            <w:pPr>
              <w:ind w:left="0" w:right="68"/>
            </w:pPr>
            <w:r w:rsidRPr="00C740BB">
              <w:t>Dysmenorrhoea</w:t>
            </w:r>
          </w:p>
        </w:tc>
        <w:tc>
          <w:tcPr>
            <w:tcW w:w="1984" w:type="dxa"/>
          </w:tcPr>
          <w:p w:rsidR="008D107F" w:rsidRPr="00C740BB" w:rsidRDefault="008D107F" w:rsidP="002A6DD8">
            <w:pPr>
              <w:ind w:left="0" w:right="67"/>
            </w:pPr>
            <w:r w:rsidRPr="00C740BB">
              <w:t>9.1</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r w:rsidRPr="00C740BB">
              <w:t>Cervical dysplasia</w:t>
            </w:r>
          </w:p>
        </w:tc>
        <w:tc>
          <w:tcPr>
            <w:tcW w:w="1984" w:type="dxa"/>
          </w:tcPr>
          <w:p w:rsidR="008D107F" w:rsidRPr="00C740BB" w:rsidRDefault="008D107F" w:rsidP="002A6DD8">
            <w:pPr>
              <w:ind w:left="0" w:right="67"/>
            </w:pPr>
            <w:r w:rsidRPr="00C740BB">
              <w:t>7.5</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r w:rsidRPr="00C740BB">
              <w:t>Bacterial vaginitis</w:t>
            </w:r>
          </w:p>
        </w:tc>
        <w:tc>
          <w:tcPr>
            <w:tcW w:w="1984" w:type="dxa"/>
          </w:tcPr>
          <w:p w:rsidR="008D107F" w:rsidRPr="00C740BB" w:rsidRDefault="008D107F" w:rsidP="002A6DD8">
            <w:pPr>
              <w:ind w:left="0" w:right="67"/>
            </w:pPr>
            <w:r w:rsidRPr="00C740BB">
              <w:t>7.3</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proofErr w:type="spellStart"/>
            <w:r w:rsidRPr="00C740BB">
              <w:t>Nasopharyngitis</w:t>
            </w:r>
            <w:proofErr w:type="spellEnd"/>
          </w:p>
        </w:tc>
        <w:tc>
          <w:tcPr>
            <w:tcW w:w="1984" w:type="dxa"/>
          </w:tcPr>
          <w:p w:rsidR="008D107F" w:rsidRPr="00C740BB" w:rsidRDefault="008D107F" w:rsidP="002A6DD8">
            <w:pPr>
              <w:ind w:left="0" w:right="67"/>
            </w:pPr>
            <w:r w:rsidRPr="00C740BB">
              <w:t>7.2</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r w:rsidRPr="00C740BB">
              <w:t>Abdominal pain</w:t>
            </w:r>
          </w:p>
        </w:tc>
        <w:tc>
          <w:tcPr>
            <w:tcW w:w="1984" w:type="dxa"/>
          </w:tcPr>
          <w:p w:rsidR="008D107F" w:rsidRPr="00C740BB" w:rsidRDefault="008D107F" w:rsidP="002A6DD8">
            <w:pPr>
              <w:ind w:left="0" w:right="67"/>
            </w:pPr>
            <w:r w:rsidRPr="00C740BB">
              <w:t>7.0</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proofErr w:type="spellStart"/>
            <w:r w:rsidRPr="00C740BB">
              <w:t>Vulvovaginal</w:t>
            </w:r>
            <w:proofErr w:type="spellEnd"/>
            <w:r w:rsidRPr="00C740BB">
              <w:t xml:space="preserve"> </w:t>
            </w:r>
            <w:proofErr w:type="spellStart"/>
            <w:r w:rsidRPr="00C740BB">
              <w:t>mycotic</w:t>
            </w:r>
            <w:proofErr w:type="spellEnd"/>
            <w:r w:rsidRPr="00C740BB">
              <w:t xml:space="preserve"> infection</w:t>
            </w:r>
          </w:p>
        </w:tc>
        <w:tc>
          <w:tcPr>
            <w:tcW w:w="1984" w:type="dxa"/>
          </w:tcPr>
          <w:p w:rsidR="008D107F" w:rsidRPr="00C740BB" w:rsidRDefault="008D107F" w:rsidP="002A6DD8">
            <w:pPr>
              <w:ind w:left="0" w:right="67"/>
            </w:pPr>
            <w:r w:rsidRPr="00C740BB">
              <w:t>6.9</w:t>
            </w:r>
          </w:p>
        </w:tc>
        <w:tc>
          <w:tcPr>
            <w:tcW w:w="1985" w:type="dxa"/>
          </w:tcPr>
          <w:p w:rsidR="008D107F" w:rsidRPr="00C740BB" w:rsidRDefault="008D107F" w:rsidP="002A6DD8">
            <w:pPr>
              <w:ind w:left="0" w:right="68"/>
            </w:pPr>
            <w:r w:rsidRPr="00C740BB">
              <w:t>9.6</w:t>
            </w:r>
          </w:p>
        </w:tc>
      </w:tr>
      <w:tr w:rsidR="008D107F" w:rsidRPr="00C740BB" w:rsidTr="002A6DD8">
        <w:tc>
          <w:tcPr>
            <w:tcW w:w="3119" w:type="dxa"/>
          </w:tcPr>
          <w:p w:rsidR="008D107F" w:rsidRPr="00C740BB" w:rsidRDefault="008D107F" w:rsidP="002A6DD8">
            <w:pPr>
              <w:ind w:left="0" w:right="68"/>
            </w:pPr>
            <w:r w:rsidRPr="00C740BB">
              <w:t>Breast discomfort</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21.7</w:t>
            </w:r>
          </w:p>
        </w:tc>
      </w:tr>
      <w:tr w:rsidR="008D107F" w:rsidRPr="00C740BB" w:rsidTr="002A6DD8">
        <w:tc>
          <w:tcPr>
            <w:tcW w:w="3119" w:type="dxa"/>
          </w:tcPr>
          <w:p w:rsidR="008D107F" w:rsidRPr="00C740BB" w:rsidRDefault="008D107F" w:rsidP="002A6DD8">
            <w:pPr>
              <w:ind w:left="0" w:right="68"/>
            </w:pPr>
            <w:r w:rsidRPr="00C740BB">
              <w:t>Mood altered</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17.9</w:t>
            </w:r>
          </w:p>
        </w:tc>
      </w:tr>
      <w:tr w:rsidR="008D107F" w:rsidRPr="00C740BB" w:rsidTr="002A6DD8">
        <w:tc>
          <w:tcPr>
            <w:tcW w:w="3119" w:type="dxa"/>
          </w:tcPr>
          <w:p w:rsidR="008D107F" w:rsidRPr="00C740BB" w:rsidRDefault="008D107F" w:rsidP="002A6DD8">
            <w:pPr>
              <w:ind w:left="0" w:right="68"/>
            </w:pPr>
            <w:r w:rsidRPr="00C740BB">
              <w:t>Abdominal distension</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16.7</w:t>
            </w:r>
          </w:p>
        </w:tc>
      </w:tr>
      <w:tr w:rsidR="008D107F" w:rsidRPr="00C740BB" w:rsidTr="002A6DD8">
        <w:tc>
          <w:tcPr>
            <w:tcW w:w="3119" w:type="dxa"/>
          </w:tcPr>
          <w:p w:rsidR="008D107F" w:rsidRPr="00C740BB" w:rsidRDefault="008D107F" w:rsidP="002A6DD8">
            <w:pPr>
              <w:ind w:left="0" w:right="68"/>
            </w:pPr>
            <w:r w:rsidRPr="00C740BB">
              <w:t>Weight increased</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15.8</w:t>
            </w:r>
          </w:p>
        </w:tc>
      </w:tr>
      <w:tr w:rsidR="008D107F" w:rsidRPr="00C740BB" w:rsidTr="002A6DD8">
        <w:tc>
          <w:tcPr>
            <w:tcW w:w="3119" w:type="dxa"/>
          </w:tcPr>
          <w:p w:rsidR="008D107F" w:rsidRPr="00C740BB" w:rsidRDefault="008D107F" w:rsidP="002A6DD8">
            <w:pPr>
              <w:ind w:left="0" w:right="68"/>
            </w:pPr>
            <w:r w:rsidRPr="00C740BB">
              <w:t>Breast pain</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8.3</w:t>
            </w:r>
          </w:p>
        </w:tc>
      </w:tr>
    </w:tbl>
    <w:p w:rsidR="008D107F" w:rsidRPr="002A6DD8" w:rsidRDefault="008D107F" w:rsidP="002A6DD8">
      <w:pPr>
        <w:rPr>
          <w:b/>
        </w:rPr>
      </w:pPr>
      <w:r w:rsidRPr="002A6DD8">
        <w:rPr>
          <w:b/>
        </w:rPr>
        <w:t xml:space="preserve">Most common drug-related AEs by </w:t>
      </w:r>
      <w:proofErr w:type="spellStart"/>
      <w:r w:rsidRPr="002A6DD8">
        <w:rPr>
          <w:b/>
        </w:rPr>
        <w:t>MedDRA</w:t>
      </w:r>
      <w:proofErr w:type="spellEnd"/>
      <w:r w:rsidRPr="002A6DD8">
        <w:rPr>
          <w:b/>
        </w:rPr>
        <w:t xml:space="preserve"> preferred term </w:t>
      </w:r>
    </w:p>
    <w:p w:rsidR="008D107F" w:rsidRDefault="008D107F" w:rsidP="002A6DD8">
      <w:r w:rsidRPr="000B7533">
        <w:t>Drug-related AEs were defined as AEs for which the association with the investigational product (causality) was assessed by the investigator as ‘missing’, ‘possibly’, ‘probably’, or ‘definitely’ - related.  The most frequently reported drug-related AEs are prese</w:t>
      </w:r>
      <w:r w:rsidR="002A6DD8">
        <w:t xml:space="preserve">nted by </w:t>
      </w:r>
      <w:proofErr w:type="spellStart"/>
      <w:r w:rsidR="002A6DD8">
        <w:t>MedDRA</w:t>
      </w:r>
      <w:proofErr w:type="spellEnd"/>
      <w:r w:rsidR="002A6DD8">
        <w:t xml:space="preserve"> preferred terms:</w:t>
      </w:r>
    </w:p>
    <w:p w:rsidR="00A9294B" w:rsidRPr="00A9294B" w:rsidRDefault="00A9294B" w:rsidP="002A6DD8">
      <w:pPr>
        <w:pStyle w:val="TableTitle"/>
      </w:pPr>
      <w:proofErr w:type="gramStart"/>
      <w:r>
        <w:t>Table 20.</w:t>
      </w:r>
      <w:proofErr w:type="gramEnd"/>
      <w:r>
        <w:t xml:space="preserve"> M</w:t>
      </w:r>
      <w:r w:rsidRPr="00A9294B">
        <w:t xml:space="preserve">ost frequently reported drug-related AEs </w:t>
      </w:r>
      <w:r>
        <w:t xml:space="preserve">by </w:t>
      </w:r>
      <w:proofErr w:type="spellStart"/>
      <w:r>
        <w:t>MedDRA</w:t>
      </w:r>
      <w:proofErr w:type="spellEnd"/>
      <w:r>
        <w:t xml:space="preserve"> preferred terms</w:t>
      </w:r>
    </w:p>
    <w:tbl>
      <w:tblPr>
        <w:tblStyle w:val="TableTGAblue"/>
        <w:tblW w:w="0" w:type="auto"/>
        <w:tblLook w:val="0620" w:firstRow="1" w:lastRow="0" w:firstColumn="0" w:lastColumn="0" w:noHBand="1" w:noVBand="1"/>
      </w:tblPr>
      <w:tblGrid>
        <w:gridCol w:w="3119"/>
        <w:gridCol w:w="1984"/>
        <w:gridCol w:w="1985"/>
      </w:tblGrid>
      <w:tr w:rsidR="008D107F" w:rsidRPr="00C740BB" w:rsidTr="002A6DD8">
        <w:trPr>
          <w:cnfStyle w:val="100000000000" w:firstRow="1" w:lastRow="0" w:firstColumn="0" w:lastColumn="0" w:oddVBand="0" w:evenVBand="0" w:oddHBand="0" w:evenHBand="0" w:firstRowFirstColumn="0" w:firstRowLastColumn="0" w:lastRowFirstColumn="0" w:lastRowLastColumn="0"/>
          <w:tblHeader/>
        </w:trPr>
        <w:tc>
          <w:tcPr>
            <w:tcW w:w="3119" w:type="dxa"/>
          </w:tcPr>
          <w:p w:rsidR="008D107F" w:rsidRPr="00C740BB" w:rsidRDefault="008D107F" w:rsidP="002A6DD8">
            <w:pPr>
              <w:ind w:left="0" w:right="68"/>
            </w:pPr>
          </w:p>
        </w:tc>
        <w:tc>
          <w:tcPr>
            <w:tcW w:w="1984" w:type="dxa"/>
          </w:tcPr>
          <w:p w:rsidR="008D107F" w:rsidRPr="00C740BB" w:rsidRDefault="008D107F" w:rsidP="002A6DD8">
            <w:pPr>
              <w:ind w:left="0" w:right="67"/>
            </w:pPr>
            <w:r w:rsidRPr="00C740BB">
              <w:t>A52238 (%)</w:t>
            </w:r>
          </w:p>
        </w:tc>
        <w:tc>
          <w:tcPr>
            <w:tcW w:w="1985" w:type="dxa"/>
          </w:tcPr>
          <w:p w:rsidR="008D107F" w:rsidRPr="00C740BB" w:rsidRDefault="008D107F" w:rsidP="002A6DD8">
            <w:pPr>
              <w:ind w:left="0" w:right="68"/>
            </w:pPr>
            <w:r w:rsidRPr="00C740BB">
              <w:t>A46796 (%)</w:t>
            </w:r>
          </w:p>
        </w:tc>
      </w:tr>
      <w:tr w:rsidR="008D107F" w:rsidRPr="00C740BB" w:rsidTr="002A6DD8">
        <w:tc>
          <w:tcPr>
            <w:tcW w:w="3119" w:type="dxa"/>
          </w:tcPr>
          <w:p w:rsidR="008D107F" w:rsidRPr="00C740BB" w:rsidRDefault="008D107F" w:rsidP="002A6DD8">
            <w:pPr>
              <w:ind w:left="0" w:right="68"/>
            </w:pPr>
            <w:r w:rsidRPr="00C740BB">
              <w:t>Acne</w:t>
            </w:r>
          </w:p>
        </w:tc>
        <w:tc>
          <w:tcPr>
            <w:tcW w:w="1984" w:type="dxa"/>
          </w:tcPr>
          <w:p w:rsidR="008D107F" w:rsidRPr="00C740BB" w:rsidRDefault="008D107F" w:rsidP="002A6DD8">
            <w:pPr>
              <w:ind w:left="0" w:right="67"/>
            </w:pPr>
            <w:r w:rsidRPr="00C740BB">
              <w:t>10.1</w:t>
            </w:r>
          </w:p>
        </w:tc>
        <w:tc>
          <w:tcPr>
            <w:tcW w:w="1985" w:type="dxa"/>
          </w:tcPr>
          <w:p w:rsidR="008D107F" w:rsidRPr="00C740BB" w:rsidRDefault="008D107F" w:rsidP="002A6DD8">
            <w:pPr>
              <w:ind w:left="0" w:right="68"/>
            </w:pPr>
            <w:r w:rsidRPr="00C740BB">
              <w:t>25.8</w:t>
            </w:r>
          </w:p>
        </w:tc>
      </w:tr>
      <w:tr w:rsidR="008D107F" w:rsidRPr="00C740BB" w:rsidTr="002A6DD8">
        <w:tc>
          <w:tcPr>
            <w:tcW w:w="3119" w:type="dxa"/>
          </w:tcPr>
          <w:p w:rsidR="008D107F" w:rsidRPr="00C740BB" w:rsidRDefault="008D107F" w:rsidP="002A6DD8">
            <w:pPr>
              <w:ind w:left="0" w:right="68"/>
            </w:pPr>
            <w:r w:rsidRPr="00C740BB">
              <w:t>Ovarian Cyst</w:t>
            </w:r>
          </w:p>
        </w:tc>
        <w:tc>
          <w:tcPr>
            <w:tcW w:w="1984" w:type="dxa"/>
          </w:tcPr>
          <w:p w:rsidR="008D107F" w:rsidRPr="00C740BB" w:rsidRDefault="008D107F" w:rsidP="002A6DD8">
            <w:pPr>
              <w:ind w:left="0" w:right="67"/>
            </w:pPr>
            <w:r w:rsidRPr="00C740BB">
              <w:t>7.7</w:t>
            </w:r>
          </w:p>
        </w:tc>
        <w:tc>
          <w:tcPr>
            <w:tcW w:w="1985" w:type="dxa"/>
          </w:tcPr>
          <w:p w:rsidR="008D107F" w:rsidRPr="00C740BB" w:rsidRDefault="008D107F" w:rsidP="002A6DD8">
            <w:pPr>
              <w:ind w:left="0" w:right="68"/>
            </w:pPr>
            <w:r w:rsidRPr="00C740BB">
              <w:t>5.8</w:t>
            </w:r>
          </w:p>
        </w:tc>
      </w:tr>
      <w:tr w:rsidR="008D107F" w:rsidRPr="00C740BB" w:rsidTr="002A6DD8">
        <w:tc>
          <w:tcPr>
            <w:tcW w:w="3119" w:type="dxa"/>
          </w:tcPr>
          <w:p w:rsidR="008D107F" w:rsidRPr="00C740BB" w:rsidRDefault="008D107F" w:rsidP="002A6DD8">
            <w:pPr>
              <w:ind w:left="0" w:right="68"/>
            </w:pPr>
            <w:r w:rsidRPr="00C740BB">
              <w:t>Dysmenorrhea</w:t>
            </w:r>
          </w:p>
        </w:tc>
        <w:tc>
          <w:tcPr>
            <w:tcW w:w="1984" w:type="dxa"/>
          </w:tcPr>
          <w:p w:rsidR="008D107F" w:rsidRPr="00C740BB" w:rsidRDefault="008D107F" w:rsidP="002A6DD8">
            <w:pPr>
              <w:ind w:left="0" w:right="67"/>
            </w:pPr>
            <w:r w:rsidRPr="00C740BB">
              <w:t>6.8</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r w:rsidRPr="00C740BB">
              <w:t>Pelvic pain</w:t>
            </w:r>
          </w:p>
        </w:tc>
        <w:tc>
          <w:tcPr>
            <w:tcW w:w="1984" w:type="dxa"/>
          </w:tcPr>
          <w:p w:rsidR="008D107F" w:rsidRPr="00C740BB" w:rsidRDefault="008D107F" w:rsidP="002A6DD8">
            <w:pPr>
              <w:ind w:left="0" w:right="67"/>
            </w:pPr>
            <w:r w:rsidRPr="00C740BB">
              <w:t>4.7</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r w:rsidRPr="00C740BB">
              <w:t xml:space="preserve">Vaginal </w:t>
            </w:r>
            <w:proofErr w:type="spellStart"/>
            <w:r w:rsidRPr="00C740BB">
              <w:t>hemorrhage</w:t>
            </w:r>
            <w:proofErr w:type="spellEnd"/>
          </w:p>
        </w:tc>
        <w:tc>
          <w:tcPr>
            <w:tcW w:w="1984" w:type="dxa"/>
          </w:tcPr>
          <w:p w:rsidR="008D107F" w:rsidRPr="00C740BB" w:rsidRDefault="008D107F" w:rsidP="002A6DD8">
            <w:pPr>
              <w:ind w:left="0" w:right="67"/>
            </w:pPr>
            <w:r w:rsidRPr="00C740BB">
              <w:t>4.5</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r w:rsidRPr="00C740BB">
              <w:t>Abdominal pain</w:t>
            </w:r>
          </w:p>
        </w:tc>
        <w:tc>
          <w:tcPr>
            <w:tcW w:w="1984" w:type="dxa"/>
          </w:tcPr>
          <w:p w:rsidR="008D107F" w:rsidRPr="00C740BB" w:rsidRDefault="008D107F" w:rsidP="002A6DD8">
            <w:pPr>
              <w:ind w:left="0" w:right="67"/>
            </w:pPr>
            <w:r w:rsidRPr="00C740BB">
              <w:t>3.4</w:t>
            </w:r>
          </w:p>
        </w:tc>
        <w:tc>
          <w:tcPr>
            <w:tcW w:w="1985" w:type="dxa"/>
          </w:tcPr>
          <w:p w:rsidR="008D107F" w:rsidRPr="00C740BB" w:rsidRDefault="008D107F" w:rsidP="002A6DD8">
            <w:pPr>
              <w:ind w:left="0" w:right="68"/>
            </w:pPr>
          </w:p>
        </w:tc>
      </w:tr>
      <w:tr w:rsidR="008D107F" w:rsidRPr="00C740BB" w:rsidTr="002A6DD8">
        <w:tc>
          <w:tcPr>
            <w:tcW w:w="3119" w:type="dxa"/>
          </w:tcPr>
          <w:p w:rsidR="008D107F" w:rsidRPr="00C740BB" w:rsidRDefault="008D107F" w:rsidP="002A6DD8">
            <w:pPr>
              <w:ind w:left="0" w:right="68"/>
            </w:pPr>
            <w:r w:rsidRPr="00C740BB">
              <w:t>Headache</w:t>
            </w:r>
          </w:p>
        </w:tc>
        <w:tc>
          <w:tcPr>
            <w:tcW w:w="1984" w:type="dxa"/>
          </w:tcPr>
          <w:p w:rsidR="008D107F" w:rsidRPr="00C740BB" w:rsidRDefault="008D107F" w:rsidP="002A6DD8">
            <w:pPr>
              <w:ind w:left="0" w:right="67"/>
            </w:pPr>
            <w:r w:rsidRPr="00C740BB">
              <w:t>3.3</w:t>
            </w:r>
          </w:p>
        </w:tc>
        <w:tc>
          <w:tcPr>
            <w:tcW w:w="1985" w:type="dxa"/>
          </w:tcPr>
          <w:p w:rsidR="008D107F" w:rsidRPr="00C740BB" w:rsidRDefault="008D107F" w:rsidP="002A6DD8">
            <w:pPr>
              <w:ind w:left="0" w:right="68"/>
            </w:pPr>
            <w:r w:rsidRPr="00C740BB">
              <w:t>11.7</w:t>
            </w:r>
          </w:p>
        </w:tc>
      </w:tr>
      <w:tr w:rsidR="008D107F" w:rsidRPr="00C740BB" w:rsidTr="002A6DD8">
        <w:tc>
          <w:tcPr>
            <w:tcW w:w="3119" w:type="dxa"/>
          </w:tcPr>
          <w:p w:rsidR="008D107F" w:rsidRPr="00C740BB" w:rsidRDefault="008D107F" w:rsidP="002A6DD8">
            <w:pPr>
              <w:ind w:left="0" w:right="68"/>
            </w:pPr>
            <w:r w:rsidRPr="00C740BB">
              <w:lastRenderedPageBreak/>
              <w:t>Weight increases</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11.3</w:t>
            </w:r>
          </w:p>
        </w:tc>
      </w:tr>
      <w:tr w:rsidR="008D107F" w:rsidRPr="00C740BB" w:rsidTr="002A6DD8">
        <w:tc>
          <w:tcPr>
            <w:tcW w:w="3119" w:type="dxa"/>
          </w:tcPr>
          <w:p w:rsidR="008D107F" w:rsidRPr="00C740BB" w:rsidRDefault="008D107F" w:rsidP="002A6DD8">
            <w:pPr>
              <w:ind w:left="0" w:right="68"/>
            </w:pPr>
            <w:r w:rsidRPr="00C740BB">
              <w:t>Breast discomfort</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19.2</w:t>
            </w:r>
          </w:p>
        </w:tc>
      </w:tr>
      <w:tr w:rsidR="008D107F" w:rsidRPr="00C740BB" w:rsidTr="002A6DD8">
        <w:tc>
          <w:tcPr>
            <w:tcW w:w="3119" w:type="dxa"/>
          </w:tcPr>
          <w:p w:rsidR="008D107F" w:rsidRPr="00C740BB" w:rsidRDefault="008D107F" w:rsidP="002A6DD8">
            <w:pPr>
              <w:ind w:left="0" w:right="68"/>
            </w:pPr>
            <w:r w:rsidRPr="00C740BB">
              <w:t>Altered mood</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14.2</w:t>
            </w:r>
          </w:p>
        </w:tc>
      </w:tr>
      <w:tr w:rsidR="008D107F" w:rsidRPr="00C740BB" w:rsidTr="002A6DD8">
        <w:tc>
          <w:tcPr>
            <w:tcW w:w="3119" w:type="dxa"/>
          </w:tcPr>
          <w:p w:rsidR="008D107F" w:rsidRPr="00C740BB" w:rsidRDefault="008D107F" w:rsidP="002A6DD8">
            <w:pPr>
              <w:ind w:left="0" w:right="68"/>
            </w:pPr>
            <w:r w:rsidRPr="00C740BB">
              <w:t>Abdominal distension</w:t>
            </w:r>
          </w:p>
        </w:tc>
        <w:tc>
          <w:tcPr>
            <w:tcW w:w="1984" w:type="dxa"/>
          </w:tcPr>
          <w:p w:rsidR="008D107F" w:rsidRPr="00C740BB" w:rsidRDefault="008D107F" w:rsidP="002A6DD8">
            <w:pPr>
              <w:ind w:left="0" w:right="67"/>
            </w:pPr>
          </w:p>
        </w:tc>
        <w:tc>
          <w:tcPr>
            <w:tcW w:w="1985" w:type="dxa"/>
          </w:tcPr>
          <w:p w:rsidR="008D107F" w:rsidRPr="00C740BB" w:rsidRDefault="008D107F" w:rsidP="002A6DD8">
            <w:pPr>
              <w:ind w:left="0" w:right="68"/>
            </w:pPr>
            <w:r w:rsidRPr="00C740BB">
              <w:t>13.8</w:t>
            </w:r>
          </w:p>
        </w:tc>
      </w:tr>
    </w:tbl>
    <w:p w:rsidR="008D107F" w:rsidRPr="002A6DD8" w:rsidRDefault="008D107F" w:rsidP="002A6DD8">
      <w:pPr>
        <w:rPr>
          <w:b/>
        </w:rPr>
      </w:pPr>
      <w:proofErr w:type="spellStart"/>
      <w:r w:rsidRPr="002A6DD8">
        <w:rPr>
          <w:b/>
        </w:rPr>
        <w:t>MedDRA</w:t>
      </w:r>
      <w:proofErr w:type="spellEnd"/>
      <w:r w:rsidRPr="002A6DD8">
        <w:rPr>
          <w:b/>
        </w:rPr>
        <w:t xml:space="preserve"> classification with IUS</w:t>
      </w:r>
    </w:p>
    <w:p w:rsidR="008D107F" w:rsidRPr="000B7533" w:rsidRDefault="008D107F" w:rsidP="002A6DD8">
      <w:r w:rsidRPr="000B7533">
        <w:t xml:space="preserve">Adverse events specifically associated with an IUS include partial or complete expulsion, perforation or penetration of the uterine wall or cervix, embedment in the myometrium, an altered bleeding pattern. Therefore the following </w:t>
      </w:r>
      <w:proofErr w:type="spellStart"/>
      <w:r w:rsidRPr="000B7533">
        <w:t>MedDRA</w:t>
      </w:r>
      <w:proofErr w:type="spellEnd"/>
      <w:r w:rsidRPr="000B7533">
        <w:t xml:space="preserve"> primary System Organ Class (SOCs) is of interest for this application.</w:t>
      </w:r>
    </w:p>
    <w:p w:rsidR="008D107F" w:rsidRPr="00C740BB" w:rsidRDefault="00A8186E" w:rsidP="00A8186E">
      <w:pPr>
        <w:pStyle w:val="ListBullet"/>
      </w:pPr>
      <w:r>
        <w:t>Infections and infestations</w:t>
      </w:r>
    </w:p>
    <w:p w:rsidR="008D107F" w:rsidRPr="00C740BB" w:rsidRDefault="008D107F" w:rsidP="00A8186E">
      <w:pPr>
        <w:pStyle w:val="ListBullet"/>
      </w:pPr>
      <w:r w:rsidRPr="00C740BB">
        <w:t xml:space="preserve">Neoplasms benign, </w:t>
      </w:r>
      <w:r w:rsidRPr="00A8186E">
        <w:t>malignant</w:t>
      </w:r>
      <w:r w:rsidRPr="00C740BB">
        <w:t xml:space="preserve"> and unspecifi</w:t>
      </w:r>
      <w:r w:rsidR="00A8186E">
        <w:t>ed (including cysts and polyps)</w:t>
      </w:r>
    </w:p>
    <w:p w:rsidR="008D107F" w:rsidRPr="00C740BB" w:rsidRDefault="008D107F" w:rsidP="00A8186E">
      <w:pPr>
        <w:pStyle w:val="ListBullet"/>
      </w:pPr>
      <w:r w:rsidRPr="00C740BB">
        <w:t xml:space="preserve">Pregnancy, </w:t>
      </w:r>
      <w:proofErr w:type="spellStart"/>
      <w:r w:rsidRPr="00C740BB">
        <w:t>puer</w:t>
      </w:r>
      <w:r w:rsidR="00A8186E">
        <w:t>perium</w:t>
      </w:r>
      <w:proofErr w:type="spellEnd"/>
      <w:r w:rsidR="00A8186E">
        <w:t xml:space="preserve"> and perinatal conditions</w:t>
      </w:r>
    </w:p>
    <w:p w:rsidR="008D107F" w:rsidRPr="00C740BB" w:rsidRDefault="008D107F" w:rsidP="00A8186E">
      <w:pPr>
        <w:pStyle w:val="ListBullet"/>
      </w:pPr>
      <w:r w:rsidRPr="00C740BB">
        <w:t>Reproduct</w:t>
      </w:r>
      <w:r w:rsidR="00A8186E">
        <w:t>ive system and breast disorders</w:t>
      </w:r>
    </w:p>
    <w:p w:rsidR="008D107F" w:rsidRPr="00C740BB" w:rsidRDefault="008D107F" w:rsidP="00A8186E">
      <w:pPr>
        <w:pStyle w:val="ListBullet"/>
      </w:pPr>
      <w:r w:rsidRPr="00C740BB">
        <w:t>General disorders and</w:t>
      </w:r>
      <w:r w:rsidR="00A8186E">
        <w:t xml:space="preserve"> administration site conditions</w:t>
      </w:r>
    </w:p>
    <w:p w:rsidR="008D107F" w:rsidRPr="00C740BB" w:rsidRDefault="00A8186E" w:rsidP="00A8186E">
      <w:pPr>
        <w:pStyle w:val="ListBullet"/>
      </w:pPr>
      <w:r>
        <w:t>Psychiatric disorders</w:t>
      </w:r>
    </w:p>
    <w:p w:rsidR="008D107F" w:rsidRPr="00C740BB" w:rsidRDefault="00A8186E" w:rsidP="00A8186E">
      <w:pPr>
        <w:pStyle w:val="ListBullet"/>
      </w:pPr>
      <w:r>
        <w:t>Vascular disorders</w:t>
      </w:r>
    </w:p>
    <w:p w:rsidR="008D107F" w:rsidRPr="000B7533" w:rsidRDefault="008D107F" w:rsidP="00A8186E">
      <w:r w:rsidRPr="000B7533">
        <w:t xml:space="preserve">Infections and infestations are discussed </w:t>
      </w:r>
      <w:proofErr w:type="gramStart"/>
      <w:r w:rsidRPr="000B7533">
        <w:t>here,</w:t>
      </w:r>
      <w:proofErr w:type="gramEnd"/>
      <w:r w:rsidRPr="000B7533">
        <w:t xml:space="preserve"> the other SOCs are discussed in section 8.4</w:t>
      </w:r>
      <w:r w:rsidR="00A8186E">
        <w:t>.</w:t>
      </w:r>
    </w:p>
    <w:p w:rsidR="008D107F" w:rsidRPr="00A8186E" w:rsidRDefault="00A8186E" w:rsidP="00A8186E">
      <w:pPr>
        <w:rPr>
          <w:b/>
        </w:rPr>
      </w:pPr>
      <w:r w:rsidRPr="00A8186E">
        <w:rPr>
          <w:b/>
        </w:rPr>
        <w:t>Infections and Infestations</w:t>
      </w:r>
    </w:p>
    <w:p w:rsidR="008D107F" w:rsidRPr="000B7533" w:rsidRDefault="008D107F" w:rsidP="00A8186E">
      <w:r w:rsidRPr="000B7533">
        <w:t xml:space="preserve">Urinary tract infection was the most common infection in both individual studies and in the pooled LCS treatment group data. In terms of SAEs, infections and infestations were reported for 54 total women overall (1.5%) - the most frequently reported were appendicitis, PID, pneumonia, pyelonephritis and urinary tract infection. Of specific clinical interest are PID and </w:t>
      </w:r>
      <w:proofErr w:type="spellStart"/>
      <w:r w:rsidRPr="000B7533">
        <w:t>endometritis</w:t>
      </w:r>
      <w:proofErr w:type="spellEnd"/>
      <w:r w:rsidRPr="000B7533">
        <w:t xml:space="preserve"> because of the</w:t>
      </w:r>
      <w:r w:rsidR="00A8186E">
        <w:t>ir effects on future fertility.</w:t>
      </w:r>
    </w:p>
    <w:p w:rsidR="008D107F" w:rsidRPr="000B7533" w:rsidRDefault="008D107F" w:rsidP="00A8186E">
      <w:r w:rsidRPr="00B471B1">
        <w:rPr>
          <w:b/>
          <w:bCs/>
        </w:rPr>
        <w:t>PID</w:t>
      </w:r>
      <w:r w:rsidRPr="000B7533">
        <w:t xml:space="preserve"> (as diagnosed by the investigator) was reported in approximately 0.4% of the women in the LCS treatment groups (FAS, pooled LCS12 and LCS16 data across studies A52238 and A46796). Most of the PIDs reported were serious, moderate to severe in intensity, related to study drug, occurred in </w:t>
      </w:r>
      <w:proofErr w:type="spellStart"/>
      <w:r w:rsidRPr="000B7533">
        <w:t>parous</w:t>
      </w:r>
      <w:proofErr w:type="spellEnd"/>
      <w:r w:rsidRPr="000B7533">
        <w:t xml:space="preserve"> women, and occurred during Year 1 of the study.  Specifically, in the phase 3 study A52238, 12 cases were diagnosed with PID (6 in the LCS12 arm, and 6 in the LCS 16 arm). A total of 7 of these women (LCS12: 4, LCS16: 3) had an acute </w:t>
      </w:r>
      <w:proofErr w:type="spellStart"/>
      <w:r w:rsidRPr="000B7533">
        <w:t>salpingo-oophoritis</w:t>
      </w:r>
      <w:proofErr w:type="spellEnd"/>
      <w:r w:rsidRPr="000B7533">
        <w:t xml:space="preserve"> diagnosed and 3 (LCS12: 2, LCS16: 1) a </w:t>
      </w:r>
      <w:proofErr w:type="spellStart"/>
      <w:r w:rsidRPr="000B7533">
        <w:t>tubo</w:t>
      </w:r>
      <w:proofErr w:type="spellEnd"/>
      <w:r w:rsidRPr="000B7533">
        <w:t>-ovarian abscess (women may have had one or both of these terms reported). Six of these were reported as SAEs relating to PID (2 in LCS12, and 4 in LCS16). In the phase 2 study A46796, two SAEs relating to PID in two women were reported: one in the</w:t>
      </w:r>
      <w:r w:rsidR="00A8186E">
        <w:t xml:space="preserve"> LCS 16 arm and one with </w:t>
      </w:r>
      <w:proofErr w:type="spellStart"/>
      <w:r w:rsidR="00A8186E">
        <w:t>Mirena</w:t>
      </w:r>
      <w:proofErr w:type="spellEnd"/>
      <w:r w:rsidRPr="000B7533">
        <w:t>.</w:t>
      </w:r>
    </w:p>
    <w:p w:rsidR="008D107F" w:rsidRPr="000B7533" w:rsidRDefault="00B471B1" w:rsidP="00A8186E">
      <w:proofErr w:type="spellStart"/>
      <w:r>
        <w:rPr>
          <w:b/>
          <w:bCs/>
        </w:rPr>
        <w:t>E</w:t>
      </w:r>
      <w:r w:rsidRPr="00B471B1">
        <w:rPr>
          <w:b/>
          <w:bCs/>
        </w:rPr>
        <w:t>ndometritis</w:t>
      </w:r>
      <w:proofErr w:type="spellEnd"/>
      <w:r w:rsidRPr="00B471B1">
        <w:t xml:space="preserve"> </w:t>
      </w:r>
      <w:r w:rsidR="008D107F" w:rsidRPr="000B7533">
        <w:t xml:space="preserve">A total of 0.8% of women in the LCS12 and LCS16 arms in study A52238, and 0.5% of the women in study A46796 were diagnosed with </w:t>
      </w:r>
      <w:proofErr w:type="spellStart"/>
      <w:r w:rsidR="008D107F" w:rsidRPr="000B7533">
        <w:t>endometritis</w:t>
      </w:r>
      <w:proofErr w:type="spellEnd"/>
      <w:r w:rsidR="008D107F" w:rsidRPr="000B7533">
        <w:t xml:space="preserve">. Due to this AE, a total of four of the 26 women (15%) with </w:t>
      </w:r>
      <w:proofErr w:type="spellStart"/>
      <w:r w:rsidR="008D107F" w:rsidRPr="000B7533">
        <w:t>endometritis</w:t>
      </w:r>
      <w:proofErr w:type="spellEnd"/>
      <w:r w:rsidR="008D107F" w:rsidRPr="000B7533">
        <w:t xml:space="preserve"> were withdrawn from the studies. No cases of </w:t>
      </w:r>
      <w:proofErr w:type="spellStart"/>
      <w:r w:rsidR="008D107F" w:rsidRPr="000B7533">
        <w:t>endometri</w:t>
      </w:r>
      <w:r w:rsidR="00A8186E">
        <w:t>tis</w:t>
      </w:r>
      <w:proofErr w:type="spellEnd"/>
      <w:r w:rsidR="00A8186E">
        <w:t xml:space="preserve"> were classified as serious.</w:t>
      </w:r>
    </w:p>
    <w:p w:rsidR="008D107F" w:rsidRPr="00A8186E" w:rsidRDefault="008D107F" w:rsidP="00A8186E">
      <w:pPr>
        <w:rPr>
          <w:b/>
        </w:rPr>
      </w:pPr>
      <w:r w:rsidRPr="00A8186E">
        <w:rPr>
          <w:b/>
        </w:rPr>
        <w:t xml:space="preserve">Presentation of undesirable effects in proposed Summary of Product Characteristics </w:t>
      </w:r>
      <w:r w:rsidR="00B471B1" w:rsidRPr="00A8186E">
        <w:rPr>
          <w:b/>
        </w:rPr>
        <w:t xml:space="preserve">[equivalent to the proposed Product Information] </w:t>
      </w:r>
      <w:r w:rsidR="00A8186E">
        <w:rPr>
          <w:b/>
        </w:rPr>
        <w:t>for LCS12</w:t>
      </w:r>
    </w:p>
    <w:p w:rsidR="008D107F" w:rsidRPr="000B7533" w:rsidRDefault="008D107F" w:rsidP="00A8186E">
      <w:r w:rsidRPr="000B7533">
        <w:lastRenderedPageBreak/>
        <w:t xml:space="preserve">The frequency estimate of an event to be included in the undesirable effects section was based on the number of all AEs that were reported for the respective </w:t>
      </w:r>
      <w:proofErr w:type="spellStart"/>
      <w:r w:rsidRPr="000B7533">
        <w:t>MedDRA</w:t>
      </w:r>
      <w:proofErr w:type="spellEnd"/>
      <w:r w:rsidRPr="000B7533">
        <w:t xml:space="preserve"> </w:t>
      </w:r>
      <w:proofErr w:type="spellStart"/>
      <w:r w:rsidRPr="000B7533">
        <w:t>Labeling</w:t>
      </w:r>
      <w:proofErr w:type="spellEnd"/>
      <w:r w:rsidRPr="000B7533">
        <w:t xml:space="preserve"> Grouping or preferred term (regardless of the causality assessment of investigators).  A separate Justification Document for the table of Undesirable Effects of LCS12 based on this method was provided in the submission.</w:t>
      </w:r>
    </w:p>
    <w:p w:rsidR="008D107F" w:rsidRPr="000B7533" w:rsidRDefault="008D107F" w:rsidP="00A8186E">
      <w:pPr>
        <w:pStyle w:val="Heading5"/>
      </w:pPr>
      <w:r w:rsidRPr="000B7533">
        <w:t xml:space="preserve">Other </w:t>
      </w:r>
      <w:r w:rsidRPr="00A8186E">
        <w:t>studies</w:t>
      </w:r>
    </w:p>
    <w:p w:rsidR="008D107F" w:rsidRPr="000B7533" w:rsidRDefault="008D107F" w:rsidP="00A8186E">
      <w:proofErr w:type="gramStart"/>
      <w:r w:rsidRPr="000B7533">
        <w:t>Nil</w:t>
      </w:r>
      <w:r w:rsidR="00A8186E">
        <w:t>.</w:t>
      </w:r>
      <w:proofErr w:type="gramEnd"/>
    </w:p>
    <w:p w:rsidR="008D107F" w:rsidRPr="000B7533" w:rsidRDefault="008D107F" w:rsidP="00A8186E">
      <w:pPr>
        <w:pStyle w:val="Heading4"/>
      </w:pPr>
      <w:bookmarkStart w:id="365" w:name="_Toc241374320"/>
      <w:bookmarkStart w:id="366" w:name="_Ref272333507"/>
      <w:bookmarkStart w:id="367" w:name="_Toc272414666"/>
      <w:bookmarkStart w:id="368" w:name="_Toc290846304"/>
      <w:bookmarkStart w:id="369" w:name="_Toc290888841"/>
      <w:bookmarkStart w:id="370" w:name="_Toc343587581"/>
      <w:bookmarkStart w:id="371" w:name="_Toc219998407"/>
      <w:bookmarkStart w:id="372" w:name="_Toc219998511"/>
      <w:bookmarkStart w:id="373" w:name="_Toc219998926"/>
      <w:bookmarkStart w:id="374" w:name="_Toc219999029"/>
      <w:bookmarkStart w:id="375" w:name="_Toc219999130"/>
      <w:bookmarkStart w:id="376" w:name="_Toc229197947"/>
      <w:r w:rsidRPr="000B7533">
        <w:t>Deaths and other serious adverse events</w:t>
      </w:r>
      <w:bookmarkEnd w:id="365"/>
      <w:bookmarkEnd w:id="366"/>
      <w:bookmarkEnd w:id="367"/>
      <w:bookmarkEnd w:id="368"/>
      <w:bookmarkEnd w:id="369"/>
      <w:r w:rsidRPr="000B7533">
        <w:t xml:space="preserve"> (SAE)</w:t>
      </w:r>
      <w:bookmarkEnd w:id="370"/>
      <w:bookmarkEnd w:id="371"/>
      <w:bookmarkEnd w:id="372"/>
      <w:bookmarkEnd w:id="373"/>
      <w:bookmarkEnd w:id="374"/>
      <w:bookmarkEnd w:id="375"/>
      <w:bookmarkEnd w:id="376"/>
    </w:p>
    <w:p w:rsidR="008D107F" w:rsidRPr="000B7533" w:rsidRDefault="008D107F" w:rsidP="00A8186E">
      <w:pPr>
        <w:pStyle w:val="Heading5"/>
      </w:pPr>
      <w:r w:rsidRPr="000B7533">
        <w:t>Pivotal studies</w:t>
      </w:r>
    </w:p>
    <w:p w:rsidR="008D107F" w:rsidRPr="000B7533" w:rsidRDefault="008D107F" w:rsidP="00A8186E">
      <w:r w:rsidRPr="000B7533">
        <w:t>There was one death in study A52238, a suicide in a 20 year-old woman. This was attributed to depression and an eating disorder, assessed as unrelated to treatment. A narrative description of the case was provided which was satisfactory.</w:t>
      </w:r>
    </w:p>
    <w:p w:rsidR="008D107F" w:rsidRPr="000B7533" w:rsidRDefault="008D107F" w:rsidP="00A8186E">
      <w:r w:rsidRPr="000B7533">
        <w:t>Overall, the frequency of drug-related SAEs (as assessed by the investigator) was very low - the most common were ectopic pregnancies, ovarian cysts, and PID.</w:t>
      </w:r>
    </w:p>
    <w:p w:rsidR="008D107F" w:rsidRDefault="008D107F" w:rsidP="00A8186E">
      <w:r w:rsidRPr="000B7533">
        <w:t xml:space="preserve">The most frequent SAE in study A52238 was appendicitis for the LCS12 group and ectopic pregnancy/ruptured ectopic pregnancy for the LCS16 group, while in study A46795 it was ovarian cysts in the </w:t>
      </w:r>
      <w:proofErr w:type="spellStart"/>
      <w:r w:rsidRPr="000B7533">
        <w:t>Mirena</w:t>
      </w:r>
      <w:proofErr w:type="spellEnd"/>
      <w:r w:rsidRPr="000B7533">
        <w:t xml:space="preserve"> group. In the pooled analysis, SAEs were reported for 4.7% of women in the LCS12 (</w:t>
      </w:r>
      <w:proofErr w:type="spellStart"/>
      <w:r w:rsidRPr="000B7533">
        <w:t>Jaydess</w:t>
      </w:r>
      <w:proofErr w:type="spellEnd"/>
      <w:r w:rsidRPr="000B7533">
        <w:t xml:space="preserve">) treatment group, 4.9% of women in the LCS16 group, and 6.3% of women in the </w:t>
      </w:r>
      <w:proofErr w:type="spellStart"/>
      <w:r w:rsidRPr="000B7533">
        <w:t>Mirena</w:t>
      </w:r>
      <w:proofErr w:type="spellEnd"/>
      <w:r w:rsidRPr="000B7533">
        <w:t xml:space="preserve"> group. Overall the most frequent SAEs were appendicitis (16 women), ectopic pregnancy (13), ovarian cysts (includes </w:t>
      </w:r>
      <w:proofErr w:type="spellStart"/>
      <w:r w:rsidRPr="000B7533">
        <w:t>hemorrhagic</w:t>
      </w:r>
      <w:proofErr w:type="spellEnd"/>
      <w:r w:rsidRPr="000B7533">
        <w:t>, ruptured ovarian cysts, ovarian cyst torsion) (12), abdominal pain (10), and PID (8).</w:t>
      </w:r>
    </w:p>
    <w:p w:rsidR="00B471B1" w:rsidRPr="00B471B1" w:rsidRDefault="00B471B1" w:rsidP="0013752C">
      <w:pPr>
        <w:pStyle w:val="TableTitle"/>
      </w:pPr>
      <w:proofErr w:type="gramStart"/>
      <w:r w:rsidRPr="00B471B1">
        <w:t xml:space="preserve">Table </w:t>
      </w:r>
      <w:r>
        <w:t>21.</w:t>
      </w:r>
      <w:proofErr w:type="gramEnd"/>
      <w:r>
        <w:t xml:space="preserve"> </w:t>
      </w:r>
      <w:r w:rsidRPr="00B471B1">
        <w:t xml:space="preserve">Most frequent serious adverse events (SAEs) – FAS, studies A52238 and A46796 </w:t>
      </w:r>
    </w:p>
    <w:tbl>
      <w:tblPr>
        <w:tblStyle w:val="TableTGAblue"/>
        <w:tblW w:w="9039" w:type="dxa"/>
        <w:tblLayout w:type="fixed"/>
        <w:tblLook w:val="0620" w:firstRow="1" w:lastRow="0" w:firstColumn="0" w:lastColumn="0" w:noHBand="1" w:noVBand="1"/>
      </w:tblPr>
      <w:tblGrid>
        <w:gridCol w:w="1541"/>
        <w:gridCol w:w="1542"/>
        <w:gridCol w:w="1542"/>
        <w:gridCol w:w="1437"/>
        <w:gridCol w:w="1417"/>
        <w:gridCol w:w="1560"/>
      </w:tblGrid>
      <w:tr w:rsidR="00B471B1" w:rsidRPr="00C740BB" w:rsidTr="00F07C2E">
        <w:trPr>
          <w:cnfStyle w:val="100000000000" w:firstRow="1" w:lastRow="0" w:firstColumn="0" w:lastColumn="0" w:oddVBand="0" w:evenVBand="0" w:oddHBand="0" w:evenHBand="0" w:firstRowFirstColumn="0" w:firstRowLastColumn="0" w:lastRowFirstColumn="0" w:lastRowLastColumn="0"/>
          <w:trHeight w:val="138"/>
          <w:tblHeader/>
        </w:trPr>
        <w:tc>
          <w:tcPr>
            <w:tcW w:w="1541" w:type="dxa"/>
          </w:tcPr>
          <w:p w:rsidR="00B471B1" w:rsidRPr="00C740BB" w:rsidRDefault="00B471B1" w:rsidP="0013752C">
            <w:pPr>
              <w:ind w:left="0" w:right="0"/>
            </w:pPr>
          </w:p>
        </w:tc>
        <w:tc>
          <w:tcPr>
            <w:tcW w:w="3084" w:type="dxa"/>
            <w:gridSpan w:val="2"/>
          </w:tcPr>
          <w:p w:rsidR="00B471B1" w:rsidRPr="00C740BB" w:rsidRDefault="00B471B1" w:rsidP="0013752C">
            <w:pPr>
              <w:ind w:left="19" w:right="32"/>
            </w:pPr>
            <w:r w:rsidRPr="00C740BB">
              <w:t>A52238</w:t>
            </w:r>
          </w:p>
        </w:tc>
        <w:tc>
          <w:tcPr>
            <w:tcW w:w="4414" w:type="dxa"/>
            <w:gridSpan w:val="3"/>
          </w:tcPr>
          <w:p w:rsidR="00B471B1" w:rsidRPr="00C740BB" w:rsidRDefault="00B471B1" w:rsidP="0013752C">
            <w:pPr>
              <w:ind w:left="36" w:right="0"/>
            </w:pPr>
            <w:r w:rsidRPr="00C740BB">
              <w:t>A46796</w:t>
            </w:r>
          </w:p>
        </w:tc>
      </w:tr>
      <w:tr w:rsidR="00B471B1" w:rsidRPr="00C740BB" w:rsidTr="00F07C2E">
        <w:trPr>
          <w:cnfStyle w:val="100000000000" w:firstRow="1" w:lastRow="0" w:firstColumn="0" w:lastColumn="0" w:oddVBand="0" w:evenVBand="0" w:oddHBand="0" w:evenHBand="0" w:firstRowFirstColumn="0" w:firstRowLastColumn="0" w:lastRowFirstColumn="0" w:lastRowLastColumn="0"/>
          <w:trHeight w:val="138"/>
          <w:tblHeader/>
        </w:trPr>
        <w:tc>
          <w:tcPr>
            <w:tcW w:w="1541" w:type="dxa"/>
          </w:tcPr>
          <w:p w:rsidR="00B471B1" w:rsidRPr="00C740BB" w:rsidRDefault="00B471B1" w:rsidP="0013752C">
            <w:pPr>
              <w:ind w:left="0" w:right="0"/>
            </w:pPr>
          </w:p>
        </w:tc>
        <w:tc>
          <w:tcPr>
            <w:tcW w:w="1542" w:type="dxa"/>
          </w:tcPr>
          <w:p w:rsidR="00B471B1" w:rsidRPr="00C740BB" w:rsidRDefault="00B471B1" w:rsidP="0013752C">
            <w:pPr>
              <w:ind w:left="19" w:right="32"/>
            </w:pPr>
            <w:r w:rsidRPr="00C740BB">
              <w:t>LCS12</w:t>
            </w:r>
          </w:p>
        </w:tc>
        <w:tc>
          <w:tcPr>
            <w:tcW w:w="1542" w:type="dxa"/>
          </w:tcPr>
          <w:p w:rsidR="00B471B1" w:rsidRPr="00C740BB" w:rsidRDefault="00B471B1" w:rsidP="0013752C">
            <w:pPr>
              <w:ind w:left="19" w:right="32"/>
            </w:pPr>
            <w:r w:rsidRPr="00C740BB">
              <w:t xml:space="preserve">LCS16 </w:t>
            </w:r>
          </w:p>
        </w:tc>
        <w:tc>
          <w:tcPr>
            <w:tcW w:w="1437" w:type="dxa"/>
          </w:tcPr>
          <w:p w:rsidR="00B471B1" w:rsidRPr="00C740BB" w:rsidRDefault="00B471B1" w:rsidP="0013752C">
            <w:pPr>
              <w:ind w:left="36" w:right="0"/>
            </w:pPr>
            <w:r w:rsidRPr="00C740BB">
              <w:t xml:space="preserve">LCS12 </w:t>
            </w:r>
          </w:p>
        </w:tc>
        <w:tc>
          <w:tcPr>
            <w:tcW w:w="1417" w:type="dxa"/>
          </w:tcPr>
          <w:p w:rsidR="00B471B1" w:rsidRPr="00C740BB" w:rsidRDefault="00B471B1" w:rsidP="0013752C">
            <w:pPr>
              <w:ind w:left="36" w:right="0"/>
            </w:pPr>
            <w:r w:rsidRPr="00C740BB">
              <w:t xml:space="preserve">LCS16 </w:t>
            </w:r>
          </w:p>
        </w:tc>
        <w:tc>
          <w:tcPr>
            <w:tcW w:w="1560" w:type="dxa"/>
          </w:tcPr>
          <w:p w:rsidR="00B471B1" w:rsidRPr="00C740BB" w:rsidRDefault="00B471B1" w:rsidP="0013752C">
            <w:pPr>
              <w:ind w:left="36" w:right="0"/>
            </w:pPr>
            <w:proofErr w:type="spellStart"/>
            <w:r w:rsidRPr="00C740BB">
              <w:t>Mirena</w:t>
            </w:r>
            <w:proofErr w:type="spellEnd"/>
            <w:r w:rsidRPr="00C740BB">
              <w:t xml:space="preserve"> </w:t>
            </w:r>
          </w:p>
        </w:tc>
      </w:tr>
      <w:tr w:rsidR="00B471B1" w:rsidRPr="00C740BB" w:rsidTr="00F07C2E">
        <w:trPr>
          <w:cnfStyle w:val="100000000000" w:firstRow="1" w:lastRow="0" w:firstColumn="0" w:lastColumn="0" w:oddVBand="0" w:evenVBand="0" w:oddHBand="0" w:evenHBand="0" w:firstRowFirstColumn="0" w:firstRowLastColumn="0" w:lastRowFirstColumn="0" w:lastRowLastColumn="0"/>
          <w:trHeight w:val="138"/>
          <w:tblHeader/>
        </w:trPr>
        <w:tc>
          <w:tcPr>
            <w:tcW w:w="1541" w:type="dxa"/>
          </w:tcPr>
          <w:p w:rsidR="00B471B1" w:rsidRPr="00C740BB" w:rsidRDefault="00B471B1" w:rsidP="0013752C">
            <w:pPr>
              <w:ind w:left="0" w:right="0"/>
            </w:pPr>
          </w:p>
        </w:tc>
        <w:tc>
          <w:tcPr>
            <w:tcW w:w="1542" w:type="dxa"/>
          </w:tcPr>
          <w:p w:rsidR="00B471B1" w:rsidRPr="00C740BB" w:rsidRDefault="00B471B1" w:rsidP="0013752C">
            <w:pPr>
              <w:ind w:left="19" w:right="32"/>
            </w:pPr>
            <w:proofErr w:type="gramStart"/>
            <w:r w:rsidRPr="00C740BB">
              <w:t>n</w:t>
            </w:r>
            <w:proofErr w:type="gramEnd"/>
            <w:r w:rsidRPr="00C740BB">
              <w:t xml:space="preserve"> (%)</w:t>
            </w:r>
          </w:p>
        </w:tc>
        <w:tc>
          <w:tcPr>
            <w:tcW w:w="1542" w:type="dxa"/>
          </w:tcPr>
          <w:p w:rsidR="00B471B1" w:rsidRPr="00C740BB" w:rsidRDefault="00B471B1" w:rsidP="0013752C">
            <w:pPr>
              <w:ind w:left="19" w:right="32"/>
            </w:pPr>
            <w:proofErr w:type="gramStart"/>
            <w:r w:rsidRPr="00C740BB">
              <w:t>n</w:t>
            </w:r>
            <w:proofErr w:type="gramEnd"/>
            <w:r w:rsidRPr="00C740BB">
              <w:t xml:space="preserve"> (%) </w:t>
            </w:r>
          </w:p>
        </w:tc>
        <w:tc>
          <w:tcPr>
            <w:tcW w:w="1437" w:type="dxa"/>
          </w:tcPr>
          <w:p w:rsidR="00B471B1" w:rsidRPr="00C740BB" w:rsidRDefault="00B471B1" w:rsidP="0013752C">
            <w:pPr>
              <w:ind w:left="36" w:right="0"/>
            </w:pPr>
            <w:proofErr w:type="gramStart"/>
            <w:r w:rsidRPr="00C740BB">
              <w:t>n</w:t>
            </w:r>
            <w:proofErr w:type="gramEnd"/>
            <w:r w:rsidRPr="00C740BB">
              <w:t xml:space="preserve"> (%) </w:t>
            </w:r>
          </w:p>
        </w:tc>
        <w:tc>
          <w:tcPr>
            <w:tcW w:w="1417" w:type="dxa"/>
          </w:tcPr>
          <w:p w:rsidR="00B471B1" w:rsidRPr="00C740BB" w:rsidRDefault="00B471B1" w:rsidP="0013752C">
            <w:pPr>
              <w:ind w:left="36" w:right="0"/>
            </w:pPr>
            <w:proofErr w:type="gramStart"/>
            <w:r w:rsidRPr="00C740BB">
              <w:t>n</w:t>
            </w:r>
            <w:proofErr w:type="gramEnd"/>
            <w:r w:rsidRPr="00C740BB">
              <w:t xml:space="preserve"> (%) </w:t>
            </w:r>
          </w:p>
        </w:tc>
        <w:tc>
          <w:tcPr>
            <w:tcW w:w="1560" w:type="dxa"/>
          </w:tcPr>
          <w:p w:rsidR="00B471B1" w:rsidRPr="00C740BB" w:rsidRDefault="00B471B1" w:rsidP="0013752C">
            <w:pPr>
              <w:ind w:left="36" w:right="0"/>
            </w:pPr>
            <w:proofErr w:type="gramStart"/>
            <w:r w:rsidRPr="00C740BB">
              <w:t>n</w:t>
            </w:r>
            <w:proofErr w:type="gramEnd"/>
            <w:r w:rsidRPr="00C740BB">
              <w:t xml:space="preserve"> (%) </w:t>
            </w:r>
          </w:p>
        </w:tc>
      </w:tr>
      <w:tr w:rsidR="008D107F" w:rsidRPr="00C740BB" w:rsidTr="0013752C">
        <w:trPr>
          <w:trHeight w:val="138"/>
        </w:trPr>
        <w:tc>
          <w:tcPr>
            <w:tcW w:w="1541" w:type="dxa"/>
          </w:tcPr>
          <w:p w:rsidR="008D107F" w:rsidRPr="0013752C" w:rsidRDefault="008D107F" w:rsidP="0013752C">
            <w:pPr>
              <w:ind w:left="0" w:right="0"/>
              <w:rPr>
                <w:b/>
                <w:bCs/>
              </w:rPr>
            </w:pPr>
            <w:r w:rsidRPr="0013752C">
              <w:rPr>
                <w:b/>
                <w:bCs/>
              </w:rPr>
              <w:t xml:space="preserve">Total </w:t>
            </w:r>
          </w:p>
        </w:tc>
        <w:tc>
          <w:tcPr>
            <w:tcW w:w="1542" w:type="dxa"/>
          </w:tcPr>
          <w:p w:rsidR="008D107F" w:rsidRPr="00C740BB" w:rsidRDefault="008D107F" w:rsidP="0013752C">
            <w:pPr>
              <w:ind w:left="19" w:right="32"/>
            </w:pPr>
            <w:r w:rsidRPr="00C740BB">
              <w:t xml:space="preserve">1432 (100) </w:t>
            </w:r>
          </w:p>
        </w:tc>
        <w:tc>
          <w:tcPr>
            <w:tcW w:w="1542" w:type="dxa"/>
          </w:tcPr>
          <w:p w:rsidR="008D107F" w:rsidRPr="00C740BB" w:rsidRDefault="008D107F" w:rsidP="0013752C">
            <w:pPr>
              <w:ind w:left="19" w:right="32"/>
            </w:pPr>
            <w:r w:rsidRPr="00C740BB">
              <w:t xml:space="preserve">1452 (100) </w:t>
            </w:r>
          </w:p>
        </w:tc>
        <w:tc>
          <w:tcPr>
            <w:tcW w:w="1437" w:type="dxa"/>
          </w:tcPr>
          <w:p w:rsidR="008D107F" w:rsidRPr="00C740BB" w:rsidRDefault="008D107F" w:rsidP="0013752C">
            <w:pPr>
              <w:ind w:left="36" w:right="0"/>
            </w:pPr>
            <w:r w:rsidRPr="00C740BB">
              <w:t xml:space="preserve">240 (100) </w:t>
            </w:r>
          </w:p>
        </w:tc>
        <w:tc>
          <w:tcPr>
            <w:tcW w:w="1417" w:type="dxa"/>
          </w:tcPr>
          <w:p w:rsidR="008D107F" w:rsidRPr="00C740BB" w:rsidRDefault="008D107F" w:rsidP="0013752C">
            <w:pPr>
              <w:ind w:left="36" w:right="0"/>
            </w:pPr>
            <w:r w:rsidRPr="00C740BB">
              <w:t xml:space="preserve">245 (100) </w:t>
            </w:r>
          </w:p>
        </w:tc>
        <w:tc>
          <w:tcPr>
            <w:tcW w:w="1560" w:type="dxa"/>
          </w:tcPr>
          <w:p w:rsidR="008D107F" w:rsidRPr="00C740BB" w:rsidRDefault="008D107F" w:rsidP="0013752C">
            <w:pPr>
              <w:ind w:left="36" w:right="0"/>
            </w:pPr>
            <w:r w:rsidRPr="00C740BB">
              <w:t xml:space="preserve">256 (100) </w:t>
            </w:r>
          </w:p>
        </w:tc>
      </w:tr>
      <w:tr w:rsidR="008D107F" w:rsidRPr="00C740BB" w:rsidTr="0013752C">
        <w:trPr>
          <w:trHeight w:val="134"/>
        </w:trPr>
        <w:tc>
          <w:tcPr>
            <w:tcW w:w="1541" w:type="dxa"/>
          </w:tcPr>
          <w:p w:rsidR="008D107F" w:rsidRPr="0013752C" w:rsidRDefault="008D107F" w:rsidP="0013752C">
            <w:pPr>
              <w:ind w:left="0" w:right="0"/>
              <w:rPr>
                <w:b/>
                <w:bCs/>
              </w:rPr>
            </w:pPr>
            <w:r w:rsidRPr="0013752C">
              <w:rPr>
                <w:b/>
                <w:bCs/>
              </w:rPr>
              <w:t xml:space="preserve">Any SAE </w:t>
            </w:r>
          </w:p>
        </w:tc>
        <w:tc>
          <w:tcPr>
            <w:tcW w:w="1542" w:type="dxa"/>
          </w:tcPr>
          <w:p w:rsidR="008D107F" w:rsidRPr="00C740BB" w:rsidRDefault="008D107F" w:rsidP="0013752C">
            <w:pPr>
              <w:ind w:left="19" w:right="32"/>
            </w:pPr>
            <w:r w:rsidRPr="00C740BB">
              <w:t xml:space="preserve">66 (4.6) </w:t>
            </w:r>
          </w:p>
        </w:tc>
        <w:tc>
          <w:tcPr>
            <w:tcW w:w="1542" w:type="dxa"/>
          </w:tcPr>
          <w:p w:rsidR="008D107F" w:rsidRPr="00C740BB" w:rsidRDefault="008D107F" w:rsidP="0013752C">
            <w:pPr>
              <w:ind w:left="19" w:right="32"/>
            </w:pPr>
            <w:r w:rsidRPr="00C740BB">
              <w:t xml:space="preserve">71 (4.9) </w:t>
            </w:r>
          </w:p>
        </w:tc>
        <w:tc>
          <w:tcPr>
            <w:tcW w:w="1437" w:type="dxa"/>
          </w:tcPr>
          <w:p w:rsidR="008D107F" w:rsidRPr="00C740BB" w:rsidRDefault="008D107F" w:rsidP="0013752C">
            <w:pPr>
              <w:ind w:left="36" w:right="0"/>
            </w:pPr>
            <w:r w:rsidRPr="00C740BB">
              <w:t xml:space="preserve">12 (5.0) </w:t>
            </w:r>
          </w:p>
        </w:tc>
        <w:tc>
          <w:tcPr>
            <w:tcW w:w="1417" w:type="dxa"/>
          </w:tcPr>
          <w:p w:rsidR="008D107F" w:rsidRPr="00C740BB" w:rsidRDefault="008D107F" w:rsidP="0013752C">
            <w:pPr>
              <w:ind w:left="36" w:right="0"/>
            </w:pPr>
            <w:r w:rsidRPr="00C740BB">
              <w:t xml:space="preserve">12 (4.9) </w:t>
            </w:r>
          </w:p>
        </w:tc>
        <w:tc>
          <w:tcPr>
            <w:tcW w:w="1560" w:type="dxa"/>
          </w:tcPr>
          <w:p w:rsidR="008D107F" w:rsidRPr="00C740BB" w:rsidRDefault="008D107F" w:rsidP="0013752C">
            <w:pPr>
              <w:ind w:left="36" w:right="0"/>
            </w:pPr>
            <w:r w:rsidRPr="00C740BB">
              <w:t xml:space="preserve">16 (6.3) </w:t>
            </w:r>
          </w:p>
        </w:tc>
      </w:tr>
      <w:tr w:rsidR="008D107F" w:rsidRPr="00C740BB" w:rsidTr="0013752C">
        <w:trPr>
          <w:trHeight w:val="132"/>
        </w:trPr>
        <w:tc>
          <w:tcPr>
            <w:tcW w:w="1541" w:type="dxa"/>
          </w:tcPr>
          <w:p w:rsidR="008D107F" w:rsidRPr="00C740BB" w:rsidRDefault="008D107F" w:rsidP="0013752C">
            <w:pPr>
              <w:ind w:left="0" w:right="0"/>
            </w:pPr>
            <w:r w:rsidRPr="00C740BB">
              <w:t xml:space="preserve">Appendicitis </w:t>
            </w:r>
          </w:p>
        </w:tc>
        <w:tc>
          <w:tcPr>
            <w:tcW w:w="1542" w:type="dxa"/>
          </w:tcPr>
          <w:p w:rsidR="008D107F" w:rsidRPr="00C740BB" w:rsidRDefault="008D107F" w:rsidP="0013752C">
            <w:pPr>
              <w:ind w:left="19" w:right="32"/>
            </w:pPr>
            <w:r w:rsidRPr="00C740BB">
              <w:t xml:space="preserve">6 (0.4) </w:t>
            </w:r>
          </w:p>
        </w:tc>
        <w:tc>
          <w:tcPr>
            <w:tcW w:w="1542" w:type="dxa"/>
          </w:tcPr>
          <w:p w:rsidR="008D107F" w:rsidRPr="00C740BB" w:rsidRDefault="008D107F" w:rsidP="0013752C">
            <w:pPr>
              <w:ind w:left="19" w:right="32"/>
            </w:pPr>
            <w:r w:rsidRPr="00C740BB">
              <w:t xml:space="preserve">7 (0.5) </w:t>
            </w:r>
          </w:p>
        </w:tc>
        <w:tc>
          <w:tcPr>
            <w:tcW w:w="1437" w:type="dxa"/>
          </w:tcPr>
          <w:p w:rsidR="008D107F" w:rsidRPr="00C740BB" w:rsidRDefault="008D107F" w:rsidP="0013752C">
            <w:pPr>
              <w:ind w:left="36" w:right="0"/>
            </w:pPr>
            <w:r w:rsidRPr="00C740BB">
              <w:t xml:space="preserve">0 (0) </w:t>
            </w:r>
          </w:p>
        </w:tc>
        <w:tc>
          <w:tcPr>
            <w:tcW w:w="1417" w:type="dxa"/>
          </w:tcPr>
          <w:p w:rsidR="008D107F" w:rsidRPr="00C740BB" w:rsidRDefault="008D107F" w:rsidP="0013752C">
            <w:pPr>
              <w:ind w:left="36" w:right="0"/>
            </w:pPr>
            <w:r w:rsidRPr="00C740BB">
              <w:t xml:space="preserve">1 (0.4) </w:t>
            </w:r>
          </w:p>
        </w:tc>
        <w:tc>
          <w:tcPr>
            <w:tcW w:w="1560" w:type="dxa"/>
          </w:tcPr>
          <w:p w:rsidR="008D107F" w:rsidRPr="00C740BB" w:rsidRDefault="008D107F" w:rsidP="0013752C">
            <w:pPr>
              <w:ind w:left="36" w:right="0"/>
            </w:pPr>
            <w:r w:rsidRPr="00C740BB">
              <w:t xml:space="preserve">2 (0.8) </w:t>
            </w:r>
          </w:p>
        </w:tc>
      </w:tr>
      <w:tr w:rsidR="008D107F" w:rsidRPr="00C740BB" w:rsidTr="0013752C">
        <w:trPr>
          <w:trHeight w:val="132"/>
        </w:trPr>
        <w:tc>
          <w:tcPr>
            <w:tcW w:w="1541" w:type="dxa"/>
          </w:tcPr>
          <w:p w:rsidR="008D107F" w:rsidRPr="00C740BB" w:rsidRDefault="00B471B1" w:rsidP="0013752C">
            <w:pPr>
              <w:ind w:left="0" w:right="0"/>
            </w:pPr>
            <w:r>
              <w:t xml:space="preserve">Ectopic pregnancy </w:t>
            </w:r>
          </w:p>
        </w:tc>
        <w:tc>
          <w:tcPr>
            <w:tcW w:w="1542" w:type="dxa"/>
          </w:tcPr>
          <w:p w:rsidR="008D107F" w:rsidRPr="00C740BB" w:rsidRDefault="008D107F" w:rsidP="0013752C">
            <w:pPr>
              <w:ind w:left="19" w:right="32"/>
            </w:pPr>
            <w:r w:rsidRPr="00C740BB">
              <w:t xml:space="preserve">3 (0.2) </w:t>
            </w:r>
          </w:p>
        </w:tc>
        <w:tc>
          <w:tcPr>
            <w:tcW w:w="1542" w:type="dxa"/>
          </w:tcPr>
          <w:p w:rsidR="008D107F" w:rsidRPr="00C740BB" w:rsidRDefault="008D107F" w:rsidP="0013752C">
            <w:pPr>
              <w:ind w:left="19" w:right="32"/>
            </w:pPr>
            <w:r w:rsidRPr="00C740BB">
              <w:t xml:space="preserve">7 (0.5) </w:t>
            </w:r>
          </w:p>
        </w:tc>
        <w:tc>
          <w:tcPr>
            <w:tcW w:w="1437" w:type="dxa"/>
          </w:tcPr>
          <w:p w:rsidR="008D107F" w:rsidRPr="00C740BB" w:rsidRDefault="008D107F" w:rsidP="0013752C">
            <w:pPr>
              <w:ind w:left="36" w:right="0"/>
            </w:pPr>
            <w:r w:rsidRPr="00C740BB">
              <w:t xml:space="preserve">1 (0.4) </w:t>
            </w:r>
          </w:p>
        </w:tc>
        <w:tc>
          <w:tcPr>
            <w:tcW w:w="1417" w:type="dxa"/>
          </w:tcPr>
          <w:p w:rsidR="008D107F" w:rsidRPr="00C740BB" w:rsidRDefault="008D107F" w:rsidP="0013752C">
            <w:pPr>
              <w:ind w:left="36" w:right="0"/>
            </w:pPr>
            <w:r w:rsidRPr="00C740BB">
              <w:t xml:space="preserve">2 (0.8) </w:t>
            </w:r>
          </w:p>
        </w:tc>
        <w:tc>
          <w:tcPr>
            <w:tcW w:w="1560" w:type="dxa"/>
          </w:tcPr>
          <w:p w:rsidR="008D107F" w:rsidRPr="00C740BB" w:rsidRDefault="008D107F" w:rsidP="0013752C">
            <w:pPr>
              <w:ind w:left="36" w:right="0"/>
            </w:pPr>
            <w:r w:rsidRPr="00C740BB">
              <w:t xml:space="preserve">0 (0) </w:t>
            </w:r>
          </w:p>
        </w:tc>
      </w:tr>
      <w:tr w:rsidR="008D107F" w:rsidRPr="00C740BB" w:rsidTr="0013752C">
        <w:trPr>
          <w:trHeight w:val="132"/>
        </w:trPr>
        <w:tc>
          <w:tcPr>
            <w:tcW w:w="1541" w:type="dxa"/>
          </w:tcPr>
          <w:p w:rsidR="008D107F" w:rsidRPr="00C740BB" w:rsidRDefault="008D107F" w:rsidP="0013752C">
            <w:pPr>
              <w:ind w:left="0" w:right="0"/>
            </w:pPr>
            <w:r w:rsidRPr="00C740BB">
              <w:t xml:space="preserve">Ovarian cyst </w:t>
            </w:r>
          </w:p>
        </w:tc>
        <w:tc>
          <w:tcPr>
            <w:tcW w:w="1542" w:type="dxa"/>
          </w:tcPr>
          <w:p w:rsidR="008D107F" w:rsidRPr="00C740BB" w:rsidRDefault="008D107F" w:rsidP="0013752C">
            <w:pPr>
              <w:ind w:left="19" w:right="32"/>
            </w:pPr>
            <w:r w:rsidRPr="00C740BB">
              <w:t xml:space="preserve">4 (0.3) </w:t>
            </w:r>
          </w:p>
        </w:tc>
        <w:tc>
          <w:tcPr>
            <w:tcW w:w="1542" w:type="dxa"/>
          </w:tcPr>
          <w:p w:rsidR="008D107F" w:rsidRPr="00C740BB" w:rsidRDefault="008D107F" w:rsidP="0013752C">
            <w:pPr>
              <w:ind w:left="19" w:right="32"/>
            </w:pPr>
            <w:r w:rsidRPr="00C740BB">
              <w:t xml:space="preserve">3 (0.2) </w:t>
            </w:r>
          </w:p>
        </w:tc>
        <w:tc>
          <w:tcPr>
            <w:tcW w:w="1437" w:type="dxa"/>
          </w:tcPr>
          <w:p w:rsidR="008D107F" w:rsidRPr="00C740BB" w:rsidRDefault="008D107F" w:rsidP="0013752C">
            <w:pPr>
              <w:ind w:left="36" w:right="0"/>
            </w:pPr>
            <w:r w:rsidRPr="00C740BB">
              <w:t xml:space="preserve">0 (0) </w:t>
            </w:r>
          </w:p>
        </w:tc>
        <w:tc>
          <w:tcPr>
            <w:tcW w:w="1417" w:type="dxa"/>
          </w:tcPr>
          <w:p w:rsidR="008D107F" w:rsidRPr="00C740BB" w:rsidRDefault="008D107F" w:rsidP="0013752C">
            <w:pPr>
              <w:ind w:left="36" w:right="0"/>
            </w:pPr>
            <w:r w:rsidRPr="00C740BB">
              <w:t xml:space="preserve">0 (0) </w:t>
            </w:r>
          </w:p>
        </w:tc>
        <w:tc>
          <w:tcPr>
            <w:tcW w:w="1560" w:type="dxa"/>
          </w:tcPr>
          <w:p w:rsidR="008D107F" w:rsidRPr="00C740BB" w:rsidRDefault="008D107F" w:rsidP="0013752C">
            <w:pPr>
              <w:ind w:left="36" w:right="0"/>
            </w:pPr>
            <w:r w:rsidRPr="00C740BB">
              <w:t xml:space="preserve">5 (2.0) </w:t>
            </w:r>
          </w:p>
        </w:tc>
      </w:tr>
      <w:tr w:rsidR="008D107F" w:rsidRPr="00C740BB" w:rsidTr="0013752C">
        <w:trPr>
          <w:trHeight w:val="132"/>
        </w:trPr>
        <w:tc>
          <w:tcPr>
            <w:tcW w:w="1541" w:type="dxa"/>
          </w:tcPr>
          <w:p w:rsidR="008D107F" w:rsidRPr="00C740BB" w:rsidRDefault="008D107F" w:rsidP="0013752C">
            <w:pPr>
              <w:ind w:left="0" w:right="0"/>
            </w:pPr>
            <w:r w:rsidRPr="00C740BB">
              <w:t xml:space="preserve">Abdominal pain </w:t>
            </w:r>
          </w:p>
        </w:tc>
        <w:tc>
          <w:tcPr>
            <w:tcW w:w="1542" w:type="dxa"/>
          </w:tcPr>
          <w:p w:rsidR="008D107F" w:rsidRPr="00C740BB" w:rsidRDefault="008D107F" w:rsidP="0013752C">
            <w:pPr>
              <w:ind w:left="19" w:right="32"/>
            </w:pPr>
            <w:r w:rsidRPr="00C740BB">
              <w:t xml:space="preserve">5 (0.3) </w:t>
            </w:r>
          </w:p>
        </w:tc>
        <w:tc>
          <w:tcPr>
            <w:tcW w:w="1542" w:type="dxa"/>
          </w:tcPr>
          <w:p w:rsidR="008D107F" w:rsidRPr="00C740BB" w:rsidRDefault="008D107F" w:rsidP="0013752C">
            <w:pPr>
              <w:ind w:left="19" w:right="32"/>
            </w:pPr>
            <w:r w:rsidRPr="00C740BB">
              <w:t xml:space="preserve">4 (0.3) </w:t>
            </w:r>
          </w:p>
        </w:tc>
        <w:tc>
          <w:tcPr>
            <w:tcW w:w="1437" w:type="dxa"/>
          </w:tcPr>
          <w:p w:rsidR="008D107F" w:rsidRPr="00C740BB" w:rsidRDefault="008D107F" w:rsidP="0013752C">
            <w:pPr>
              <w:ind w:left="36" w:right="0"/>
            </w:pPr>
            <w:r w:rsidRPr="00C740BB">
              <w:t xml:space="preserve">0 (0) </w:t>
            </w:r>
          </w:p>
        </w:tc>
        <w:tc>
          <w:tcPr>
            <w:tcW w:w="1417" w:type="dxa"/>
          </w:tcPr>
          <w:p w:rsidR="008D107F" w:rsidRPr="00C740BB" w:rsidRDefault="008D107F" w:rsidP="0013752C">
            <w:pPr>
              <w:ind w:left="36" w:right="0"/>
            </w:pPr>
            <w:r w:rsidRPr="00C740BB">
              <w:t xml:space="preserve">0 (0) </w:t>
            </w:r>
          </w:p>
        </w:tc>
        <w:tc>
          <w:tcPr>
            <w:tcW w:w="1560" w:type="dxa"/>
          </w:tcPr>
          <w:p w:rsidR="008D107F" w:rsidRPr="00C740BB" w:rsidRDefault="008D107F" w:rsidP="0013752C">
            <w:pPr>
              <w:ind w:left="36" w:right="0"/>
            </w:pPr>
            <w:r w:rsidRPr="00C740BB">
              <w:t xml:space="preserve">1 (0.4) </w:t>
            </w:r>
          </w:p>
        </w:tc>
      </w:tr>
      <w:tr w:rsidR="008D107F" w:rsidRPr="00C740BB" w:rsidTr="0013752C">
        <w:trPr>
          <w:trHeight w:val="132"/>
        </w:trPr>
        <w:tc>
          <w:tcPr>
            <w:tcW w:w="1541" w:type="dxa"/>
          </w:tcPr>
          <w:p w:rsidR="008D107F" w:rsidRPr="00C740BB" w:rsidRDefault="008D107F" w:rsidP="0013752C">
            <w:pPr>
              <w:ind w:left="0" w:right="0"/>
            </w:pPr>
            <w:r w:rsidRPr="00C740BB">
              <w:t xml:space="preserve">Abortion spontaneous </w:t>
            </w:r>
          </w:p>
        </w:tc>
        <w:tc>
          <w:tcPr>
            <w:tcW w:w="1542" w:type="dxa"/>
          </w:tcPr>
          <w:p w:rsidR="008D107F" w:rsidRPr="00C740BB" w:rsidRDefault="008D107F" w:rsidP="0013752C">
            <w:pPr>
              <w:ind w:left="19" w:right="32"/>
            </w:pPr>
            <w:r w:rsidRPr="00C740BB">
              <w:t xml:space="preserve">3 (0.2) </w:t>
            </w:r>
          </w:p>
        </w:tc>
        <w:tc>
          <w:tcPr>
            <w:tcW w:w="1542" w:type="dxa"/>
          </w:tcPr>
          <w:p w:rsidR="008D107F" w:rsidRPr="00C740BB" w:rsidRDefault="008D107F" w:rsidP="0013752C">
            <w:pPr>
              <w:ind w:left="19" w:right="32"/>
            </w:pPr>
            <w:r w:rsidRPr="00C740BB">
              <w:t xml:space="preserve">2  (0.2) </w:t>
            </w:r>
          </w:p>
        </w:tc>
        <w:tc>
          <w:tcPr>
            <w:tcW w:w="1437" w:type="dxa"/>
          </w:tcPr>
          <w:p w:rsidR="008D107F" w:rsidRPr="00C740BB" w:rsidRDefault="008D107F" w:rsidP="0013752C">
            <w:pPr>
              <w:ind w:left="36" w:right="0"/>
            </w:pPr>
            <w:r w:rsidRPr="00C740BB">
              <w:t xml:space="preserve">0 (0) </w:t>
            </w:r>
          </w:p>
        </w:tc>
        <w:tc>
          <w:tcPr>
            <w:tcW w:w="1417" w:type="dxa"/>
          </w:tcPr>
          <w:p w:rsidR="008D107F" w:rsidRPr="00C740BB" w:rsidRDefault="008D107F" w:rsidP="0013752C">
            <w:pPr>
              <w:ind w:left="36" w:right="0"/>
            </w:pPr>
            <w:r w:rsidRPr="00C740BB">
              <w:t xml:space="preserve">2 (0.8) </w:t>
            </w:r>
          </w:p>
        </w:tc>
        <w:tc>
          <w:tcPr>
            <w:tcW w:w="1560" w:type="dxa"/>
          </w:tcPr>
          <w:p w:rsidR="008D107F" w:rsidRPr="00C740BB" w:rsidRDefault="008D107F" w:rsidP="0013752C">
            <w:pPr>
              <w:ind w:left="36" w:right="0"/>
            </w:pPr>
            <w:r w:rsidRPr="00C740BB">
              <w:t xml:space="preserve">0 (0) </w:t>
            </w:r>
          </w:p>
        </w:tc>
      </w:tr>
      <w:tr w:rsidR="008D107F" w:rsidRPr="00C740BB" w:rsidTr="0013752C">
        <w:trPr>
          <w:trHeight w:val="246"/>
        </w:trPr>
        <w:tc>
          <w:tcPr>
            <w:tcW w:w="1541" w:type="dxa"/>
          </w:tcPr>
          <w:p w:rsidR="008D107F" w:rsidRPr="00C740BB" w:rsidRDefault="008D107F" w:rsidP="0013752C">
            <w:pPr>
              <w:ind w:left="0" w:right="0"/>
            </w:pPr>
            <w:r w:rsidRPr="00C740BB">
              <w:t xml:space="preserve">Pelvic inflammatory disease </w:t>
            </w:r>
          </w:p>
        </w:tc>
        <w:tc>
          <w:tcPr>
            <w:tcW w:w="1542" w:type="dxa"/>
          </w:tcPr>
          <w:p w:rsidR="008D107F" w:rsidRPr="00C740BB" w:rsidRDefault="008D107F" w:rsidP="0013752C">
            <w:pPr>
              <w:ind w:left="19" w:right="32"/>
            </w:pPr>
            <w:r w:rsidRPr="00C740BB">
              <w:t xml:space="preserve">2 (0.1) </w:t>
            </w:r>
          </w:p>
        </w:tc>
        <w:tc>
          <w:tcPr>
            <w:tcW w:w="1542" w:type="dxa"/>
          </w:tcPr>
          <w:p w:rsidR="008D107F" w:rsidRPr="00C740BB" w:rsidRDefault="008D107F" w:rsidP="0013752C">
            <w:pPr>
              <w:ind w:left="19" w:right="32"/>
            </w:pPr>
            <w:r w:rsidRPr="00C740BB">
              <w:t xml:space="preserve">4(0.3) </w:t>
            </w:r>
          </w:p>
        </w:tc>
        <w:tc>
          <w:tcPr>
            <w:tcW w:w="1437" w:type="dxa"/>
          </w:tcPr>
          <w:p w:rsidR="008D107F" w:rsidRPr="00C740BB" w:rsidRDefault="008D107F" w:rsidP="0013752C">
            <w:pPr>
              <w:ind w:left="36" w:right="0"/>
            </w:pPr>
            <w:r w:rsidRPr="00C740BB">
              <w:t xml:space="preserve">0 (0) </w:t>
            </w:r>
          </w:p>
        </w:tc>
        <w:tc>
          <w:tcPr>
            <w:tcW w:w="1417" w:type="dxa"/>
          </w:tcPr>
          <w:p w:rsidR="008D107F" w:rsidRPr="00C740BB" w:rsidRDefault="008D107F" w:rsidP="0013752C">
            <w:pPr>
              <w:ind w:left="36" w:right="0"/>
            </w:pPr>
            <w:r w:rsidRPr="00C740BB">
              <w:t xml:space="preserve">1 (0.4) </w:t>
            </w:r>
          </w:p>
        </w:tc>
        <w:tc>
          <w:tcPr>
            <w:tcW w:w="1560" w:type="dxa"/>
          </w:tcPr>
          <w:p w:rsidR="008D107F" w:rsidRPr="00C740BB" w:rsidRDefault="008D107F" w:rsidP="0013752C">
            <w:pPr>
              <w:ind w:left="36" w:right="0"/>
            </w:pPr>
            <w:r w:rsidRPr="00C740BB">
              <w:t xml:space="preserve">1 (0.4) </w:t>
            </w:r>
          </w:p>
        </w:tc>
      </w:tr>
    </w:tbl>
    <w:p w:rsidR="008D107F" w:rsidRPr="000B7533" w:rsidRDefault="008D107F" w:rsidP="00F07C2E">
      <w:pPr>
        <w:pStyle w:val="Heading5"/>
      </w:pPr>
      <w:r w:rsidRPr="000B7533">
        <w:lastRenderedPageBreak/>
        <w:t>Other studies</w:t>
      </w:r>
    </w:p>
    <w:p w:rsidR="008D107F" w:rsidRPr="000B7533" w:rsidRDefault="008D107F" w:rsidP="00F07C2E">
      <w:r w:rsidRPr="000B7533">
        <w:t>No other deaths were reported in the clinical development program of LCS12.</w:t>
      </w:r>
    </w:p>
    <w:p w:rsidR="008D107F" w:rsidRPr="000B7533" w:rsidRDefault="008D107F" w:rsidP="00F07C2E">
      <w:pPr>
        <w:pStyle w:val="Heading4"/>
      </w:pPr>
      <w:bookmarkStart w:id="377" w:name="_Toc241374325"/>
      <w:bookmarkStart w:id="378" w:name="_Ref272333477"/>
      <w:bookmarkStart w:id="379" w:name="_Toc272414667"/>
      <w:bookmarkStart w:id="380" w:name="_Toc290846305"/>
      <w:bookmarkStart w:id="381" w:name="_Toc290888842"/>
      <w:bookmarkStart w:id="382" w:name="_Toc343587582"/>
      <w:bookmarkStart w:id="383" w:name="_Toc219998408"/>
      <w:bookmarkStart w:id="384" w:name="_Toc219998512"/>
      <w:bookmarkStart w:id="385" w:name="_Toc219998927"/>
      <w:bookmarkStart w:id="386" w:name="_Toc219999030"/>
      <w:bookmarkStart w:id="387" w:name="_Toc219999131"/>
      <w:bookmarkStart w:id="388" w:name="_Toc229197948"/>
      <w:r w:rsidRPr="000B7533">
        <w:t xml:space="preserve">Discontinuation </w:t>
      </w:r>
      <w:r w:rsidRPr="00F07C2E">
        <w:t>due</w:t>
      </w:r>
      <w:r w:rsidRPr="000B7533">
        <w:t xml:space="preserve"> to adverse events</w:t>
      </w:r>
    </w:p>
    <w:p w:rsidR="008D107F" w:rsidRPr="000B7533" w:rsidRDefault="008D107F" w:rsidP="00F07C2E">
      <w:pPr>
        <w:pStyle w:val="Heading5"/>
      </w:pPr>
      <w:r w:rsidRPr="000B7533">
        <w:t xml:space="preserve">Premature </w:t>
      </w:r>
      <w:r w:rsidRPr="00F07C2E">
        <w:t>discontinuations</w:t>
      </w:r>
    </w:p>
    <w:p w:rsidR="008D107F" w:rsidRPr="000B7533" w:rsidRDefault="008D107F" w:rsidP="00F07C2E">
      <w:r w:rsidRPr="000B7533">
        <w:t xml:space="preserve">There were a large number of discontinuations – approximately 40% in A52238 and approximately 30% in A46796 in both studies, due predominantly to AEs and ‘other’. Approximately 20% of all women using LCS12 discontinued in both A52238 and A46796 due to AEs. Approximately 30% of those women who discontinued had “other” reasons for premature discontinuations, including a large number of women who wished for pregnancy, and smaller numbers who had no further need for contraception </w:t>
      </w:r>
      <w:r w:rsidR="0013752C">
        <w:t>or who could not attend visits.</w:t>
      </w:r>
    </w:p>
    <w:p w:rsidR="008D107F" w:rsidRPr="000B7533" w:rsidRDefault="008D107F" w:rsidP="00F07C2E">
      <w:pPr>
        <w:pStyle w:val="Heading4"/>
      </w:pPr>
      <w:r w:rsidRPr="000B7533">
        <w:t xml:space="preserve">Other - IUD </w:t>
      </w:r>
      <w:r w:rsidRPr="00F07C2E">
        <w:t>specific</w:t>
      </w:r>
      <w:r w:rsidRPr="000B7533">
        <w:t>, other gynaecological, bone mineral density</w:t>
      </w:r>
    </w:p>
    <w:p w:rsidR="008D107F" w:rsidRPr="000B7533" w:rsidRDefault="008D107F" w:rsidP="00F07C2E">
      <w:pPr>
        <w:pStyle w:val="Heading5"/>
      </w:pPr>
      <w:r w:rsidRPr="000B7533">
        <w:t>IUD Specific</w:t>
      </w:r>
    </w:p>
    <w:p w:rsidR="008D107F" w:rsidRDefault="008D107F" w:rsidP="00F07C2E">
      <w:r w:rsidRPr="000B7533">
        <w:t>Both partial and total expulsion rates were very low in all treatment groups of both studies, however as not all expulsions were reported as AEs, the frequency of expulsion in the AE data is less than the actual expulsion data. Expulsions occurred at various times during the study treatment p</w:t>
      </w:r>
      <w:r w:rsidR="0013752C">
        <w:t>eriod with no trend detectable.</w:t>
      </w:r>
    </w:p>
    <w:p w:rsidR="00B471B1" w:rsidRPr="000B7533" w:rsidRDefault="00B471B1" w:rsidP="00F07C2E">
      <w:pPr>
        <w:pStyle w:val="TableTitle"/>
      </w:pPr>
      <w:proofErr w:type="gramStart"/>
      <w:r>
        <w:t>Table 22.</w:t>
      </w:r>
      <w:proofErr w:type="gramEnd"/>
      <w:r>
        <w:t xml:space="preserve"> Summary of expulsions</w:t>
      </w:r>
    </w:p>
    <w:tbl>
      <w:tblPr>
        <w:tblStyle w:val="TableTGAblue"/>
        <w:tblW w:w="0" w:type="auto"/>
        <w:tblLook w:val="0620" w:firstRow="1" w:lastRow="0" w:firstColumn="0" w:lastColumn="0" w:noHBand="1" w:noVBand="1"/>
      </w:tblPr>
      <w:tblGrid>
        <w:gridCol w:w="1657"/>
        <w:gridCol w:w="3637"/>
        <w:gridCol w:w="3637"/>
      </w:tblGrid>
      <w:tr w:rsidR="008D107F" w:rsidRPr="00C740BB" w:rsidTr="00F07C2E">
        <w:trPr>
          <w:cnfStyle w:val="100000000000" w:firstRow="1" w:lastRow="0" w:firstColumn="0" w:lastColumn="0" w:oddVBand="0" w:evenVBand="0" w:oddHBand="0" w:evenHBand="0" w:firstRowFirstColumn="0" w:firstRowLastColumn="0" w:lastRowFirstColumn="0" w:lastRowLastColumn="0"/>
          <w:tblHeader/>
        </w:trPr>
        <w:tc>
          <w:tcPr>
            <w:tcW w:w="1657" w:type="dxa"/>
          </w:tcPr>
          <w:p w:rsidR="008D107F" w:rsidRPr="00C740BB" w:rsidRDefault="008D107F" w:rsidP="00F07C2E">
            <w:pPr>
              <w:ind w:left="0" w:right="23"/>
            </w:pPr>
            <w:bookmarkStart w:id="389" w:name="_GoBack" w:colFirst="0" w:colLast="2"/>
          </w:p>
        </w:tc>
        <w:tc>
          <w:tcPr>
            <w:tcW w:w="3637" w:type="dxa"/>
          </w:tcPr>
          <w:p w:rsidR="008D107F" w:rsidRPr="00C740BB" w:rsidRDefault="008D107F" w:rsidP="00F07C2E">
            <w:pPr>
              <w:ind w:left="44" w:right="0"/>
            </w:pPr>
            <w:r w:rsidRPr="00C740BB">
              <w:t>LCS12 total (partial) expulsion</w:t>
            </w:r>
          </w:p>
        </w:tc>
        <w:tc>
          <w:tcPr>
            <w:tcW w:w="3637" w:type="dxa"/>
          </w:tcPr>
          <w:p w:rsidR="008D107F" w:rsidRPr="00C740BB" w:rsidRDefault="008D107F" w:rsidP="00F07C2E">
            <w:pPr>
              <w:ind w:left="93" w:right="68"/>
            </w:pPr>
            <w:r w:rsidRPr="00C740BB">
              <w:t>LCS16 total (partial) expulsion</w:t>
            </w:r>
          </w:p>
        </w:tc>
      </w:tr>
      <w:bookmarkEnd w:id="389"/>
      <w:tr w:rsidR="008D107F" w:rsidRPr="00C740BB" w:rsidTr="00F07C2E">
        <w:tc>
          <w:tcPr>
            <w:tcW w:w="1657" w:type="dxa"/>
          </w:tcPr>
          <w:p w:rsidR="008D107F" w:rsidRPr="00C740BB" w:rsidRDefault="00F07C2E" w:rsidP="00F07C2E">
            <w:pPr>
              <w:ind w:left="0" w:right="23"/>
            </w:pPr>
            <w:r>
              <w:t>A52238</w:t>
            </w:r>
          </w:p>
        </w:tc>
        <w:tc>
          <w:tcPr>
            <w:tcW w:w="3637" w:type="dxa"/>
          </w:tcPr>
          <w:p w:rsidR="008D107F" w:rsidRPr="00C740BB" w:rsidRDefault="008D107F" w:rsidP="00F07C2E">
            <w:pPr>
              <w:ind w:left="44" w:right="0"/>
            </w:pPr>
            <w:r w:rsidRPr="00C740BB">
              <w:t>29 (24)</w:t>
            </w:r>
          </w:p>
        </w:tc>
        <w:tc>
          <w:tcPr>
            <w:tcW w:w="3637" w:type="dxa"/>
          </w:tcPr>
          <w:p w:rsidR="008D107F" w:rsidRPr="00C740BB" w:rsidRDefault="008D107F" w:rsidP="00F07C2E">
            <w:pPr>
              <w:ind w:left="93" w:right="68"/>
            </w:pPr>
            <w:r w:rsidRPr="00C740BB">
              <w:t>16 (30)</w:t>
            </w:r>
          </w:p>
        </w:tc>
      </w:tr>
      <w:tr w:rsidR="008D107F" w:rsidRPr="00C740BB" w:rsidTr="00F07C2E">
        <w:tc>
          <w:tcPr>
            <w:tcW w:w="1657" w:type="dxa"/>
          </w:tcPr>
          <w:p w:rsidR="008D107F" w:rsidRPr="00C740BB" w:rsidRDefault="008D107F" w:rsidP="00F07C2E">
            <w:pPr>
              <w:ind w:left="0" w:right="23"/>
            </w:pPr>
            <w:r w:rsidRPr="00C740BB">
              <w:t>A46796</w:t>
            </w:r>
          </w:p>
        </w:tc>
        <w:tc>
          <w:tcPr>
            <w:tcW w:w="3637" w:type="dxa"/>
          </w:tcPr>
          <w:p w:rsidR="008D107F" w:rsidRPr="00C740BB" w:rsidRDefault="008D107F" w:rsidP="00F07C2E">
            <w:pPr>
              <w:ind w:left="44" w:right="0"/>
            </w:pPr>
            <w:r w:rsidRPr="00C740BB">
              <w:t>0 (1)</w:t>
            </w:r>
          </w:p>
        </w:tc>
        <w:tc>
          <w:tcPr>
            <w:tcW w:w="3637" w:type="dxa"/>
          </w:tcPr>
          <w:p w:rsidR="008D107F" w:rsidRPr="00C740BB" w:rsidRDefault="008D107F" w:rsidP="00F07C2E">
            <w:pPr>
              <w:ind w:left="93" w:right="68"/>
            </w:pPr>
            <w:r w:rsidRPr="00C740BB">
              <w:t>3 (2)</w:t>
            </w:r>
          </w:p>
        </w:tc>
      </w:tr>
      <w:tr w:rsidR="008D107F" w:rsidRPr="00C740BB" w:rsidTr="00F07C2E">
        <w:tc>
          <w:tcPr>
            <w:tcW w:w="1657" w:type="dxa"/>
          </w:tcPr>
          <w:p w:rsidR="008D107F" w:rsidRPr="00C740BB" w:rsidRDefault="008D107F" w:rsidP="00F07C2E">
            <w:pPr>
              <w:ind w:left="0" w:right="23"/>
            </w:pPr>
            <w:r w:rsidRPr="00C740BB">
              <w:t>Pooled analysis</w:t>
            </w:r>
          </w:p>
        </w:tc>
        <w:tc>
          <w:tcPr>
            <w:tcW w:w="3637" w:type="dxa"/>
          </w:tcPr>
          <w:p w:rsidR="008D107F" w:rsidRPr="00C740BB" w:rsidRDefault="008D107F" w:rsidP="00F07C2E">
            <w:pPr>
              <w:ind w:left="44" w:right="0"/>
            </w:pPr>
            <w:r w:rsidRPr="00C740BB">
              <w:t>3.98% for total or partial at 36 month</w:t>
            </w:r>
          </w:p>
        </w:tc>
        <w:tc>
          <w:tcPr>
            <w:tcW w:w="3637" w:type="dxa"/>
          </w:tcPr>
          <w:p w:rsidR="008D107F" w:rsidRPr="00C740BB" w:rsidRDefault="008D107F" w:rsidP="00F07C2E">
            <w:pPr>
              <w:ind w:left="93" w:right="68"/>
            </w:pPr>
            <w:r w:rsidRPr="00C740BB">
              <w:t>3.37% for total or partial at 36 month</w:t>
            </w:r>
          </w:p>
        </w:tc>
      </w:tr>
    </w:tbl>
    <w:p w:rsidR="008D107F" w:rsidRPr="00C740BB" w:rsidRDefault="008D107F" w:rsidP="00F07C2E">
      <w:r w:rsidRPr="00C740BB">
        <w:t xml:space="preserve">A trend toward more partial and total expulsions was found in </w:t>
      </w:r>
      <w:proofErr w:type="spellStart"/>
      <w:r w:rsidRPr="00C740BB">
        <w:t>parous</w:t>
      </w:r>
      <w:proofErr w:type="spellEnd"/>
      <w:r w:rsidRPr="00C740BB">
        <w:t xml:space="preserve"> as compared to nulliparous women and in women ≤ 25 years as</w:t>
      </w:r>
      <w:r w:rsidR="00F07C2E">
        <w:t xml:space="preserve"> compared women 25 to 35 years.</w:t>
      </w:r>
    </w:p>
    <w:p w:rsidR="008D107F" w:rsidRPr="00F07C2E" w:rsidRDefault="00F07C2E" w:rsidP="00F07C2E">
      <w:pPr>
        <w:pStyle w:val="ListBullet"/>
        <w:rPr>
          <w:b/>
        </w:rPr>
      </w:pPr>
      <w:r w:rsidRPr="00F07C2E">
        <w:rPr>
          <w:b/>
        </w:rPr>
        <w:t>Perforation</w:t>
      </w:r>
    </w:p>
    <w:p w:rsidR="008D107F" w:rsidRPr="00C740BB" w:rsidRDefault="008D107F" w:rsidP="00F07C2E">
      <w:r w:rsidRPr="00C740BB">
        <w:t>A uterine perforation occurred in one woman in the LCS16 group in both studies combined. At the time of the submission, one additional partial perforation had occurred in the ongoing extension phase of the LCS16 group and one in the ongoing extension study (91775) (this occurred during uterine sounding prior to LCS insertion).</w:t>
      </w:r>
    </w:p>
    <w:p w:rsidR="008D107F" w:rsidRPr="00F07C2E" w:rsidRDefault="00F07C2E" w:rsidP="00F07C2E">
      <w:pPr>
        <w:pStyle w:val="ListBullet"/>
        <w:rPr>
          <w:b/>
        </w:rPr>
      </w:pPr>
      <w:r w:rsidRPr="00F07C2E">
        <w:rPr>
          <w:b/>
        </w:rPr>
        <w:t>Insertion ease and pain</w:t>
      </w:r>
    </w:p>
    <w:p w:rsidR="008D107F" w:rsidRPr="00C740BB" w:rsidRDefault="008D107F" w:rsidP="00F07C2E">
      <w:r w:rsidRPr="00C740BB">
        <w:t xml:space="preserve">Insertion was successful in 3609/3625 women (99.6% of women) in both studies. It was easier in </w:t>
      </w:r>
      <w:proofErr w:type="spellStart"/>
      <w:r w:rsidRPr="00C740BB">
        <w:t>parous</w:t>
      </w:r>
      <w:proofErr w:type="spellEnd"/>
      <w:r w:rsidRPr="00C740BB">
        <w:t xml:space="preserve"> women and with increasing age. The most frequent reasons for the failure of the first insertion were that the IUS came out immediately after insertion, or malfunction of the inserter. Local </w:t>
      </w:r>
      <w:proofErr w:type="spellStart"/>
      <w:r w:rsidRPr="00C740BB">
        <w:t>anesthesia</w:t>
      </w:r>
      <w:proofErr w:type="spellEnd"/>
      <w:r w:rsidRPr="00C740BB">
        <w:t xml:space="preserve"> or analgesics were given to a minority of women for the IUS insertion procedure. More nulliparous women received local </w:t>
      </w:r>
      <w:proofErr w:type="spellStart"/>
      <w:r w:rsidRPr="00C740BB">
        <w:t>anesthesia</w:t>
      </w:r>
      <w:proofErr w:type="spellEnd"/>
      <w:r w:rsidRPr="00C740BB">
        <w:t xml:space="preserve"> or </w:t>
      </w:r>
      <w:proofErr w:type="spellStart"/>
      <w:r w:rsidRPr="00C740BB">
        <w:t>anesthetics</w:t>
      </w:r>
      <w:proofErr w:type="spellEnd"/>
      <w:r w:rsidRPr="00C740BB">
        <w:t xml:space="preserve"> than </w:t>
      </w:r>
      <w:proofErr w:type="spellStart"/>
      <w:r w:rsidRPr="00C740BB">
        <w:t>parous</w:t>
      </w:r>
      <w:proofErr w:type="spellEnd"/>
      <w:r w:rsidRPr="00C740BB">
        <w:t>.</w:t>
      </w:r>
    </w:p>
    <w:p w:rsidR="008D107F" w:rsidRPr="00C740BB" w:rsidRDefault="008D107F" w:rsidP="00F07C2E">
      <w:r w:rsidRPr="00C740BB">
        <w:t>The investigators assessed the insertion procedure of the LCS IUS as easy in approximately 90% of women. The investigator assessed the removal of the IUS as ‘easy’ in 1799/1993 women in study A52238 (90.3%) and as ‘easy’ in 499/552 women (90.4%) in A46796. Removal was assessed as ‘very difficult’ in approximately 2 % of all women.</w:t>
      </w:r>
    </w:p>
    <w:p w:rsidR="008D107F" w:rsidRPr="00C740BB" w:rsidRDefault="008D107F" w:rsidP="00F07C2E">
      <w:r w:rsidRPr="00C740BB">
        <w:t>In both studies, over 80% of the women experienced no or only mild pain on removal of the IUS (study A52238, 36.1% overall no; 45.9% mild; study A46796, overall 44.2% no, 38.8% mild). Nulliparous women experienced more pain du</w:t>
      </w:r>
      <w:r w:rsidR="00F07C2E">
        <w:t xml:space="preserve">ring removal than </w:t>
      </w:r>
      <w:proofErr w:type="spellStart"/>
      <w:r w:rsidR="00F07C2E">
        <w:t>parous</w:t>
      </w:r>
      <w:proofErr w:type="spellEnd"/>
      <w:r w:rsidR="00F07C2E">
        <w:t xml:space="preserve"> women.</w:t>
      </w:r>
    </w:p>
    <w:p w:rsidR="008D107F" w:rsidRPr="00C740BB" w:rsidRDefault="008D107F" w:rsidP="00F07C2E">
      <w:r w:rsidRPr="00C740BB">
        <w:lastRenderedPageBreak/>
        <w:t xml:space="preserve">Most of the women in the clinical studies experienced no pain or only mild pain during the insertion of the IUS. Women in the LCS groups experienced less pain than those in the </w:t>
      </w:r>
      <w:proofErr w:type="spellStart"/>
      <w:r w:rsidRPr="00C740BB">
        <w:t>Mirena</w:t>
      </w:r>
      <w:proofErr w:type="spellEnd"/>
      <w:r w:rsidRPr="00C740BB">
        <w:t xml:space="preserve"> group as did </w:t>
      </w:r>
      <w:proofErr w:type="spellStart"/>
      <w:r w:rsidRPr="00C740BB">
        <w:t>parous</w:t>
      </w:r>
      <w:proofErr w:type="spellEnd"/>
      <w:r w:rsidRPr="00C740BB">
        <w:t xml:space="preserve"> women compared to nulliparous. Insertion pain</w:t>
      </w:r>
      <w:r w:rsidR="00F07C2E">
        <w:t xml:space="preserve"> lessened with increasing age.</w:t>
      </w:r>
    </w:p>
    <w:p w:rsidR="008D107F" w:rsidRPr="00F07C2E" w:rsidRDefault="008D107F" w:rsidP="00F07C2E">
      <w:pPr>
        <w:pStyle w:val="ListBullet"/>
        <w:rPr>
          <w:b/>
        </w:rPr>
      </w:pPr>
      <w:r w:rsidRPr="00F07C2E">
        <w:rPr>
          <w:b/>
        </w:rPr>
        <w:t>Ectopic pregnancy</w:t>
      </w:r>
    </w:p>
    <w:p w:rsidR="008D107F" w:rsidRPr="00C740BB" w:rsidRDefault="008D107F" w:rsidP="00F07C2E">
      <w:r w:rsidRPr="00C740BB">
        <w:t xml:space="preserve">In study A52238, a total of 20 pregnancies were observed under treatment; 10 in each treatment group. Of these, 3 in the LCS12 group (30%) and 7 in the </w:t>
      </w:r>
      <w:r w:rsidR="00F07C2E">
        <w:t>LCS16 group (70%) were ectopic.</w:t>
      </w:r>
    </w:p>
    <w:p w:rsidR="008D107F" w:rsidRPr="00C740BB" w:rsidRDefault="008D107F" w:rsidP="00F07C2E">
      <w:r w:rsidRPr="00C740BB">
        <w:t>In study A46796, 6 pregnancies were observed during treatment: 1 (an ectopic pregnancy) in the LCS12 group and 5 in the LCS16 group (2 ectopic, 2 ended in spontaneous abortion and one the result of an unnoticed expulsion.</w:t>
      </w:r>
    </w:p>
    <w:p w:rsidR="008D107F" w:rsidRPr="00C740BB" w:rsidRDefault="008D107F" w:rsidP="00F07C2E">
      <w:r w:rsidRPr="00C740BB">
        <w:t xml:space="preserve">For the SOC Pregnancy, </w:t>
      </w:r>
      <w:proofErr w:type="spellStart"/>
      <w:r w:rsidRPr="00C740BB">
        <w:t>puerperium</w:t>
      </w:r>
      <w:proofErr w:type="spellEnd"/>
      <w:r w:rsidRPr="00C740BB">
        <w:t xml:space="preserve">, and perinatal conditions, there were 20 total SAEs (0.6%); most frequently reported were ectopic pregnancy (0.3% overall) and spontaneous abortion (0.1% overall). Using the pooled data, the overall incidence of ectopic pregnancy was 0.11 per 100 </w:t>
      </w:r>
      <w:proofErr w:type="spellStart"/>
      <w:r w:rsidRPr="00C740BB">
        <w:t>wy</w:t>
      </w:r>
      <w:proofErr w:type="spellEnd"/>
      <w:r w:rsidRPr="00C740BB">
        <w:t xml:space="preserve"> for LCS12 and 0.24 per 100 </w:t>
      </w:r>
      <w:proofErr w:type="spellStart"/>
      <w:r w:rsidRPr="00C740BB">
        <w:t>wy</w:t>
      </w:r>
      <w:proofErr w:type="spellEnd"/>
      <w:r w:rsidRPr="00C740BB">
        <w:t xml:space="preserve"> for LCS16.</w:t>
      </w:r>
    </w:p>
    <w:p w:rsidR="008D107F" w:rsidRPr="00C740BB" w:rsidRDefault="008D107F" w:rsidP="00F07C2E">
      <w:pPr>
        <w:pStyle w:val="Heading5"/>
      </w:pPr>
      <w:proofErr w:type="spellStart"/>
      <w:r w:rsidRPr="00C740BB">
        <w:t>Gynecological</w:t>
      </w:r>
      <w:proofErr w:type="spellEnd"/>
      <w:r w:rsidRPr="00C740BB">
        <w:t xml:space="preserve"> </w:t>
      </w:r>
      <w:r w:rsidR="00F07C2E">
        <w:t>e</w:t>
      </w:r>
      <w:r w:rsidRPr="00C740BB">
        <w:t xml:space="preserve">xamination </w:t>
      </w:r>
      <w:r w:rsidR="00F07C2E">
        <w:t>findings</w:t>
      </w:r>
    </w:p>
    <w:p w:rsidR="008D107F" w:rsidRPr="00F07C2E" w:rsidRDefault="00F07C2E" w:rsidP="00F07C2E">
      <w:pPr>
        <w:pStyle w:val="ListBullet"/>
        <w:rPr>
          <w:b/>
        </w:rPr>
      </w:pPr>
      <w:r w:rsidRPr="00F07C2E">
        <w:rPr>
          <w:b/>
        </w:rPr>
        <w:t>Cervical smears</w:t>
      </w:r>
    </w:p>
    <w:p w:rsidR="008D107F" w:rsidRPr="000B7533" w:rsidRDefault="008D107F" w:rsidP="00F07C2E">
      <w:r w:rsidRPr="000B7533">
        <w:t xml:space="preserve">The majority of the epithelial cell abnormalities in both studies at screening, during the study (for study A52238 only) and at the end of the studies were atypical squamous cells of undetermined significance (ASCUS) and squamous intraepithelial lesions. This is also covered </w:t>
      </w:r>
      <w:r w:rsidR="00B471B1">
        <w:t xml:space="preserve">below </w:t>
      </w:r>
      <w:r w:rsidRPr="000B7533">
        <w:t xml:space="preserve">in </w:t>
      </w:r>
      <w:r w:rsidR="00B471B1">
        <w:t>section 8.4.</w:t>
      </w:r>
    </w:p>
    <w:p w:rsidR="008D107F" w:rsidRPr="00F07C2E" w:rsidRDefault="00F07C2E" w:rsidP="00F07C2E">
      <w:pPr>
        <w:pStyle w:val="ListBullet"/>
        <w:rPr>
          <w:b/>
        </w:rPr>
      </w:pPr>
      <w:r w:rsidRPr="00F07C2E">
        <w:rPr>
          <w:b/>
        </w:rPr>
        <w:t>Ovarian cysts</w:t>
      </w:r>
    </w:p>
    <w:p w:rsidR="008D107F" w:rsidRPr="000B7533" w:rsidRDefault="008D107F" w:rsidP="00F07C2E">
      <w:r w:rsidRPr="000B7533">
        <w:t>In both A52238 and A46796, ovarian findings were normal in 95% women at all vaginal ultrasound examinations. The incidence of ovarian cysts at baseline in study A52238 (12.1 to 13.2%) was higher than that seen in study A46796 (1.6 to 2.1%) and higher than has been reported in the literature, possibly due to over-reporting of follicles as cysts.</w:t>
      </w:r>
    </w:p>
    <w:p w:rsidR="008D107F" w:rsidRPr="00F07C2E" w:rsidRDefault="00F07C2E" w:rsidP="00F07C2E">
      <w:pPr>
        <w:pStyle w:val="ListBullet"/>
        <w:rPr>
          <w:b/>
        </w:rPr>
      </w:pPr>
      <w:r w:rsidRPr="00F07C2E">
        <w:rPr>
          <w:b/>
        </w:rPr>
        <w:t>Fibroids</w:t>
      </w:r>
    </w:p>
    <w:p w:rsidR="008D107F" w:rsidRPr="000B7533" w:rsidRDefault="008D107F" w:rsidP="00F07C2E">
      <w:r w:rsidRPr="000B7533">
        <w:t xml:space="preserve">Overall, fibroids were demonstrable in ≤ 3% of women at baseline, throughout the study, and end of study in both studies. LCS12 had </w:t>
      </w:r>
      <w:r w:rsidR="00F07C2E">
        <w:t>no apparent effect on fibroids.</w:t>
      </w:r>
    </w:p>
    <w:p w:rsidR="008D107F" w:rsidRPr="00F07C2E" w:rsidRDefault="00F07C2E" w:rsidP="00F07C2E">
      <w:pPr>
        <w:pStyle w:val="ListBullet"/>
        <w:rPr>
          <w:b/>
        </w:rPr>
      </w:pPr>
      <w:r w:rsidRPr="00F07C2E">
        <w:rPr>
          <w:b/>
        </w:rPr>
        <w:t>Endometrial findings</w:t>
      </w:r>
    </w:p>
    <w:p w:rsidR="008D107F" w:rsidRPr="000B7533" w:rsidRDefault="008D107F" w:rsidP="00F07C2E">
      <w:r w:rsidRPr="000B7533">
        <w:t>Overall, &gt;99% of women had normal endometrial findings at screening, baseline, throughout the study, an</w:t>
      </w:r>
      <w:r w:rsidR="00F07C2E">
        <w:t>d end of study in both studies.</w:t>
      </w:r>
    </w:p>
    <w:p w:rsidR="008D107F" w:rsidRPr="000B7533" w:rsidRDefault="00F07C2E" w:rsidP="00F07C2E">
      <w:pPr>
        <w:pStyle w:val="Heading5"/>
      </w:pPr>
      <w:r>
        <w:t>Bone mineral density</w:t>
      </w:r>
    </w:p>
    <w:p w:rsidR="008D107F" w:rsidRPr="000B7533" w:rsidRDefault="008D107F" w:rsidP="00F07C2E">
      <w:r w:rsidRPr="000B7533">
        <w:t>There was a slight increase in mean bone mineral density at both anatomic sites at all three post-baseline visits in both treatment groups, but of probable lack of clinical relevance. No difference was seen between the two treatment groups.</w:t>
      </w:r>
      <w:bookmarkEnd w:id="377"/>
      <w:bookmarkEnd w:id="378"/>
      <w:bookmarkEnd w:id="379"/>
      <w:bookmarkEnd w:id="380"/>
      <w:bookmarkEnd w:id="381"/>
      <w:bookmarkEnd w:id="382"/>
      <w:bookmarkEnd w:id="383"/>
      <w:bookmarkEnd w:id="384"/>
      <w:bookmarkEnd w:id="385"/>
      <w:bookmarkEnd w:id="386"/>
      <w:bookmarkEnd w:id="387"/>
      <w:bookmarkEnd w:id="388"/>
    </w:p>
    <w:p w:rsidR="008D107F" w:rsidRPr="000B7533" w:rsidRDefault="008D107F" w:rsidP="00F07C2E">
      <w:pPr>
        <w:pStyle w:val="Heading3"/>
      </w:pPr>
      <w:bookmarkStart w:id="390" w:name="_Toc241374321"/>
      <w:bookmarkStart w:id="391" w:name="_Ref271044780"/>
      <w:bookmarkStart w:id="392" w:name="_Ref271196640"/>
      <w:bookmarkStart w:id="393" w:name="_Ref272333085"/>
      <w:bookmarkStart w:id="394" w:name="_Toc272414668"/>
      <w:bookmarkStart w:id="395" w:name="_Toc290846306"/>
      <w:bookmarkStart w:id="396" w:name="_Toc290888843"/>
      <w:bookmarkStart w:id="397" w:name="_Toc343587583"/>
      <w:bookmarkStart w:id="398" w:name="_Toc219998409"/>
      <w:bookmarkStart w:id="399" w:name="_Toc219998513"/>
      <w:bookmarkStart w:id="400" w:name="_Toc219998928"/>
      <w:bookmarkStart w:id="401" w:name="_Toc219999031"/>
      <w:bookmarkStart w:id="402" w:name="_Toc219999132"/>
      <w:bookmarkStart w:id="403" w:name="_Toc229197949"/>
      <w:bookmarkStart w:id="404" w:name="_Toc380660807"/>
      <w:r w:rsidRPr="000B7533">
        <w:t>Laboratory tests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8D107F" w:rsidRPr="000B7533" w:rsidRDefault="008D107F" w:rsidP="00F07C2E">
      <w:pPr>
        <w:pStyle w:val="Heading4"/>
      </w:pPr>
      <w:bookmarkStart w:id="405" w:name="_Toc272414669"/>
      <w:bookmarkStart w:id="406" w:name="_Toc290846307"/>
      <w:bookmarkStart w:id="407" w:name="_Toc290888844"/>
      <w:bookmarkStart w:id="408" w:name="_Toc343587584"/>
      <w:bookmarkStart w:id="409" w:name="_Toc219998410"/>
      <w:bookmarkStart w:id="410" w:name="_Toc219998514"/>
      <w:bookmarkStart w:id="411" w:name="_Toc219998929"/>
      <w:bookmarkStart w:id="412" w:name="_Toc219999032"/>
      <w:bookmarkStart w:id="413" w:name="_Toc219999133"/>
      <w:bookmarkStart w:id="414" w:name="_Toc229197950"/>
      <w:r w:rsidRPr="000B7533">
        <w:t>Liver function</w:t>
      </w:r>
      <w:bookmarkEnd w:id="405"/>
      <w:bookmarkEnd w:id="406"/>
      <w:bookmarkEnd w:id="407"/>
      <w:bookmarkEnd w:id="408"/>
      <w:bookmarkEnd w:id="409"/>
      <w:bookmarkEnd w:id="410"/>
      <w:bookmarkEnd w:id="411"/>
      <w:bookmarkEnd w:id="412"/>
      <w:bookmarkEnd w:id="413"/>
      <w:bookmarkEnd w:id="414"/>
    </w:p>
    <w:p w:rsidR="008D107F" w:rsidRPr="000B7533" w:rsidRDefault="008D107F" w:rsidP="00F07C2E">
      <w:pPr>
        <w:pStyle w:val="Heading5"/>
      </w:pPr>
      <w:r w:rsidRPr="000B7533">
        <w:t>Pivotal studies</w:t>
      </w:r>
    </w:p>
    <w:p w:rsidR="008D107F" w:rsidRPr="000B7533" w:rsidRDefault="008D107F" w:rsidP="00F07C2E">
      <w:r w:rsidRPr="000B7533">
        <w:t>The results of general safety laboratory evaluations for LCS12 (</w:t>
      </w:r>
      <w:proofErr w:type="spellStart"/>
      <w:r w:rsidRPr="000B7533">
        <w:t>Jaydess</w:t>
      </w:r>
      <w:proofErr w:type="spellEnd"/>
      <w:r w:rsidRPr="000B7533">
        <w:t xml:space="preserve">), including general chemistry, liver function, lipid and carbohydrate parameters and urinalysis in the two studies (A52238 and A46796) were generally unchanged from baseline. There were no concerns with </w:t>
      </w:r>
      <w:r w:rsidRPr="000B7533">
        <w:lastRenderedPageBreak/>
        <w:t xml:space="preserve">the clinical chemistry data. Importantly, the studies did not examine the use of </w:t>
      </w:r>
      <w:proofErr w:type="spellStart"/>
      <w:r w:rsidRPr="000B7533">
        <w:t>Jaydess</w:t>
      </w:r>
      <w:proofErr w:type="spellEnd"/>
      <w:r w:rsidRPr="000B7533">
        <w:t xml:space="preserve"> in women with impaired liver function so this data is unknown.</w:t>
      </w:r>
    </w:p>
    <w:p w:rsidR="008D107F" w:rsidRPr="000B7533" w:rsidRDefault="008D107F" w:rsidP="00F07C2E">
      <w:pPr>
        <w:pStyle w:val="Heading4"/>
      </w:pPr>
      <w:bookmarkStart w:id="415" w:name="_Toc272414670"/>
      <w:bookmarkStart w:id="416" w:name="_Toc290846308"/>
      <w:bookmarkStart w:id="417" w:name="_Toc290888845"/>
      <w:bookmarkStart w:id="418" w:name="_Toc343587585"/>
      <w:bookmarkStart w:id="419" w:name="_Toc219998411"/>
      <w:bookmarkStart w:id="420" w:name="_Toc219998515"/>
      <w:bookmarkStart w:id="421" w:name="_Toc219998930"/>
      <w:bookmarkStart w:id="422" w:name="_Toc219999033"/>
      <w:bookmarkStart w:id="423" w:name="_Toc219999134"/>
      <w:bookmarkStart w:id="424" w:name="_Toc229197951"/>
      <w:r w:rsidRPr="000B7533">
        <w:t>Kidney function</w:t>
      </w:r>
      <w:bookmarkEnd w:id="415"/>
      <w:bookmarkEnd w:id="416"/>
      <w:bookmarkEnd w:id="417"/>
      <w:bookmarkEnd w:id="418"/>
      <w:bookmarkEnd w:id="419"/>
      <w:bookmarkEnd w:id="420"/>
      <w:bookmarkEnd w:id="421"/>
      <w:bookmarkEnd w:id="422"/>
      <w:bookmarkEnd w:id="423"/>
      <w:bookmarkEnd w:id="424"/>
    </w:p>
    <w:p w:rsidR="008D107F" w:rsidRPr="000B7533" w:rsidRDefault="008D107F" w:rsidP="00F07C2E">
      <w:pPr>
        <w:pStyle w:val="Heading5"/>
      </w:pPr>
      <w:r w:rsidRPr="000B7533">
        <w:t xml:space="preserve">Pivotal </w:t>
      </w:r>
      <w:r w:rsidRPr="00F07C2E">
        <w:t>studies</w:t>
      </w:r>
    </w:p>
    <w:p w:rsidR="008D107F" w:rsidRPr="000B7533" w:rsidRDefault="008D107F" w:rsidP="00F07C2E">
      <w:r w:rsidRPr="000B7533">
        <w:t>The results of general safety laboratory evaluations for LCS12 (</w:t>
      </w:r>
      <w:proofErr w:type="spellStart"/>
      <w:r w:rsidRPr="000B7533">
        <w:t>Jaydess</w:t>
      </w:r>
      <w:proofErr w:type="spellEnd"/>
      <w:r w:rsidRPr="000B7533">
        <w:t>), including general chemistry, liver function, lipid and carbohydrate parameters and urinalysis in the two studies (A52238 and A46796) were generally unchanged from baseline. There were no concerns with the clinical chemistry data. Importantly, the studies did not examine women with impaired renal function so this data is unknown.</w:t>
      </w:r>
    </w:p>
    <w:p w:rsidR="008D107F" w:rsidRPr="000B7533" w:rsidRDefault="008D107F" w:rsidP="00F07C2E">
      <w:pPr>
        <w:pStyle w:val="Heading4"/>
      </w:pPr>
      <w:bookmarkStart w:id="425" w:name="_Toc272414671"/>
      <w:bookmarkStart w:id="426" w:name="_Toc290846309"/>
      <w:bookmarkStart w:id="427" w:name="_Toc290888846"/>
      <w:bookmarkStart w:id="428" w:name="_Toc343587586"/>
      <w:bookmarkStart w:id="429" w:name="_Toc219998412"/>
      <w:bookmarkStart w:id="430" w:name="_Toc219998516"/>
      <w:bookmarkStart w:id="431" w:name="_Toc219998931"/>
      <w:bookmarkStart w:id="432" w:name="_Toc219999034"/>
      <w:bookmarkStart w:id="433" w:name="_Toc219999135"/>
      <w:bookmarkStart w:id="434" w:name="_Toc229197952"/>
      <w:r w:rsidRPr="000B7533">
        <w:t xml:space="preserve">Other clinical </w:t>
      </w:r>
      <w:r w:rsidRPr="00F07C2E">
        <w:t>chemistry</w:t>
      </w:r>
      <w:bookmarkEnd w:id="425"/>
      <w:bookmarkEnd w:id="426"/>
      <w:bookmarkEnd w:id="427"/>
      <w:bookmarkEnd w:id="428"/>
      <w:bookmarkEnd w:id="429"/>
      <w:bookmarkEnd w:id="430"/>
      <w:bookmarkEnd w:id="431"/>
      <w:bookmarkEnd w:id="432"/>
      <w:bookmarkEnd w:id="433"/>
      <w:bookmarkEnd w:id="434"/>
    </w:p>
    <w:p w:rsidR="008D107F" w:rsidRPr="000B7533" w:rsidRDefault="008D107F" w:rsidP="00F07C2E">
      <w:pPr>
        <w:pStyle w:val="Heading5"/>
      </w:pPr>
      <w:r w:rsidRPr="000B7533">
        <w:t>Other studies</w:t>
      </w:r>
    </w:p>
    <w:p w:rsidR="008D107F" w:rsidRPr="000B7533" w:rsidRDefault="008D107F" w:rsidP="00F07C2E">
      <w:r w:rsidRPr="000B7533">
        <w:t xml:space="preserve">A Cochrane Review (2010) has shown that the LNG-20 IUS (higher release rate than </w:t>
      </w:r>
      <w:proofErr w:type="spellStart"/>
      <w:r w:rsidRPr="000B7533">
        <w:t>Jaydess</w:t>
      </w:r>
      <w:proofErr w:type="spellEnd"/>
      <w:r w:rsidRPr="000B7533">
        <w:t>) does not have an adverse effect on glucose metabolism among insulin-dependent diabetic women (6)</w:t>
      </w:r>
      <w:r w:rsidR="00F07C2E">
        <w:t>.</w:t>
      </w:r>
    </w:p>
    <w:p w:rsidR="008D107F" w:rsidRPr="000B7533" w:rsidRDefault="008D107F" w:rsidP="00F07C2E">
      <w:pPr>
        <w:pStyle w:val="Heading4"/>
      </w:pPr>
      <w:bookmarkStart w:id="435" w:name="_Toc272414672"/>
      <w:bookmarkStart w:id="436" w:name="_Toc290846310"/>
      <w:bookmarkStart w:id="437" w:name="_Toc290888847"/>
      <w:bookmarkStart w:id="438" w:name="_Toc343587587"/>
      <w:bookmarkStart w:id="439" w:name="_Toc219998413"/>
      <w:bookmarkStart w:id="440" w:name="_Toc219998517"/>
      <w:bookmarkStart w:id="441" w:name="_Toc219998932"/>
      <w:bookmarkStart w:id="442" w:name="_Toc219999035"/>
      <w:bookmarkStart w:id="443" w:name="_Toc219999136"/>
      <w:bookmarkStart w:id="444" w:name="_Toc229197953"/>
      <w:r w:rsidRPr="000B7533">
        <w:t>Haematology</w:t>
      </w:r>
      <w:bookmarkEnd w:id="435"/>
      <w:bookmarkEnd w:id="436"/>
      <w:bookmarkEnd w:id="437"/>
      <w:bookmarkEnd w:id="438"/>
      <w:bookmarkEnd w:id="439"/>
      <w:bookmarkEnd w:id="440"/>
      <w:bookmarkEnd w:id="441"/>
      <w:bookmarkEnd w:id="442"/>
      <w:bookmarkEnd w:id="443"/>
      <w:bookmarkEnd w:id="444"/>
    </w:p>
    <w:p w:rsidR="008D107F" w:rsidRPr="000B7533" w:rsidRDefault="008D107F" w:rsidP="00F07C2E">
      <w:pPr>
        <w:pStyle w:val="Heading5"/>
      </w:pPr>
      <w:r w:rsidRPr="000B7533">
        <w:t>Pivotal studies</w:t>
      </w:r>
    </w:p>
    <w:p w:rsidR="008D107F" w:rsidRPr="000B7533" w:rsidRDefault="008D107F" w:rsidP="00F07C2E">
      <w:r w:rsidRPr="000B7533">
        <w:t>H</w:t>
      </w:r>
      <w:r w:rsidR="00B471B1">
        <w:t>a</w:t>
      </w:r>
      <w:r w:rsidRPr="000B7533">
        <w:t>ematology parameters showed no significant differences between the treatment groups in the respective studies A52238 and A46796 and raised no concern.</w:t>
      </w:r>
    </w:p>
    <w:p w:rsidR="008D107F" w:rsidRPr="000B7533" w:rsidRDefault="008D107F" w:rsidP="00F07C2E">
      <w:pPr>
        <w:pStyle w:val="Heading4"/>
      </w:pPr>
      <w:bookmarkStart w:id="445" w:name="_Toc272414676"/>
      <w:bookmarkStart w:id="446" w:name="_Toc290846314"/>
      <w:bookmarkStart w:id="447" w:name="_Toc290888851"/>
      <w:bookmarkStart w:id="448" w:name="_Toc343587590"/>
      <w:bookmarkStart w:id="449" w:name="_Toc219998415"/>
      <w:bookmarkStart w:id="450" w:name="_Toc219998519"/>
      <w:bookmarkStart w:id="451" w:name="_Toc219998934"/>
      <w:bookmarkStart w:id="452" w:name="_Toc219999037"/>
      <w:bookmarkStart w:id="453" w:name="_Toc219999138"/>
      <w:bookmarkStart w:id="454" w:name="_Toc229197955"/>
      <w:r w:rsidRPr="000B7533">
        <w:t>Vital signs</w:t>
      </w:r>
      <w:bookmarkEnd w:id="445"/>
      <w:bookmarkEnd w:id="446"/>
      <w:bookmarkEnd w:id="447"/>
      <w:bookmarkEnd w:id="448"/>
      <w:bookmarkEnd w:id="449"/>
      <w:bookmarkEnd w:id="450"/>
      <w:bookmarkEnd w:id="451"/>
      <w:bookmarkEnd w:id="452"/>
      <w:bookmarkEnd w:id="453"/>
      <w:bookmarkEnd w:id="454"/>
    </w:p>
    <w:p w:rsidR="008D107F" w:rsidRPr="000B7533" w:rsidRDefault="008D107F" w:rsidP="00F07C2E">
      <w:pPr>
        <w:pStyle w:val="Heading5"/>
      </w:pPr>
      <w:r w:rsidRPr="000B7533">
        <w:t>Pivotal studies</w:t>
      </w:r>
    </w:p>
    <w:p w:rsidR="008D107F" w:rsidRPr="000B7533" w:rsidRDefault="008D107F" w:rsidP="00F07C2E">
      <w:r w:rsidRPr="000B7533">
        <w:t>In both A52238 and A46796 studies, there was no relevant change from baseline to end of study in mean weight, mean systolic blood pressure, mean diastolic blood pressure, or mean heart rate.</w:t>
      </w:r>
    </w:p>
    <w:p w:rsidR="008D107F" w:rsidRPr="000B7533" w:rsidRDefault="008D107F" w:rsidP="00F07C2E">
      <w:pPr>
        <w:pStyle w:val="Heading4"/>
      </w:pPr>
      <w:bookmarkStart w:id="455" w:name="_Toc343587592"/>
      <w:bookmarkStart w:id="456" w:name="_Toc219998416"/>
      <w:bookmarkStart w:id="457" w:name="_Toc219998520"/>
      <w:bookmarkStart w:id="458" w:name="_Toc219998935"/>
      <w:bookmarkStart w:id="459" w:name="_Toc219999038"/>
      <w:bookmarkStart w:id="460" w:name="_Toc219999139"/>
      <w:bookmarkStart w:id="461" w:name="_Toc229197956"/>
      <w:bookmarkStart w:id="462" w:name="_Toc272414678"/>
      <w:bookmarkStart w:id="463" w:name="_Toc290846316"/>
      <w:bookmarkStart w:id="464" w:name="_Toc290888853"/>
      <w:r w:rsidRPr="000B7533">
        <w:t>Neoplasms, benign, malignant and unspecified (including cysts and polyps)</w:t>
      </w:r>
      <w:bookmarkEnd w:id="455"/>
      <w:bookmarkEnd w:id="456"/>
      <w:bookmarkEnd w:id="457"/>
      <w:bookmarkEnd w:id="458"/>
      <w:bookmarkEnd w:id="459"/>
      <w:bookmarkEnd w:id="460"/>
      <w:bookmarkEnd w:id="461"/>
      <w:bookmarkEnd w:id="462"/>
      <w:bookmarkEnd w:id="463"/>
      <w:bookmarkEnd w:id="464"/>
    </w:p>
    <w:p w:rsidR="008D107F" w:rsidRPr="000B7533" w:rsidRDefault="008D107F" w:rsidP="00F07C2E">
      <w:r w:rsidRPr="000B7533">
        <w:t xml:space="preserve">Adverse events for the SOC Neoplasms, benign, malignant and unspecified were uncommon. The most frequently reported neoplasms overall were uterine leiomyoma, </w:t>
      </w:r>
      <w:proofErr w:type="spellStart"/>
      <w:r w:rsidRPr="000B7533">
        <w:t>vulvovaginal</w:t>
      </w:r>
      <w:proofErr w:type="spellEnd"/>
      <w:r w:rsidRPr="000B7533">
        <w:t xml:space="preserve"> human papilloma virus infection, melanocytic naevus, </w:t>
      </w:r>
      <w:proofErr w:type="spellStart"/>
      <w:r w:rsidRPr="000B7533">
        <w:t>fibroadenoma</w:t>
      </w:r>
      <w:proofErr w:type="spellEnd"/>
      <w:r w:rsidRPr="000B7533">
        <w:t xml:space="preserve"> of the breast, and ovarian germ cell </w:t>
      </w:r>
      <w:proofErr w:type="spellStart"/>
      <w:r w:rsidRPr="000B7533">
        <w:t>teratoma</w:t>
      </w:r>
      <w:proofErr w:type="spellEnd"/>
      <w:r w:rsidRPr="000B7533">
        <w:t xml:space="preserve"> benign. SAEs were reported for 17 total women (0.5%); these included ovarian germ cell </w:t>
      </w:r>
      <w:proofErr w:type="spellStart"/>
      <w:r w:rsidRPr="000B7533">
        <w:t>teratoma</w:t>
      </w:r>
      <w:proofErr w:type="spellEnd"/>
      <w:r w:rsidRPr="000B7533">
        <w:t xml:space="preserve"> benign (0.1% overall); and thyroid cancer (&lt;0.1% overall). </w:t>
      </w:r>
    </w:p>
    <w:p w:rsidR="008D107F" w:rsidRPr="000B7533" w:rsidRDefault="008D107F" w:rsidP="00F07C2E">
      <w:pPr>
        <w:pStyle w:val="Heading4"/>
      </w:pPr>
      <w:bookmarkStart w:id="465" w:name="_Toc343587593"/>
      <w:bookmarkStart w:id="466" w:name="_Toc219998417"/>
      <w:bookmarkStart w:id="467" w:name="_Toc219998521"/>
      <w:bookmarkStart w:id="468" w:name="_Toc219998936"/>
      <w:bookmarkStart w:id="469" w:name="_Toc219999039"/>
      <w:bookmarkStart w:id="470" w:name="_Toc219999140"/>
      <w:bookmarkStart w:id="471" w:name="_Toc229197957"/>
      <w:r w:rsidRPr="000B7533">
        <w:t xml:space="preserve">Reproductive </w:t>
      </w:r>
      <w:r w:rsidR="00F07C2E">
        <w:t>s</w:t>
      </w:r>
      <w:r w:rsidRPr="000B7533">
        <w:t xml:space="preserve">ystem and </w:t>
      </w:r>
      <w:r w:rsidR="00F07C2E">
        <w:t>b</w:t>
      </w:r>
      <w:r w:rsidRPr="000B7533">
        <w:t xml:space="preserve">reast </w:t>
      </w:r>
      <w:r w:rsidR="00F07C2E" w:rsidRPr="00F07C2E">
        <w:t>d</w:t>
      </w:r>
      <w:r w:rsidRPr="00F07C2E">
        <w:t>isorders</w:t>
      </w:r>
      <w:bookmarkEnd w:id="465"/>
      <w:bookmarkEnd w:id="466"/>
      <w:bookmarkEnd w:id="467"/>
      <w:bookmarkEnd w:id="468"/>
      <w:bookmarkEnd w:id="469"/>
      <w:bookmarkEnd w:id="470"/>
      <w:bookmarkEnd w:id="471"/>
    </w:p>
    <w:p w:rsidR="008D107F" w:rsidRPr="000B7533" w:rsidRDefault="008D107F" w:rsidP="00F07C2E">
      <w:r w:rsidRPr="000B7533">
        <w:t xml:space="preserve">The most frequently reported Reproductive system and breast disorders were ovarian cyst, dysmenorrhea, and cervical dysplasia. The relatively high number of ovarian cysts documented and reported as AEs are likely to be a result of the frequent ultrasound examinations mandated in the study protocols. Specifically, the overall frequency when combining the </w:t>
      </w:r>
      <w:proofErr w:type="spellStart"/>
      <w:r w:rsidRPr="000B7533">
        <w:t>MedDRA</w:t>
      </w:r>
      <w:proofErr w:type="spellEnd"/>
      <w:r w:rsidRPr="000B7533">
        <w:t xml:space="preserve"> relevant preferred terms for ovarian cyst (ovarian cyst, ruptured ovarian cyst, </w:t>
      </w:r>
      <w:proofErr w:type="spellStart"/>
      <w:r w:rsidRPr="000B7533">
        <w:t>hemorrhagic</w:t>
      </w:r>
      <w:proofErr w:type="spellEnd"/>
      <w:r w:rsidRPr="000B7533">
        <w:t xml:space="preserve"> ovarian cyst, ovarian cyst torsion) in the pooled data was 13.2%, 20.1%, and 25.0%, in LCS12, LCS16, a</w:t>
      </w:r>
      <w:r w:rsidR="00F07C2E">
        <w:t xml:space="preserve">nd </w:t>
      </w:r>
      <w:proofErr w:type="spellStart"/>
      <w:r w:rsidR="00F07C2E">
        <w:t>Mirena</w:t>
      </w:r>
      <w:proofErr w:type="spellEnd"/>
      <w:r w:rsidR="00F07C2E">
        <w:t xml:space="preserve"> groups, respectively.</w:t>
      </w:r>
    </w:p>
    <w:p w:rsidR="008D107F" w:rsidRPr="000B7533" w:rsidRDefault="008D107F" w:rsidP="00F07C2E">
      <w:r w:rsidRPr="000B7533">
        <w:t>Over 98% of the ovarian cysts reported in the LCS treatment groups were not serious and did not result in study drug discontinuation. However in A52238, study treatment was withdrawn in 8 women (three in the LCS12 group, and five in the LCS16 group). Ovarian cysts were reported as SAE in 7 women (4 in the LCS12 group, and 3 in the LCS16 group). Five of these women underwent laparoscopic procedures and 2 were treated medically.</w:t>
      </w:r>
    </w:p>
    <w:p w:rsidR="008D107F" w:rsidRPr="000B7533" w:rsidRDefault="008D107F" w:rsidP="00F07C2E">
      <w:r w:rsidRPr="000B7533">
        <w:t xml:space="preserve">In study A46796, study treatment was withdrawn due to the event in 5 women in the </w:t>
      </w:r>
      <w:proofErr w:type="spellStart"/>
      <w:r w:rsidRPr="000B7533">
        <w:t>Mirena</w:t>
      </w:r>
      <w:proofErr w:type="spellEnd"/>
      <w:r w:rsidRPr="000B7533">
        <w:t xml:space="preserve"> group, one in the LCS12 group, and two in the LCS16 group. Ovarian cysts were reported as </w:t>
      </w:r>
      <w:r w:rsidRPr="000B7533">
        <w:lastRenderedPageBreak/>
        <w:t xml:space="preserve">SAEs in 5 women in the </w:t>
      </w:r>
      <w:proofErr w:type="spellStart"/>
      <w:r w:rsidRPr="000B7533">
        <w:t>Mirena</w:t>
      </w:r>
      <w:proofErr w:type="spellEnd"/>
      <w:r w:rsidRPr="000B7533">
        <w:t xml:space="preserve"> group but none of the women in the LCS groups had an ovarian cyst reported as SAEs (one </w:t>
      </w:r>
      <w:proofErr w:type="spellStart"/>
      <w:r w:rsidRPr="000B7533">
        <w:t>dermoid</w:t>
      </w:r>
      <w:proofErr w:type="spellEnd"/>
      <w:r w:rsidRPr="000B7533">
        <w:t xml:space="preserve"> cyst was reported in the LCS12 group).</w:t>
      </w:r>
    </w:p>
    <w:p w:rsidR="008D107F" w:rsidRPr="000B7533" w:rsidRDefault="008D107F" w:rsidP="00F07C2E">
      <w:r w:rsidRPr="000B7533">
        <w:t xml:space="preserve">Cervical dysplasia was reported in 7.7% of women in study A52238 and 3.3% in study A46796. Most events were not serious and did not result in discontinuation of study drug. These were classified as 110 cases of cervical low-grade squamous intraepithelial lesions (LGSIL), 87 cases of atypical squamous cells of undetermined significance (ASCUS), and 33 cases of high-grade squamous intraepithelial lesions (HGSIL). For &gt;93% of women cervical smears were normal for all treatment groups at screening and at </w:t>
      </w:r>
      <w:proofErr w:type="spellStart"/>
      <w:r w:rsidRPr="000B7533">
        <w:t>a</w:t>
      </w:r>
      <w:r w:rsidR="00F07C2E">
        <w:t>ll time</w:t>
      </w:r>
      <w:proofErr w:type="spellEnd"/>
      <w:r w:rsidR="00F07C2E">
        <w:t xml:space="preserve"> points of both studies.</w:t>
      </w:r>
    </w:p>
    <w:p w:rsidR="008D107F" w:rsidRPr="000B7533" w:rsidRDefault="008D107F" w:rsidP="00F07C2E">
      <w:pPr>
        <w:pStyle w:val="Heading4"/>
      </w:pPr>
      <w:bookmarkStart w:id="472" w:name="_Toc343587594"/>
      <w:bookmarkStart w:id="473" w:name="_Toc219998418"/>
      <w:bookmarkStart w:id="474" w:name="_Toc219998522"/>
      <w:bookmarkStart w:id="475" w:name="_Toc219998937"/>
      <w:bookmarkStart w:id="476" w:name="_Toc219999040"/>
      <w:bookmarkStart w:id="477" w:name="_Toc219999141"/>
      <w:bookmarkStart w:id="478" w:name="_Toc229197958"/>
      <w:r w:rsidRPr="000B7533">
        <w:t xml:space="preserve">General </w:t>
      </w:r>
      <w:r w:rsidR="00F07C2E">
        <w:t>d</w:t>
      </w:r>
      <w:r w:rsidRPr="000B7533">
        <w:t xml:space="preserve">isorders and </w:t>
      </w:r>
      <w:r w:rsidR="00F07C2E">
        <w:t>a</w:t>
      </w:r>
      <w:r w:rsidRPr="000B7533">
        <w:t xml:space="preserve">dministration </w:t>
      </w:r>
      <w:r w:rsidR="00F07C2E">
        <w:t>s</w:t>
      </w:r>
      <w:r w:rsidRPr="00F07C2E">
        <w:t>ite</w:t>
      </w:r>
      <w:r w:rsidRPr="000B7533">
        <w:t xml:space="preserve"> </w:t>
      </w:r>
      <w:r w:rsidR="00F07C2E">
        <w:t>c</w:t>
      </w:r>
      <w:r w:rsidRPr="000B7533">
        <w:t>onditions</w:t>
      </w:r>
      <w:bookmarkEnd w:id="472"/>
      <w:bookmarkEnd w:id="473"/>
      <w:bookmarkEnd w:id="474"/>
      <w:bookmarkEnd w:id="475"/>
      <w:bookmarkEnd w:id="476"/>
      <w:bookmarkEnd w:id="477"/>
      <w:bookmarkEnd w:id="478"/>
    </w:p>
    <w:p w:rsidR="008D107F" w:rsidRPr="000B7533" w:rsidRDefault="008D107F" w:rsidP="00F07C2E">
      <w:r w:rsidRPr="000B7533">
        <w:t>The most frequently reported General disorder and administration site condition was device expulsion. In the pooled data of study A52238 and study A46796, there were 54 expulsions (3.2%) in the LCS12 group. There was one perforation with LCS16 in the extension phase of A52238. There was one additional perforation during sounding in the LCS12 group in the Asian/Pacific study – prior to LCS12 being inserted. This subject was withdrawn from the study.</w:t>
      </w:r>
    </w:p>
    <w:p w:rsidR="008D107F" w:rsidRPr="000B7533" w:rsidRDefault="008D107F" w:rsidP="00F07C2E">
      <w:pPr>
        <w:pStyle w:val="Heading4"/>
      </w:pPr>
      <w:bookmarkStart w:id="479" w:name="_Toc343587595"/>
      <w:bookmarkStart w:id="480" w:name="_Toc219998419"/>
      <w:bookmarkStart w:id="481" w:name="_Toc219998523"/>
      <w:bookmarkStart w:id="482" w:name="_Toc219998938"/>
      <w:bookmarkStart w:id="483" w:name="_Toc219999041"/>
      <w:bookmarkStart w:id="484" w:name="_Toc219999142"/>
      <w:bookmarkStart w:id="485" w:name="_Toc229197959"/>
      <w:r w:rsidRPr="000B7533">
        <w:t xml:space="preserve">Psychiatric </w:t>
      </w:r>
      <w:r w:rsidR="00F07C2E">
        <w:t>d</w:t>
      </w:r>
      <w:r w:rsidRPr="000B7533">
        <w:t>isorders</w:t>
      </w:r>
      <w:bookmarkEnd w:id="479"/>
      <w:bookmarkEnd w:id="480"/>
      <w:bookmarkEnd w:id="481"/>
      <w:bookmarkEnd w:id="482"/>
      <w:bookmarkEnd w:id="483"/>
      <w:bookmarkEnd w:id="484"/>
      <w:bookmarkEnd w:id="485"/>
    </w:p>
    <w:p w:rsidR="008D107F" w:rsidRPr="000B7533" w:rsidRDefault="008D107F" w:rsidP="00F07C2E">
      <w:r w:rsidRPr="000B7533">
        <w:t xml:space="preserve">In the SOC Psychiatric disorders, SAEs were reported in 0.2% women, which included depression (&lt;0.1% overall) and anxiety (&lt;0.1% overall). There was one woman in the LCS12 group with an SAE of depression and a suicide attempt (unsuccessful) and one woman in the LCS16 group with a completed suicide (SAE outcome fatal). Neither of the latter two cases was assessed as drug-related however. Overall the most frequent psychiatric AE reported in study A46796 was altered mood (with depression reported in 13 women (5.4% in LCS12), 6 women (2.4% in LCS16) 10 women (3.9% in </w:t>
      </w:r>
      <w:proofErr w:type="spellStart"/>
      <w:r w:rsidRPr="000B7533">
        <w:t>Mirena</w:t>
      </w:r>
      <w:proofErr w:type="spellEnd"/>
      <w:r w:rsidRPr="000B7533">
        <w:t>) and 29 (3.9% total). The most frequent psychiatric AE (345 women, 12%) reported in study A52238 was depression (3.5%).</w:t>
      </w:r>
    </w:p>
    <w:p w:rsidR="008D107F" w:rsidRPr="000B7533" w:rsidRDefault="008D107F" w:rsidP="00F07C2E">
      <w:pPr>
        <w:pStyle w:val="Heading4"/>
      </w:pPr>
      <w:bookmarkStart w:id="486" w:name="_Toc343587596"/>
      <w:bookmarkStart w:id="487" w:name="_Toc219998420"/>
      <w:bookmarkStart w:id="488" w:name="_Toc219998524"/>
      <w:bookmarkStart w:id="489" w:name="_Toc219998939"/>
      <w:bookmarkStart w:id="490" w:name="_Toc219999042"/>
      <w:bookmarkStart w:id="491" w:name="_Toc219999143"/>
      <w:bookmarkStart w:id="492" w:name="_Toc229197960"/>
      <w:r w:rsidRPr="000B7533">
        <w:t xml:space="preserve">Vascular </w:t>
      </w:r>
      <w:r w:rsidR="00F07C2E">
        <w:t>d</w:t>
      </w:r>
      <w:r w:rsidRPr="00F07C2E">
        <w:t>isorders</w:t>
      </w:r>
      <w:bookmarkEnd w:id="486"/>
      <w:bookmarkEnd w:id="487"/>
      <w:bookmarkEnd w:id="488"/>
      <w:bookmarkEnd w:id="489"/>
      <w:bookmarkEnd w:id="490"/>
      <w:bookmarkEnd w:id="491"/>
      <w:bookmarkEnd w:id="492"/>
    </w:p>
    <w:p w:rsidR="008D107F" w:rsidRPr="000B7533" w:rsidRDefault="008D107F" w:rsidP="00F07C2E">
      <w:r w:rsidRPr="000B7533">
        <w:t>There were a small number of vascular events and there were 2 SAEs - deep vein thrombosis occurring in the setting of plane tr</w:t>
      </w:r>
      <w:r w:rsidR="00F07C2E">
        <w:t>avel (1), and hypertension (1).</w:t>
      </w:r>
    </w:p>
    <w:p w:rsidR="008D107F" w:rsidRPr="000B7533" w:rsidRDefault="008D107F" w:rsidP="00F07C2E">
      <w:pPr>
        <w:pStyle w:val="Heading4"/>
      </w:pPr>
      <w:bookmarkStart w:id="493" w:name="_Toc343587597"/>
      <w:bookmarkStart w:id="494" w:name="_Toc219998421"/>
      <w:bookmarkStart w:id="495" w:name="_Toc219998525"/>
      <w:bookmarkStart w:id="496" w:name="_Toc219998940"/>
      <w:bookmarkStart w:id="497" w:name="_Toc219999043"/>
      <w:bookmarkStart w:id="498" w:name="_Toc219999144"/>
      <w:bookmarkStart w:id="499" w:name="_Toc229197961"/>
      <w:r w:rsidRPr="000B7533">
        <w:t xml:space="preserve">Analysis of </w:t>
      </w:r>
      <w:r w:rsidR="00F07C2E">
        <w:t>s</w:t>
      </w:r>
      <w:r w:rsidRPr="000B7533">
        <w:t xml:space="preserve">ubgroups for </w:t>
      </w:r>
      <w:r w:rsidR="00F07C2E">
        <w:t>a</w:t>
      </w:r>
      <w:r w:rsidRPr="000B7533">
        <w:t xml:space="preserve">dverse </w:t>
      </w:r>
      <w:r w:rsidR="00F07C2E">
        <w:t>e</w:t>
      </w:r>
      <w:r w:rsidRPr="000B7533">
        <w:t>vents</w:t>
      </w:r>
      <w:bookmarkEnd w:id="493"/>
      <w:bookmarkEnd w:id="494"/>
      <w:bookmarkEnd w:id="495"/>
      <w:bookmarkEnd w:id="496"/>
      <w:bookmarkEnd w:id="497"/>
      <w:bookmarkEnd w:id="498"/>
      <w:bookmarkEnd w:id="499"/>
    </w:p>
    <w:p w:rsidR="008D107F" w:rsidRPr="000B7533" w:rsidRDefault="008D107F" w:rsidP="00F07C2E">
      <w:r w:rsidRPr="000B7533">
        <w:t>Adverse events were analysed by age (18 to 25 years, 26 to 35 years, and over 35 years), ethnicity subgroup (Caucasian, Black, Hispanic, Asian, and Other), parity, and BMI. In general, there were no overall trends that were not reflected by the study population taken as a whole but some of the subgroups were small.</w:t>
      </w:r>
    </w:p>
    <w:p w:rsidR="008D107F" w:rsidRPr="000B7533" w:rsidRDefault="008D107F" w:rsidP="00F07C2E">
      <w:pPr>
        <w:pStyle w:val="Heading3"/>
      </w:pPr>
      <w:bookmarkStart w:id="500" w:name="_Toc241374326"/>
      <w:bookmarkStart w:id="501" w:name="_Ref272333048"/>
      <w:bookmarkStart w:id="502" w:name="_Toc272414679"/>
      <w:bookmarkStart w:id="503" w:name="_Toc290846317"/>
      <w:bookmarkStart w:id="504" w:name="_Toc290888854"/>
      <w:bookmarkStart w:id="505" w:name="_Toc343587598"/>
      <w:bookmarkStart w:id="506" w:name="_Toc219998422"/>
      <w:bookmarkStart w:id="507" w:name="_Toc219998526"/>
      <w:bookmarkStart w:id="508" w:name="_Toc219998941"/>
      <w:bookmarkStart w:id="509" w:name="_Toc219999044"/>
      <w:bookmarkStart w:id="510" w:name="_Toc219999145"/>
      <w:bookmarkStart w:id="511" w:name="_Toc229197962"/>
      <w:bookmarkStart w:id="512" w:name="_Toc380660808"/>
      <w:r w:rsidRPr="000B7533">
        <w:t>Post-</w:t>
      </w:r>
      <w:r w:rsidRPr="00F07C2E">
        <w:t>marketing</w:t>
      </w:r>
      <w:r w:rsidRPr="000B7533">
        <w:t xml:space="preserve"> experience</w:t>
      </w:r>
      <w:bookmarkEnd w:id="500"/>
      <w:bookmarkEnd w:id="501"/>
      <w:bookmarkEnd w:id="502"/>
      <w:bookmarkEnd w:id="503"/>
      <w:bookmarkEnd w:id="504"/>
      <w:bookmarkEnd w:id="505"/>
      <w:bookmarkEnd w:id="506"/>
      <w:bookmarkEnd w:id="507"/>
      <w:bookmarkEnd w:id="508"/>
      <w:bookmarkEnd w:id="509"/>
      <w:bookmarkEnd w:id="510"/>
      <w:bookmarkEnd w:id="511"/>
      <w:bookmarkEnd w:id="512"/>
    </w:p>
    <w:p w:rsidR="008D107F" w:rsidRPr="000B7533" w:rsidRDefault="008D107F" w:rsidP="00F07C2E">
      <w:r w:rsidRPr="000B7533">
        <w:t xml:space="preserve">No post-marketing data are available for LCS12 because this product has not yet been marketed. However post-marketing safety data for </w:t>
      </w:r>
      <w:proofErr w:type="spellStart"/>
      <w:r w:rsidRPr="000B7533">
        <w:t>Mirena</w:t>
      </w:r>
      <w:proofErr w:type="spellEnd"/>
      <w:r w:rsidRPr="000B7533">
        <w:t xml:space="preserve">, Bayer’s marketed LNG-IUS that has an initial release rate </w:t>
      </w:r>
      <w:proofErr w:type="gramStart"/>
      <w:r w:rsidRPr="000B7533">
        <w:t xml:space="preserve">of approximately 20 </w:t>
      </w:r>
      <w:proofErr w:type="spellStart"/>
      <w:r w:rsidRPr="000B7533">
        <w:t>μg</w:t>
      </w:r>
      <w:proofErr w:type="spellEnd"/>
      <w:r w:rsidRPr="000B7533">
        <w:t>/day</w:t>
      </w:r>
      <w:proofErr w:type="gramEnd"/>
      <w:r w:rsidRPr="000B7533">
        <w:t xml:space="preserve"> and a 5 year period of use, are available, and a large active post-marketing surveillance and research (Phase 3b) program is ongoing. In the latest Periodic Safety Update Report (PSUR) for </w:t>
      </w:r>
      <w:proofErr w:type="spellStart"/>
      <w:r w:rsidRPr="000B7533">
        <w:t>Mirena</w:t>
      </w:r>
      <w:proofErr w:type="spellEnd"/>
      <w:r w:rsidRPr="000B7533">
        <w:t>, there was no evidence of any new safety concerns.</w:t>
      </w:r>
    </w:p>
    <w:p w:rsidR="008D107F" w:rsidRPr="000B7533" w:rsidRDefault="008D107F" w:rsidP="00F07C2E">
      <w:r w:rsidRPr="000B7533">
        <w:t>In the submission, reference is made to the</w:t>
      </w:r>
      <w:r w:rsidR="00F07C2E">
        <w:t xml:space="preserve"> safety experience from </w:t>
      </w:r>
      <w:proofErr w:type="spellStart"/>
      <w:r w:rsidR="00F07C2E">
        <w:t>Mirena</w:t>
      </w:r>
      <w:proofErr w:type="spellEnd"/>
      <w:r w:rsidR="00F07C2E">
        <w:t>.</w:t>
      </w:r>
    </w:p>
    <w:p w:rsidR="008D107F" w:rsidRPr="000B7533" w:rsidRDefault="008D107F" w:rsidP="00F07C2E">
      <w:pPr>
        <w:pStyle w:val="Heading3"/>
      </w:pPr>
      <w:bookmarkStart w:id="513" w:name="_Toc272414686"/>
      <w:bookmarkStart w:id="514" w:name="_Ref273005527"/>
      <w:bookmarkStart w:id="515" w:name="_Toc290846324"/>
      <w:bookmarkStart w:id="516" w:name="_Toc290888861"/>
      <w:bookmarkStart w:id="517" w:name="_Toc343587605"/>
      <w:bookmarkStart w:id="518" w:name="_Toc219998424"/>
      <w:bookmarkStart w:id="519" w:name="_Toc219998528"/>
      <w:bookmarkStart w:id="520" w:name="_Toc219998943"/>
      <w:bookmarkStart w:id="521" w:name="_Toc219999046"/>
      <w:bookmarkStart w:id="522" w:name="_Toc219999147"/>
      <w:bookmarkStart w:id="523" w:name="_Toc229197963"/>
      <w:bookmarkStart w:id="524" w:name="_Toc380660809"/>
      <w:r w:rsidRPr="000B7533">
        <w:t>Other safety issues</w:t>
      </w:r>
      <w:bookmarkEnd w:id="513"/>
      <w:bookmarkEnd w:id="514"/>
      <w:bookmarkEnd w:id="515"/>
      <w:bookmarkEnd w:id="516"/>
      <w:bookmarkEnd w:id="517"/>
      <w:bookmarkEnd w:id="518"/>
      <w:bookmarkEnd w:id="519"/>
      <w:bookmarkEnd w:id="520"/>
      <w:bookmarkEnd w:id="521"/>
      <w:bookmarkEnd w:id="522"/>
      <w:bookmarkEnd w:id="523"/>
      <w:bookmarkEnd w:id="524"/>
    </w:p>
    <w:p w:rsidR="008D107F" w:rsidRPr="000B7533" w:rsidRDefault="008D107F" w:rsidP="00F07C2E">
      <w:pPr>
        <w:pStyle w:val="Heading4"/>
      </w:pPr>
      <w:bookmarkStart w:id="525" w:name="_Toc241374322"/>
      <w:bookmarkStart w:id="526" w:name="_Ref272331212"/>
      <w:bookmarkStart w:id="527" w:name="_Toc272414687"/>
      <w:bookmarkStart w:id="528" w:name="_Toc290846325"/>
      <w:bookmarkStart w:id="529" w:name="_Toc290888862"/>
      <w:bookmarkStart w:id="530" w:name="_Toc343587606"/>
      <w:bookmarkStart w:id="531" w:name="_Toc219998425"/>
      <w:bookmarkStart w:id="532" w:name="_Toc219998529"/>
      <w:bookmarkStart w:id="533" w:name="_Toc219998944"/>
      <w:bookmarkStart w:id="534" w:name="_Toc219999047"/>
      <w:bookmarkStart w:id="535" w:name="_Toc219999148"/>
      <w:bookmarkStart w:id="536" w:name="_Toc229197964"/>
      <w:r w:rsidRPr="000B7533">
        <w:t>Safety in special populations</w:t>
      </w:r>
      <w:bookmarkEnd w:id="525"/>
      <w:bookmarkEnd w:id="526"/>
      <w:bookmarkEnd w:id="527"/>
      <w:bookmarkEnd w:id="528"/>
      <w:bookmarkEnd w:id="529"/>
      <w:bookmarkEnd w:id="530"/>
      <w:bookmarkEnd w:id="531"/>
      <w:bookmarkEnd w:id="532"/>
      <w:bookmarkEnd w:id="533"/>
      <w:bookmarkEnd w:id="534"/>
      <w:bookmarkEnd w:id="535"/>
      <w:bookmarkEnd w:id="536"/>
    </w:p>
    <w:p w:rsidR="008D107F" w:rsidRPr="000B7533" w:rsidRDefault="008D107F" w:rsidP="00F07C2E">
      <w:r w:rsidRPr="000B7533">
        <w:t xml:space="preserve">In the pivotal and supporting trials there were no additional safety concerns in any subpopulation of women. Specifically, adverse events were analysed by age subgroup (18 to 25 years, 26 to 35 years, and over 35 years), ethnic subgroup (Caucasian, Black, Hispanic, Asian, </w:t>
      </w:r>
      <w:r w:rsidRPr="000B7533">
        <w:lastRenderedPageBreak/>
        <w:t>and Other), parity, and BMI. In general, there were no overall trends that were not reflected by the study population taken as a whole, although some of the subgroups (e.g. ethnicity) were small. More AEs overall were reported in the 18 to 25 year age group, and in nulliparous women.</w:t>
      </w:r>
    </w:p>
    <w:p w:rsidR="008D107F" w:rsidRPr="000B7533" w:rsidRDefault="008D107F" w:rsidP="00F07C2E">
      <w:pPr>
        <w:pStyle w:val="Heading4"/>
      </w:pPr>
      <w:bookmarkStart w:id="537" w:name="_Toc241374324"/>
      <w:bookmarkStart w:id="538" w:name="_Ref272331214"/>
      <w:bookmarkStart w:id="539" w:name="_Toc272414688"/>
      <w:bookmarkStart w:id="540" w:name="_Toc290846326"/>
      <w:bookmarkStart w:id="541" w:name="_Toc290888863"/>
      <w:bookmarkStart w:id="542" w:name="_Toc343587607"/>
      <w:bookmarkStart w:id="543" w:name="_Toc219998426"/>
      <w:bookmarkStart w:id="544" w:name="_Toc219998530"/>
      <w:bookmarkStart w:id="545" w:name="_Toc219998945"/>
      <w:bookmarkStart w:id="546" w:name="_Toc219999048"/>
      <w:bookmarkStart w:id="547" w:name="_Toc219999149"/>
      <w:bookmarkStart w:id="548" w:name="_Toc229197965"/>
      <w:r w:rsidRPr="000B7533">
        <w:t xml:space="preserve">Safety </w:t>
      </w:r>
      <w:r w:rsidRPr="00F07C2E">
        <w:t>related</w:t>
      </w:r>
      <w:r w:rsidRPr="000B7533">
        <w:t xml:space="preserve"> to drug-drug interactions and other interactions</w:t>
      </w:r>
      <w:bookmarkEnd w:id="537"/>
      <w:bookmarkEnd w:id="538"/>
      <w:bookmarkEnd w:id="539"/>
      <w:bookmarkEnd w:id="540"/>
      <w:bookmarkEnd w:id="541"/>
      <w:bookmarkEnd w:id="542"/>
      <w:bookmarkEnd w:id="543"/>
      <w:bookmarkEnd w:id="544"/>
      <w:bookmarkEnd w:id="545"/>
      <w:bookmarkEnd w:id="546"/>
      <w:bookmarkEnd w:id="547"/>
      <w:bookmarkEnd w:id="548"/>
    </w:p>
    <w:p w:rsidR="008D107F" w:rsidRPr="000B7533" w:rsidRDefault="008D107F" w:rsidP="00F07C2E">
      <w:r w:rsidRPr="000B7533">
        <w:t>There were no drug interaction studies</w:t>
      </w:r>
      <w:r w:rsidR="00335100">
        <w:t>.</w:t>
      </w:r>
    </w:p>
    <w:p w:rsidR="008D107F" w:rsidRPr="000B7533" w:rsidRDefault="008D107F" w:rsidP="00F07C2E">
      <w:pPr>
        <w:pStyle w:val="Heading3"/>
      </w:pPr>
      <w:bookmarkStart w:id="549" w:name="_Toc241374328"/>
      <w:bookmarkStart w:id="550" w:name="_Toc272414691"/>
      <w:bookmarkStart w:id="551" w:name="_Toc290846329"/>
      <w:bookmarkStart w:id="552" w:name="_Toc290888866"/>
      <w:bookmarkStart w:id="553" w:name="_Toc343587610"/>
      <w:bookmarkStart w:id="554" w:name="_Toc219998427"/>
      <w:bookmarkStart w:id="555" w:name="_Toc219998531"/>
      <w:bookmarkStart w:id="556" w:name="_Toc219998946"/>
      <w:bookmarkStart w:id="557" w:name="_Toc219999049"/>
      <w:bookmarkStart w:id="558" w:name="_Toc219999150"/>
      <w:bookmarkStart w:id="559" w:name="_Toc229197966"/>
      <w:bookmarkStart w:id="560" w:name="_Toc380660810"/>
      <w:r w:rsidRPr="000B7533">
        <w:t>Evaluator’s overall conclusions on clinical safety</w:t>
      </w:r>
      <w:bookmarkEnd w:id="549"/>
      <w:bookmarkEnd w:id="550"/>
      <w:bookmarkEnd w:id="551"/>
      <w:bookmarkEnd w:id="552"/>
      <w:bookmarkEnd w:id="553"/>
      <w:bookmarkEnd w:id="554"/>
      <w:bookmarkEnd w:id="555"/>
      <w:bookmarkEnd w:id="556"/>
      <w:bookmarkEnd w:id="557"/>
      <w:bookmarkEnd w:id="558"/>
      <w:bookmarkEnd w:id="559"/>
      <w:bookmarkEnd w:id="560"/>
    </w:p>
    <w:p w:rsidR="008D107F" w:rsidRPr="000B7533" w:rsidRDefault="008D107F" w:rsidP="00F07C2E">
      <w:r w:rsidRPr="000B7533">
        <w:t xml:space="preserve">The safety of the LCS12 IUS was evaluated in 1672 women in good general health seeking contraception over a three-year time point. An additional 1697 women were studied with the slightly higher release LCS16, and 256 with the higher dose </w:t>
      </w:r>
      <w:proofErr w:type="spellStart"/>
      <w:r w:rsidRPr="000B7533">
        <w:t>Mirena</w:t>
      </w:r>
      <w:proofErr w:type="spellEnd"/>
      <w:r w:rsidRPr="000B7533">
        <w:t>.</w:t>
      </w:r>
    </w:p>
    <w:p w:rsidR="008D107F" w:rsidRPr="000B7533" w:rsidRDefault="008D107F" w:rsidP="00F07C2E">
      <w:r w:rsidRPr="000B7533">
        <w:t>The overall clinical safety profile of LCS observed (from the A46796 and A52238 studies) gave no new safety concerns that are not already known from the surveillance and clinical trial data from other IUSs and other LNG preparations. Specifically, many of the common AEs were similar to those that are known to occur with other LNG preparations (acne, ovarian cyst, dysmenorrhea) were seen. The short-term presented data do not indicate an increased risk of venous thromboembolism, cardiovascular events nor cancer incidence.</w:t>
      </w:r>
    </w:p>
    <w:p w:rsidR="008D107F" w:rsidRPr="000B7533" w:rsidRDefault="008D107F" w:rsidP="00F07C2E">
      <w:r w:rsidRPr="000B7533">
        <w:t>In the pooled analysis, SAEs were reported for 4.7% of women in the LCS12 (</w:t>
      </w:r>
      <w:proofErr w:type="spellStart"/>
      <w:r w:rsidRPr="000B7533">
        <w:t>Jaydess</w:t>
      </w:r>
      <w:proofErr w:type="spellEnd"/>
      <w:r w:rsidRPr="000B7533">
        <w:t xml:space="preserve">) treatment group, 4.9% of women in the LCS16 group, and 6.3% of women in the </w:t>
      </w:r>
      <w:proofErr w:type="spellStart"/>
      <w:r w:rsidRPr="000B7533">
        <w:t>Mirena</w:t>
      </w:r>
      <w:proofErr w:type="spellEnd"/>
      <w:r w:rsidRPr="000B7533">
        <w:t xml:space="preserve"> group. Overall the most frequent SAEs in descending order were</w:t>
      </w:r>
      <w:r w:rsidR="005037B1">
        <w:t>:</w:t>
      </w:r>
      <w:r w:rsidRPr="000B7533">
        <w:t xml:space="preserve"> appendicitis, ectopic pregnancy, ovarian cysts, abdominal pain and PID. The pooled incidence of PID in the LCS12 and 16 arms across A46976 and A52238 was approximately 0.4 % with an incidence of 0.11 per 100 </w:t>
      </w:r>
      <w:proofErr w:type="spellStart"/>
      <w:r w:rsidRPr="000B7533">
        <w:t>wy</w:t>
      </w:r>
      <w:proofErr w:type="spellEnd"/>
      <w:r w:rsidRPr="000B7533">
        <w:t xml:space="preserve">.  The incidence of </w:t>
      </w:r>
      <w:proofErr w:type="spellStart"/>
      <w:r w:rsidRPr="000B7533">
        <w:t>endometritis</w:t>
      </w:r>
      <w:proofErr w:type="spellEnd"/>
      <w:r w:rsidRPr="000B7533">
        <w:t xml:space="preserve"> was 0.8% in pooled LCS12 and LCS16 data in A52238.</w:t>
      </w:r>
    </w:p>
    <w:p w:rsidR="008D107F" w:rsidRPr="000B7533" w:rsidRDefault="008D107F" w:rsidP="00F07C2E">
      <w:r w:rsidRPr="000B7533">
        <w:t xml:space="preserve">In terms of ectopic pregnancy the absolute risk with LCS12 is less than </w:t>
      </w:r>
      <w:r w:rsidR="005037B1">
        <w:t xml:space="preserve">in </w:t>
      </w:r>
      <w:r w:rsidRPr="000B7533">
        <w:t xml:space="preserve">non-contraceptive users (estimated ectopic rate of approximately 0.3 to 0.5 per 100 </w:t>
      </w:r>
      <w:proofErr w:type="spellStart"/>
      <w:r w:rsidRPr="000B7533">
        <w:t>wy</w:t>
      </w:r>
      <w:proofErr w:type="spellEnd"/>
      <w:r w:rsidRPr="000B7533">
        <w:t xml:space="preserve"> cf. 0.11 per 100 </w:t>
      </w:r>
      <w:proofErr w:type="spellStart"/>
      <w:r w:rsidRPr="000B7533">
        <w:t>wy</w:t>
      </w:r>
      <w:proofErr w:type="spellEnd"/>
      <w:r w:rsidRPr="000B7533">
        <w:t xml:space="preserve"> with LCS12, similar to the rate i</w:t>
      </w:r>
      <w:r w:rsidR="00F07C2E">
        <w:t xml:space="preserve">n the </w:t>
      </w:r>
      <w:proofErr w:type="spellStart"/>
      <w:r w:rsidR="00F07C2E">
        <w:t>Mirena</w:t>
      </w:r>
      <w:proofErr w:type="spellEnd"/>
      <w:r w:rsidR="00F07C2E">
        <w:t xml:space="preserve"> clinical studies).</w:t>
      </w:r>
    </w:p>
    <w:p w:rsidR="008D107F" w:rsidRPr="000B7533" w:rsidRDefault="008D107F" w:rsidP="00F07C2E">
      <w:r w:rsidRPr="000B7533">
        <w:t>Approximately 50% women had any drug related AE, with 8-26% in A46976 complaining of one or more ‘</w:t>
      </w:r>
      <w:proofErr w:type="spellStart"/>
      <w:r w:rsidRPr="000B7533">
        <w:t>progestogenic</w:t>
      </w:r>
      <w:proofErr w:type="spellEnd"/>
      <w:r w:rsidRPr="000B7533">
        <w:t xml:space="preserve">’ side effects. There were a large number of discontinuations – with approximately 20% of all women using LCS12 discontinuing use due to AEs. The most common ones were vaginal </w:t>
      </w:r>
      <w:proofErr w:type="spellStart"/>
      <w:r w:rsidRPr="000B7533">
        <w:t>hemorrhage</w:t>
      </w:r>
      <w:proofErr w:type="spellEnd"/>
      <w:r w:rsidRPr="000B7533">
        <w:t xml:space="preserve">, device expulsion (3.2% at 36 months with </w:t>
      </w:r>
      <w:proofErr w:type="spellStart"/>
      <w:r w:rsidRPr="000B7533">
        <w:t>Jaydess</w:t>
      </w:r>
      <w:proofErr w:type="spellEnd"/>
      <w:r w:rsidRPr="000B7533">
        <w:t xml:space="preserve">) and acne. There was a trend toward more partial and total expulsions in </w:t>
      </w:r>
      <w:proofErr w:type="spellStart"/>
      <w:r w:rsidRPr="000B7533">
        <w:t>parous</w:t>
      </w:r>
      <w:proofErr w:type="spellEnd"/>
      <w:r w:rsidRPr="000B7533">
        <w:t xml:space="preserve"> as compared to nulliparous women in subgroups analysis in both studies. In subgroups of women evaluated there were no clear safety issues although some (including the BMI&gt;30kg/m</w:t>
      </w:r>
      <w:r w:rsidRPr="00590069">
        <w:rPr>
          <w:vertAlign w:val="superscript"/>
        </w:rPr>
        <w:t>2</w:t>
      </w:r>
      <w:r w:rsidRPr="000B7533">
        <w:t xml:space="preserve"> and </w:t>
      </w:r>
      <w:r w:rsidR="00F07C2E">
        <w:t>some ethnic groups) were small.</w:t>
      </w:r>
    </w:p>
    <w:p w:rsidR="008D107F" w:rsidRPr="000B7533" w:rsidRDefault="008D107F" w:rsidP="00F07C2E">
      <w:r w:rsidRPr="000B7533">
        <w:t xml:space="preserve">There have been 2 perforations, one in the LCS16 (not </w:t>
      </w:r>
      <w:proofErr w:type="spellStart"/>
      <w:r w:rsidRPr="000B7533">
        <w:t>Jaydess</w:t>
      </w:r>
      <w:proofErr w:type="spellEnd"/>
      <w:r w:rsidRPr="000B7533">
        <w:t xml:space="preserve">) group and 1 in the LCS12 </w:t>
      </w:r>
      <w:r w:rsidR="004775C7">
        <w:t xml:space="preserve">group </w:t>
      </w:r>
      <w:r w:rsidRPr="000B7533">
        <w:t xml:space="preserve">during sounding, in the Asia-Pacific study. Also, psychiatric SAEs were reported in 0.2% women, which included depression (&lt;0.1% overall) and anxiety (&lt;0.1% overall). Depression as an AE was </w:t>
      </w:r>
      <w:r w:rsidR="00335100">
        <w:t xml:space="preserve">reported in 5.4% (LCS12), 2.4% </w:t>
      </w:r>
      <w:r w:rsidRPr="000B7533">
        <w:t>(LCS16) 3.9% (</w:t>
      </w:r>
      <w:proofErr w:type="spellStart"/>
      <w:r w:rsidRPr="000B7533">
        <w:t>Mirena</w:t>
      </w:r>
      <w:proofErr w:type="spellEnd"/>
      <w:r w:rsidRPr="000B7533">
        <w:t>) and 3.9% (total in A46976). The most frequent psychiatric AE (incidence of 12%) reported in study A52238 was depression (3.5%).</w:t>
      </w:r>
    </w:p>
    <w:p w:rsidR="008D107F" w:rsidRPr="000B7533" w:rsidRDefault="008D107F" w:rsidP="00F07C2E">
      <w:r w:rsidRPr="000B7533">
        <w:t>Further, although over 98% of the ovarian cysts reported in the LCS treatment groups were not serious and did not result in study drug discontinuation, study treatment was withdrawn in 8 women (three in the LCS12 group, and five in the LCS16 group) in A52238, and ovarian cysts were reported as SAE in 7 women (4 in the LCS12 group, and 3 in the LCS16 group). Five of these women underwent laparoscopic procedures and 2 were treated medically</w:t>
      </w:r>
      <w:r w:rsidR="00F07C2E">
        <w:t>.</w:t>
      </w:r>
    </w:p>
    <w:p w:rsidR="008D107F" w:rsidRPr="000B7533" w:rsidRDefault="008D107F" w:rsidP="00F07C2E">
      <w:r w:rsidRPr="000B7533">
        <w:t>Lastly, removal was assessed as ‘very difficult’ in approximately 2 % of all women.</w:t>
      </w:r>
    </w:p>
    <w:p w:rsidR="008D107F" w:rsidRPr="000B7533" w:rsidRDefault="008D107F" w:rsidP="00F07C2E">
      <w:r w:rsidRPr="000B7533">
        <w:t>So safety concerns recommended to be addressed are:</w:t>
      </w:r>
    </w:p>
    <w:p w:rsidR="008D107F" w:rsidRPr="000B7533" w:rsidRDefault="008D107F" w:rsidP="00F07C2E">
      <w:pPr>
        <w:pStyle w:val="ListBullet"/>
      </w:pPr>
      <w:r w:rsidRPr="000B7533">
        <w:lastRenderedPageBreak/>
        <w:t>highlighting that many women</w:t>
      </w:r>
      <w:r w:rsidR="00F07C2E">
        <w:t xml:space="preserve"> get </w:t>
      </w:r>
      <w:proofErr w:type="spellStart"/>
      <w:r w:rsidR="00F07C2E">
        <w:t>progestogenic</w:t>
      </w:r>
      <w:proofErr w:type="spellEnd"/>
      <w:r w:rsidR="00F07C2E">
        <w:t xml:space="preserve"> side effects</w:t>
      </w:r>
    </w:p>
    <w:p w:rsidR="008D107F" w:rsidRPr="000B7533" w:rsidRDefault="008D107F" w:rsidP="00F07C2E">
      <w:pPr>
        <w:pStyle w:val="ListBullet"/>
      </w:pPr>
      <w:proofErr w:type="gramStart"/>
      <w:r w:rsidRPr="000B7533">
        <w:t>whilst</w:t>
      </w:r>
      <w:proofErr w:type="gramEnd"/>
      <w:r w:rsidRPr="000B7533">
        <w:t xml:space="preserve"> the rate of ectopic pregnancy is less than in the </w:t>
      </w:r>
      <w:r w:rsidRPr="00F07C2E">
        <w:t>general</w:t>
      </w:r>
      <w:r w:rsidRPr="000B7533">
        <w:t xml:space="preserve"> population, the likelihood of a pregnancy</w:t>
      </w:r>
      <w:r w:rsidR="004775C7">
        <w:t>,</w:t>
      </w:r>
      <w:r w:rsidRPr="000B7533">
        <w:t xml:space="preserve"> if it occurs, being ectopic is higher. The Sponsor is considering the feasibility of a prospective database study to address this risk of ectopic pregnancy in LCS12 users in the market and this is supported. The proposed label for LCS12 is to include a warning on the risk, and signs and symptoms of ectopic pregnancy although this is not evidence in the </w:t>
      </w:r>
      <w:r w:rsidR="00335100" w:rsidRPr="000B7533">
        <w:t>labelling</w:t>
      </w:r>
      <w:r w:rsidRPr="000B7533">
        <w:t xml:space="preserve"> submitted in Module 1. The company further proposes to explore options to make the patient information accessible through additional channels, e.g. the internet, as a means of further risk minimization and this is supported although evidence that this is underway is needed</w:t>
      </w:r>
    </w:p>
    <w:p w:rsidR="008D107F" w:rsidRPr="000B7533" w:rsidRDefault="008D107F" w:rsidP="00F07C2E">
      <w:pPr>
        <w:pStyle w:val="ListBullet"/>
      </w:pPr>
      <w:proofErr w:type="gramStart"/>
      <w:r w:rsidRPr="000B7533">
        <w:t>although</w:t>
      </w:r>
      <w:proofErr w:type="gramEnd"/>
      <w:r w:rsidRPr="000B7533">
        <w:t xml:space="preserve"> incidence of PID and </w:t>
      </w:r>
      <w:proofErr w:type="spellStart"/>
      <w:r w:rsidRPr="000B7533">
        <w:t>endometritis</w:t>
      </w:r>
      <w:proofErr w:type="spellEnd"/>
      <w:r w:rsidRPr="000B7533">
        <w:t xml:space="preserve"> is uncommon (&lt;1/100), it did occur in the clinical trials and </w:t>
      </w:r>
      <w:r w:rsidR="004775C7">
        <w:t xml:space="preserve">[it is important] </w:t>
      </w:r>
      <w:r w:rsidRPr="000B7533">
        <w:t xml:space="preserve">to note that </w:t>
      </w:r>
      <w:proofErr w:type="spellStart"/>
      <w:r w:rsidRPr="000B7533">
        <w:t>Jaydess</w:t>
      </w:r>
      <w:proofErr w:type="spellEnd"/>
      <w:r w:rsidRPr="000B7533">
        <w:t xml:space="preserve"> does </w:t>
      </w:r>
      <w:r w:rsidRPr="00F07C2E">
        <w:t>not</w:t>
      </w:r>
      <w:r w:rsidRPr="000B7533">
        <w:t xml:space="preserve"> protect against STDs. It is noted that the Sponsor has stated that it is evaluating additional </w:t>
      </w:r>
      <w:proofErr w:type="spellStart"/>
      <w:r w:rsidRPr="000B7533">
        <w:t>pharmacovigilance</w:t>
      </w:r>
      <w:proofErr w:type="spellEnd"/>
      <w:r w:rsidRPr="000B7533">
        <w:t xml:space="preserve"> activities and educational pro</w:t>
      </w:r>
      <w:r w:rsidR="002D0721">
        <w:t>grammes to reduce the incidence</w:t>
      </w:r>
    </w:p>
    <w:p w:rsidR="008D107F" w:rsidRPr="000B7533" w:rsidRDefault="008D107F" w:rsidP="00F07C2E">
      <w:pPr>
        <w:pStyle w:val="ListBullet"/>
      </w:pPr>
      <w:r w:rsidRPr="000B7533">
        <w:t xml:space="preserve">partial or complete IUD expulsion is a risk with </w:t>
      </w:r>
      <w:proofErr w:type="spellStart"/>
      <w:r w:rsidRPr="000B7533">
        <w:t>Jaydess</w:t>
      </w:r>
      <w:proofErr w:type="spellEnd"/>
      <w:r w:rsidRPr="000B7533">
        <w:t>, which may be higher in the non-trial setting where IUS position is not checked routinely after insertion – between 1-10%</w:t>
      </w:r>
    </w:p>
    <w:p w:rsidR="008D107F" w:rsidRPr="000B7533" w:rsidRDefault="002D0721" w:rsidP="00F07C2E">
      <w:pPr>
        <w:pStyle w:val="ListBullet"/>
      </w:pPr>
      <w:proofErr w:type="gramStart"/>
      <w:r>
        <w:t>p</w:t>
      </w:r>
      <w:r w:rsidR="008D107F" w:rsidRPr="000B7533">
        <w:t>erforation</w:t>
      </w:r>
      <w:proofErr w:type="gramEnd"/>
      <w:r w:rsidR="008D107F" w:rsidRPr="000B7533">
        <w:t xml:space="preserve"> is rare, has not been seen with </w:t>
      </w:r>
      <w:proofErr w:type="spellStart"/>
      <w:r w:rsidR="008D107F" w:rsidRPr="000B7533">
        <w:t>Jaydess</w:t>
      </w:r>
      <w:proofErr w:type="spellEnd"/>
      <w:r w:rsidR="008D107F" w:rsidRPr="000B7533">
        <w:t xml:space="preserve"> but has </w:t>
      </w:r>
      <w:r w:rsidR="008D107F" w:rsidRPr="00F07C2E">
        <w:t>occurred</w:t>
      </w:r>
      <w:r w:rsidR="008D107F" w:rsidRPr="000B7533">
        <w:t xml:space="preserve"> with a similar IUS. The Sponsor has a planned educational program for LCS12 to emphasise correct insertion technique to reduce the risk of incorrect placement or perforation</w:t>
      </w:r>
    </w:p>
    <w:p w:rsidR="008D107F" w:rsidRPr="000B7533" w:rsidRDefault="002D0721" w:rsidP="00F07C2E">
      <w:pPr>
        <w:pStyle w:val="ListBullet"/>
      </w:pPr>
      <w:r>
        <w:t>o</w:t>
      </w:r>
      <w:r w:rsidR="008D107F" w:rsidRPr="000B7533">
        <w:t xml:space="preserve">varian cysts whilst common in this population may cause </w:t>
      </w:r>
      <w:r w:rsidR="008D107F" w:rsidRPr="00F07C2E">
        <w:t>complications</w:t>
      </w:r>
    </w:p>
    <w:p w:rsidR="008D107F" w:rsidRPr="000B7533" w:rsidRDefault="002D0721" w:rsidP="00F07C2E">
      <w:pPr>
        <w:pStyle w:val="ListBullet"/>
      </w:pPr>
      <w:r>
        <w:t>d</w:t>
      </w:r>
      <w:r w:rsidR="008D107F" w:rsidRPr="000B7533">
        <w:t>epression and anxiety are common in this age group but there was an prevalence of 3% of these conditions in this study and awareness of this by the woman and the prescriber is important</w:t>
      </w:r>
    </w:p>
    <w:p w:rsidR="008D107F" w:rsidRPr="000B7533" w:rsidRDefault="008D107F" w:rsidP="00F07C2E">
      <w:r w:rsidRPr="000B7533">
        <w:t>There were no safety concerns in laboratory variables, vital signs, and other safety parameters observed. The overall incidence of new abnormal endometrial or cervical findings was low. There was no negative effect on bone mineral density.</w:t>
      </w:r>
    </w:p>
    <w:p w:rsidR="008D107F" w:rsidRPr="000B7533" w:rsidRDefault="008D107F" w:rsidP="00F07C2E">
      <w:r w:rsidRPr="000B7533">
        <w:t xml:space="preserve">In summary, there appears to be no new safety concerns with LCS 12, compared to </w:t>
      </w:r>
      <w:proofErr w:type="spellStart"/>
      <w:r w:rsidRPr="000B7533">
        <w:t>Mirena</w:t>
      </w:r>
      <w:proofErr w:type="spellEnd"/>
      <w:r w:rsidRPr="000B7533">
        <w:t xml:space="preserve"> and other IU</w:t>
      </w:r>
      <w:r w:rsidR="004775C7">
        <w:t>S</w:t>
      </w:r>
      <w:r w:rsidRPr="000B7533">
        <w:t>s. However, the rate of ectopic pregnancies, PID and expulsions needs to be observed. Ongoing observational data in a subgroup of obese women (BMI&gt;35) shoul</w:t>
      </w:r>
      <w:r w:rsidR="00F07C2E">
        <w:t>d also be provided in the PSUR.</w:t>
      </w:r>
    </w:p>
    <w:p w:rsidR="00C22678" w:rsidRDefault="00C22678" w:rsidP="00F07C2E">
      <w:pPr>
        <w:pStyle w:val="Heading2"/>
      </w:pPr>
      <w:bookmarkStart w:id="561" w:name="_Toc380660811"/>
      <w:r w:rsidRPr="00F07C2E">
        <w:t>First</w:t>
      </w:r>
      <w:r>
        <w:t xml:space="preserve"> round benefit-risk assessment</w:t>
      </w:r>
      <w:bookmarkEnd w:id="561"/>
    </w:p>
    <w:p w:rsidR="00943C25" w:rsidRPr="00943C25" w:rsidRDefault="00943C25" w:rsidP="00F07C2E">
      <w:pPr>
        <w:pStyle w:val="Heading3"/>
      </w:pPr>
      <w:bookmarkStart w:id="562" w:name="_Toc236802592"/>
      <w:bookmarkStart w:id="563" w:name="_Toc241374331"/>
      <w:bookmarkStart w:id="564" w:name="_Ref272160836"/>
      <w:bookmarkStart w:id="565" w:name="_Toc272414693"/>
      <w:bookmarkStart w:id="566" w:name="_Toc290846331"/>
      <w:bookmarkStart w:id="567" w:name="_Toc290888868"/>
      <w:bookmarkStart w:id="568" w:name="_Toc343587612"/>
      <w:bookmarkStart w:id="569" w:name="_Toc219998429"/>
      <w:bookmarkStart w:id="570" w:name="_Toc219998533"/>
      <w:bookmarkStart w:id="571" w:name="_Toc219998948"/>
      <w:bookmarkStart w:id="572" w:name="_Toc219999051"/>
      <w:bookmarkStart w:id="573" w:name="_Toc219999152"/>
      <w:bookmarkStart w:id="574" w:name="_Toc229197968"/>
      <w:bookmarkStart w:id="575" w:name="_Toc380660812"/>
      <w:r w:rsidRPr="00943C25">
        <w:t>First round assessment of benefits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943C25" w:rsidRPr="00943C25" w:rsidRDefault="00943C25" w:rsidP="00F07C2E">
      <w:pPr>
        <w:rPr>
          <w:lang w:eastAsia="ja-JP"/>
        </w:rPr>
      </w:pPr>
      <w:r w:rsidRPr="00943C25">
        <w:rPr>
          <w:lang w:eastAsia="ja-JP"/>
        </w:rPr>
        <w:t xml:space="preserve">The benefits of </w:t>
      </w:r>
      <w:proofErr w:type="spellStart"/>
      <w:r w:rsidRPr="00943C25">
        <w:rPr>
          <w:lang w:eastAsia="ja-JP"/>
        </w:rPr>
        <w:t>Jaydess</w:t>
      </w:r>
      <w:proofErr w:type="spellEnd"/>
      <w:r w:rsidRPr="00943C25">
        <w:rPr>
          <w:lang w:eastAsia="ja-JP"/>
        </w:rPr>
        <w:t xml:space="preserve"> in the proposed usage are:</w:t>
      </w:r>
    </w:p>
    <w:p w:rsidR="00943C25" w:rsidRPr="00943C25" w:rsidRDefault="00943C25" w:rsidP="00F07C2E">
      <w:pPr>
        <w:pStyle w:val="ListBullet"/>
        <w:rPr>
          <w:lang w:eastAsia="ja-JP"/>
        </w:rPr>
      </w:pPr>
      <w:r w:rsidRPr="00F07C2E">
        <w:t>Effective</w:t>
      </w:r>
      <w:r w:rsidRPr="00943C25">
        <w:rPr>
          <w:lang w:eastAsia="ja-JP"/>
        </w:rPr>
        <w:t xml:space="preserve"> long-term contraception- </w:t>
      </w:r>
      <w:r w:rsidRPr="00943C25">
        <w:rPr>
          <w:lang w:val="en-US" w:eastAsia="ja-JP"/>
        </w:rPr>
        <w:t xml:space="preserve">the unadjusted PI for LCS12 for the first year was 0.41, and upper </w:t>
      </w:r>
      <w:r w:rsidR="00F07C2E">
        <w:rPr>
          <w:lang w:val="en-US" w:eastAsia="ja-JP"/>
        </w:rPr>
        <w:t>limit of the 2 sided CI is 0.96</w:t>
      </w:r>
    </w:p>
    <w:p w:rsidR="00943C25" w:rsidRPr="00943C25" w:rsidRDefault="00943C25" w:rsidP="00F07C2E">
      <w:pPr>
        <w:pStyle w:val="ListBullet"/>
        <w:rPr>
          <w:lang w:eastAsia="ja-JP"/>
        </w:rPr>
      </w:pPr>
      <w:r w:rsidRPr="00943C25">
        <w:rPr>
          <w:lang w:eastAsia="ja-JP"/>
        </w:rPr>
        <w:t xml:space="preserve">Reduced menorrhagia (prolonged and heavy bleeding) and </w:t>
      </w:r>
      <w:proofErr w:type="spellStart"/>
      <w:r w:rsidRPr="00943C25">
        <w:rPr>
          <w:lang w:eastAsia="ja-JP"/>
        </w:rPr>
        <w:t>intracyclic</w:t>
      </w:r>
      <w:proofErr w:type="spellEnd"/>
      <w:r w:rsidRPr="00943C25">
        <w:rPr>
          <w:lang w:eastAsia="ja-JP"/>
        </w:rPr>
        <w:t xml:space="preserve"> bleeding</w:t>
      </w:r>
    </w:p>
    <w:p w:rsidR="00943C25" w:rsidRPr="00943C25" w:rsidRDefault="00943C25" w:rsidP="00F07C2E">
      <w:pPr>
        <w:pStyle w:val="ListBullet"/>
        <w:rPr>
          <w:lang w:eastAsia="ja-JP"/>
        </w:rPr>
      </w:pPr>
      <w:r w:rsidRPr="00943C25">
        <w:rPr>
          <w:lang w:eastAsia="ja-JP"/>
        </w:rPr>
        <w:t xml:space="preserve">Less daily release rate of LNG than </w:t>
      </w:r>
      <w:r w:rsidRPr="00F07C2E">
        <w:t>comparator</w:t>
      </w:r>
      <w:r w:rsidRPr="00943C25">
        <w:rPr>
          <w:lang w:eastAsia="ja-JP"/>
        </w:rPr>
        <w:t xml:space="preserve"> IUS LNG product</w:t>
      </w:r>
    </w:p>
    <w:p w:rsidR="00943C25" w:rsidRPr="00943C25" w:rsidRDefault="00943C25" w:rsidP="00F07C2E">
      <w:pPr>
        <w:pStyle w:val="ListBullet"/>
        <w:rPr>
          <w:lang w:eastAsia="ja-JP"/>
        </w:rPr>
      </w:pPr>
      <w:r w:rsidRPr="00943C25">
        <w:rPr>
          <w:lang w:eastAsia="ja-JP"/>
        </w:rPr>
        <w:t xml:space="preserve">‘Easy’ to insert for most nulliparous </w:t>
      </w:r>
      <w:r w:rsidRPr="00F07C2E">
        <w:t>women</w:t>
      </w:r>
      <w:r w:rsidRPr="00943C25">
        <w:rPr>
          <w:lang w:eastAsia="ja-JP"/>
        </w:rPr>
        <w:t>, but no comparison d</w:t>
      </w:r>
      <w:r w:rsidR="00F07C2E">
        <w:rPr>
          <w:lang w:eastAsia="ja-JP"/>
        </w:rPr>
        <w:t>ata with other IUDs or standard</w:t>
      </w:r>
    </w:p>
    <w:p w:rsidR="00943C25" w:rsidRPr="00943C25" w:rsidRDefault="00943C25" w:rsidP="00F07C2E">
      <w:pPr>
        <w:pStyle w:val="ListBullet"/>
        <w:rPr>
          <w:lang w:eastAsia="ja-JP"/>
        </w:rPr>
      </w:pPr>
      <w:r w:rsidRPr="00F07C2E">
        <w:t>Theoretically</w:t>
      </w:r>
      <w:r w:rsidRPr="00943C25">
        <w:rPr>
          <w:lang w:val="en-US" w:eastAsia="ja-JP"/>
        </w:rPr>
        <w:t xml:space="preserve"> LCS12 efficacy is unlikely to be impacted by the use of co-medications that induce c</w:t>
      </w:r>
      <w:proofErr w:type="spellStart"/>
      <w:r w:rsidRPr="000E4370">
        <w:t>ytochrome</w:t>
      </w:r>
      <w:proofErr w:type="spellEnd"/>
      <w:r w:rsidRPr="000E4370">
        <w:t xml:space="preserve"> </w:t>
      </w:r>
      <w:r w:rsidRPr="00943C25">
        <w:rPr>
          <w:lang w:val="en-US" w:eastAsia="ja-JP"/>
        </w:rPr>
        <w:t>P450 enzymes although evidence is lacking.</w:t>
      </w:r>
    </w:p>
    <w:p w:rsidR="00943C25" w:rsidRPr="00943C25" w:rsidRDefault="00943C25" w:rsidP="00F07C2E">
      <w:pPr>
        <w:pStyle w:val="Heading3"/>
      </w:pPr>
      <w:bookmarkStart w:id="576" w:name="_Toc236802596"/>
      <w:bookmarkStart w:id="577" w:name="_Toc241374334"/>
      <w:bookmarkStart w:id="578" w:name="_Ref272160964"/>
      <w:bookmarkStart w:id="579" w:name="_Toc272414694"/>
      <w:bookmarkStart w:id="580" w:name="_Toc290846332"/>
      <w:bookmarkStart w:id="581" w:name="_Toc290888869"/>
      <w:bookmarkStart w:id="582" w:name="_Toc343587613"/>
      <w:bookmarkStart w:id="583" w:name="_Toc219998430"/>
      <w:bookmarkStart w:id="584" w:name="_Toc219998534"/>
      <w:bookmarkStart w:id="585" w:name="_Toc219998949"/>
      <w:bookmarkStart w:id="586" w:name="_Toc219999052"/>
      <w:bookmarkStart w:id="587" w:name="_Toc219999153"/>
      <w:bookmarkStart w:id="588" w:name="_Toc229197969"/>
      <w:bookmarkStart w:id="589" w:name="_Toc380660813"/>
      <w:r w:rsidRPr="00F07C2E">
        <w:lastRenderedPageBreak/>
        <w:t>First</w:t>
      </w:r>
      <w:r w:rsidRPr="00943C25">
        <w:t xml:space="preserve"> round assessment of risks</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943C25" w:rsidRPr="00943C25" w:rsidRDefault="00943C25" w:rsidP="00F07C2E">
      <w:pPr>
        <w:rPr>
          <w:lang w:eastAsia="ja-JP"/>
        </w:rPr>
      </w:pPr>
      <w:r w:rsidRPr="00943C25">
        <w:rPr>
          <w:lang w:eastAsia="ja-JP"/>
        </w:rPr>
        <w:t xml:space="preserve">The risks of </w:t>
      </w:r>
      <w:proofErr w:type="spellStart"/>
      <w:r w:rsidRPr="00943C25">
        <w:rPr>
          <w:lang w:eastAsia="ja-JP"/>
        </w:rPr>
        <w:t>Jaydess</w:t>
      </w:r>
      <w:proofErr w:type="spellEnd"/>
      <w:r w:rsidRPr="00943C25">
        <w:rPr>
          <w:lang w:eastAsia="ja-JP"/>
        </w:rPr>
        <w:t xml:space="preserve"> in the proposed usage are:</w:t>
      </w:r>
    </w:p>
    <w:p w:rsidR="00943C25" w:rsidRPr="00943C25" w:rsidRDefault="00943C25" w:rsidP="00F07C2E">
      <w:pPr>
        <w:pStyle w:val="ListBullet"/>
        <w:rPr>
          <w:lang w:val="en-US" w:eastAsia="ja-JP"/>
        </w:rPr>
      </w:pPr>
      <w:r w:rsidRPr="00943C25">
        <w:rPr>
          <w:lang w:val="en-US" w:eastAsia="ja-JP"/>
        </w:rPr>
        <w:t xml:space="preserve">Possible long-term fertility issues due to ectopic pregnancy, PID, </w:t>
      </w:r>
      <w:proofErr w:type="spellStart"/>
      <w:r w:rsidRPr="00943C25">
        <w:rPr>
          <w:lang w:val="en-US" w:eastAsia="ja-JP"/>
        </w:rPr>
        <w:t>endometritis</w:t>
      </w:r>
      <w:proofErr w:type="spellEnd"/>
      <w:r w:rsidRPr="00943C25">
        <w:rPr>
          <w:lang w:val="en-US" w:eastAsia="ja-JP"/>
        </w:rPr>
        <w:t>, expulsions</w:t>
      </w:r>
    </w:p>
    <w:p w:rsidR="00943C25" w:rsidRPr="00943C25" w:rsidRDefault="00943C25" w:rsidP="00F07C2E">
      <w:pPr>
        <w:pStyle w:val="ListBullet"/>
        <w:rPr>
          <w:lang w:eastAsia="ja-JP"/>
        </w:rPr>
      </w:pPr>
      <w:r w:rsidRPr="00943C25">
        <w:rPr>
          <w:lang w:eastAsia="ja-JP"/>
        </w:rPr>
        <w:t>Possible unintended pregnancy due to partial or total expulsion</w:t>
      </w:r>
    </w:p>
    <w:p w:rsidR="00943C25" w:rsidRPr="00943C25" w:rsidRDefault="00943C25" w:rsidP="00943C25">
      <w:pPr>
        <w:pStyle w:val="ListBullet"/>
        <w:rPr>
          <w:lang w:eastAsia="ja-JP"/>
        </w:rPr>
      </w:pPr>
      <w:proofErr w:type="spellStart"/>
      <w:r w:rsidRPr="00F07C2E">
        <w:t>Progestogenic</w:t>
      </w:r>
      <w:proofErr w:type="spellEnd"/>
      <w:r w:rsidRPr="00943C25">
        <w:rPr>
          <w:lang w:eastAsia="ja-JP"/>
        </w:rPr>
        <w:t xml:space="preserve"> side effects</w:t>
      </w:r>
    </w:p>
    <w:p w:rsidR="00943C25" w:rsidRPr="00943C25" w:rsidRDefault="00943C25" w:rsidP="00F07C2E">
      <w:pPr>
        <w:pStyle w:val="Heading3"/>
      </w:pPr>
      <w:bookmarkStart w:id="590" w:name="_Toc236802597"/>
      <w:bookmarkStart w:id="591" w:name="_Toc241374335"/>
      <w:bookmarkStart w:id="592" w:name="_Toc272414695"/>
      <w:bookmarkStart w:id="593" w:name="_Toc290846333"/>
      <w:bookmarkStart w:id="594" w:name="_Toc290888870"/>
      <w:bookmarkStart w:id="595" w:name="_Toc343587614"/>
      <w:bookmarkStart w:id="596" w:name="_Toc219998431"/>
      <w:bookmarkStart w:id="597" w:name="_Toc219998535"/>
      <w:bookmarkStart w:id="598" w:name="_Toc219998950"/>
      <w:bookmarkStart w:id="599" w:name="_Toc219999053"/>
      <w:bookmarkStart w:id="600" w:name="_Toc219999154"/>
      <w:bookmarkStart w:id="601" w:name="_Toc229197970"/>
      <w:bookmarkStart w:id="602" w:name="_Toc380660814"/>
      <w:r w:rsidRPr="00943C25">
        <w:t>First round assessment of benefit-risk balance</w:t>
      </w:r>
      <w:bookmarkEnd w:id="590"/>
      <w:bookmarkEnd w:id="591"/>
      <w:bookmarkEnd w:id="592"/>
      <w:bookmarkEnd w:id="593"/>
      <w:bookmarkEnd w:id="594"/>
      <w:bookmarkEnd w:id="595"/>
      <w:bookmarkEnd w:id="596"/>
      <w:bookmarkEnd w:id="597"/>
      <w:bookmarkEnd w:id="598"/>
      <w:bookmarkEnd w:id="599"/>
      <w:bookmarkEnd w:id="600"/>
      <w:bookmarkEnd w:id="601"/>
      <w:bookmarkEnd w:id="602"/>
    </w:p>
    <w:p w:rsidR="00C22678" w:rsidRPr="00586F98" w:rsidRDefault="00943C25" w:rsidP="00F07C2E">
      <w:pPr>
        <w:rPr>
          <w:lang w:eastAsia="ja-JP"/>
        </w:rPr>
      </w:pPr>
      <w:r w:rsidRPr="00943C25">
        <w:rPr>
          <w:lang w:eastAsia="ja-JP"/>
        </w:rPr>
        <w:t xml:space="preserve">The benefit-risk balance of </w:t>
      </w:r>
      <w:proofErr w:type="spellStart"/>
      <w:r w:rsidRPr="00943C25">
        <w:rPr>
          <w:lang w:eastAsia="ja-JP"/>
        </w:rPr>
        <w:t>Jaydess</w:t>
      </w:r>
      <w:proofErr w:type="spellEnd"/>
      <w:r w:rsidRPr="00943C25">
        <w:rPr>
          <w:lang w:eastAsia="ja-JP"/>
        </w:rPr>
        <w:t xml:space="preserve"> given the proposed usage is favourable for women aged 18-41 requesting long-term contraception with an IUD. The Sponsor’s proposed </w:t>
      </w:r>
      <w:proofErr w:type="spellStart"/>
      <w:r w:rsidRPr="00943C25">
        <w:rPr>
          <w:lang w:eastAsia="ja-JP"/>
        </w:rPr>
        <w:t>pharmacovigilance</w:t>
      </w:r>
      <w:proofErr w:type="spellEnd"/>
      <w:r w:rsidRPr="00943C25">
        <w:rPr>
          <w:lang w:eastAsia="ja-JP"/>
        </w:rPr>
        <w:t xml:space="preserve"> and education</w:t>
      </w:r>
      <w:r w:rsidR="004775C7">
        <w:rPr>
          <w:lang w:eastAsia="ja-JP"/>
        </w:rPr>
        <w:t xml:space="preserve"> programs</w:t>
      </w:r>
      <w:r w:rsidRPr="00943C25">
        <w:rPr>
          <w:lang w:eastAsia="ja-JP"/>
        </w:rPr>
        <w:t xml:space="preserve"> around this product are recommended to be mandatory.</w:t>
      </w:r>
    </w:p>
    <w:p w:rsidR="00C22678" w:rsidRDefault="00C22678" w:rsidP="00F07C2E">
      <w:pPr>
        <w:pStyle w:val="Heading2"/>
      </w:pPr>
      <w:bookmarkStart w:id="603" w:name="_Toc380660815"/>
      <w:r>
        <w:t>First round recommendation regarding authorisation</w:t>
      </w:r>
      <w:bookmarkEnd w:id="603"/>
    </w:p>
    <w:p w:rsidR="00943C25" w:rsidRPr="00D2161C" w:rsidRDefault="00943C25" w:rsidP="00F07C2E">
      <w:r w:rsidRPr="00D2161C">
        <w:t xml:space="preserve">Recommendation is to recommend registration with an ongoing </w:t>
      </w:r>
      <w:proofErr w:type="spellStart"/>
      <w:r w:rsidRPr="00D2161C">
        <w:t>pharmacovigilance</w:t>
      </w:r>
      <w:proofErr w:type="spellEnd"/>
      <w:r w:rsidRPr="00D2161C">
        <w:t xml:space="preserve"> report, particularly on the risk of expulsions, ectopic (and normal) pregnancy, and rate of pelvic inflammatory disease.</w:t>
      </w:r>
    </w:p>
    <w:p w:rsidR="00AA5571" w:rsidRPr="00D2161C" w:rsidRDefault="00B505EE" w:rsidP="00F07C2E">
      <w:r>
        <w:t xml:space="preserve">In relation to the </w:t>
      </w:r>
      <w:r w:rsidRPr="00B505EE">
        <w:rPr>
          <w:i/>
          <w:iCs/>
        </w:rPr>
        <w:t>Indications</w:t>
      </w:r>
      <w:r>
        <w:t xml:space="preserve"> in the proposed PI (</w:t>
      </w:r>
      <w:r w:rsidR="00AA5571" w:rsidRPr="00D2161C">
        <w:t xml:space="preserve">120813 </w:t>
      </w:r>
      <w:proofErr w:type="gramStart"/>
      <w:r w:rsidR="00AA5571" w:rsidRPr="00D2161C">
        <w:t>version</w:t>
      </w:r>
      <w:proofErr w:type="gramEnd"/>
      <w:r>
        <w:t>):</w:t>
      </w:r>
    </w:p>
    <w:p w:rsidR="00AA5571" w:rsidRDefault="00B505EE" w:rsidP="00F07C2E">
      <w:r>
        <w:t>T</w:t>
      </w:r>
      <w:r w:rsidR="00AA5571" w:rsidRPr="00D2161C">
        <w:t xml:space="preserve">he proposed indication has been amended </w:t>
      </w:r>
      <w:r>
        <w:t xml:space="preserve">[by the sponsor] </w:t>
      </w:r>
      <w:r w:rsidR="00AA5571" w:rsidRPr="00D2161C">
        <w:t>from “Contraception for up to three years” to “Contraception”. It is recommended to return the indication back to the original “Contraception for up to 3 years</w:t>
      </w:r>
      <w:r w:rsidR="00B761DA">
        <w:t xml:space="preserve">” </w:t>
      </w:r>
      <w:r w:rsidR="00AA5571" w:rsidRPr="00D2161C">
        <w:t xml:space="preserve">from ‘Contraception” (under ‘Indication’) so it </w:t>
      </w:r>
      <w:r w:rsidR="008E344C">
        <w:t xml:space="preserve">is </w:t>
      </w:r>
      <w:r w:rsidR="00AA5571" w:rsidRPr="00D2161C">
        <w:t>clear this is not a temporary form of contraception that could be stopped and started. It also reminds women that after three years the IUS should be removed and a new method is required.</w:t>
      </w:r>
    </w:p>
    <w:p w:rsidR="000A521E" w:rsidRPr="00D2161C" w:rsidRDefault="000A521E" w:rsidP="00F07C2E">
      <w:r>
        <w:t>[Note: additional recommendations regarding revisions to the PI and comments on the draft CMI are not included in this Extract from the CER].</w:t>
      </w:r>
    </w:p>
    <w:p w:rsidR="00C22678" w:rsidRDefault="00C22678" w:rsidP="00F07C2E">
      <w:pPr>
        <w:pStyle w:val="Heading2"/>
      </w:pPr>
      <w:bookmarkStart w:id="604" w:name="_Toc380660816"/>
      <w:r>
        <w:t>Clinical questions</w:t>
      </w:r>
      <w:bookmarkEnd w:id="604"/>
    </w:p>
    <w:p w:rsidR="00C22678" w:rsidRDefault="00C618F7" w:rsidP="00F07C2E">
      <w:pPr>
        <w:pStyle w:val="Heading3"/>
      </w:pPr>
      <w:bookmarkStart w:id="605" w:name="_Toc380660817"/>
      <w:r>
        <w:t>Pharmacokinetics</w:t>
      </w:r>
      <w:bookmarkEnd w:id="605"/>
    </w:p>
    <w:p w:rsidR="00AA5571" w:rsidRPr="00215315" w:rsidRDefault="00AA5571" w:rsidP="00F07C2E">
      <w:r w:rsidRPr="00215315">
        <w:t>Nil required</w:t>
      </w:r>
      <w:r w:rsidR="00F07C2E">
        <w:t>.</w:t>
      </w:r>
    </w:p>
    <w:p w:rsidR="00C618F7" w:rsidRDefault="00C618F7" w:rsidP="00F07C2E">
      <w:pPr>
        <w:pStyle w:val="Heading3"/>
      </w:pPr>
      <w:bookmarkStart w:id="606" w:name="_Toc380660818"/>
      <w:r>
        <w:t>Pharmacodynamics</w:t>
      </w:r>
      <w:bookmarkEnd w:id="606"/>
    </w:p>
    <w:p w:rsidR="00AA5571" w:rsidRPr="00215315" w:rsidRDefault="00AA5571" w:rsidP="00F07C2E">
      <w:r w:rsidRPr="00215315">
        <w:t>Nil required</w:t>
      </w:r>
      <w:r w:rsidR="00F07C2E">
        <w:t>.</w:t>
      </w:r>
    </w:p>
    <w:p w:rsidR="00C618F7" w:rsidRDefault="00C618F7" w:rsidP="00F07C2E">
      <w:pPr>
        <w:pStyle w:val="Heading3"/>
      </w:pPr>
      <w:bookmarkStart w:id="607" w:name="_Toc380660819"/>
      <w:r>
        <w:t>Efficacy</w:t>
      </w:r>
      <w:bookmarkEnd w:id="607"/>
    </w:p>
    <w:p w:rsidR="008E344C" w:rsidRPr="008E344C" w:rsidRDefault="008E344C" w:rsidP="00F07C2E">
      <w:r w:rsidRPr="008E344C">
        <w:t xml:space="preserve">Are </w:t>
      </w:r>
      <w:r w:rsidR="00AA5571" w:rsidRPr="008E344C">
        <w:t xml:space="preserve">there any </w:t>
      </w:r>
      <w:r w:rsidRPr="008E344C">
        <w:t xml:space="preserve">additional relevant data from </w:t>
      </w:r>
      <w:r w:rsidR="00AA5571" w:rsidRPr="008E344C">
        <w:t xml:space="preserve">long term </w:t>
      </w:r>
      <w:r w:rsidRPr="008E344C">
        <w:t xml:space="preserve">follow-up or </w:t>
      </w:r>
      <w:r w:rsidR="00AA5571" w:rsidRPr="008E344C">
        <w:t>extension of the pivotal studies</w:t>
      </w:r>
      <w:r w:rsidRPr="008E344C">
        <w:t>?</w:t>
      </w:r>
    </w:p>
    <w:p w:rsidR="00C618F7" w:rsidRDefault="00C618F7" w:rsidP="00F07C2E">
      <w:pPr>
        <w:pStyle w:val="Heading3"/>
      </w:pPr>
      <w:bookmarkStart w:id="608" w:name="_Toc380660820"/>
      <w:r>
        <w:t>Safety</w:t>
      </w:r>
      <w:bookmarkEnd w:id="608"/>
    </w:p>
    <w:p w:rsidR="008E344C" w:rsidRPr="008E344C" w:rsidRDefault="008E344C" w:rsidP="00F07C2E">
      <w:r w:rsidRPr="008E344C">
        <w:t xml:space="preserve">Up to date information on the other (non-TGA) jurisdictions for </w:t>
      </w:r>
      <w:proofErr w:type="spellStart"/>
      <w:r w:rsidRPr="008E344C">
        <w:t>Jaydess</w:t>
      </w:r>
      <w:proofErr w:type="spellEnd"/>
      <w:r w:rsidRPr="008E344C">
        <w:t xml:space="preserve"> registration was not provided at the time of the submission.</w:t>
      </w:r>
    </w:p>
    <w:p w:rsidR="008E344C" w:rsidRPr="008E344C" w:rsidRDefault="008E344C" w:rsidP="00F07C2E">
      <w:r w:rsidRPr="008E344C">
        <w:t>Is there up to</w:t>
      </w:r>
      <w:r w:rsidR="00F07C2E">
        <w:t xml:space="preserve"> date registration information?</w:t>
      </w:r>
    </w:p>
    <w:p w:rsidR="008E344C" w:rsidRPr="008E344C" w:rsidRDefault="008E344C" w:rsidP="00F07C2E">
      <w:pPr>
        <w:pStyle w:val="Numberbullet0"/>
        <w:numPr>
          <w:ilvl w:val="0"/>
          <w:numId w:val="19"/>
        </w:numPr>
      </w:pPr>
      <w:r w:rsidRPr="008E344C">
        <w:lastRenderedPageBreak/>
        <w:t>Are there any additional relevant data from long term follow-up or ext</w:t>
      </w:r>
      <w:r w:rsidR="00F07C2E">
        <w:t>ension of the pivotal studies?</w:t>
      </w:r>
    </w:p>
    <w:p w:rsidR="008E344C" w:rsidRPr="008E344C" w:rsidRDefault="008E344C" w:rsidP="00F07C2E">
      <w:pPr>
        <w:pStyle w:val="Numberbullet0"/>
      </w:pPr>
      <w:r>
        <w:t xml:space="preserve"> </w:t>
      </w:r>
      <w:r w:rsidRPr="008E344C">
        <w:t>Other studies mentioned in the dossier included:</w:t>
      </w:r>
    </w:p>
    <w:p w:rsidR="008E344C" w:rsidRPr="008E344C" w:rsidRDefault="008E344C" w:rsidP="00F07C2E">
      <w:pPr>
        <w:pStyle w:val="ListBullet2"/>
      </w:pPr>
      <w:r w:rsidRPr="008E344C">
        <w:t>Study 9177</w:t>
      </w:r>
      <w:r w:rsidR="00F07C2E">
        <w:t>5</w:t>
      </w:r>
    </w:p>
    <w:p w:rsidR="008E344C" w:rsidRPr="008E344C" w:rsidRDefault="00F07C2E" w:rsidP="00F07C2E">
      <w:pPr>
        <w:pStyle w:val="ListBullet2"/>
      </w:pPr>
      <w:r>
        <w:t>Study 13362.</w:t>
      </w:r>
    </w:p>
    <w:p w:rsidR="008E344C" w:rsidRPr="008E344C" w:rsidRDefault="00F07C2E" w:rsidP="00F07C2E">
      <w:pPr>
        <w:pStyle w:val="ListBullet2"/>
      </w:pPr>
      <w:r>
        <w:t>A phase 3b (protocol 13363)</w:t>
      </w:r>
    </w:p>
    <w:p w:rsidR="008E344C" w:rsidRPr="008E344C" w:rsidRDefault="008E344C" w:rsidP="00F07C2E">
      <w:r w:rsidRPr="008E344C">
        <w:t>Are there additional safety data from these studies, particularly with respect to ectopic pregnancy, expulsion, and infection, available for evaluation?</w:t>
      </w:r>
    </w:p>
    <w:p w:rsidR="00C618F7" w:rsidRDefault="00C618F7" w:rsidP="005745C4">
      <w:pPr>
        <w:pStyle w:val="Heading2"/>
      </w:pPr>
      <w:bookmarkStart w:id="609" w:name="_Toc380660821"/>
      <w:r>
        <w:t xml:space="preserve">Second round </w:t>
      </w:r>
      <w:r w:rsidRPr="005745C4">
        <w:t>evaluation</w:t>
      </w:r>
      <w:r>
        <w:t xml:space="preserve"> of clinical data submitted in response to questions</w:t>
      </w:r>
      <w:bookmarkEnd w:id="609"/>
    </w:p>
    <w:p w:rsidR="00AA5571" w:rsidRPr="00D2161C" w:rsidRDefault="00AA5571" w:rsidP="005745C4">
      <w:r w:rsidRPr="00D2161C">
        <w:t>In the S31 replies, the Sponsor has submitted extra information for Modules 1,3 and 5 and provided some data (when available) on the long-term extension studies.</w:t>
      </w:r>
    </w:p>
    <w:p w:rsidR="00AA5571" w:rsidRPr="00D2161C" w:rsidRDefault="00AA5571" w:rsidP="005745C4">
      <w:r w:rsidRPr="00D2161C">
        <w:t xml:space="preserve">Module 1 includes Table of Contents, EU Risk Management Plan and Plan for Australia, label </w:t>
      </w:r>
      <w:proofErr w:type="spellStart"/>
      <w:r w:rsidRPr="00D2161C">
        <w:t>mockups</w:t>
      </w:r>
      <w:proofErr w:type="spellEnd"/>
      <w:r w:rsidRPr="00D2161C">
        <w:t xml:space="preserve"> and specimens, proposed CMI and PI (the latter with tracked changes), responses to questions, letter of application and Table of Contents.</w:t>
      </w:r>
    </w:p>
    <w:p w:rsidR="00AA5571" w:rsidRPr="00D2161C" w:rsidRDefault="00AA5571" w:rsidP="005745C4">
      <w:r w:rsidRPr="00D2161C">
        <w:t>Module 3 includes Table of Contents, documentations about reference standards and stability data</w:t>
      </w:r>
      <w:r w:rsidR="005745C4">
        <w:t>.</w:t>
      </w:r>
    </w:p>
    <w:p w:rsidR="00AA5571" w:rsidRPr="00D2161C" w:rsidRDefault="00AA5571" w:rsidP="005745C4">
      <w:r w:rsidRPr="00D2161C">
        <w:t>Module 5 includes Table of Contents, Clinical Study Report for 91665 and its amendment for the follow up of the ‘return to fertility’.</w:t>
      </w:r>
    </w:p>
    <w:p w:rsidR="00AA5571" w:rsidRDefault="00AA5571" w:rsidP="005745C4">
      <w:pPr>
        <w:rPr>
          <w:bCs/>
          <w:lang w:eastAsia="ja-JP"/>
        </w:rPr>
      </w:pPr>
      <w:r w:rsidRPr="00AA5571">
        <w:rPr>
          <w:lang w:eastAsia="ja-JP"/>
        </w:rPr>
        <w:t>The below TGA questions (</w:t>
      </w:r>
      <w:r w:rsidRPr="00AA5571">
        <w:rPr>
          <w:b/>
          <w:lang w:eastAsia="ja-JP"/>
        </w:rPr>
        <w:t>in bold</w:t>
      </w:r>
      <w:r w:rsidRPr="00AA5571">
        <w:rPr>
          <w:lang w:eastAsia="ja-JP"/>
        </w:rPr>
        <w:t xml:space="preserve">) and answers (Sponsor) are those that specifically relate to the clinical questions and those posed by the First Round Evaluation. They are taken from </w:t>
      </w:r>
      <w:r w:rsidRPr="00AA5571">
        <w:rPr>
          <w:bCs/>
          <w:lang w:eastAsia="ja-JP"/>
        </w:rPr>
        <w:t>Module 1.0.2 Responses to Questions</w:t>
      </w:r>
      <w:r w:rsidRPr="00AA5571">
        <w:rPr>
          <w:lang w:eastAsia="ja-JP"/>
        </w:rPr>
        <w:t xml:space="preserve"> from the request for </w:t>
      </w:r>
      <w:r w:rsidRPr="00AA5571">
        <w:rPr>
          <w:bCs/>
          <w:lang w:eastAsia="ja-JP"/>
        </w:rPr>
        <w:t>information from the Module 5 Evaluator.</w:t>
      </w:r>
    </w:p>
    <w:p w:rsidR="00737B1A" w:rsidRPr="00AA5571" w:rsidRDefault="00737B1A" w:rsidP="005745C4">
      <w:pPr>
        <w:pStyle w:val="Heading3"/>
      </w:pPr>
      <w:bookmarkStart w:id="610" w:name="_Toc380660822"/>
      <w:r>
        <w:t>Efficacy</w:t>
      </w:r>
      <w:bookmarkEnd w:id="610"/>
    </w:p>
    <w:p w:rsidR="00AA5571" w:rsidRPr="00AA5571" w:rsidRDefault="00AA5571" w:rsidP="005745C4">
      <w:pPr>
        <w:pStyle w:val="Heading4"/>
        <w:numPr>
          <w:ilvl w:val="0"/>
          <w:numId w:val="0"/>
        </w:numPr>
      </w:pPr>
      <w:r w:rsidRPr="00AA5571">
        <w:t>Are there any additional relevant data from long term follow-up or extension of the pivotal studies?</w:t>
      </w:r>
    </w:p>
    <w:p w:rsidR="00AA5571" w:rsidRPr="00AA5571" w:rsidRDefault="00AA5571" w:rsidP="005745C4">
      <w:pPr>
        <w:rPr>
          <w:lang w:eastAsia="ja-JP"/>
        </w:rPr>
      </w:pPr>
      <w:r w:rsidRPr="00AA5571">
        <w:rPr>
          <w:lang w:eastAsia="ja-JP"/>
        </w:rPr>
        <w:t xml:space="preserve">The ongoing extension phase of the pivotal Phase 3 study (Protocol 310442-91665, Report A52238) includes only subjects in the LCS16 group who were given the option to continue use up to a maximum of 5 years of treatment according to Protocol Amendment 5 of this study. There had been one addendum to the Phase 3 study relating to the follow-up of return to fertility information gathered after completion of the 3 year phase of the study. This addendum was finalised on 27 Feb 2013 and the appendices to the addendum are provided electronically and reviewed. In this extension study, 204 women who wished to become pregnant were followed up; 76.7% of these became pregnant in 1 year. This is comparable with return to fertility data for users of IUSs with higher dose LNG. The health outcomes apart from expulsions in the women who had continued </w:t>
      </w:r>
      <w:proofErr w:type="gramStart"/>
      <w:r w:rsidRPr="00AA5571">
        <w:rPr>
          <w:lang w:eastAsia="ja-JP"/>
        </w:rPr>
        <w:t>was</w:t>
      </w:r>
      <w:proofErr w:type="gramEnd"/>
      <w:r w:rsidRPr="00AA5571">
        <w:rPr>
          <w:lang w:eastAsia="ja-JP"/>
        </w:rPr>
        <w:t xml:space="preserve"> unable to be located</w:t>
      </w:r>
      <w:r w:rsidR="005745C4">
        <w:rPr>
          <w:lang w:eastAsia="ja-JP"/>
        </w:rPr>
        <w:t>.</w:t>
      </w:r>
    </w:p>
    <w:p w:rsidR="00AA5571" w:rsidRPr="00AA5571" w:rsidRDefault="00AA5571" w:rsidP="005745C4">
      <w:pPr>
        <w:rPr>
          <w:lang w:eastAsia="ja-JP"/>
        </w:rPr>
      </w:pPr>
      <w:r w:rsidRPr="00AA5571">
        <w:rPr>
          <w:lang w:eastAsia="ja-JP"/>
        </w:rPr>
        <w:t xml:space="preserve">There was no long-term follow-up from the completed Phase 2 study (Protocol 308901, Report A46796). There had been one amendment to the Phase 2 study which was reviewed in the initial evaluation (analysis of bleeding patterns, return to fertility and PD, collected </w:t>
      </w:r>
      <w:r w:rsidR="005745C4">
        <w:rPr>
          <w:lang w:eastAsia="ja-JP"/>
        </w:rPr>
        <w:t>after the study was completed).</w:t>
      </w:r>
    </w:p>
    <w:p w:rsidR="00AA5571" w:rsidRPr="00AA5571" w:rsidRDefault="00AA5571" w:rsidP="00AA5571">
      <w:pPr>
        <w:rPr>
          <w:lang w:eastAsia="ja-JP"/>
        </w:rPr>
      </w:pPr>
      <w:r w:rsidRPr="00AA5571">
        <w:rPr>
          <w:lang w:eastAsia="ja-JP"/>
        </w:rPr>
        <w:t xml:space="preserve">The Sponsor advises that there are currently 4 studies ongoing with </w:t>
      </w:r>
      <w:proofErr w:type="spellStart"/>
      <w:r w:rsidRPr="00AA5571">
        <w:rPr>
          <w:lang w:eastAsia="ja-JP"/>
        </w:rPr>
        <w:t>Jaydess</w:t>
      </w:r>
      <w:proofErr w:type="spellEnd"/>
      <w:r w:rsidRPr="00AA5571">
        <w:rPr>
          <w:lang w:eastAsia="ja-JP"/>
        </w:rPr>
        <w:t xml:space="preserve"> and the estimated reporting timelines for these are in the latter half of </w:t>
      </w:r>
      <w:r w:rsidR="005745C4">
        <w:rPr>
          <w:lang w:eastAsia="ja-JP"/>
        </w:rPr>
        <w:t>2013 (Q3 and Q4) and 2014 (Q1).</w:t>
      </w:r>
    </w:p>
    <w:p w:rsidR="00AA5571" w:rsidRPr="00737B1A" w:rsidRDefault="00737B1A" w:rsidP="005745C4">
      <w:pPr>
        <w:pStyle w:val="Heading3"/>
      </w:pPr>
      <w:bookmarkStart w:id="611" w:name="_Toc380660823"/>
      <w:r>
        <w:lastRenderedPageBreak/>
        <w:t>S</w:t>
      </w:r>
      <w:r w:rsidRPr="00737B1A">
        <w:t>afety</w:t>
      </w:r>
      <w:bookmarkEnd w:id="611"/>
    </w:p>
    <w:p w:rsidR="00AA5571" w:rsidRPr="00AA5571" w:rsidRDefault="00AA5571" w:rsidP="005745C4">
      <w:pPr>
        <w:pStyle w:val="Heading4"/>
        <w:numPr>
          <w:ilvl w:val="0"/>
          <w:numId w:val="0"/>
        </w:numPr>
      </w:pPr>
      <w:proofErr w:type="gramStart"/>
      <w:r w:rsidRPr="00AA5571">
        <w:t xml:space="preserve">Up to date information on the other (non-TGA) jurisdictions for </w:t>
      </w:r>
      <w:proofErr w:type="spellStart"/>
      <w:r w:rsidRPr="00AA5571">
        <w:t>Jaydess</w:t>
      </w:r>
      <w:proofErr w:type="spellEnd"/>
      <w:r w:rsidRPr="00AA5571">
        <w:t xml:space="preserve"> registration, with noted approval in the USA and Sweden in 2013.</w:t>
      </w:r>
      <w:proofErr w:type="gramEnd"/>
    </w:p>
    <w:p w:rsidR="00AA5571" w:rsidRPr="00737B1A" w:rsidRDefault="00AA5571" w:rsidP="005745C4">
      <w:pPr>
        <w:pStyle w:val="ListBullet"/>
      </w:pPr>
      <w:r w:rsidRPr="00737B1A">
        <w:t>The Netherlands Submitted December 2011</w:t>
      </w:r>
    </w:p>
    <w:p w:rsidR="00AA5571" w:rsidRPr="00737B1A" w:rsidRDefault="00AA5571" w:rsidP="005745C4">
      <w:pPr>
        <w:pStyle w:val="ListBullet"/>
      </w:pPr>
      <w:r w:rsidRPr="00737B1A">
        <w:t>United Kingdom Submitted December 2011</w:t>
      </w:r>
    </w:p>
    <w:p w:rsidR="00AA5571" w:rsidRPr="00737B1A" w:rsidRDefault="00AA5571" w:rsidP="00737B1A">
      <w:pPr>
        <w:pStyle w:val="ListBullet"/>
      </w:pPr>
      <w:r w:rsidRPr="00737B1A">
        <w:t>Switzerland Submitted January 2012</w:t>
      </w:r>
    </w:p>
    <w:p w:rsidR="00AA5571" w:rsidRPr="00737B1A" w:rsidRDefault="00AA5571" w:rsidP="005745C4">
      <w:pPr>
        <w:pStyle w:val="ListBullet"/>
      </w:pPr>
      <w:r w:rsidRPr="00737B1A">
        <w:t>Canada Submitted April 2012</w:t>
      </w:r>
    </w:p>
    <w:p w:rsidR="00AA5571" w:rsidRPr="00737B1A" w:rsidRDefault="00AA5571" w:rsidP="00737B1A">
      <w:pPr>
        <w:pStyle w:val="ListBullet"/>
      </w:pPr>
      <w:r w:rsidRPr="00737B1A">
        <w:t>United States of America Approved 9 January 2013</w:t>
      </w:r>
    </w:p>
    <w:p w:rsidR="00AA5571" w:rsidRPr="00737B1A" w:rsidRDefault="00AA5571" w:rsidP="005745C4">
      <w:pPr>
        <w:pStyle w:val="ListBullet"/>
      </w:pPr>
      <w:r w:rsidRPr="00737B1A">
        <w:t>Sweden Approved 10 January 2013</w:t>
      </w:r>
    </w:p>
    <w:p w:rsidR="00AA5571" w:rsidRPr="00737B1A" w:rsidRDefault="00AA5571" w:rsidP="00737B1A">
      <w:pPr>
        <w:pStyle w:val="ListBullet"/>
      </w:pPr>
      <w:r w:rsidRPr="00737B1A">
        <w:t>New Zealand To be submitted</w:t>
      </w:r>
    </w:p>
    <w:p w:rsidR="00AA5571" w:rsidRPr="00AA5571" w:rsidRDefault="00AA5571" w:rsidP="005745C4">
      <w:pPr>
        <w:pStyle w:val="Heading4"/>
        <w:numPr>
          <w:ilvl w:val="0"/>
          <w:numId w:val="0"/>
        </w:numPr>
      </w:pPr>
      <w:r w:rsidRPr="00AA5571">
        <w:t>Additional safety data from</w:t>
      </w:r>
    </w:p>
    <w:p w:rsidR="00AA5571" w:rsidRPr="00AA5571" w:rsidRDefault="00AA5571" w:rsidP="005745C4">
      <w:pPr>
        <w:pStyle w:val="ListBullet"/>
        <w:rPr>
          <w:lang w:eastAsia="ja-JP"/>
        </w:rPr>
      </w:pPr>
      <w:r w:rsidRPr="00AA5571">
        <w:rPr>
          <w:lang w:eastAsia="ja-JP"/>
        </w:rPr>
        <w:t>Study 91775</w:t>
      </w:r>
    </w:p>
    <w:p w:rsidR="00AA5571" w:rsidRPr="00AA5571" w:rsidRDefault="00AA5571" w:rsidP="005745C4">
      <w:pPr>
        <w:pStyle w:val="ListBullet"/>
        <w:rPr>
          <w:lang w:eastAsia="ja-JP"/>
        </w:rPr>
      </w:pPr>
      <w:r w:rsidRPr="00AA5571">
        <w:rPr>
          <w:lang w:eastAsia="ja-JP"/>
        </w:rPr>
        <w:t xml:space="preserve">Study </w:t>
      </w:r>
      <w:r w:rsidRPr="005745C4">
        <w:t>13362A</w:t>
      </w:r>
    </w:p>
    <w:p w:rsidR="00AA5571" w:rsidRPr="00AA5571" w:rsidRDefault="00AA5571" w:rsidP="005745C4">
      <w:pPr>
        <w:pStyle w:val="ListBullet"/>
        <w:rPr>
          <w:lang w:eastAsia="ja-JP"/>
        </w:rPr>
      </w:pPr>
      <w:r w:rsidRPr="00AA5571">
        <w:rPr>
          <w:lang w:eastAsia="ja-JP"/>
        </w:rPr>
        <w:t>Phase 3b (</w:t>
      </w:r>
      <w:r w:rsidRPr="005745C4">
        <w:t>protocol</w:t>
      </w:r>
      <w:r w:rsidRPr="00AA5571">
        <w:rPr>
          <w:lang w:eastAsia="ja-JP"/>
        </w:rPr>
        <w:t xml:space="preserve"> 13363), was requested, specifically on ectopic pregnancy, expulsion, and infection.</w:t>
      </w:r>
    </w:p>
    <w:p w:rsidR="00AA5571" w:rsidRPr="00AA5571" w:rsidRDefault="00AA5571" w:rsidP="005745C4">
      <w:pPr>
        <w:rPr>
          <w:lang w:eastAsia="ja-JP"/>
        </w:rPr>
      </w:pPr>
      <w:r w:rsidRPr="00AA5571">
        <w:rPr>
          <w:lang w:eastAsia="ja-JP"/>
        </w:rPr>
        <w:t xml:space="preserve">Appendix 1 in the Response provided a tabular listing of pregnancies, expulsions, PID reported and SAEs (up to a cut-off date of 23 December 2012) in the ongoing </w:t>
      </w:r>
      <w:proofErr w:type="spellStart"/>
      <w:r w:rsidRPr="00AA5571">
        <w:rPr>
          <w:lang w:eastAsia="ja-JP"/>
        </w:rPr>
        <w:t>Jaydess</w:t>
      </w:r>
      <w:proofErr w:type="spellEnd"/>
      <w:r w:rsidRPr="00AA5571">
        <w:rPr>
          <w:lang w:eastAsia="ja-JP"/>
        </w:rPr>
        <w:t xml:space="preserve"> studies. It was noted that this data is from ongoing studies where no formal data cleaning has taken place and therefore cannot be considered final data. These studies include: Protocol 91775; Protocol 13362; Protocol 13363;</w:t>
      </w:r>
      <w:r w:rsidR="007E3B41">
        <w:rPr>
          <w:lang w:eastAsia="ja-JP"/>
        </w:rPr>
        <w:t xml:space="preserve"> </w:t>
      </w:r>
      <w:r w:rsidR="00737B1A">
        <w:rPr>
          <w:lang w:eastAsia="ja-JP"/>
        </w:rPr>
        <w:t xml:space="preserve">and </w:t>
      </w:r>
      <w:r w:rsidRPr="00AA5571">
        <w:rPr>
          <w:lang w:eastAsia="ja-JP"/>
        </w:rPr>
        <w:t>Protocol 14371;</w:t>
      </w:r>
    </w:p>
    <w:p w:rsidR="00AA5571" w:rsidRPr="00AA5571" w:rsidRDefault="00AA5571" w:rsidP="005745C4">
      <w:pPr>
        <w:pStyle w:val="Heading4"/>
        <w:numPr>
          <w:ilvl w:val="0"/>
          <w:numId w:val="0"/>
        </w:numPr>
      </w:pPr>
      <w:r w:rsidRPr="00AA5571">
        <w:t>Pregnancies</w:t>
      </w:r>
      <w:r w:rsidR="00737B1A">
        <w:t>:</w:t>
      </w:r>
    </w:p>
    <w:p w:rsidR="00AA5571" w:rsidRPr="00737B1A" w:rsidRDefault="00AA5571" w:rsidP="005745C4">
      <w:r w:rsidRPr="00AA5571">
        <w:rPr>
          <w:b/>
          <w:lang w:eastAsia="ja-JP"/>
        </w:rPr>
        <w:t>Protocol 91775</w:t>
      </w:r>
      <w:r w:rsidR="00737B1A">
        <w:rPr>
          <w:b/>
          <w:lang w:eastAsia="ja-JP"/>
        </w:rPr>
        <w:t xml:space="preserve">: </w:t>
      </w:r>
      <w:r w:rsidRPr="00737B1A">
        <w:t>In 918 women with successful insertions there were 8 on-treatment pregnancies, which with a 2150 WY gives a Pearl index of 0.37</w:t>
      </w:r>
      <w:r w:rsidR="00737B1A">
        <w:t>. Of these pregnancies,</w:t>
      </w:r>
      <w:r w:rsidRPr="00737B1A">
        <w:t xml:space="preserve"> 2 x unnoticed LCS expulsion, 1 x displaced LCS12, 4 </w:t>
      </w:r>
      <w:proofErr w:type="spellStart"/>
      <w:r w:rsidRPr="00737B1A">
        <w:t>ectopics</w:t>
      </w:r>
      <w:proofErr w:type="spellEnd"/>
      <w:r w:rsidRPr="00737B1A">
        <w:t xml:space="preserve">, one pregnancy whilst LCS 12 </w:t>
      </w:r>
      <w:r w:rsidRPr="00737B1A">
        <w:rPr>
          <w:i/>
          <w:iCs/>
        </w:rPr>
        <w:t>in situ</w:t>
      </w:r>
      <w:r w:rsidR="005745C4">
        <w:rPr>
          <w:i/>
          <w:iCs/>
        </w:rPr>
        <w:t>.</w:t>
      </w:r>
    </w:p>
    <w:p w:rsidR="00AA5571" w:rsidRPr="00AA5571" w:rsidRDefault="00AA5571" w:rsidP="005745C4">
      <w:pPr>
        <w:rPr>
          <w:lang w:eastAsia="ja-JP"/>
        </w:rPr>
      </w:pPr>
      <w:proofErr w:type="gramStart"/>
      <w:r w:rsidRPr="00AA5571">
        <w:rPr>
          <w:b/>
          <w:lang w:eastAsia="ja-JP"/>
        </w:rPr>
        <w:t>Protocol 13362</w:t>
      </w:r>
      <w:r w:rsidR="00737B1A">
        <w:rPr>
          <w:b/>
          <w:lang w:eastAsia="ja-JP"/>
        </w:rPr>
        <w:t xml:space="preserve">: </w:t>
      </w:r>
      <w:r w:rsidRPr="00AA5571">
        <w:rPr>
          <w:lang w:eastAsia="ja-JP"/>
        </w:rPr>
        <w:t>1 ectopic pregnancy, 1 spontaneous abortion.</w:t>
      </w:r>
      <w:proofErr w:type="gramEnd"/>
    </w:p>
    <w:p w:rsidR="00AA5571" w:rsidRPr="00AA5571" w:rsidRDefault="00AA5571" w:rsidP="005745C4">
      <w:pPr>
        <w:rPr>
          <w:lang w:eastAsia="ja-JP"/>
        </w:rPr>
      </w:pPr>
      <w:proofErr w:type="gramStart"/>
      <w:r w:rsidRPr="00AA5571">
        <w:rPr>
          <w:b/>
          <w:lang w:eastAsia="ja-JP"/>
        </w:rPr>
        <w:t>Protocol 13363</w:t>
      </w:r>
      <w:r w:rsidR="00737B1A">
        <w:rPr>
          <w:b/>
          <w:lang w:eastAsia="ja-JP"/>
        </w:rPr>
        <w:t xml:space="preserve">: </w:t>
      </w:r>
      <w:r w:rsidRPr="00AA5571">
        <w:rPr>
          <w:lang w:eastAsia="ja-JP"/>
        </w:rPr>
        <w:t xml:space="preserve">1 ectopic and 1 with LCS </w:t>
      </w:r>
      <w:r w:rsidRPr="00B3081E">
        <w:rPr>
          <w:i/>
          <w:iCs/>
          <w:lang w:eastAsia="ja-JP"/>
        </w:rPr>
        <w:t>in situ</w:t>
      </w:r>
      <w:r w:rsidRPr="00AA5571">
        <w:rPr>
          <w:lang w:eastAsia="ja-JP"/>
        </w:rPr>
        <w:t xml:space="preserve"> (difficult history)</w:t>
      </w:r>
      <w:r w:rsidR="005745C4">
        <w:rPr>
          <w:lang w:eastAsia="ja-JP"/>
        </w:rPr>
        <w:t>.</w:t>
      </w:r>
      <w:proofErr w:type="gramEnd"/>
    </w:p>
    <w:p w:rsidR="00AA5571" w:rsidRPr="00AA5571" w:rsidRDefault="00AA5571" w:rsidP="005745C4">
      <w:pPr>
        <w:rPr>
          <w:lang w:eastAsia="ja-JP"/>
        </w:rPr>
      </w:pPr>
      <w:r w:rsidRPr="00AA5571">
        <w:rPr>
          <w:b/>
          <w:lang w:eastAsia="ja-JP"/>
        </w:rPr>
        <w:t>Protocol 14371</w:t>
      </w:r>
      <w:r w:rsidR="00737B1A">
        <w:rPr>
          <w:b/>
          <w:lang w:eastAsia="ja-JP"/>
        </w:rPr>
        <w:t xml:space="preserve">: </w:t>
      </w:r>
      <w:proofErr w:type="spellStart"/>
      <w:r w:rsidRPr="00AA5571">
        <w:rPr>
          <w:lang w:eastAsia="ja-JP"/>
        </w:rPr>
        <w:t>No on</w:t>
      </w:r>
      <w:proofErr w:type="spellEnd"/>
      <w:r w:rsidRPr="00AA5571">
        <w:rPr>
          <w:lang w:eastAsia="ja-JP"/>
        </w:rPr>
        <w:t>-treatment pregnancies were reported</w:t>
      </w:r>
      <w:r w:rsidR="005745C4">
        <w:rPr>
          <w:lang w:eastAsia="ja-JP"/>
        </w:rPr>
        <w:t>.</w:t>
      </w:r>
    </w:p>
    <w:p w:rsidR="00AA5571" w:rsidRPr="00737B1A" w:rsidRDefault="00AA5571" w:rsidP="005745C4">
      <w:r w:rsidRPr="00737B1A">
        <w:t>For studies 13362, 13363, 14371 the number of successful insertions and WY was not provided to enable calculation of PI.</w:t>
      </w:r>
    </w:p>
    <w:p w:rsidR="00AA5571" w:rsidRPr="00AA5571" w:rsidRDefault="00AA5571" w:rsidP="005745C4">
      <w:pPr>
        <w:pStyle w:val="Heading4"/>
        <w:numPr>
          <w:ilvl w:val="0"/>
          <w:numId w:val="0"/>
        </w:numPr>
      </w:pPr>
      <w:r w:rsidRPr="00AA5571">
        <w:t>Deaths</w:t>
      </w:r>
      <w:r w:rsidR="00737B1A">
        <w:t>:</w:t>
      </w:r>
    </w:p>
    <w:p w:rsidR="00AA5571" w:rsidRPr="00AA5571" w:rsidRDefault="00AA5571" w:rsidP="005745C4">
      <w:pPr>
        <w:rPr>
          <w:b/>
          <w:lang w:eastAsia="ja-JP"/>
        </w:rPr>
      </w:pPr>
      <w:r w:rsidRPr="00AA5571">
        <w:rPr>
          <w:lang w:eastAsia="ja-JP"/>
        </w:rPr>
        <w:t>2 deaths judged as unrelated to LCS12</w:t>
      </w:r>
      <w:r w:rsidRPr="005745C4">
        <w:t>.</w:t>
      </w:r>
    </w:p>
    <w:p w:rsidR="00AA5571" w:rsidRPr="00AA5571" w:rsidRDefault="00AA5571" w:rsidP="005745C4">
      <w:pPr>
        <w:pStyle w:val="Heading4"/>
        <w:numPr>
          <w:ilvl w:val="0"/>
          <w:numId w:val="0"/>
        </w:numPr>
      </w:pPr>
      <w:r w:rsidRPr="00AA5571">
        <w:t>SAEs reported up to Dec 2012 and judged by investigator/Sponsor to be related to IUS</w:t>
      </w:r>
      <w:r w:rsidR="00737B1A">
        <w:t>:</w:t>
      </w:r>
    </w:p>
    <w:p w:rsidR="00AA5571" w:rsidRPr="00AA5571" w:rsidRDefault="00AA5571" w:rsidP="005745C4">
      <w:pPr>
        <w:rPr>
          <w:lang w:eastAsia="ja-JP"/>
        </w:rPr>
      </w:pPr>
      <w:r w:rsidRPr="00AA5571">
        <w:rPr>
          <w:b/>
          <w:lang w:eastAsia="ja-JP"/>
        </w:rPr>
        <w:t>91775</w:t>
      </w:r>
      <w:r w:rsidR="00737B1A">
        <w:rPr>
          <w:b/>
          <w:lang w:eastAsia="ja-JP"/>
        </w:rPr>
        <w:t xml:space="preserve">: </w:t>
      </w:r>
      <w:r w:rsidRPr="00AA5571">
        <w:rPr>
          <w:lang w:eastAsia="ja-JP"/>
        </w:rPr>
        <w:t xml:space="preserve">Ovarian torsion, </w:t>
      </w:r>
      <w:proofErr w:type="spellStart"/>
      <w:r w:rsidRPr="00AA5571">
        <w:rPr>
          <w:lang w:eastAsia="ja-JP"/>
        </w:rPr>
        <w:t>vulvovaginitis</w:t>
      </w:r>
      <w:proofErr w:type="spellEnd"/>
      <w:r w:rsidRPr="00AA5571">
        <w:rPr>
          <w:lang w:eastAsia="ja-JP"/>
        </w:rPr>
        <w:t>, ectopic (3), ovarian cyst (3).</w:t>
      </w:r>
    </w:p>
    <w:p w:rsidR="00AA5571" w:rsidRPr="00AA5571" w:rsidRDefault="00AA5571" w:rsidP="005745C4">
      <w:pPr>
        <w:rPr>
          <w:lang w:eastAsia="ja-JP"/>
        </w:rPr>
      </w:pPr>
      <w:proofErr w:type="gramStart"/>
      <w:r w:rsidRPr="00AA5571">
        <w:rPr>
          <w:b/>
          <w:lang w:eastAsia="ja-JP"/>
        </w:rPr>
        <w:t>13362</w:t>
      </w:r>
      <w:r w:rsidR="00737B1A">
        <w:rPr>
          <w:b/>
          <w:lang w:eastAsia="ja-JP"/>
        </w:rPr>
        <w:t xml:space="preserve">: </w:t>
      </w:r>
      <w:r w:rsidRPr="00AA5571">
        <w:rPr>
          <w:lang w:eastAsia="ja-JP"/>
        </w:rPr>
        <w:t>1 ectopic, 1 spontaneous abortion, ovarian cyst</w:t>
      </w:r>
      <w:r w:rsidR="005745C4">
        <w:rPr>
          <w:lang w:eastAsia="ja-JP"/>
        </w:rPr>
        <w:t>.</w:t>
      </w:r>
      <w:proofErr w:type="gramEnd"/>
    </w:p>
    <w:p w:rsidR="00AA5571" w:rsidRPr="00AA5571" w:rsidRDefault="00AA5571" w:rsidP="005745C4">
      <w:pPr>
        <w:rPr>
          <w:lang w:eastAsia="ja-JP"/>
        </w:rPr>
      </w:pPr>
      <w:proofErr w:type="gramStart"/>
      <w:r w:rsidRPr="00AA5571">
        <w:rPr>
          <w:b/>
          <w:lang w:eastAsia="ja-JP"/>
        </w:rPr>
        <w:t>13363</w:t>
      </w:r>
      <w:r w:rsidR="00737B1A">
        <w:rPr>
          <w:b/>
          <w:lang w:eastAsia="ja-JP"/>
        </w:rPr>
        <w:t xml:space="preserve">: </w:t>
      </w:r>
      <w:r w:rsidRPr="00AA5571">
        <w:rPr>
          <w:lang w:eastAsia="ja-JP"/>
        </w:rPr>
        <w:t>1 ectopic, 1 cerebral infarction (not LCS12 group)</w:t>
      </w:r>
      <w:r w:rsidR="005745C4">
        <w:rPr>
          <w:lang w:eastAsia="ja-JP"/>
        </w:rPr>
        <w:t>.</w:t>
      </w:r>
      <w:proofErr w:type="gramEnd"/>
    </w:p>
    <w:p w:rsidR="00AA5571" w:rsidRPr="00AA5571" w:rsidRDefault="00AA5571" w:rsidP="005745C4">
      <w:pPr>
        <w:rPr>
          <w:b/>
          <w:lang w:eastAsia="ja-JP"/>
        </w:rPr>
      </w:pPr>
      <w:proofErr w:type="gramStart"/>
      <w:r w:rsidRPr="00AA5571">
        <w:rPr>
          <w:b/>
          <w:lang w:eastAsia="ja-JP"/>
        </w:rPr>
        <w:t>14371</w:t>
      </w:r>
      <w:r w:rsidR="00737B1A">
        <w:rPr>
          <w:b/>
          <w:lang w:eastAsia="ja-JP"/>
        </w:rPr>
        <w:t xml:space="preserve">: </w:t>
      </w:r>
      <w:r w:rsidRPr="00AA5571">
        <w:rPr>
          <w:lang w:eastAsia="ja-JP"/>
        </w:rPr>
        <w:t xml:space="preserve">1 each of </w:t>
      </w:r>
      <w:proofErr w:type="spellStart"/>
      <w:r w:rsidRPr="00AA5571">
        <w:rPr>
          <w:lang w:eastAsia="ja-JP"/>
        </w:rPr>
        <w:t>endometritis</w:t>
      </w:r>
      <w:proofErr w:type="spellEnd"/>
      <w:r w:rsidRPr="00AA5571">
        <w:rPr>
          <w:lang w:eastAsia="ja-JP"/>
        </w:rPr>
        <w:t>, ovarian torsion, abdominal pain, pelvic pain, ovarian cyst</w:t>
      </w:r>
      <w:r w:rsidR="005745C4">
        <w:rPr>
          <w:lang w:eastAsia="ja-JP"/>
        </w:rPr>
        <w:t>.</w:t>
      </w:r>
      <w:proofErr w:type="gramEnd"/>
    </w:p>
    <w:p w:rsidR="00AA5571" w:rsidRPr="00AA5571" w:rsidRDefault="00AA5571" w:rsidP="005745C4">
      <w:pPr>
        <w:pStyle w:val="Heading4"/>
        <w:numPr>
          <w:ilvl w:val="0"/>
          <w:numId w:val="0"/>
        </w:numPr>
      </w:pPr>
      <w:r w:rsidRPr="00AA5571">
        <w:t>Expulsions</w:t>
      </w:r>
      <w:r w:rsidR="00737B1A">
        <w:t>:</w:t>
      </w:r>
    </w:p>
    <w:p w:rsidR="00AA5571" w:rsidRPr="00AA5571" w:rsidRDefault="00AA5571" w:rsidP="005745C4">
      <w:pPr>
        <w:rPr>
          <w:lang w:eastAsia="ja-JP"/>
        </w:rPr>
      </w:pPr>
      <w:r w:rsidRPr="00AA5571">
        <w:rPr>
          <w:b/>
          <w:lang w:eastAsia="ja-JP"/>
        </w:rPr>
        <w:t>91775</w:t>
      </w:r>
      <w:r w:rsidRPr="00AA5571">
        <w:rPr>
          <w:lang w:eastAsia="ja-JP"/>
        </w:rPr>
        <w:t xml:space="preserve"> – </w:t>
      </w:r>
      <w:proofErr w:type="gramStart"/>
      <w:r w:rsidRPr="00AA5571">
        <w:rPr>
          <w:lang w:eastAsia="ja-JP"/>
        </w:rPr>
        <w:t>as</w:t>
      </w:r>
      <w:proofErr w:type="gramEnd"/>
      <w:r w:rsidRPr="00AA5571">
        <w:rPr>
          <w:lang w:eastAsia="ja-JP"/>
        </w:rPr>
        <w:t xml:space="preserve"> of the </w:t>
      </w:r>
      <w:proofErr w:type="spellStart"/>
      <w:r w:rsidRPr="00AA5571">
        <w:rPr>
          <w:lang w:eastAsia="ja-JP"/>
        </w:rPr>
        <w:t>cutoff</w:t>
      </w:r>
      <w:proofErr w:type="spellEnd"/>
      <w:r w:rsidRPr="00AA5571">
        <w:rPr>
          <w:lang w:eastAsia="ja-JP"/>
        </w:rPr>
        <w:t xml:space="preserve"> date, 40 total or partial expulsions have been reported in which a total of 918 subjects underwent successful LCS12 insertions. This gives a crude incidence of expulsion of 4.4%, similar to the incidence in the A52238 in which there was expulsion of 3.7% </w:t>
      </w:r>
      <w:r w:rsidRPr="00AA5571">
        <w:rPr>
          <w:lang w:eastAsia="ja-JP"/>
        </w:rPr>
        <w:lastRenderedPageBreak/>
        <w:t xml:space="preserve">in the LCS12 and 3.4% in the LCS16 group. The Sponsor suggests that as the expulsion rate was higher in the </w:t>
      </w:r>
      <w:proofErr w:type="spellStart"/>
      <w:r w:rsidRPr="00AA5571">
        <w:rPr>
          <w:lang w:eastAsia="ja-JP"/>
        </w:rPr>
        <w:t>parous</w:t>
      </w:r>
      <w:proofErr w:type="spellEnd"/>
      <w:r w:rsidRPr="00AA5571">
        <w:rPr>
          <w:lang w:eastAsia="ja-JP"/>
        </w:rPr>
        <w:t xml:space="preserve"> than nulliparous women, and as 91775 has proportionally more </w:t>
      </w:r>
      <w:proofErr w:type="spellStart"/>
      <w:r w:rsidRPr="00AA5571">
        <w:rPr>
          <w:lang w:eastAsia="ja-JP"/>
        </w:rPr>
        <w:t>parous</w:t>
      </w:r>
      <w:proofErr w:type="spellEnd"/>
      <w:r w:rsidRPr="00AA5571">
        <w:rPr>
          <w:lang w:eastAsia="ja-JP"/>
        </w:rPr>
        <w:t xml:space="preserve"> women that this could explain the slightly higher expulsion rate.</w:t>
      </w:r>
    </w:p>
    <w:p w:rsidR="00AA5571" w:rsidRPr="00AA5571" w:rsidRDefault="00AA5571" w:rsidP="005745C4">
      <w:pPr>
        <w:rPr>
          <w:lang w:eastAsia="ja-JP"/>
        </w:rPr>
      </w:pPr>
      <w:r w:rsidRPr="00AA5571">
        <w:rPr>
          <w:b/>
          <w:lang w:eastAsia="ja-JP"/>
        </w:rPr>
        <w:t>13362</w:t>
      </w:r>
      <w:r w:rsidR="00737B1A">
        <w:rPr>
          <w:b/>
          <w:lang w:eastAsia="ja-JP"/>
        </w:rPr>
        <w:t xml:space="preserve">: </w:t>
      </w:r>
      <w:r w:rsidRPr="00AA5571">
        <w:rPr>
          <w:lang w:eastAsia="ja-JP"/>
        </w:rPr>
        <w:t>No partial or complete expulsions reported as of Dec 2012</w:t>
      </w:r>
      <w:r w:rsidR="005745C4">
        <w:rPr>
          <w:lang w:eastAsia="ja-JP"/>
        </w:rPr>
        <w:t>.</w:t>
      </w:r>
    </w:p>
    <w:p w:rsidR="00AA5571" w:rsidRPr="00AA5571" w:rsidRDefault="00AA5571" w:rsidP="005745C4">
      <w:pPr>
        <w:rPr>
          <w:lang w:eastAsia="ja-JP"/>
        </w:rPr>
      </w:pPr>
      <w:r w:rsidRPr="00AA5571">
        <w:rPr>
          <w:b/>
          <w:lang w:eastAsia="ja-JP"/>
        </w:rPr>
        <w:t>13363</w:t>
      </w:r>
      <w:r w:rsidR="00737B1A">
        <w:rPr>
          <w:b/>
          <w:lang w:eastAsia="ja-JP"/>
        </w:rPr>
        <w:t xml:space="preserve">: </w:t>
      </w:r>
      <w:r w:rsidRPr="00AA5571">
        <w:rPr>
          <w:lang w:eastAsia="ja-JP"/>
        </w:rPr>
        <w:t xml:space="preserve">As of </w:t>
      </w:r>
      <w:proofErr w:type="spellStart"/>
      <w:r w:rsidRPr="00AA5571">
        <w:rPr>
          <w:lang w:eastAsia="ja-JP"/>
        </w:rPr>
        <w:t>cutoff</w:t>
      </w:r>
      <w:proofErr w:type="spellEnd"/>
      <w:r w:rsidRPr="00AA5571">
        <w:rPr>
          <w:lang w:eastAsia="ja-JP"/>
        </w:rPr>
        <w:t xml:space="preserve"> date, 4 expulsions out of 378 successful insertions giving a crude incidence of 1.1%</w:t>
      </w:r>
      <w:r w:rsidR="005745C4">
        <w:rPr>
          <w:lang w:eastAsia="ja-JP"/>
        </w:rPr>
        <w:t>.</w:t>
      </w:r>
    </w:p>
    <w:p w:rsidR="00AA5571" w:rsidRPr="00AA5571" w:rsidRDefault="00AA5571" w:rsidP="005745C4">
      <w:pPr>
        <w:rPr>
          <w:lang w:eastAsia="ja-JP"/>
        </w:rPr>
      </w:pPr>
      <w:r w:rsidRPr="00AA5571">
        <w:rPr>
          <w:b/>
          <w:lang w:eastAsia="ja-JP"/>
        </w:rPr>
        <w:t>14371</w:t>
      </w:r>
      <w:r w:rsidR="00737B1A">
        <w:rPr>
          <w:b/>
          <w:lang w:eastAsia="ja-JP"/>
        </w:rPr>
        <w:t xml:space="preserve">: </w:t>
      </w:r>
      <w:r w:rsidRPr="00AA5571">
        <w:rPr>
          <w:lang w:eastAsia="ja-JP"/>
        </w:rPr>
        <w:t xml:space="preserve">As of the </w:t>
      </w:r>
      <w:proofErr w:type="spellStart"/>
      <w:r w:rsidRPr="00AA5571">
        <w:rPr>
          <w:lang w:eastAsia="ja-JP"/>
        </w:rPr>
        <w:t>cutoff</w:t>
      </w:r>
      <w:proofErr w:type="spellEnd"/>
      <w:r w:rsidRPr="00AA5571">
        <w:rPr>
          <w:lang w:eastAsia="ja-JP"/>
        </w:rPr>
        <w:t xml:space="preserve"> date for this report there had been 10 partial or total expulsions out of a total of 303 women with successful insertions</w:t>
      </w:r>
      <w:r w:rsidR="005745C4">
        <w:rPr>
          <w:lang w:eastAsia="ja-JP"/>
        </w:rPr>
        <w:t>.</w:t>
      </w:r>
    </w:p>
    <w:p w:rsidR="00AA5571" w:rsidRPr="00AA5571" w:rsidRDefault="00AA5571" w:rsidP="005745C4">
      <w:pPr>
        <w:pStyle w:val="Heading4"/>
        <w:numPr>
          <w:ilvl w:val="0"/>
          <w:numId w:val="0"/>
        </w:numPr>
      </w:pPr>
      <w:r w:rsidRPr="00AA5571">
        <w:t>Perforations</w:t>
      </w:r>
      <w:r w:rsidR="00737B1A">
        <w:t>:</w:t>
      </w:r>
    </w:p>
    <w:p w:rsidR="00AA5571" w:rsidRPr="00AA5571" w:rsidRDefault="00AA5571" w:rsidP="005745C4">
      <w:pPr>
        <w:rPr>
          <w:lang w:eastAsia="ja-JP"/>
        </w:rPr>
      </w:pPr>
      <w:r w:rsidRPr="00AA5571">
        <w:rPr>
          <w:lang w:eastAsia="ja-JP"/>
        </w:rPr>
        <w:t xml:space="preserve">In the A52238 LCS16 extension, there </w:t>
      </w:r>
      <w:proofErr w:type="gramStart"/>
      <w:r w:rsidRPr="00AA5571">
        <w:rPr>
          <w:lang w:eastAsia="ja-JP"/>
        </w:rPr>
        <w:t>has</w:t>
      </w:r>
      <w:proofErr w:type="gramEnd"/>
      <w:r w:rsidRPr="00AA5571">
        <w:rPr>
          <w:lang w:eastAsia="ja-JP"/>
        </w:rPr>
        <w:t xml:space="preserve"> been two further partial perforations, with removal of the LCS without complications. </w:t>
      </w:r>
      <w:proofErr w:type="gramStart"/>
      <w:r w:rsidRPr="00AA5571">
        <w:rPr>
          <w:lang w:eastAsia="ja-JP"/>
        </w:rPr>
        <w:t xml:space="preserve">One perforation during sounding of the uterus in </w:t>
      </w:r>
      <w:r w:rsidRPr="00AA5571">
        <w:rPr>
          <w:b/>
          <w:lang w:eastAsia="ja-JP"/>
        </w:rPr>
        <w:t>91775</w:t>
      </w:r>
      <w:r w:rsidRPr="00AA5571">
        <w:rPr>
          <w:lang w:eastAsia="ja-JP"/>
        </w:rPr>
        <w:t xml:space="preserve">, but no others in </w:t>
      </w:r>
      <w:r w:rsidRPr="00AA5571">
        <w:rPr>
          <w:b/>
          <w:lang w:eastAsia="ja-JP"/>
        </w:rPr>
        <w:t>13362, 13363</w:t>
      </w:r>
      <w:r w:rsidRPr="00AA5571">
        <w:rPr>
          <w:lang w:eastAsia="ja-JP"/>
        </w:rPr>
        <w:t xml:space="preserve"> and </w:t>
      </w:r>
      <w:r w:rsidRPr="00AA5571">
        <w:rPr>
          <w:b/>
          <w:lang w:eastAsia="ja-JP"/>
        </w:rPr>
        <w:t>14371</w:t>
      </w:r>
      <w:r w:rsidR="005745C4">
        <w:rPr>
          <w:b/>
          <w:lang w:eastAsia="ja-JP"/>
        </w:rPr>
        <w:t>.</w:t>
      </w:r>
      <w:proofErr w:type="gramEnd"/>
    </w:p>
    <w:p w:rsidR="00AA5571" w:rsidRPr="00AA5571" w:rsidRDefault="00AA5571" w:rsidP="005745C4">
      <w:pPr>
        <w:pStyle w:val="Heading4"/>
        <w:numPr>
          <w:ilvl w:val="0"/>
          <w:numId w:val="0"/>
        </w:numPr>
      </w:pPr>
      <w:r w:rsidRPr="00AA5571">
        <w:t>Pelvic inflammatory disease</w:t>
      </w:r>
      <w:r w:rsidR="00737B1A">
        <w:t>:</w:t>
      </w:r>
    </w:p>
    <w:p w:rsidR="00AA5571" w:rsidRPr="00AA5571" w:rsidRDefault="00AA5571" w:rsidP="005745C4">
      <w:pPr>
        <w:rPr>
          <w:lang w:eastAsia="ja-JP"/>
        </w:rPr>
      </w:pPr>
      <w:r w:rsidRPr="00AA5571">
        <w:rPr>
          <w:b/>
          <w:lang w:eastAsia="ja-JP"/>
        </w:rPr>
        <w:t>91775</w:t>
      </w:r>
      <w:r w:rsidRPr="00AA5571">
        <w:rPr>
          <w:lang w:eastAsia="ja-JP"/>
        </w:rPr>
        <w:t xml:space="preserve"> – </w:t>
      </w:r>
      <w:proofErr w:type="gramStart"/>
      <w:r w:rsidRPr="00AA5571">
        <w:rPr>
          <w:lang w:eastAsia="ja-JP"/>
        </w:rPr>
        <w:t>the</w:t>
      </w:r>
      <w:proofErr w:type="gramEnd"/>
      <w:r w:rsidRPr="00AA5571">
        <w:rPr>
          <w:lang w:eastAsia="ja-JP"/>
        </w:rPr>
        <w:t xml:space="preserve"> crude incidence of upper genital infection is 10/925 subjects with insertion (cf. 1.4% in A55238). Nil were SAEs and all have recovered, although long-term data regarding fertility will not be available for several years.</w:t>
      </w:r>
    </w:p>
    <w:p w:rsidR="00AA5571" w:rsidRPr="00AA5571" w:rsidRDefault="00AA5571" w:rsidP="005745C4">
      <w:pPr>
        <w:rPr>
          <w:lang w:eastAsia="ja-JP"/>
        </w:rPr>
      </w:pPr>
      <w:r w:rsidRPr="00AA5571">
        <w:rPr>
          <w:b/>
          <w:lang w:eastAsia="ja-JP"/>
        </w:rPr>
        <w:t>13362</w:t>
      </w:r>
      <w:r w:rsidR="00737B1A">
        <w:rPr>
          <w:b/>
          <w:lang w:eastAsia="ja-JP"/>
        </w:rPr>
        <w:t xml:space="preserve">: </w:t>
      </w:r>
      <w:r w:rsidRPr="00AA5571">
        <w:rPr>
          <w:lang w:eastAsia="ja-JP"/>
        </w:rPr>
        <w:t xml:space="preserve">One </w:t>
      </w:r>
      <w:proofErr w:type="spellStart"/>
      <w:r w:rsidRPr="00AA5571">
        <w:rPr>
          <w:lang w:eastAsia="ja-JP"/>
        </w:rPr>
        <w:t>endometritis</w:t>
      </w:r>
      <w:proofErr w:type="spellEnd"/>
      <w:r w:rsidR="005745C4">
        <w:rPr>
          <w:lang w:eastAsia="ja-JP"/>
        </w:rPr>
        <w:t>.</w:t>
      </w:r>
    </w:p>
    <w:p w:rsidR="00AA5571" w:rsidRPr="00AA5571" w:rsidRDefault="00AA5571" w:rsidP="005745C4">
      <w:pPr>
        <w:rPr>
          <w:lang w:eastAsia="ja-JP"/>
        </w:rPr>
      </w:pPr>
      <w:r w:rsidRPr="00AA5571">
        <w:rPr>
          <w:b/>
          <w:lang w:eastAsia="ja-JP"/>
        </w:rPr>
        <w:t>13363</w:t>
      </w:r>
      <w:r w:rsidR="00737B1A">
        <w:rPr>
          <w:b/>
          <w:lang w:eastAsia="ja-JP"/>
        </w:rPr>
        <w:t xml:space="preserve">: </w:t>
      </w:r>
      <w:r w:rsidRPr="00AA5571">
        <w:rPr>
          <w:lang w:eastAsia="ja-JP"/>
        </w:rPr>
        <w:t xml:space="preserve">One </w:t>
      </w:r>
      <w:proofErr w:type="spellStart"/>
      <w:r w:rsidRPr="00AA5571">
        <w:rPr>
          <w:lang w:eastAsia="ja-JP"/>
        </w:rPr>
        <w:t>salpingitis</w:t>
      </w:r>
      <w:proofErr w:type="spellEnd"/>
      <w:r w:rsidR="005745C4">
        <w:rPr>
          <w:lang w:eastAsia="ja-JP"/>
        </w:rPr>
        <w:t>.</w:t>
      </w:r>
    </w:p>
    <w:p w:rsidR="00AA5571" w:rsidRPr="00AA5571" w:rsidRDefault="00AA5571" w:rsidP="005745C4">
      <w:pPr>
        <w:rPr>
          <w:lang w:eastAsia="ja-JP"/>
        </w:rPr>
      </w:pPr>
      <w:r w:rsidRPr="00AA5571">
        <w:rPr>
          <w:b/>
          <w:lang w:eastAsia="ja-JP"/>
        </w:rPr>
        <w:t>14371</w:t>
      </w:r>
      <w:r w:rsidR="00737B1A">
        <w:rPr>
          <w:b/>
          <w:lang w:eastAsia="ja-JP"/>
        </w:rPr>
        <w:t xml:space="preserve">: </w:t>
      </w:r>
      <w:r w:rsidRPr="00AA5571">
        <w:rPr>
          <w:lang w:eastAsia="ja-JP"/>
        </w:rPr>
        <w:t xml:space="preserve">2 </w:t>
      </w:r>
      <w:proofErr w:type="spellStart"/>
      <w:r w:rsidRPr="00AA5571">
        <w:rPr>
          <w:lang w:eastAsia="ja-JP"/>
        </w:rPr>
        <w:t>endomyometrit</w:t>
      </w:r>
      <w:r w:rsidR="004775C7">
        <w:rPr>
          <w:lang w:eastAsia="ja-JP"/>
        </w:rPr>
        <w:t>i</w:t>
      </w:r>
      <w:r w:rsidRPr="00AA5571">
        <w:rPr>
          <w:lang w:eastAsia="ja-JP"/>
        </w:rPr>
        <w:t>s</w:t>
      </w:r>
      <w:proofErr w:type="spellEnd"/>
      <w:r w:rsidRPr="00AA5571">
        <w:rPr>
          <w:lang w:eastAsia="ja-JP"/>
        </w:rPr>
        <w:t xml:space="preserve">, 2 </w:t>
      </w:r>
      <w:proofErr w:type="spellStart"/>
      <w:r w:rsidRPr="00AA5571">
        <w:rPr>
          <w:lang w:eastAsia="ja-JP"/>
        </w:rPr>
        <w:t>endometritis</w:t>
      </w:r>
      <w:proofErr w:type="spellEnd"/>
      <w:r w:rsidR="005745C4">
        <w:rPr>
          <w:lang w:eastAsia="ja-JP"/>
        </w:rPr>
        <w:t>.</w:t>
      </w:r>
    </w:p>
    <w:p w:rsidR="00AA5571" w:rsidRPr="00AA5571" w:rsidRDefault="00AA5571" w:rsidP="005745C4">
      <w:pPr>
        <w:rPr>
          <w:lang w:eastAsia="ja-JP"/>
        </w:rPr>
      </w:pPr>
      <w:r w:rsidRPr="00AA5571">
        <w:rPr>
          <w:lang w:eastAsia="ja-JP"/>
        </w:rPr>
        <w:t>Overall, these rates are similar to the pivotal A52238, and there were no new events reported.</w:t>
      </w:r>
    </w:p>
    <w:p w:rsidR="00C618F7" w:rsidRDefault="00C618F7" w:rsidP="005C5C2D">
      <w:pPr>
        <w:pStyle w:val="Heading2"/>
      </w:pPr>
      <w:bookmarkStart w:id="612" w:name="_Toc380660824"/>
      <w:r>
        <w:t>Second round benefit-</w:t>
      </w:r>
      <w:r w:rsidRPr="005C5C2D">
        <w:t>risk</w:t>
      </w:r>
      <w:r>
        <w:t xml:space="preserve"> assessment</w:t>
      </w:r>
      <w:bookmarkEnd w:id="612"/>
    </w:p>
    <w:p w:rsidR="00AA5571" w:rsidRPr="00AA5571" w:rsidRDefault="00AA5571" w:rsidP="005C5C2D">
      <w:pPr>
        <w:pStyle w:val="Heading3"/>
      </w:pPr>
      <w:bookmarkStart w:id="613" w:name="_Toc272414709"/>
      <w:bookmarkStart w:id="614" w:name="_Toc290846349"/>
      <w:bookmarkStart w:id="615" w:name="_Toc290888886"/>
      <w:bookmarkStart w:id="616" w:name="_Toc343587629"/>
      <w:bookmarkStart w:id="617" w:name="_Toc219998446"/>
      <w:bookmarkStart w:id="618" w:name="_Toc219998550"/>
      <w:bookmarkStart w:id="619" w:name="_Toc219998965"/>
      <w:bookmarkStart w:id="620" w:name="_Toc219999068"/>
      <w:bookmarkStart w:id="621" w:name="_Toc219999169"/>
      <w:bookmarkStart w:id="622" w:name="_Toc229197985"/>
      <w:bookmarkStart w:id="623" w:name="_Toc380660825"/>
      <w:r w:rsidRPr="00AA5571">
        <w:t xml:space="preserve">Second round assessment </w:t>
      </w:r>
      <w:r w:rsidRPr="005C5C2D">
        <w:t>of</w:t>
      </w:r>
      <w:r w:rsidRPr="00AA5571">
        <w:t xml:space="preserve"> benefits</w:t>
      </w:r>
      <w:bookmarkEnd w:id="613"/>
      <w:bookmarkEnd w:id="614"/>
      <w:bookmarkEnd w:id="615"/>
      <w:bookmarkEnd w:id="616"/>
      <w:bookmarkEnd w:id="617"/>
      <w:bookmarkEnd w:id="618"/>
      <w:bookmarkEnd w:id="619"/>
      <w:bookmarkEnd w:id="620"/>
      <w:bookmarkEnd w:id="621"/>
      <w:bookmarkEnd w:id="622"/>
      <w:bookmarkEnd w:id="623"/>
    </w:p>
    <w:p w:rsidR="00AA5571" w:rsidRPr="00AA5571" w:rsidRDefault="00AA5571" w:rsidP="005C5C2D">
      <w:pPr>
        <w:rPr>
          <w:lang w:eastAsia="ja-JP"/>
        </w:rPr>
      </w:pPr>
      <w:r w:rsidRPr="00AA5571">
        <w:rPr>
          <w:lang w:eastAsia="ja-JP"/>
        </w:rPr>
        <w:t xml:space="preserve">After consideration of the responses to clinical questions, the benefits of </w:t>
      </w:r>
      <w:proofErr w:type="spellStart"/>
      <w:r w:rsidRPr="00AA5571">
        <w:rPr>
          <w:lang w:eastAsia="ja-JP"/>
        </w:rPr>
        <w:t>Jaydess</w:t>
      </w:r>
      <w:proofErr w:type="spellEnd"/>
      <w:r w:rsidRPr="00AA5571">
        <w:rPr>
          <w:lang w:eastAsia="ja-JP"/>
        </w:rPr>
        <w:t xml:space="preserve"> in the proposed usage are unchanged from those identified in Section</w:t>
      </w:r>
      <w:r w:rsidR="0093659B">
        <w:rPr>
          <w:lang w:eastAsia="ja-JP"/>
        </w:rPr>
        <w:t xml:space="preserve"> 9.1</w:t>
      </w:r>
      <w:r w:rsidRPr="00AA5571">
        <w:rPr>
          <w:lang w:eastAsia="ja-JP"/>
        </w:rPr>
        <w:t>.</w:t>
      </w:r>
    </w:p>
    <w:p w:rsidR="00AA5571" w:rsidRPr="00AA5571" w:rsidRDefault="00AA5571" w:rsidP="005C5C2D">
      <w:pPr>
        <w:pStyle w:val="Heading3"/>
      </w:pPr>
      <w:bookmarkStart w:id="624" w:name="_Toc272414710"/>
      <w:bookmarkStart w:id="625" w:name="_Toc290846350"/>
      <w:bookmarkStart w:id="626" w:name="_Toc290888887"/>
      <w:bookmarkStart w:id="627" w:name="_Toc343587630"/>
      <w:bookmarkStart w:id="628" w:name="_Toc219998447"/>
      <w:bookmarkStart w:id="629" w:name="_Toc219998551"/>
      <w:bookmarkStart w:id="630" w:name="_Toc219998966"/>
      <w:bookmarkStart w:id="631" w:name="_Toc219999069"/>
      <w:bookmarkStart w:id="632" w:name="_Toc219999170"/>
      <w:bookmarkStart w:id="633" w:name="_Toc229197986"/>
      <w:bookmarkStart w:id="634" w:name="_Toc380660826"/>
      <w:r w:rsidRPr="00AA5571">
        <w:t xml:space="preserve">Second round assessment </w:t>
      </w:r>
      <w:r w:rsidRPr="005C5C2D">
        <w:t>of</w:t>
      </w:r>
      <w:r w:rsidRPr="00AA5571">
        <w:t xml:space="preserve"> risks</w:t>
      </w:r>
      <w:bookmarkEnd w:id="624"/>
      <w:bookmarkEnd w:id="625"/>
      <w:bookmarkEnd w:id="626"/>
      <w:bookmarkEnd w:id="627"/>
      <w:bookmarkEnd w:id="628"/>
      <w:bookmarkEnd w:id="629"/>
      <w:bookmarkEnd w:id="630"/>
      <w:bookmarkEnd w:id="631"/>
      <w:bookmarkEnd w:id="632"/>
      <w:bookmarkEnd w:id="633"/>
      <w:bookmarkEnd w:id="634"/>
    </w:p>
    <w:p w:rsidR="00AA5571" w:rsidRPr="00AA5571" w:rsidRDefault="00AA5571" w:rsidP="005C5C2D">
      <w:pPr>
        <w:rPr>
          <w:lang w:eastAsia="ja-JP"/>
        </w:rPr>
      </w:pPr>
      <w:r w:rsidRPr="00AA5571">
        <w:rPr>
          <w:lang w:eastAsia="ja-JP"/>
        </w:rPr>
        <w:t xml:space="preserve">After consideration of the responses to clinical questions, the benefits of </w:t>
      </w:r>
      <w:proofErr w:type="spellStart"/>
      <w:r w:rsidRPr="00AA5571">
        <w:rPr>
          <w:lang w:eastAsia="ja-JP"/>
        </w:rPr>
        <w:t>Jaydess</w:t>
      </w:r>
      <w:proofErr w:type="spellEnd"/>
      <w:r w:rsidRPr="00AA5571">
        <w:rPr>
          <w:lang w:eastAsia="ja-JP"/>
        </w:rPr>
        <w:t xml:space="preserve"> in the proposed usage are unchanged from those identified in Section</w:t>
      </w:r>
      <w:r w:rsidR="0093659B">
        <w:rPr>
          <w:lang w:eastAsia="ja-JP"/>
        </w:rPr>
        <w:t xml:space="preserve"> 9.2</w:t>
      </w:r>
      <w:r w:rsidRPr="00AA5571">
        <w:rPr>
          <w:lang w:eastAsia="ja-JP"/>
        </w:rPr>
        <w:t>.</w:t>
      </w:r>
    </w:p>
    <w:p w:rsidR="00AA5571" w:rsidRPr="00AA5571" w:rsidRDefault="00AA5571" w:rsidP="005C5C2D">
      <w:pPr>
        <w:rPr>
          <w:lang w:eastAsia="ja-JP"/>
        </w:rPr>
      </w:pPr>
      <w:r w:rsidRPr="00AA5571">
        <w:rPr>
          <w:lang w:eastAsia="ja-JP"/>
        </w:rPr>
        <w:t xml:space="preserve">The risks of </w:t>
      </w:r>
      <w:proofErr w:type="spellStart"/>
      <w:r w:rsidRPr="00AA5571">
        <w:rPr>
          <w:lang w:eastAsia="ja-JP"/>
        </w:rPr>
        <w:t>Jaydess</w:t>
      </w:r>
      <w:proofErr w:type="spellEnd"/>
      <w:r w:rsidRPr="00AA5571">
        <w:rPr>
          <w:lang w:eastAsia="ja-JP"/>
        </w:rPr>
        <w:t xml:space="preserve"> in the proposed usage are:</w:t>
      </w:r>
    </w:p>
    <w:p w:rsidR="00AA5571" w:rsidRPr="00AA5571" w:rsidRDefault="00AA5571" w:rsidP="005C5C2D">
      <w:pPr>
        <w:pStyle w:val="ListBullet"/>
        <w:rPr>
          <w:lang w:eastAsia="ja-JP"/>
        </w:rPr>
      </w:pPr>
      <w:r w:rsidRPr="00AA5571">
        <w:rPr>
          <w:lang w:eastAsia="ja-JP"/>
        </w:rPr>
        <w:t>ectopic and intra uterine pregnancy</w:t>
      </w:r>
    </w:p>
    <w:p w:rsidR="00AA5571" w:rsidRPr="00AA5571" w:rsidRDefault="00AA5571" w:rsidP="005C5C2D">
      <w:pPr>
        <w:pStyle w:val="ListBullet"/>
        <w:rPr>
          <w:lang w:eastAsia="ja-JP"/>
        </w:rPr>
      </w:pPr>
      <w:r w:rsidRPr="00AA5571">
        <w:rPr>
          <w:lang w:eastAsia="ja-JP"/>
        </w:rPr>
        <w:t>expulsion of IUD</w:t>
      </w:r>
    </w:p>
    <w:p w:rsidR="00AA5571" w:rsidRPr="00AA5571" w:rsidRDefault="005C5C2D" w:rsidP="0093659B">
      <w:pPr>
        <w:pStyle w:val="ListBullet"/>
        <w:rPr>
          <w:lang w:eastAsia="ja-JP"/>
        </w:rPr>
      </w:pPr>
      <w:r>
        <w:rPr>
          <w:lang w:eastAsia="ja-JP"/>
        </w:rPr>
        <w:t>infection</w:t>
      </w:r>
    </w:p>
    <w:p w:rsidR="00AA5571" w:rsidRPr="00AA5571" w:rsidRDefault="00AA5571" w:rsidP="005C5C2D">
      <w:pPr>
        <w:pStyle w:val="Heading3"/>
      </w:pPr>
      <w:bookmarkStart w:id="635" w:name="_Toc272414711"/>
      <w:bookmarkStart w:id="636" w:name="_Toc290846351"/>
      <w:bookmarkStart w:id="637" w:name="_Toc290888888"/>
      <w:bookmarkStart w:id="638" w:name="_Toc343587631"/>
      <w:bookmarkStart w:id="639" w:name="_Toc219998448"/>
      <w:bookmarkStart w:id="640" w:name="_Toc219998552"/>
      <w:bookmarkStart w:id="641" w:name="_Toc219998967"/>
      <w:bookmarkStart w:id="642" w:name="_Toc219999070"/>
      <w:bookmarkStart w:id="643" w:name="_Toc219999171"/>
      <w:bookmarkStart w:id="644" w:name="_Toc229197987"/>
      <w:bookmarkStart w:id="645" w:name="_Toc380660827"/>
      <w:r w:rsidRPr="005C5C2D">
        <w:t>Second</w:t>
      </w:r>
      <w:r w:rsidRPr="00AA5571">
        <w:t xml:space="preserve"> round assessment of benefit-risk balance</w:t>
      </w:r>
      <w:bookmarkEnd w:id="635"/>
      <w:bookmarkEnd w:id="636"/>
      <w:bookmarkEnd w:id="637"/>
      <w:bookmarkEnd w:id="638"/>
      <w:bookmarkEnd w:id="639"/>
      <w:bookmarkEnd w:id="640"/>
      <w:bookmarkEnd w:id="641"/>
      <w:bookmarkEnd w:id="642"/>
      <w:bookmarkEnd w:id="643"/>
      <w:bookmarkEnd w:id="644"/>
      <w:bookmarkEnd w:id="645"/>
    </w:p>
    <w:p w:rsidR="00AA5571" w:rsidRPr="0093659B" w:rsidRDefault="00AA5571" w:rsidP="005C5C2D">
      <w:r w:rsidRPr="0093659B">
        <w:t xml:space="preserve">The benefit-risk balance of </w:t>
      </w:r>
      <w:proofErr w:type="spellStart"/>
      <w:r w:rsidRPr="0093659B">
        <w:t>Jaydess</w:t>
      </w:r>
      <w:proofErr w:type="spellEnd"/>
      <w:r w:rsidRPr="0093659B">
        <w:t xml:space="preserve"> given the proposed usage is favourable on a population basis. However there is a risk to future fertility particularly in nulliparous women due to the rate of ectopic pregnancies and PID, and the </w:t>
      </w:r>
      <w:proofErr w:type="spellStart"/>
      <w:r w:rsidRPr="0093659B">
        <w:t>pharmacovigilance</w:t>
      </w:r>
      <w:proofErr w:type="spellEnd"/>
      <w:r w:rsidRPr="0093659B">
        <w:t xml:space="preserve"> plans as assured by the Sponsor need to be mandated for this product. Further, information about long-term outcomes and real world practice needs to be communicated to prescribers and regularly updated. Specific data on </w:t>
      </w:r>
      <w:r w:rsidRPr="0093659B">
        <w:lastRenderedPageBreak/>
        <w:t xml:space="preserve">obese women, </w:t>
      </w:r>
      <w:proofErr w:type="spellStart"/>
      <w:r w:rsidRPr="0093659B">
        <w:t>parous</w:t>
      </w:r>
      <w:proofErr w:type="spellEnd"/>
      <w:r w:rsidRPr="0093659B">
        <w:t xml:space="preserve"> and nulliparous needs to be provided, particularly around expulsions, PID, pregnancies (both ectopic and intrauterine).</w:t>
      </w:r>
    </w:p>
    <w:p w:rsidR="00AA5571" w:rsidRPr="0093659B" w:rsidRDefault="005C5C2D" w:rsidP="005C5C2D">
      <w:r>
        <w:t>Further:</w:t>
      </w:r>
    </w:p>
    <w:p w:rsidR="00AA5571" w:rsidRPr="00AA5571" w:rsidRDefault="00AA5571" w:rsidP="005C5C2D">
      <w:pPr>
        <w:pStyle w:val="ListBullet"/>
        <w:rPr>
          <w:lang w:eastAsia="ja-JP"/>
        </w:rPr>
      </w:pPr>
      <w:r w:rsidRPr="00AA5571">
        <w:rPr>
          <w:lang w:eastAsia="ja-JP"/>
        </w:rPr>
        <w:t>PASS protocol needs to be included in Annex 5 of the EU-RMP as assured by Sponsor</w:t>
      </w:r>
      <w:r w:rsidR="005C5C2D">
        <w:rPr>
          <w:lang w:eastAsia="ja-JP"/>
        </w:rPr>
        <w:t>.</w:t>
      </w:r>
    </w:p>
    <w:p w:rsidR="00AA5571" w:rsidRPr="00AA5571" w:rsidRDefault="00AA5571" w:rsidP="005C5C2D">
      <w:pPr>
        <w:pStyle w:val="ListBullet"/>
        <w:rPr>
          <w:lang w:eastAsia="ja-JP"/>
        </w:rPr>
      </w:pPr>
      <w:proofErr w:type="spellStart"/>
      <w:r w:rsidRPr="005C5C2D">
        <w:t>Pharmacovigilance</w:t>
      </w:r>
      <w:proofErr w:type="spellEnd"/>
      <w:r w:rsidRPr="00AA5571">
        <w:rPr>
          <w:lang w:eastAsia="ja-JP"/>
        </w:rPr>
        <w:t xml:space="preserve"> activities as discussed in the response are mandated to occur and are communicated to the TGA.</w:t>
      </w:r>
    </w:p>
    <w:p w:rsidR="00AA5571" w:rsidRPr="00AA5571" w:rsidRDefault="00AA5571" w:rsidP="005C5C2D">
      <w:pPr>
        <w:pStyle w:val="ListBullet"/>
        <w:rPr>
          <w:lang w:eastAsia="ja-JP"/>
        </w:rPr>
      </w:pPr>
      <w:r w:rsidRPr="00AA5571">
        <w:rPr>
          <w:lang w:eastAsia="ja-JP"/>
        </w:rPr>
        <w:t xml:space="preserve">If the results from the insertion survey are not directly applicable to </w:t>
      </w:r>
      <w:proofErr w:type="spellStart"/>
      <w:r w:rsidRPr="00AA5571">
        <w:rPr>
          <w:lang w:eastAsia="ja-JP"/>
        </w:rPr>
        <w:t>Jaydess</w:t>
      </w:r>
      <w:proofErr w:type="spellEnd"/>
      <w:r w:rsidRPr="00AA5571">
        <w:rPr>
          <w:lang w:eastAsia="ja-JP"/>
        </w:rPr>
        <w:t xml:space="preserve"> then the Sponsor needs to have considered an alternative education and training plan</w:t>
      </w:r>
      <w:r w:rsidR="005C5C2D">
        <w:rPr>
          <w:lang w:eastAsia="ja-JP"/>
        </w:rPr>
        <w:t>.</w:t>
      </w:r>
    </w:p>
    <w:p w:rsidR="00AA5571" w:rsidRPr="00AA5571" w:rsidRDefault="00AA5571" w:rsidP="005C5C2D">
      <w:pPr>
        <w:pStyle w:val="ListBullet"/>
        <w:rPr>
          <w:lang w:eastAsia="ja-JP"/>
        </w:rPr>
      </w:pPr>
      <w:r w:rsidRPr="00AA5571">
        <w:rPr>
          <w:lang w:eastAsia="ja-JP"/>
        </w:rPr>
        <w:t>Bayer provides the assurance that the printed materials associated with these risk minimisation activities will be provided to TGA, once available.</w:t>
      </w:r>
    </w:p>
    <w:p w:rsidR="00AA5571" w:rsidRPr="00AA5571" w:rsidRDefault="00AA5571" w:rsidP="005C5C2D">
      <w:pPr>
        <w:pStyle w:val="ListBullet"/>
        <w:rPr>
          <w:lang w:eastAsia="ja-JP"/>
        </w:rPr>
      </w:pPr>
      <w:r w:rsidRPr="00AA5571">
        <w:rPr>
          <w:lang w:eastAsia="ja-JP"/>
        </w:rPr>
        <w:t>The Sponsor states in the Return to Fertility addendum for the Phase 3 study (</w:t>
      </w:r>
      <w:proofErr w:type="spellStart"/>
      <w:r w:rsidRPr="00AA5571">
        <w:rPr>
          <w:lang w:eastAsia="ja-JP"/>
        </w:rPr>
        <w:t>ph</w:t>
      </w:r>
      <w:proofErr w:type="spellEnd"/>
      <w:r w:rsidRPr="00AA5571">
        <w:rPr>
          <w:lang w:eastAsia="ja-JP"/>
        </w:rPr>
        <w:t xml:space="preserve"> 37039 report) that no other post treatment information is provided in the 707 women who entered the LCS16 extension study of A52238. However there is noted that there were 2 further partial perforations in A52238 in the LCS16 arm. If there is further outcome data on this ‘extension’ group of A52238 this is important to Review.</w:t>
      </w:r>
    </w:p>
    <w:p w:rsidR="00C618F7" w:rsidRDefault="00C618F7" w:rsidP="005C5C2D">
      <w:pPr>
        <w:pStyle w:val="Heading2"/>
      </w:pPr>
      <w:bookmarkStart w:id="646" w:name="_Toc380660828"/>
      <w:r>
        <w:t>Second round recommendation regarding authorisation</w:t>
      </w:r>
      <w:bookmarkEnd w:id="646"/>
    </w:p>
    <w:p w:rsidR="00AA5571" w:rsidRPr="0093659B" w:rsidRDefault="00AA5571" w:rsidP="005C5C2D">
      <w:r w:rsidRPr="0093659B">
        <w:t xml:space="preserve">Recommend listing with </w:t>
      </w:r>
      <w:proofErr w:type="spellStart"/>
      <w:r w:rsidRPr="0093659B">
        <w:t>pharmacovigilance</w:t>
      </w:r>
      <w:proofErr w:type="spellEnd"/>
      <w:r w:rsidRPr="0093659B">
        <w:t xml:space="preserve"> and education strategies as assured by Sponsor</w:t>
      </w:r>
      <w:r w:rsidR="005C5C2D">
        <w:t>.</w:t>
      </w:r>
    </w:p>
    <w:p w:rsidR="00AA5571" w:rsidRPr="00E1279D" w:rsidRDefault="00084682" w:rsidP="005C5C2D">
      <w:pPr>
        <w:pStyle w:val="Heading2"/>
      </w:pPr>
      <w:bookmarkStart w:id="647" w:name="_Toc290846356"/>
      <w:bookmarkStart w:id="648" w:name="_Toc290888893"/>
      <w:bookmarkStart w:id="649" w:name="_Toc343587636"/>
      <w:bookmarkStart w:id="650" w:name="_Toc219998453"/>
      <w:bookmarkStart w:id="651" w:name="_Toc219998557"/>
      <w:bookmarkStart w:id="652" w:name="_Toc219998972"/>
      <w:bookmarkStart w:id="653" w:name="_Toc219999075"/>
      <w:bookmarkStart w:id="654" w:name="_Toc219999176"/>
      <w:bookmarkStart w:id="655" w:name="_Toc229197992"/>
      <w:bookmarkStart w:id="656" w:name="_Toc380660829"/>
      <w:r w:rsidRPr="00E1279D">
        <w:t>C</w:t>
      </w:r>
      <w:r w:rsidR="00AA5571" w:rsidRPr="00E1279D">
        <w:t xml:space="preserve">omments on clinical </w:t>
      </w:r>
      <w:r w:rsidR="00AA5571" w:rsidRPr="005C5C2D">
        <w:t>aspects</w:t>
      </w:r>
      <w:r w:rsidR="00AA5571" w:rsidRPr="00E1279D">
        <w:t xml:space="preserve"> of the Safety Specification in the draft RMP</w:t>
      </w:r>
      <w:bookmarkEnd w:id="647"/>
      <w:bookmarkEnd w:id="648"/>
      <w:bookmarkEnd w:id="649"/>
      <w:bookmarkEnd w:id="650"/>
      <w:bookmarkEnd w:id="651"/>
      <w:bookmarkEnd w:id="652"/>
      <w:bookmarkEnd w:id="653"/>
      <w:bookmarkEnd w:id="654"/>
      <w:bookmarkEnd w:id="655"/>
      <w:bookmarkEnd w:id="656"/>
    </w:p>
    <w:p w:rsidR="00AA5571" w:rsidRPr="00A06C45" w:rsidRDefault="00AA5571" w:rsidP="005C5C2D">
      <w:r w:rsidRPr="00A06C45">
        <w:t xml:space="preserve">The Sponsor provided new clinical information after the first round and revised the Safety Specification in the draft RMP. </w:t>
      </w:r>
      <w:r w:rsidR="005C1320">
        <w:t xml:space="preserve">The clinical evaluator’s comments on </w:t>
      </w:r>
      <w:r w:rsidR="008872C3">
        <w:t xml:space="preserve">proposed post-market activities </w:t>
      </w:r>
      <w:r w:rsidR="005C1320">
        <w:t>were referred to the TGA Office of Product Review (RMP evaluator). Details of these comments are not include</w:t>
      </w:r>
      <w:r w:rsidR="005C5C2D">
        <w:t>d in this Extract from the CER.</w:t>
      </w:r>
    </w:p>
    <w:p w:rsidR="00C618F7" w:rsidRDefault="00C618F7" w:rsidP="00AB4568">
      <w:pPr>
        <w:pStyle w:val="Heading2"/>
      </w:pPr>
      <w:bookmarkStart w:id="657" w:name="_Toc380660830"/>
      <w:r>
        <w:t>References</w:t>
      </w:r>
      <w:bookmarkEnd w:id="657"/>
    </w:p>
    <w:p w:rsidR="00AA5571" w:rsidRPr="0093659B" w:rsidRDefault="00AA5571" w:rsidP="00AB4568">
      <w:pPr>
        <w:pStyle w:val="Numberbullet0"/>
        <w:numPr>
          <w:ilvl w:val="0"/>
          <w:numId w:val="20"/>
        </w:numPr>
      </w:pPr>
      <w:r w:rsidRPr="0093659B">
        <w:t>Committee for Medicinal Products for Human Use (CHMP) ‘Guideline on Clinical Investigation of Steroid Contraceptives in Women’ (</w:t>
      </w:r>
      <w:r w:rsidR="00E34258" w:rsidRPr="00E34258">
        <w:t xml:space="preserve">EMEA/CPMP/EWP/519/98 Rev 1 </w:t>
      </w:r>
      <w:r w:rsidR="00E34258">
        <w:t xml:space="preserve">July </w:t>
      </w:r>
      <w:r w:rsidRPr="0093659B">
        <w:t xml:space="preserve">2005) </w:t>
      </w:r>
      <w:r w:rsidR="00AB4568">
        <w:t>&lt;</w:t>
      </w:r>
      <w:hyperlink r:id="rId18" w:history="1">
        <w:r w:rsidRPr="0093659B">
          <w:rPr>
            <w:rStyle w:val="Hyperlink"/>
          </w:rPr>
          <w:t>http://www.emea.europa.eu/docs/en_GB/document_library/Scientific_guideline/2009/09/WC500003349.pdf</w:t>
        </w:r>
      </w:hyperlink>
      <w:r w:rsidR="00AB4568">
        <w:t xml:space="preserve">&gt; </w:t>
      </w:r>
      <w:r w:rsidRPr="0093659B">
        <w:t>(accessed December 15, 2012)</w:t>
      </w:r>
    </w:p>
    <w:p w:rsidR="00AA5571" w:rsidRPr="0093659B" w:rsidRDefault="00AA5571" w:rsidP="00AB4568">
      <w:pPr>
        <w:pStyle w:val="Numberbullet0"/>
      </w:pPr>
      <w:r w:rsidRPr="0093659B">
        <w:t>REGULATION (EC) No 1901/2006 OF THE EUROPEAN PARLIAMENT AND OF THE COUNCIL of 12 December 2006 on medicinal products for paediatric use and amending Regulation (EEC) No 1768/92, Directive 2001/20/EC, Directive 2001/83/EC and Regulation (EC) No 726/2004</w:t>
      </w:r>
      <w:r w:rsidR="002D0721">
        <w:t xml:space="preserve"> </w:t>
      </w:r>
      <w:r w:rsidR="00AB4568">
        <w:t>&lt;</w:t>
      </w:r>
      <w:hyperlink r:id="rId19" w:history="1">
        <w:r w:rsidR="002D0721" w:rsidRPr="00042BE0">
          <w:rPr>
            <w:rStyle w:val="Hyperlink"/>
          </w:rPr>
          <w:t>http://eurlex.europa.eu/LexUriServ/LexUriServ.do?uri=OJ:L:2006:378:0001:0019:en:PDF</w:t>
        </w:r>
      </w:hyperlink>
      <w:r w:rsidR="00AB4568">
        <w:t>&gt;</w:t>
      </w:r>
      <w:r w:rsidRPr="0093659B">
        <w:t xml:space="preserve"> (accessed and checked Dec 15, 2012)</w:t>
      </w:r>
    </w:p>
    <w:p w:rsidR="00AA5571" w:rsidRPr="0093659B" w:rsidRDefault="005661E6" w:rsidP="00AB4568">
      <w:pPr>
        <w:pStyle w:val="Numberbullet0"/>
      </w:pPr>
      <w:hyperlink r:id="rId20" w:history="1">
        <w:proofErr w:type="spellStart"/>
        <w:r w:rsidR="00AA5571" w:rsidRPr="0093659B">
          <w:rPr>
            <w:rStyle w:val="Hyperlink"/>
          </w:rPr>
          <w:t>Ronit</w:t>
        </w:r>
        <w:proofErr w:type="spellEnd"/>
        <w:r w:rsidR="00AA5571" w:rsidRPr="0093659B">
          <w:rPr>
            <w:rStyle w:val="Hyperlink"/>
          </w:rPr>
          <w:t xml:space="preserve"> </w:t>
        </w:r>
        <w:proofErr w:type="spellStart"/>
        <w:r w:rsidR="00AA5571" w:rsidRPr="0093659B">
          <w:rPr>
            <w:rStyle w:val="Hyperlink"/>
          </w:rPr>
          <w:t>Haimov‐Kochman</w:t>
        </w:r>
        <w:proofErr w:type="spellEnd"/>
      </w:hyperlink>
      <w:r w:rsidR="00AA5571" w:rsidRPr="0093659B">
        <w:t xml:space="preserve">, </w:t>
      </w:r>
      <w:hyperlink r:id="rId21" w:history="1">
        <w:proofErr w:type="spellStart"/>
        <w:r w:rsidR="00AA5571" w:rsidRPr="0093659B">
          <w:rPr>
            <w:rStyle w:val="Hyperlink"/>
          </w:rPr>
          <w:t>Hagay</w:t>
        </w:r>
        <w:proofErr w:type="spellEnd"/>
        <w:r w:rsidR="00AA5571" w:rsidRPr="0093659B">
          <w:rPr>
            <w:rStyle w:val="Hyperlink"/>
          </w:rPr>
          <w:t xml:space="preserve"> </w:t>
        </w:r>
        <w:proofErr w:type="spellStart"/>
        <w:r w:rsidR="00AA5571" w:rsidRPr="0093659B">
          <w:rPr>
            <w:rStyle w:val="Hyperlink"/>
          </w:rPr>
          <w:t>Amsalem</w:t>
        </w:r>
        <w:proofErr w:type="spellEnd"/>
      </w:hyperlink>
      <w:r w:rsidR="00AA5571" w:rsidRPr="0093659B">
        <w:t xml:space="preserve">, </w:t>
      </w:r>
      <w:hyperlink r:id="rId22" w:history="1">
        <w:proofErr w:type="spellStart"/>
        <w:r w:rsidR="00AA5571" w:rsidRPr="0093659B">
          <w:rPr>
            <w:rStyle w:val="Hyperlink"/>
          </w:rPr>
          <w:t>Amiram</w:t>
        </w:r>
        <w:proofErr w:type="spellEnd"/>
        <w:r w:rsidR="00AA5571" w:rsidRPr="0093659B">
          <w:rPr>
            <w:rStyle w:val="Hyperlink"/>
          </w:rPr>
          <w:t xml:space="preserve"> </w:t>
        </w:r>
        <w:proofErr w:type="spellStart"/>
        <w:r w:rsidR="00AA5571" w:rsidRPr="0093659B">
          <w:rPr>
            <w:rStyle w:val="Hyperlink"/>
          </w:rPr>
          <w:t>Adoni</w:t>
        </w:r>
        <w:proofErr w:type="spellEnd"/>
      </w:hyperlink>
      <w:r w:rsidR="00AA5571" w:rsidRPr="0093659B">
        <w:t xml:space="preserve">, </w:t>
      </w:r>
      <w:hyperlink r:id="rId23" w:history="1">
        <w:r w:rsidR="00AA5571" w:rsidRPr="0093659B">
          <w:rPr>
            <w:rStyle w:val="Hyperlink"/>
          </w:rPr>
          <w:t xml:space="preserve">Yuval </w:t>
        </w:r>
        <w:proofErr w:type="spellStart"/>
        <w:r w:rsidR="00AA5571" w:rsidRPr="0093659B">
          <w:rPr>
            <w:rStyle w:val="Hyperlink"/>
          </w:rPr>
          <w:t>Lavy</w:t>
        </w:r>
        <w:proofErr w:type="spellEnd"/>
      </w:hyperlink>
      <w:r w:rsidR="00AA5571" w:rsidRPr="0093659B">
        <w:t xml:space="preserve"> and </w:t>
      </w:r>
      <w:hyperlink r:id="rId24" w:history="1">
        <w:r w:rsidR="00AA5571" w:rsidRPr="0093659B">
          <w:rPr>
            <w:rStyle w:val="Hyperlink"/>
          </w:rPr>
          <w:t>Irving M. Spitz</w:t>
        </w:r>
      </w:hyperlink>
      <w:r w:rsidR="00AA5571" w:rsidRPr="0093659B">
        <w:t xml:space="preserve"> Management of a perforated </w:t>
      </w:r>
      <w:proofErr w:type="spellStart"/>
      <w:r w:rsidR="00AA5571" w:rsidRPr="0093659B">
        <w:t>levonorgestrel</w:t>
      </w:r>
      <w:proofErr w:type="spellEnd"/>
      <w:r w:rsidR="00AA5571" w:rsidRPr="0093659B">
        <w:t xml:space="preserve">‐medicated intrauterine device—a pharmacokinetic study: Case report. Human Reproduction. </w:t>
      </w:r>
      <w:proofErr w:type="spellStart"/>
      <w:r w:rsidR="00AA5571" w:rsidRPr="0093659B">
        <w:t>Vol</w:t>
      </w:r>
      <w:proofErr w:type="spellEnd"/>
      <w:r w:rsidR="00AA5571" w:rsidRPr="0093659B">
        <w:t xml:space="preserve"> 18(6) 12310-1233</w:t>
      </w:r>
    </w:p>
    <w:p w:rsidR="00AA5571" w:rsidRPr="0093659B" w:rsidRDefault="00AA5571" w:rsidP="00AB4568">
      <w:pPr>
        <w:pStyle w:val="Numberbullet0"/>
      </w:pPr>
      <w:r w:rsidRPr="0093659B">
        <w:t>(</w:t>
      </w:r>
      <w:r w:rsidR="00AB4568">
        <w:t>&lt;</w:t>
      </w:r>
      <w:hyperlink r:id="rId25" w:history="1">
        <w:r w:rsidRPr="0093659B">
          <w:rPr>
            <w:rStyle w:val="Hyperlink"/>
          </w:rPr>
          <w:t>http://www.medsafe.govt.nz/profs/puarticles/lactation.htm</w:t>
        </w:r>
      </w:hyperlink>
      <w:r w:rsidR="00AB4568">
        <w:t>&gt;)</w:t>
      </w:r>
      <w:r w:rsidRPr="0093659B">
        <w:t xml:space="preserve"> accessed Dec 15, 2012</w:t>
      </w:r>
    </w:p>
    <w:p w:rsidR="00AA5571" w:rsidRPr="0093659B" w:rsidRDefault="00AA5571" w:rsidP="00AB4568">
      <w:pPr>
        <w:pStyle w:val="Numberbullet0"/>
      </w:pPr>
      <w:proofErr w:type="spellStart"/>
      <w:r w:rsidRPr="0093659B">
        <w:lastRenderedPageBreak/>
        <w:t>Heikkila</w:t>
      </w:r>
      <w:proofErr w:type="spellEnd"/>
      <w:r w:rsidRPr="0093659B">
        <w:t xml:space="preserve"> M. Puerperal insertion of a copper-releasing and a </w:t>
      </w:r>
      <w:proofErr w:type="spellStart"/>
      <w:r w:rsidRPr="0093659B">
        <w:t>levonorgestrel</w:t>
      </w:r>
      <w:proofErr w:type="spellEnd"/>
      <w:r w:rsidRPr="0093659B">
        <w:t>-releasing intrauterine contraceptive device. Contraception 1982;25:561–57</w:t>
      </w:r>
    </w:p>
    <w:p w:rsidR="00AA5571" w:rsidRPr="0093659B" w:rsidRDefault="00AB4568" w:rsidP="00AB4568">
      <w:pPr>
        <w:pStyle w:val="Numberbullet0"/>
      </w:pPr>
      <w:r>
        <w:t>&lt;</w:t>
      </w:r>
      <w:hyperlink r:id="rId26" w:history="1">
        <w:r w:rsidR="002D0721" w:rsidRPr="00042BE0">
          <w:rPr>
            <w:rStyle w:val="Hyperlink"/>
          </w:rPr>
          <w:t>http://www.thecochranelibrary.com/userfiles/ccoch/file/Intrauterine%20devices/CD001776.pdf</w:t>
        </w:r>
      </w:hyperlink>
      <w:r>
        <w:t>&gt;</w:t>
      </w:r>
      <w:r w:rsidR="00AA5571" w:rsidRPr="0093659B">
        <w:t xml:space="preserve"> accessed Dec 15, 2012</w:t>
      </w:r>
    </w:p>
    <w:p w:rsidR="00AA5571" w:rsidRPr="0093659B" w:rsidRDefault="00AA5571" w:rsidP="00AB4568">
      <w:pPr>
        <w:pStyle w:val="Numberbullet0"/>
      </w:pPr>
      <w:proofErr w:type="spellStart"/>
      <w:r w:rsidRPr="0093659B">
        <w:t>Belsey</w:t>
      </w:r>
      <w:proofErr w:type="spellEnd"/>
      <w:r w:rsidRPr="0093659B">
        <w:t xml:space="preserve"> EM, </w:t>
      </w:r>
      <w:proofErr w:type="spellStart"/>
      <w:r w:rsidRPr="0093659B">
        <w:t>Machin</w:t>
      </w:r>
      <w:proofErr w:type="spellEnd"/>
      <w:r w:rsidRPr="0093659B">
        <w:t xml:space="preserve"> D, </w:t>
      </w:r>
      <w:proofErr w:type="spellStart"/>
      <w:r w:rsidRPr="0093659B">
        <w:t>d'Arcangues</w:t>
      </w:r>
      <w:proofErr w:type="spellEnd"/>
      <w:r w:rsidRPr="0093659B">
        <w:t xml:space="preserve"> C. The analysis of vaginal bleeding patterns induced by fertility regulating methods. World Health Organization Special Programme of Research, Development and Research Training in Human Reproduction. Contraception 1986;34(3):253–260</w:t>
      </w:r>
    </w:p>
    <w:p w:rsidR="00C618F7" w:rsidRPr="0093659B" w:rsidRDefault="00AA5571" w:rsidP="00AB4568">
      <w:r w:rsidRPr="0093659B">
        <w:t xml:space="preserve">Other reference consulted: FDA guidance on ‘Extended Release Oral Dosage Forms: Development, Evaluation, and Application of </w:t>
      </w:r>
      <w:r w:rsidR="00590069" w:rsidRPr="00590069">
        <w:rPr>
          <w:i/>
          <w:iCs/>
        </w:rPr>
        <w:t>In vitro</w:t>
      </w:r>
      <w:r w:rsidRPr="0093659B">
        <w:t>/</w:t>
      </w:r>
      <w:r w:rsidR="00590069" w:rsidRPr="00590069">
        <w:rPr>
          <w:i/>
          <w:iCs/>
        </w:rPr>
        <w:t>In vivo</w:t>
      </w:r>
      <w:r w:rsidRPr="0093659B">
        <w:t xml:space="preserve"> Correlations’ (module 5.4 FDA Sep 1997) and of the Committee for Proprietary Medicinal Products (CHMP) ‘Note for Guidance on Quality of Modified Release Products: A: Oral Dosage Forms, B: Transdermal Dosage Forms, Section I (Quality)’ (module 5.4 CHMP 1999).</w:t>
      </w:r>
    </w:p>
    <w:bookmarkEnd w:id="1"/>
    <w:bookmarkEnd w:id="0"/>
    <w:bookmarkEnd w:id="2"/>
    <w:p w:rsidR="003D1E62" w:rsidRPr="001D043B" w:rsidRDefault="003D1E62" w:rsidP="002666AC">
      <w:pPr>
        <w:sectPr w:rsidR="003D1E62" w:rsidRPr="001D043B" w:rsidSect="008D770F">
          <w:headerReference w:type="even" r:id="rId27"/>
          <w:headerReference w:type="default" r:id="rId28"/>
          <w:footerReference w:type="default" r:id="rId29"/>
          <w:headerReference w:type="first" r:id="rId30"/>
          <w:footerReference w:type="first" r:id="rId31"/>
          <w:pgSz w:w="11906" w:h="16838" w:code="9"/>
          <w:pgMar w:top="1440" w:right="1440" w:bottom="1440" w:left="1440" w:header="907" w:footer="216" w:gutter="0"/>
          <w:cols w:space="708"/>
          <w:docGrid w:linePitch="360"/>
        </w:sectPr>
      </w:pPr>
    </w:p>
    <w:p w:rsidR="00774E1D" w:rsidRPr="008A5E0B" w:rsidRDefault="00774E1D" w:rsidP="008A5E0B"/>
    <w:sectPr w:rsidR="00774E1D" w:rsidRPr="008A5E0B" w:rsidSect="008D770F">
      <w:headerReference w:type="even" r:id="rId32"/>
      <w:headerReference w:type="default" r:id="rId33"/>
      <w:footerReference w:type="default" r:id="rId34"/>
      <w:headerReference w:type="first" r:id="rId35"/>
      <w:footerReference w:type="first" r:id="rId36"/>
      <w:pgSz w:w="11906" w:h="16838" w:code="9"/>
      <w:pgMar w:top="1818" w:right="1701" w:bottom="1701"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3F4" w:rsidRDefault="007563F4" w:rsidP="00C40A36">
      <w:pPr>
        <w:spacing w:after="0"/>
      </w:pPr>
      <w:r>
        <w:separator/>
      </w:r>
    </w:p>
  </w:endnote>
  <w:endnote w:type="continuationSeparator" w:id="0">
    <w:p w:rsidR="007563F4" w:rsidRDefault="007563F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7563F4" w:rsidRPr="00487162" w:rsidTr="0053625B">
      <w:trPr>
        <w:trHeight w:val="269"/>
      </w:trPr>
      <w:tc>
        <w:tcPr>
          <w:tcW w:w="7938" w:type="dxa"/>
          <w:tcMar>
            <w:top w:w="142" w:type="dxa"/>
            <w:bottom w:w="0" w:type="dxa"/>
          </w:tcMar>
        </w:tcPr>
        <w:p w:rsidR="007563F4" w:rsidRPr="00487162" w:rsidRDefault="007563F4" w:rsidP="004165B6">
          <w:pPr>
            <w:pStyle w:val="Footer"/>
          </w:pPr>
          <w:r>
            <w:t xml:space="preserve">Submission </w:t>
          </w:r>
          <w:r w:rsidRPr="00487162">
            <w:t>PM-20</w:t>
          </w:r>
          <w:r>
            <w:t>12</w:t>
          </w:r>
          <w:r w:rsidRPr="00487162">
            <w:t>-</w:t>
          </w:r>
          <w:r>
            <w:t>01933</w:t>
          </w:r>
          <w:r w:rsidRPr="00487162">
            <w:t>-</w:t>
          </w:r>
          <w:r>
            <w:t>3</w:t>
          </w:r>
          <w:r w:rsidRPr="00487162">
            <w:t>-</w:t>
          </w:r>
          <w:r>
            <w:t xml:space="preserve">5 Extract from the Clinical Evaluation Report for </w:t>
          </w:r>
          <w:proofErr w:type="spellStart"/>
          <w:r>
            <w:t>Jaydess</w:t>
          </w:r>
          <w:proofErr w:type="spellEnd"/>
          <w:r>
            <w:t xml:space="preserve"> </w:t>
          </w:r>
        </w:p>
      </w:tc>
      <w:tc>
        <w:tcPr>
          <w:tcW w:w="923" w:type="dxa"/>
          <w:tcMar>
            <w:top w:w="142" w:type="dxa"/>
            <w:bottom w:w="0" w:type="dxa"/>
          </w:tcMar>
        </w:tcPr>
        <w:p w:rsidR="007563F4" w:rsidRPr="00487162" w:rsidRDefault="007563F4" w:rsidP="00D855D4">
          <w:pPr>
            <w:pStyle w:val="Footer"/>
            <w:jc w:val="right"/>
          </w:pPr>
          <w:r w:rsidRPr="00487162">
            <w:t xml:space="preserve">Page </w:t>
          </w:r>
          <w:r>
            <w:t>2</w:t>
          </w:r>
          <w:r w:rsidRPr="00487162">
            <w:t xml:space="preserve"> of </w:t>
          </w:r>
          <w:r w:rsidR="0013752C">
            <w:fldChar w:fldCharType="begin"/>
          </w:r>
          <w:r w:rsidR="0013752C">
            <w:instrText xml:space="preserve"> NUMPAGES  \* Arabic </w:instrText>
          </w:r>
          <w:r w:rsidR="0013752C">
            <w:fldChar w:fldCharType="separate"/>
          </w:r>
          <w:r w:rsidR="005661E6">
            <w:rPr>
              <w:noProof/>
            </w:rPr>
            <w:t>58</w:t>
          </w:r>
          <w:r w:rsidR="0013752C">
            <w:rPr>
              <w:noProof/>
            </w:rPr>
            <w:fldChar w:fldCharType="end"/>
          </w:r>
        </w:p>
      </w:tc>
    </w:tr>
  </w:tbl>
  <w:p w:rsidR="007563F4" w:rsidRDefault="007563F4"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7563F4" w:rsidRPr="00487162" w:rsidTr="00586F98">
      <w:trPr>
        <w:trHeight w:val="269"/>
      </w:trPr>
      <w:tc>
        <w:tcPr>
          <w:tcW w:w="7655" w:type="dxa"/>
          <w:tcMar>
            <w:top w:w="142" w:type="dxa"/>
            <w:bottom w:w="0" w:type="dxa"/>
          </w:tcMar>
        </w:tcPr>
        <w:p w:rsidR="007563F4" w:rsidRPr="00487162" w:rsidRDefault="007563F4" w:rsidP="00D855D4">
          <w:pPr>
            <w:pStyle w:val="Footer"/>
          </w:pPr>
          <w:r w:rsidRPr="004165B6">
            <w:t xml:space="preserve">Submission PM-2012-01933-3-5 Extract from the Clinical Evaluation Report for </w:t>
          </w:r>
          <w:proofErr w:type="spellStart"/>
          <w:r w:rsidRPr="004165B6">
            <w:t>Jaydess</w:t>
          </w:r>
          <w:proofErr w:type="spellEnd"/>
        </w:p>
      </w:tc>
      <w:tc>
        <w:tcPr>
          <w:tcW w:w="1206" w:type="dxa"/>
          <w:tcMar>
            <w:top w:w="142" w:type="dxa"/>
            <w:bottom w:w="0" w:type="dxa"/>
          </w:tcMar>
        </w:tcPr>
        <w:p w:rsidR="007563F4" w:rsidRPr="00487162" w:rsidRDefault="007563F4" w:rsidP="00E45619">
          <w:pPr>
            <w:pStyle w:val="Footer"/>
            <w:jc w:val="right"/>
          </w:pPr>
          <w:r w:rsidRPr="00487162">
            <w:t xml:space="preserve">Page </w:t>
          </w:r>
          <w:r w:rsidR="0013752C">
            <w:fldChar w:fldCharType="begin"/>
          </w:r>
          <w:r w:rsidR="0013752C">
            <w:instrText>PAGE</w:instrText>
          </w:r>
          <w:r w:rsidR="0013752C">
            <w:fldChar w:fldCharType="separate"/>
          </w:r>
          <w:r w:rsidR="005661E6">
            <w:rPr>
              <w:noProof/>
            </w:rPr>
            <w:t>3</w:t>
          </w:r>
          <w:r w:rsidR="0013752C">
            <w:rPr>
              <w:noProof/>
            </w:rPr>
            <w:fldChar w:fldCharType="end"/>
          </w:r>
          <w:r w:rsidRPr="00487162">
            <w:t xml:space="preserve"> of </w:t>
          </w:r>
          <w:r w:rsidR="0013752C">
            <w:fldChar w:fldCharType="begin"/>
          </w:r>
          <w:r w:rsidR="0013752C">
            <w:instrText xml:space="preserve"> NUMPAGES  \* Arabic </w:instrText>
          </w:r>
          <w:r w:rsidR="0013752C">
            <w:fldChar w:fldCharType="separate"/>
          </w:r>
          <w:r w:rsidR="005661E6">
            <w:rPr>
              <w:noProof/>
            </w:rPr>
            <w:t>58</w:t>
          </w:r>
          <w:r w:rsidR="0013752C">
            <w:rPr>
              <w:noProof/>
            </w:rPr>
            <w:fldChar w:fldCharType="end"/>
          </w:r>
        </w:p>
      </w:tc>
    </w:tr>
  </w:tbl>
  <w:p w:rsidR="007563F4" w:rsidRDefault="007563F4"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563F4" w:rsidRPr="00487162" w:rsidTr="00E45619">
      <w:trPr>
        <w:trHeight w:val="269"/>
      </w:trPr>
      <w:tc>
        <w:tcPr>
          <w:tcW w:w="4519" w:type="dxa"/>
          <w:tcBorders>
            <w:top w:val="single" w:sz="4" w:space="0" w:color="auto"/>
          </w:tcBorders>
          <w:tcMar>
            <w:top w:w="142" w:type="dxa"/>
            <w:bottom w:w="0" w:type="dxa"/>
          </w:tcMar>
        </w:tcPr>
        <w:p w:rsidR="007563F4" w:rsidRPr="00487162" w:rsidRDefault="007563F4" w:rsidP="00FE1DEE">
          <w:pPr>
            <w:pStyle w:val="Footer"/>
          </w:pPr>
          <w:r w:rsidRPr="00487162">
            <w:t>Document title, Part #, Section # - Section title</w:t>
          </w:r>
        </w:p>
        <w:p w:rsidR="007563F4" w:rsidRPr="00487162" w:rsidRDefault="007563F4" w:rsidP="00FE1DEE">
          <w:pPr>
            <w:pStyle w:val="Footer"/>
          </w:pPr>
          <w:r w:rsidRPr="00487162">
            <w:t>V1.0 October 2010</w:t>
          </w:r>
        </w:p>
      </w:tc>
      <w:tc>
        <w:tcPr>
          <w:tcW w:w="4342" w:type="dxa"/>
          <w:tcBorders>
            <w:top w:val="single" w:sz="4" w:space="0" w:color="auto"/>
          </w:tcBorders>
          <w:tcMar>
            <w:top w:w="142" w:type="dxa"/>
            <w:bottom w:w="0" w:type="dxa"/>
          </w:tcMar>
        </w:tcPr>
        <w:p w:rsidR="007563F4" w:rsidRPr="00487162" w:rsidRDefault="007563F4" w:rsidP="00E45619">
          <w:pPr>
            <w:pStyle w:val="Footer"/>
            <w:jc w:val="right"/>
          </w:pPr>
          <w:r w:rsidRPr="00487162">
            <w:t xml:space="preserve">Page </w:t>
          </w:r>
          <w:r w:rsidR="0013752C">
            <w:fldChar w:fldCharType="begin"/>
          </w:r>
          <w:r w:rsidR="0013752C">
            <w:instrText xml:space="preserve"> PAGE   \* MERGEFORMAT </w:instrText>
          </w:r>
          <w:r w:rsidR="0013752C">
            <w:fldChar w:fldCharType="separate"/>
          </w:r>
          <w:r w:rsidRPr="00487162">
            <w:rPr>
              <w:noProof/>
            </w:rPr>
            <w:t>3</w:t>
          </w:r>
          <w:r w:rsidR="0013752C">
            <w:rPr>
              <w:noProof/>
            </w:rPr>
            <w:fldChar w:fldCharType="end"/>
          </w:r>
          <w:r w:rsidRPr="00487162">
            <w:t xml:space="preserve"> of </w:t>
          </w:r>
          <w:r w:rsidR="0013752C">
            <w:fldChar w:fldCharType="begin"/>
          </w:r>
          <w:r w:rsidR="0013752C">
            <w:instrText xml:space="preserve"> NUMPAGES  </w:instrText>
          </w:r>
          <w:r w:rsidR="0013752C">
            <w:fldChar w:fldCharType="separate"/>
          </w:r>
          <w:r>
            <w:rPr>
              <w:noProof/>
            </w:rPr>
            <w:t>4</w:t>
          </w:r>
          <w:r w:rsidR="0013752C">
            <w:rPr>
              <w:noProof/>
            </w:rPr>
            <w:fldChar w:fldCharType="end"/>
          </w:r>
        </w:p>
      </w:tc>
    </w:tr>
  </w:tbl>
  <w:p w:rsidR="007563F4" w:rsidRDefault="007563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sz w:val="16"/>
      </w:rPr>
      <w:id w:val="16144363"/>
      <w:docPartObj>
        <w:docPartGallery w:val="Page Numbers (Bottom of Page)"/>
        <w:docPartUnique/>
      </w:docPartObj>
    </w:sdtPr>
    <w:sdtEndPr/>
    <w:sdtContent>
      <w:sdt>
        <w:sdtPr>
          <w:rPr>
            <w:b w:val="0"/>
            <w:sz w:val="16"/>
          </w:rPr>
          <w:id w:val="16144364"/>
          <w:docPartObj>
            <w:docPartGallery w:val="Page Numbers (Top of Page)"/>
            <w:docPartUnique/>
          </w:docPartObj>
        </w:sdtPr>
        <w:sdtEndPr/>
        <w:sdtContent>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7563F4" w:rsidRPr="00487162" w:rsidTr="008D770F">
              <w:trPr>
                <w:trHeight w:hRule="exact" w:val="564"/>
              </w:trPr>
              <w:tc>
                <w:tcPr>
                  <w:tcW w:w="9175" w:type="dxa"/>
                </w:tcPr>
                <w:p w:rsidR="007563F4" w:rsidRPr="00487162" w:rsidRDefault="007563F4" w:rsidP="008E7846">
                  <w:pPr>
                    <w:pStyle w:val="TGASignoff"/>
                  </w:pPr>
                  <w:r w:rsidRPr="00487162">
                    <w:t>Therapeutic Goods Administration</w:t>
                  </w:r>
                </w:p>
              </w:tc>
            </w:tr>
            <w:tr w:rsidR="007563F4" w:rsidRPr="00487162" w:rsidTr="00E45619">
              <w:trPr>
                <w:trHeight w:val="1221"/>
              </w:trPr>
              <w:tc>
                <w:tcPr>
                  <w:tcW w:w="9175" w:type="dxa"/>
                  <w:tcMar>
                    <w:top w:w="28" w:type="dxa"/>
                  </w:tcMar>
                </w:tcPr>
                <w:p w:rsidR="007563F4" w:rsidRPr="00487162" w:rsidRDefault="007563F4" w:rsidP="00E45619">
                  <w:pPr>
                    <w:pStyle w:val="Address"/>
                  </w:pPr>
                  <w:r w:rsidRPr="00487162">
                    <w:t>PO Box 100 Woden ACT 2606 Australia</w:t>
                  </w:r>
                </w:p>
                <w:p w:rsidR="007563F4" w:rsidRPr="00487162" w:rsidRDefault="007563F4" w:rsidP="00E45619">
                  <w:pPr>
                    <w:pStyle w:val="Address"/>
                  </w:pPr>
                  <w:r w:rsidRPr="00487162">
                    <w:t xml:space="preserve">Email: </w:t>
                  </w:r>
                  <w:hyperlink r:id="rId1" w:history="1">
                    <w:r w:rsidRPr="008D770F">
                      <w:rPr>
                        <w:rStyle w:val="Hyperlink"/>
                      </w:rPr>
                      <w:t>info@tga.gov.au</w:t>
                    </w:r>
                  </w:hyperlink>
                  <w:r w:rsidRPr="00487162">
                    <w:t xml:space="preserve">  Phone: 1800 020 653  Fax: 02 6232 8605</w:t>
                  </w:r>
                </w:p>
                <w:p w:rsidR="007563F4" w:rsidRPr="008D770F" w:rsidRDefault="005661E6" w:rsidP="008D770F">
                  <w:pPr>
                    <w:pStyle w:val="Address"/>
                    <w:spacing w:line="260" w:lineRule="atLeast"/>
                    <w:rPr>
                      <w:b/>
                      <w:color w:val="0000FF"/>
                      <w:u w:val="single"/>
                    </w:rPr>
                  </w:pPr>
                  <w:hyperlink r:id="rId2" w:history="1">
                    <w:r w:rsidR="007563F4" w:rsidRPr="007C06C7">
                      <w:rPr>
                        <w:rStyle w:val="Hyperlink"/>
                        <w:b/>
                      </w:rPr>
                      <w:t>http://www.tga.gov.au</w:t>
                    </w:r>
                  </w:hyperlink>
                </w:p>
              </w:tc>
            </w:tr>
          </w:tbl>
          <w:p w:rsidR="007563F4" w:rsidRDefault="005661E6" w:rsidP="008E7846">
            <w:pPr>
              <w:pStyle w:val="Notes"/>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563F4" w:rsidTr="0010601F">
      <w:trPr>
        <w:trHeight w:val="108"/>
      </w:trPr>
      <w:tc>
        <w:tcPr>
          <w:tcW w:w="8875" w:type="dxa"/>
          <w:gridSpan w:val="2"/>
          <w:tcBorders>
            <w:bottom w:val="single" w:sz="4" w:space="0" w:color="auto"/>
          </w:tcBorders>
          <w:tcMar>
            <w:right w:w="284" w:type="dxa"/>
          </w:tcMar>
        </w:tcPr>
        <w:p w:rsidR="007563F4" w:rsidRDefault="007563F4" w:rsidP="006E08B3">
          <w:pPr>
            <w:pStyle w:val="Heading3"/>
          </w:pPr>
          <w:r>
            <w:t>Copyright</w:t>
          </w:r>
        </w:p>
        <w:p w:rsidR="007563F4" w:rsidRDefault="007563F4" w:rsidP="006E08B3">
          <w:r>
            <w:rPr>
              <w:rFonts w:cs="Arial"/>
            </w:rPr>
            <w:t>©</w:t>
          </w:r>
          <w:r>
            <w:t xml:space="preserve"> Commonwealth of Australia [add year]</w:t>
          </w:r>
        </w:p>
        <w:p w:rsidR="007563F4" w:rsidRDefault="007563F4" w:rsidP="006E08B3"/>
        <w:p w:rsidR="007563F4" w:rsidRDefault="007563F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7563F4" w:rsidRDefault="007563F4" w:rsidP="006E08B3"/>
        <w:p w:rsidR="007563F4" w:rsidRDefault="007563F4" w:rsidP="006E08B3">
          <w:pPr>
            <w:pStyle w:val="Heading3"/>
          </w:pPr>
          <w:r>
            <w:t>Confidentiality</w:t>
          </w:r>
        </w:p>
        <w:p w:rsidR="007563F4" w:rsidRDefault="007563F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7563F4" w:rsidRDefault="007563F4" w:rsidP="006E08B3"/>
        <w:p w:rsidR="007563F4" w:rsidRDefault="007563F4" w:rsidP="006E08B3">
          <w:r>
            <w:t>For submission made by individuals, all personal details, other than your name, will be removed from your submission before it is published on the TGA’s Internet site.</w:t>
          </w:r>
        </w:p>
        <w:p w:rsidR="007563F4" w:rsidRDefault="007563F4" w:rsidP="006E08B3"/>
        <w:p w:rsidR="007563F4" w:rsidRDefault="007563F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563F4" w:rsidTr="0010601F">
      <w:trPr>
        <w:trHeight w:val="417"/>
      </w:trPr>
      <w:tc>
        <w:tcPr>
          <w:tcW w:w="4519" w:type="dxa"/>
          <w:tcBorders>
            <w:top w:val="single" w:sz="4" w:space="0" w:color="auto"/>
          </w:tcBorders>
          <w:tcMar>
            <w:top w:w="142" w:type="dxa"/>
            <w:bottom w:w="0" w:type="dxa"/>
          </w:tcMar>
        </w:tcPr>
        <w:p w:rsidR="007563F4" w:rsidRDefault="007563F4" w:rsidP="006E08B3">
          <w:r>
            <w:t>Document title, Part #, Section # - Section title</w:t>
          </w:r>
        </w:p>
        <w:p w:rsidR="007563F4" w:rsidRDefault="007563F4" w:rsidP="006E08B3">
          <w:r>
            <w:t>V1.0 October 2010</w:t>
          </w:r>
        </w:p>
      </w:tc>
      <w:tc>
        <w:tcPr>
          <w:tcW w:w="4356" w:type="dxa"/>
          <w:tcBorders>
            <w:top w:val="single" w:sz="4" w:space="0" w:color="auto"/>
          </w:tcBorders>
          <w:tcMar>
            <w:top w:w="142" w:type="dxa"/>
            <w:bottom w:w="0" w:type="dxa"/>
          </w:tcMar>
        </w:tcPr>
        <w:p w:rsidR="007563F4" w:rsidRDefault="007563F4" w:rsidP="006E08B3">
          <w:pPr>
            <w:jc w:val="right"/>
          </w:pPr>
          <w:r>
            <w:t xml:space="preserve">Page </w:t>
          </w:r>
          <w:r w:rsidR="0013752C">
            <w:fldChar w:fldCharType="begin"/>
          </w:r>
          <w:r w:rsidR="0013752C">
            <w:instrText xml:space="preserve"> PAGE   \* MERGEFORMAT </w:instrText>
          </w:r>
          <w:r w:rsidR="0013752C">
            <w:fldChar w:fldCharType="separate"/>
          </w:r>
          <w:r>
            <w:rPr>
              <w:noProof/>
            </w:rPr>
            <w:t>1</w:t>
          </w:r>
          <w:r w:rsidR="0013752C">
            <w:rPr>
              <w:noProof/>
            </w:rPr>
            <w:fldChar w:fldCharType="end"/>
          </w:r>
          <w:r>
            <w:t xml:space="preserve"> of </w:t>
          </w:r>
          <w:r w:rsidR="0013752C">
            <w:fldChar w:fldCharType="begin"/>
          </w:r>
          <w:r w:rsidR="0013752C">
            <w:instrText xml:space="preserve"> NUMPAGES  \* Arabic </w:instrText>
          </w:r>
          <w:r w:rsidR="0013752C">
            <w:fldChar w:fldCharType="separate"/>
          </w:r>
          <w:r>
            <w:rPr>
              <w:noProof/>
            </w:rPr>
            <w:t>4</w:t>
          </w:r>
          <w:r w:rsidR="0013752C">
            <w:rPr>
              <w:noProof/>
            </w:rPr>
            <w:fldChar w:fldCharType="end"/>
          </w:r>
          <w:r>
            <w:t xml:space="preserve">  </w:t>
          </w:r>
        </w:p>
      </w:tc>
    </w:tr>
  </w:tbl>
  <w:p w:rsidR="007563F4" w:rsidRDefault="007563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3F4" w:rsidRDefault="007563F4" w:rsidP="00C40A36">
      <w:pPr>
        <w:spacing w:after="0"/>
      </w:pPr>
      <w:r>
        <w:separator/>
      </w:r>
    </w:p>
  </w:footnote>
  <w:footnote w:type="continuationSeparator" w:id="0">
    <w:p w:rsidR="007563F4" w:rsidRDefault="007563F4" w:rsidP="00C40A36">
      <w:pPr>
        <w:spacing w:after="0"/>
      </w:pPr>
      <w:r>
        <w:continuationSeparator/>
      </w:r>
    </w:p>
  </w:footnote>
  <w:footnote w:id="1">
    <w:p w:rsidR="007563F4" w:rsidRPr="00585753" w:rsidRDefault="007563F4" w:rsidP="00026567">
      <w:pPr>
        <w:pStyle w:val="FootnoteText"/>
      </w:pPr>
      <w:r w:rsidRPr="00585753">
        <w:rPr>
          <w:rStyle w:val="FootnoteReference"/>
          <w:szCs w:val="18"/>
        </w:rPr>
        <w:footnoteRef/>
      </w:r>
      <w:r w:rsidRPr="00585753">
        <w:t xml:space="preserve"> The </w:t>
      </w:r>
      <w:r w:rsidRPr="00026567">
        <w:t>sponsor</w:t>
      </w:r>
      <w:r w:rsidRPr="00585753">
        <w:t xml:space="preserve"> initially proposed the indication: </w:t>
      </w:r>
      <w:r w:rsidRPr="00585753">
        <w:rPr>
          <w:i/>
          <w:iCs/>
        </w:rPr>
        <w:t>‘contraception for up to 3 years’.</w:t>
      </w:r>
      <w:r w:rsidRPr="00585753">
        <w:t xml:space="preserve"> At the time the application was accepted for evaluation the sponsor amended the proposed indication to </w:t>
      </w:r>
      <w:r w:rsidRPr="00585753">
        <w:rPr>
          <w:i/>
          <w:iCs/>
        </w:rPr>
        <w:t xml:space="preserve">‘contraception’ </w:t>
      </w:r>
      <w:r w:rsidRPr="00585753">
        <w:t>in line</w:t>
      </w:r>
      <w:r w:rsidR="00026567">
        <w:t xml:space="preserve"> with that approved for </w:t>
      </w:r>
      <w:proofErr w:type="spellStart"/>
      <w:r w:rsidR="00026567">
        <w:t>Mirena</w:t>
      </w:r>
      <w:proofErr w:type="spellEnd"/>
      <w:r w:rsidR="0002656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pPr>
      <w:rPr>
        <w:noProof/>
        <w:lang w:eastAsia="en-AU"/>
      </w:rPr>
    </w:pPr>
    <w:r w:rsidRPr="002D545C">
      <w:rPr>
        <w:noProof/>
        <w:lang w:eastAsia="en-AU"/>
      </w:rPr>
      <w:drawing>
        <wp:anchor distT="0" distB="0" distL="114300" distR="114300" simplePos="0" relativeHeight="251659264" behindDoc="1" locked="0" layoutInCell="1" allowOverlap="1">
          <wp:simplePos x="0" y="0"/>
          <wp:positionH relativeFrom="column">
            <wp:posOffset>-1081709</wp:posOffset>
          </wp:positionH>
          <wp:positionV relativeFrom="paragraph">
            <wp:posOffset>-585470</wp:posOffset>
          </wp:positionV>
          <wp:extent cx="7572375" cy="10706100"/>
          <wp:effectExtent l="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7563F4" w:rsidRDefault="00F07C2E"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1pt;height:601.0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F4" w:rsidRDefault="007563F4" w:rsidP="006E08B3">
    <w:r>
      <w:t>Therapeutic Goods Administration</w:t>
    </w:r>
  </w:p>
  <w:p w:rsidR="007563F4" w:rsidRDefault="007563F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86F72"/>
    <w:lvl w:ilvl="0">
      <w:start w:val="1"/>
      <w:numFmt w:val="decimal"/>
      <w:lvlText w:val="%1."/>
      <w:lvlJc w:val="left"/>
      <w:pPr>
        <w:tabs>
          <w:tab w:val="num" w:pos="1492"/>
        </w:tabs>
        <w:ind w:left="1492" w:hanging="360"/>
      </w:pPr>
    </w:lvl>
  </w:abstractNum>
  <w:abstractNum w:abstractNumId="1">
    <w:nsid w:val="FFFFFF7D"/>
    <w:multiLevelType w:val="singleLevel"/>
    <w:tmpl w:val="3970F8F8"/>
    <w:lvl w:ilvl="0">
      <w:start w:val="1"/>
      <w:numFmt w:val="decimal"/>
      <w:lvlText w:val="%1."/>
      <w:lvlJc w:val="left"/>
      <w:pPr>
        <w:tabs>
          <w:tab w:val="num" w:pos="1209"/>
        </w:tabs>
        <w:ind w:left="1209" w:hanging="360"/>
      </w:pPr>
    </w:lvl>
  </w:abstractNum>
  <w:abstractNum w:abstractNumId="2">
    <w:nsid w:val="FFFFFF7E"/>
    <w:multiLevelType w:val="singleLevel"/>
    <w:tmpl w:val="0B422A54"/>
    <w:lvl w:ilvl="0">
      <w:start w:val="1"/>
      <w:numFmt w:val="decimal"/>
      <w:lvlText w:val="%1."/>
      <w:lvlJc w:val="left"/>
      <w:pPr>
        <w:tabs>
          <w:tab w:val="num" w:pos="926"/>
        </w:tabs>
        <w:ind w:left="926" w:hanging="360"/>
      </w:pPr>
    </w:lvl>
  </w:abstractNum>
  <w:abstractNum w:abstractNumId="3">
    <w:nsid w:val="FFFFFF7F"/>
    <w:multiLevelType w:val="singleLevel"/>
    <w:tmpl w:val="C894635A"/>
    <w:lvl w:ilvl="0">
      <w:start w:val="1"/>
      <w:numFmt w:val="decimal"/>
      <w:lvlText w:val="%1."/>
      <w:lvlJc w:val="left"/>
      <w:pPr>
        <w:tabs>
          <w:tab w:val="num" w:pos="643"/>
        </w:tabs>
        <w:ind w:left="643" w:hanging="360"/>
      </w:pPr>
    </w:lvl>
  </w:abstractNum>
  <w:abstractNum w:abstractNumId="4">
    <w:nsid w:val="FFFFFF80"/>
    <w:multiLevelType w:val="singleLevel"/>
    <w:tmpl w:val="7DDC00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94DB38"/>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B5C0188A"/>
    <w:lvl w:ilvl="0">
      <w:start w:val="1"/>
      <w:numFmt w:val="decimal"/>
      <w:lvlText w:val="%1."/>
      <w:lvlJc w:val="left"/>
      <w:pPr>
        <w:tabs>
          <w:tab w:val="num" w:pos="360"/>
        </w:tabs>
        <w:ind w:left="360" w:hanging="360"/>
      </w:pPr>
    </w:lvl>
  </w:abstractNum>
  <w:abstractNum w:abstractNumId="7">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hint="default"/>
      </w:rPr>
    </w:lvl>
    <w:lvl w:ilvl="1" w:tplc="0C090003">
      <w:start w:val="1"/>
      <w:numFmt w:val="bullet"/>
      <w:lvlText w:val="o"/>
      <w:lvlJc w:val="left"/>
      <w:pPr>
        <w:tabs>
          <w:tab w:val="num" w:pos="1724"/>
        </w:tabs>
        <w:ind w:left="1724" w:hanging="360"/>
      </w:pPr>
      <w:rPr>
        <w:rFonts w:ascii="Courier New" w:hAnsi="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
    <w:nsid w:val="32814C3A"/>
    <w:multiLevelType w:val="singleLevel"/>
    <w:tmpl w:val="164A6F20"/>
    <w:lvl w:ilvl="0">
      <w:start w:val="1"/>
      <w:numFmt w:val="bullet"/>
      <w:pStyle w:val="Bullet2BayerBodyText"/>
      <w:lvlText w:val=""/>
      <w:lvlJc w:val="left"/>
      <w:pPr>
        <w:tabs>
          <w:tab w:val="num" w:pos="1778"/>
        </w:tabs>
        <w:ind w:left="1778" w:hanging="360"/>
      </w:pPr>
      <w:rPr>
        <w:rFonts w:ascii="Symbol" w:hAnsi="Symbol" w:hint="default"/>
      </w:rPr>
    </w:lvl>
  </w:abstractNum>
  <w:abstractNum w:abstractNumId="1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nsid w:val="663F595D"/>
    <w:multiLevelType w:val="hybridMultilevel"/>
    <w:tmpl w:val="86B69502"/>
    <w:lvl w:ilvl="0" w:tplc="0409000F">
      <w:start w:val="1"/>
      <w:numFmt w:val="bullet"/>
      <w:pStyle w:val="Instructions2"/>
      <w:lvlText w:val="­"/>
      <w:lvlJc w:val="left"/>
      <w:pPr>
        <w:ind w:left="644" w:hanging="360"/>
      </w:pPr>
      <w:rPr>
        <w:rFonts w:ascii="Calibri" w:hAnsi="Calibri" w:hint="default"/>
      </w:rPr>
    </w:lvl>
    <w:lvl w:ilvl="1" w:tplc="04090019" w:tentative="1">
      <w:start w:val="1"/>
      <w:numFmt w:val="bullet"/>
      <w:lvlText w:val="o"/>
      <w:lvlJc w:val="left"/>
      <w:pPr>
        <w:ind w:left="1610" w:hanging="360"/>
      </w:pPr>
      <w:rPr>
        <w:rFonts w:ascii="Courier New" w:hAnsi="Courier New" w:hint="default"/>
      </w:rPr>
    </w:lvl>
    <w:lvl w:ilvl="2" w:tplc="0409001B" w:tentative="1">
      <w:start w:val="1"/>
      <w:numFmt w:val="bullet"/>
      <w:lvlText w:val=""/>
      <w:lvlJc w:val="left"/>
      <w:pPr>
        <w:ind w:left="2330" w:hanging="360"/>
      </w:pPr>
      <w:rPr>
        <w:rFonts w:ascii="Wingdings" w:hAnsi="Wingdings" w:hint="default"/>
      </w:rPr>
    </w:lvl>
    <w:lvl w:ilvl="3" w:tplc="0409000F" w:tentative="1">
      <w:start w:val="1"/>
      <w:numFmt w:val="bullet"/>
      <w:lvlText w:val=""/>
      <w:lvlJc w:val="left"/>
      <w:pPr>
        <w:ind w:left="3050" w:hanging="360"/>
      </w:pPr>
      <w:rPr>
        <w:rFonts w:ascii="Symbol" w:hAnsi="Symbol" w:hint="default"/>
      </w:rPr>
    </w:lvl>
    <w:lvl w:ilvl="4" w:tplc="04090019" w:tentative="1">
      <w:start w:val="1"/>
      <w:numFmt w:val="bullet"/>
      <w:lvlText w:val="o"/>
      <w:lvlJc w:val="left"/>
      <w:pPr>
        <w:ind w:left="3770" w:hanging="360"/>
      </w:pPr>
      <w:rPr>
        <w:rFonts w:ascii="Courier New" w:hAnsi="Courier New" w:hint="default"/>
      </w:rPr>
    </w:lvl>
    <w:lvl w:ilvl="5" w:tplc="0409001B" w:tentative="1">
      <w:start w:val="1"/>
      <w:numFmt w:val="bullet"/>
      <w:lvlText w:val=""/>
      <w:lvlJc w:val="left"/>
      <w:pPr>
        <w:ind w:left="4490" w:hanging="360"/>
      </w:pPr>
      <w:rPr>
        <w:rFonts w:ascii="Wingdings" w:hAnsi="Wingdings" w:hint="default"/>
      </w:rPr>
    </w:lvl>
    <w:lvl w:ilvl="6" w:tplc="0409000F" w:tentative="1">
      <w:start w:val="1"/>
      <w:numFmt w:val="bullet"/>
      <w:lvlText w:val=""/>
      <w:lvlJc w:val="left"/>
      <w:pPr>
        <w:ind w:left="5210" w:hanging="360"/>
      </w:pPr>
      <w:rPr>
        <w:rFonts w:ascii="Symbol" w:hAnsi="Symbol" w:hint="default"/>
      </w:rPr>
    </w:lvl>
    <w:lvl w:ilvl="7" w:tplc="04090019" w:tentative="1">
      <w:start w:val="1"/>
      <w:numFmt w:val="bullet"/>
      <w:lvlText w:val="o"/>
      <w:lvlJc w:val="left"/>
      <w:pPr>
        <w:ind w:left="5930" w:hanging="360"/>
      </w:pPr>
      <w:rPr>
        <w:rFonts w:ascii="Courier New" w:hAnsi="Courier New" w:hint="default"/>
      </w:rPr>
    </w:lvl>
    <w:lvl w:ilvl="8" w:tplc="0409001B" w:tentative="1">
      <w:start w:val="1"/>
      <w:numFmt w:val="bullet"/>
      <w:lvlText w:val=""/>
      <w:lvlJc w:val="left"/>
      <w:pPr>
        <w:ind w:left="6650" w:hanging="360"/>
      </w:pPr>
      <w:rPr>
        <w:rFonts w:ascii="Wingdings" w:hAnsi="Wingdings" w:hint="default"/>
      </w:rPr>
    </w:lvl>
  </w:abstractNum>
  <w:abstractNum w:abstractNumId="1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6D214E8B"/>
    <w:multiLevelType w:val="hybridMultilevel"/>
    <w:tmpl w:val="4426C4F8"/>
    <w:lvl w:ilvl="0" w:tplc="1464BE42">
      <w:start w:val="1"/>
      <w:numFmt w:val="bullet"/>
      <w:pStyle w:val="TableBullet"/>
      <w:lvlText w:val="•"/>
      <w:lvlJc w:val="left"/>
      <w:pPr>
        <w:tabs>
          <w:tab w:val="num" w:pos="85"/>
        </w:tabs>
        <w:ind w:left="113" w:hanging="113"/>
      </w:pPr>
      <w:rPr>
        <w:rFonts w:ascii="Times New Roman" w:hAnsi="Times New Roman" w:hint="default"/>
        <w:sz w:val="20"/>
      </w:rPr>
    </w:lvl>
    <w:lvl w:ilvl="1" w:tplc="A33253C6" w:tentative="1">
      <w:start w:val="1"/>
      <w:numFmt w:val="bullet"/>
      <w:lvlText w:val="o"/>
      <w:lvlJc w:val="left"/>
      <w:pPr>
        <w:tabs>
          <w:tab w:val="num" w:pos="1440"/>
        </w:tabs>
        <w:ind w:left="1440" w:hanging="360"/>
      </w:pPr>
      <w:rPr>
        <w:rFonts w:ascii="Courier New" w:hAnsi="Courier New" w:hint="default"/>
      </w:rPr>
    </w:lvl>
    <w:lvl w:ilvl="2" w:tplc="5652E314" w:tentative="1">
      <w:start w:val="1"/>
      <w:numFmt w:val="bullet"/>
      <w:lvlText w:val=""/>
      <w:lvlJc w:val="left"/>
      <w:pPr>
        <w:tabs>
          <w:tab w:val="num" w:pos="2160"/>
        </w:tabs>
        <w:ind w:left="2160" w:hanging="360"/>
      </w:pPr>
      <w:rPr>
        <w:rFonts w:ascii="Wingdings" w:hAnsi="Wingdings" w:hint="default"/>
      </w:rPr>
    </w:lvl>
    <w:lvl w:ilvl="3" w:tplc="163424EA" w:tentative="1">
      <w:start w:val="1"/>
      <w:numFmt w:val="bullet"/>
      <w:lvlText w:val=""/>
      <w:lvlJc w:val="left"/>
      <w:pPr>
        <w:tabs>
          <w:tab w:val="num" w:pos="2880"/>
        </w:tabs>
        <w:ind w:left="2880" w:hanging="360"/>
      </w:pPr>
      <w:rPr>
        <w:rFonts w:ascii="Symbol" w:hAnsi="Symbol" w:hint="default"/>
      </w:rPr>
    </w:lvl>
    <w:lvl w:ilvl="4" w:tplc="742E6A5A" w:tentative="1">
      <w:start w:val="1"/>
      <w:numFmt w:val="bullet"/>
      <w:lvlText w:val="o"/>
      <w:lvlJc w:val="left"/>
      <w:pPr>
        <w:tabs>
          <w:tab w:val="num" w:pos="3600"/>
        </w:tabs>
        <w:ind w:left="3600" w:hanging="360"/>
      </w:pPr>
      <w:rPr>
        <w:rFonts w:ascii="Courier New" w:hAnsi="Courier New" w:hint="default"/>
      </w:rPr>
    </w:lvl>
    <w:lvl w:ilvl="5" w:tplc="8488DFAE" w:tentative="1">
      <w:start w:val="1"/>
      <w:numFmt w:val="bullet"/>
      <w:lvlText w:val=""/>
      <w:lvlJc w:val="left"/>
      <w:pPr>
        <w:tabs>
          <w:tab w:val="num" w:pos="4320"/>
        </w:tabs>
        <w:ind w:left="4320" w:hanging="360"/>
      </w:pPr>
      <w:rPr>
        <w:rFonts w:ascii="Wingdings" w:hAnsi="Wingdings" w:hint="default"/>
      </w:rPr>
    </w:lvl>
    <w:lvl w:ilvl="6" w:tplc="9FA2824E" w:tentative="1">
      <w:start w:val="1"/>
      <w:numFmt w:val="bullet"/>
      <w:lvlText w:val=""/>
      <w:lvlJc w:val="left"/>
      <w:pPr>
        <w:tabs>
          <w:tab w:val="num" w:pos="5040"/>
        </w:tabs>
        <w:ind w:left="5040" w:hanging="360"/>
      </w:pPr>
      <w:rPr>
        <w:rFonts w:ascii="Symbol" w:hAnsi="Symbol" w:hint="default"/>
      </w:rPr>
    </w:lvl>
    <w:lvl w:ilvl="7" w:tplc="6D98BC98" w:tentative="1">
      <w:start w:val="1"/>
      <w:numFmt w:val="bullet"/>
      <w:lvlText w:val="o"/>
      <w:lvlJc w:val="left"/>
      <w:pPr>
        <w:tabs>
          <w:tab w:val="num" w:pos="5760"/>
        </w:tabs>
        <w:ind w:left="5760" w:hanging="360"/>
      </w:pPr>
      <w:rPr>
        <w:rFonts w:ascii="Courier New" w:hAnsi="Courier New" w:hint="default"/>
      </w:rPr>
    </w:lvl>
    <w:lvl w:ilvl="8" w:tplc="91FA863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9"/>
  </w:num>
  <w:num w:numId="4">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4"/>
  </w:num>
  <w:num w:numId="6">
    <w:abstractNumId w:val="15"/>
  </w:num>
  <w:num w:numId="7">
    <w:abstractNumId w:val="10"/>
  </w:num>
  <w:num w:numId="8">
    <w:abstractNumId w:val="12"/>
  </w:num>
  <w:num w:numId="9">
    <w:abstractNumId w:val="7"/>
  </w:num>
  <w:num w:numId="10">
    <w:abstractNumId w:val="13"/>
  </w:num>
  <w:num w:numId="11">
    <w:abstractNumId w:val="11"/>
  </w:num>
  <w:num w:numId="12">
    <w:abstractNumId w:val="2"/>
  </w:num>
  <w:num w:numId="13">
    <w:abstractNumId w:val="1"/>
  </w:num>
  <w:num w:numId="14">
    <w:abstractNumId w:val="0"/>
  </w:num>
  <w:num w:numId="15">
    <w:abstractNumId w:val="3"/>
  </w:num>
  <w:num w:numId="16">
    <w:abstractNumId w:val="6"/>
  </w:num>
  <w:num w:numId="17">
    <w:abstractNumId w:val="4"/>
  </w:num>
  <w:num w:numId="18">
    <w:abstractNumId w:val="5"/>
  </w:num>
  <w:num w:numId="19">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0">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TGAblue"/>
  <w:drawingGridHorizontalSpacing w:val="110"/>
  <w:displayHorizontalDrawingGridEvery w:val="2"/>
  <w:characterSpacingControl w:val="doNotCompress"/>
  <w:hdrShapeDefaults>
    <o:shapedefaults v:ext="edit" spidmax="61442">
      <o:colormenu v:ext="edit" fillcolor="none [3206]"/>
    </o:shapedefaults>
  </w:hdrShapeDefaults>
  <w:footnotePr>
    <w:footnote w:id="-1"/>
    <w:footnote w:id="0"/>
  </w:footnotePr>
  <w:endnotePr>
    <w:endnote w:id="-1"/>
    <w:endnote w:id="0"/>
  </w:endnotePr>
  <w:compat>
    <w:compatSetting w:name="compatibilityMode" w:uri="http://schemas.microsoft.com/office/word" w:val="12"/>
  </w:compat>
  <w:rsids>
    <w:rsidRoot w:val="0017078F"/>
    <w:rsid w:val="00002031"/>
    <w:rsid w:val="00003360"/>
    <w:rsid w:val="00004734"/>
    <w:rsid w:val="00006B22"/>
    <w:rsid w:val="0001276A"/>
    <w:rsid w:val="000246AE"/>
    <w:rsid w:val="00025C67"/>
    <w:rsid w:val="00026567"/>
    <w:rsid w:val="00040ACB"/>
    <w:rsid w:val="0005559E"/>
    <w:rsid w:val="0007223D"/>
    <w:rsid w:val="00077775"/>
    <w:rsid w:val="00084682"/>
    <w:rsid w:val="00090471"/>
    <w:rsid w:val="000A2760"/>
    <w:rsid w:val="000A3AED"/>
    <w:rsid w:val="000A521E"/>
    <w:rsid w:val="000A63AF"/>
    <w:rsid w:val="000B3532"/>
    <w:rsid w:val="000B3A75"/>
    <w:rsid w:val="000B7533"/>
    <w:rsid w:val="000C690F"/>
    <w:rsid w:val="000D1295"/>
    <w:rsid w:val="000D391B"/>
    <w:rsid w:val="000D3D6D"/>
    <w:rsid w:val="000D4FC7"/>
    <w:rsid w:val="000D6833"/>
    <w:rsid w:val="000E0970"/>
    <w:rsid w:val="000E4370"/>
    <w:rsid w:val="000F02F9"/>
    <w:rsid w:val="000F4869"/>
    <w:rsid w:val="000F5B42"/>
    <w:rsid w:val="000F6E6F"/>
    <w:rsid w:val="00104613"/>
    <w:rsid w:val="0010601F"/>
    <w:rsid w:val="0010788A"/>
    <w:rsid w:val="00107A31"/>
    <w:rsid w:val="00110EA5"/>
    <w:rsid w:val="00112F56"/>
    <w:rsid w:val="00125318"/>
    <w:rsid w:val="001305A2"/>
    <w:rsid w:val="00133238"/>
    <w:rsid w:val="001357CA"/>
    <w:rsid w:val="001366EE"/>
    <w:rsid w:val="0013752C"/>
    <w:rsid w:val="0014197B"/>
    <w:rsid w:val="001447CD"/>
    <w:rsid w:val="001466A1"/>
    <w:rsid w:val="00147040"/>
    <w:rsid w:val="001516B1"/>
    <w:rsid w:val="00154EBB"/>
    <w:rsid w:val="00156316"/>
    <w:rsid w:val="00165389"/>
    <w:rsid w:val="0017078F"/>
    <w:rsid w:val="0017693F"/>
    <w:rsid w:val="0018110E"/>
    <w:rsid w:val="00181684"/>
    <w:rsid w:val="001843C6"/>
    <w:rsid w:val="001850E0"/>
    <w:rsid w:val="001863D6"/>
    <w:rsid w:val="0019264D"/>
    <w:rsid w:val="00193105"/>
    <w:rsid w:val="001A2158"/>
    <w:rsid w:val="001A525F"/>
    <w:rsid w:val="001B09F9"/>
    <w:rsid w:val="001B14B8"/>
    <w:rsid w:val="001B6448"/>
    <w:rsid w:val="001E07CF"/>
    <w:rsid w:val="001E59F1"/>
    <w:rsid w:val="001F49EB"/>
    <w:rsid w:val="001F6CBA"/>
    <w:rsid w:val="00201D4E"/>
    <w:rsid w:val="002076C9"/>
    <w:rsid w:val="00220B8A"/>
    <w:rsid w:val="002257F3"/>
    <w:rsid w:val="00233456"/>
    <w:rsid w:val="002339A5"/>
    <w:rsid w:val="0023502D"/>
    <w:rsid w:val="002433F9"/>
    <w:rsid w:val="00257848"/>
    <w:rsid w:val="002666AC"/>
    <w:rsid w:val="0027084A"/>
    <w:rsid w:val="00286434"/>
    <w:rsid w:val="00286C59"/>
    <w:rsid w:val="00292113"/>
    <w:rsid w:val="002942D1"/>
    <w:rsid w:val="0029501A"/>
    <w:rsid w:val="002A5D58"/>
    <w:rsid w:val="002A6DD8"/>
    <w:rsid w:val="002B1638"/>
    <w:rsid w:val="002C1906"/>
    <w:rsid w:val="002C63ED"/>
    <w:rsid w:val="002C78AD"/>
    <w:rsid w:val="002D0721"/>
    <w:rsid w:val="002D545C"/>
    <w:rsid w:val="002D6161"/>
    <w:rsid w:val="002E4C9A"/>
    <w:rsid w:val="002F11F8"/>
    <w:rsid w:val="002F3F56"/>
    <w:rsid w:val="002F44B5"/>
    <w:rsid w:val="00311AC0"/>
    <w:rsid w:val="0031212C"/>
    <w:rsid w:val="0032583B"/>
    <w:rsid w:val="003277DC"/>
    <w:rsid w:val="00327883"/>
    <w:rsid w:val="00335100"/>
    <w:rsid w:val="00335504"/>
    <w:rsid w:val="003521E8"/>
    <w:rsid w:val="003728F3"/>
    <w:rsid w:val="0037496E"/>
    <w:rsid w:val="0037623D"/>
    <w:rsid w:val="00386150"/>
    <w:rsid w:val="003874CE"/>
    <w:rsid w:val="00390900"/>
    <w:rsid w:val="00393495"/>
    <w:rsid w:val="00396C92"/>
    <w:rsid w:val="003A7F6C"/>
    <w:rsid w:val="003B1113"/>
    <w:rsid w:val="003B4D60"/>
    <w:rsid w:val="003B634F"/>
    <w:rsid w:val="003B668A"/>
    <w:rsid w:val="003B7E39"/>
    <w:rsid w:val="003C1BA2"/>
    <w:rsid w:val="003C58DC"/>
    <w:rsid w:val="003D0A3B"/>
    <w:rsid w:val="003D1E62"/>
    <w:rsid w:val="003E2486"/>
    <w:rsid w:val="003E3208"/>
    <w:rsid w:val="003F0B04"/>
    <w:rsid w:val="0040134E"/>
    <w:rsid w:val="00415D59"/>
    <w:rsid w:val="004165B6"/>
    <w:rsid w:val="00431711"/>
    <w:rsid w:val="0043797D"/>
    <w:rsid w:val="00440A2D"/>
    <w:rsid w:val="00446082"/>
    <w:rsid w:val="00452DB3"/>
    <w:rsid w:val="004564A7"/>
    <w:rsid w:val="004617BF"/>
    <w:rsid w:val="004618CE"/>
    <w:rsid w:val="00463658"/>
    <w:rsid w:val="00467CA9"/>
    <w:rsid w:val="004722CC"/>
    <w:rsid w:val="004775C7"/>
    <w:rsid w:val="004936E4"/>
    <w:rsid w:val="00494E60"/>
    <w:rsid w:val="00497487"/>
    <w:rsid w:val="004A2569"/>
    <w:rsid w:val="004A7E13"/>
    <w:rsid w:val="004B7B76"/>
    <w:rsid w:val="004C2DCA"/>
    <w:rsid w:val="004E3A26"/>
    <w:rsid w:val="004F0F38"/>
    <w:rsid w:val="004F4AF5"/>
    <w:rsid w:val="00501921"/>
    <w:rsid w:val="005037B1"/>
    <w:rsid w:val="00511A7E"/>
    <w:rsid w:val="00530354"/>
    <w:rsid w:val="00532DF7"/>
    <w:rsid w:val="0053625B"/>
    <w:rsid w:val="005434C6"/>
    <w:rsid w:val="00543B39"/>
    <w:rsid w:val="00550096"/>
    <w:rsid w:val="00550E25"/>
    <w:rsid w:val="00557FF9"/>
    <w:rsid w:val="005661E6"/>
    <w:rsid w:val="005745C4"/>
    <w:rsid w:val="00576378"/>
    <w:rsid w:val="00577945"/>
    <w:rsid w:val="00577E38"/>
    <w:rsid w:val="0058404D"/>
    <w:rsid w:val="005843FE"/>
    <w:rsid w:val="00585322"/>
    <w:rsid w:val="00585753"/>
    <w:rsid w:val="005857C6"/>
    <w:rsid w:val="00586F98"/>
    <w:rsid w:val="00590069"/>
    <w:rsid w:val="00592F6E"/>
    <w:rsid w:val="00593AD1"/>
    <w:rsid w:val="005A68B6"/>
    <w:rsid w:val="005C1320"/>
    <w:rsid w:val="005C1674"/>
    <w:rsid w:val="005C5570"/>
    <w:rsid w:val="005C5C2D"/>
    <w:rsid w:val="005C79A4"/>
    <w:rsid w:val="005D5442"/>
    <w:rsid w:val="00603F32"/>
    <w:rsid w:val="00620406"/>
    <w:rsid w:val="00632398"/>
    <w:rsid w:val="00640FC3"/>
    <w:rsid w:val="00641945"/>
    <w:rsid w:val="00642020"/>
    <w:rsid w:val="00646206"/>
    <w:rsid w:val="0065337B"/>
    <w:rsid w:val="0065419D"/>
    <w:rsid w:val="006550A8"/>
    <w:rsid w:val="006604D8"/>
    <w:rsid w:val="00664A5B"/>
    <w:rsid w:val="006763D2"/>
    <w:rsid w:val="00680C08"/>
    <w:rsid w:val="006929C7"/>
    <w:rsid w:val="006931B1"/>
    <w:rsid w:val="006A15C0"/>
    <w:rsid w:val="006C130C"/>
    <w:rsid w:val="006C3E2A"/>
    <w:rsid w:val="006C642F"/>
    <w:rsid w:val="006D03E5"/>
    <w:rsid w:val="006D5D3E"/>
    <w:rsid w:val="006E08B3"/>
    <w:rsid w:val="006F17AC"/>
    <w:rsid w:val="006F1D37"/>
    <w:rsid w:val="006F2796"/>
    <w:rsid w:val="006F572E"/>
    <w:rsid w:val="00700B3B"/>
    <w:rsid w:val="00704349"/>
    <w:rsid w:val="007046D6"/>
    <w:rsid w:val="00705DB0"/>
    <w:rsid w:val="00722B57"/>
    <w:rsid w:val="00737B1A"/>
    <w:rsid w:val="0074253D"/>
    <w:rsid w:val="0074429B"/>
    <w:rsid w:val="007513B4"/>
    <w:rsid w:val="00755302"/>
    <w:rsid w:val="007563F4"/>
    <w:rsid w:val="007615BC"/>
    <w:rsid w:val="00762F05"/>
    <w:rsid w:val="007652FF"/>
    <w:rsid w:val="00770EF1"/>
    <w:rsid w:val="00773551"/>
    <w:rsid w:val="00773EF7"/>
    <w:rsid w:val="00774E1D"/>
    <w:rsid w:val="0077675A"/>
    <w:rsid w:val="00780355"/>
    <w:rsid w:val="007832F2"/>
    <w:rsid w:val="00785721"/>
    <w:rsid w:val="00793A59"/>
    <w:rsid w:val="007B6E9F"/>
    <w:rsid w:val="007C1216"/>
    <w:rsid w:val="007C1AF7"/>
    <w:rsid w:val="007D4859"/>
    <w:rsid w:val="007E3B41"/>
    <w:rsid w:val="007E6E27"/>
    <w:rsid w:val="00805D27"/>
    <w:rsid w:val="00821776"/>
    <w:rsid w:val="0083085C"/>
    <w:rsid w:val="008321F5"/>
    <w:rsid w:val="00832369"/>
    <w:rsid w:val="00832489"/>
    <w:rsid w:val="00834660"/>
    <w:rsid w:val="00836BC2"/>
    <w:rsid w:val="008414A0"/>
    <w:rsid w:val="008434B0"/>
    <w:rsid w:val="00843726"/>
    <w:rsid w:val="0085641B"/>
    <w:rsid w:val="00857136"/>
    <w:rsid w:val="00863776"/>
    <w:rsid w:val="00865F94"/>
    <w:rsid w:val="008768AA"/>
    <w:rsid w:val="00883666"/>
    <w:rsid w:val="00886D15"/>
    <w:rsid w:val="008872C3"/>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C5F31"/>
    <w:rsid w:val="008D107F"/>
    <w:rsid w:val="008D770F"/>
    <w:rsid w:val="008E344C"/>
    <w:rsid w:val="008E7846"/>
    <w:rsid w:val="008F1CCC"/>
    <w:rsid w:val="008F2967"/>
    <w:rsid w:val="008F6943"/>
    <w:rsid w:val="00902A21"/>
    <w:rsid w:val="00920330"/>
    <w:rsid w:val="009219D7"/>
    <w:rsid w:val="00922D53"/>
    <w:rsid w:val="00923B70"/>
    <w:rsid w:val="00924482"/>
    <w:rsid w:val="00930237"/>
    <w:rsid w:val="0093659B"/>
    <w:rsid w:val="00941008"/>
    <w:rsid w:val="00943C25"/>
    <w:rsid w:val="00946EA5"/>
    <w:rsid w:val="0095160F"/>
    <w:rsid w:val="009565A1"/>
    <w:rsid w:val="00963C08"/>
    <w:rsid w:val="0098585A"/>
    <w:rsid w:val="0098669D"/>
    <w:rsid w:val="00991D74"/>
    <w:rsid w:val="009A4CED"/>
    <w:rsid w:val="009A690D"/>
    <w:rsid w:val="009B1D12"/>
    <w:rsid w:val="009B416B"/>
    <w:rsid w:val="009C2302"/>
    <w:rsid w:val="009C4BD5"/>
    <w:rsid w:val="009C7E17"/>
    <w:rsid w:val="009D7B77"/>
    <w:rsid w:val="009E0BB0"/>
    <w:rsid w:val="009E3FBB"/>
    <w:rsid w:val="00A06C45"/>
    <w:rsid w:val="00A102E4"/>
    <w:rsid w:val="00A12001"/>
    <w:rsid w:val="00A12C42"/>
    <w:rsid w:val="00A14DF7"/>
    <w:rsid w:val="00A23381"/>
    <w:rsid w:val="00A235D9"/>
    <w:rsid w:val="00A3246D"/>
    <w:rsid w:val="00A32A74"/>
    <w:rsid w:val="00A36FA7"/>
    <w:rsid w:val="00A475B7"/>
    <w:rsid w:val="00A47AF7"/>
    <w:rsid w:val="00A47C3E"/>
    <w:rsid w:val="00A50226"/>
    <w:rsid w:val="00A60BAD"/>
    <w:rsid w:val="00A617AA"/>
    <w:rsid w:val="00A8186E"/>
    <w:rsid w:val="00A9294B"/>
    <w:rsid w:val="00A964D1"/>
    <w:rsid w:val="00AA0299"/>
    <w:rsid w:val="00AA0ED0"/>
    <w:rsid w:val="00AA1CE4"/>
    <w:rsid w:val="00AA3499"/>
    <w:rsid w:val="00AA5571"/>
    <w:rsid w:val="00AB4568"/>
    <w:rsid w:val="00AC2B40"/>
    <w:rsid w:val="00AC2BB2"/>
    <w:rsid w:val="00AC2C3C"/>
    <w:rsid w:val="00AC512D"/>
    <w:rsid w:val="00AD46F6"/>
    <w:rsid w:val="00AE01C2"/>
    <w:rsid w:val="00AE65EB"/>
    <w:rsid w:val="00AE67A7"/>
    <w:rsid w:val="00AF1D94"/>
    <w:rsid w:val="00AF60C5"/>
    <w:rsid w:val="00B009C6"/>
    <w:rsid w:val="00B01548"/>
    <w:rsid w:val="00B02208"/>
    <w:rsid w:val="00B1425E"/>
    <w:rsid w:val="00B21D29"/>
    <w:rsid w:val="00B25034"/>
    <w:rsid w:val="00B3081E"/>
    <w:rsid w:val="00B33588"/>
    <w:rsid w:val="00B33863"/>
    <w:rsid w:val="00B37D17"/>
    <w:rsid w:val="00B4175E"/>
    <w:rsid w:val="00B452CE"/>
    <w:rsid w:val="00B471B1"/>
    <w:rsid w:val="00B505EE"/>
    <w:rsid w:val="00B54C25"/>
    <w:rsid w:val="00B761DA"/>
    <w:rsid w:val="00B76B91"/>
    <w:rsid w:val="00B77EB1"/>
    <w:rsid w:val="00B811C6"/>
    <w:rsid w:val="00B85A87"/>
    <w:rsid w:val="00B91EBA"/>
    <w:rsid w:val="00B92E08"/>
    <w:rsid w:val="00B9390C"/>
    <w:rsid w:val="00B96EBE"/>
    <w:rsid w:val="00BA3894"/>
    <w:rsid w:val="00BC622A"/>
    <w:rsid w:val="00BD45E3"/>
    <w:rsid w:val="00BE0A78"/>
    <w:rsid w:val="00BE6252"/>
    <w:rsid w:val="00BE79F0"/>
    <w:rsid w:val="00BF046D"/>
    <w:rsid w:val="00BF1190"/>
    <w:rsid w:val="00BF5474"/>
    <w:rsid w:val="00BF5D04"/>
    <w:rsid w:val="00C06A9A"/>
    <w:rsid w:val="00C1164D"/>
    <w:rsid w:val="00C16861"/>
    <w:rsid w:val="00C22678"/>
    <w:rsid w:val="00C32198"/>
    <w:rsid w:val="00C404A6"/>
    <w:rsid w:val="00C40A36"/>
    <w:rsid w:val="00C44419"/>
    <w:rsid w:val="00C45E7B"/>
    <w:rsid w:val="00C471B1"/>
    <w:rsid w:val="00C57CBC"/>
    <w:rsid w:val="00C618F7"/>
    <w:rsid w:val="00C6316B"/>
    <w:rsid w:val="00C634A9"/>
    <w:rsid w:val="00C64586"/>
    <w:rsid w:val="00C70D53"/>
    <w:rsid w:val="00C73D0B"/>
    <w:rsid w:val="00C740BB"/>
    <w:rsid w:val="00C75BA5"/>
    <w:rsid w:val="00C772FF"/>
    <w:rsid w:val="00C801AF"/>
    <w:rsid w:val="00C80256"/>
    <w:rsid w:val="00C811C0"/>
    <w:rsid w:val="00CB3A21"/>
    <w:rsid w:val="00CB6BC0"/>
    <w:rsid w:val="00CC1B7C"/>
    <w:rsid w:val="00CC3DB4"/>
    <w:rsid w:val="00CC727F"/>
    <w:rsid w:val="00CF15C3"/>
    <w:rsid w:val="00CF2B6F"/>
    <w:rsid w:val="00CF58B6"/>
    <w:rsid w:val="00D017ED"/>
    <w:rsid w:val="00D01B7B"/>
    <w:rsid w:val="00D0386F"/>
    <w:rsid w:val="00D040D3"/>
    <w:rsid w:val="00D04C65"/>
    <w:rsid w:val="00D2161C"/>
    <w:rsid w:val="00D224FE"/>
    <w:rsid w:val="00D3519B"/>
    <w:rsid w:val="00D41898"/>
    <w:rsid w:val="00D4192E"/>
    <w:rsid w:val="00D53A31"/>
    <w:rsid w:val="00D6493E"/>
    <w:rsid w:val="00D70F9E"/>
    <w:rsid w:val="00D7301E"/>
    <w:rsid w:val="00D73F89"/>
    <w:rsid w:val="00D83AE1"/>
    <w:rsid w:val="00D855D4"/>
    <w:rsid w:val="00D93466"/>
    <w:rsid w:val="00DA1124"/>
    <w:rsid w:val="00DB75B7"/>
    <w:rsid w:val="00DC5EAC"/>
    <w:rsid w:val="00DC6E02"/>
    <w:rsid w:val="00DE02AE"/>
    <w:rsid w:val="00DE1AA4"/>
    <w:rsid w:val="00DE79DE"/>
    <w:rsid w:val="00DF1D7F"/>
    <w:rsid w:val="00DF4BE4"/>
    <w:rsid w:val="00DF5C3E"/>
    <w:rsid w:val="00E02FB4"/>
    <w:rsid w:val="00E07F15"/>
    <w:rsid w:val="00E1279D"/>
    <w:rsid w:val="00E20571"/>
    <w:rsid w:val="00E235F7"/>
    <w:rsid w:val="00E23659"/>
    <w:rsid w:val="00E239D4"/>
    <w:rsid w:val="00E26130"/>
    <w:rsid w:val="00E2741C"/>
    <w:rsid w:val="00E34258"/>
    <w:rsid w:val="00E36CDE"/>
    <w:rsid w:val="00E40B22"/>
    <w:rsid w:val="00E45619"/>
    <w:rsid w:val="00E4588F"/>
    <w:rsid w:val="00E46DA3"/>
    <w:rsid w:val="00E51BB1"/>
    <w:rsid w:val="00E624A5"/>
    <w:rsid w:val="00E7344E"/>
    <w:rsid w:val="00E936E3"/>
    <w:rsid w:val="00EA18CD"/>
    <w:rsid w:val="00EA5271"/>
    <w:rsid w:val="00EA7E79"/>
    <w:rsid w:val="00EB0798"/>
    <w:rsid w:val="00EB40AD"/>
    <w:rsid w:val="00EB586E"/>
    <w:rsid w:val="00EB5FC8"/>
    <w:rsid w:val="00EC64F4"/>
    <w:rsid w:val="00ED3CAD"/>
    <w:rsid w:val="00ED5A41"/>
    <w:rsid w:val="00EE0C98"/>
    <w:rsid w:val="00EE1DE8"/>
    <w:rsid w:val="00F033EC"/>
    <w:rsid w:val="00F04F68"/>
    <w:rsid w:val="00F07C2E"/>
    <w:rsid w:val="00F12670"/>
    <w:rsid w:val="00F14B27"/>
    <w:rsid w:val="00F3148D"/>
    <w:rsid w:val="00F325C5"/>
    <w:rsid w:val="00F32FE0"/>
    <w:rsid w:val="00F35298"/>
    <w:rsid w:val="00F47333"/>
    <w:rsid w:val="00F47E37"/>
    <w:rsid w:val="00F53C07"/>
    <w:rsid w:val="00F54B65"/>
    <w:rsid w:val="00F640B6"/>
    <w:rsid w:val="00F80E40"/>
    <w:rsid w:val="00F81C52"/>
    <w:rsid w:val="00F848D9"/>
    <w:rsid w:val="00F938BC"/>
    <w:rsid w:val="00FA5B82"/>
    <w:rsid w:val="00FA639E"/>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61442">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2" w:uiPriority="39"/>
    <w:lsdException w:name="toc 3" w:uiPriority="39"/>
    <w:lsdException w:name="header" w:semiHidden="0" w:unhideWhenUsed="0"/>
    <w:lsdException w:name="footer" w:semiHidden="0" w:unhideWhenUsed="0"/>
    <w:lsdException w:name="caption" w:semiHidden="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026567"/>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9"/>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uiPriority w:val="99"/>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uiPriority w:val="99"/>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9"/>
    <w:qFormat/>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9"/>
    <w:qFormat/>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9"/>
    <w:qFormat/>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9"/>
    <w:qFormat/>
    <w:rsid w:val="008D107F"/>
    <w:pPr>
      <w:keepNext/>
      <w:spacing w:before="0" w:line="240" w:lineRule="auto"/>
      <w:outlineLvl w:val="7"/>
    </w:pPr>
    <w:rPr>
      <w:rFonts w:ascii="Arial" w:eastAsia="Times New Roman" w:hAnsi="Arial"/>
      <w:b/>
      <w:i/>
      <w:iCs/>
      <w:kern w:val="16"/>
      <w:szCs w:val="24"/>
      <w:lang w:eastAsia="en-AU"/>
    </w:rPr>
  </w:style>
  <w:style w:type="paragraph" w:styleId="Heading9">
    <w:name w:val="heading 9"/>
    <w:basedOn w:val="Normal"/>
    <w:next w:val="Normal"/>
    <w:link w:val="Heading9Char"/>
    <w:uiPriority w:val="99"/>
    <w:qFormat/>
    <w:rsid w:val="008D107F"/>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uiPriority w:val="99"/>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uiPriority w:val="99"/>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3148D"/>
    <w:rPr>
      <w:rFonts w:ascii="Tahoma" w:hAnsi="Tahoma" w:cs="Tahoma"/>
      <w:sz w:val="16"/>
      <w:szCs w:val="16"/>
    </w:rPr>
  </w:style>
  <w:style w:type="paragraph" w:styleId="Caption">
    <w:name w:val="caption"/>
    <w:basedOn w:val="Normal"/>
    <w:next w:val="Normal"/>
    <w:uiPriority w:val="99"/>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uiPriority w:val="99"/>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466A1"/>
    <w:pPr>
      <w:spacing w:before="0" w:line="240" w:lineRule="auto"/>
    </w:pPr>
    <w:rPr>
      <w:szCs w:val="19"/>
    </w:rPr>
  </w:style>
  <w:style w:type="table" w:styleId="TableGrid">
    <w:name w:val="Table Grid"/>
    <w:basedOn w:val="TableNormal"/>
    <w:uiPriority w:val="9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uiPriority w:val="99"/>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9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99"/>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Abbreviations">
    <w:name w:val="Abbreviations"/>
    <w:basedOn w:val="Normal"/>
    <w:uiPriority w:val="99"/>
    <w:rsid w:val="00D73F89"/>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BayerBodyTextFull">
    <w:name w:val="Bayer Body Text Full"/>
    <w:basedOn w:val="Normal"/>
    <w:link w:val="BayerBodyTextFullZchn"/>
    <w:uiPriority w:val="99"/>
    <w:rsid w:val="00D73F89"/>
    <w:pPr>
      <w:spacing w:line="240" w:lineRule="auto"/>
    </w:pPr>
    <w:rPr>
      <w:rFonts w:ascii="Times New Roman" w:eastAsia="Times New Roman" w:hAnsi="Times New Roman"/>
      <w:sz w:val="20"/>
      <w:szCs w:val="20"/>
      <w:lang w:val="en-US"/>
    </w:rPr>
  </w:style>
  <w:style w:type="character" w:customStyle="1" w:styleId="BayerBodyTextFullZchn">
    <w:name w:val="Bayer Body Text Full Zchn"/>
    <w:link w:val="BayerBodyTextFull"/>
    <w:uiPriority w:val="99"/>
    <w:locked/>
    <w:rsid w:val="00D73F89"/>
    <w:rPr>
      <w:rFonts w:ascii="Times New Roman" w:eastAsia="Times New Roman" w:hAnsi="Times New Roman" w:cs="Times New Roman"/>
      <w:sz w:val="20"/>
      <w:szCs w:val="20"/>
      <w:lang w:val="en-US"/>
    </w:rPr>
  </w:style>
  <w:style w:type="paragraph" w:customStyle="1" w:styleId="Para0s">
    <w:name w:val="Para:0:s"/>
    <w:basedOn w:val="Normal"/>
    <w:link w:val="Para0sZchn"/>
    <w:uiPriority w:val="99"/>
    <w:rsid w:val="00D73F89"/>
    <w:pPr>
      <w:spacing w:before="0" w:after="220" w:line="240" w:lineRule="auto"/>
    </w:pPr>
    <w:rPr>
      <w:rFonts w:ascii="Times New Roman" w:eastAsia="Times New Roman" w:hAnsi="Times New Roman"/>
      <w:sz w:val="20"/>
      <w:szCs w:val="20"/>
      <w:lang w:val="en-US" w:eastAsia="de-DE"/>
    </w:rPr>
  </w:style>
  <w:style w:type="character" w:customStyle="1" w:styleId="Para0sZchn">
    <w:name w:val="Para:0:s Zchn"/>
    <w:link w:val="Para0s"/>
    <w:uiPriority w:val="99"/>
    <w:locked/>
    <w:rsid w:val="00D73F89"/>
    <w:rPr>
      <w:rFonts w:ascii="Times New Roman" w:eastAsia="Times New Roman" w:hAnsi="Times New Roman" w:cs="Times New Roman"/>
      <w:sz w:val="20"/>
      <w:szCs w:val="20"/>
      <w:lang w:val="en-US" w:eastAsia="de-DE"/>
    </w:rPr>
  </w:style>
  <w:style w:type="character" w:customStyle="1" w:styleId="Heading8Char">
    <w:name w:val="Heading 8 Char"/>
    <w:basedOn w:val="DefaultParagraphFont"/>
    <w:link w:val="Heading8"/>
    <w:uiPriority w:val="99"/>
    <w:rsid w:val="008D107F"/>
    <w:rPr>
      <w:rFonts w:ascii="Arial" w:eastAsia="Times New Roman" w:hAnsi="Arial" w:cs="Times New Roman"/>
      <w:b/>
      <w:i/>
      <w:iCs/>
      <w:kern w:val="16"/>
      <w:szCs w:val="24"/>
      <w:lang w:eastAsia="en-AU"/>
    </w:rPr>
  </w:style>
  <w:style w:type="character" w:customStyle="1" w:styleId="Heading9Char">
    <w:name w:val="Heading 9 Char"/>
    <w:basedOn w:val="DefaultParagraphFont"/>
    <w:link w:val="Heading9"/>
    <w:uiPriority w:val="99"/>
    <w:rsid w:val="008D107F"/>
    <w:rPr>
      <w:rFonts w:ascii="Arial" w:eastAsia="Times New Roman" w:hAnsi="Arial" w:cs="Arial"/>
      <w:kern w:val="16"/>
      <w:u w:val="single"/>
      <w:lang w:eastAsia="en-AU"/>
    </w:rPr>
  </w:style>
  <w:style w:type="paragraph" w:customStyle="1" w:styleId="Bullet1">
    <w:name w:val="Bullet 1"/>
    <w:basedOn w:val="Normal"/>
    <w:uiPriority w:val="99"/>
    <w:rsid w:val="008D107F"/>
    <w:pPr>
      <w:numPr>
        <w:numId w:val="7"/>
      </w:numPr>
      <w:spacing w:after="0" w:line="240" w:lineRule="auto"/>
    </w:pPr>
    <w:rPr>
      <w:rFonts w:eastAsia="Times New Roman"/>
      <w:kern w:val="24"/>
      <w:szCs w:val="24"/>
      <w:lang w:eastAsia="en-AU"/>
    </w:rPr>
  </w:style>
  <w:style w:type="paragraph" w:customStyle="1" w:styleId="Bullet2">
    <w:name w:val="Bullet 2"/>
    <w:basedOn w:val="Bullet1"/>
    <w:uiPriority w:val="99"/>
    <w:rsid w:val="008D107F"/>
    <w:pPr>
      <w:numPr>
        <w:numId w:val="8"/>
      </w:numPr>
    </w:pPr>
  </w:style>
  <w:style w:type="paragraph" w:customStyle="1" w:styleId="Heading0inTOC">
    <w:name w:val="Heading 0 (in TOC)"/>
    <w:basedOn w:val="Heading1"/>
    <w:next w:val="Normal"/>
    <w:uiPriority w:val="99"/>
    <w:rsid w:val="008D107F"/>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character" w:styleId="PageNumber">
    <w:name w:val="page number"/>
    <w:basedOn w:val="DefaultParagraphFont"/>
    <w:uiPriority w:val="99"/>
    <w:rsid w:val="008D107F"/>
    <w:rPr>
      <w:rFonts w:cs="Times New Roman"/>
      <w:sz w:val="20"/>
    </w:rPr>
  </w:style>
  <w:style w:type="paragraph" w:customStyle="1" w:styleId="TableBullet">
    <w:name w:val="Table Bullet"/>
    <w:basedOn w:val="Normal"/>
    <w:uiPriority w:val="99"/>
    <w:rsid w:val="008D107F"/>
    <w:pPr>
      <w:numPr>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99"/>
    <w:rsid w:val="008D107F"/>
    <w:pPr>
      <w:spacing w:before="0" w:after="0" w:line="240" w:lineRule="auto"/>
    </w:pPr>
    <w:rPr>
      <w:rFonts w:eastAsia="Times New Roman"/>
      <w:kern w:val="16"/>
      <w:lang w:eastAsia="en-AU"/>
    </w:rPr>
  </w:style>
  <w:style w:type="paragraph" w:styleId="TOC5">
    <w:name w:val="toc 5"/>
    <w:basedOn w:val="Normal"/>
    <w:next w:val="Normal"/>
    <w:uiPriority w:val="99"/>
    <w:rsid w:val="008D107F"/>
    <w:pPr>
      <w:spacing w:before="0" w:after="0" w:line="240" w:lineRule="auto"/>
    </w:pPr>
    <w:rPr>
      <w:rFonts w:eastAsia="Times New Roman"/>
      <w:kern w:val="16"/>
      <w:lang w:eastAsia="en-AU"/>
    </w:rPr>
  </w:style>
  <w:style w:type="paragraph" w:styleId="TOC6">
    <w:name w:val="toc 6"/>
    <w:basedOn w:val="Normal"/>
    <w:next w:val="Normal"/>
    <w:uiPriority w:val="99"/>
    <w:rsid w:val="008D107F"/>
    <w:pPr>
      <w:spacing w:before="0" w:after="0" w:line="240" w:lineRule="auto"/>
    </w:pPr>
    <w:rPr>
      <w:rFonts w:eastAsia="Times New Roman"/>
      <w:kern w:val="16"/>
      <w:lang w:eastAsia="en-AU"/>
    </w:rPr>
  </w:style>
  <w:style w:type="paragraph" w:styleId="TOC7">
    <w:name w:val="toc 7"/>
    <w:basedOn w:val="Normal"/>
    <w:next w:val="Normal"/>
    <w:uiPriority w:val="99"/>
    <w:rsid w:val="008D107F"/>
    <w:pPr>
      <w:spacing w:before="0" w:after="0" w:line="240" w:lineRule="auto"/>
    </w:pPr>
    <w:rPr>
      <w:rFonts w:eastAsia="Times New Roman"/>
      <w:kern w:val="16"/>
      <w:lang w:eastAsia="en-AU"/>
    </w:rPr>
  </w:style>
  <w:style w:type="paragraph" w:styleId="TOC8">
    <w:name w:val="toc 8"/>
    <w:basedOn w:val="Normal"/>
    <w:next w:val="Normal"/>
    <w:uiPriority w:val="99"/>
    <w:rsid w:val="008D107F"/>
    <w:pPr>
      <w:spacing w:before="0" w:after="0" w:line="240" w:lineRule="auto"/>
    </w:pPr>
    <w:rPr>
      <w:rFonts w:eastAsia="Times New Roman"/>
      <w:kern w:val="16"/>
      <w:lang w:eastAsia="en-AU"/>
    </w:rPr>
  </w:style>
  <w:style w:type="paragraph" w:styleId="TOC9">
    <w:name w:val="toc 9"/>
    <w:basedOn w:val="Normal"/>
    <w:next w:val="Normal"/>
    <w:uiPriority w:val="99"/>
    <w:rsid w:val="008D107F"/>
    <w:pPr>
      <w:spacing w:before="0" w:after="0" w:line="240" w:lineRule="auto"/>
    </w:pPr>
    <w:rPr>
      <w:rFonts w:eastAsia="Times New Roman"/>
      <w:kern w:val="16"/>
      <w:lang w:eastAsia="en-AU"/>
    </w:rPr>
  </w:style>
  <w:style w:type="paragraph" w:styleId="EndnoteText">
    <w:name w:val="endnote text"/>
    <w:basedOn w:val="Normal"/>
    <w:link w:val="EndnoteTextChar"/>
    <w:uiPriority w:val="99"/>
    <w:semiHidden/>
    <w:rsid w:val="008D107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uiPriority w:val="99"/>
    <w:semiHidden/>
    <w:rsid w:val="008D107F"/>
    <w:rPr>
      <w:rFonts w:ascii="Cambria" w:eastAsia="Times New Roman" w:hAnsi="Cambria" w:cs="Times New Roman"/>
      <w:kern w:val="16"/>
      <w:sz w:val="20"/>
      <w:szCs w:val="20"/>
      <w:lang w:eastAsia="en-AU"/>
    </w:rPr>
  </w:style>
  <w:style w:type="character" w:styleId="EndnoteReference">
    <w:name w:val="endnote reference"/>
    <w:basedOn w:val="DefaultParagraphFont"/>
    <w:uiPriority w:val="99"/>
    <w:semiHidden/>
    <w:rsid w:val="008D107F"/>
    <w:rPr>
      <w:rFonts w:cs="Times New Roman"/>
      <w:vertAlign w:val="baseline"/>
    </w:rPr>
  </w:style>
  <w:style w:type="paragraph" w:styleId="FootnoteText">
    <w:name w:val="footnote text"/>
    <w:basedOn w:val="Normal"/>
    <w:link w:val="FootnoteTextChar"/>
    <w:uiPriority w:val="99"/>
    <w:semiHidden/>
    <w:rsid w:val="000265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18"/>
      <w:szCs w:val="20"/>
      <w:lang w:eastAsia="en-AU"/>
    </w:rPr>
  </w:style>
  <w:style w:type="character" w:customStyle="1" w:styleId="FootnoteTextChar">
    <w:name w:val="Footnote Text Char"/>
    <w:basedOn w:val="DefaultParagraphFont"/>
    <w:link w:val="FootnoteText"/>
    <w:uiPriority w:val="99"/>
    <w:semiHidden/>
    <w:rsid w:val="00026567"/>
    <w:rPr>
      <w:rFonts w:ascii="Cambria" w:eastAsia="Times New Roman" w:hAnsi="Cambria" w:cs="Times New Roman"/>
      <w:kern w:val="16"/>
      <w:sz w:val="18"/>
      <w:szCs w:val="20"/>
      <w:lang w:eastAsia="en-AU"/>
    </w:rPr>
  </w:style>
  <w:style w:type="character" w:styleId="FootnoteReference">
    <w:name w:val="footnote reference"/>
    <w:basedOn w:val="DefaultParagraphFont"/>
    <w:uiPriority w:val="99"/>
    <w:semiHidden/>
    <w:rsid w:val="008D107F"/>
    <w:rPr>
      <w:rFonts w:cs="Times New Roman"/>
      <w:vertAlign w:val="superscript"/>
    </w:rPr>
  </w:style>
  <w:style w:type="paragraph" w:styleId="TableofFigures">
    <w:name w:val="table of figures"/>
    <w:basedOn w:val="Normal"/>
    <w:next w:val="Normal"/>
    <w:uiPriority w:val="99"/>
    <w:rsid w:val="008D107F"/>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uiPriority w:val="99"/>
    <w:rsid w:val="008D107F"/>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uiPriority w:val="99"/>
    <w:rsid w:val="008D107F"/>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uiPriority w:val="99"/>
    <w:rsid w:val="008D107F"/>
    <w:pPr>
      <w:numPr>
        <w:numId w:val="9"/>
      </w:numPr>
      <w:tabs>
        <w:tab w:val="clear" w:pos="1134"/>
      </w:tabs>
      <w:spacing w:before="120"/>
      <w:ind w:left="1418" w:hanging="284"/>
    </w:pPr>
  </w:style>
  <w:style w:type="paragraph" w:customStyle="1" w:styleId="Instructions1">
    <w:name w:val="Instructions 1"/>
    <w:basedOn w:val="Normal"/>
    <w:uiPriority w:val="99"/>
    <w:rsid w:val="008D107F"/>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uiPriority w:val="99"/>
    <w:rsid w:val="008D107F"/>
    <w:pPr>
      <w:numPr>
        <w:numId w:val="10"/>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basedOn w:val="DefaultParagraphFont"/>
    <w:uiPriority w:val="99"/>
    <w:rsid w:val="008D107F"/>
    <w:rPr>
      <w:rFonts w:cs="Times New Roman"/>
      <w:sz w:val="16"/>
    </w:rPr>
  </w:style>
  <w:style w:type="paragraph" w:styleId="CommentText">
    <w:name w:val="annotation text"/>
    <w:basedOn w:val="Normal"/>
    <w:link w:val="CommentTextChar"/>
    <w:uiPriority w:val="99"/>
    <w:rsid w:val="008D107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CommentTextChar">
    <w:name w:val="Comment Text Char"/>
    <w:basedOn w:val="DefaultParagraphFont"/>
    <w:link w:val="CommentText"/>
    <w:uiPriority w:val="99"/>
    <w:rsid w:val="008D107F"/>
    <w:rPr>
      <w:rFonts w:ascii="Times New Roman" w:eastAsia="Times New Roman" w:hAnsi="Times New Roman" w:cs="Times New Roman"/>
      <w:kern w:val="16"/>
      <w:sz w:val="20"/>
      <w:szCs w:val="20"/>
      <w:lang w:eastAsia="en-AU"/>
    </w:rPr>
  </w:style>
  <w:style w:type="paragraph" w:styleId="CommentSubject">
    <w:name w:val="annotation subject"/>
    <w:basedOn w:val="CommentText"/>
    <w:next w:val="CommentText"/>
    <w:link w:val="CommentSubjectChar"/>
    <w:uiPriority w:val="99"/>
    <w:rsid w:val="008D107F"/>
    <w:rPr>
      <w:b/>
      <w:bCs/>
    </w:rPr>
  </w:style>
  <w:style w:type="character" w:customStyle="1" w:styleId="CommentSubjectChar">
    <w:name w:val="Comment Subject Char"/>
    <w:basedOn w:val="CommentTextChar"/>
    <w:link w:val="CommentSubject"/>
    <w:uiPriority w:val="99"/>
    <w:rsid w:val="008D107F"/>
    <w:rPr>
      <w:rFonts w:ascii="Times New Roman" w:eastAsia="Times New Roman" w:hAnsi="Times New Roman" w:cs="Times New Roman"/>
      <w:b/>
      <w:bCs/>
      <w:kern w:val="16"/>
      <w:sz w:val="20"/>
      <w:szCs w:val="20"/>
      <w:lang w:eastAsia="en-AU"/>
    </w:rPr>
  </w:style>
  <w:style w:type="paragraph" w:customStyle="1" w:styleId="Contentslist1">
    <w:name w:val="Contents list 1"/>
    <w:basedOn w:val="Normal"/>
    <w:uiPriority w:val="99"/>
    <w:rsid w:val="008D107F"/>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uiPriority w:val="99"/>
    <w:rsid w:val="008D107F"/>
  </w:style>
  <w:style w:type="paragraph" w:customStyle="1" w:styleId="LightGrid-Accent31">
    <w:name w:val="Light Grid - Accent 31"/>
    <w:basedOn w:val="Normal"/>
    <w:uiPriority w:val="99"/>
    <w:rsid w:val="008D107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uiPriority w:val="99"/>
    <w:rsid w:val="008D107F"/>
    <w:pPr>
      <w:widowControl w:val="0"/>
      <w:autoSpaceDE w:val="0"/>
      <w:autoSpaceDN w:val="0"/>
      <w:adjustRightInd w:val="0"/>
      <w:spacing w:after="0" w:line="240" w:lineRule="auto"/>
    </w:pPr>
    <w:rPr>
      <w:rFonts w:ascii="Arial" w:eastAsia="Times New Roman" w:hAnsi="Arial" w:cs="Arial"/>
      <w:color w:val="000000"/>
      <w:sz w:val="24"/>
      <w:szCs w:val="24"/>
      <w:lang w:val="en-US" w:eastAsia="en-AU"/>
    </w:rPr>
  </w:style>
  <w:style w:type="paragraph" w:customStyle="1" w:styleId="Bullet2BayerBodyText">
    <w:name w:val="Bullet_2 Bayer Body Text"/>
    <w:basedOn w:val="Normal"/>
    <w:next w:val="BayerBodyTextFull"/>
    <w:uiPriority w:val="99"/>
    <w:rsid w:val="008D107F"/>
    <w:pPr>
      <w:numPr>
        <w:numId w:val="11"/>
      </w:numPr>
      <w:tabs>
        <w:tab w:val="clear" w:pos="1778"/>
      </w:tabs>
      <w:spacing w:before="0" w:line="240" w:lineRule="auto"/>
      <w:ind w:left="1440" w:hanging="720"/>
    </w:pPr>
    <w:rPr>
      <w:rFonts w:ascii="Times New Roman" w:eastAsia="Times New Roman" w:hAnsi="Times New Roman"/>
      <w:sz w:val="24"/>
      <w:szCs w:val="20"/>
      <w:lang w:val="en-US"/>
    </w:rPr>
  </w:style>
  <w:style w:type="paragraph" w:customStyle="1" w:styleId="LightList-Accent31">
    <w:name w:val="Light List - Accent 31"/>
    <w:hidden/>
    <w:uiPriority w:val="99"/>
    <w:semiHidden/>
    <w:rsid w:val="008D107F"/>
    <w:pPr>
      <w:spacing w:after="0" w:line="240" w:lineRule="auto"/>
    </w:pPr>
    <w:rPr>
      <w:rFonts w:ascii="Cambria" w:eastAsia="Times New Roman" w:hAnsi="Cambria" w:cs="Times New Roman"/>
      <w:kern w:val="16"/>
      <w:szCs w:val="24"/>
      <w:lang w:eastAsia="en-AU"/>
    </w:rPr>
  </w:style>
  <w:style w:type="paragraph" w:customStyle="1" w:styleId="MediumList2-Accent21">
    <w:name w:val="Medium List 2 - Accent 21"/>
    <w:hidden/>
    <w:uiPriority w:val="99"/>
    <w:rsid w:val="008D107F"/>
    <w:pPr>
      <w:spacing w:after="0" w:line="240" w:lineRule="auto"/>
    </w:pPr>
    <w:rPr>
      <w:rFonts w:ascii="Cambria" w:eastAsia="Times New Roman" w:hAnsi="Cambria" w:cs="Times New Roman"/>
      <w:kern w:val="16"/>
      <w:szCs w:val="24"/>
      <w:lang w:eastAsia="en-AU"/>
    </w:rPr>
  </w:style>
  <w:style w:type="paragraph" w:styleId="Revision">
    <w:name w:val="Revision"/>
    <w:hidden/>
    <w:uiPriority w:val="99"/>
    <w:rsid w:val="008D107F"/>
    <w:pPr>
      <w:spacing w:after="0" w:line="240" w:lineRule="auto"/>
    </w:pPr>
    <w:rPr>
      <w:rFonts w:ascii="Cambria" w:eastAsia="Times New Roman" w:hAnsi="Cambria" w:cs="Times New Roman"/>
      <w:kern w:val="16"/>
      <w:szCs w:val="24"/>
      <w:lang w:eastAsia="en-AU"/>
    </w:rPr>
  </w:style>
  <w:style w:type="paragraph" w:styleId="ListParagraph">
    <w:name w:val="List Paragraph"/>
    <w:basedOn w:val="Normal"/>
    <w:uiPriority w:val="99"/>
    <w:qFormat/>
    <w:rsid w:val="008D107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HeadingBase">
    <w:name w:val="Heading Base"/>
    <w:basedOn w:val="BodyText"/>
    <w:next w:val="BodyText"/>
    <w:uiPriority w:val="99"/>
    <w:rsid w:val="008D107F"/>
    <w:pPr>
      <w:keepNext/>
      <w:keepLines/>
      <w:spacing w:before="240" w:after="240"/>
    </w:pPr>
    <w:rPr>
      <w:caps/>
    </w:rPr>
  </w:style>
  <w:style w:type="paragraph" w:styleId="BodyText">
    <w:name w:val="Body Text"/>
    <w:basedOn w:val="Normal"/>
    <w:link w:val="BodyTextChar"/>
    <w:uiPriority w:val="99"/>
    <w:rsid w:val="008D107F"/>
    <w:pPr>
      <w:spacing w:before="0" w:after="220"/>
      <w:jc w:val="both"/>
    </w:pPr>
    <w:rPr>
      <w:rFonts w:ascii="Garamond" w:eastAsia="Times New Roman" w:hAnsi="Garamond"/>
      <w:szCs w:val="20"/>
      <w:lang w:val="en-US"/>
    </w:rPr>
  </w:style>
  <w:style w:type="character" w:customStyle="1" w:styleId="BodyTextChar">
    <w:name w:val="Body Text Char"/>
    <w:basedOn w:val="DefaultParagraphFont"/>
    <w:link w:val="BodyText"/>
    <w:uiPriority w:val="99"/>
    <w:rsid w:val="008D107F"/>
    <w:rPr>
      <w:rFonts w:ascii="Garamond" w:eastAsia="Times New Roman" w:hAnsi="Garamond" w:cs="Times New Roman"/>
      <w:szCs w:val="20"/>
      <w:lang w:val="en-US"/>
    </w:rPr>
  </w:style>
  <w:style w:type="paragraph" w:customStyle="1" w:styleId="HeaderBase">
    <w:name w:val="Header Base"/>
    <w:basedOn w:val="Normal"/>
    <w:uiPriority w:val="99"/>
    <w:rsid w:val="008D107F"/>
    <w:pPr>
      <w:spacing w:before="220" w:after="220" w:line="220" w:lineRule="atLeast"/>
      <w:ind w:left="-2160"/>
      <w:jc w:val="both"/>
    </w:pPr>
    <w:rPr>
      <w:rFonts w:ascii="Garamond" w:eastAsia="Times New Roman" w:hAnsi="Garamond"/>
      <w:caps/>
      <w:szCs w:val="20"/>
    </w:rPr>
  </w:style>
  <w:style w:type="paragraph" w:customStyle="1" w:styleId="DocumentLabel">
    <w:name w:val="Document Label"/>
    <w:basedOn w:val="Normal"/>
    <w:next w:val="SectionTitle"/>
    <w:uiPriority w:val="99"/>
    <w:rsid w:val="008D107F"/>
    <w:pPr>
      <w:spacing w:before="0" w:after="220" w:line="240" w:lineRule="auto"/>
      <w:jc w:val="both"/>
    </w:pPr>
    <w:rPr>
      <w:rFonts w:ascii="Garamond" w:eastAsia="Times New Roman" w:hAnsi="Garamond"/>
      <w:spacing w:val="-20"/>
      <w:sz w:val="48"/>
      <w:szCs w:val="20"/>
    </w:rPr>
  </w:style>
  <w:style w:type="paragraph" w:customStyle="1" w:styleId="SectionTitle">
    <w:name w:val="Section Title"/>
    <w:basedOn w:val="Normal"/>
    <w:next w:val="Objective"/>
    <w:uiPriority w:val="99"/>
    <w:rsid w:val="008D107F"/>
    <w:pPr>
      <w:pBdr>
        <w:bottom w:val="single" w:sz="6" w:space="1" w:color="808080"/>
      </w:pBdr>
      <w:spacing w:before="220" w:after="0" w:line="220" w:lineRule="atLeast"/>
    </w:pPr>
    <w:rPr>
      <w:rFonts w:ascii="Garamond" w:eastAsia="Times New Roman" w:hAnsi="Garamond"/>
      <w:caps/>
      <w:spacing w:val="15"/>
      <w:sz w:val="20"/>
      <w:szCs w:val="20"/>
    </w:rPr>
  </w:style>
  <w:style w:type="paragraph" w:customStyle="1" w:styleId="Objective">
    <w:name w:val="Objective"/>
    <w:basedOn w:val="Normal"/>
    <w:next w:val="BodyText"/>
    <w:uiPriority w:val="99"/>
    <w:rsid w:val="008D107F"/>
    <w:pPr>
      <w:spacing w:before="60" w:after="220" w:line="220" w:lineRule="atLeast"/>
      <w:jc w:val="both"/>
    </w:pPr>
    <w:rPr>
      <w:rFonts w:ascii="Garamond" w:eastAsia="Times New Roman" w:hAnsi="Garamond"/>
      <w:szCs w:val="20"/>
    </w:rPr>
  </w:style>
  <w:style w:type="paragraph" w:customStyle="1" w:styleId="CompanyName">
    <w:name w:val="Company Name"/>
    <w:basedOn w:val="Normal"/>
    <w:next w:val="JobTitle"/>
    <w:uiPriority w:val="99"/>
    <w:rsid w:val="008D107F"/>
    <w:pPr>
      <w:tabs>
        <w:tab w:val="left" w:pos="1440"/>
        <w:tab w:val="right" w:pos="6480"/>
      </w:tabs>
      <w:spacing w:before="220" w:after="0" w:line="220" w:lineRule="atLeast"/>
    </w:pPr>
    <w:rPr>
      <w:rFonts w:ascii="Garamond" w:eastAsia="Times New Roman" w:hAnsi="Garamond"/>
      <w:szCs w:val="20"/>
    </w:rPr>
  </w:style>
  <w:style w:type="paragraph" w:customStyle="1" w:styleId="JobTitle">
    <w:name w:val="Job Title"/>
    <w:next w:val="Achievement"/>
    <w:uiPriority w:val="99"/>
    <w:rsid w:val="008D107F"/>
    <w:pPr>
      <w:spacing w:before="40" w:after="40" w:line="220" w:lineRule="atLeast"/>
    </w:pPr>
    <w:rPr>
      <w:rFonts w:ascii="Garamond" w:eastAsia="Times New Roman" w:hAnsi="Garamond" w:cs="Times New Roman"/>
      <w:i/>
      <w:spacing w:val="5"/>
      <w:sz w:val="23"/>
      <w:szCs w:val="20"/>
      <w:lang w:val="en-US"/>
    </w:rPr>
  </w:style>
  <w:style w:type="paragraph" w:customStyle="1" w:styleId="Achievement">
    <w:name w:val="Achievement"/>
    <w:basedOn w:val="BodyText"/>
    <w:uiPriority w:val="99"/>
    <w:rsid w:val="008D107F"/>
    <w:pPr>
      <w:spacing w:after="60"/>
      <w:ind w:left="240" w:hanging="240"/>
    </w:pPr>
  </w:style>
  <w:style w:type="paragraph" w:customStyle="1" w:styleId="Name">
    <w:name w:val="Name"/>
    <w:basedOn w:val="Normal"/>
    <w:next w:val="Normal"/>
    <w:uiPriority w:val="99"/>
    <w:rsid w:val="008D107F"/>
    <w:pPr>
      <w:spacing w:before="0" w:after="440"/>
      <w:jc w:val="center"/>
    </w:pPr>
    <w:rPr>
      <w:rFonts w:ascii="Garamond" w:eastAsia="Times New Roman" w:hAnsi="Garamond"/>
      <w:caps/>
      <w:spacing w:val="80"/>
      <w:sz w:val="44"/>
      <w:szCs w:val="20"/>
    </w:rPr>
  </w:style>
  <w:style w:type="paragraph" w:customStyle="1" w:styleId="CityState">
    <w:name w:val="City/State"/>
    <w:basedOn w:val="BodyText"/>
    <w:next w:val="BodyText"/>
    <w:uiPriority w:val="99"/>
    <w:rsid w:val="008D107F"/>
    <w:pPr>
      <w:keepNext/>
    </w:pPr>
  </w:style>
  <w:style w:type="paragraph" w:customStyle="1" w:styleId="Institution">
    <w:name w:val="Institution"/>
    <w:basedOn w:val="Normal"/>
    <w:next w:val="Achievement"/>
    <w:uiPriority w:val="99"/>
    <w:rsid w:val="008D107F"/>
    <w:pPr>
      <w:tabs>
        <w:tab w:val="left" w:pos="1440"/>
        <w:tab w:val="right" w:pos="6480"/>
      </w:tabs>
      <w:spacing w:before="60" w:after="0" w:line="220" w:lineRule="atLeast"/>
    </w:pPr>
    <w:rPr>
      <w:rFonts w:ascii="Garamond" w:eastAsia="Times New Roman" w:hAnsi="Garamond"/>
      <w:szCs w:val="20"/>
    </w:rPr>
  </w:style>
  <w:style w:type="character" w:customStyle="1" w:styleId="Lead-inEmphasis">
    <w:name w:val="Lead-in Emphasis"/>
    <w:uiPriority w:val="99"/>
    <w:rsid w:val="008D107F"/>
    <w:rPr>
      <w:rFonts w:ascii="Arial Black" w:hAnsi="Arial Black"/>
      <w:spacing w:val="-6"/>
      <w:sz w:val="18"/>
    </w:rPr>
  </w:style>
  <w:style w:type="paragraph" w:customStyle="1" w:styleId="Address1">
    <w:name w:val="Address 1"/>
    <w:basedOn w:val="Normal"/>
    <w:uiPriority w:val="99"/>
    <w:rsid w:val="008D107F"/>
    <w:pPr>
      <w:spacing w:before="0" w:after="0" w:line="160" w:lineRule="atLeast"/>
      <w:jc w:val="center"/>
    </w:pPr>
    <w:rPr>
      <w:rFonts w:ascii="Garamond" w:eastAsia="Times New Roman" w:hAnsi="Garamond"/>
      <w:caps/>
      <w:spacing w:val="30"/>
      <w:sz w:val="15"/>
      <w:szCs w:val="20"/>
    </w:rPr>
  </w:style>
  <w:style w:type="paragraph" w:customStyle="1" w:styleId="SectionSubtitle">
    <w:name w:val="Section Subtitle"/>
    <w:basedOn w:val="SectionTitle"/>
    <w:next w:val="Normal"/>
    <w:uiPriority w:val="99"/>
    <w:rsid w:val="008D107F"/>
    <w:rPr>
      <w:i/>
      <w:caps w:val="0"/>
      <w:spacing w:val="10"/>
      <w:sz w:val="24"/>
    </w:rPr>
  </w:style>
  <w:style w:type="paragraph" w:customStyle="1" w:styleId="Address2">
    <w:name w:val="Address 2"/>
    <w:basedOn w:val="Normal"/>
    <w:uiPriority w:val="99"/>
    <w:rsid w:val="008D107F"/>
    <w:pPr>
      <w:spacing w:before="0" w:after="0" w:line="160" w:lineRule="atLeast"/>
      <w:jc w:val="center"/>
    </w:pPr>
    <w:rPr>
      <w:rFonts w:ascii="Garamond" w:eastAsia="Times New Roman" w:hAnsi="Garamond"/>
      <w:caps/>
      <w:spacing w:val="30"/>
      <w:sz w:val="15"/>
      <w:szCs w:val="20"/>
    </w:rPr>
  </w:style>
  <w:style w:type="character" w:styleId="Emphasis">
    <w:name w:val="Emphasis"/>
    <w:basedOn w:val="DefaultParagraphFont"/>
    <w:uiPriority w:val="99"/>
    <w:qFormat/>
    <w:rsid w:val="008D107F"/>
    <w:rPr>
      <w:rFonts w:ascii="Garamond" w:hAnsi="Garamond" w:cs="Times New Roman"/>
      <w:caps/>
      <w:spacing w:val="0"/>
      <w:sz w:val="18"/>
    </w:rPr>
  </w:style>
  <w:style w:type="paragraph" w:styleId="BodyTextIndent">
    <w:name w:val="Body Text Indent"/>
    <w:basedOn w:val="BodyText"/>
    <w:link w:val="BodyTextIndentChar"/>
    <w:uiPriority w:val="99"/>
    <w:rsid w:val="008D107F"/>
    <w:pPr>
      <w:ind w:left="720"/>
    </w:pPr>
  </w:style>
  <w:style w:type="character" w:customStyle="1" w:styleId="BodyTextIndentChar">
    <w:name w:val="Body Text Indent Char"/>
    <w:basedOn w:val="DefaultParagraphFont"/>
    <w:link w:val="BodyTextIndent"/>
    <w:uiPriority w:val="99"/>
    <w:rsid w:val="008D107F"/>
    <w:rPr>
      <w:rFonts w:ascii="Garamond" w:eastAsia="Times New Roman" w:hAnsi="Garamond" w:cs="Times New Roman"/>
      <w:szCs w:val="20"/>
      <w:lang w:val="en-US"/>
    </w:rPr>
  </w:style>
  <w:style w:type="character" w:customStyle="1" w:styleId="Job">
    <w:name w:val="Job"/>
    <w:basedOn w:val="DefaultParagraphFont"/>
    <w:uiPriority w:val="99"/>
    <w:rsid w:val="008D107F"/>
    <w:rPr>
      <w:rFonts w:cs="Times New Roman"/>
    </w:rPr>
  </w:style>
  <w:style w:type="paragraph" w:customStyle="1" w:styleId="PersonalData">
    <w:name w:val="Personal Data"/>
    <w:basedOn w:val="BodyText"/>
    <w:uiPriority w:val="99"/>
    <w:rsid w:val="008D107F"/>
    <w:pPr>
      <w:spacing w:after="120" w:line="240" w:lineRule="exact"/>
      <w:ind w:left="-1080" w:right="1080"/>
    </w:pPr>
    <w:rPr>
      <w:rFonts w:ascii="Arial" w:hAnsi="Arial"/>
      <w:i/>
    </w:rPr>
  </w:style>
  <w:style w:type="paragraph" w:customStyle="1" w:styleId="CompanyNameOne">
    <w:name w:val="Company Name One"/>
    <w:basedOn w:val="CompanyName"/>
    <w:next w:val="JobTitle"/>
    <w:uiPriority w:val="99"/>
    <w:rsid w:val="008D107F"/>
    <w:pPr>
      <w:spacing w:before="60"/>
    </w:pPr>
  </w:style>
  <w:style w:type="paragraph" w:customStyle="1" w:styleId="NoTitle">
    <w:name w:val="No Title"/>
    <w:basedOn w:val="SectionTitle"/>
    <w:uiPriority w:val="99"/>
    <w:rsid w:val="008D107F"/>
    <w:pPr>
      <w:pBdr>
        <w:bottom w:val="none" w:sz="0" w:space="0" w:color="auto"/>
      </w:pBdr>
    </w:pPr>
  </w:style>
  <w:style w:type="paragraph" w:customStyle="1" w:styleId="PersonalInfo">
    <w:name w:val="Personal Info"/>
    <w:basedOn w:val="Achievement"/>
    <w:next w:val="Achievement"/>
    <w:uiPriority w:val="99"/>
    <w:rsid w:val="008D107F"/>
    <w:pPr>
      <w:spacing w:before="220"/>
      <w:ind w:left="245" w:hanging="245"/>
    </w:pPr>
  </w:style>
  <w:style w:type="paragraph" w:customStyle="1" w:styleId="Heading22">
    <w:name w:val="Heading 22"/>
    <w:basedOn w:val="Normal"/>
    <w:uiPriority w:val="99"/>
    <w:rsid w:val="008D107F"/>
    <w:pPr>
      <w:pBdr>
        <w:top w:val="single" w:sz="4" w:space="6" w:color="CCCCCC"/>
        <w:left w:val="single" w:sz="4" w:space="6" w:color="CCCCCC"/>
        <w:bottom w:val="single" w:sz="4" w:space="6" w:color="CCCCCC"/>
        <w:right w:val="single" w:sz="4" w:space="6" w:color="CCCCCC"/>
      </w:pBdr>
      <w:shd w:val="clear" w:color="auto" w:fill="F0F8FF"/>
      <w:spacing w:before="240" w:after="240" w:line="240" w:lineRule="auto"/>
      <w:outlineLvl w:val="2"/>
    </w:pPr>
    <w:rPr>
      <w:rFonts w:ascii="Arial" w:eastAsia="Times New Roman" w:hAnsi="Arial" w:cs="Arial"/>
      <w:b/>
      <w:bCs/>
      <w:color w:val="000000"/>
      <w:sz w:val="23"/>
      <w:szCs w:val="23"/>
      <w:lang w:eastAsia="en-AU"/>
    </w:rPr>
  </w:style>
  <w:style w:type="character" w:customStyle="1" w:styleId="ti2">
    <w:name w:val="ti2"/>
    <w:uiPriority w:val="99"/>
    <w:rsid w:val="008D107F"/>
    <w:rPr>
      <w:sz w:val="22"/>
    </w:rPr>
  </w:style>
  <w:style w:type="character" w:customStyle="1" w:styleId="featuredlinkouts">
    <w:name w:val="featured_linkouts"/>
    <w:basedOn w:val="DefaultParagraphFont"/>
    <w:uiPriority w:val="99"/>
    <w:rsid w:val="008D107F"/>
    <w:rPr>
      <w:rFonts w:cs="Times New Roman"/>
    </w:rPr>
  </w:style>
  <w:style w:type="character" w:customStyle="1" w:styleId="linkbar">
    <w:name w:val="linkbar"/>
    <w:basedOn w:val="DefaultParagraphFont"/>
    <w:uiPriority w:val="99"/>
    <w:rsid w:val="008D107F"/>
    <w:rPr>
      <w:rFonts w:cs="Times New Roman"/>
    </w:rPr>
  </w:style>
  <w:style w:type="character" w:styleId="Strong">
    <w:name w:val="Strong"/>
    <w:basedOn w:val="DefaultParagraphFont"/>
    <w:uiPriority w:val="99"/>
    <w:qFormat/>
    <w:rsid w:val="008D107F"/>
    <w:rPr>
      <w:rFonts w:cs="Times New Roman"/>
      <w:b/>
    </w:rPr>
  </w:style>
  <w:style w:type="paragraph" w:customStyle="1" w:styleId="citation">
    <w:name w:val="citation"/>
    <w:basedOn w:val="Normal"/>
    <w:uiPriority w:val="99"/>
    <w:rsid w:val="008D107F"/>
    <w:pPr>
      <w:spacing w:before="100" w:beforeAutospacing="1" w:after="100" w:afterAutospacing="1" w:line="240" w:lineRule="auto"/>
    </w:pPr>
    <w:rPr>
      <w:rFonts w:ascii="Times New Roman" w:eastAsia="SimSun" w:hAnsi="Times New Roman"/>
      <w:sz w:val="24"/>
      <w:szCs w:val="24"/>
      <w:lang w:eastAsia="zh-CN"/>
    </w:rPr>
  </w:style>
  <w:style w:type="paragraph" w:customStyle="1" w:styleId="authlist">
    <w:name w:val="auth_list"/>
    <w:basedOn w:val="Normal"/>
    <w:uiPriority w:val="99"/>
    <w:rsid w:val="008D107F"/>
    <w:pPr>
      <w:spacing w:before="100" w:beforeAutospacing="1" w:after="100" w:afterAutospacing="1" w:line="240" w:lineRule="auto"/>
    </w:pPr>
    <w:rPr>
      <w:rFonts w:ascii="Times New Roman" w:eastAsia="SimSun" w:hAnsi="Times New Roman"/>
      <w:sz w:val="24"/>
      <w:szCs w:val="24"/>
      <w:lang w:eastAsia="zh-CN"/>
    </w:rPr>
  </w:style>
  <w:style w:type="character" w:customStyle="1" w:styleId="A7">
    <w:name w:val="A7"/>
    <w:uiPriority w:val="99"/>
    <w:rsid w:val="008D107F"/>
    <w:rPr>
      <w:color w:val="000000"/>
      <w:sz w:val="14"/>
    </w:rPr>
  </w:style>
  <w:style w:type="character" w:customStyle="1" w:styleId="Reporttitle">
    <w:name w:val="Report title"/>
    <w:uiPriority w:val="99"/>
    <w:semiHidden/>
    <w:rsid w:val="008D107F"/>
    <w:rPr>
      <w:rFonts w:ascii="Arial Narrow" w:hAnsi="Arial Narrow"/>
      <w:b/>
      <w:sz w:val="52"/>
    </w:rPr>
  </w:style>
  <w:style w:type="paragraph" w:styleId="DocumentMap">
    <w:name w:val="Document Map"/>
    <w:basedOn w:val="Normal"/>
    <w:link w:val="DocumentMapChar"/>
    <w:uiPriority w:val="99"/>
    <w:semiHidden/>
    <w:unhideWhenUsed/>
    <w:rsid w:val="008D107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ahoma" w:eastAsia="Times New Roman" w:hAnsi="Tahoma" w:cs="Tahoma"/>
      <w:kern w:val="16"/>
      <w:sz w:val="16"/>
      <w:szCs w:val="16"/>
      <w:lang w:eastAsia="en-AU"/>
    </w:rPr>
  </w:style>
  <w:style w:type="character" w:customStyle="1" w:styleId="DocumentMapChar">
    <w:name w:val="Document Map Char"/>
    <w:basedOn w:val="DefaultParagraphFont"/>
    <w:link w:val="DocumentMap"/>
    <w:uiPriority w:val="99"/>
    <w:semiHidden/>
    <w:rsid w:val="008D107F"/>
    <w:rPr>
      <w:rFonts w:ascii="Tahoma" w:eastAsia="Times New Roman" w:hAnsi="Tahoma" w:cs="Tahoma"/>
      <w:kern w:val="16"/>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2"/>
      </w:numPr>
    </w:pPr>
  </w:style>
  <w:style w:type="numbering" w:customStyle="1" w:styleId="Heading2Char">
    <w:name w:val="List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2396">
      <w:bodyDiv w:val="1"/>
      <w:marLeft w:val="0"/>
      <w:marRight w:val="0"/>
      <w:marTop w:val="0"/>
      <w:marBottom w:val="0"/>
      <w:divBdr>
        <w:top w:val="none" w:sz="0" w:space="0" w:color="auto"/>
        <w:left w:val="none" w:sz="0" w:space="0" w:color="auto"/>
        <w:bottom w:val="none" w:sz="0" w:space="0" w:color="auto"/>
        <w:right w:val="none" w:sz="0" w:space="0" w:color="auto"/>
      </w:divBdr>
    </w:div>
    <w:div w:id="413667056">
      <w:bodyDiv w:val="1"/>
      <w:marLeft w:val="0"/>
      <w:marRight w:val="0"/>
      <w:marTop w:val="0"/>
      <w:marBottom w:val="0"/>
      <w:divBdr>
        <w:top w:val="none" w:sz="0" w:space="0" w:color="auto"/>
        <w:left w:val="none" w:sz="0" w:space="0" w:color="auto"/>
        <w:bottom w:val="none" w:sz="0" w:space="0" w:color="auto"/>
        <w:right w:val="none" w:sz="0" w:space="0" w:color="auto"/>
      </w:divBdr>
    </w:div>
    <w:div w:id="660087864">
      <w:bodyDiv w:val="1"/>
      <w:marLeft w:val="0"/>
      <w:marRight w:val="0"/>
      <w:marTop w:val="0"/>
      <w:marBottom w:val="0"/>
      <w:divBdr>
        <w:top w:val="none" w:sz="0" w:space="0" w:color="auto"/>
        <w:left w:val="none" w:sz="0" w:space="0" w:color="auto"/>
        <w:bottom w:val="none" w:sz="0" w:space="0" w:color="auto"/>
        <w:right w:val="none" w:sz="0" w:space="0" w:color="auto"/>
      </w:divBdr>
    </w:div>
    <w:div w:id="670067484">
      <w:bodyDiv w:val="1"/>
      <w:marLeft w:val="0"/>
      <w:marRight w:val="0"/>
      <w:marTop w:val="0"/>
      <w:marBottom w:val="0"/>
      <w:divBdr>
        <w:top w:val="none" w:sz="0" w:space="0" w:color="auto"/>
        <w:left w:val="none" w:sz="0" w:space="0" w:color="auto"/>
        <w:bottom w:val="none" w:sz="0" w:space="0" w:color="auto"/>
        <w:right w:val="none" w:sz="0" w:space="0" w:color="auto"/>
      </w:divBdr>
    </w:div>
    <w:div w:id="883908798">
      <w:bodyDiv w:val="1"/>
      <w:marLeft w:val="0"/>
      <w:marRight w:val="0"/>
      <w:marTop w:val="0"/>
      <w:marBottom w:val="0"/>
      <w:divBdr>
        <w:top w:val="none" w:sz="0" w:space="0" w:color="auto"/>
        <w:left w:val="none" w:sz="0" w:space="0" w:color="auto"/>
        <w:bottom w:val="none" w:sz="0" w:space="0" w:color="auto"/>
        <w:right w:val="none" w:sz="0" w:space="0" w:color="auto"/>
      </w:divBdr>
    </w:div>
    <w:div w:id="959149168">
      <w:bodyDiv w:val="1"/>
      <w:marLeft w:val="0"/>
      <w:marRight w:val="0"/>
      <w:marTop w:val="0"/>
      <w:marBottom w:val="0"/>
      <w:divBdr>
        <w:top w:val="none" w:sz="0" w:space="0" w:color="auto"/>
        <w:left w:val="none" w:sz="0" w:space="0" w:color="auto"/>
        <w:bottom w:val="none" w:sz="0" w:space="0" w:color="auto"/>
        <w:right w:val="none" w:sz="0" w:space="0" w:color="auto"/>
      </w:divBdr>
    </w:div>
    <w:div w:id="997809484">
      <w:bodyDiv w:val="1"/>
      <w:marLeft w:val="0"/>
      <w:marRight w:val="0"/>
      <w:marTop w:val="0"/>
      <w:marBottom w:val="0"/>
      <w:divBdr>
        <w:top w:val="none" w:sz="0" w:space="0" w:color="auto"/>
        <w:left w:val="none" w:sz="0" w:space="0" w:color="auto"/>
        <w:bottom w:val="none" w:sz="0" w:space="0" w:color="auto"/>
        <w:right w:val="none" w:sz="0" w:space="0" w:color="auto"/>
      </w:divBdr>
    </w:div>
    <w:div w:id="1021779475">
      <w:bodyDiv w:val="1"/>
      <w:marLeft w:val="0"/>
      <w:marRight w:val="0"/>
      <w:marTop w:val="0"/>
      <w:marBottom w:val="0"/>
      <w:divBdr>
        <w:top w:val="none" w:sz="0" w:space="0" w:color="auto"/>
        <w:left w:val="none" w:sz="0" w:space="0" w:color="auto"/>
        <w:bottom w:val="none" w:sz="0" w:space="0" w:color="auto"/>
        <w:right w:val="none" w:sz="0" w:space="0" w:color="auto"/>
      </w:divBdr>
    </w:div>
    <w:div w:id="1088308241">
      <w:bodyDiv w:val="1"/>
      <w:marLeft w:val="0"/>
      <w:marRight w:val="0"/>
      <w:marTop w:val="0"/>
      <w:marBottom w:val="0"/>
      <w:divBdr>
        <w:top w:val="none" w:sz="0" w:space="0" w:color="auto"/>
        <w:left w:val="none" w:sz="0" w:space="0" w:color="auto"/>
        <w:bottom w:val="none" w:sz="0" w:space="0" w:color="auto"/>
        <w:right w:val="none" w:sz="0" w:space="0" w:color="auto"/>
      </w:divBdr>
    </w:div>
    <w:div w:id="1141196655">
      <w:bodyDiv w:val="1"/>
      <w:marLeft w:val="0"/>
      <w:marRight w:val="0"/>
      <w:marTop w:val="0"/>
      <w:marBottom w:val="0"/>
      <w:divBdr>
        <w:top w:val="none" w:sz="0" w:space="0" w:color="auto"/>
        <w:left w:val="none" w:sz="0" w:space="0" w:color="auto"/>
        <w:bottom w:val="none" w:sz="0" w:space="0" w:color="auto"/>
        <w:right w:val="none" w:sz="0" w:space="0" w:color="auto"/>
      </w:divBdr>
    </w:div>
    <w:div w:id="1656378560">
      <w:bodyDiv w:val="1"/>
      <w:marLeft w:val="0"/>
      <w:marRight w:val="0"/>
      <w:marTop w:val="0"/>
      <w:marBottom w:val="0"/>
      <w:divBdr>
        <w:top w:val="none" w:sz="0" w:space="0" w:color="auto"/>
        <w:left w:val="none" w:sz="0" w:space="0" w:color="auto"/>
        <w:bottom w:val="none" w:sz="0" w:space="0" w:color="auto"/>
        <w:right w:val="none" w:sz="0" w:space="0" w:color="auto"/>
      </w:divBdr>
    </w:div>
    <w:div w:id="20402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emea.europa.eu/docs/en_GB/document_library/Scientific_guideline/2009/09/WC500003349.pdf" TargetMode="External"/><Relationship Id="rId26" Type="http://schemas.openxmlformats.org/officeDocument/2006/relationships/hyperlink" Target="http://www.thecochranelibrary.com/userfiles/ccoch/file/Intrauterine%20devices/CD001776.pdf" TargetMode="External"/><Relationship Id="rId3" Type="http://schemas.openxmlformats.org/officeDocument/2006/relationships/styles" Target="styles.xml"/><Relationship Id="rId21" Type="http://schemas.openxmlformats.org/officeDocument/2006/relationships/hyperlink" Target="http://humrep.oxfordjournals.org/search?author1=Hagay+Amsalem&amp;sortspec=date&amp;submit=Submit"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www.medsafe.govt.nz/profs/puarticles/lactation.htm"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humrep.oxfordjournals.org/search?author1=Ronit+Haimov%E2%80%90Kochman&amp;sortspec=date&amp;submit=Submi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yperlink" Target="http://humrep.oxfordjournals.org/search?author1=Irving+M.+Spitz&amp;sortspec=date&amp;submit=Submit"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mea.europa.eu/docs/en_GB/document_library/Scientific_guideline/2009/09/WC500003349.pdf" TargetMode="External"/><Relationship Id="rId23" Type="http://schemas.openxmlformats.org/officeDocument/2006/relationships/hyperlink" Target="http://humrep.oxfordjournals.org/search?author1=Yuval+Lavy&amp;sortspec=date&amp;submit=Submit" TargetMode="External"/><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hyperlink" Target="http://www.tga.gov.au/hp/information-medicines-pi.htm" TargetMode="External"/><Relationship Id="rId19" Type="http://schemas.openxmlformats.org/officeDocument/2006/relationships/hyperlink" Target="http://eurlex.europa.eu/LexUriServ/LexUriServ.do?uri=OJ:L:2006:378:0001:0019:en:PDF"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yperlink" Target="http://humrep.oxfordjournals.org/search?author1=Amiram+Adoni&amp;sortspec=date&amp;submit=Submit"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07F2-97CF-4A06-9BBB-4E7C1C29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58</Pages>
  <Words>21153</Words>
  <Characters>120576</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Extract from the Clinical Evaluation Report for [...]</vt:lpstr>
    </vt:vector>
  </TitlesOfParts>
  <Company>Department of Health Therapeutic Goods Administration</Company>
  <LinksUpToDate>false</LinksUpToDate>
  <CharactersWithSpaces>141447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levonorgestrel</dc:title>
  <dc:subject>prescription medicine regulation</dc:subject>
  <dc:creator>Therapeutic Goods Administration</dc:creator>
  <cp:keywords>clinical, evaluation, report, medicine, assessment, regulation, australia, levonorgestrel, jaydess, intrauterine, drug, delivery, system, bayer, australia</cp:keywords>
  <cp:lastModifiedBy>dixonj</cp:lastModifiedBy>
  <cp:revision>88</cp:revision>
  <cp:lastPrinted>2010-12-20T22:59:00Z</cp:lastPrinted>
  <dcterms:created xsi:type="dcterms:W3CDTF">2014-01-05T22:04:00Z</dcterms:created>
  <dcterms:modified xsi:type="dcterms:W3CDTF">2014-02-20T01:02:00Z</dcterms:modified>
</cp:coreProperties>
</file>