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76" w:rsidRDefault="006E57D5">
      <w:pPr>
        <w:pStyle w:val="A-StudyTitle"/>
      </w:pPr>
      <w:bookmarkStart w:id="0" w:name="_GoBack"/>
      <w:bookmarkEnd w:id="0"/>
      <w:r>
        <w:t>ZURAMPIC</w:t>
      </w:r>
      <w:r w:rsidR="00306266">
        <w:rPr>
          <w:rFonts w:cs="Arial"/>
          <w:vertAlign w:val="superscript"/>
        </w:rPr>
        <w:t>®</w:t>
      </w:r>
    </w:p>
    <w:p w:rsidR="00EF3376" w:rsidRDefault="006E57D5">
      <w:pPr>
        <w:pStyle w:val="A-StudyTitle"/>
        <w:rPr>
          <w:b w:val="0"/>
          <w:bCs/>
          <w:sz w:val="24"/>
        </w:rPr>
      </w:pPr>
      <w:r>
        <w:rPr>
          <w:b w:val="0"/>
          <w:bCs/>
          <w:sz w:val="24"/>
        </w:rPr>
        <w:t>lesinurad</w:t>
      </w:r>
    </w:p>
    <w:p w:rsidR="00EF3376" w:rsidRDefault="00EF3376">
      <w:pPr>
        <w:pStyle w:val="A-StudyTitle"/>
        <w:rPr>
          <w:sz w:val="24"/>
        </w:rPr>
      </w:pPr>
      <w:r>
        <w:rPr>
          <w:sz w:val="24"/>
        </w:rPr>
        <w:t>PRODUCT INFORMATION</w:t>
      </w:r>
    </w:p>
    <w:p w:rsidR="00EF3376" w:rsidRDefault="00EF3376">
      <w:pPr>
        <w:pStyle w:val="A-Heading1"/>
        <w:rPr>
          <w:sz w:val="22"/>
          <w:lang w:val="en-AU"/>
        </w:rPr>
      </w:pPr>
      <w:r w:rsidRPr="00C55C33">
        <w:rPr>
          <w:sz w:val="22"/>
          <w:lang w:val="en-AU"/>
        </w:rPr>
        <w:t>NAME OF THE MEDICINE</w:t>
      </w:r>
    </w:p>
    <w:p w:rsidR="00EF3376" w:rsidRDefault="00EF3376">
      <w:pPr>
        <w:pStyle w:val="USRALblNormal"/>
        <w:ind w:left="0"/>
        <w:rPr>
          <w:rFonts w:ascii="Arial" w:hAnsi="Arial" w:cs="Arial"/>
          <w:strike/>
          <w:sz w:val="22"/>
          <w:szCs w:val="24"/>
        </w:rPr>
      </w:pPr>
      <w:r>
        <w:rPr>
          <w:rFonts w:ascii="Arial" w:hAnsi="Arial" w:cs="Arial"/>
          <w:sz w:val="22"/>
          <w:szCs w:val="24"/>
        </w:rPr>
        <w:t xml:space="preserve">The active ingredient in </w:t>
      </w:r>
      <w:r w:rsidR="00A12B0B">
        <w:rPr>
          <w:rFonts w:ascii="Arial" w:hAnsi="Arial" w:cs="Arial"/>
          <w:sz w:val="22"/>
          <w:szCs w:val="24"/>
        </w:rPr>
        <w:t>ZURAMPIC</w:t>
      </w:r>
      <w:r>
        <w:rPr>
          <w:rFonts w:ascii="Arial" w:hAnsi="Arial" w:cs="Arial"/>
          <w:sz w:val="22"/>
          <w:szCs w:val="24"/>
        </w:rPr>
        <w:t xml:space="preserve"> is </w:t>
      </w:r>
      <w:r w:rsidR="00A12B0B">
        <w:rPr>
          <w:rFonts w:ascii="Arial" w:hAnsi="Arial" w:cs="Arial"/>
          <w:sz w:val="22"/>
          <w:szCs w:val="24"/>
        </w:rPr>
        <w:t>lesinurad</w:t>
      </w:r>
      <w:r>
        <w:rPr>
          <w:rFonts w:ascii="Arial" w:hAnsi="Arial" w:cs="Arial"/>
          <w:sz w:val="22"/>
          <w:szCs w:val="24"/>
        </w:rPr>
        <w:t xml:space="preserve">, </w:t>
      </w:r>
      <w:r w:rsidR="00833359">
        <w:rPr>
          <w:rFonts w:ascii="Arial" w:hAnsi="Arial" w:cs="Arial"/>
          <w:sz w:val="22"/>
          <w:szCs w:val="24"/>
        </w:rPr>
        <w:t xml:space="preserve">a selective </w:t>
      </w:r>
      <w:r w:rsidR="0075493F">
        <w:rPr>
          <w:rFonts w:ascii="Arial" w:hAnsi="Arial" w:cs="Arial"/>
          <w:sz w:val="22"/>
          <w:szCs w:val="24"/>
        </w:rPr>
        <w:t>uric acid reabsorption inhibitor</w:t>
      </w:r>
      <w:r>
        <w:rPr>
          <w:rFonts w:ascii="Arial" w:hAnsi="Arial" w:cs="Arial"/>
          <w:sz w:val="22"/>
          <w:szCs w:val="24"/>
        </w:rPr>
        <w:t>.</w:t>
      </w:r>
    </w:p>
    <w:p w:rsidR="00EF3376" w:rsidRDefault="00EF3376">
      <w:pPr>
        <w:pStyle w:val="USRALblNormal"/>
        <w:jc w:val="left"/>
        <w:rPr>
          <w:sz w:val="22"/>
          <w:szCs w:val="24"/>
        </w:rPr>
      </w:pPr>
    </w:p>
    <w:p w:rsidR="00EF3376" w:rsidRDefault="00EF3376">
      <w:pPr>
        <w:rPr>
          <w:sz w:val="22"/>
        </w:rPr>
      </w:pPr>
      <w:r>
        <w:rPr>
          <w:sz w:val="22"/>
          <w:szCs w:val="24"/>
        </w:rPr>
        <w:t xml:space="preserve">The chemical name for </w:t>
      </w:r>
      <w:r w:rsidR="00800F28">
        <w:rPr>
          <w:sz w:val="22"/>
          <w:szCs w:val="24"/>
        </w:rPr>
        <w:t xml:space="preserve">lesinurad </w:t>
      </w:r>
      <w:r w:rsidR="003C152D">
        <w:rPr>
          <w:sz w:val="22"/>
          <w:szCs w:val="24"/>
        </w:rPr>
        <w:t xml:space="preserve">is: </w:t>
      </w:r>
      <w:r w:rsidR="00800F28" w:rsidRPr="00800F28">
        <w:rPr>
          <w:sz w:val="22"/>
          <w:lang w:val="en-US"/>
        </w:rPr>
        <w:t>2-((5-bromo-4-(4-cyclopropylnaphthalen-1-yl)-4</w:t>
      </w:r>
      <w:r w:rsidR="00800F28" w:rsidRPr="00800F28">
        <w:rPr>
          <w:i/>
          <w:iCs/>
          <w:sz w:val="22"/>
          <w:lang w:val="en-US"/>
        </w:rPr>
        <w:t>H</w:t>
      </w:r>
      <w:r w:rsidR="00800F28" w:rsidRPr="00800F28">
        <w:rPr>
          <w:sz w:val="22"/>
          <w:lang w:val="en-US"/>
        </w:rPr>
        <w:t>-1,2,4-triazol-3-yl)thio)acetic acid</w:t>
      </w:r>
    </w:p>
    <w:p w:rsidR="00EF3376" w:rsidRDefault="00EF3376">
      <w:pPr>
        <w:rPr>
          <w:sz w:val="22"/>
        </w:rPr>
      </w:pPr>
      <w:r>
        <w:rPr>
          <w:sz w:val="22"/>
        </w:rPr>
        <w:t xml:space="preserve">The chemical structure of </w:t>
      </w:r>
      <w:r w:rsidR="00210A25">
        <w:rPr>
          <w:sz w:val="22"/>
          <w:szCs w:val="24"/>
        </w:rPr>
        <w:t>lesinu</w:t>
      </w:r>
      <w:r w:rsidR="00482F08">
        <w:rPr>
          <w:sz w:val="22"/>
          <w:szCs w:val="24"/>
        </w:rPr>
        <w:t>ra</w:t>
      </w:r>
      <w:r w:rsidR="00210A25">
        <w:rPr>
          <w:sz w:val="22"/>
          <w:szCs w:val="24"/>
        </w:rPr>
        <w:t>d</w:t>
      </w:r>
      <w:r>
        <w:rPr>
          <w:sz w:val="22"/>
        </w:rPr>
        <w:t xml:space="preserve"> is:</w:t>
      </w:r>
    </w:p>
    <w:p w:rsidR="00EF3376" w:rsidRDefault="00562C3A" w:rsidP="00542170">
      <w:pPr>
        <w:jc w:val="center"/>
        <w:rPr>
          <w:sz w:val="22"/>
        </w:rPr>
      </w:pPr>
      <w:r>
        <w:rPr>
          <w:noProof/>
          <w:sz w:val="22"/>
          <w:lang w:eastAsia="en-AU"/>
        </w:rPr>
        <w:drawing>
          <wp:inline distT="0" distB="0" distL="0" distR="0">
            <wp:extent cx="1506855" cy="1464945"/>
            <wp:effectExtent l="0" t="0" r="0" b="1905"/>
            <wp:docPr id="1" name="Picture 64" descr="chemical structure of lesinu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mical structure of lesinur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6855" cy="1464945"/>
                    </a:xfrm>
                    <a:prstGeom prst="rect">
                      <a:avLst/>
                    </a:prstGeom>
                    <a:noFill/>
                    <a:ln>
                      <a:noFill/>
                    </a:ln>
                  </pic:spPr>
                </pic:pic>
              </a:graphicData>
            </a:graphic>
          </wp:inline>
        </w:drawing>
      </w:r>
    </w:p>
    <w:p w:rsidR="00EF3376" w:rsidRPr="00735DE2" w:rsidRDefault="003C152D" w:rsidP="00F77789">
      <w:pPr>
        <w:spacing w:after="0" w:line="276" w:lineRule="auto"/>
        <w:rPr>
          <w:sz w:val="22"/>
          <w:highlight w:val="yellow"/>
        </w:rPr>
      </w:pPr>
      <w:r>
        <w:rPr>
          <w:sz w:val="22"/>
        </w:rPr>
        <w:t xml:space="preserve">CAS number: </w:t>
      </w:r>
      <w:r w:rsidR="00800F28" w:rsidRPr="00800F28">
        <w:rPr>
          <w:sz w:val="22"/>
        </w:rPr>
        <w:t>878672-00-5</w:t>
      </w:r>
    </w:p>
    <w:p w:rsidR="00F77789" w:rsidRPr="00C55C33" w:rsidRDefault="00555543" w:rsidP="00F77789">
      <w:pPr>
        <w:spacing w:after="0" w:line="276" w:lineRule="auto"/>
        <w:rPr>
          <w:sz w:val="22"/>
        </w:rPr>
      </w:pPr>
      <w:r>
        <w:rPr>
          <w:sz w:val="22"/>
        </w:rPr>
        <w:t xml:space="preserve">Molecular formula: </w:t>
      </w:r>
      <w:r w:rsidR="00800F28" w:rsidRPr="00800F28">
        <w:rPr>
          <w:sz w:val="22"/>
          <w:lang w:val="en-US"/>
        </w:rPr>
        <w:t>C</w:t>
      </w:r>
      <w:r w:rsidR="00800F28" w:rsidRPr="00800F28">
        <w:rPr>
          <w:sz w:val="22"/>
          <w:vertAlign w:val="subscript"/>
          <w:lang w:val="en-US"/>
        </w:rPr>
        <w:t>17</w:t>
      </w:r>
      <w:r w:rsidR="00800F28" w:rsidRPr="00800F28">
        <w:rPr>
          <w:sz w:val="22"/>
          <w:lang w:val="en-US"/>
        </w:rPr>
        <w:t>H</w:t>
      </w:r>
      <w:r w:rsidR="00800F28" w:rsidRPr="00800F28">
        <w:rPr>
          <w:sz w:val="22"/>
          <w:vertAlign w:val="subscript"/>
          <w:lang w:val="en-US"/>
        </w:rPr>
        <w:t>14</w:t>
      </w:r>
      <w:r w:rsidR="00800F28" w:rsidRPr="00800F28">
        <w:rPr>
          <w:sz w:val="22"/>
          <w:lang w:val="en-US"/>
        </w:rPr>
        <w:t>BrN</w:t>
      </w:r>
      <w:r w:rsidR="00800F28" w:rsidRPr="00800F28">
        <w:rPr>
          <w:sz w:val="22"/>
          <w:vertAlign w:val="subscript"/>
          <w:lang w:val="en-US"/>
        </w:rPr>
        <w:t>3</w:t>
      </w:r>
      <w:r w:rsidR="00800F28" w:rsidRPr="00800F28">
        <w:rPr>
          <w:sz w:val="22"/>
          <w:lang w:val="en-US"/>
        </w:rPr>
        <w:t>O</w:t>
      </w:r>
      <w:r w:rsidR="00800F28" w:rsidRPr="00800F28">
        <w:rPr>
          <w:sz w:val="22"/>
          <w:vertAlign w:val="subscript"/>
          <w:lang w:val="en-US"/>
        </w:rPr>
        <w:t>2</w:t>
      </w:r>
      <w:r w:rsidR="00800F28" w:rsidRPr="00800F28">
        <w:rPr>
          <w:sz w:val="22"/>
          <w:lang w:val="en-US"/>
        </w:rPr>
        <w:t>S</w:t>
      </w:r>
    </w:p>
    <w:p w:rsidR="00F77789" w:rsidRDefault="003C152D" w:rsidP="00F77789">
      <w:pPr>
        <w:spacing w:after="0" w:line="276" w:lineRule="auto"/>
        <w:rPr>
          <w:sz w:val="22"/>
        </w:rPr>
      </w:pPr>
      <w:r>
        <w:rPr>
          <w:sz w:val="22"/>
        </w:rPr>
        <w:t xml:space="preserve">Molecular weight: </w:t>
      </w:r>
      <w:r w:rsidR="00800F28" w:rsidRPr="00800F28">
        <w:rPr>
          <w:sz w:val="22"/>
          <w:lang w:val="en-US"/>
        </w:rPr>
        <w:t>404.28</w:t>
      </w:r>
    </w:p>
    <w:p w:rsidR="00800F28" w:rsidRPr="00800F28" w:rsidRDefault="00EF3376" w:rsidP="00800F28">
      <w:pPr>
        <w:pStyle w:val="A-Heading1"/>
      </w:pPr>
      <w:r w:rsidRPr="00F126EB">
        <w:t>DESCRIPTION</w:t>
      </w:r>
    </w:p>
    <w:p w:rsidR="00800F28" w:rsidRDefault="00800F28">
      <w:pPr>
        <w:rPr>
          <w:sz w:val="22"/>
          <w:lang w:val="en-US"/>
        </w:rPr>
      </w:pPr>
      <w:r w:rsidRPr="00800F28">
        <w:rPr>
          <w:sz w:val="22"/>
          <w:lang w:val="en-US"/>
        </w:rPr>
        <w:t xml:space="preserve">ZURAMPIC is available as film-coated tablets for oral administration containing lesinurad </w:t>
      </w:r>
      <w:r w:rsidR="007E070E">
        <w:rPr>
          <w:sz w:val="22"/>
          <w:lang w:val="en-US"/>
        </w:rPr>
        <w:t xml:space="preserve">200 mg as the free acid </w:t>
      </w:r>
      <w:r w:rsidRPr="00800F28">
        <w:rPr>
          <w:sz w:val="22"/>
          <w:lang w:val="en-US"/>
        </w:rPr>
        <w:t>and the following inactive ingredients: lactose, microcrystal</w:t>
      </w:r>
      <w:r w:rsidR="00225230">
        <w:rPr>
          <w:sz w:val="22"/>
          <w:lang w:val="en-US"/>
        </w:rPr>
        <w:t>line</w:t>
      </w:r>
      <w:r w:rsidR="0054754E">
        <w:rPr>
          <w:sz w:val="22"/>
          <w:lang w:val="en-US"/>
        </w:rPr>
        <w:t xml:space="preserve"> </w:t>
      </w:r>
      <w:r w:rsidR="0054754E" w:rsidRPr="00800F28">
        <w:rPr>
          <w:sz w:val="22"/>
          <w:lang w:val="en-US"/>
        </w:rPr>
        <w:t>cellulose</w:t>
      </w:r>
      <w:r w:rsidR="00225230">
        <w:rPr>
          <w:sz w:val="22"/>
          <w:lang w:val="en-US"/>
        </w:rPr>
        <w:t>, hypromellose, crospovidone</w:t>
      </w:r>
      <w:r w:rsidR="003C152D">
        <w:rPr>
          <w:sz w:val="22"/>
          <w:lang w:val="en-US"/>
        </w:rPr>
        <w:t xml:space="preserve"> and magnesium stearate. </w:t>
      </w:r>
      <w:r w:rsidRPr="00800F28">
        <w:rPr>
          <w:sz w:val="22"/>
          <w:lang w:val="en-US"/>
        </w:rPr>
        <w:t>ZURAMPIC table</w:t>
      </w:r>
      <w:r w:rsidR="00210A25">
        <w:rPr>
          <w:sz w:val="22"/>
          <w:lang w:val="en-US"/>
        </w:rPr>
        <w:t xml:space="preserve">ts are coated with </w:t>
      </w:r>
      <w:r w:rsidR="007D5B3F">
        <w:rPr>
          <w:sz w:val="22"/>
          <w:lang w:val="en-US"/>
        </w:rPr>
        <w:t xml:space="preserve">the </w:t>
      </w:r>
      <w:r w:rsidR="007E070E">
        <w:rPr>
          <w:sz w:val="22"/>
          <w:lang w:val="en-US"/>
        </w:rPr>
        <w:t xml:space="preserve">proprietary ingredient </w:t>
      </w:r>
      <w:r w:rsidR="00210A25">
        <w:rPr>
          <w:sz w:val="22"/>
          <w:lang w:val="en-US"/>
        </w:rPr>
        <w:t>O</w:t>
      </w:r>
      <w:r w:rsidR="00795D9E">
        <w:rPr>
          <w:sz w:val="22"/>
          <w:lang w:val="en-US"/>
        </w:rPr>
        <w:t>padry</w:t>
      </w:r>
      <w:r w:rsidR="004841BB">
        <w:rPr>
          <w:iCs/>
          <w:sz w:val="22"/>
          <w:lang w:val="en-GB"/>
        </w:rPr>
        <w:t xml:space="preserve"> </w:t>
      </w:r>
      <w:r w:rsidR="00795D9E">
        <w:rPr>
          <w:iCs/>
          <w:sz w:val="22"/>
          <w:lang w:val="en-GB"/>
        </w:rPr>
        <w:t>Blue</w:t>
      </w:r>
      <w:r w:rsidR="000851D9">
        <w:rPr>
          <w:iCs/>
          <w:sz w:val="22"/>
          <w:lang w:val="en-GB"/>
        </w:rPr>
        <w:t xml:space="preserve"> </w:t>
      </w:r>
      <w:r w:rsidR="00687E44">
        <w:rPr>
          <w:iCs/>
          <w:sz w:val="22"/>
          <w:lang w:val="en-GB"/>
        </w:rPr>
        <w:t>03K105000</w:t>
      </w:r>
      <w:r w:rsidR="00A43A09">
        <w:rPr>
          <w:iCs/>
          <w:sz w:val="22"/>
          <w:lang w:val="en-GB"/>
        </w:rPr>
        <w:t xml:space="preserve"> (containing</w:t>
      </w:r>
      <w:r w:rsidR="00A43A09" w:rsidRPr="00A43A09">
        <w:rPr>
          <w:iCs/>
          <w:sz w:val="22"/>
          <w:lang w:val="en-GB"/>
        </w:rPr>
        <w:t xml:space="preserve"> hypromellose, titanium dioxide, triacetin, indigo carmine</w:t>
      </w:r>
      <w:r w:rsidR="0001709A">
        <w:rPr>
          <w:iCs/>
          <w:sz w:val="22"/>
          <w:lang w:val="en-GB"/>
        </w:rPr>
        <w:t xml:space="preserve"> and</w:t>
      </w:r>
      <w:r w:rsidR="00A43A09" w:rsidRPr="00A43A09">
        <w:rPr>
          <w:iCs/>
          <w:sz w:val="22"/>
          <w:lang w:val="en-GB"/>
        </w:rPr>
        <w:t xml:space="preserve"> brilliant blue FCF</w:t>
      </w:r>
      <w:r w:rsidR="00A43A09">
        <w:rPr>
          <w:iCs/>
          <w:sz w:val="22"/>
          <w:lang w:val="en-GB"/>
        </w:rPr>
        <w:t>)</w:t>
      </w:r>
      <w:r w:rsidR="00210A25">
        <w:rPr>
          <w:sz w:val="22"/>
          <w:lang w:val="en-US"/>
        </w:rPr>
        <w:t>.</w:t>
      </w:r>
    </w:p>
    <w:p w:rsidR="00EF3376" w:rsidRDefault="00EF3376">
      <w:pPr>
        <w:pStyle w:val="A-Heading1"/>
        <w:rPr>
          <w:sz w:val="22"/>
          <w:lang w:val="en-AU"/>
        </w:rPr>
      </w:pPr>
      <w:r>
        <w:rPr>
          <w:sz w:val="22"/>
          <w:lang w:val="en-AU"/>
        </w:rPr>
        <w:t>PHARMACOLOGY</w:t>
      </w:r>
    </w:p>
    <w:p w:rsidR="00EF3376" w:rsidRDefault="00A12B0B">
      <w:pPr>
        <w:pStyle w:val="A-Heading2"/>
        <w:rPr>
          <w:sz w:val="22"/>
        </w:rPr>
      </w:pPr>
      <w:r>
        <w:rPr>
          <w:sz w:val="22"/>
        </w:rPr>
        <w:t>Mechanism of action</w:t>
      </w:r>
    </w:p>
    <w:p w:rsidR="002941CC" w:rsidRDefault="00A12B0B" w:rsidP="00A12B0B">
      <w:pPr>
        <w:rPr>
          <w:sz w:val="22"/>
          <w:lang w:val="sv-SE"/>
        </w:rPr>
      </w:pPr>
      <w:r w:rsidRPr="00A12B0B">
        <w:rPr>
          <w:sz w:val="22"/>
          <w:lang w:val="en-GB"/>
        </w:rPr>
        <w:t>Lesinurad</w:t>
      </w:r>
      <w:r w:rsidRPr="00A12B0B">
        <w:rPr>
          <w:i/>
          <w:iCs/>
          <w:sz w:val="22"/>
          <w:lang w:val="en-GB"/>
        </w:rPr>
        <w:t xml:space="preserve"> </w:t>
      </w:r>
      <w:r w:rsidRPr="00A12B0B">
        <w:rPr>
          <w:sz w:val="22"/>
          <w:lang w:val="sv-SE"/>
        </w:rPr>
        <w:t xml:space="preserve">inhibits </w:t>
      </w:r>
      <w:r w:rsidR="00F07D18">
        <w:rPr>
          <w:sz w:val="22"/>
          <w:lang w:val="sv-SE"/>
        </w:rPr>
        <w:t xml:space="preserve">the </w:t>
      </w:r>
      <w:r w:rsidRPr="00A12B0B">
        <w:rPr>
          <w:sz w:val="22"/>
          <w:lang w:val="sv-SE"/>
        </w:rPr>
        <w:t xml:space="preserve">uric acid transporter URAT1. </w:t>
      </w:r>
      <w:r w:rsidRPr="00A12B0B">
        <w:rPr>
          <w:sz w:val="22"/>
          <w:lang w:val="en-GB"/>
        </w:rPr>
        <w:t xml:space="preserve">URAT1 is responsible for the majority of the reabsorption of filtered uric acid from the renal tubular lumen. By inhibiting URAT1, lesinurad increases uric acid excretion and thereby lowers serum uric acid (sUA). </w:t>
      </w:r>
      <w:r w:rsidRPr="00A12B0B">
        <w:rPr>
          <w:sz w:val="22"/>
          <w:lang w:val="sv-SE"/>
        </w:rPr>
        <w:t>Lesinurad also inhibits OAT4, a uric acid transporter involved in diuretic-induced hyperuric</w:t>
      </w:r>
      <w:r w:rsidR="00862478">
        <w:rPr>
          <w:sz w:val="22"/>
          <w:lang w:val="sv-SE"/>
        </w:rPr>
        <w:t>a</w:t>
      </w:r>
      <w:r w:rsidRPr="00A12B0B">
        <w:rPr>
          <w:sz w:val="22"/>
          <w:lang w:val="sv-SE"/>
        </w:rPr>
        <w:t>emia.</w:t>
      </w:r>
    </w:p>
    <w:p w:rsidR="006154FD" w:rsidRPr="006154FD" w:rsidRDefault="006154FD" w:rsidP="00A12B0B">
      <w:pPr>
        <w:rPr>
          <w:sz w:val="22"/>
          <w:lang w:val="sv-SE"/>
        </w:rPr>
      </w:pPr>
    </w:p>
    <w:p w:rsidR="002941CC" w:rsidRDefault="002941CC">
      <w:pPr>
        <w:pStyle w:val="A-Heading2"/>
        <w:rPr>
          <w:sz w:val="22"/>
          <w:szCs w:val="22"/>
        </w:rPr>
      </w:pPr>
      <w:r>
        <w:rPr>
          <w:sz w:val="22"/>
          <w:szCs w:val="22"/>
        </w:rPr>
        <w:lastRenderedPageBreak/>
        <w:t>Pharmacodynamics</w:t>
      </w:r>
    </w:p>
    <w:p w:rsidR="002941CC" w:rsidRPr="002941CC" w:rsidRDefault="002941CC" w:rsidP="002941CC">
      <w:pPr>
        <w:rPr>
          <w:sz w:val="22"/>
          <w:szCs w:val="22"/>
          <w:lang w:val="en-US"/>
        </w:rPr>
      </w:pPr>
      <w:r w:rsidRPr="002941CC">
        <w:rPr>
          <w:i/>
          <w:iCs/>
          <w:sz w:val="22"/>
          <w:szCs w:val="22"/>
          <w:lang w:val="en-US"/>
        </w:rPr>
        <w:t>Effects on serum uric acid and urinary excretion of uric acid</w:t>
      </w:r>
    </w:p>
    <w:p w:rsidR="002941CC" w:rsidRPr="002941CC" w:rsidRDefault="002941CC" w:rsidP="002941CC">
      <w:pPr>
        <w:rPr>
          <w:sz w:val="22"/>
          <w:szCs w:val="22"/>
          <w:lang w:val="sv-SE"/>
        </w:rPr>
      </w:pPr>
      <w:r w:rsidRPr="002941CC">
        <w:rPr>
          <w:sz w:val="22"/>
          <w:szCs w:val="22"/>
          <w:lang w:val="sv-SE"/>
        </w:rPr>
        <w:t xml:space="preserve">In </w:t>
      </w:r>
      <w:r w:rsidR="00A67086">
        <w:rPr>
          <w:sz w:val="22"/>
          <w:szCs w:val="22"/>
          <w:lang w:val="sv-SE"/>
        </w:rPr>
        <w:t>healthy subjects</w:t>
      </w:r>
      <w:r w:rsidRPr="002941CC">
        <w:rPr>
          <w:sz w:val="22"/>
          <w:szCs w:val="22"/>
          <w:lang w:val="sv-SE"/>
        </w:rPr>
        <w:t xml:space="preserve">, </w:t>
      </w:r>
      <w:r w:rsidR="00B01E4B" w:rsidRPr="008F76C2">
        <w:rPr>
          <w:sz w:val="22"/>
          <w:szCs w:val="22"/>
          <w:lang w:val="sv-SE"/>
        </w:rPr>
        <w:t>ZURAMPIC</w:t>
      </w:r>
      <w:r w:rsidRPr="002941CC">
        <w:rPr>
          <w:sz w:val="22"/>
          <w:szCs w:val="22"/>
          <w:lang w:val="sv-SE"/>
        </w:rPr>
        <w:t xml:space="preserve"> 200 mg lowered sUA levels and increased renal clearance and fractional excretion of uric acid. Mean sUA reductions</w:t>
      </w:r>
      <w:r w:rsidR="00A67086">
        <w:rPr>
          <w:sz w:val="22"/>
          <w:szCs w:val="22"/>
          <w:lang w:val="sv-SE"/>
        </w:rPr>
        <w:t xml:space="preserve"> following ZURAMPIC 200 mg administration alone</w:t>
      </w:r>
      <w:r w:rsidRPr="002941CC">
        <w:rPr>
          <w:sz w:val="22"/>
          <w:szCs w:val="22"/>
          <w:lang w:val="sv-SE"/>
        </w:rPr>
        <w:t xml:space="preserve"> were approximately </w:t>
      </w:r>
      <w:r w:rsidR="00A67086">
        <w:rPr>
          <w:sz w:val="22"/>
          <w:szCs w:val="22"/>
          <w:lang w:val="sv-SE"/>
        </w:rPr>
        <w:t>46%</w:t>
      </w:r>
      <w:r w:rsidRPr="002941CC">
        <w:rPr>
          <w:sz w:val="22"/>
          <w:szCs w:val="22"/>
          <w:lang w:val="sv-SE"/>
        </w:rPr>
        <w:t xml:space="preserve"> and </w:t>
      </w:r>
      <w:r w:rsidR="00A67086">
        <w:rPr>
          <w:sz w:val="22"/>
          <w:szCs w:val="22"/>
          <w:lang w:val="sv-SE"/>
        </w:rPr>
        <w:t>26%</w:t>
      </w:r>
      <w:r w:rsidRPr="002941CC">
        <w:rPr>
          <w:sz w:val="22"/>
          <w:szCs w:val="22"/>
          <w:lang w:val="sv-SE"/>
        </w:rPr>
        <w:t xml:space="preserve"> at </w:t>
      </w:r>
      <w:r w:rsidR="00A67086">
        <w:rPr>
          <w:sz w:val="22"/>
          <w:szCs w:val="22"/>
          <w:lang w:val="sv-SE"/>
        </w:rPr>
        <w:t>6</w:t>
      </w:r>
      <w:r w:rsidR="00A67086" w:rsidRPr="002941CC">
        <w:rPr>
          <w:sz w:val="22"/>
          <w:szCs w:val="22"/>
          <w:lang w:val="sv-SE"/>
        </w:rPr>
        <w:t xml:space="preserve"> </w:t>
      </w:r>
      <w:r w:rsidRPr="002941CC">
        <w:rPr>
          <w:sz w:val="22"/>
          <w:szCs w:val="22"/>
          <w:lang w:val="sv-SE"/>
        </w:rPr>
        <w:t xml:space="preserve">hours and 24 hours post-dose, respectively. </w:t>
      </w:r>
      <w:r w:rsidR="00AD17FF" w:rsidRPr="00AD17FF">
        <w:rPr>
          <w:sz w:val="22"/>
          <w:szCs w:val="22"/>
          <w:lang w:val="sv-SE"/>
        </w:rPr>
        <w:t xml:space="preserve"> </w:t>
      </w:r>
      <w:r w:rsidR="00AD17FF" w:rsidRPr="00A67086">
        <w:rPr>
          <w:sz w:val="22"/>
          <w:szCs w:val="22"/>
          <w:lang w:val="sv-SE"/>
        </w:rPr>
        <w:t>When ZURAMPIC 200 mg was added to a xanthine oxidase inhibitor (i</w:t>
      </w:r>
      <w:r w:rsidR="00AD17FF">
        <w:rPr>
          <w:sz w:val="22"/>
          <w:szCs w:val="22"/>
          <w:lang w:val="sv-SE"/>
        </w:rPr>
        <w:t>.e.</w:t>
      </w:r>
      <w:r w:rsidR="00AD17FF" w:rsidRPr="00A67086">
        <w:rPr>
          <w:sz w:val="22"/>
          <w:szCs w:val="22"/>
          <w:lang w:val="sv-SE"/>
        </w:rPr>
        <w:t xml:space="preserve"> febuxostat), additional 25% and 19% of sUA reductions were observed at 6 hours and 24 hours post-dose, respectively</w:t>
      </w:r>
      <w:r w:rsidR="00AD17FF">
        <w:rPr>
          <w:sz w:val="22"/>
          <w:szCs w:val="22"/>
          <w:lang w:val="sv-SE"/>
        </w:rPr>
        <w:t>.</w:t>
      </w:r>
    </w:p>
    <w:p w:rsidR="002941CC" w:rsidRPr="002941CC" w:rsidRDefault="002941CC" w:rsidP="002941CC">
      <w:pPr>
        <w:rPr>
          <w:sz w:val="22"/>
          <w:szCs w:val="22"/>
          <w:lang w:val="en-US"/>
        </w:rPr>
      </w:pPr>
      <w:r>
        <w:rPr>
          <w:i/>
          <w:iCs/>
          <w:sz w:val="22"/>
          <w:szCs w:val="22"/>
          <w:lang w:val="en-US"/>
        </w:rPr>
        <w:t>Effect on cardiac repolaris</w:t>
      </w:r>
      <w:r w:rsidRPr="002941CC">
        <w:rPr>
          <w:i/>
          <w:iCs/>
          <w:sz w:val="22"/>
          <w:szCs w:val="22"/>
          <w:lang w:val="en-US"/>
        </w:rPr>
        <w:t>ation</w:t>
      </w:r>
    </w:p>
    <w:p w:rsidR="002941CC" w:rsidRPr="002941CC" w:rsidRDefault="002941CC" w:rsidP="002941CC">
      <w:pPr>
        <w:rPr>
          <w:sz w:val="22"/>
          <w:szCs w:val="22"/>
          <w:lang w:val="sv-SE"/>
        </w:rPr>
      </w:pPr>
      <w:r w:rsidRPr="002941CC">
        <w:rPr>
          <w:sz w:val="22"/>
          <w:szCs w:val="22"/>
          <w:lang w:val="sv-SE"/>
        </w:rPr>
        <w:t>The effect o</w:t>
      </w:r>
      <w:r>
        <w:rPr>
          <w:sz w:val="22"/>
          <w:szCs w:val="22"/>
          <w:lang w:val="sv-SE"/>
        </w:rPr>
        <w:t>f lesinurad on cardiac repolaris</w:t>
      </w:r>
      <w:r w:rsidRPr="002941CC">
        <w:rPr>
          <w:sz w:val="22"/>
          <w:szCs w:val="22"/>
          <w:lang w:val="sv-SE"/>
        </w:rPr>
        <w:t>ation as assessed by the QTc interval was evaluated in normal healthy subjects and patients with gout. Lesinurad at doses up to 1600 mg did not demonstrate an effect on the QTc interval.</w:t>
      </w:r>
    </w:p>
    <w:p w:rsidR="00EF3376" w:rsidRPr="004D6EBF" w:rsidRDefault="00EF3376">
      <w:pPr>
        <w:pStyle w:val="A-Heading2"/>
        <w:rPr>
          <w:sz w:val="22"/>
          <w:szCs w:val="22"/>
        </w:rPr>
      </w:pPr>
      <w:r w:rsidRPr="004D6EBF">
        <w:rPr>
          <w:sz w:val="22"/>
          <w:szCs w:val="22"/>
        </w:rPr>
        <w:t>Pharmacokinetics</w:t>
      </w:r>
    </w:p>
    <w:p w:rsidR="00EF3376" w:rsidRPr="004D6EBF" w:rsidRDefault="00EF3376">
      <w:pPr>
        <w:pStyle w:val="A-Heading3"/>
        <w:rPr>
          <w:sz w:val="22"/>
          <w:szCs w:val="22"/>
        </w:rPr>
      </w:pPr>
      <w:r w:rsidRPr="004D6EBF">
        <w:rPr>
          <w:sz w:val="22"/>
          <w:szCs w:val="22"/>
        </w:rPr>
        <w:t>Absorption</w:t>
      </w:r>
    </w:p>
    <w:p w:rsidR="00210A25" w:rsidRPr="00210A25" w:rsidRDefault="00210A25">
      <w:pPr>
        <w:autoSpaceDE w:val="0"/>
        <w:autoSpaceDN w:val="0"/>
        <w:adjustRightInd w:val="0"/>
        <w:rPr>
          <w:iCs/>
          <w:color w:val="000000"/>
          <w:sz w:val="22"/>
          <w:szCs w:val="22"/>
          <w:lang w:val="en-US"/>
        </w:rPr>
      </w:pPr>
      <w:r w:rsidRPr="00210A25">
        <w:rPr>
          <w:iCs/>
          <w:color w:val="000000"/>
          <w:sz w:val="22"/>
          <w:szCs w:val="22"/>
          <w:lang w:val="en-US"/>
        </w:rPr>
        <w:t>The absolute bioavailability of lesinurad is approximately 100%. Lesinurad is rapidly absorbed after oral administration. Following administration of a single oral dose of lesinurad in either fed or fasted state, maximum plasma concentrations (C</w:t>
      </w:r>
      <w:r w:rsidRPr="00210A25">
        <w:rPr>
          <w:iCs/>
          <w:color w:val="000000"/>
          <w:sz w:val="22"/>
          <w:szCs w:val="22"/>
          <w:vertAlign w:val="subscript"/>
          <w:lang w:val="en-US"/>
        </w:rPr>
        <w:t>max</w:t>
      </w:r>
      <w:r w:rsidRPr="00210A25">
        <w:rPr>
          <w:iCs/>
          <w:color w:val="000000"/>
          <w:sz w:val="22"/>
          <w:szCs w:val="22"/>
          <w:lang w:val="en-US"/>
        </w:rPr>
        <w:t>) were attained within 1 to 4 hours. C</w:t>
      </w:r>
      <w:r w:rsidRPr="00210A25">
        <w:rPr>
          <w:iCs/>
          <w:color w:val="000000"/>
          <w:sz w:val="22"/>
          <w:szCs w:val="22"/>
          <w:vertAlign w:val="subscript"/>
          <w:lang w:val="en-US"/>
        </w:rPr>
        <w:t>max</w:t>
      </w:r>
      <w:r w:rsidRPr="00210A25">
        <w:rPr>
          <w:iCs/>
          <w:color w:val="000000"/>
          <w:sz w:val="22"/>
          <w:szCs w:val="22"/>
          <w:lang w:val="en-US"/>
        </w:rPr>
        <w:t xml:space="preserve"> and AUC exposures of lesinurad increased proportionally with single doses of lesinurad from 5 to 1</w:t>
      </w:r>
      <w:r w:rsidR="00865DFA">
        <w:rPr>
          <w:iCs/>
          <w:color w:val="000000"/>
          <w:sz w:val="22"/>
          <w:szCs w:val="22"/>
          <w:lang w:val="en-US"/>
        </w:rPr>
        <w:t>,</w:t>
      </w:r>
      <w:r w:rsidRPr="00210A25">
        <w:rPr>
          <w:iCs/>
          <w:color w:val="000000"/>
          <w:sz w:val="22"/>
          <w:szCs w:val="22"/>
          <w:lang w:val="en-US"/>
        </w:rPr>
        <w:t xml:space="preserve">200 mg. Following multiple once daily dosing of lesinurad, there was no evidence of time dependent changes in pharmacokinetic properties and dose proportionality was preserved. In the fed state, </w:t>
      </w:r>
      <w:r w:rsidR="00CA5A92">
        <w:rPr>
          <w:iCs/>
          <w:color w:val="000000"/>
          <w:sz w:val="22"/>
          <w:szCs w:val="22"/>
          <w:lang w:val="en-US"/>
        </w:rPr>
        <w:t xml:space="preserve">after a single dose of lesinurad 200 mg </w:t>
      </w:r>
      <w:r w:rsidRPr="00210A25">
        <w:rPr>
          <w:iCs/>
          <w:color w:val="000000"/>
          <w:sz w:val="22"/>
          <w:szCs w:val="22"/>
          <w:lang w:val="en-US"/>
        </w:rPr>
        <w:t>geometric mean lesinurad C</w:t>
      </w:r>
      <w:r w:rsidRPr="00210A25">
        <w:rPr>
          <w:iCs/>
          <w:color w:val="000000"/>
          <w:sz w:val="22"/>
          <w:szCs w:val="22"/>
          <w:vertAlign w:val="subscript"/>
          <w:lang w:val="en-US"/>
        </w:rPr>
        <w:t>max</w:t>
      </w:r>
      <w:r w:rsidRPr="00210A25">
        <w:rPr>
          <w:iCs/>
          <w:color w:val="000000"/>
          <w:sz w:val="22"/>
          <w:szCs w:val="22"/>
          <w:lang w:val="en-US"/>
        </w:rPr>
        <w:t xml:space="preserve"> and AUC were 6 μg/mL and 29 μg</w:t>
      </w:r>
      <w:r w:rsidR="0032648C">
        <w:rPr>
          <w:rFonts w:cs="Arial"/>
          <w:iCs/>
          <w:color w:val="000000"/>
          <w:sz w:val="22"/>
          <w:szCs w:val="22"/>
          <w:lang w:val="en-US"/>
        </w:rPr>
        <w:t>·</w:t>
      </w:r>
      <w:r w:rsidRPr="00210A25">
        <w:rPr>
          <w:iCs/>
          <w:color w:val="000000"/>
          <w:sz w:val="22"/>
          <w:szCs w:val="22"/>
          <w:lang w:val="en-US"/>
        </w:rPr>
        <w:t>hr/mL, respectively</w:t>
      </w:r>
      <w:r w:rsidR="008F76C2">
        <w:rPr>
          <w:iCs/>
          <w:color w:val="000000"/>
          <w:sz w:val="22"/>
          <w:szCs w:val="22"/>
          <w:lang w:val="en-US"/>
        </w:rPr>
        <w:t>, after a single dose of 200 mg</w:t>
      </w:r>
      <w:r w:rsidRPr="00210A25">
        <w:rPr>
          <w:iCs/>
          <w:color w:val="000000"/>
          <w:sz w:val="22"/>
          <w:szCs w:val="22"/>
          <w:lang w:val="en-US"/>
        </w:rPr>
        <w:t xml:space="preserve">. </w:t>
      </w:r>
    </w:p>
    <w:p w:rsidR="00EF3376" w:rsidRPr="004D6EBF" w:rsidRDefault="00EF3376">
      <w:pPr>
        <w:pStyle w:val="A-Heading4"/>
        <w:rPr>
          <w:sz w:val="22"/>
          <w:szCs w:val="22"/>
        </w:rPr>
      </w:pPr>
      <w:r w:rsidRPr="004D6EBF">
        <w:rPr>
          <w:sz w:val="22"/>
          <w:szCs w:val="22"/>
        </w:rPr>
        <w:t>Food Effects</w:t>
      </w:r>
    </w:p>
    <w:p w:rsidR="00210A25" w:rsidRPr="004D6EBF" w:rsidRDefault="00210A25">
      <w:pPr>
        <w:rPr>
          <w:sz w:val="22"/>
          <w:szCs w:val="22"/>
          <w:lang w:val="en-GB"/>
        </w:rPr>
      </w:pPr>
      <w:r w:rsidRPr="00210A25">
        <w:rPr>
          <w:iCs/>
          <w:sz w:val="22"/>
          <w:szCs w:val="22"/>
          <w:lang w:val="en-US"/>
        </w:rPr>
        <w:t>Administration with a high-fat meal decreases lesinurad C</w:t>
      </w:r>
      <w:r w:rsidRPr="00210A25">
        <w:rPr>
          <w:iCs/>
          <w:sz w:val="22"/>
          <w:szCs w:val="22"/>
          <w:vertAlign w:val="subscript"/>
          <w:lang w:val="en-US"/>
        </w:rPr>
        <w:t>max</w:t>
      </w:r>
      <w:r w:rsidRPr="00210A25">
        <w:rPr>
          <w:iCs/>
          <w:sz w:val="22"/>
          <w:szCs w:val="22"/>
          <w:lang w:val="en-US"/>
        </w:rPr>
        <w:t xml:space="preserve"> by up to 18% but does not alter AUC as compared with fasted state. In clinical trials, lesinurad was administered with food.</w:t>
      </w:r>
    </w:p>
    <w:p w:rsidR="00EF3376" w:rsidRPr="004D6EBF" w:rsidRDefault="00EF3376">
      <w:pPr>
        <w:pStyle w:val="A-Heading3"/>
        <w:rPr>
          <w:sz w:val="22"/>
          <w:szCs w:val="22"/>
        </w:rPr>
      </w:pPr>
      <w:r w:rsidRPr="004D6EBF">
        <w:rPr>
          <w:sz w:val="22"/>
          <w:szCs w:val="22"/>
        </w:rPr>
        <w:t>Distribution</w:t>
      </w:r>
    </w:p>
    <w:p w:rsidR="00EF3376" w:rsidRPr="00210A25" w:rsidRDefault="00210A25">
      <w:pPr>
        <w:rPr>
          <w:sz w:val="22"/>
          <w:szCs w:val="22"/>
          <w:lang w:val="en-US"/>
        </w:rPr>
      </w:pPr>
      <w:r w:rsidRPr="00210A25">
        <w:rPr>
          <w:sz w:val="22"/>
          <w:szCs w:val="22"/>
          <w:lang w:val="en-US"/>
        </w:rPr>
        <w:t>Lesinurad is extensively bound to proteins in plasma (greater than 98%), mainly to albumin. Plasma protein binding is not meaningfully altered in patients with renal or hepatic impairment. The mean steady state volume of distribution of lesinurad was approximately 20 L following intravenous dosing.</w:t>
      </w:r>
    </w:p>
    <w:p w:rsidR="00EF3376" w:rsidRPr="004D6EBF" w:rsidRDefault="00EF3376">
      <w:pPr>
        <w:pStyle w:val="A-Heading3"/>
        <w:rPr>
          <w:sz w:val="22"/>
          <w:szCs w:val="22"/>
        </w:rPr>
      </w:pPr>
      <w:r w:rsidRPr="004D6EBF">
        <w:rPr>
          <w:sz w:val="22"/>
          <w:szCs w:val="22"/>
        </w:rPr>
        <w:t>Metabolism</w:t>
      </w:r>
    </w:p>
    <w:p w:rsidR="00210A25" w:rsidRPr="00210A25" w:rsidRDefault="00210A25">
      <w:pPr>
        <w:rPr>
          <w:sz w:val="22"/>
          <w:szCs w:val="22"/>
          <w:lang w:val="en-US"/>
        </w:rPr>
      </w:pPr>
      <w:r w:rsidRPr="00210A25">
        <w:rPr>
          <w:sz w:val="22"/>
          <w:szCs w:val="22"/>
          <w:lang w:val="en-US"/>
        </w:rPr>
        <w:t xml:space="preserve">Lesinurad undergoes oxidative metabolism mainly via cytochrome P450 CYP2C9. Metabolite plasma exposures are minimal (&lt;10% of unchanged lesinurad). Metabolites are not known to contribute to the uric acid lowering effects of lesinurad. A transient oxide metabolite is rapidly eliminated by microsomal epoxide hydrolase in the liver and not detected in plasma. </w:t>
      </w:r>
    </w:p>
    <w:p w:rsidR="00EF3376" w:rsidRPr="004D6EBF" w:rsidRDefault="00EF3376">
      <w:pPr>
        <w:pStyle w:val="A-Heading3"/>
        <w:rPr>
          <w:sz w:val="22"/>
          <w:szCs w:val="22"/>
        </w:rPr>
      </w:pPr>
      <w:r w:rsidRPr="004D6EBF">
        <w:rPr>
          <w:sz w:val="22"/>
          <w:szCs w:val="22"/>
        </w:rPr>
        <w:lastRenderedPageBreak/>
        <w:t>Excretion</w:t>
      </w:r>
    </w:p>
    <w:p w:rsidR="00210A25" w:rsidRPr="00210A25" w:rsidRDefault="00210A25">
      <w:pPr>
        <w:rPr>
          <w:bCs/>
          <w:iCs/>
          <w:color w:val="000000"/>
          <w:sz w:val="22"/>
          <w:szCs w:val="24"/>
          <w:lang w:val="en-US"/>
        </w:rPr>
      </w:pPr>
      <w:r w:rsidRPr="00210A25">
        <w:rPr>
          <w:bCs/>
          <w:iCs/>
          <w:color w:val="000000"/>
          <w:sz w:val="22"/>
          <w:szCs w:val="24"/>
          <w:lang w:val="en-US"/>
        </w:rPr>
        <w:t>Within 7 days following single dosing of radiolabeled lesinurad, 63% of administered radioactive dose was recovered in urine and 32% of administered radioactive dose was recovered in faeces. Most of the radi</w:t>
      </w:r>
      <w:r>
        <w:rPr>
          <w:bCs/>
          <w:iCs/>
          <w:color w:val="000000"/>
          <w:sz w:val="22"/>
          <w:szCs w:val="24"/>
          <w:lang w:val="en-US"/>
        </w:rPr>
        <w:t>oactivity recovered in urine (&gt;</w:t>
      </w:r>
      <w:r w:rsidRPr="00210A25">
        <w:rPr>
          <w:bCs/>
          <w:iCs/>
          <w:color w:val="000000"/>
          <w:sz w:val="22"/>
          <w:szCs w:val="24"/>
          <w:lang w:val="en-US"/>
        </w:rPr>
        <w:t>60% of dose) occurred in the first 24 hours. Unchanged lesinurad in urine accounted for approximately 30% of the dose. The elimination half-life (t½) of lesinurad was approximately 5 hours following a single dose. Lesinurad does not accumulate following multiple doses.</w:t>
      </w:r>
    </w:p>
    <w:p w:rsidR="00EF3376" w:rsidRDefault="00EF3376">
      <w:pPr>
        <w:pStyle w:val="A-Heading3"/>
        <w:rPr>
          <w:sz w:val="22"/>
        </w:rPr>
      </w:pPr>
      <w:r>
        <w:rPr>
          <w:sz w:val="22"/>
        </w:rPr>
        <w:t>Special populations</w:t>
      </w:r>
    </w:p>
    <w:p w:rsidR="00EF3376" w:rsidRPr="001F1C86" w:rsidRDefault="001F1C86">
      <w:pPr>
        <w:pStyle w:val="A-Heading4"/>
        <w:rPr>
          <w:sz w:val="22"/>
        </w:rPr>
      </w:pPr>
      <w:r w:rsidRPr="001F1C86">
        <w:rPr>
          <w:sz w:val="22"/>
        </w:rPr>
        <w:t xml:space="preserve">Age, </w:t>
      </w:r>
      <w:r w:rsidR="00EF3376" w:rsidRPr="001F1C86">
        <w:rPr>
          <w:sz w:val="22"/>
        </w:rPr>
        <w:t>gender</w:t>
      </w:r>
      <w:r w:rsidRPr="001F1C86">
        <w:rPr>
          <w:sz w:val="22"/>
        </w:rPr>
        <w:t>, race and ethnicity</w:t>
      </w:r>
    </w:p>
    <w:p w:rsidR="001F1C86" w:rsidRPr="001F1C86" w:rsidRDefault="001F1C86">
      <w:pPr>
        <w:keepNext/>
        <w:keepLines/>
        <w:autoSpaceDE w:val="0"/>
        <w:autoSpaceDN w:val="0"/>
        <w:adjustRightInd w:val="0"/>
        <w:rPr>
          <w:bCs/>
          <w:iCs/>
          <w:color w:val="000000"/>
          <w:sz w:val="22"/>
          <w:szCs w:val="24"/>
          <w:lang w:val="en-GB"/>
        </w:rPr>
      </w:pPr>
      <w:r w:rsidRPr="001F1C86">
        <w:rPr>
          <w:bCs/>
          <w:iCs/>
          <w:color w:val="000000"/>
          <w:sz w:val="22"/>
          <w:szCs w:val="24"/>
          <w:lang w:val="en-GB"/>
        </w:rPr>
        <w:t xml:space="preserve">Based on population pharmacokinetic analysis, age, gender, race and ethnicity do not have a clinically meaningful effect on the pharmacokinetics of lesinurad. </w:t>
      </w:r>
    </w:p>
    <w:p w:rsidR="00EF3376" w:rsidRDefault="00EF3376">
      <w:pPr>
        <w:pStyle w:val="A-Heading4"/>
        <w:rPr>
          <w:sz w:val="22"/>
        </w:rPr>
      </w:pPr>
      <w:r>
        <w:rPr>
          <w:sz w:val="22"/>
        </w:rPr>
        <w:t>Renal impairment</w:t>
      </w:r>
    </w:p>
    <w:p w:rsidR="002B1A4C" w:rsidRPr="002B1A4C" w:rsidRDefault="002B1A4C" w:rsidP="002B1A4C">
      <w:pPr>
        <w:autoSpaceDE w:val="0"/>
        <w:autoSpaceDN w:val="0"/>
        <w:adjustRightInd w:val="0"/>
        <w:rPr>
          <w:bCs/>
          <w:iCs/>
          <w:color w:val="000000"/>
          <w:sz w:val="22"/>
          <w:szCs w:val="24"/>
          <w:lang w:val="en-US"/>
        </w:rPr>
      </w:pPr>
      <w:r w:rsidRPr="002B1A4C">
        <w:rPr>
          <w:bCs/>
          <w:iCs/>
          <w:color w:val="000000"/>
          <w:sz w:val="22"/>
          <w:szCs w:val="24"/>
          <w:lang w:val="en-US"/>
        </w:rPr>
        <w:t>ZURAMPIC is contraindicated in patients with severe renal impairment (CrCL &lt;30 mL/min), (see</w:t>
      </w:r>
      <w:r>
        <w:rPr>
          <w:b/>
          <w:bCs/>
          <w:iCs/>
          <w:color w:val="000000"/>
          <w:sz w:val="22"/>
          <w:szCs w:val="24"/>
          <w:lang w:val="en-US"/>
        </w:rPr>
        <w:t xml:space="preserve"> CONTRAINDICATIONS</w:t>
      </w:r>
      <w:r w:rsidRPr="002B1A4C">
        <w:rPr>
          <w:bCs/>
          <w:iCs/>
          <w:color w:val="000000"/>
          <w:sz w:val="22"/>
          <w:szCs w:val="24"/>
          <w:lang w:val="en-US"/>
        </w:rPr>
        <w:t>).</w:t>
      </w:r>
    </w:p>
    <w:p w:rsidR="001F1C86" w:rsidRPr="001F1C86" w:rsidRDefault="001F1C86" w:rsidP="001F1C86">
      <w:pPr>
        <w:autoSpaceDE w:val="0"/>
        <w:autoSpaceDN w:val="0"/>
        <w:adjustRightInd w:val="0"/>
        <w:rPr>
          <w:bCs/>
          <w:iCs/>
          <w:color w:val="000000"/>
          <w:sz w:val="22"/>
          <w:szCs w:val="24"/>
          <w:lang w:val="en-US"/>
        </w:rPr>
      </w:pPr>
      <w:r w:rsidRPr="001F1C86">
        <w:rPr>
          <w:bCs/>
          <w:iCs/>
          <w:color w:val="000000"/>
          <w:sz w:val="22"/>
          <w:szCs w:val="24"/>
          <w:lang w:val="en-US"/>
        </w:rPr>
        <w:t xml:space="preserve">The </w:t>
      </w:r>
      <w:bookmarkStart w:id="1" w:name="_msoanchor_1"/>
      <w:bookmarkEnd w:id="1"/>
      <w:r w:rsidRPr="001F1C86">
        <w:rPr>
          <w:bCs/>
          <w:iCs/>
          <w:color w:val="000000"/>
          <w:sz w:val="22"/>
          <w:szCs w:val="24"/>
          <w:lang w:val="en-US"/>
        </w:rPr>
        <w:t xml:space="preserve">population pharmacokinetic analysis of clinical data in gout patients treated for up to </w:t>
      </w:r>
      <w:r w:rsidR="000C625A">
        <w:rPr>
          <w:bCs/>
          <w:iCs/>
          <w:color w:val="000000"/>
          <w:sz w:val="22"/>
          <w:szCs w:val="24"/>
          <w:lang w:val="en-US"/>
        </w:rPr>
        <w:br/>
      </w:r>
      <w:r w:rsidRPr="001F1C86">
        <w:rPr>
          <w:bCs/>
          <w:iCs/>
          <w:color w:val="000000"/>
          <w:sz w:val="22"/>
          <w:szCs w:val="24"/>
          <w:lang w:val="en-US"/>
        </w:rPr>
        <w:t>12 months estimated increases in lesinurad exposure of approximately 12%, 31% and 65% in patients with mild, moderate, and severe renal impairment, respectively, compared with patients with normal renal function.</w:t>
      </w:r>
    </w:p>
    <w:p w:rsidR="001F1C86" w:rsidRPr="001F1C86" w:rsidRDefault="001F1C86" w:rsidP="001F1C86">
      <w:pPr>
        <w:autoSpaceDE w:val="0"/>
        <w:autoSpaceDN w:val="0"/>
        <w:adjustRightInd w:val="0"/>
        <w:rPr>
          <w:bCs/>
          <w:iCs/>
          <w:color w:val="000000"/>
          <w:sz w:val="22"/>
          <w:szCs w:val="24"/>
          <w:highlight w:val="yellow"/>
        </w:rPr>
      </w:pPr>
      <w:r w:rsidRPr="001F1C86">
        <w:rPr>
          <w:bCs/>
          <w:iCs/>
          <w:color w:val="000000"/>
          <w:sz w:val="22"/>
          <w:szCs w:val="24"/>
          <w:lang w:val="en-US"/>
        </w:rPr>
        <w:t xml:space="preserve">Following administration of a single dose of lesinurad to individuals with renal impairment compared to those with normal renal function lesinurad </w:t>
      </w:r>
      <w:r w:rsidRPr="001F1C86">
        <w:rPr>
          <w:bCs/>
          <w:iCs/>
          <w:color w:val="000000"/>
          <w:sz w:val="22"/>
          <w:szCs w:val="24"/>
          <w:lang w:val="en-GB"/>
        </w:rPr>
        <w:t>C</w:t>
      </w:r>
      <w:r w:rsidRPr="001F1C86">
        <w:rPr>
          <w:bCs/>
          <w:iCs/>
          <w:color w:val="000000"/>
          <w:sz w:val="22"/>
          <w:szCs w:val="24"/>
          <w:vertAlign w:val="subscript"/>
          <w:lang w:val="en-GB"/>
        </w:rPr>
        <w:t>max</w:t>
      </w:r>
      <w:r w:rsidRPr="001F1C86">
        <w:rPr>
          <w:bCs/>
          <w:iCs/>
          <w:color w:val="000000"/>
          <w:sz w:val="22"/>
          <w:szCs w:val="24"/>
          <w:lang w:val="en-US"/>
        </w:rPr>
        <w:t xml:space="preserve"> and AUC, respectively, were </w:t>
      </w:r>
      <w:r w:rsidR="002B1A4C">
        <w:rPr>
          <w:bCs/>
          <w:iCs/>
          <w:color w:val="000000"/>
          <w:sz w:val="22"/>
          <w:szCs w:val="24"/>
          <w:lang w:val="en-US"/>
        </w:rPr>
        <w:t>36</w:t>
      </w:r>
      <w:r w:rsidRPr="001F1C86">
        <w:rPr>
          <w:bCs/>
          <w:iCs/>
          <w:color w:val="000000"/>
          <w:sz w:val="22"/>
          <w:szCs w:val="24"/>
          <w:lang w:val="en-US"/>
        </w:rPr>
        <w:t xml:space="preserve">% and </w:t>
      </w:r>
      <w:r w:rsidR="002B1A4C">
        <w:rPr>
          <w:bCs/>
          <w:iCs/>
          <w:color w:val="000000"/>
          <w:sz w:val="22"/>
          <w:szCs w:val="24"/>
          <w:lang w:val="en-US"/>
        </w:rPr>
        <w:t>30</w:t>
      </w:r>
      <w:r w:rsidRPr="001F1C86">
        <w:rPr>
          <w:bCs/>
          <w:iCs/>
          <w:color w:val="000000"/>
          <w:sz w:val="22"/>
          <w:szCs w:val="24"/>
          <w:lang w:val="en-US"/>
        </w:rPr>
        <w:t>% higher (200 mg) in patients w</w:t>
      </w:r>
      <w:r w:rsidR="007E070E">
        <w:rPr>
          <w:bCs/>
          <w:iCs/>
          <w:color w:val="000000"/>
          <w:sz w:val="22"/>
          <w:szCs w:val="24"/>
          <w:lang w:val="en-US"/>
        </w:rPr>
        <w:t>ith mild renal impairment (</w:t>
      </w:r>
      <w:r w:rsidR="00C601F4">
        <w:rPr>
          <w:bCs/>
          <w:iCs/>
          <w:color w:val="000000"/>
          <w:sz w:val="22"/>
          <w:szCs w:val="24"/>
          <w:lang w:val="en-US"/>
        </w:rPr>
        <w:t>e</w:t>
      </w:r>
      <w:r w:rsidR="007E070E">
        <w:rPr>
          <w:bCs/>
          <w:iCs/>
          <w:color w:val="000000"/>
          <w:sz w:val="22"/>
          <w:szCs w:val="24"/>
          <w:lang w:val="en-US"/>
        </w:rPr>
        <w:t>CrCL</w:t>
      </w:r>
      <w:r w:rsidR="00674447">
        <w:rPr>
          <w:bCs/>
          <w:iCs/>
          <w:color w:val="000000"/>
          <w:sz w:val="22"/>
          <w:szCs w:val="24"/>
          <w:lang w:val="en-US"/>
        </w:rPr>
        <w:t xml:space="preserve"> 60 to </w:t>
      </w:r>
      <w:r w:rsidR="00252ED2">
        <w:rPr>
          <w:bCs/>
          <w:iCs/>
          <w:color w:val="000000"/>
          <w:sz w:val="22"/>
          <w:szCs w:val="24"/>
          <w:lang w:val="en-US"/>
        </w:rPr>
        <w:br/>
      </w:r>
      <w:r w:rsidR="00674447">
        <w:rPr>
          <w:bCs/>
          <w:iCs/>
          <w:color w:val="000000"/>
          <w:sz w:val="22"/>
          <w:szCs w:val="24"/>
          <w:lang w:val="en-US"/>
        </w:rPr>
        <w:t>89 mL</w:t>
      </w:r>
      <w:r w:rsidRPr="001F1C86">
        <w:rPr>
          <w:bCs/>
          <w:iCs/>
          <w:color w:val="000000"/>
          <w:sz w:val="22"/>
          <w:szCs w:val="24"/>
          <w:lang w:val="en-US"/>
        </w:rPr>
        <w:t xml:space="preserve">/min), </w:t>
      </w:r>
      <w:r w:rsidR="00C601F4">
        <w:rPr>
          <w:bCs/>
          <w:iCs/>
          <w:color w:val="000000"/>
          <w:sz w:val="22"/>
          <w:szCs w:val="24"/>
          <w:lang w:val="en-US"/>
        </w:rPr>
        <w:t>20</w:t>
      </w:r>
      <w:r w:rsidRPr="001F1C86">
        <w:rPr>
          <w:bCs/>
          <w:iCs/>
          <w:color w:val="000000"/>
          <w:sz w:val="22"/>
          <w:szCs w:val="24"/>
          <w:lang w:val="en-US"/>
        </w:rPr>
        <w:t xml:space="preserve">% and </w:t>
      </w:r>
      <w:r w:rsidR="00C601F4">
        <w:rPr>
          <w:bCs/>
          <w:iCs/>
          <w:color w:val="000000"/>
          <w:sz w:val="22"/>
          <w:szCs w:val="24"/>
          <w:lang w:val="en-US"/>
        </w:rPr>
        <w:t>73</w:t>
      </w:r>
      <w:r w:rsidRPr="001F1C86">
        <w:rPr>
          <w:bCs/>
          <w:iCs/>
          <w:color w:val="000000"/>
          <w:sz w:val="22"/>
          <w:szCs w:val="24"/>
          <w:lang w:val="en-US"/>
        </w:rPr>
        <w:t xml:space="preserve">% higher (200 mg) and </w:t>
      </w:r>
      <w:r w:rsidR="00C601F4">
        <w:rPr>
          <w:bCs/>
          <w:iCs/>
          <w:color w:val="000000"/>
          <w:sz w:val="22"/>
          <w:szCs w:val="24"/>
          <w:lang w:val="en-US"/>
        </w:rPr>
        <w:t>3</w:t>
      </w:r>
      <w:r w:rsidRPr="001F1C86">
        <w:rPr>
          <w:bCs/>
          <w:iCs/>
          <w:color w:val="000000"/>
          <w:sz w:val="22"/>
          <w:szCs w:val="24"/>
          <w:lang w:val="en-US"/>
        </w:rPr>
        <w:t xml:space="preserve">% and </w:t>
      </w:r>
      <w:r w:rsidR="00C601F4">
        <w:rPr>
          <w:bCs/>
          <w:iCs/>
          <w:color w:val="000000"/>
          <w:sz w:val="22"/>
          <w:szCs w:val="24"/>
          <w:lang w:val="en-US"/>
        </w:rPr>
        <w:t>50</w:t>
      </w:r>
      <w:r w:rsidRPr="001F1C86">
        <w:rPr>
          <w:bCs/>
          <w:iCs/>
          <w:color w:val="000000"/>
          <w:sz w:val="22"/>
          <w:szCs w:val="24"/>
          <w:lang w:val="en-US"/>
        </w:rPr>
        <w:t>% higher (400 mg) in patients with moderate re</w:t>
      </w:r>
      <w:r w:rsidR="00674447">
        <w:rPr>
          <w:bCs/>
          <w:iCs/>
          <w:color w:val="000000"/>
          <w:sz w:val="22"/>
          <w:szCs w:val="24"/>
          <w:lang w:val="en-US"/>
        </w:rPr>
        <w:t>nal impairment (</w:t>
      </w:r>
      <w:r w:rsidR="00C601F4">
        <w:rPr>
          <w:bCs/>
          <w:iCs/>
          <w:color w:val="000000"/>
          <w:sz w:val="22"/>
          <w:szCs w:val="24"/>
          <w:lang w:val="en-US"/>
        </w:rPr>
        <w:t>e</w:t>
      </w:r>
      <w:r w:rsidR="00674447">
        <w:rPr>
          <w:bCs/>
          <w:iCs/>
          <w:color w:val="000000"/>
          <w:sz w:val="22"/>
          <w:szCs w:val="24"/>
          <w:lang w:val="en-US"/>
        </w:rPr>
        <w:t>CrCL 30 to 59 mL</w:t>
      </w:r>
      <w:r w:rsidRPr="001F1C86">
        <w:rPr>
          <w:bCs/>
          <w:iCs/>
          <w:color w:val="000000"/>
          <w:sz w:val="22"/>
          <w:szCs w:val="24"/>
          <w:lang w:val="en-US"/>
        </w:rPr>
        <w:t xml:space="preserve">/min), and </w:t>
      </w:r>
      <w:r w:rsidR="00C601F4">
        <w:rPr>
          <w:bCs/>
          <w:iCs/>
          <w:color w:val="000000"/>
          <w:sz w:val="22"/>
          <w:szCs w:val="24"/>
          <w:lang w:val="en-US"/>
        </w:rPr>
        <w:t>13</w:t>
      </w:r>
      <w:r w:rsidRPr="001F1C86">
        <w:rPr>
          <w:bCs/>
          <w:iCs/>
          <w:color w:val="000000"/>
          <w:sz w:val="22"/>
          <w:szCs w:val="24"/>
          <w:lang w:val="en-US"/>
        </w:rPr>
        <w:t xml:space="preserve">% and </w:t>
      </w:r>
      <w:r w:rsidR="00C601F4">
        <w:rPr>
          <w:bCs/>
          <w:iCs/>
          <w:color w:val="000000"/>
          <w:sz w:val="22"/>
          <w:szCs w:val="24"/>
          <w:lang w:val="en-US"/>
        </w:rPr>
        <w:t>113</w:t>
      </w:r>
      <w:r w:rsidRPr="001F1C86">
        <w:rPr>
          <w:bCs/>
          <w:iCs/>
          <w:color w:val="000000"/>
          <w:sz w:val="22"/>
          <w:szCs w:val="24"/>
          <w:lang w:val="en-US"/>
        </w:rPr>
        <w:t>% higher (400 mg) in patients wit</w:t>
      </w:r>
      <w:r w:rsidR="00DF6D8C">
        <w:rPr>
          <w:bCs/>
          <w:iCs/>
          <w:color w:val="000000"/>
          <w:sz w:val="22"/>
          <w:szCs w:val="24"/>
          <w:lang w:val="en-US"/>
        </w:rPr>
        <w:t>h severe renal impairment (</w:t>
      </w:r>
      <w:r w:rsidR="00C601F4">
        <w:rPr>
          <w:bCs/>
          <w:iCs/>
          <w:color w:val="000000"/>
          <w:sz w:val="22"/>
          <w:szCs w:val="24"/>
          <w:lang w:val="en-US"/>
        </w:rPr>
        <w:t>e</w:t>
      </w:r>
      <w:r w:rsidR="00DF6D8C">
        <w:rPr>
          <w:bCs/>
          <w:iCs/>
          <w:color w:val="000000"/>
          <w:sz w:val="22"/>
          <w:szCs w:val="24"/>
          <w:lang w:val="en-US"/>
        </w:rPr>
        <w:t>CrCL</w:t>
      </w:r>
      <w:r w:rsidR="00EA28C9">
        <w:rPr>
          <w:bCs/>
          <w:iCs/>
          <w:color w:val="000000"/>
          <w:sz w:val="22"/>
          <w:szCs w:val="24"/>
          <w:lang w:val="en-US"/>
        </w:rPr>
        <w:t xml:space="preserve"> </w:t>
      </w:r>
      <w:r w:rsidR="00674447">
        <w:rPr>
          <w:bCs/>
          <w:iCs/>
          <w:color w:val="000000"/>
          <w:sz w:val="22"/>
          <w:szCs w:val="24"/>
          <w:lang w:val="en-US"/>
        </w:rPr>
        <w:t>&lt;30 mL</w:t>
      </w:r>
      <w:r w:rsidRPr="001F1C86">
        <w:rPr>
          <w:bCs/>
          <w:iCs/>
          <w:color w:val="000000"/>
          <w:sz w:val="22"/>
          <w:szCs w:val="24"/>
          <w:lang w:val="en-US"/>
        </w:rPr>
        <w:t>/min).</w:t>
      </w:r>
    </w:p>
    <w:p w:rsidR="00EF3376" w:rsidRPr="001F1C86" w:rsidRDefault="00EF3376">
      <w:pPr>
        <w:pStyle w:val="A-Heading4"/>
        <w:rPr>
          <w:sz w:val="22"/>
        </w:rPr>
      </w:pPr>
      <w:r w:rsidRPr="001F1C86">
        <w:rPr>
          <w:sz w:val="22"/>
        </w:rPr>
        <w:t>Hepatic impairment</w:t>
      </w:r>
    </w:p>
    <w:p w:rsidR="001F1C86" w:rsidRPr="001F1C86" w:rsidRDefault="001F1C86" w:rsidP="001F1C86">
      <w:pPr>
        <w:pStyle w:val="A-Heading4"/>
        <w:rPr>
          <w:bCs/>
          <w:i w:val="0"/>
          <w:iCs/>
          <w:color w:val="000000"/>
          <w:sz w:val="22"/>
          <w:szCs w:val="24"/>
        </w:rPr>
      </w:pPr>
      <w:r w:rsidRPr="001F1C86">
        <w:rPr>
          <w:bCs/>
          <w:i w:val="0"/>
          <w:iCs/>
          <w:color w:val="000000"/>
          <w:sz w:val="22"/>
          <w:szCs w:val="24"/>
        </w:rPr>
        <w:t>Following administration of a single dose of lesinurad at 400 mg in patients with mild (Child-Pugh class A) or moderate (Child-Pugh class B) hepatic impairment, lesinurad C</w:t>
      </w:r>
      <w:r w:rsidRPr="001F1C86">
        <w:rPr>
          <w:bCs/>
          <w:i w:val="0"/>
          <w:iCs/>
          <w:color w:val="000000"/>
          <w:sz w:val="22"/>
          <w:szCs w:val="24"/>
          <w:vertAlign w:val="subscript"/>
        </w:rPr>
        <w:t>max</w:t>
      </w:r>
      <w:r w:rsidRPr="001F1C86">
        <w:rPr>
          <w:bCs/>
          <w:i w:val="0"/>
          <w:iCs/>
          <w:color w:val="000000"/>
          <w:sz w:val="22"/>
          <w:szCs w:val="24"/>
        </w:rPr>
        <w:t xml:space="preserve"> was comparable and lesinurad AUC was 7% and 33% higher, respectively, compared to individuals with normal hepatic function. There is no clinical experience in patients with severe (Child-Pugh class C) hepatic impairment.</w:t>
      </w:r>
    </w:p>
    <w:p w:rsidR="00443A09" w:rsidRPr="0050306E" w:rsidRDefault="00EF3376" w:rsidP="0050306E">
      <w:pPr>
        <w:pStyle w:val="A-Heading1"/>
        <w:rPr>
          <w:sz w:val="22"/>
          <w:lang w:val="en-AU"/>
        </w:rPr>
      </w:pPr>
      <w:r>
        <w:rPr>
          <w:sz w:val="22"/>
          <w:lang w:val="en-AU"/>
        </w:rPr>
        <w:t>CLINICAL TRIALS</w:t>
      </w:r>
    </w:p>
    <w:p w:rsidR="008F76C2" w:rsidRPr="00443A09" w:rsidRDefault="00443A09" w:rsidP="00443A09">
      <w:pPr>
        <w:rPr>
          <w:rFonts w:cs="Arial"/>
          <w:bCs/>
          <w:sz w:val="22"/>
          <w:szCs w:val="22"/>
          <w:lang w:val="en-GB"/>
        </w:rPr>
      </w:pPr>
      <w:r w:rsidRPr="00443A09">
        <w:rPr>
          <w:rFonts w:cs="Arial"/>
          <w:bCs/>
          <w:sz w:val="22"/>
          <w:szCs w:val="22"/>
          <w:lang w:val="en-GB"/>
        </w:rPr>
        <w:t xml:space="preserve">The efficacy of </w:t>
      </w:r>
      <w:r w:rsidR="00DE798A">
        <w:rPr>
          <w:rFonts w:cs="Arial"/>
          <w:bCs/>
          <w:sz w:val="22"/>
          <w:szCs w:val="22"/>
          <w:lang w:val="en-GB"/>
        </w:rPr>
        <w:t>ZURAMPIC</w:t>
      </w:r>
      <w:r w:rsidRPr="00443A09">
        <w:rPr>
          <w:rFonts w:cs="Arial"/>
          <w:bCs/>
          <w:sz w:val="22"/>
          <w:szCs w:val="22"/>
          <w:lang w:val="en-GB"/>
        </w:rPr>
        <w:t xml:space="preserve"> 200 mg and 400 mg once daily was studied in 3 multicentre, randomised, double-blind, placebo controlled clinical studies in 1</w:t>
      </w:r>
      <w:r w:rsidR="00220761">
        <w:rPr>
          <w:rFonts w:cs="Arial"/>
          <w:bCs/>
          <w:sz w:val="22"/>
          <w:szCs w:val="22"/>
          <w:lang w:val="en-GB"/>
        </w:rPr>
        <w:t>,</w:t>
      </w:r>
      <w:r w:rsidRPr="00443A09">
        <w:rPr>
          <w:rFonts w:cs="Arial"/>
          <w:bCs/>
          <w:sz w:val="22"/>
          <w:szCs w:val="22"/>
          <w:lang w:val="en-GB"/>
        </w:rPr>
        <w:t>537 adult patients with hyperuric</w:t>
      </w:r>
      <w:r w:rsidR="00862478">
        <w:rPr>
          <w:rFonts w:cs="Arial"/>
          <w:bCs/>
          <w:sz w:val="22"/>
          <w:szCs w:val="22"/>
          <w:lang w:val="en-GB"/>
        </w:rPr>
        <w:t>a</w:t>
      </w:r>
      <w:r w:rsidRPr="00443A09">
        <w:rPr>
          <w:rFonts w:cs="Arial"/>
          <w:bCs/>
          <w:sz w:val="22"/>
          <w:szCs w:val="22"/>
          <w:lang w:val="en-GB"/>
        </w:rPr>
        <w:t xml:space="preserve">emia and gout in combination with a xanthine oxidase inhibitor, allopurinol (CLEAR1 and CLEAR2) or febuxostat (CRYSTAL). All studies were of 12 months duration and patients received prophylaxis for gout flares with colchicine or </w:t>
      </w:r>
      <w:r w:rsidR="004177B0" w:rsidRPr="00494612">
        <w:rPr>
          <w:sz w:val="22"/>
          <w:szCs w:val="22"/>
          <w:lang w:val="en-US"/>
        </w:rPr>
        <w:t>non-steroidal anti-inflammatory drug</w:t>
      </w:r>
      <w:r w:rsidR="004177B0">
        <w:rPr>
          <w:sz w:val="22"/>
          <w:szCs w:val="22"/>
          <w:lang w:val="en-US"/>
        </w:rPr>
        <w:t>s</w:t>
      </w:r>
      <w:r w:rsidR="004177B0" w:rsidRPr="00443A09">
        <w:rPr>
          <w:rFonts w:cs="Arial"/>
          <w:bCs/>
          <w:sz w:val="22"/>
          <w:szCs w:val="22"/>
          <w:lang w:val="en-GB"/>
        </w:rPr>
        <w:t xml:space="preserve"> </w:t>
      </w:r>
      <w:r w:rsidR="004177B0">
        <w:rPr>
          <w:rFonts w:cs="Arial"/>
          <w:bCs/>
          <w:sz w:val="22"/>
          <w:szCs w:val="22"/>
          <w:lang w:val="en-GB"/>
        </w:rPr>
        <w:t>(</w:t>
      </w:r>
      <w:r w:rsidRPr="00443A09">
        <w:rPr>
          <w:rFonts w:cs="Arial"/>
          <w:bCs/>
          <w:sz w:val="22"/>
          <w:szCs w:val="22"/>
          <w:lang w:val="en-GB"/>
        </w:rPr>
        <w:t>NSAIDs</w:t>
      </w:r>
      <w:r w:rsidR="004177B0">
        <w:rPr>
          <w:rFonts w:cs="Arial"/>
          <w:bCs/>
          <w:sz w:val="22"/>
          <w:szCs w:val="22"/>
          <w:lang w:val="en-GB"/>
        </w:rPr>
        <w:t>)</w:t>
      </w:r>
      <w:r w:rsidRPr="00443A09">
        <w:rPr>
          <w:rFonts w:cs="Arial"/>
          <w:bCs/>
          <w:sz w:val="22"/>
          <w:szCs w:val="22"/>
          <w:lang w:val="en-GB"/>
        </w:rPr>
        <w:t xml:space="preserve"> during the first 5 months of </w:t>
      </w:r>
      <w:r w:rsidR="00DE798A">
        <w:rPr>
          <w:rFonts w:cs="Arial"/>
          <w:bCs/>
          <w:sz w:val="22"/>
          <w:szCs w:val="22"/>
          <w:lang w:val="en-GB"/>
        </w:rPr>
        <w:t>ZURAMPIC</w:t>
      </w:r>
      <w:r w:rsidRPr="00443A09">
        <w:rPr>
          <w:rFonts w:cs="Arial"/>
          <w:bCs/>
          <w:sz w:val="22"/>
          <w:szCs w:val="22"/>
          <w:lang w:val="en-GB"/>
        </w:rPr>
        <w:t xml:space="preserve"> treatment.</w:t>
      </w:r>
    </w:p>
    <w:p w:rsidR="00443A09" w:rsidRPr="00443A09" w:rsidRDefault="00443A09" w:rsidP="00443A09">
      <w:pPr>
        <w:rPr>
          <w:rFonts w:cs="Arial"/>
          <w:b/>
          <w:bCs/>
          <w:sz w:val="22"/>
          <w:szCs w:val="22"/>
          <w:lang w:val="sv-SE"/>
        </w:rPr>
      </w:pPr>
      <w:r>
        <w:rPr>
          <w:rFonts w:cs="Arial"/>
          <w:b/>
          <w:bCs/>
          <w:sz w:val="22"/>
          <w:szCs w:val="22"/>
          <w:lang w:val="en-US"/>
        </w:rPr>
        <w:lastRenderedPageBreak/>
        <w:t>ZURAMPIC</w:t>
      </w:r>
      <w:r w:rsidRPr="00443A09">
        <w:rPr>
          <w:rFonts w:cs="Arial"/>
          <w:b/>
          <w:bCs/>
          <w:sz w:val="22"/>
          <w:szCs w:val="22"/>
          <w:lang w:val="en-US"/>
        </w:rPr>
        <w:t xml:space="preserve"> as add-on to allopurinol in inadequate responders </w:t>
      </w:r>
    </w:p>
    <w:p w:rsidR="00443A09" w:rsidRPr="00443A09" w:rsidRDefault="00443A09" w:rsidP="00443A09">
      <w:pPr>
        <w:rPr>
          <w:rFonts w:cs="Arial"/>
          <w:bCs/>
          <w:sz w:val="22"/>
          <w:szCs w:val="22"/>
          <w:lang w:val="en-GB"/>
        </w:rPr>
      </w:pPr>
      <w:r w:rsidRPr="00443A09">
        <w:rPr>
          <w:rFonts w:cs="Arial"/>
          <w:bCs/>
          <w:sz w:val="22"/>
          <w:szCs w:val="22"/>
          <w:lang w:val="en-GB"/>
        </w:rPr>
        <w:t xml:space="preserve">CLEAR1 and CLEAR2 enrolled patients with gout who were on a stable dose of allopurinol of at least 300 mg (or 200 mg for moderate renal impairment), had </w:t>
      </w:r>
      <w:r w:rsidR="0034431F">
        <w:rPr>
          <w:rFonts w:cs="Arial"/>
          <w:bCs/>
          <w:sz w:val="22"/>
          <w:szCs w:val="22"/>
          <w:lang w:val="en-GB"/>
        </w:rPr>
        <w:t>sUA</w:t>
      </w:r>
      <w:r w:rsidRPr="00443A09">
        <w:rPr>
          <w:rFonts w:cs="Arial"/>
          <w:bCs/>
          <w:sz w:val="22"/>
          <w:szCs w:val="22"/>
          <w:lang w:val="en-GB"/>
        </w:rPr>
        <w:t xml:space="preserve"> levels greater than </w:t>
      </w:r>
      <w:r w:rsidR="00A90610">
        <w:rPr>
          <w:rFonts w:cs="Arial"/>
          <w:bCs/>
          <w:sz w:val="22"/>
          <w:szCs w:val="22"/>
          <w:lang w:val="en-GB"/>
        </w:rPr>
        <w:t>387</w:t>
      </w:r>
      <w:r w:rsidR="00453BF7">
        <w:rPr>
          <w:rFonts w:cs="Arial"/>
          <w:bCs/>
          <w:sz w:val="22"/>
          <w:szCs w:val="22"/>
          <w:lang w:val="en-GB"/>
        </w:rPr>
        <w:t xml:space="preserve"> µmol/L</w:t>
      </w:r>
      <w:r w:rsidRPr="00443A09">
        <w:rPr>
          <w:rFonts w:cs="Arial"/>
          <w:bCs/>
          <w:sz w:val="22"/>
          <w:szCs w:val="22"/>
          <w:lang w:val="en-GB"/>
        </w:rPr>
        <w:t xml:space="preserve"> </w:t>
      </w:r>
      <w:r w:rsidR="00B42BDF">
        <w:rPr>
          <w:rFonts w:cs="Arial"/>
          <w:bCs/>
          <w:sz w:val="22"/>
          <w:szCs w:val="22"/>
          <w:lang w:val="en-GB"/>
        </w:rPr>
        <w:t>(</w:t>
      </w:r>
      <w:r w:rsidR="00453BF7">
        <w:rPr>
          <w:rFonts w:cs="Arial"/>
          <w:bCs/>
          <w:sz w:val="22"/>
          <w:szCs w:val="22"/>
          <w:lang w:val="en-GB"/>
        </w:rPr>
        <w:t>6.5 mg/dL</w:t>
      </w:r>
      <w:r w:rsidR="00B42BDF">
        <w:rPr>
          <w:rFonts w:cs="Arial"/>
          <w:bCs/>
          <w:sz w:val="22"/>
          <w:szCs w:val="22"/>
          <w:lang w:val="en-GB"/>
        </w:rPr>
        <w:t xml:space="preserve">) </w:t>
      </w:r>
      <w:r w:rsidRPr="00443A09">
        <w:rPr>
          <w:rFonts w:cs="Arial"/>
          <w:bCs/>
          <w:sz w:val="22"/>
          <w:szCs w:val="22"/>
          <w:lang w:val="en-GB"/>
        </w:rPr>
        <w:t xml:space="preserve">and reported at least 2 gout flares in the previous 12 months. Across both studies, 61% of patients had mild or moderate renal impairment </w:t>
      </w:r>
      <w:r w:rsidR="00A97723" w:rsidRPr="00A97723">
        <w:rPr>
          <w:rFonts w:cs="Arial"/>
          <w:bCs/>
          <w:sz w:val="22"/>
          <w:szCs w:val="22"/>
          <w:lang w:val="en-GB"/>
        </w:rPr>
        <w:t>(</w:t>
      </w:r>
      <w:r w:rsidR="00C34FCE">
        <w:rPr>
          <w:rFonts w:cs="Arial"/>
          <w:bCs/>
          <w:sz w:val="22"/>
          <w:szCs w:val="22"/>
          <w:lang w:val="en-GB"/>
        </w:rPr>
        <w:t>e</w:t>
      </w:r>
      <w:r w:rsidR="00A97723" w:rsidRPr="00A97723">
        <w:rPr>
          <w:sz w:val="22"/>
          <w:szCs w:val="22"/>
        </w:rPr>
        <w:t>C</w:t>
      </w:r>
      <w:r w:rsidR="00426704">
        <w:rPr>
          <w:sz w:val="22"/>
          <w:szCs w:val="22"/>
        </w:rPr>
        <w:t xml:space="preserve">rCL </w:t>
      </w:r>
      <w:r w:rsidR="008D4B3D">
        <w:rPr>
          <w:sz w:val="22"/>
          <w:szCs w:val="22"/>
        </w:rPr>
        <w:t>&lt;</w:t>
      </w:r>
      <w:r w:rsidR="00426704">
        <w:rPr>
          <w:sz w:val="22"/>
          <w:szCs w:val="22"/>
        </w:rPr>
        <w:t>90</w:t>
      </w:r>
      <w:r w:rsidR="00A97723" w:rsidRPr="00A97723">
        <w:rPr>
          <w:sz w:val="22"/>
          <w:szCs w:val="22"/>
        </w:rPr>
        <w:t xml:space="preserve"> mL/min</w:t>
      </w:r>
      <w:r w:rsidR="008D4B3D">
        <w:rPr>
          <w:sz w:val="22"/>
          <w:szCs w:val="22"/>
        </w:rPr>
        <w:t>) and 19% had moderate renal impairment (</w:t>
      </w:r>
      <w:r w:rsidR="008D4B3D">
        <w:rPr>
          <w:rFonts w:cs="Arial"/>
          <w:bCs/>
          <w:sz w:val="22"/>
          <w:szCs w:val="22"/>
          <w:lang w:val="en-GB"/>
        </w:rPr>
        <w:t>e</w:t>
      </w:r>
      <w:r w:rsidR="008D4B3D" w:rsidRPr="00A97723">
        <w:rPr>
          <w:sz w:val="22"/>
          <w:szCs w:val="22"/>
        </w:rPr>
        <w:t>C</w:t>
      </w:r>
      <w:r w:rsidR="008D4B3D">
        <w:rPr>
          <w:sz w:val="22"/>
          <w:szCs w:val="22"/>
        </w:rPr>
        <w:t>rCL &lt;60</w:t>
      </w:r>
      <w:r w:rsidR="008D4B3D" w:rsidRPr="00A97723">
        <w:rPr>
          <w:sz w:val="22"/>
          <w:szCs w:val="22"/>
        </w:rPr>
        <w:t xml:space="preserve"> mL/min</w:t>
      </w:r>
      <w:r w:rsidR="00860994">
        <w:rPr>
          <w:sz w:val="22"/>
          <w:szCs w:val="22"/>
        </w:rPr>
        <w:t>) at b</w:t>
      </w:r>
      <w:r w:rsidR="008D4B3D">
        <w:rPr>
          <w:sz w:val="22"/>
          <w:szCs w:val="22"/>
        </w:rPr>
        <w:t>aseline</w:t>
      </w:r>
      <w:r w:rsidR="00F5756E">
        <w:rPr>
          <w:sz w:val="22"/>
          <w:szCs w:val="22"/>
        </w:rPr>
        <w:t xml:space="preserve">. </w:t>
      </w:r>
      <w:r w:rsidR="008D4B3D">
        <w:rPr>
          <w:sz w:val="22"/>
          <w:szCs w:val="22"/>
        </w:rPr>
        <w:t>Approximately 5% of patients had eCrCL 30 to 44 mL/min.  In addition,</w:t>
      </w:r>
      <w:r w:rsidRPr="00443A09">
        <w:rPr>
          <w:rFonts w:cs="Arial"/>
          <w:bCs/>
          <w:sz w:val="22"/>
          <w:szCs w:val="22"/>
          <w:lang w:val="en-GB"/>
        </w:rPr>
        <w:t xml:space="preserve"> 19% had tophi. Patients continued their allopurinol dose and were randomi</w:t>
      </w:r>
      <w:r w:rsidR="00CA5A92">
        <w:rPr>
          <w:rFonts w:cs="Arial"/>
          <w:bCs/>
          <w:sz w:val="22"/>
          <w:szCs w:val="22"/>
          <w:lang w:val="en-GB"/>
        </w:rPr>
        <w:t>s</w:t>
      </w:r>
      <w:r w:rsidRPr="00443A09">
        <w:rPr>
          <w:rFonts w:cs="Arial"/>
          <w:bCs/>
          <w:sz w:val="22"/>
          <w:szCs w:val="22"/>
          <w:lang w:val="en-GB"/>
        </w:rPr>
        <w:t xml:space="preserve">ed 1:1:1 to receive </w:t>
      </w:r>
      <w:r>
        <w:rPr>
          <w:rFonts w:cs="Arial"/>
          <w:bCs/>
          <w:sz w:val="22"/>
          <w:szCs w:val="22"/>
          <w:lang w:val="en-GB"/>
        </w:rPr>
        <w:t>ZURAMPIC</w:t>
      </w:r>
      <w:r w:rsidRPr="00443A09">
        <w:rPr>
          <w:rFonts w:cs="Arial"/>
          <w:bCs/>
          <w:sz w:val="22"/>
          <w:szCs w:val="22"/>
          <w:lang w:val="en-GB"/>
        </w:rPr>
        <w:t xml:space="preserve"> 200 mg, </w:t>
      </w:r>
      <w:r>
        <w:rPr>
          <w:rFonts w:cs="Arial"/>
          <w:bCs/>
          <w:sz w:val="22"/>
          <w:szCs w:val="22"/>
          <w:lang w:val="en-GB"/>
        </w:rPr>
        <w:t>ZURAMPIC</w:t>
      </w:r>
      <w:r w:rsidRPr="00443A09">
        <w:rPr>
          <w:rFonts w:cs="Arial"/>
          <w:bCs/>
          <w:sz w:val="22"/>
          <w:szCs w:val="22"/>
          <w:lang w:val="en-GB"/>
        </w:rPr>
        <w:t xml:space="preserve"> </w:t>
      </w:r>
      <w:r w:rsidR="0082235E">
        <w:rPr>
          <w:rFonts w:cs="Arial"/>
          <w:bCs/>
          <w:sz w:val="22"/>
          <w:szCs w:val="22"/>
          <w:lang w:val="en-GB"/>
        </w:rPr>
        <w:t>400 mg, or placebo once daily.</w:t>
      </w:r>
    </w:p>
    <w:p w:rsidR="00443A09" w:rsidRPr="00443A09" w:rsidRDefault="00443A09" w:rsidP="00443A09">
      <w:pPr>
        <w:rPr>
          <w:rFonts w:cs="Arial"/>
          <w:bCs/>
          <w:sz w:val="22"/>
          <w:szCs w:val="22"/>
          <w:lang w:val="en-GB"/>
        </w:rPr>
      </w:pPr>
      <w:r w:rsidRPr="00443A09">
        <w:rPr>
          <w:rFonts w:cs="Arial"/>
          <w:bCs/>
          <w:sz w:val="22"/>
          <w:szCs w:val="22"/>
          <w:lang w:val="en-GB"/>
        </w:rPr>
        <w:t xml:space="preserve">The primary efficacy endpoint in both CLEAR1 and CLEAR2 was the proportion of patients </w:t>
      </w:r>
      <w:r w:rsidRPr="00443A09">
        <w:rPr>
          <w:rFonts w:cs="Arial"/>
          <w:sz w:val="22"/>
          <w:szCs w:val="22"/>
          <w:lang w:val="en-US"/>
        </w:rPr>
        <w:t xml:space="preserve">achieving a </w:t>
      </w:r>
      <w:r w:rsidR="0034431F">
        <w:rPr>
          <w:rFonts w:cs="Arial"/>
          <w:sz w:val="22"/>
          <w:szCs w:val="22"/>
          <w:lang w:val="en-US"/>
        </w:rPr>
        <w:t>sUA</w:t>
      </w:r>
      <w:r w:rsidRPr="00443A09">
        <w:rPr>
          <w:rFonts w:cs="Arial"/>
          <w:sz w:val="22"/>
          <w:szCs w:val="22"/>
          <w:lang w:val="en-US"/>
        </w:rPr>
        <w:t xml:space="preserve"> target level </w:t>
      </w:r>
      <w:r w:rsidRPr="00443A09">
        <w:rPr>
          <w:rFonts w:cs="Arial"/>
          <w:bCs/>
          <w:sz w:val="22"/>
          <w:szCs w:val="22"/>
          <w:lang w:val="en-GB"/>
        </w:rPr>
        <w:t xml:space="preserve">of less than </w:t>
      </w:r>
      <w:r w:rsidR="00A90610">
        <w:rPr>
          <w:rFonts w:cs="Arial"/>
          <w:bCs/>
          <w:sz w:val="22"/>
          <w:szCs w:val="22"/>
          <w:lang w:val="en-GB"/>
        </w:rPr>
        <w:t>357</w:t>
      </w:r>
      <w:r w:rsidR="00453BF7">
        <w:rPr>
          <w:rFonts w:cs="Arial"/>
          <w:bCs/>
          <w:sz w:val="22"/>
          <w:szCs w:val="22"/>
          <w:lang w:val="en-GB"/>
        </w:rPr>
        <w:t xml:space="preserve"> µmol/L</w:t>
      </w:r>
      <w:r w:rsidRPr="00443A09">
        <w:rPr>
          <w:rFonts w:cs="Arial"/>
          <w:bCs/>
          <w:sz w:val="22"/>
          <w:szCs w:val="22"/>
          <w:lang w:val="en-GB"/>
        </w:rPr>
        <w:t xml:space="preserve"> </w:t>
      </w:r>
      <w:r w:rsidR="00B42BDF">
        <w:rPr>
          <w:rFonts w:cs="Arial"/>
          <w:bCs/>
          <w:sz w:val="22"/>
          <w:szCs w:val="22"/>
          <w:lang w:val="en-GB"/>
        </w:rPr>
        <w:t>(</w:t>
      </w:r>
      <w:r w:rsidR="00453BF7">
        <w:rPr>
          <w:rFonts w:cs="Arial"/>
          <w:bCs/>
          <w:sz w:val="22"/>
          <w:szCs w:val="22"/>
          <w:lang w:val="en-GB"/>
        </w:rPr>
        <w:t>6 mg/dL</w:t>
      </w:r>
      <w:r w:rsidR="00B42BDF">
        <w:rPr>
          <w:rFonts w:cs="Arial"/>
          <w:bCs/>
          <w:sz w:val="22"/>
          <w:szCs w:val="22"/>
          <w:lang w:val="en-GB"/>
        </w:rPr>
        <w:t xml:space="preserve">) </w:t>
      </w:r>
      <w:r w:rsidRPr="00443A09">
        <w:rPr>
          <w:rFonts w:cs="Arial"/>
          <w:bCs/>
          <w:sz w:val="22"/>
          <w:szCs w:val="22"/>
          <w:lang w:val="en-GB"/>
        </w:rPr>
        <w:t xml:space="preserve">by Month 6. In both studies, significantly more patients treated with </w:t>
      </w:r>
      <w:r>
        <w:rPr>
          <w:rFonts w:cs="Arial"/>
          <w:bCs/>
          <w:sz w:val="22"/>
          <w:szCs w:val="22"/>
          <w:lang w:val="en-GB"/>
        </w:rPr>
        <w:t>ZURAMPIC</w:t>
      </w:r>
      <w:r w:rsidRPr="00443A09">
        <w:rPr>
          <w:rFonts w:cs="Arial"/>
          <w:bCs/>
          <w:sz w:val="22"/>
          <w:szCs w:val="22"/>
          <w:lang w:val="en-GB"/>
        </w:rPr>
        <w:t xml:space="preserve"> 200 mg in combination with allopurinol achieved the target </w:t>
      </w:r>
      <w:r w:rsidR="0034431F">
        <w:rPr>
          <w:rFonts w:cs="Arial"/>
          <w:bCs/>
          <w:sz w:val="22"/>
          <w:szCs w:val="22"/>
          <w:lang w:val="en-GB"/>
        </w:rPr>
        <w:t>sUA</w:t>
      </w:r>
      <w:r w:rsidRPr="00443A09">
        <w:rPr>
          <w:rFonts w:cs="Arial"/>
          <w:bCs/>
          <w:sz w:val="22"/>
          <w:szCs w:val="22"/>
          <w:lang w:val="en-GB"/>
        </w:rPr>
        <w:t xml:space="preserve"> level of less than </w:t>
      </w:r>
      <w:r w:rsidR="00A90610">
        <w:rPr>
          <w:rFonts w:cs="Arial"/>
          <w:bCs/>
          <w:sz w:val="22"/>
          <w:szCs w:val="22"/>
          <w:lang w:val="en-GB"/>
        </w:rPr>
        <w:t>357</w:t>
      </w:r>
      <w:r w:rsidR="00453BF7">
        <w:rPr>
          <w:rFonts w:cs="Arial"/>
          <w:bCs/>
          <w:sz w:val="22"/>
          <w:szCs w:val="22"/>
          <w:lang w:val="en-GB"/>
        </w:rPr>
        <w:t xml:space="preserve"> µmol/L</w:t>
      </w:r>
      <w:r w:rsidR="00F057C7">
        <w:rPr>
          <w:rFonts w:cs="Arial"/>
          <w:bCs/>
          <w:sz w:val="22"/>
          <w:szCs w:val="22"/>
          <w:lang w:val="en-GB"/>
        </w:rPr>
        <w:t xml:space="preserve"> </w:t>
      </w:r>
      <w:r w:rsidR="00B42BDF">
        <w:rPr>
          <w:rFonts w:cs="Arial"/>
          <w:bCs/>
          <w:sz w:val="22"/>
          <w:szCs w:val="22"/>
          <w:lang w:val="en-GB"/>
        </w:rPr>
        <w:t>(</w:t>
      </w:r>
      <w:r w:rsidR="00453BF7">
        <w:rPr>
          <w:rFonts w:cs="Arial"/>
          <w:bCs/>
          <w:sz w:val="22"/>
          <w:szCs w:val="22"/>
          <w:lang w:val="en-GB"/>
        </w:rPr>
        <w:t>6 mg/dL</w:t>
      </w:r>
      <w:r w:rsidR="00B42BDF">
        <w:rPr>
          <w:rFonts w:cs="Arial"/>
          <w:bCs/>
          <w:sz w:val="22"/>
          <w:szCs w:val="22"/>
          <w:lang w:val="en-GB"/>
        </w:rPr>
        <w:t>)</w:t>
      </w:r>
      <w:r w:rsidRPr="00443A09">
        <w:rPr>
          <w:rFonts w:cs="Arial"/>
          <w:bCs/>
          <w:sz w:val="22"/>
          <w:szCs w:val="22"/>
          <w:lang w:val="en-GB"/>
        </w:rPr>
        <w:t xml:space="preserve"> by Month 6 compared with patients receiving </w:t>
      </w:r>
      <w:r w:rsidRPr="00443A09">
        <w:rPr>
          <w:rFonts w:cs="Arial"/>
          <w:bCs/>
          <w:sz w:val="22"/>
          <w:szCs w:val="22"/>
          <w:lang w:val="en-US"/>
        </w:rPr>
        <w:t xml:space="preserve">placebo in combination with </w:t>
      </w:r>
      <w:r>
        <w:rPr>
          <w:rFonts w:cs="Arial"/>
          <w:bCs/>
          <w:sz w:val="22"/>
          <w:szCs w:val="22"/>
          <w:lang w:val="en-GB"/>
        </w:rPr>
        <w:t>allopurinol (see Table 1</w:t>
      </w:r>
      <w:r w:rsidRPr="00443A09">
        <w:rPr>
          <w:rFonts w:cs="Arial"/>
          <w:bCs/>
          <w:sz w:val="22"/>
          <w:szCs w:val="22"/>
          <w:lang w:val="en-GB"/>
        </w:rPr>
        <w:t>).</w:t>
      </w:r>
    </w:p>
    <w:p w:rsidR="00443A09" w:rsidRPr="00331650" w:rsidRDefault="00443A09" w:rsidP="00443A09">
      <w:pPr>
        <w:pStyle w:val="A-TableTitle"/>
        <w:rPr>
          <w:bCs/>
          <w:sz w:val="22"/>
          <w:szCs w:val="22"/>
        </w:rPr>
      </w:pPr>
      <w:r w:rsidRPr="00331650">
        <w:rPr>
          <w:bCs/>
          <w:sz w:val="22"/>
          <w:szCs w:val="22"/>
        </w:rPr>
        <w:t xml:space="preserve">Table 1 </w:t>
      </w:r>
      <w:r w:rsidRPr="00331650">
        <w:rPr>
          <w:bCs/>
          <w:sz w:val="22"/>
          <w:szCs w:val="22"/>
        </w:rPr>
        <w:tab/>
      </w:r>
      <w:r w:rsidRPr="00331650">
        <w:rPr>
          <w:sz w:val="22"/>
          <w:szCs w:val="22"/>
        </w:rPr>
        <w:t>Proportion of patients who achieve tar</w:t>
      </w:r>
      <w:r w:rsidR="00F74512" w:rsidRPr="00331650">
        <w:rPr>
          <w:sz w:val="22"/>
          <w:szCs w:val="22"/>
        </w:rPr>
        <w:t xml:space="preserve">get </w:t>
      </w:r>
      <w:r w:rsidR="0034431F" w:rsidRPr="00331650">
        <w:rPr>
          <w:sz w:val="22"/>
          <w:szCs w:val="22"/>
        </w:rPr>
        <w:t>sUA</w:t>
      </w:r>
      <w:r w:rsidR="00F74512" w:rsidRPr="00331650">
        <w:rPr>
          <w:sz w:val="22"/>
          <w:szCs w:val="22"/>
        </w:rPr>
        <w:t xml:space="preserve"> levels </w:t>
      </w:r>
      <w:r w:rsidR="00A5640D" w:rsidRPr="00331650">
        <w:rPr>
          <w:sz w:val="22"/>
          <w:szCs w:val="22"/>
        </w:rPr>
        <w:br/>
      </w:r>
      <w:r w:rsidR="00F74512" w:rsidRPr="00331650">
        <w:rPr>
          <w:sz w:val="22"/>
          <w:szCs w:val="22"/>
        </w:rPr>
        <w:t>(&lt;</w:t>
      </w:r>
      <w:r w:rsidR="00A90610" w:rsidRPr="00331650">
        <w:rPr>
          <w:sz w:val="22"/>
          <w:szCs w:val="22"/>
        </w:rPr>
        <w:t>357</w:t>
      </w:r>
      <w:r w:rsidR="00453BF7" w:rsidRPr="00331650">
        <w:rPr>
          <w:sz w:val="22"/>
          <w:szCs w:val="22"/>
        </w:rPr>
        <w:t xml:space="preserve"> </w:t>
      </w:r>
      <w:r w:rsidR="00453BF7" w:rsidRPr="00331650">
        <w:rPr>
          <w:rFonts w:cs="Arial"/>
          <w:bCs/>
          <w:sz w:val="22"/>
          <w:szCs w:val="22"/>
        </w:rPr>
        <w:t>µmol/L</w:t>
      </w:r>
      <w:r w:rsidRPr="00331650">
        <w:rPr>
          <w:sz w:val="22"/>
          <w:szCs w:val="22"/>
        </w:rPr>
        <w:t>)</w:t>
      </w:r>
      <w:r w:rsidR="00B42BDF" w:rsidRPr="00331650">
        <w:rPr>
          <w:sz w:val="22"/>
          <w:szCs w:val="22"/>
        </w:rPr>
        <w:t xml:space="preserve"> </w:t>
      </w:r>
      <w:r w:rsidR="00B42BDF" w:rsidRPr="00331650">
        <w:rPr>
          <w:bCs/>
          <w:sz w:val="22"/>
          <w:szCs w:val="22"/>
          <w:lang w:val="en-AU"/>
        </w:rPr>
        <w:t>(</w:t>
      </w:r>
      <w:r w:rsidR="00453BF7" w:rsidRPr="00331650">
        <w:rPr>
          <w:bCs/>
          <w:sz w:val="22"/>
          <w:szCs w:val="22"/>
          <w:lang w:val="en-AU"/>
        </w:rPr>
        <w:t>6 mg/dL</w:t>
      </w:r>
      <w:r w:rsidR="00B42BDF" w:rsidRPr="00331650">
        <w:rPr>
          <w:bCs/>
          <w:sz w:val="22"/>
          <w:szCs w:val="22"/>
          <w:lang w:val="en-AU"/>
        </w:rPr>
        <w:t>)</w:t>
      </w:r>
      <w:r w:rsidRPr="00331650">
        <w:rPr>
          <w:sz w:val="22"/>
          <w:szCs w:val="22"/>
        </w:rPr>
        <w:t xml:space="preserve"> with ZURAMPIC </w:t>
      </w:r>
      <w:r w:rsidR="00A90610" w:rsidRPr="00331650">
        <w:rPr>
          <w:sz w:val="22"/>
          <w:szCs w:val="22"/>
        </w:rPr>
        <w:t>in combination with allopurinol</w:t>
      </w:r>
    </w:p>
    <w:tbl>
      <w:tblPr>
        <w:tblW w:w="9072" w:type="dxa"/>
        <w:tblInd w:w="108"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1559"/>
        <w:gridCol w:w="2410"/>
        <w:gridCol w:w="2126"/>
      </w:tblGrid>
      <w:tr w:rsidR="00443A09" w:rsidRPr="00443A09" w:rsidTr="00C07D16">
        <w:trPr>
          <w:trHeight w:val="880"/>
        </w:trPr>
        <w:tc>
          <w:tcPr>
            <w:tcW w:w="1276" w:type="dxa"/>
            <w:tcBorders>
              <w:top w:val="single" w:sz="4" w:space="0" w:color="000000"/>
              <w:left w:val="single" w:sz="4" w:space="0" w:color="000000"/>
              <w:bottom w:val="single" w:sz="4" w:space="0" w:color="000000"/>
              <w:right w:val="single" w:sz="4" w:space="0" w:color="000000"/>
            </w:tcBorders>
            <w:vAlign w:val="center"/>
          </w:tcPr>
          <w:p w:rsidR="00443A09" w:rsidRPr="00443A09" w:rsidRDefault="00443A09" w:rsidP="00220761">
            <w:pPr>
              <w:spacing w:after="0" w:line="276" w:lineRule="auto"/>
              <w:jc w:val="center"/>
              <w:rPr>
                <w:rFonts w:cs="Arial"/>
                <w:b/>
                <w:bCs/>
                <w:sz w:val="22"/>
                <w:szCs w:val="22"/>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A09" w:rsidRPr="00443A09" w:rsidRDefault="00443A09" w:rsidP="00220761">
            <w:pPr>
              <w:spacing w:after="0" w:line="276" w:lineRule="auto"/>
              <w:jc w:val="center"/>
              <w:rPr>
                <w:rFonts w:cs="Arial"/>
                <w:b/>
                <w:bCs/>
                <w:sz w:val="22"/>
                <w:szCs w:val="22"/>
                <w:lang w:val="en-US"/>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rsidR="00443A09" w:rsidRPr="00443A09" w:rsidRDefault="00443A09" w:rsidP="00220761">
            <w:pPr>
              <w:spacing w:after="0" w:line="276" w:lineRule="auto"/>
              <w:jc w:val="center"/>
              <w:rPr>
                <w:rFonts w:cs="Arial"/>
                <w:b/>
                <w:bCs/>
                <w:sz w:val="22"/>
                <w:szCs w:val="22"/>
                <w:lang w:val="en-US"/>
              </w:rPr>
            </w:pPr>
            <w:r w:rsidRPr="00443A09">
              <w:rPr>
                <w:rFonts w:cs="Arial"/>
                <w:b/>
                <w:bCs/>
                <w:sz w:val="22"/>
                <w:szCs w:val="22"/>
                <w:lang w:val="en-US"/>
              </w:rPr>
              <w:t xml:space="preserve">Proportion of patients who met </w:t>
            </w:r>
            <w:r w:rsidR="0034431F">
              <w:rPr>
                <w:rFonts w:cs="Arial"/>
                <w:b/>
                <w:bCs/>
                <w:sz w:val="22"/>
                <w:szCs w:val="22"/>
                <w:lang w:val="en-US"/>
              </w:rPr>
              <w:t>sUA</w:t>
            </w:r>
            <w:r w:rsidRPr="00443A09">
              <w:rPr>
                <w:rFonts w:cs="Arial"/>
                <w:b/>
                <w:bCs/>
                <w:sz w:val="22"/>
                <w:szCs w:val="22"/>
                <w:lang w:val="en-US"/>
              </w:rPr>
              <w:t xml:space="preserve"> target (&lt;</w:t>
            </w:r>
            <w:r w:rsidR="00A90610">
              <w:rPr>
                <w:rFonts w:cs="Arial"/>
                <w:b/>
                <w:bCs/>
                <w:sz w:val="22"/>
                <w:szCs w:val="22"/>
                <w:lang w:val="en-US"/>
              </w:rPr>
              <w:t>357</w:t>
            </w:r>
            <w:r w:rsidR="00453BF7" w:rsidRPr="00453BF7">
              <w:rPr>
                <w:rFonts w:cs="Arial"/>
                <w:b/>
                <w:bCs/>
                <w:sz w:val="22"/>
                <w:szCs w:val="22"/>
                <w:lang w:val="en-US"/>
              </w:rPr>
              <w:t xml:space="preserve"> </w:t>
            </w:r>
            <w:r w:rsidR="00453BF7" w:rsidRPr="00453BF7">
              <w:rPr>
                <w:rFonts w:cs="Arial"/>
                <w:b/>
                <w:bCs/>
                <w:sz w:val="22"/>
                <w:szCs w:val="22"/>
                <w:lang w:val="en-GB"/>
              </w:rPr>
              <w:t>µmol/L</w:t>
            </w:r>
            <w:r w:rsidRPr="00443A09">
              <w:rPr>
                <w:rFonts w:cs="Arial"/>
                <w:b/>
                <w:bCs/>
                <w:sz w:val="22"/>
                <w:szCs w:val="22"/>
                <w:lang w:val="en-US"/>
              </w:rPr>
              <w:t>)</w:t>
            </w:r>
            <w:r w:rsidR="00B42BDF" w:rsidRPr="00B42BDF">
              <w:rPr>
                <w:rFonts w:cs="Arial"/>
                <w:bCs/>
                <w:sz w:val="22"/>
                <w:szCs w:val="22"/>
                <w:lang w:val="en-GB"/>
              </w:rPr>
              <w:t xml:space="preserve"> </w:t>
            </w:r>
            <w:r w:rsidR="00B42BDF" w:rsidRPr="00B42BDF">
              <w:rPr>
                <w:rFonts w:cs="Arial"/>
                <w:b/>
                <w:bCs/>
                <w:sz w:val="22"/>
                <w:szCs w:val="22"/>
                <w:lang w:val="en-GB"/>
              </w:rPr>
              <w:t>(</w:t>
            </w:r>
            <w:r w:rsidR="00453BF7">
              <w:rPr>
                <w:rFonts w:cs="Arial"/>
                <w:b/>
                <w:bCs/>
                <w:sz w:val="22"/>
                <w:szCs w:val="22"/>
                <w:lang w:val="en-GB"/>
              </w:rPr>
              <w:t>6</w:t>
            </w:r>
            <w:r w:rsidR="00E21169">
              <w:rPr>
                <w:rFonts w:cs="Arial"/>
                <w:b/>
                <w:bCs/>
                <w:sz w:val="22"/>
                <w:szCs w:val="22"/>
                <w:lang w:val="en-GB"/>
              </w:rPr>
              <w:t xml:space="preserve"> </w:t>
            </w:r>
            <w:r w:rsidR="00453BF7">
              <w:rPr>
                <w:rFonts w:cs="Arial"/>
                <w:b/>
                <w:bCs/>
                <w:sz w:val="22"/>
                <w:szCs w:val="22"/>
                <w:lang w:val="en-GB"/>
              </w:rPr>
              <w:t>mg/dL</w:t>
            </w:r>
            <w:r w:rsidR="00B42BDF" w:rsidRPr="00B42BDF">
              <w:rPr>
                <w:rFonts w:cs="Arial"/>
                <w:b/>
                <w:bCs/>
                <w:sz w:val="22"/>
                <w:szCs w:val="22"/>
                <w:lang w:val="en-GB"/>
              </w:rPr>
              <w:t>)</w:t>
            </w:r>
            <w:r w:rsidRPr="00443A09">
              <w:rPr>
                <w:rFonts w:cs="Arial"/>
                <w:bCs/>
                <w:sz w:val="22"/>
                <w:szCs w:val="22"/>
                <w:lang w:val="en-US"/>
              </w:rPr>
              <w:t xml:space="preserve"> </w:t>
            </w:r>
            <w:r w:rsidR="003B6CB7">
              <w:rPr>
                <w:rFonts w:cs="Arial"/>
                <w:bCs/>
                <w:sz w:val="22"/>
                <w:szCs w:val="22"/>
                <w:lang w:val="en-US"/>
              </w:rPr>
              <w:br/>
            </w:r>
            <w:r w:rsidRPr="00443A09">
              <w:rPr>
                <w:rFonts w:cs="Arial"/>
                <w:b/>
                <w:bCs/>
                <w:sz w:val="22"/>
                <w:szCs w:val="22"/>
                <w:lang w:val="en-US"/>
              </w:rPr>
              <w:t>N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43A09" w:rsidRPr="00443A09" w:rsidRDefault="00443A09" w:rsidP="00220761">
            <w:pPr>
              <w:spacing w:after="0" w:line="276" w:lineRule="auto"/>
              <w:jc w:val="center"/>
              <w:rPr>
                <w:rFonts w:cs="Arial"/>
                <w:b/>
                <w:bCs/>
                <w:sz w:val="22"/>
                <w:szCs w:val="22"/>
                <w:lang w:val="en-US"/>
              </w:rPr>
            </w:pPr>
            <w:r w:rsidRPr="00443A09">
              <w:rPr>
                <w:rFonts w:cs="Arial"/>
                <w:b/>
                <w:bCs/>
                <w:sz w:val="22"/>
                <w:szCs w:val="22"/>
                <w:lang w:val="en-US"/>
              </w:rPr>
              <w:t xml:space="preserve">Difference in </w:t>
            </w:r>
            <w:r w:rsidR="00252ED2" w:rsidRPr="00443A09">
              <w:rPr>
                <w:rFonts w:cs="Arial"/>
                <w:b/>
                <w:bCs/>
                <w:sz w:val="22"/>
                <w:szCs w:val="22"/>
                <w:lang w:val="en-US"/>
              </w:rPr>
              <w:t xml:space="preserve">proportion </w:t>
            </w:r>
            <w:r w:rsidRPr="00443A09">
              <w:rPr>
                <w:rFonts w:cs="Arial"/>
                <w:bCs/>
                <w:sz w:val="22"/>
                <w:szCs w:val="22"/>
                <w:lang w:val="en-US"/>
              </w:rPr>
              <w:br/>
            </w:r>
            <w:r w:rsidRPr="00443A09">
              <w:rPr>
                <w:rFonts w:cs="Arial"/>
                <w:b/>
                <w:bCs/>
                <w:sz w:val="22"/>
                <w:szCs w:val="22"/>
                <w:lang w:val="en-US"/>
              </w:rPr>
              <w:t>(95% C.I.)</w:t>
            </w:r>
          </w:p>
        </w:tc>
      </w:tr>
      <w:tr w:rsidR="00443A09" w:rsidRPr="00443A09" w:rsidTr="00C07D16">
        <w:trPr>
          <w:trHeight w:val="494"/>
        </w:trPr>
        <w:tc>
          <w:tcPr>
            <w:tcW w:w="1276" w:type="dxa"/>
            <w:tcBorders>
              <w:top w:val="single" w:sz="4" w:space="0" w:color="000000"/>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
                <w:bCs/>
                <w:sz w:val="22"/>
                <w:szCs w:val="22"/>
                <w:lang w:val="en-US"/>
              </w:rPr>
            </w:pPr>
            <w:r w:rsidRPr="00443A09">
              <w:rPr>
                <w:rFonts w:cs="Arial"/>
                <w:b/>
                <w:bCs/>
                <w:sz w:val="22"/>
                <w:szCs w:val="22"/>
                <w:lang w:val="en-US"/>
              </w:rPr>
              <w:t>Study</w:t>
            </w:r>
          </w:p>
        </w:tc>
        <w:tc>
          <w:tcPr>
            <w:tcW w:w="1701" w:type="dxa"/>
            <w:tcBorders>
              <w:top w:val="single" w:sz="4" w:space="0" w:color="000000"/>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
                <w:bCs/>
                <w:sz w:val="22"/>
                <w:szCs w:val="22"/>
                <w:lang w:val="en-US"/>
              </w:rPr>
            </w:pPr>
            <w:r w:rsidRPr="00443A09">
              <w:rPr>
                <w:rFonts w:cs="Arial"/>
                <w:b/>
                <w:bCs/>
                <w:sz w:val="22"/>
                <w:szCs w:val="22"/>
                <w:lang w:val="en-US"/>
              </w:rPr>
              <w:t>Timepoint</w:t>
            </w: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
                <w:bCs/>
                <w:sz w:val="22"/>
                <w:szCs w:val="22"/>
                <w:lang w:val="en-US"/>
              </w:rPr>
            </w:pPr>
            <w:r w:rsidRPr="00443A09">
              <w:rPr>
                <w:rFonts w:cs="Arial"/>
                <w:b/>
                <w:bCs/>
                <w:sz w:val="22"/>
                <w:szCs w:val="22"/>
                <w:lang w:val="en-US"/>
              </w:rPr>
              <w:t>Placebo + allopurinol</w:t>
            </w:r>
          </w:p>
        </w:tc>
        <w:tc>
          <w:tcPr>
            <w:tcW w:w="2410" w:type="dxa"/>
            <w:tcBorders>
              <w:top w:val="single" w:sz="4" w:space="0" w:color="000000"/>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
                <w:bCs/>
                <w:sz w:val="22"/>
                <w:szCs w:val="22"/>
                <w:lang w:val="en-US"/>
              </w:rPr>
            </w:pPr>
            <w:r>
              <w:rPr>
                <w:rFonts w:cs="Arial"/>
                <w:b/>
                <w:bCs/>
                <w:sz w:val="22"/>
                <w:szCs w:val="22"/>
                <w:lang w:val="en-US"/>
              </w:rPr>
              <w:t>ZURAMPIC</w:t>
            </w:r>
            <w:r w:rsidRPr="00443A09">
              <w:rPr>
                <w:rFonts w:cs="Arial"/>
                <w:b/>
                <w:bCs/>
                <w:sz w:val="22"/>
                <w:szCs w:val="22"/>
                <w:lang w:val="en-US"/>
              </w:rPr>
              <w:t xml:space="preserve"> 200 mg + allopurinol</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
                <w:bCs/>
                <w:sz w:val="22"/>
                <w:szCs w:val="22"/>
                <w:lang w:val="en-US"/>
              </w:rPr>
            </w:pPr>
            <w:r>
              <w:rPr>
                <w:rFonts w:cs="Arial"/>
                <w:b/>
                <w:bCs/>
                <w:sz w:val="22"/>
                <w:szCs w:val="22"/>
                <w:lang w:val="en-US"/>
              </w:rPr>
              <w:t>ZURAMPIC</w:t>
            </w:r>
            <w:r w:rsidRPr="00443A09">
              <w:rPr>
                <w:rFonts w:cs="Arial"/>
                <w:b/>
                <w:bCs/>
                <w:sz w:val="22"/>
                <w:szCs w:val="22"/>
                <w:lang w:val="en-US"/>
              </w:rPr>
              <w:t xml:space="preserve"> 200 mg vs placebo</w:t>
            </w:r>
          </w:p>
        </w:tc>
      </w:tr>
      <w:tr w:rsidR="00B3050B" w:rsidRPr="00443A09" w:rsidTr="00C07D16">
        <w:trPr>
          <w:trHeight w:val="873"/>
        </w:trPr>
        <w:tc>
          <w:tcPr>
            <w:tcW w:w="1276" w:type="dxa"/>
            <w:tcBorders>
              <w:top w:val="single" w:sz="4" w:space="0" w:color="auto"/>
              <w:left w:val="single" w:sz="4" w:space="0" w:color="000000"/>
              <w:bottom w:val="single" w:sz="4" w:space="0" w:color="000000"/>
              <w:right w:val="single" w:sz="4" w:space="0" w:color="000000"/>
            </w:tcBorders>
            <w:vAlign w:val="center"/>
          </w:tcPr>
          <w:p w:rsidR="00B3050B" w:rsidRPr="00443A09" w:rsidRDefault="00B3050B" w:rsidP="00220761">
            <w:pPr>
              <w:spacing w:after="0" w:line="276" w:lineRule="auto"/>
              <w:jc w:val="center"/>
              <w:rPr>
                <w:rFonts w:cs="Arial"/>
                <w:bCs/>
                <w:sz w:val="22"/>
                <w:szCs w:val="22"/>
                <w:lang w:val="en-US"/>
              </w:rPr>
            </w:pPr>
            <w:r w:rsidRPr="00443A09">
              <w:rPr>
                <w:rFonts w:cs="Arial"/>
                <w:bCs/>
                <w:sz w:val="22"/>
                <w:szCs w:val="22"/>
                <w:lang w:val="en-US"/>
              </w:rPr>
              <w:t>CLEAR1</w:t>
            </w:r>
          </w:p>
          <w:p w:rsidR="00B3050B" w:rsidRPr="00443A09" w:rsidRDefault="00B3050B" w:rsidP="00220761">
            <w:pPr>
              <w:spacing w:after="0" w:line="276" w:lineRule="auto"/>
              <w:jc w:val="center"/>
              <w:rPr>
                <w:rFonts w:cs="Arial"/>
                <w:bCs/>
                <w:sz w:val="22"/>
                <w:szCs w:val="22"/>
                <w:lang w:val="en-US"/>
              </w:rPr>
            </w:pPr>
            <w:r w:rsidRPr="00443A09">
              <w:rPr>
                <w:rFonts w:cs="Arial"/>
                <w:bCs/>
                <w:sz w:val="22"/>
                <w:szCs w:val="22"/>
                <w:lang w:val="en-US"/>
              </w:rPr>
              <w:t>(N = 603)</w:t>
            </w:r>
          </w:p>
          <w:p w:rsidR="00B3050B" w:rsidRPr="00443A09" w:rsidRDefault="00B3050B" w:rsidP="00220761">
            <w:pPr>
              <w:spacing w:after="0" w:line="276" w:lineRule="auto"/>
              <w:jc w:val="center"/>
              <w:rPr>
                <w:rFonts w:cs="Arial"/>
                <w:bCs/>
                <w:sz w:val="22"/>
                <w:szCs w:val="22"/>
                <w:lang w:val="en-US"/>
              </w:rPr>
            </w:pPr>
          </w:p>
        </w:tc>
        <w:tc>
          <w:tcPr>
            <w:tcW w:w="1701" w:type="dxa"/>
            <w:tcBorders>
              <w:top w:val="single" w:sz="4" w:space="0" w:color="auto"/>
              <w:left w:val="single" w:sz="4" w:space="0" w:color="000000"/>
              <w:right w:val="single" w:sz="4" w:space="0" w:color="000000"/>
            </w:tcBorders>
            <w:vAlign w:val="center"/>
            <w:hideMark/>
          </w:tcPr>
          <w:p w:rsidR="00B3050B" w:rsidRPr="00443A09" w:rsidRDefault="00B3050B" w:rsidP="00220761">
            <w:pPr>
              <w:spacing w:after="0" w:line="276" w:lineRule="auto"/>
              <w:jc w:val="center"/>
              <w:rPr>
                <w:rFonts w:cs="Arial"/>
                <w:bCs/>
                <w:sz w:val="22"/>
                <w:szCs w:val="22"/>
                <w:lang w:val="en-US"/>
              </w:rPr>
            </w:pPr>
            <w:r w:rsidRPr="00443A09">
              <w:rPr>
                <w:rFonts w:cs="Arial"/>
                <w:bCs/>
                <w:sz w:val="22"/>
                <w:szCs w:val="22"/>
                <w:lang w:val="en-US"/>
              </w:rPr>
              <w:t>Month 6</w:t>
            </w:r>
          </w:p>
        </w:tc>
        <w:tc>
          <w:tcPr>
            <w:tcW w:w="1559" w:type="dxa"/>
            <w:tcBorders>
              <w:top w:val="single" w:sz="4" w:space="0" w:color="auto"/>
              <w:left w:val="single" w:sz="4" w:space="0" w:color="000000"/>
              <w:right w:val="single" w:sz="4" w:space="0" w:color="000000"/>
            </w:tcBorders>
            <w:vAlign w:val="center"/>
            <w:hideMark/>
          </w:tcPr>
          <w:p w:rsidR="00B3050B" w:rsidRPr="00443A09" w:rsidRDefault="00B3050B" w:rsidP="00220761">
            <w:pPr>
              <w:spacing w:after="0" w:line="276" w:lineRule="auto"/>
              <w:jc w:val="center"/>
              <w:rPr>
                <w:rFonts w:cs="Arial"/>
                <w:bCs/>
                <w:sz w:val="22"/>
                <w:szCs w:val="22"/>
                <w:lang w:val="en-US"/>
              </w:rPr>
            </w:pPr>
            <w:r w:rsidRPr="00443A09">
              <w:rPr>
                <w:rFonts w:cs="Arial"/>
                <w:sz w:val="22"/>
                <w:szCs w:val="22"/>
                <w:lang w:val="en-US"/>
              </w:rPr>
              <w:t>56 (28%)</w:t>
            </w:r>
          </w:p>
        </w:tc>
        <w:tc>
          <w:tcPr>
            <w:tcW w:w="2410" w:type="dxa"/>
            <w:tcBorders>
              <w:top w:val="single" w:sz="4" w:space="0" w:color="auto"/>
              <w:left w:val="single" w:sz="4" w:space="0" w:color="000000"/>
              <w:right w:val="single" w:sz="4" w:space="0" w:color="000000"/>
            </w:tcBorders>
            <w:vAlign w:val="center"/>
            <w:hideMark/>
          </w:tcPr>
          <w:p w:rsidR="00B3050B" w:rsidRPr="00443A09" w:rsidRDefault="00B3050B" w:rsidP="00220761">
            <w:pPr>
              <w:spacing w:after="0" w:line="276" w:lineRule="auto"/>
              <w:jc w:val="center"/>
              <w:rPr>
                <w:rFonts w:cs="Arial"/>
                <w:bCs/>
                <w:sz w:val="22"/>
                <w:szCs w:val="22"/>
                <w:lang w:val="en-US"/>
              </w:rPr>
            </w:pPr>
            <w:r w:rsidRPr="00443A09">
              <w:rPr>
                <w:rFonts w:cs="Arial"/>
                <w:sz w:val="22"/>
                <w:szCs w:val="22"/>
                <w:lang w:val="en-US"/>
              </w:rPr>
              <w:t>109 (54%)</w:t>
            </w:r>
          </w:p>
        </w:tc>
        <w:tc>
          <w:tcPr>
            <w:tcW w:w="2126" w:type="dxa"/>
            <w:tcBorders>
              <w:top w:val="single" w:sz="4" w:space="0" w:color="auto"/>
              <w:left w:val="single" w:sz="4" w:space="0" w:color="000000"/>
              <w:right w:val="single" w:sz="4" w:space="0" w:color="000000"/>
            </w:tcBorders>
            <w:vAlign w:val="center"/>
            <w:hideMark/>
          </w:tcPr>
          <w:p w:rsidR="00B3050B" w:rsidRPr="00443A09" w:rsidRDefault="00B3050B" w:rsidP="00220761">
            <w:pPr>
              <w:spacing w:after="0" w:line="276" w:lineRule="auto"/>
              <w:jc w:val="center"/>
              <w:rPr>
                <w:rFonts w:cs="Arial"/>
                <w:bCs/>
                <w:sz w:val="22"/>
                <w:szCs w:val="22"/>
                <w:lang w:val="en-US"/>
              </w:rPr>
            </w:pPr>
            <w:r w:rsidRPr="00443A09">
              <w:rPr>
                <w:rFonts w:cs="Arial"/>
                <w:bCs/>
                <w:sz w:val="22"/>
                <w:szCs w:val="22"/>
                <w:lang w:val="en-US"/>
              </w:rPr>
              <w:t>0.26</w:t>
            </w:r>
          </w:p>
          <w:p w:rsidR="00B3050B" w:rsidRPr="00443A09" w:rsidRDefault="00B3050B" w:rsidP="00220761">
            <w:pPr>
              <w:spacing w:after="0" w:line="276" w:lineRule="auto"/>
              <w:jc w:val="center"/>
              <w:rPr>
                <w:rFonts w:cs="Arial"/>
                <w:bCs/>
                <w:sz w:val="22"/>
                <w:szCs w:val="22"/>
                <w:lang w:val="en-US"/>
              </w:rPr>
            </w:pPr>
            <w:r>
              <w:rPr>
                <w:rFonts w:cs="Arial"/>
                <w:bCs/>
                <w:sz w:val="22"/>
                <w:szCs w:val="22"/>
                <w:lang w:val="en-US"/>
              </w:rPr>
              <w:t>(</w:t>
            </w:r>
            <w:r w:rsidRPr="00443A09">
              <w:rPr>
                <w:rFonts w:cs="Arial"/>
                <w:bCs/>
                <w:sz w:val="22"/>
                <w:szCs w:val="22"/>
                <w:lang w:val="en-US"/>
              </w:rPr>
              <w:t>0.17, 0.36)</w:t>
            </w:r>
          </w:p>
        </w:tc>
      </w:tr>
      <w:tr w:rsidR="00B3050B" w:rsidRPr="00443A09" w:rsidTr="00C07D16">
        <w:trPr>
          <w:trHeight w:val="873"/>
        </w:trPr>
        <w:tc>
          <w:tcPr>
            <w:tcW w:w="1276" w:type="dxa"/>
            <w:tcBorders>
              <w:top w:val="single" w:sz="4" w:space="0" w:color="000000"/>
              <w:left w:val="single" w:sz="4" w:space="0" w:color="000000"/>
              <w:bottom w:val="single" w:sz="4" w:space="0" w:color="000000"/>
              <w:right w:val="single" w:sz="4" w:space="0" w:color="000000"/>
            </w:tcBorders>
            <w:vAlign w:val="center"/>
          </w:tcPr>
          <w:p w:rsidR="00B3050B" w:rsidRPr="00443A09" w:rsidRDefault="00B3050B" w:rsidP="00220761">
            <w:pPr>
              <w:spacing w:after="0" w:line="276" w:lineRule="auto"/>
              <w:jc w:val="center"/>
              <w:rPr>
                <w:rFonts w:cs="Arial"/>
                <w:bCs/>
                <w:sz w:val="22"/>
                <w:szCs w:val="22"/>
                <w:lang w:val="en-US"/>
              </w:rPr>
            </w:pPr>
            <w:r w:rsidRPr="00443A09">
              <w:rPr>
                <w:rFonts w:cs="Arial"/>
                <w:bCs/>
                <w:sz w:val="22"/>
                <w:szCs w:val="22"/>
                <w:lang w:val="en-US"/>
              </w:rPr>
              <w:t>CLEAR2</w:t>
            </w:r>
          </w:p>
          <w:p w:rsidR="00B3050B" w:rsidRPr="00443A09" w:rsidRDefault="00B3050B" w:rsidP="00220761">
            <w:pPr>
              <w:spacing w:after="0" w:line="276" w:lineRule="auto"/>
              <w:jc w:val="center"/>
              <w:rPr>
                <w:rFonts w:cs="Arial"/>
                <w:bCs/>
                <w:sz w:val="22"/>
                <w:szCs w:val="22"/>
                <w:lang w:val="en-US"/>
              </w:rPr>
            </w:pPr>
            <w:r w:rsidRPr="00443A09">
              <w:rPr>
                <w:rFonts w:cs="Arial"/>
                <w:bCs/>
                <w:sz w:val="22"/>
                <w:szCs w:val="22"/>
                <w:lang w:val="en-US"/>
              </w:rPr>
              <w:t>(N = 610)</w:t>
            </w:r>
          </w:p>
          <w:p w:rsidR="00B3050B" w:rsidRPr="00443A09" w:rsidRDefault="00B3050B" w:rsidP="00220761">
            <w:pPr>
              <w:spacing w:after="0" w:line="276" w:lineRule="auto"/>
              <w:jc w:val="center"/>
              <w:rPr>
                <w:rFonts w:cs="Arial"/>
                <w:bCs/>
                <w:sz w:val="22"/>
                <w:szCs w:val="22"/>
                <w:lang w:val="en-US"/>
              </w:rPr>
            </w:pPr>
          </w:p>
        </w:tc>
        <w:tc>
          <w:tcPr>
            <w:tcW w:w="1701" w:type="dxa"/>
            <w:tcBorders>
              <w:top w:val="single" w:sz="4" w:space="0" w:color="000000"/>
              <w:left w:val="single" w:sz="4" w:space="0" w:color="000000"/>
              <w:right w:val="single" w:sz="4" w:space="0" w:color="000000"/>
            </w:tcBorders>
            <w:vAlign w:val="center"/>
            <w:hideMark/>
          </w:tcPr>
          <w:p w:rsidR="00B3050B" w:rsidRPr="00443A09" w:rsidRDefault="00B3050B" w:rsidP="00220761">
            <w:pPr>
              <w:spacing w:after="0" w:line="276" w:lineRule="auto"/>
              <w:jc w:val="center"/>
              <w:rPr>
                <w:rFonts w:cs="Arial"/>
                <w:bCs/>
                <w:sz w:val="22"/>
                <w:szCs w:val="22"/>
                <w:lang w:val="en-US"/>
              </w:rPr>
            </w:pPr>
            <w:r w:rsidRPr="00443A09">
              <w:rPr>
                <w:rFonts w:cs="Arial"/>
                <w:bCs/>
                <w:sz w:val="22"/>
                <w:szCs w:val="22"/>
                <w:lang w:val="en-US"/>
              </w:rPr>
              <w:t>Month 6</w:t>
            </w:r>
          </w:p>
        </w:tc>
        <w:tc>
          <w:tcPr>
            <w:tcW w:w="1559" w:type="dxa"/>
            <w:tcBorders>
              <w:top w:val="single" w:sz="4" w:space="0" w:color="000000"/>
              <w:left w:val="single" w:sz="4" w:space="0" w:color="000000"/>
              <w:right w:val="single" w:sz="4" w:space="0" w:color="000000"/>
            </w:tcBorders>
            <w:vAlign w:val="center"/>
            <w:hideMark/>
          </w:tcPr>
          <w:p w:rsidR="00B3050B" w:rsidRPr="00443A09" w:rsidRDefault="00B3050B" w:rsidP="00220761">
            <w:pPr>
              <w:spacing w:after="0" w:line="276" w:lineRule="auto"/>
              <w:jc w:val="center"/>
              <w:rPr>
                <w:rFonts w:cs="Arial"/>
                <w:bCs/>
                <w:sz w:val="22"/>
                <w:szCs w:val="22"/>
                <w:lang w:val="en-US"/>
              </w:rPr>
            </w:pPr>
            <w:r w:rsidRPr="00443A09">
              <w:rPr>
                <w:rFonts w:cs="Arial"/>
                <w:bCs/>
                <w:sz w:val="22"/>
                <w:szCs w:val="22"/>
                <w:lang w:val="en-US"/>
              </w:rPr>
              <w:t>48 (23%)</w:t>
            </w:r>
          </w:p>
        </w:tc>
        <w:tc>
          <w:tcPr>
            <w:tcW w:w="2410" w:type="dxa"/>
            <w:tcBorders>
              <w:top w:val="single" w:sz="4" w:space="0" w:color="000000"/>
              <w:left w:val="single" w:sz="4" w:space="0" w:color="000000"/>
              <w:right w:val="single" w:sz="4" w:space="0" w:color="000000"/>
            </w:tcBorders>
            <w:vAlign w:val="center"/>
            <w:hideMark/>
          </w:tcPr>
          <w:p w:rsidR="00B3050B" w:rsidRPr="00443A09" w:rsidRDefault="00B3050B" w:rsidP="00220761">
            <w:pPr>
              <w:spacing w:after="0" w:line="276" w:lineRule="auto"/>
              <w:jc w:val="center"/>
              <w:rPr>
                <w:rFonts w:cs="Arial"/>
                <w:bCs/>
                <w:sz w:val="22"/>
                <w:szCs w:val="22"/>
                <w:lang w:val="en-US"/>
              </w:rPr>
            </w:pPr>
            <w:r w:rsidRPr="00443A09">
              <w:rPr>
                <w:rFonts w:cs="Arial"/>
                <w:bCs/>
                <w:sz w:val="22"/>
                <w:szCs w:val="22"/>
                <w:lang w:val="en-US"/>
              </w:rPr>
              <w:t>113 (55%)</w:t>
            </w:r>
          </w:p>
        </w:tc>
        <w:tc>
          <w:tcPr>
            <w:tcW w:w="2126" w:type="dxa"/>
            <w:tcBorders>
              <w:top w:val="single" w:sz="4" w:space="0" w:color="000000"/>
              <w:left w:val="single" w:sz="4" w:space="0" w:color="000000"/>
              <w:right w:val="single" w:sz="4" w:space="0" w:color="000000"/>
            </w:tcBorders>
            <w:vAlign w:val="center"/>
            <w:hideMark/>
          </w:tcPr>
          <w:p w:rsidR="00B3050B" w:rsidRPr="00443A09" w:rsidRDefault="00B3050B" w:rsidP="00220761">
            <w:pPr>
              <w:spacing w:after="0" w:line="276" w:lineRule="auto"/>
              <w:jc w:val="center"/>
              <w:rPr>
                <w:rFonts w:cs="Arial"/>
                <w:bCs/>
                <w:sz w:val="22"/>
                <w:szCs w:val="22"/>
                <w:lang w:val="en-US"/>
              </w:rPr>
            </w:pPr>
            <w:r>
              <w:rPr>
                <w:rFonts w:cs="Arial"/>
                <w:bCs/>
                <w:sz w:val="22"/>
                <w:szCs w:val="22"/>
                <w:lang w:val="en-US"/>
              </w:rPr>
              <w:t>0.32</w:t>
            </w:r>
            <w:r>
              <w:rPr>
                <w:rFonts w:cs="Arial"/>
                <w:bCs/>
                <w:sz w:val="22"/>
                <w:szCs w:val="22"/>
                <w:lang w:val="en-US"/>
              </w:rPr>
              <w:br/>
              <w:t>(</w:t>
            </w:r>
            <w:r w:rsidRPr="00443A09">
              <w:rPr>
                <w:rFonts w:cs="Arial"/>
                <w:bCs/>
                <w:sz w:val="22"/>
                <w:szCs w:val="22"/>
                <w:lang w:val="en-US"/>
              </w:rPr>
              <w:t>0.23,  0.41)</w:t>
            </w:r>
          </w:p>
        </w:tc>
      </w:tr>
    </w:tbl>
    <w:p w:rsidR="00B3050B" w:rsidRDefault="00B3050B" w:rsidP="00CE48C7">
      <w:pPr>
        <w:spacing w:after="0"/>
        <w:rPr>
          <w:rFonts w:cs="Arial"/>
          <w:bCs/>
          <w:sz w:val="22"/>
          <w:szCs w:val="22"/>
        </w:rPr>
      </w:pPr>
    </w:p>
    <w:p w:rsidR="00443A09" w:rsidRDefault="00FE080C" w:rsidP="00C72554">
      <w:pPr>
        <w:rPr>
          <w:rFonts w:cs="Arial"/>
          <w:bCs/>
          <w:sz w:val="22"/>
          <w:szCs w:val="22"/>
        </w:rPr>
      </w:pPr>
      <w:r w:rsidRPr="00FE080C">
        <w:rPr>
          <w:rFonts w:cs="Arial"/>
          <w:bCs/>
          <w:sz w:val="22"/>
          <w:szCs w:val="22"/>
        </w:rPr>
        <w:t>Subgroup analyses of the combined study populations by age</w:t>
      </w:r>
      <w:r w:rsidR="001E515A">
        <w:rPr>
          <w:rFonts w:cs="Arial"/>
          <w:bCs/>
          <w:sz w:val="22"/>
          <w:szCs w:val="22"/>
        </w:rPr>
        <w:t>, weight, sex, ethnicity</w:t>
      </w:r>
      <w:r w:rsidRPr="00FE080C">
        <w:rPr>
          <w:rFonts w:cs="Arial"/>
          <w:bCs/>
          <w:sz w:val="22"/>
          <w:szCs w:val="22"/>
        </w:rPr>
        <w:t>, degree of renal impairment (within mild or moderate impairment), use of aspirin or thiazides and presence of tophi show consistency of efficacy across these subgroups.</w:t>
      </w:r>
    </w:p>
    <w:p w:rsidR="005410B2" w:rsidRPr="005410B2" w:rsidRDefault="005410B2" w:rsidP="00C72554">
      <w:pPr>
        <w:rPr>
          <w:rFonts w:cs="Arial"/>
          <w:bCs/>
          <w:sz w:val="22"/>
          <w:szCs w:val="22"/>
        </w:rPr>
      </w:pPr>
      <w:r w:rsidRPr="005410B2">
        <w:rPr>
          <w:rFonts w:cs="Arial"/>
          <w:bCs/>
          <w:sz w:val="22"/>
          <w:szCs w:val="22"/>
        </w:rPr>
        <w:t>Serum uric acid reduction from baseline was observed at Month 1 and was stable for the duration of the 12</w:t>
      </w:r>
      <w:r w:rsidRPr="005410B2">
        <w:rPr>
          <w:rFonts w:cs="Arial"/>
          <w:bCs/>
          <w:sz w:val="22"/>
          <w:szCs w:val="22"/>
        </w:rPr>
        <w:noBreakHyphen/>
        <w:t xml:space="preserve">month treatment period with </w:t>
      </w:r>
      <w:r w:rsidRPr="005410B2">
        <w:rPr>
          <w:rFonts w:cs="Arial"/>
          <w:bCs/>
          <w:sz w:val="22"/>
          <w:szCs w:val="22"/>
          <w:lang w:val="en-GB"/>
        </w:rPr>
        <w:t>ZURAMPIC</w:t>
      </w:r>
      <w:r w:rsidRPr="005410B2">
        <w:rPr>
          <w:rFonts w:cs="Arial"/>
          <w:bCs/>
          <w:sz w:val="22"/>
          <w:szCs w:val="22"/>
        </w:rPr>
        <w:t xml:space="preserve"> in combination with allopurinol (see Figure 1).</w:t>
      </w:r>
    </w:p>
    <w:p w:rsidR="00443A09" w:rsidRPr="00331650" w:rsidRDefault="00443A09" w:rsidP="00443A09">
      <w:pPr>
        <w:pStyle w:val="A-TableTitle"/>
        <w:rPr>
          <w:sz w:val="22"/>
          <w:szCs w:val="22"/>
          <w:u w:val="single"/>
        </w:rPr>
      </w:pPr>
      <w:r w:rsidRPr="00331650">
        <w:rPr>
          <w:sz w:val="22"/>
          <w:szCs w:val="22"/>
        </w:rPr>
        <w:lastRenderedPageBreak/>
        <w:t>Figure 1</w:t>
      </w:r>
      <w:r w:rsidRPr="00331650">
        <w:rPr>
          <w:sz w:val="22"/>
          <w:szCs w:val="22"/>
        </w:rPr>
        <w:tab/>
        <w:t xml:space="preserve">Mean </w:t>
      </w:r>
      <w:r w:rsidR="001373CF" w:rsidRPr="00331650">
        <w:rPr>
          <w:sz w:val="22"/>
          <w:szCs w:val="22"/>
        </w:rPr>
        <w:t>sUA</w:t>
      </w:r>
      <w:r w:rsidRPr="00331650">
        <w:rPr>
          <w:sz w:val="22"/>
          <w:szCs w:val="22"/>
        </w:rPr>
        <w:t xml:space="preserve"> levels in pooled clinical studies with ZURAMPIC in combination with allopurinol</w:t>
      </w:r>
      <w:r w:rsidRPr="000457DC">
        <w:rPr>
          <w:sz w:val="22"/>
          <w:szCs w:val="22"/>
        </w:rPr>
        <w:t xml:space="preserve"> </w:t>
      </w:r>
      <w:r w:rsidR="000457DC" w:rsidRPr="000457DC">
        <w:rPr>
          <w:sz w:val="22"/>
          <w:szCs w:val="22"/>
        </w:rPr>
        <w:t>in patients with inadequate sUA response to allopurinol alone</w:t>
      </w:r>
    </w:p>
    <w:p w:rsidR="00443A09" w:rsidRPr="00443A09" w:rsidRDefault="00562C3A" w:rsidP="00443A09">
      <w:pPr>
        <w:jc w:val="center"/>
        <w:rPr>
          <w:rFonts w:cs="Arial"/>
          <w:bCs/>
          <w:sz w:val="22"/>
          <w:szCs w:val="22"/>
          <w:lang w:val="en-GB"/>
        </w:rPr>
      </w:pPr>
      <w:r>
        <w:rPr>
          <w:rFonts w:cs="Arial"/>
          <w:noProof/>
          <w:sz w:val="22"/>
          <w:szCs w:val="22"/>
          <w:lang w:eastAsia="en-AU"/>
        </w:rPr>
        <w:drawing>
          <wp:inline distT="0" distB="0" distL="0" distR="0">
            <wp:extent cx="4893945" cy="3907155"/>
            <wp:effectExtent l="0" t="0" r="1905" b="0"/>
            <wp:docPr id="2" name="Picture 5" descr="C:\Users\moneill\Desktop\SmPC figures\G_USPI_sUA_by_Month_CLEAR1_CLEAR2_Pooled_PBO_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neill\Desktop\SmPC figures\G_USPI_sUA_by_Month_CLEAR1_CLEAR2_Pooled_PBO_2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3945" cy="3907155"/>
                    </a:xfrm>
                    <a:prstGeom prst="rect">
                      <a:avLst/>
                    </a:prstGeom>
                    <a:noFill/>
                    <a:ln>
                      <a:noFill/>
                    </a:ln>
                  </pic:spPr>
                </pic:pic>
              </a:graphicData>
            </a:graphic>
          </wp:inline>
        </w:drawing>
      </w:r>
    </w:p>
    <w:p w:rsidR="00443A09" w:rsidRPr="00443A09" w:rsidRDefault="00443A09" w:rsidP="00443A09">
      <w:pPr>
        <w:rPr>
          <w:rFonts w:cs="Arial"/>
          <w:sz w:val="22"/>
          <w:szCs w:val="22"/>
          <w:lang w:val="en-US"/>
        </w:rPr>
      </w:pPr>
      <w:r w:rsidRPr="00443A09">
        <w:rPr>
          <w:rFonts w:cs="Arial"/>
          <w:sz w:val="22"/>
          <w:szCs w:val="22"/>
          <w:lang w:val="en-US"/>
        </w:rPr>
        <w:t xml:space="preserve">In each of the studies, a greater proportion of patients treated with </w:t>
      </w:r>
      <w:r w:rsidR="000A7B40">
        <w:rPr>
          <w:rFonts w:cs="Arial"/>
          <w:sz w:val="22"/>
          <w:szCs w:val="22"/>
          <w:lang w:val="en-US"/>
        </w:rPr>
        <w:t>ZURAMPIC</w:t>
      </w:r>
      <w:r w:rsidRPr="00443A09">
        <w:rPr>
          <w:rFonts w:cs="Arial"/>
          <w:sz w:val="22"/>
          <w:szCs w:val="22"/>
          <w:lang w:val="en-US"/>
        </w:rPr>
        <w:t xml:space="preserve"> 200 mg in combination with allopurinol compared with placebo in combination with allopurinol achieved a </w:t>
      </w:r>
      <w:r w:rsidR="001373CF">
        <w:rPr>
          <w:rFonts w:cs="Arial"/>
          <w:sz w:val="22"/>
          <w:szCs w:val="22"/>
          <w:lang w:val="en-US"/>
        </w:rPr>
        <w:t>sUA level</w:t>
      </w:r>
      <w:r w:rsidRPr="00443A09">
        <w:rPr>
          <w:rFonts w:cs="Arial"/>
          <w:sz w:val="22"/>
          <w:szCs w:val="22"/>
          <w:lang w:val="en-US"/>
        </w:rPr>
        <w:t xml:space="preserve"> less than </w:t>
      </w:r>
      <w:r w:rsidR="00932BB8">
        <w:rPr>
          <w:rFonts w:cs="Arial"/>
          <w:sz w:val="22"/>
          <w:szCs w:val="22"/>
          <w:lang w:val="en-US"/>
        </w:rPr>
        <w:t>297</w:t>
      </w:r>
      <w:r w:rsidR="00A7363E">
        <w:rPr>
          <w:rFonts w:cs="Arial"/>
          <w:sz w:val="22"/>
          <w:szCs w:val="22"/>
          <w:lang w:val="en-US"/>
        </w:rPr>
        <w:t xml:space="preserve"> </w:t>
      </w:r>
      <w:r w:rsidR="00A7363E">
        <w:rPr>
          <w:rFonts w:cs="Arial"/>
          <w:bCs/>
          <w:sz w:val="22"/>
          <w:szCs w:val="22"/>
          <w:lang w:val="en-GB"/>
        </w:rPr>
        <w:t>µmol/L</w:t>
      </w:r>
      <w:r w:rsidR="00B42BDF">
        <w:rPr>
          <w:rFonts w:cs="Arial"/>
          <w:sz w:val="22"/>
          <w:szCs w:val="22"/>
          <w:lang w:val="en-US"/>
        </w:rPr>
        <w:t xml:space="preserve"> </w:t>
      </w:r>
      <w:r w:rsidR="00B42BDF">
        <w:rPr>
          <w:rFonts w:cs="Arial"/>
          <w:bCs/>
          <w:sz w:val="22"/>
          <w:szCs w:val="22"/>
          <w:lang w:val="en-GB"/>
        </w:rPr>
        <w:t>(</w:t>
      </w:r>
      <w:r w:rsidR="00A7363E">
        <w:rPr>
          <w:rFonts w:cs="Arial"/>
          <w:bCs/>
          <w:sz w:val="22"/>
          <w:szCs w:val="22"/>
          <w:lang w:val="en-GB"/>
        </w:rPr>
        <w:t>5 mg/dL</w:t>
      </w:r>
      <w:r w:rsidR="00B42BDF">
        <w:rPr>
          <w:rFonts w:cs="Arial"/>
          <w:bCs/>
          <w:sz w:val="22"/>
          <w:szCs w:val="22"/>
          <w:lang w:val="en-GB"/>
        </w:rPr>
        <w:t>)</w:t>
      </w:r>
      <w:r w:rsidRPr="00443A09">
        <w:rPr>
          <w:rFonts w:cs="Arial"/>
          <w:sz w:val="22"/>
          <w:szCs w:val="22"/>
          <w:lang w:val="en-US"/>
        </w:rPr>
        <w:t xml:space="preserve"> by Month 6 (CLEAR1: 29% versus 10%; CLEAR2: 35% versus 5%).</w:t>
      </w:r>
    </w:p>
    <w:p w:rsidR="00443A09" w:rsidRPr="00443A09" w:rsidRDefault="00443A09" w:rsidP="00443A09">
      <w:pPr>
        <w:rPr>
          <w:rFonts w:cs="Arial"/>
          <w:b/>
          <w:bCs/>
          <w:sz w:val="22"/>
          <w:szCs w:val="22"/>
          <w:lang w:val="en-US"/>
        </w:rPr>
      </w:pPr>
      <w:r>
        <w:rPr>
          <w:rFonts w:cs="Arial"/>
          <w:b/>
          <w:bCs/>
          <w:sz w:val="22"/>
          <w:szCs w:val="22"/>
          <w:lang w:val="en-US"/>
        </w:rPr>
        <w:t>ZURAMPIC</w:t>
      </w:r>
      <w:r w:rsidRPr="00443A09">
        <w:rPr>
          <w:rFonts w:cs="Arial"/>
          <w:b/>
          <w:bCs/>
          <w:sz w:val="22"/>
          <w:szCs w:val="22"/>
          <w:lang w:val="en-US"/>
        </w:rPr>
        <w:t xml:space="preserve"> in combination with febuxostat in tophaceous gout</w:t>
      </w:r>
    </w:p>
    <w:p w:rsidR="00443A09" w:rsidRDefault="00F03DC3" w:rsidP="00443A09">
      <w:pPr>
        <w:rPr>
          <w:rFonts w:cs="Arial"/>
          <w:bCs/>
          <w:sz w:val="22"/>
          <w:szCs w:val="22"/>
          <w:lang w:val="en-US"/>
        </w:rPr>
      </w:pPr>
      <w:r w:rsidRPr="00CB02C4">
        <w:rPr>
          <w:rFonts w:cs="Arial"/>
          <w:bCs/>
          <w:sz w:val="22"/>
          <w:szCs w:val="22"/>
        </w:rPr>
        <w:t>In a randomised, double</w:t>
      </w:r>
      <w:r>
        <w:rPr>
          <w:rFonts w:cs="Arial"/>
          <w:bCs/>
          <w:sz w:val="22"/>
          <w:szCs w:val="22"/>
        </w:rPr>
        <w:t xml:space="preserve"> blind, placebo-controlled study</w:t>
      </w:r>
      <w:r w:rsidRPr="00CB02C4">
        <w:rPr>
          <w:rFonts w:cs="Arial"/>
          <w:bCs/>
          <w:sz w:val="22"/>
          <w:szCs w:val="22"/>
        </w:rPr>
        <w:t xml:space="preserve"> 324 patients with tophaceous gout were randomised 1:1:1 to receive lesinurad (200 or 400 mg) or placebo once daily for 12 months in combinatio</w:t>
      </w:r>
      <w:r>
        <w:rPr>
          <w:rFonts w:cs="Arial"/>
          <w:bCs/>
          <w:sz w:val="22"/>
          <w:szCs w:val="22"/>
        </w:rPr>
        <w:t>n with febuxostat 80 mg daily.</w:t>
      </w:r>
      <w:r w:rsidR="00443A09" w:rsidRPr="00443A09">
        <w:rPr>
          <w:rFonts w:cs="Arial"/>
          <w:bCs/>
          <w:sz w:val="22"/>
          <w:szCs w:val="22"/>
          <w:lang w:val="en-US"/>
        </w:rPr>
        <w:t xml:space="preserve"> Sixty-six percent of patients had mild or moderate renal impairment</w:t>
      </w:r>
      <w:r>
        <w:rPr>
          <w:rFonts w:cs="Arial"/>
          <w:bCs/>
          <w:sz w:val="22"/>
          <w:szCs w:val="22"/>
          <w:lang w:val="en-US"/>
        </w:rPr>
        <w:t xml:space="preserve"> </w:t>
      </w:r>
      <w:r>
        <w:rPr>
          <w:rFonts w:cs="Arial"/>
          <w:bCs/>
          <w:sz w:val="22"/>
          <w:szCs w:val="22"/>
        </w:rPr>
        <w:t>(eCrCL from 30 to 89</w:t>
      </w:r>
      <w:r w:rsidRPr="00CB02C4">
        <w:rPr>
          <w:rFonts w:cs="Arial"/>
          <w:bCs/>
          <w:sz w:val="22"/>
          <w:szCs w:val="22"/>
        </w:rPr>
        <w:t xml:space="preserve"> mL/min)</w:t>
      </w:r>
      <w:r w:rsidR="00443A09" w:rsidRPr="00443A09">
        <w:rPr>
          <w:rFonts w:cs="Arial"/>
          <w:bCs/>
          <w:sz w:val="22"/>
          <w:szCs w:val="22"/>
          <w:lang w:val="en-US"/>
        </w:rPr>
        <w:t>.</w:t>
      </w:r>
    </w:p>
    <w:p w:rsidR="00253DF6" w:rsidRPr="00443A09" w:rsidRDefault="00253DF6" w:rsidP="00443A09">
      <w:pPr>
        <w:rPr>
          <w:rFonts w:cs="Arial"/>
          <w:bCs/>
          <w:sz w:val="22"/>
          <w:szCs w:val="22"/>
          <w:lang w:val="en-US"/>
        </w:rPr>
      </w:pPr>
      <w:r>
        <w:rPr>
          <w:rFonts w:cs="Arial"/>
          <w:bCs/>
          <w:sz w:val="22"/>
          <w:szCs w:val="22"/>
          <w:lang w:val="en-US"/>
        </w:rPr>
        <w:t xml:space="preserve">The mean (SD) duration since gout diagnosis was 14.70 (10.87) years. Overall, prior </w:t>
      </w:r>
      <w:r w:rsidR="009D79D1">
        <w:rPr>
          <w:rFonts w:cs="Arial"/>
          <w:bCs/>
          <w:sz w:val="22"/>
          <w:szCs w:val="22"/>
          <w:lang w:val="en-US"/>
        </w:rPr>
        <w:t>u</w:t>
      </w:r>
      <w:r>
        <w:rPr>
          <w:rFonts w:cs="Arial"/>
          <w:bCs/>
          <w:sz w:val="22"/>
          <w:szCs w:val="22"/>
          <w:lang w:val="en-US"/>
        </w:rPr>
        <w:t>rate</w:t>
      </w:r>
      <w:r w:rsidR="00CE29CF">
        <w:rPr>
          <w:rFonts w:cs="Arial"/>
          <w:bCs/>
          <w:sz w:val="22"/>
          <w:szCs w:val="22"/>
          <w:lang w:val="en-US"/>
        </w:rPr>
        <w:t>-</w:t>
      </w:r>
      <w:r w:rsidR="009D79D1">
        <w:rPr>
          <w:rFonts w:cs="Arial"/>
          <w:bCs/>
          <w:sz w:val="22"/>
          <w:szCs w:val="22"/>
          <w:lang w:val="en-US"/>
        </w:rPr>
        <w:t>l</w:t>
      </w:r>
      <w:r>
        <w:rPr>
          <w:rFonts w:cs="Arial"/>
          <w:bCs/>
          <w:sz w:val="22"/>
          <w:szCs w:val="22"/>
          <w:lang w:val="en-US"/>
        </w:rPr>
        <w:t xml:space="preserve">owering </w:t>
      </w:r>
      <w:r w:rsidR="009D79D1">
        <w:rPr>
          <w:rFonts w:cs="Arial"/>
          <w:bCs/>
          <w:sz w:val="22"/>
          <w:szCs w:val="22"/>
          <w:lang w:val="en-US"/>
        </w:rPr>
        <w:t>t</w:t>
      </w:r>
      <w:r w:rsidR="00BF3522">
        <w:rPr>
          <w:rFonts w:cs="Arial"/>
          <w:bCs/>
          <w:sz w:val="22"/>
          <w:szCs w:val="22"/>
          <w:lang w:val="en-US"/>
        </w:rPr>
        <w:t>herapy (ULT) was low</w:t>
      </w:r>
      <w:r>
        <w:rPr>
          <w:rFonts w:cs="Arial"/>
          <w:bCs/>
          <w:sz w:val="22"/>
          <w:szCs w:val="22"/>
          <w:lang w:val="en-US"/>
        </w:rPr>
        <w:t>. The mean (SD) sUA</w:t>
      </w:r>
      <w:r w:rsidR="00B747B8">
        <w:rPr>
          <w:rFonts w:cs="Arial"/>
          <w:bCs/>
          <w:sz w:val="22"/>
          <w:szCs w:val="22"/>
          <w:lang w:val="en-US"/>
        </w:rPr>
        <w:t xml:space="preserve"> level at s</w:t>
      </w:r>
      <w:r>
        <w:rPr>
          <w:rFonts w:cs="Arial"/>
          <w:bCs/>
          <w:sz w:val="22"/>
          <w:szCs w:val="22"/>
          <w:lang w:val="en-US"/>
        </w:rPr>
        <w:t>creening was 8.71 (1.62) mg/dL</w:t>
      </w:r>
      <w:r w:rsidR="00B747B8">
        <w:rPr>
          <w:rFonts w:cs="Arial"/>
          <w:bCs/>
          <w:sz w:val="22"/>
          <w:szCs w:val="22"/>
          <w:lang w:val="en-US"/>
        </w:rPr>
        <w:t xml:space="preserve"> (</w:t>
      </w:r>
      <w:r w:rsidR="009D79D1">
        <w:rPr>
          <w:rFonts w:cs="Arial"/>
          <w:bCs/>
          <w:sz w:val="22"/>
          <w:szCs w:val="22"/>
          <w:lang w:val="en-US"/>
        </w:rPr>
        <w:t>518</w:t>
      </w:r>
      <w:r w:rsidR="00B747B8">
        <w:rPr>
          <w:rFonts w:cs="Arial"/>
          <w:bCs/>
          <w:sz w:val="22"/>
          <w:szCs w:val="22"/>
          <w:lang w:val="en-US"/>
        </w:rPr>
        <w:t xml:space="preserve"> µmol/L) for total subjects. At baseline (after 21 days of treatment with febuxostat alone), the mean (SD) sUA level had decreased to 5</w:t>
      </w:r>
      <w:r w:rsidR="009D79D1">
        <w:rPr>
          <w:rFonts w:cs="Arial"/>
          <w:bCs/>
          <w:sz w:val="22"/>
          <w:szCs w:val="22"/>
          <w:lang w:val="en-US"/>
        </w:rPr>
        <w:t>.27 (1.63) mg/dL (313</w:t>
      </w:r>
      <w:r w:rsidR="00B747B8">
        <w:rPr>
          <w:rFonts w:cs="Arial"/>
          <w:bCs/>
          <w:sz w:val="22"/>
          <w:szCs w:val="22"/>
          <w:lang w:val="en-US"/>
        </w:rPr>
        <w:t xml:space="preserve"> µmol/L) for all subjects.</w:t>
      </w:r>
    </w:p>
    <w:p w:rsidR="00D95F25" w:rsidRDefault="00443A09" w:rsidP="00443A09">
      <w:pPr>
        <w:rPr>
          <w:rFonts w:cs="Arial"/>
          <w:bCs/>
          <w:sz w:val="22"/>
          <w:szCs w:val="22"/>
          <w:lang w:val="en-US"/>
        </w:rPr>
      </w:pPr>
      <w:r w:rsidRPr="00443A09">
        <w:rPr>
          <w:rFonts w:cs="Arial"/>
          <w:bCs/>
          <w:sz w:val="22"/>
          <w:szCs w:val="22"/>
          <w:lang w:val="en-GB"/>
        </w:rPr>
        <w:t xml:space="preserve">The primary efficacy endpoint in CRYSTAL was the proportion of patients </w:t>
      </w:r>
      <w:r w:rsidRPr="00443A09">
        <w:rPr>
          <w:rFonts w:cs="Arial"/>
          <w:sz w:val="22"/>
          <w:szCs w:val="22"/>
          <w:lang w:val="en-US"/>
        </w:rPr>
        <w:t xml:space="preserve">achieving a </w:t>
      </w:r>
      <w:r w:rsidR="009358BD">
        <w:rPr>
          <w:rFonts w:cs="Arial"/>
          <w:sz w:val="22"/>
          <w:szCs w:val="22"/>
          <w:lang w:val="en-US"/>
        </w:rPr>
        <w:t>sUA</w:t>
      </w:r>
      <w:r w:rsidRPr="00443A09">
        <w:rPr>
          <w:rFonts w:cs="Arial"/>
          <w:sz w:val="22"/>
          <w:szCs w:val="22"/>
          <w:lang w:val="en-US"/>
        </w:rPr>
        <w:t xml:space="preserve"> target level </w:t>
      </w:r>
      <w:r w:rsidRPr="00443A09">
        <w:rPr>
          <w:rFonts w:cs="Arial"/>
          <w:bCs/>
          <w:sz w:val="22"/>
          <w:szCs w:val="22"/>
          <w:lang w:val="en-GB"/>
        </w:rPr>
        <w:t xml:space="preserve">of less than </w:t>
      </w:r>
      <w:r w:rsidR="00932BB8">
        <w:rPr>
          <w:rFonts w:cs="Arial"/>
          <w:bCs/>
          <w:sz w:val="22"/>
          <w:szCs w:val="22"/>
          <w:lang w:val="en-GB"/>
        </w:rPr>
        <w:t>297</w:t>
      </w:r>
      <w:r w:rsidR="00A7363E">
        <w:rPr>
          <w:rFonts w:cs="Arial"/>
          <w:bCs/>
          <w:sz w:val="22"/>
          <w:szCs w:val="22"/>
          <w:lang w:val="en-GB"/>
        </w:rPr>
        <w:t xml:space="preserve"> µmol/L</w:t>
      </w:r>
      <w:r w:rsidRPr="00443A09">
        <w:rPr>
          <w:rFonts w:cs="Arial"/>
          <w:bCs/>
          <w:sz w:val="22"/>
          <w:szCs w:val="22"/>
          <w:lang w:val="en-GB"/>
        </w:rPr>
        <w:t xml:space="preserve"> </w:t>
      </w:r>
      <w:r w:rsidR="00B42BDF">
        <w:rPr>
          <w:rFonts w:cs="Arial"/>
          <w:bCs/>
          <w:sz w:val="22"/>
          <w:szCs w:val="22"/>
          <w:lang w:val="en-GB"/>
        </w:rPr>
        <w:t>(</w:t>
      </w:r>
      <w:r w:rsidR="00A7363E">
        <w:rPr>
          <w:rFonts w:cs="Arial"/>
          <w:bCs/>
          <w:sz w:val="22"/>
          <w:szCs w:val="22"/>
          <w:lang w:val="en-GB"/>
        </w:rPr>
        <w:t>5 mg/dL</w:t>
      </w:r>
      <w:r w:rsidR="00B42BDF">
        <w:rPr>
          <w:rFonts w:cs="Arial"/>
          <w:bCs/>
          <w:sz w:val="22"/>
          <w:szCs w:val="22"/>
          <w:lang w:val="en-GB"/>
        </w:rPr>
        <w:t xml:space="preserve">) </w:t>
      </w:r>
      <w:r w:rsidRPr="00443A09">
        <w:rPr>
          <w:rFonts w:cs="Arial"/>
          <w:bCs/>
          <w:sz w:val="22"/>
          <w:szCs w:val="22"/>
          <w:lang w:val="en-GB"/>
        </w:rPr>
        <w:t xml:space="preserve">by Month 6. </w:t>
      </w:r>
      <w:r w:rsidRPr="00443A09">
        <w:rPr>
          <w:rFonts w:cs="Arial"/>
          <w:bCs/>
          <w:sz w:val="22"/>
          <w:szCs w:val="22"/>
          <w:lang w:val="en-US"/>
        </w:rPr>
        <w:t xml:space="preserve">A greater proportion of patients </w:t>
      </w:r>
      <w:r w:rsidRPr="00443A09">
        <w:rPr>
          <w:rFonts w:cs="Arial"/>
          <w:bCs/>
          <w:sz w:val="22"/>
          <w:szCs w:val="22"/>
          <w:lang w:val="en-US"/>
        </w:rPr>
        <w:lastRenderedPageBreak/>
        <w:t xml:space="preserve">treated with </w:t>
      </w:r>
      <w:r w:rsidR="000A7B40">
        <w:rPr>
          <w:rFonts w:cs="Arial"/>
          <w:bCs/>
          <w:sz w:val="22"/>
          <w:szCs w:val="22"/>
          <w:lang w:val="en-US"/>
        </w:rPr>
        <w:t>ZURAMPIC</w:t>
      </w:r>
      <w:r w:rsidRPr="00443A09">
        <w:rPr>
          <w:rFonts w:cs="Arial"/>
          <w:bCs/>
          <w:sz w:val="22"/>
          <w:szCs w:val="22"/>
          <w:lang w:val="en-US"/>
        </w:rPr>
        <w:t xml:space="preserve"> 200 mg in combination with febuxostat had a </w:t>
      </w:r>
      <w:r w:rsidR="009358BD">
        <w:rPr>
          <w:rFonts w:cs="Arial"/>
          <w:bCs/>
          <w:sz w:val="22"/>
          <w:szCs w:val="22"/>
          <w:lang w:val="en-US"/>
        </w:rPr>
        <w:t>sUA</w:t>
      </w:r>
      <w:r w:rsidRPr="00443A09">
        <w:rPr>
          <w:rFonts w:cs="Arial"/>
          <w:bCs/>
          <w:sz w:val="22"/>
          <w:szCs w:val="22"/>
          <w:lang w:val="en-US"/>
        </w:rPr>
        <w:t xml:space="preserve"> level less than </w:t>
      </w:r>
      <w:r w:rsidR="00932BB8">
        <w:rPr>
          <w:rFonts w:cs="Arial"/>
          <w:bCs/>
          <w:sz w:val="22"/>
          <w:szCs w:val="22"/>
          <w:lang w:val="en-US"/>
        </w:rPr>
        <w:t>297</w:t>
      </w:r>
      <w:r w:rsidR="00A7363E">
        <w:rPr>
          <w:rFonts w:cs="Arial"/>
          <w:bCs/>
          <w:sz w:val="22"/>
          <w:szCs w:val="22"/>
          <w:lang w:val="en-US"/>
        </w:rPr>
        <w:t xml:space="preserve"> </w:t>
      </w:r>
      <w:r w:rsidR="00A7363E">
        <w:rPr>
          <w:rFonts w:cs="Arial"/>
          <w:bCs/>
          <w:sz w:val="22"/>
          <w:szCs w:val="22"/>
          <w:lang w:val="en-GB"/>
        </w:rPr>
        <w:t>µmol/L</w:t>
      </w:r>
      <w:r w:rsidRPr="00443A09">
        <w:rPr>
          <w:rFonts w:cs="Arial"/>
          <w:bCs/>
          <w:sz w:val="22"/>
          <w:szCs w:val="22"/>
          <w:lang w:val="en-US"/>
        </w:rPr>
        <w:t xml:space="preserve"> </w:t>
      </w:r>
      <w:r w:rsidR="00B42BDF">
        <w:rPr>
          <w:rFonts w:cs="Arial"/>
          <w:bCs/>
          <w:sz w:val="22"/>
          <w:szCs w:val="22"/>
          <w:lang w:val="en-GB"/>
        </w:rPr>
        <w:t>(</w:t>
      </w:r>
      <w:r w:rsidR="00A7363E">
        <w:rPr>
          <w:rFonts w:cs="Arial"/>
          <w:bCs/>
          <w:sz w:val="22"/>
          <w:szCs w:val="22"/>
          <w:lang w:val="en-GB"/>
        </w:rPr>
        <w:t>5 mg/dL</w:t>
      </w:r>
      <w:r w:rsidR="00B42BDF">
        <w:rPr>
          <w:rFonts w:cs="Arial"/>
          <w:bCs/>
          <w:sz w:val="22"/>
          <w:szCs w:val="22"/>
          <w:lang w:val="en-GB"/>
        </w:rPr>
        <w:t xml:space="preserve">) </w:t>
      </w:r>
      <w:r w:rsidRPr="00443A09">
        <w:rPr>
          <w:rFonts w:cs="Arial"/>
          <w:bCs/>
          <w:sz w:val="22"/>
          <w:szCs w:val="22"/>
          <w:lang w:val="en-US"/>
        </w:rPr>
        <w:t>by Month 6 compared with patients receiving placebo in combinat</w:t>
      </w:r>
      <w:r w:rsidR="000A7B40">
        <w:rPr>
          <w:rFonts w:cs="Arial"/>
          <w:bCs/>
          <w:sz w:val="22"/>
          <w:szCs w:val="22"/>
          <w:lang w:val="en-US"/>
        </w:rPr>
        <w:t>ion with febuxostat (see Table 2</w:t>
      </w:r>
      <w:r w:rsidR="009F3A66">
        <w:rPr>
          <w:rFonts w:cs="Arial"/>
          <w:bCs/>
          <w:sz w:val="22"/>
          <w:szCs w:val="22"/>
          <w:lang w:val="en-US"/>
        </w:rPr>
        <w:t>).</w:t>
      </w:r>
    </w:p>
    <w:p w:rsidR="009757D0" w:rsidRPr="009757D0" w:rsidRDefault="009757D0" w:rsidP="00930D44">
      <w:pPr>
        <w:spacing w:after="0"/>
        <w:rPr>
          <w:rFonts w:cs="Arial"/>
          <w:bCs/>
          <w:sz w:val="22"/>
          <w:szCs w:val="22"/>
          <w:lang w:val="en-GB"/>
        </w:rPr>
      </w:pPr>
      <w:r>
        <w:rPr>
          <w:rFonts w:cs="Arial"/>
          <w:bCs/>
          <w:sz w:val="22"/>
          <w:szCs w:val="22"/>
          <w:lang w:val="en-US"/>
        </w:rPr>
        <w:t>In the subgroup of patients with a baseline sUA ≥297 µmol/L</w:t>
      </w:r>
      <w:r>
        <w:rPr>
          <w:rFonts w:cs="Arial"/>
          <w:bCs/>
          <w:sz w:val="22"/>
          <w:szCs w:val="22"/>
          <w:lang w:val="en-GB"/>
        </w:rPr>
        <w:t xml:space="preserve"> (5 mg/dL) after 3 weeks of treatment with febuxostat alone (50% patients), a statistically significant difference was achieved at all study visits for </w:t>
      </w:r>
      <w:r>
        <w:rPr>
          <w:rFonts w:cs="Arial"/>
          <w:bCs/>
          <w:sz w:val="22"/>
          <w:szCs w:val="22"/>
          <w:lang w:val="en-US"/>
        </w:rPr>
        <w:t xml:space="preserve">ZURAMPIC </w:t>
      </w:r>
      <w:r>
        <w:rPr>
          <w:rFonts w:cs="Arial"/>
          <w:bCs/>
          <w:sz w:val="22"/>
          <w:szCs w:val="22"/>
          <w:lang w:val="en-GB"/>
        </w:rPr>
        <w:t>200 mg in combination with febuxostat compared with placebo in combination with febuxostat.</w:t>
      </w:r>
    </w:p>
    <w:p w:rsidR="00292A58" w:rsidRDefault="00292A58" w:rsidP="00930D44">
      <w:pPr>
        <w:spacing w:after="0"/>
        <w:rPr>
          <w:rFonts w:cs="Arial"/>
          <w:bCs/>
          <w:sz w:val="22"/>
          <w:szCs w:val="22"/>
          <w:lang w:val="en-US"/>
        </w:rPr>
      </w:pPr>
    </w:p>
    <w:p w:rsidR="00443A09" w:rsidRPr="00331650" w:rsidRDefault="00A07ACD" w:rsidP="000A7B40">
      <w:pPr>
        <w:pStyle w:val="A-TableTitle"/>
        <w:rPr>
          <w:bCs/>
          <w:sz w:val="22"/>
          <w:szCs w:val="22"/>
        </w:rPr>
      </w:pPr>
      <w:r w:rsidRPr="00331650">
        <w:rPr>
          <w:bCs/>
          <w:sz w:val="22"/>
          <w:szCs w:val="22"/>
        </w:rPr>
        <w:t>Table 2</w:t>
      </w:r>
      <w:r w:rsidR="00443A09" w:rsidRPr="00331650">
        <w:rPr>
          <w:bCs/>
          <w:sz w:val="22"/>
          <w:szCs w:val="22"/>
        </w:rPr>
        <w:t xml:space="preserve"> </w:t>
      </w:r>
      <w:r w:rsidR="000A7B40" w:rsidRPr="00331650">
        <w:rPr>
          <w:bCs/>
          <w:sz w:val="22"/>
          <w:szCs w:val="22"/>
        </w:rPr>
        <w:tab/>
      </w:r>
      <w:r w:rsidR="00443A09" w:rsidRPr="00331650">
        <w:rPr>
          <w:bCs/>
          <w:sz w:val="22"/>
          <w:szCs w:val="22"/>
        </w:rPr>
        <w:t xml:space="preserve">Proportion of patients </w:t>
      </w:r>
      <w:r w:rsidR="00443A09" w:rsidRPr="00331650">
        <w:rPr>
          <w:sz w:val="22"/>
          <w:szCs w:val="22"/>
        </w:rPr>
        <w:t xml:space="preserve">who achieve target </w:t>
      </w:r>
      <w:r w:rsidR="009358BD" w:rsidRPr="00331650">
        <w:rPr>
          <w:sz w:val="22"/>
          <w:szCs w:val="22"/>
        </w:rPr>
        <w:t>sUA</w:t>
      </w:r>
      <w:r w:rsidR="00443A09" w:rsidRPr="00331650">
        <w:rPr>
          <w:sz w:val="22"/>
          <w:szCs w:val="22"/>
        </w:rPr>
        <w:t xml:space="preserve"> levels </w:t>
      </w:r>
      <w:r w:rsidR="00A5640D" w:rsidRPr="00331650">
        <w:rPr>
          <w:sz w:val="22"/>
          <w:szCs w:val="22"/>
        </w:rPr>
        <w:br/>
      </w:r>
      <w:r w:rsidR="00F74512" w:rsidRPr="00331650">
        <w:rPr>
          <w:bCs/>
          <w:sz w:val="22"/>
          <w:szCs w:val="22"/>
        </w:rPr>
        <w:t>(&lt;</w:t>
      </w:r>
      <w:r w:rsidR="002D27D1" w:rsidRPr="00331650">
        <w:rPr>
          <w:bCs/>
          <w:sz w:val="22"/>
          <w:szCs w:val="22"/>
        </w:rPr>
        <w:t>297</w:t>
      </w:r>
      <w:r w:rsidR="00A7363E" w:rsidRPr="00331650">
        <w:rPr>
          <w:bCs/>
          <w:sz w:val="22"/>
          <w:szCs w:val="22"/>
        </w:rPr>
        <w:t xml:space="preserve"> </w:t>
      </w:r>
      <w:r w:rsidR="00A7363E" w:rsidRPr="00331650">
        <w:rPr>
          <w:rFonts w:cs="Arial"/>
          <w:bCs/>
          <w:sz w:val="22"/>
          <w:szCs w:val="22"/>
        </w:rPr>
        <w:t>µmol/L</w:t>
      </w:r>
      <w:r w:rsidR="00443A09" w:rsidRPr="00331650">
        <w:rPr>
          <w:bCs/>
          <w:sz w:val="22"/>
          <w:szCs w:val="22"/>
        </w:rPr>
        <w:t xml:space="preserve">) </w:t>
      </w:r>
      <w:r w:rsidR="00B42BDF" w:rsidRPr="00331650">
        <w:rPr>
          <w:bCs/>
          <w:sz w:val="22"/>
          <w:szCs w:val="22"/>
          <w:lang w:val="en-AU"/>
        </w:rPr>
        <w:t>(</w:t>
      </w:r>
      <w:r w:rsidR="00A7363E" w:rsidRPr="00331650">
        <w:rPr>
          <w:bCs/>
          <w:sz w:val="22"/>
          <w:szCs w:val="22"/>
          <w:lang w:val="en-AU"/>
        </w:rPr>
        <w:t>5 mg/dL</w:t>
      </w:r>
      <w:r w:rsidR="00B42BDF" w:rsidRPr="00331650">
        <w:rPr>
          <w:bCs/>
          <w:sz w:val="22"/>
          <w:szCs w:val="22"/>
          <w:lang w:val="en-AU"/>
        </w:rPr>
        <w:t xml:space="preserve">) </w:t>
      </w:r>
      <w:r w:rsidR="00443A09" w:rsidRPr="00331650">
        <w:rPr>
          <w:sz w:val="22"/>
          <w:szCs w:val="22"/>
        </w:rPr>
        <w:t xml:space="preserve">with </w:t>
      </w:r>
      <w:r w:rsidRPr="00331650">
        <w:rPr>
          <w:sz w:val="22"/>
          <w:szCs w:val="22"/>
        </w:rPr>
        <w:t>ZURAMPIC</w:t>
      </w:r>
      <w:r w:rsidR="00443A09" w:rsidRPr="00331650">
        <w:rPr>
          <w:sz w:val="22"/>
          <w:szCs w:val="22"/>
        </w:rPr>
        <w:t xml:space="preserve"> in combination with</w:t>
      </w:r>
      <w:r w:rsidR="00443A09" w:rsidRPr="00331650">
        <w:rPr>
          <w:bCs/>
          <w:sz w:val="22"/>
          <w:szCs w:val="22"/>
        </w:rPr>
        <w:t xml:space="preserve"> febuxostat </w:t>
      </w:r>
    </w:p>
    <w:tbl>
      <w:tblPr>
        <w:tblW w:w="9072" w:type="dxa"/>
        <w:tblInd w:w="108" w:type="dxa"/>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127"/>
        <w:gridCol w:w="2473"/>
        <w:gridCol w:w="2771"/>
      </w:tblGrid>
      <w:tr w:rsidR="00443A09" w:rsidRPr="00443A09" w:rsidTr="00C07D16">
        <w:trPr>
          <w:trHeight w:val="207"/>
        </w:trPr>
        <w:tc>
          <w:tcPr>
            <w:tcW w:w="1701" w:type="dxa"/>
            <w:tcBorders>
              <w:top w:val="single" w:sz="4" w:space="0" w:color="000000"/>
              <w:left w:val="single" w:sz="4" w:space="0" w:color="000000"/>
              <w:bottom w:val="single" w:sz="4" w:space="0" w:color="000000"/>
              <w:right w:val="single" w:sz="4" w:space="0" w:color="000000"/>
            </w:tcBorders>
            <w:vAlign w:val="center"/>
          </w:tcPr>
          <w:p w:rsidR="00443A09" w:rsidRPr="00443A09" w:rsidRDefault="00443A09" w:rsidP="00220761">
            <w:pPr>
              <w:spacing w:after="0" w:line="276" w:lineRule="auto"/>
              <w:jc w:val="center"/>
              <w:rPr>
                <w:rFonts w:cs="Arial"/>
                <w:b/>
                <w:bCs/>
                <w:sz w:val="22"/>
                <w:szCs w:val="22"/>
                <w:lang w:val="en-US"/>
              </w:rPr>
            </w:pPr>
          </w:p>
        </w:tc>
        <w:tc>
          <w:tcPr>
            <w:tcW w:w="4600" w:type="dxa"/>
            <w:gridSpan w:val="2"/>
            <w:tcBorders>
              <w:top w:val="single" w:sz="4" w:space="0" w:color="000000"/>
              <w:left w:val="single" w:sz="4" w:space="0" w:color="000000"/>
              <w:bottom w:val="single" w:sz="4" w:space="0" w:color="000000"/>
              <w:right w:val="single" w:sz="4" w:space="0" w:color="000000"/>
            </w:tcBorders>
            <w:vAlign w:val="center"/>
            <w:hideMark/>
          </w:tcPr>
          <w:p w:rsidR="00443A09" w:rsidRPr="00443A09" w:rsidRDefault="00443A09" w:rsidP="00220761">
            <w:pPr>
              <w:spacing w:after="0" w:line="276" w:lineRule="auto"/>
              <w:jc w:val="center"/>
              <w:rPr>
                <w:rFonts w:cs="Arial"/>
                <w:b/>
                <w:bCs/>
                <w:sz w:val="22"/>
                <w:szCs w:val="22"/>
                <w:lang w:val="en-US"/>
              </w:rPr>
            </w:pPr>
            <w:r w:rsidRPr="00443A09">
              <w:rPr>
                <w:rFonts w:cs="Arial"/>
                <w:b/>
                <w:bCs/>
                <w:sz w:val="22"/>
                <w:szCs w:val="22"/>
                <w:lang w:val="en-US"/>
              </w:rPr>
              <w:t xml:space="preserve">Proportion of patients who met </w:t>
            </w:r>
            <w:r w:rsidR="009358BD">
              <w:rPr>
                <w:rFonts w:cs="Arial"/>
                <w:b/>
                <w:bCs/>
                <w:sz w:val="22"/>
                <w:szCs w:val="22"/>
                <w:lang w:val="en-US"/>
              </w:rPr>
              <w:t>sUA</w:t>
            </w:r>
            <w:r w:rsidRPr="00443A09">
              <w:rPr>
                <w:rFonts w:cs="Arial"/>
                <w:b/>
                <w:bCs/>
                <w:sz w:val="22"/>
                <w:szCs w:val="22"/>
                <w:lang w:val="en-US"/>
              </w:rPr>
              <w:t xml:space="preserve"> target (&lt;</w:t>
            </w:r>
            <w:r w:rsidR="002D27D1">
              <w:rPr>
                <w:rFonts w:cs="Arial"/>
                <w:b/>
                <w:bCs/>
                <w:sz w:val="22"/>
                <w:szCs w:val="22"/>
                <w:lang w:val="en-US"/>
              </w:rPr>
              <w:t>297</w:t>
            </w:r>
            <w:r w:rsidR="004B2625">
              <w:rPr>
                <w:rFonts w:cs="Arial"/>
                <w:b/>
                <w:bCs/>
                <w:sz w:val="22"/>
                <w:szCs w:val="22"/>
                <w:lang w:val="en-US"/>
              </w:rPr>
              <w:t xml:space="preserve"> </w:t>
            </w:r>
            <w:r w:rsidR="004B2625" w:rsidRPr="004B2625">
              <w:rPr>
                <w:rFonts w:cs="Arial"/>
                <w:b/>
                <w:bCs/>
                <w:sz w:val="22"/>
                <w:szCs w:val="22"/>
                <w:lang w:val="en-GB"/>
              </w:rPr>
              <w:t>µmol/L</w:t>
            </w:r>
            <w:r w:rsidRPr="00443A09">
              <w:rPr>
                <w:rFonts w:cs="Arial"/>
                <w:b/>
                <w:bCs/>
                <w:sz w:val="22"/>
                <w:szCs w:val="22"/>
                <w:lang w:val="en-US"/>
              </w:rPr>
              <w:t>)</w:t>
            </w:r>
            <w:r w:rsidR="00B42BDF">
              <w:rPr>
                <w:rFonts w:cs="Arial"/>
                <w:b/>
                <w:bCs/>
                <w:sz w:val="22"/>
                <w:szCs w:val="22"/>
                <w:lang w:val="en-US"/>
              </w:rPr>
              <w:t xml:space="preserve"> </w:t>
            </w:r>
            <w:r w:rsidR="00B42BDF" w:rsidRPr="00B42BDF">
              <w:rPr>
                <w:rFonts w:cs="Arial"/>
                <w:b/>
                <w:bCs/>
                <w:sz w:val="22"/>
                <w:szCs w:val="22"/>
                <w:lang w:val="en-GB"/>
              </w:rPr>
              <w:t>(</w:t>
            </w:r>
            <w:r w:rsidR="00630133">
              <w:rPr>
                <w:rFonts w:cs="Arial"/>
                <w:b/>
                <w:bCs/>
                <w:sz w:val="22"/>
                <w:szCs w:val="22"/>
                <w:lang w:val="en-GB"/>
              </w:rPr>
              <w:t>5</w:t>
            </w:r>
            <w:r w:rsidR="004B2625">
              <w:rPr>
                <w:rFonts w:cs="Arial"/>
                <w:b/>
                <w:bCs/>
                <w:sz w:val="22"/>
                <w:szCs w:val="22"/>
                <w:lang w:val="en-GB"/>
              </w:rPr>
              <w:t xml:space="preserve"> mg/dL</w:t>
            </w:r>
            <w:r w:rsidR="00252ED2" w:rsidRPr="00B42BDF">
              <w:rPr>
                <w:rFonts w:cs="Arial"/>
                <w:b/>
                <w:bCs/>
                <w:sz w:val="22"/>
                <w:szCs w:val="22"/>
                <w:lang w:val="en-GB"/>
              </w:rPr>
              <w:t xml:space="preserve">) </w:t>
            </w:r>
            <w:r w:rsidRPr="00443A09">
              <w:rPr>
                <w:rFonts w:cs="Arial"/>
                <w:bCs/>
                <w:sz w:val="22"/>
                <w:szCs w:val="22"/>
                <w:lang w:val="en-US"/>
              </w:rPr>
              <w:br/>
            </w:r>
            <w:r w:rsidRPr="00443A09">
              <w:rPr>
                <w:rFonts w:cs="Arial"/>
                <w:b/>
                <w:bCs/>
                <w:sz w:val="22"/>
                <w:szCs w:val="22"/>
                <w:lang w:val="en-US"/>
              </w:rPr>
              <w:t>N</w:t>
            </w:r>
            <w:r w:rsidR="00B42BDF">
              <w:rPr>
                <w:rFonts w:cs="Arial"/>
                <w:b/>
                <w:bCs/>
                <w:sz w:val="22"/>
                <w:szCs w:val="22"/>
                <w:lang w:val="en-US"/>
              </w:rPr>
              <w:t xml:space="preserve"> </w:t>
            </w:r>
            <w:r w:rsidRPr="00443A09">
              <w:rPr>
                <w:rFonts w:cs="Arial"/>
                <w:b/>
                <w:bCs/>
                <w:sz w:val="22"/>
                <w:szCs w:val="22"/>
                <w:lang w:val="en-US"/>
              </w:rPr>
              <w:t>(%)</w:t>
            </w:r>
          </w:p>
        </w:tc>
        <w:tc>
          <w:tcPr>
            <w:tcW w:w="2771" w:type="dxa"/>
            <w:tcBorders>
              <w:top w:val="single" w:sz="4" w:space="0" w:color="000000"/>
              <w:left w:val="single" w:sz="4" w:space="0" w:color="000000"/>
              <w:bottom w:val="single" w:sz="4" w:space="0" w:color="000000"/>
              <w:right w:val="single" w:sz="4" w:space="0" w:color="000000"/>
            </w:tcBorders>
            <w:vAlign w:val="center"/>
            <w:hideMark/>
          </w:tcPr>
          <w:p w:rsidR="00443A09" w:rsidRPr="00443A09" w:rsidRDefault="00F057C7" w:rsidP="00220761">
            <w:pPr>
              <w:spacing w:after="0" w:line="276" w:lineRule="auto"/>
              <w:jc w:val="center"/>
              <w:rPr>
                <w:rFonts w:cs="Arial"/>
                <w:b/>
                <w:bCs/>
                <w:sz w:val="22"/>
                <w:szCs w:val="22"/>
                <w:lang w:val="en-US"/>
              </w:rPr>
            </w:pPr>
            <w:r>
              <w:rPr>
                <w:rFonts w:cs="Arial"/>
                <w:b/>
                <w:bCs/>
                <w:sz w:val="22"/>
                <w:szCs w:val="22"/>
                <w:lang w:val="en-US"/>
              </w:rPr>
              <w:t xml:space="preserve">Difference in </w:t>
            </w:r>
            <w:r w:rsidR="00252ED2">
              <w:rPr>
                <w:rFonts w:cs="Arial"/>
                <w:b/>
                <w:bCs/>
                <w:sz w:val="22"/>
                <w:szCs w:val="22"/>
                <w:lang w:val="en-US"/>
              </w:rPr>
              <w:t>p</w:t>
            </w:r>
            <w:r w:rsidR="00252ED2" w:rsidRPr="00443A09">
              <w:rPr>
                <w:rFonts w:cs="Arial"/>
                <w:b/>
                <w:bCs/>
                <w:sz w:val="22"/>
                <w:szCs w:val="22"/>
                <w:lang w:val="en-US"/>
              </w:rPr>
              <w:t xml:space="preserve">roportion </w:t>
            </w:r>
            <w:r w:rsidR="00443A09" w:rsidRPr="00443A09">
              <w:rPr>
                <w:rFonts w:cs="Arial"/>
                <w:bCs/>
                <w:sz w:val="22"/>
                <w:szCs w:val="22"/>
                <w:lang w:val="en-US"/>
              </w:rPr>
              <w:br/>
            </w:r>
            <w:r w:rsidR="00443A09" w:rsidRPr="00443A09">
              <w:rPr>
                <w:rFonts w:cs="Arial"/>
                <w:b/>
                <w:bCs/>
                <w:sz w:val="22"/>
                <w:szCs w:val="22"/>
                <w:lang w:val="en-US"/>
              </w:rPr>
              <w:t>(95% C.I.)</w:t>
            </w:r>
          </w:p>
        </w:tc>
      </w:tr>
      <w:tr w:rsidR="002A41DE" w:rsidRPr="00443A09" w:rsidTr="00C07D16">
        <w:trPr>
          <w:trHeight w:val="207"/>
        </w:trPr>
        <w:tc>
          <w:tcPr>
            <w:tcW w:w="9072" w:type="dxa"/>
            <w:gridSpan w:val="4"/>
            <w:tcBorders>
              <w:top w:val="single" w:sz="4" w:space="0" w:color="000000"/>
              <w:left w:val="single" w:sz="4" w:space="0" w:color="000000"/>
              <w:bottom w:val="single" w:sz="4" w:space="0" w:color="000000"/>
              <w:right w:val="single" w:sz="4" w:space="0" w:color="000000"/>
            </w:tcBorders>
            <w:vAlign w:val="center"/>
          </w:tcPr>
          <w:p w:rsidR="002A41DE" w:rsidRDefault="002A41DE" w:rsidP="00220761">
            <w:pPr>
              <w:spacing w:after="0" w:line="276" w:lineRule="auto"/>
              <w:jc w:val="center"/>
              <w:rPr>
                <w:rFonts w:cs="Arial"/>
                <w:b/>
                <w:bCs/>
                <w:sz w:val="22"/>
                <w:szCs w:val="22"/>
                <w:lang w:val="en-US"/>
              </w:rPr>
            </w:pPr>
            <w:r>
              <w:rPr>
                <w:rFonts w:cs="Arial"/>
                <w:b/>
                <w:bCs/>
                <w:sz w:val="22"/>
                <w:szCs w:val="22"/>
                <w:lang w:val="en-US"/>
              </w:rPr>
              <w:t>All patients</w:t>
            </w:r>
          </w:p>
        </w:tc>
      </w:tr>
      <w:tr w:rsidR="00443A09" w:rsidRPr="00443A09" w:rsidTr="00C07D16">
        <w:trPr>
          <w:trHeight w:val="593"/>
        </w:trPr>
        <w:tc>
          <w:tcPr>
            <w:tcW w:w="1701" w:type="dxa"/>
            <w:tcBorders>
              <w:top w:val="single" w:sz="4" w:space="0" w:color="000000"/>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
                <w:bCs/>
                <w:sz w:val="22"/>
                <w:szCs w:val="22"/>
                <w:lang w:val="en-US"/>
              </w:rPr>
            </w:pPr>
            <w:r w:rsidRPr="00443A09">
              <w:rPr>
                <w:rFonts w:cs="Arial"/>
                <w:b/>
                <w:bCs/>
                <w:sz w:val="22"/>
                <w:szCs w:val="22"/>
                <w:lang w:val="en-US"/>
              </w:rPr>
              <w:t>Timepoint</w:t>
            </w:r>
          </w:p>
        </w:tc>
        <w:tc>
          <w:tcPr>
            <w:tcW w:w="2127" w:type="dxa"/>
            <w:tcBorders>
              <w:top w:val="single" w:sz="4" w:space="0" w:color="000000"/>
              <w:left w:val="single" w:sz="4" w:space="0" w:color="000000"/>
              <w:bottom w:val="single" w:sz="4" w:space="0" w:color="auto"/>
              <w:right w:val="single" w:sz="4" w:space="0" w:color="000000"/>
            </w:tcBorders>
            <w:vAlign w:val="center"/>
            <w:hideMark/>
          </w:tcPr>
          <w:p w:rsidR="00443A09" w:rsidRDefault="00443A09" w:rsidP="00220761">
            <w:pPr>
              <w:spacing w:after="0" w:line="276" w:lineRule="auto"/>
              <w:jc w:val="center"/>
              <w:rPr>
                <w:rFonts w:cs="Arial"/>
                <w:b/>
                <w:bCs/>
                <w:sz w:val="22"/>
                <w:szCs w:val="22"/>
                <w:lang w:val="en-US"/>
              </w:rPr>
            </w:pPr>
            <w:r w:rsidRPr="00443A09">
              <w:rPr>
                <w:rFonts w:cs="Arial"/>
                <w:b/>
                <w:bCs/>
                <w:sz w:val="22"/>
                <w:szCs w:val="22"/>
                <w:lang w:val="en-US"/>
              </w:rPr>
              <w:t>Placebo + febuxostat 80 mg</w:t>
            </w:r>
          </w:p>
          <w:p w:rsidR="002A41DE" w:rsidRPr="00443A09" w:rsidRDefault="002A41DE" w:rsidP="00220761">
            <w:pPr>
              <w:spacing w:after="0" w:line="276" w:lineRule="auto"/>
              <w:jc w:val="center"/>
              <w:rPr>
                <w:rFonts w:cs="Arial"/>
                <w:b/>
                <w:bCs/>
                <w:sz w:val="22"/>
                <w:szCs w:val="22"/>
                <w:lang w:val="en-US"/>
              </w:rPr>
            </w:pPr>
            <w:r>
              <w:rPr>
                <w:rFonts w:cs="Arial"/>
                <w:b/>
                <w:bCs/>
                <w:sz w:val="22"/>
                <w:szCs w:val="22"/>
                <w:lang w:val="en-US"/>
              </w:rPr>
              <w:t>(N=109)</w:t>
            </w:r>
          </w:p>
        </w:tc>
        <w:tc>
          <w:tcPr>
            <w:tcW w:w="2473" w:type="dxa"/>
            <w:tcBorders>
              <w:top w:val="single" w:sz="4" w:space="0" w:color="000000"/>
              <w:left w:val="single" w:sz="4" w:space="0" w:color="000000"/>
              <w:bottom w:val="single" w:sz="4" w:space="0" w:color="auto"/>
              <w:right w:val="single" w:sz="4" w:space="0" w:color="000000"/>
            </w:tcBorders>
            <w:vAlign w:val="center"/>
            <w:hideMark/>
          </w:tcPr>
          <w:p w:rsidR="00443A09" w:rsidRDefault="00A07ACD" w:rsidP="00220761">
            <w:pPr>
              <w:spacing w:after="0" w:line="276" w:lineRule="auto"/>
              <w:jc w:val="center"/>
              <w:rPr>
                <w:rFonts w:cs="Arial"/>
                <w:b/>
                <w:bCs/>
                <w:sz w:val="22"/>
                <w:szCs w:val="22"/>
                <w:lang w:val="en-US"/>
              </w:rPr>
            </w:pPr>
            <w:r>
              <w:rPr>
                <w:rFonts w:cs="Arial"/>
                <w:b/>
                <w:bCs/>
                <w:sz w:val="22"/>
                <w:szCs w:val="22"/>
                <w:lang w:val="en-US"/>
              </w:rPr>
              <w:t>ZURAMPIC</w:t>
            </w:r>
            <w:r w:rsidR="00443A09" w:rsidRPr="00443A09">
              <w:rPr>
                <w:rFonts w:cs="Arial"/>
                <w:b/>
                <w:bCs/>
                <w:sz w:val="22"/>
                <w:szCs w:val="22"/>
                <w:lang w:val="en-US"/>
              </w:rPr>
              <w:t xml:space="preserve"> 200 mg + febuxostat 80 mg</w:t>
            </w:r>
          </w:p>
          <w:p w:rsidR="002A41DE" w:rsidRPr="00443A09" w:rsidRDefault="002A41DE" w:rsidP="00220761">
            <w:pPr>
              <w:spacing w:after="0" w:line="276" w:lineRule="auto"/>
              <w:jc w:val="center"/>
              <w:rPr>
                <w:rFonts w:cs="Arial"/>
                <w:b/>
                <w:bCs/>
                <w:sz w:val="22"/>
                <w:szCs w:val="22"/>
                <w:lang w:val="en-US"/>
              </w:rPr>
            </w:pPr>
            <w:r>
              <w:rPr>
                <w:rFonts w:cs="Arial"/>
                <w:b/>
                <w:bCs/>
                <w:sz w:val="22"/>
                <w:szCs w:val="22"/>
                <w:lang w:val="en-US"/>
              </w:rPr>
              <w:t>(N=106)</w:t>
            </w:r>
          </w:p>
        </w:tc>
        <w:tc>
          <w:tcPr>
            <w:tcW w:w="2771" w:type="dxa"/>
            <w:tcBorders>
              <w:top w:val="single" w:sz="4" w:space="0" w:color="000000"/>
              <w:left w:val="single" w:sz="4" w:space="0" w:color="000000"/>
              <w:bottom w:val="single" w:sz="4" w:space="0" w:color="auto"/>
              <w:right w:val="single" w:sz="4" w:space="0" w:color="000000"/>
            </w:tcBorders>
            <w:vAlign w:val="center"/>
            <w:hideMark/>
          </w:tcPr>
          <w:p w:rsidR="00443A09" w:rsidRPr="00443A09" w:rsidRDefault="00A07ACD" w:rsidP="00220761">
            <w:pPr>
              <w:spacing w:after="0" w:line="276" w:lineRule="auto"/>
              <w:jc w:val="center"/>
              <w:rPr>
                <w:rFonts w:cs="Arial"/>
                <w:b/>
                <w:bCs/>
                <w:sz w:val="22"/>
                <w:szCs w:val="22"/>
                <w:lang w:val="en-US"/>
              </w:rPr>
            </w:pPr>
            <w:r>
              <w:rPr>
                <w:rFonts w:cs="Arial"/>
                <w:b/>
                <w:bCs/>
                <w:sz w:val="22"/>
                <w:szCs w:val="22"/>
                <w:lang w:val="en-US"/>
              </w:rPr>
              <w:t>ZURAMPIC</w:t>
            </w:r>
            <w:r w:rsidR="00443A09" w:rsidRPr="00443A09">
              <w:rPr>
                <w:rFonts w:cs="Arial"/>
                <w:b/>
                <w:bCs/>
                <w:sz w:val="22"/>
                <w:szCs w:val="22"/>
                <w:lang w:val="en-US"/>
              </w:rPr>
              <w:t xml:space="preserve"> 200 mg vs placebo</w:t>
            </w:r>
          </w:p>
        </w:tc>
      </w:tr>
      <w:tr w:rsidR="00443A09" w:rsidRPr="00443A09" w:rsidTr="00C07D16">
        <w:trPr>
          <w:trHeight w:val="557"/>
        </w:trPr>
        <w:tc>
          <w:tcPr>
            <w:tcW w:w="1701" w:type="dxa"/>
            <w:tcBorders>
              <w:top w:val="single" w:sz="4" w:space="0" w:color="auto"/>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Cs/>
                <w:sz w:val="22"/>
                <w:szCs w:val="22"/>
                <w:lang w:val="en-US"/>
              </w:rPr>
            </w:pPr>
            <w:r w:rsidRPr="00443A09">
              <w:rPr>
                <w:rFonts w:cs="Arial"/>
                <w:bCs/>
                <w:sz w:val="22"/>
                <w:szCs w:val="22"/>
                <w:lang w:val="en-US"/>
              </w:rPr>
              <w:t>Month 6</w:t>
            </w:r>
          </w:p>
        </w:tc>
        <w:tc>
          <w:tcPr>
            <w:tcW w:w="2127" w:type="dxa"/>
            <w:tcBorders>
              <w:top w:val="single" w:sz="4" w:space="0" w:color="auto"/>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Cs/>
                <w:sz w:val="22"/>
                <w:szCs w:val="22"/>
                <w:lang w:val="en-US"/>
              </w:rPr>
            </w:pPr>
            <w:r w:rsidRPr="00443A09">
              <w:rPr>
                <w:rFonts w:cs="Arial"/>
                <w:bCs/>
                <w:sz w:val="22"/>
                <w:szCs w:val="22"/>
                <w:lang w:val="en-US"/>
              </w:rPr>
              <w:t>51 (47%)</w:t>
            </w:r>
          </w:p>
        </w:tc>
        <w:tc>
          <w:tcPr>
            <w:tcW w:w="2473" w:type="dxa"/>
            <w:tcBorders>
              <w:top w:val="single" w:sz="4" w:space="0" w:color="auto"/>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Cs/>
                <w:sz w:val="22"/>
                <w:szCs w:val="22"/>
                <w:lang w:val="en-US"/>
              </w:rPr>
            </w:pPr>
            <w:r w:rsidRPr="00443A09">
              <w:rPr>
                <w:rFonts w:cs="Arial"/>
                <w:bCs/>
                <w:sz w:val="22"/>
                <w:szCs w:val="22"/>
                <w:lang w:val="en-US"/>
              </w:rPr>
              <w:t>60 (57%)</w:t>
            </w:r>
          </w:p>
        </w:tc>
        <w:tc>
          <w:tcPr>
            <w:tcW w:w="2771" w:type="dxa"/>
            <w:tcBorders>
              <w:top w:val="single" w:sz="4" w:space="0" w:color="auto"/>
              <w:left w:val="single" w:sz="4" w:space="0" w:color="000000"/>
              <w:bottom w:val="single" w:sz="4" w:space="0" w:color="auto"/>
              <w:right w:val="single" w:sz="4" w:space="0" w:color="000000"/>
            </w:tcBorders>
            <w:vAlign w:val="center"/>
            <w:hideMark/>
          </w:tcPr>
          <w:p w:rsidR="00443A09" w:rsidRPr="00443A09" w:rsidRDefault="00443A09" w:rsidP="00220761">
            <w:pPr>
              <w:spacing w:after="0" w:line="276" w:lineRule="auto"/>
              <w:jc w:val="center"/>
              <w:rPr>
                <w:rFonts w:cs="Arial"/>
                <w:bCs/>
                <w:sz w:val="22"/>
                <w:szCs w:val="22"/>
                <w:lang w:val="en-US"/>
              </w:rPr>
            </w:pPr>
            <w:r w:rsidRPr="00443A09">
              <w:rPr>
                <w:rFonts w:cs="Arial"/>
                <w:bCs/>
                <w:sz w:val="22"/>
                <w:szCs w:val="22"/>
                <w:lang w:val="en-US"/>
              </w:rPr>
              <w:t>0.10</w:t>
            </w:r>
          </w:p>
          <w:p w:rsidR="00443A09" w:rsidRPr="00443A09" w:rsidRDefault="00443A09" w:rsidP="00220761">
            <w:pPr>
              <w:spacing w:after="0" w:line="276" w:lineRule="auto"/>
              <w:jc w:val="center"/>
              <w:rPr>
                <w:rFonts w:cs="Arial"/>
                <w:bCs/>
                <w:sz w:val="22"/>
                <w:szCs w:val="22"/>
                <w:lang w:val="en-US"/>
              </w:rPr>
            </w:pPr>
            <w:r w:rsidRPr="00443A09">
              <w:rPr>
                <w:rFonts w:cs="Arial"/>
                <w:bCs/>
                <w:sz w:val="22"/>
                <w:szCs w:val="22"/>
                <w:lang w:val="en-US"/>
              </w:rPr>
              <w:t>(-0.03, 0.23)</w:t>
            </w:r>
          </w:p>
        </w:tc>
      </w:tr>
      <w:tr w:rsidR="002A41DE" w:rsidRPr="00443A09" w:rsidTr="00C07D16">
        <w:trPr>
          <w:trHeight w:val="235"/>
        </w:trPr>
        <w:tc>
          <w:tcPr>
            <w:tcW w:w="9072" w:type="dxa"/>
            <w:gridSpan w:val="4"/>
            <w:tcBorders>
              <w:top w:val="single" w:sz="4" w:space="0" w:color="auto"/>
              <w:left w:val="single" w:sz="4" w:space="0" w:color="000000"/>
              <w:bottom w:val="single" w:sz="4" w:space="0" w:color="auto"/>
              <w:right w:val="single" w:sz="4" w:space="0" w:color="000000"/>
            </w:tcBorders>
            <w:vAlign w:val="center"/>
          </w:tcPr>
          <w:p w:rsidR="002A41DE" w:rsidRPr="00443A09" w:rsidDel="00915E46" w:rsidRDefault="002A41DE" w:rsidP="00220761">
            <w:pPr>
              <w:spacing w:after="0" w:line="276" w:lineRule="auto"/>
              <w:jc w:val="center"/>
              <w:rPr>
                <w:rFonts w:cs="Arial"/>
                <w:bCs/>
                <w:sz w:val="22"/>
                <w:szCs w:val="22"/>
                <w:lang w:val="en-US"/>
              </w:rPr>
            </w:pPr>
            <w:r w:rsidRPr="002A41DE">
              <w:rPr>
                <w:rFonts w:cs="Arial"/>
                <w:b/>
                <w:bCs/>
                <w:sz w:val="22"/>
                <w:szCs w:val="22"/>
                <w:lang w:val="en-US"/>
              </w:rPr>
              <w:t>Patients with baseline sUA</w:t>
            </w:r>
            <w:r>
              <w:rPr>
                <w:rFonts w:cs="Arial"/>
                <w:bCs/>
                <w:sz w:val="22"/>
                <w:szCs w:val="22"/>
                <w:lang w:val="en-US"/>
              </w:rPr>
              <w:t xml:space="preserve"> </w:t>
            </w:r>
            <w:r w:rsidR="003E1089" w:rsidRPr="003E1089">
              <w:rPr>
                <w:rFonts w:cs="Arial"/>
                <w:b/>
                <w:bCs/>
                <w:sz w:val="22"/>
                <w:szCs w:val="22"/>
                <w:lang w:val="en-US"/>
              </w:rPr>
              <w:t>≥</w:t>
            </w:r>
            <w:r w:rsidRPr="003E1089">
              <w:rPr>
                <w:rFonts w:cs="Arial"/>
                <w:b/>
                <w:bCs/>
                <w:sz w:val="22"/>
                <w:szCs w:val="22"/>
                <w:lang w:val="en-US"/>
              </w:rPr>
              <w:t xml:space="preserve">297 </w:t>
            </w:r>
            <w:r w:rsidRPr="002A41DE">
              <w:rPr>
                <w:rFonts w:cs="Arial"/>
                <w:b/>
                <w:bCs/>
                <w:sz w:val="22"/>
                <w:szCs w:val="22"/>
                <w:lang w:val="en-GB"/>
              </w:rPr>
              <w:t>µmol/L</w:t>
            </w:r>
            <w:r w:rsidRPr="002A41DE">
              <w:rPr>
                <w:rFonts w:cs="Arial"/>
                <w:b/>
                <w:bCs/>
                <w:sz w:val="22"/>
                <w:szCs w:val="22"/>
                <w:lang w:val="en-US"/>
              </w:rPr>
              <w:t xml:space="preserve"> </w:t>
            </w:r>
            <w:r w:rsidRPr="002A41DE">
              <w:rPr>
                <w:rFonts w:cs="Arial"/>
                <w:b/>
                <w:bCs/>
                <w:sz w:val="22"/>
                <w:szCs w:val="22"/>
                <w:lang w:val="en-GB"/>
              </w:rPr>
              <w:t>(5 mg/dL)</w:t>
            </w:r>
          </w:p>
        </w:tc>
      </w:tr>
      <w:tr w:rsidR="002A41DE" w:rsidRPr="00443A09" w:rsidTr="00C07D16">
        <w:trPr>
          <w:trHeight w:val="235"/>
        </w:trPr>
        <w:tc>
          <w:tcPr>
            <w:tcW w:w="1701" w:type="dxa"/>
            <w:tcBorders>
              <w:top w:val="single" w:sz="4" w:space="0" w:color="auto"/>
              <w:left w:val="single" w:sz="4" w:space="0" w:color="000000"/>
              <w:bottom w:val="single" w:sz="4" w:space="0" w:color="auto"/>
              <w:right w:val="single" w:sz="4" w:space="0" w:color="000000"/>
            </w:tcBorders>
            <w:vAlign w:val="center"/>
          </w:tcPr>
          <w:p w:rsidR="002A41DE" w:rsidRPr="00443A09" w:rsidDel="00915E46" w:rsidRDefault="002A41DE" w:rsidP="00220761">
            <w:pPr>
              <w:spacing w:after="0" w:line="276" w:lineRule="auto"/>
              <w:jc w:val="center"/>
              <w:rPr>
                <w:rFonts w:cs="Arial"/>
                <w:bCs/>
                <w:sz w:val="22"/>
                <w:szCs w:val="22"/>
                <w:lang w:val="en-US"/>
              </w:rPr>
            </w:pPr>
            <w:r w:rsidRPr="00443A09">
              <w:rPr>
                <w:rFonts w:cs="Arial"/>
                <w:b/>
                <w:bCs/>
                <w:sz w:val="22"/>
                <w:szCs w:val="22"/>
                <w:lang w:val="en-US"/>
              </w:rPr>
              <w:t>Timepoint</w:t>
            </w:r>
          </w:p>
        </w:tc>
        <w:tc>
          <w:tcPr>
            <w:tcW w:w="2127" w:type="dxa"/>
            <w:tcBorders>
              <w:top w:val="single" w:sz="4" w:space="0" w:color="auto"/>
              <w:left w:val="single" w:sz="4" w:space="0" w:color="000000"/>
              <w:bottom w:val="single" w:sz="4" w:space="0" w:color="auto"/>
              <w:right w:val="single" w:sz="4" w:space="0" w:color="000000"/>
            </w:tcBorders>
            <w:vAlign w:val="center"/>
          </w:tcPr>
          <w:p w:rsidR="002A41DE" w:rsidRDefault="002A41DE" w:rsidP="00220761">
            <w:pPr>
              <w:spacing w:after="0" w:line="276" w:lineRule="auto"/>
              <w:jc w:val="center"/>
              <w:rPr>
                <w:rFonts w:cs="Arial"/>
                <w:b/>
                <w:bCs/>
                <w:sz w:val="22"/>
                <w:szCs w:val="22"/>
                <w:lang w:val="en-US"/>
              </w:rPr>
            </w:pPr>
            <w:r w:rsidRPr="00443A09">
              <w:rPr>
                <w:rFonts w:cs="Arial"/>
                <w:b/>
                <w:bCs/>
                <w:sz w:val="22"/>
                <w:szCs w:val="22"/>
                <w:lang w:val="en-US"/>
              </w:rPr>
              <w:t>Placebo + febuxostat 80 mg</w:t>
            </w:r>
          </w:p>
          <w:p w:rsidR="002A41DE" w:rsidRPr="00443A09" w:rsidDel="00915E46" w:rsidRDefault="002A41DE" w:rsidP="00220761">
            <w:pPr>
              <w:spacing w:after="0" w:line="276" w:lineRule="auto"/>
              <w:jc w:val="center"/>
              <w:rPr>
                <w:rFonts w:cs="Arial"/>
                <w:bCs/>
                <w:sz w:val="22"/>
                <w:szCs w:val="22"/>
                <w:lang w:val="en-US"/>
              </w:rPr>
            </w:pPr>
            <w:r>
              <w:rPr>
                <w:rFonts w:cs="Arial"/>
                <w:b/>
                <w:bCs/>
                <w:sz w:val="22"/>
                <w:szCs w:val="22"/>
                <w:lang w:val="en-US"/>
              </w:rPr>
              <w:t>(N=51)</w:t>
            </w:r>
          </w:p>
        </w:tc>
        <w:tc>
          <w:tcPr>
            <w:tcW w:w="2473" w:type="dxa"/>
            <w:tcBorders>
              <w:top w:val="single" w:sz="4" w:space="0" w:color="auto"/>
              <w:left w:val="single" w:sz="4" w:space="0" w:color="000000"/>
              <w:bottom w:val="single" w:sz="4" w:space="0" w:color="auto"/>
              <w:right w:val="single" w:sz="4" w:space="0" w:color="000000"/>
            </w:tcBorders>
            <w:vAlign w:val="center"/>
          </w:tcPr>
          <w:p w:rsidR="002A41DE" w:rsidRDefault="002A41DE" w:rsidP="00220761">
            <w:pPr>
              <w:spacing w:after="0" w:line="276" w:lineRule="auto"/>
              <w:jc w:val="center"/>
              <w:rPr>
                <w:rFonts w:cs="Arial"/>
                <w:b/>
                <w:bCs/>
                <w:sz w:val="22"/>
                <w:szCs w:val="22"/>
                <w:lang w:val="en-US"/>
              </w:rPr>
            </w:pPr>
            <w:r>
              <w:rPr>
                <w:rFonts w:cs="Arial"/>
                <w:b/>
                <w:bCs/>
                <w:sz w:val="22"/>
                <w:szCs w:val="22"/>
                <w:lang w:val="en-US"/>
              </w:rPr>
              <w:t>ZURAMPIC</w:t>
            </w:r>
            <w:r w:rsidRPr="00443A09">
              <w:rPr>
                <w:rFonts w:cs="Arial"/>
                <w:b/>
                <w:bCs/>
                <w:sz w:val="22"/>
                <w:szCs w:val="22"/>
                <w:lang w:val="en-US"/>
              </w:rPr>
              <w:t xml:space="preserve"> 200 mg + febuxostat 80 mg</w:t>
            </w:r>
          </w:p>
          <w:p w:rsidR="002A41DE" w:rsidRPr="00443A09" w:rsidDel="00915E46" w:rsidRDefault="002A41DE" w:rsidP="00220761">
            <w:pPr>
              <w:spacing w:after="0" w:line="276" w:lineRule="auto"/>
              <w:jc w:val="center"/>
              <w:rPr>
                <w:rFonts w:cs="Arial"/>
                <w:bCs/>
                <w:sz w:val="22"/>
                <w:szCs w:val="22"/>
                <w:lang w:val="en-US"/>
              </w:rPr>
            </w:pPr>
            <w:r>
              <w:rPr>
                <w:rFonts w:cs="Arial"/>
                <w:b/>
                <w:bCs/>
                <w:sz w:val="22"/>
                <w:szCs w:val="22"/>
                <w:lang w:val="en-US"/>
              </w:rPr>
              <w:t>(N=59)</w:t>
            </w:r>
          </w:p>
        </w:tc>
        <w:tc>
          <w:tcPr>
            <w:tcW w:w="2771" w:type="dxa"/>
            <w:tcBorders>
              <w:top w:val="single" w:sz="4" w:space="0" w:color="auto"/>
              <w:left w:val="single" w:sz="4" w:space="0" w:color="000000"/>
              <w:bottom w:val="single" w:sz="4" w:space="0" w:color="auto"/>
              <w:right w:val="single" w:sz="4" w:space="0" w:color="000000"/>
            </w:tcBorders>
            <w:vAlign w:val="center"/>
          </w:tcPr>
          <w:p w:rsidR="002A41DE" w:rsidRPr="00443A09" w:rsidDel="00915E46" w:rsidRDefault="002A41DE" w:rsidP="00220761">
            <w:pPr>
              <w:spacing w:after="0" w:line="276" w:lineRule="auto"/>
              <w:jc w:val="center"/>
              <w:rPr>
                <w:rFonts w:cs="Arial"/>
                <w:bCs/>
                <w:sz w:val="22"/>
                <w:szCs w:val="22"/>
                <w:lang w:val="en-US"/>
              </w:rPr>
            </w:pPr>
            <w:r>
              <w:rPr>
                <w:rFonts w:cs="Arial"/>
                <w:b/>
                <w:bCs/>
                <w:sz w:val="22"/>
                <w:szCs w:val="22"/>
                <w:lang w:val="en-US"/>
              </w:rPr>
              <w:t>ZURAMPIC</w:t>
            </w:r>
            <w:r w:rsidRPr="00443A09">
              <w:rPr>
                <w:rFonts w:cs="Arial"/>
                <w:b/>
                <w:bCs/>
                <w:sz w:val="22"/>
                <w:szCs w:val="22"/>
                <w:lang w:val="en-US"/>
              </w:rPr>
              <w:t xml:space="preserve"> 200 mg vs placebo</w:t>
            </w:r>
          </w:p>
        </w:tc>
      </w:tr>
      <w:tr w:rsidR="002A41DE" w:rsidRPr="00443A09" w:rsidTr="00C07D16">
        <w:trPr>
          <w:trHeight w:val="235"/>
        </w:trPr>
        <w:tc>
          <w:tcPr>
            <w:tcW w:w="1701" w:type="dxa"/>
            <w:tcBorders>
              <w:top w:val="single" w:sz="4" w:space="0" w:color="auto"/>
              <w:left w:val="single" w:sz="4" w:space="0" w:color="000000"/>
              <w:bottom w:val="single" w:sz="4" w:space="0" w:color="auto"/>
              <w:right w:val="single" w:sz="4" w:space="0" w:color="000000"/>
            </w:tcBorders>
            <w:vAlign w:val="center"/>
          </w:tcPr>
          <w:p w:rsidR="002A41DE" w:rsidRPr="00443A09" w:rsidDel="00915E46" w:rsidRDefault="002A41DE" w:rsidP="00220761">
            <w:pPr>
              <w:spacing w:after="0" w:line="276" w:lineRule="auto"/>
              <w:jc w:val="center"/>
              <w:rPr>
                <w:rFonts w:cs="Arial"/>
                <w:bCs/>
                <w:sz w:val="22"/>
                <w:szCs w:val="22"/>
                <w:lang w:val="en-US"/>
              </w:rPr>
            </w:pPr>
            <w:r w:rsidRPr="00443A09">
              <w:rPr>
                <w:rFonts w:cs="Arial"/>
                <w:bCs/>
                <w:sz w:val="22"/>
                <w:szCs w:val="22"/>
                <w:lang w:val="en-US"/>
              </w:rPr>
              <w:t>Month 6</w:t>
            </w:r>
          </w:p>
        </w:tc>
        <w:tc>
          <w:tcPr>
            <w:tcW w:w="2127" w:type="dxa"/>
            <w:tcBorders>
              <w:top w:val="single" w:sz="4" w:space="0" w:color="auto"/>
              <w:left w:val="single" w:sz="4" w:space="0" w:color="000000"/>
              <w:bottom w:val="single" w:sz="4" w:space="0" w:color="auto"/>
              <w:right w:val="single" w:sz="4" w:space="0" w:color="000000"/>
            </w:tcBorders>
            <w:vAlign w:val="center"/>
          </w:tcPr>
          <w:p w:rsidR="002A41DE" w:rsidRPr="00443A09" w:rsidDel="00915E46" w:rsidRDefault="002A41DE" w:rsidP="00220761">
            <w:pPr>
              <w:spacing w:after="0" w:line="276" w:lineRule="auto"/>
              <w:jc w:val="center"/>
              <w:rPr>
                <w:rFonts w:cs="Arial"/>
                <w:bCs/>
                <w:sz w:val="22"/>
                <w:szCs w:val="22"/>
                <w:lang w:val="en-US"/>
              </w:rPr>
            </w:pPr>
            <w:r>
              <w:rPr>
                <w:rFonts w:cs="Arial"/>
                <w:bCs/>
                <w:sz w:val="22"/>
                <w:szCs w:val="22"/>
                <w:lang w:val="en-US"/>
              </w:rPr>
              <w:t>12 (24%)</w:t>
            </w:r>
          </w:p>
        </w:tc>
        <w:tc>
          <w:tcPr>
            <w:tcW w:w="2473" w:type="dxa"/>
            <w:tcBorders>
              <w:top w:val="single" w:sz="4" w:space="0" w:color="auto"/>
              <w:left w:val="single" w:sz="4" w:space="0" w:color="000000"/>
              <w:bottom w:val="single" w:sz="4" w:space="0" w:color="auto"/>
              <w:right w:val="single" w:sz="4" w:space="0" w:color="000000"/>
            </w:tcBorders>
            <w:vAlign w:val="center"/>
          </w:tcPr>
          <w:p w:rsidR="002A41DE" w:rsidRPr="00443A09" w:rsidDel="00915E46" w:rsidRDefault="002A41DE" w:rsidP="00220761">
            <w:pPr>
              <w:spacing w:after="0" w:line="276" w:lineRule="auto"/>
              <w:jc w:val="center"/>
              <w:rPr>
                <w:rFonts w:cs="Arial"/>
                <w:bCs/>
                <w:sz w:val="22"/>
                <w:szCs w:val="22"/>
                <w:lang w:val="en-US"/>
              </w:rPr>
            </w:pPr>
            <w:r>
              <w:rPr>
                <w:rFonts w:cs="Arial"/>
                <w:bCs/>
                <w:sz w:val="22"/>
                <w:szCs w:val="22"/>
                <w:lang w:val="en-US"/>
              </w:rPr>
              <w:t>26 (44%)</w:t>
            </w:r>
          </w:p>
        </w:tc>
        <w:tc>
          <w:tcPr>
            <w:tcW w:w="2771" w:type="dxa"/>
            <w:tcBorders>
              <w:top w:val="single" w:sz="4" w:space="0" w:color="auto"/>
              <w:left w:val="single" w:sz="4" w:space="0" w:color="000000"/>
              <w:bottom w:val="single" w:sz="4" w:space="0" w:color="auto"/>
              <w:right w:val="single" w:sz="4" w:space="0" w:color="000000"/>
            </w:tcBorders>
            <w:vAlign w:val="center"/>
          </w:tcPr>
          <w:p w:rsidR="002A41DE" w:rsidRDefault="0087235C" w:rsidP="00220761">
            <w:pPr>
              <w:spacing w:after="0" w:line="276" w:lineRule="auto"/>
              <w:jc w:val="center"/>
              <w:rPr>
                <w:rFonts w:cs="Arial"/>
                <w:bCs/>
                <w:sz w:val="22"/>
                <w:szCs w:val="22"/>
                <w:lang w:val="en-US"/>
              </w:rPr>
            </w:pPr>
            <w:r>
              <w:rPr>
                <w:rFonts w:cs="Arial"/>
                <w:bCs/>
                <w:sz w:val="22"/>
                <w:szCs w:val="22"/>
                <w:lang w:val="en-US"/>
              </w:rPr>
              <w:t>0.21</w:t>
            </w:r>
          </w:p>
          <w:p w:rsidR="0087235C" w:rsidRPr="00443A09" w:rsidDel="00915E46" w:rsidRDefault="0087235C" w:rsidP="00220761">
            <w:pPr>
              <w:spacing w:after="0" w:line="276" w:lineRule="auto"/>
              <w:jc w:val="center"/>
              <w:rPr>
                <w:rFonts w:cs="Arial"/>
                <w:bCs/>
                <w:sz w:val="22"/>
                <w:szCs w:val="22"/>
                <w:lang w:val="en-US"/>
              </w:rPr>
            </w:pPr>
            <w:r>
              <w:rPr>
                <w:rFonts w:cs="Arial"/>
                <w:bCs/>
                <w:sz w:val="22"/>
                <w:szCs w:val="22"/>
                <w:lang w:val="en-US"/>
              </w:rPr>
              <w:t>(0.03, 0.38)</w:t>
            </w:r>
          </w:p>
        </w:tc>
      </w:tr>
    </w:tbl>
    <w:p w:rsidR="003A60B7" w:rsidRDefault="003A60B7" w:rsidP="003B165E">
      <w:pPr>
        <w:spacing w:after="0"/>
        <w:rPr>
          <w:rFonts w:cs="Arial"/>
          <w:sz w:val="22"/>
          <w:szCs w:val="22"/>
          <w:lang w:val="en-US"/>
        </w:rPr>
      </w:pPr>
    </w:p>
    <w:p w:rsidR="001D511A" w:rsidRPr="001D511A" w:rsidRDefault="001D511A" w:rsidP="001D511A">
      <w:pPr>
        <w:rPr>
          <w:rFonts w:cs="Arial"/>
          <w:sz w:val="22"/>
          <w:szCs w:val="22"/>
        </w:rPr>
      </w:pPr>
      <w:r w:rsidRPr="001D511A">
        <w:rPr>
          <w:rFonts w:cs="Arial"/>
          <w:sz w:val="22"/>
          <w:szCs w:val="22"/>
        </w:rPr>
        <w:t>Serum uric acid reduction from baseline was observed at Month 1 and was stable for the duration of the 12</w:t>
      </w:r>
      <w:r w:rsidRPr="001D511A">
        <w:rPr>
          <w:rFonts w:cs="Arial"/>
          <w:sz w:val="22"/>
          <w:szCs w:val="22"/>
        </w:rPr>
        <w:noBreakHyphen/>
        <w:t xml:space="preserve">month treatment period with </w:t>
      </w:r>
      <w:r w:rsidRPr="001D511A">
        <w:rPr>
          <w:rFonts w:cs="Arial"/>
          <w:sz w:val="22"/>
          <w:szCs w:val="22"/>
          <w:lang w:val="en-GB"/>
        </w:rPr>
        <w:t>ZURAMPIC</w:t>
      </w:r>
      <w:r w:rsidRPr="001D511A">
        <w:rPr>
          <w:rFonts w:cs="Arial"/>
          <w:sz w:val="22"/>
          <w:szCs w:val="22"/>
        </w:rPr>
        <w:t xml:space="preserve"> in combination with febuxostat (see Figure 2).</w:t>
      </w:r>
    </w:p>
    <w:p w:rsidR="00443A09" w:rsidRPr="00331650" w:rsidRDefault="00A07ACD" w:rsidP="00A07ACD">
      <w:pPr>
        <w:pStyle w:val="A-TableTitle"/>
        <w:rPr>
          <w:sz w:val="22"/>
          <w:szCs w:val="22"/>
        </w:rPr>
      </w:pPr>
      <w:r w:rsidRPr="00331650">
        <w:rPr>
          <w:sz w:val="22"/>
          <w:szCs w:val="22"/>
        </w:rPr>
        <w:lastRenderedPageBreak/>
        <w:t>Figure 2</w:t>
      </w:r>
      <w:r w:rsidR="00443A09" w:rsidRPr="00331650">
        <w:rPr>
          <w:sz w:val="22"/>
          <w:szCs w:val="22"/>
        </w:rPr>
        <w:t xml:space="preserve"> </w:t>
      </w:r>
      <w:r w:rsidR="00443A09" w:rsidRPr="00331650">
        <w:rPr>
          <w:sz w:val="22"/>
          <w:szCs w:val="22"/>
        </w:rPr>
        <w:tab/>
        <w:t xml:space="preserve">Mean </w:t>
      </w:r>
      <w:r w:rsidR="00844891" w:rsidRPr="00331650">
        <w:rPr>
          <w:sz w:val="22"/>
          <w:szCs w:val="22"/>
        </w:rPr>
        <w:t>sUA</w:t>
      </w:r>
      <w:r w:rsidR="00443A09" w:rsidRPr="00331650">
        <w:rPr>
          <w:sz w:val="22"/>
          <w:szCs w:val="22"/>
        </w:rPr>
        <w:t xml:space="preserve"> levels with </w:t>
      </w:r>
      <w:r w:rsidRPr="00331650">
        <w:rPr>
          <w:sz w:val="22"/>
          <w:szCs w:val="22"/>
        </w:rPr>
        <w:t>ZURAMPIC</w:t>
      </w:r>
      <w:r w:rsidR="00443A09" w:rsidRPr="00331650">
        <w:rPr>
          <w:sz w:val="22"/>
          <w:szCs w:val="22"/>
        </w:rPr>
        <w:t xml:space="preserve"> in a febuxostat combination study in tophaceous gout</w:t>
      </w:r>
    </w:p>
    <w:p w:rsidR="00443A09" w:rsidRPr="00A07ACD" w:rsidRDefault="00562C3A" w:rsidP="00A07ACD">
      <w:pPr>
        <w:jc w:val="center"/>
        <w:rPr>
          <w:rFonts w:cs="Arial"/>
          <w:b/>
          <w:bCs/>
          <w:sz w:val="22"/>
          <w:szCs w:val="22"/>
          <w:lang w:val="en-US"/>
        </w:rPr>
      </w:pPr>
      <w:r>
        <w:rPr>
          <w:rFonts w:cs="Arial"/>
          <w:b/>
          <w:noProof/>
          <w:sz w:val="22"/>
          <w:szCs w:val="22"/>
          <w:lang w:eastAsia="en-AU"/>
        </w:rPr>
        <w:drawing>
          <wp:inline distT="0" distB="0" distL="0" distR="0">
            <wp:extent cx="4707255" cy="3750945"/>
            <wp:effectExtent l="0" t="0" r="0" b="1905"/>
            <wp:docPr id="3" name="Picture 2" descr="C:\Users\moneill\Desktop\SmPC figures\G_USPI_sUA_by_Month_CRYSTAL_PBO_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eill\Desktop\SmPC figures\G_USPI_sUA_by_Month_CRYSTAL_PBO_2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07255" cy="3750945"/>
                    </a:xfrm>
                    <a:prstGeom prst="rect">
                      <a:avLst/>
                    </a:prstGeom>
                    <a:noFill/>
                    <a:ln>
                      <a:noFill/>
                    </a:ln>
                  </pic:spPr>
                </pic:pic>
              </a:graphicData>
            </a:graphic>
          </wp:inline>
        </w:drawing>
      </w:r>
    </w:p>
    <w:p w:rsidR="00443A09" w:rsidRPr="00443A09" w:rsidRDefault="00443A09" w:rsidP="00443A09">
      <w:pPr>
        <w:rPr>
          <w:rFonts w:cs="Arial"/>
          <w:sz w:val="22"/>
          <w:szCs w:val="22"/>
          <w:lang w:val="en-US"/>
        </w:rPr>
      </w:pPr>
      <w:r w:rsidRPr="00443A09">
        <w:rPr>
          <w:rFonts w:cs="Arial"/>
          <w:sz w:val="22"/>
          <w:szCs w:val="22"/>
          <w:lang w:val="en-US"/>
        </w:rPr>
        <w:t xml:space="preserve">By Month 6, a greater proportion of patients treated with </w:t>
      </w:r>
      <w:r w:rsidR="00A07ACD">
        <w:rPr>
          <w:rFonts w:cs="Arial"/>
          <w:sz w:val="22"/>
          <w:szCs w:val="22"/>
          <w:lang w:val="en-US"/>
        </w:rPr>
        <w:t>ZURAMPIC</w:t>
      </w:r>
      <w:r w:rsidRPr="00443A09">
        <w:rPr>
          <w:rFonts w:cs="Arial"/>
          <w:sz w:val="22"/>
          <w:szCs w:val="22"/>
          <w:lang w:val="en-US"/>
        </w:rPr>
        <w:t xml:space="preserve"> 200 mg in combination with febuxostat compared with patients treated with placebo in combination with febuxostat achieved a </w:t>
      </w:r>
      <w:r w:rsidR="00844891">
        <w:rPr>
          <w:rFonts w:cs="Arial"/>
          <w:sz w:val="22"/>
          <w:szCs w:val="22"/>
          <w:lang w:val="en-US"/>
        </w:rPr>
        <w:t>sUA</w:t>
      </w:r>
      <w:r w:rsidRPr="00443A09">
        <w:rPr>
          <w:rFonts w:cs="Arial"/>
          <w:sz w:val="22"/>
          <w:szCs w:val="22"/>
          <w:lang w:val="en-US"/>
        </w:rPr>
        <w:t xml:space="preserve"> level less than </w:t>
      </w:r>
      <w:r w:rsidR="0026262B">
        <w:rPr>
          <w:rFonts w:cs="Arial"/>
          <w:sz w:val="22"/>
          <w:szCs w:val="22"/>
          <w:lang w:val="en-US"/>
        </w:rPr>
        <w:t>238</w:t>
      </w:r>
      <w:r w:rsidR="00655F19">
        <w:rPr>
          <w:rFonts w:cs="Arial"/>
          <w:sz w:val="22"/>
          <w:szCs w:val="22"/>
          <w:lang w:val="en-US"/>
        </w:rPr>
        <w:t xml:space="preserve"> </w:t>
      </w:r>
      <w:r w:rsidR="00655F19">
        <w:rPr>
          <w:rFonts w:cs="Arial"/>
          <w:bCs/>
          <w:sz w:val="22"/>
          <w:szCs w:val="22"/>
          <w:lang w:val="en-GB"/>
        </w:rPr>
        <w:t>µmol/L</w:t>
      </w:r>
      <w:r w:rsidRPr="00443A09">
        <w:rPr>
          <w:rFonts w:cs="Arial"/>
          <w:sz w:val="22"/>
          <w:szCs w:val="22"/>
          <w:lang w:val="en-US"/>
        </w:rPr>
        <w:t xml:space="preserve"> </w:t>
      </w:r>
      <w:r w:rsidR="00B42BDF">
        <w:rPr>
          <w:rFonts w:cs="Arial"/>
          <w:bCs/>
          <w:sz w:val="22"/>
          <w:szCs w:val="22"/>
          <w:lang w:val="en-GB"/>
        </w:rPr>
        <w:t>(</w:t>
      </w:r>
      <w:r w:rsidR="00655F19">
        <w:rPr>
          <w:rFonts w:cs="Arial"/>
          <w:bCs/>
          <w:sz w:val="22"/>
          <w:szCs w:val="22"/>
          <w:lang w:val="en-GB"/>
        </w:rPr>
        <w:t>4 mg/dL</w:t>
      </w:r>
      <w:r w:rsidR="00B42BDF">
        <w:rPr>
          <w:rFonts w:cs="Arial"/>
          <w:bCs/>
          <w:sz w:val="22"/>
          <w:szCs w:val="22"/>
          <w:lang w:val="en-GB"/>
        </w:rPr>
        <w:t>)</w:t>
      </w:r>
      <w:r w:rsidR="00B42BDF" w:rsidRPr="00443A09">
        <w:rPr>
          <w:rFonts w:cs="Arial"/>
          <w:sz w:val="22"/>
          <w:szCs w:val="22"/>
          <w:lang w:val="en-US"/>
        </w:rPr>
        <w:t xml:space="preserve"> </w:t>
      </w:r>
      <w:r w:rsidRPr="00443A09">
        <w:rPr>
          <w:rFonts w:cs="Arial"/>
          <w:sz w:val="22"/>
          <w:szCs w:val="22"/>
          <w:lang w:val="en-US"/>
        </w:rPr>
        <w:t xml:space="preserve">(44% versus 19%) and less than </w:t>
      </w:r>
      <w:r w:rsidR="00A5640D">
        <w:rPr>
          <w:rFonts w:cs="Arial"/>
          <w:sz w:val="22"/>
          <w:szCs w:val="22"/>
          <w:lang w:val="en-US"/>
        </w:rPr>
        <w:br/>
      </w:r>
      <w:r w:rsidR="0026262B">
        <w:rPr>
          <w:rFonts w:cs="Arial"/>
          <w:sz w:val="22"/>
          <w:szCs w:val="22"/>
          <w:lang w:val="en-US"/>
        </w:rPr>
        <w:t>178</w:t>
      </w:r>
      <w:r w:rsidR="00655F19">
        <w:rPr>
          <w:rFonts w:cs="Arial"/>
          <w:sz w:val="22"/>
          <w:szCs w:val="22"/>
          <w:lang w:val="en-US"/>
        </w:rPr>
        <w:t xml:space="preserve"> </w:t>
      </w:r>
      <w:r w:rsidR="00655F19">
        <w:rPr>
          <w:rFonts w:cs="Arial"/>
          <w:bCs/>
          <w:sz w:val="22"/>
          <w:szCs w:val="22"/>
          <w:lang w:val="en-GB"/>
        </w:rPr>
        <w:t>µmol/L</w:t>
      </w:r>
      <w:r w:rsidRPr="00443A09">
        <w:rPr>
          <w:rFonts w:cs="Arial"/>
          <w:sz w:val="22"/>
          <w:szCs w:val="22"/>
          <w:lang w:val="en-US"/>
        </w:rPr>
        <w:t xml:space="preserve"> </w:t>
      </w:r>
      <w:r w:rsidR="00B42BDF">
        <w:rPr>
          <w:rFonts w:cs="Arial"/>
          <w:bCs/>
          <w:sz w:val="22"/>
          <w:szCs w:val="22"/>
          <w:lang w:val="en-GB"/>
        </w:rPr>
        <w:t>(</w:t>
      </w:r>
      <w:r w:rsidR="00655F19">
        <w:rPr>
          <w:rFonts w:cs="Arial"/>
          <w:bCs/>
          <w:sz w:val="22"/>
          <w:szCs w:val="22"/>
          <w:lang w:val="en-GB"/>
        </w:rPr>
        <w:t>3 mg/dL</w:t>
      </w:r>
      <w:r w:rsidR="00B42BDF">
        <w:rPr>
          <w:rFonts w:cs="Arial"/>
          <w:bCs/>
          <w:sz w:val="22"/>
          <w:szCs w:val="22"/>
          <w:lang w:val="en-GB"/>
        </w:rPr>
        <w:t>)</w:t>
      </w:r>
      <w:r w:rsidR="00B42BDF" w:rsidRPr="00443A09">
        <w:rPr>
          <w:rFonts w:cs="Arial"/>
          <w:sz w:val="22"/>
          <w:szCs w:val="22"/>
          <w:lang w:val="en-US"/>
        </w:rPr>
        <w:t xml:space="preserve"> </w:t>
      </w:r>
      <w:r w:rsidRPr="00443A09">
        <w:rPr>
          <w:rFonts w:cs="Arial"/>
          <w:sz w:val="22"/>
          <w:szCs w:val="22"/>
          <w:lang w:val="en-US"/>
        </w:rPr>
        <w:t>(26% versus 2%).</w:t>
      </w:r>
    </w:p>
    <w:p w:rsidR="00443A09" w:rsidRPr="00443A09" w:rsidRDefault="00443A09" w:rsidP="00443A09">
      <w:pPr>
        <w:rPr>
          <w:rFonts w:cs="Arial"/>
          <w:b/>
          <w:bCs/>
          <w:sz w:val="22"/>
          <w:szCs w:val="22"/>
          <w:lang w:val="en-GB"/>
        </w:rPr>
      </w:pPr>
      <w:r w:rsidRPr="00443A09">
        <w:rPr>
          <w:rFonts w:cs="Arial"/>
          <w:b/>
          <w:bCs/>
          <w:sz w:val="22"/>
          <w:szCs w:val="22"/>
          <w:lang w:val="en-GB"/>
        </w:rPr>
        <w:t>Primary end-point in patients with renal impairment</w:t>
      </w:r>
    </w:p>
    <w:p w:rsidR="00443A09" w:rsidRDefault="00443A09" w:rsidP="00443A09">
      <w:pPr>
        <w:rPr>
          <w:rFonts w:cs="Arial"/>
          <w:sz w:val="22"/>
          <w:szCs w:val="22"/>
          <w:lang w:val="en-US"/>
        </w:rPr>
      </w:pPr>
      <w:r w:rsidRPr="00443A09">
        <w:rPr>
          <w:rFonts w:cs="Arial"/>
          <w:sz w:val="22"/>
          <w:szCs w:val="22"/>
          <w:lang w:val="en-US"/>
        </w:rPr>
        <w:t xml:space="preserve">The efficacy of </w:t>
      </w:r>
      <w:r w:rsidR="00F752F4">
        <w:rPr>
          <w:rFonts w:cs="Arial"/>
          <w:sz w:val="22"/>
          <w:szCs w:val="22"/>
          <w:lang w:val="en-US"/>
        </w:rPr>
        <w:t>ZURAMPIC</w:t>
      </w:r>
      <w:r w:rsidRPr="00443A09">
        <w:rPr>
          <w:rFonts w:cs="Arial"/>
          <w:sz w:val="22"/>
          <w:szCs w:val="22"/>
          <w:lang w:val="en-US"/>
        </w:rPr>
        <w:t xml:space="preserve"> in patients with mild or mod</w:t>
      </w:r>
      <w:r w:rsidR="00A07ACD">
        <w:rPr>
          <w:rFonts w:cs="Arial"/>
          <w:sz w:val="22"/>
          <w:szCs w:val="22"/>
          <w:lang w:val="en-US"/>
        </w:rPr>
        <w:t xml:space="preserve">erate renal impairment </w:t>
      </w:r>
      <w:r w:rsidR="00A07ACD">
        <w:rPr>
          <w:rFonts w:cs="Arial"/>
          <w:sz w:val="22"/>
          <w:szCs w:val="22"/>
          <w:lang w:val="en-US"/>
        </w:rPr>
        <w:br/>
        <w:t>(eCrCl &lt;</w:t>
      </w:r>
      <w:r w:rsidRPr="00443A09">
        <w:rPr>
          <w:rFonts w:cs="Arial"/>
          <w:sz w:val="22"/>
          <w:szCs w:val="22"/>
          <w:lang w:val="en-US"/>
        </w:rPr>
        <w:t xml:space="preserve">90 mL/min) was consistent with the overall population in each of the 3 clinical studies of </w:t>
      </w:r>
      <w:r w:rsidR="00F752F4">
        <w:rPr>
          <w:rFonts w:cs="Arial"/>
          <w:sz w:val="22"/>
          <w:szCs w:val="22"/>
          <w:lang w:val="en-US"/>
        </w:rPr>
        <w:t>ZURAMPIC</w:t>
      </w:r>
      <w:r w:rsidRPr="00443A09">
        <w:rPr>
          <w:rFonts w:cs="Arial"/>
          <w:sz w:val="22"/>
          <w:szCs w:val="22"/>
          <w:lang w:val="en-US"/>
        </w:rPr>
        <w:t xml:space="preserve"> in combination with a xanthine oxidase inhibitor. In CLEAR1 and CLEAR2 combined, the proportion of patients with mild or moderate renal impairment who achieved target </w:t>
      </w:r>
      <w:r w:rsidR="00844891">
        <w:rPr>
          <w:rFonts w:cs="Arial"/>
          <w:sz w:val="22"/>
          <w:szCs w:val="22"/>
          <w:lang w:val="en-US"/>
        </w:rPr>
        <w:t>sUA</w:t>
      </w:r>
      <w:r w:rsidRPr="00443A09">
        <w:rPr>
          <w:rFonts w:cs="Arial"/>
          <w:sz w:val="22"/>
          <w:szCs w:val="22"/>
          <w:lang w:val="en-US"/>
        </w:rPr>
        <w:t xml:space="preserve"> levels with </w:t>
      </w:r>
      <w:r w:rsidR="00A07ACD">
        <w:rPr>
          <w:rFonts w:cs="Arial"/>
          <w:sz w:val="22"/>
          <w:szCs w:val="22"/>
          <w:lang w:val="en-US"/>
        </w:rPr>
        <w:t>ZURAMPIC</w:t>
      </w:r>
      <w:r w:rsidRPr="00443A09">
        <w:rPr>
          <w:rFonts w:cs="Arial"/>
          <w:sz w:val="22"/>
          <w:szCs w:val="22"/>
          <w:lang w:val="en-US"/>
        </w:rPr>
        <w:t xml:space="preserve"> 200 mg in combination with allopurinol was greater than those on placebo in combination with allopurinol by Month 6 (56% versus 29%) and Month 12 (49% versus 27%). In CRYSTAL, the proportion of patients with mild or moderate renal impairment who achieved target </w:t>
      </w:r>
      <w:r w:rsidR="00844891">
        <w:rPr>
          <w:rFonts w:cs="Arial"/>
          <w:sz w:val="22"/>
          <w:szCs w:val="22"/>
          <w:lang w:val="en-US"/>
        </w:rPr>
        <w:t>sUA</w:t>
      </w:r>
      <w:r w:rsidRPr="00443A09">
        <w:rPr>
          <w:rFonts w:cs="Arial"/>
          <w:sz w:val="22"/>
          <w:szCs w:val="22"/>
          <w:lang w:val="en-US"/>
        </w:rPr>
        <w:t xml:space="preserve"> levels (less than </w:t>
      </w:r>
      <w:r w:rsidR="00A36AAD">
        <w:rPr>
          <w:rFonts w:cs="Arial"/>
          <w:sz w:val="22"/>
          <w:szCs w:val="22"/>
          <w:lang w:val="en-US"/>
        </w:rPr>
        <w:t>297</w:t>
      </w:r>
      <w:r w:rsidR="00E21169">
        <w:rPr>
          <w:rFonts w:cs="Arial"/>
          <w:sz w:val="22"/>
          <w:szCs w:val="22"/>
          <w:lang w:val="en-US"/>
        </w:rPr>
        <w:t xml:space="preserve"> </w:t>
      </w:r>
      <w:r w:rsidR="00E21169">
        <w:rPr>
          <w:rFonts w:cs="Arial"/>
          <w:bCs/>
          <w:sz w:val="22"/>
          <w:szCs w:val="22"/>
          <w:lang w:val="en-GB"/>
        </w:rPr>
        <w:t>µmol/L</w:t>
      </w:r>
      <w:r w:rsidR="001C77E7">
        <w:rPr>
          <w:rFonts w:cs="Arial"/>
          <w:sz w:val="22"/>
          <w:szCs w:val="22"/>
          <w:lang w:val="en-US"/>
        </w:rPr>
        <w:t xml:space="preserve"> </w:t>
      </w:r>
      <w:r w:rsidR="001C77E7">
        <w:rPr>
          <w:rFonts w:cs="Arial"/>
          <w:bCs/>
          <w:sz w:val="22"/>
          <w:szCs w:val="22"/>
          <w:lang w:val="en-GB"/>
        </w:rPr>
        <w:t>(</w:t>
      </w:r>
      <w:r w:rsidR="00E21169">
        <w:rPr>
          <w:rFonts w:cs="Arial"/>
          <w:bCs/>
          <w:sz w:val="22"/>
          <w:szCs w:val="22"/>
          <w:lang w:val="en-GB"/>
        </w:rPr>
        <w:t>5 mg/dL</w:t>
      </w:r>
      <w:r w:rsidR="001C77E7">
        <w:rPr>
          <w:rFonts w:cs="Arial"/>
          <w:bCs/>
          <w:sz w:val="22"/>
          <w:szCs w:val="22"/>
          <w:lang w:val="en-GB"/>
        </w:rPr>
        <w:t>)</w:t>
      </w:r>
      <w:r w:rsidRPr="00443A09">
        <w:rPr>
          <w:rFonts w:cs="Arial"/>
          <w:sz w:val="22"/>
          <w:szCs w:val="22"/>
          <w:lang w:val="en-US"/>
        </w:rPr>
        <w:t xml:space="preserve">) with </w:t>
      </w:r>
      <w:r w:rsidR="00A07ACD">
        <w:rPr>
          <w:rFonts w:cs="Arial"/>
          <w:sz w:val="22"/>
          <w:szCs w:val="22"/>
          <w:lang w:val="en-US"/>
        </w:rPr>
        <w:t>ZURAMPIC</w:t>
      </w:r>
      <w:r w:rsidRPr="00443A09">
        <w:rPr>
          <w:rFonts w:cs="Arial"/>
          <w:sz w:val="22"/>
          <w:szCs w:val="22"/>
          <w:lang w:val="en-US"/>
        </w:rPr>
        <w:t xml:space="preserve"> 200 mg in combination with febuxostat was greater than those on placebo in combination with febuxostat by Month 6 (55% versus 49%) and Month 12 (54% versus 44%).</w:t>
      </w:r>
    </w:p>
    <w:p w:rsidR="007E047F" w:rsidRDefault="007E047F" w:rsidP="00443A09">
      <w:pPr>
        <w:rPr>
          <w:rFonts w:cs="Arial"/>
          <w:sz w:val="22"/>
          <w:szCs w:val="22"/>
          <w:lang w:val="en-US"/>
        </w:rPr>
      </w:pPr>
    </w:p>
    <w:p w:rsidR="007E047F" w:rsidRPr="00474DFE" w:rsidRDefault="007E047F" w:rsidP="00443A09">
      <w:pPr>
        <w:rPr>
          <w:rFonts w:cs="Arial"/>
          <w:sz w:val="22"/>
          <w:szCs w:val="22"/>
          <w:lang w:val="en-US"/>
        </w:rPr>
      </w:pPr>
    </w:p>
    <w:p w:rsidR="00443A09" w:rsidRPr="00764831" w:rsidRDefault="007C584B" w:rsidP="00995B39">
      <w:pPr>
        <w:rPr>
          <w:rFonts w:cs="Arial"/>
          <w:b/>
          <w:bCs/>
          <w:sz w:val="22"/>
          <w:szCs w:val="22"/>
          <w:lang w:val="en-US"/>
        </w:rPr>
      </w:pPr>
      <w:r>
        <w:rPr>
          <w:rFonts w:cs="Arial"/>
          <w:b/>
          <w:bCs/>
          <w:sz w:val="22"/>
          <w:szCs w:val="22"/>
          <w:lang w:val="en-US"/>
        </w:rPr>
        <w:lastRenderedPageBreak/>
        <w:t>Clinical outcomes –</w:t>
      </w:r>
      <w:r w:rsidR="00443A09" w:rsidRPr="00443A09">
        <w:rPr>
          <w:rFonts w:cs="Arial"/>
          <w:b/>
          <w:bCs/>
          <w:sz w:val="22"/>
          <w:szCs w:val="22"/>
          <w:lang w:val="en-US"/>
        </w:rPr>
        <w:t xml:space="preserve"> </w:t>
      </w:r>
      <w:r w:rsidR="00764831">
        <w:rPr>
          <w:rFonts w:cs="Arial"/>
          <w:b/>
          <w:bCs/>
          <w:sz w:val="22"/>
          <w:szCs w:val="22"/>
          <w:lang w:val="en-US"/>
        </w:rPr>
        <w:t>gout flares requiring treatment</w:t>
      </w:r>
    </w:p>
    <w:p w:rsidR="00995B39" w:rsidRPr="00995B39" w:rsidRDefault="0030335A" w:rsidP="00995B39">
      <w:pPr>
        <w:rPr>
          <w:rFonts w:cs="Arial"/>
          <w:sz w:val="22"/>
          <w:szCs w:val="22"/>
          <w:lang w:val="en-US"/>
        </w:rPr>
      </w:pPr>
      <w:r>
        <w:rPr>
          <w:rFonts w:cs="Arial"/>
          <w:sz w:val="22"/>
          <w:szCs w:val="22"/>
          <w:lang w:val="en-US"/>
        </w:rPr>
        <w:t>In CLEAR</w:t>
      </w:r>
      <w:r w:rsidR="00995B39" w:rsidRPr="00995B39">
        <w:rPr>
          <w:rFonts w:cs="Arial"/>
          <w:sz w:val="22"/>
          <w:szCs w:val="22"/>
          <w:lang w:val="en-US"/>
        </w:rPr>
        <w:t>1 and CLEAR2, the rate of gout flares requiring treatment in the last 6 months of study was a key secondary endpoint. There was no statistical difference between ZURAMPIC 200 mg in combination with allopurinol and placebo in combination with allopurinol.</w:t>
      </w:r>
    </w:p>
    <w:p w:rsidR="00443A09" w:rsidRPr="00764831" w:rsidRDefault="007C584B" w:rsidP="00443A09">
      <w:pPr>
        <w:rPr>
          <w:rFonts w:cs="Arial"/>
          <w:b/>
          <w:sz w:val="22"/>
          <w:szCs w:val="22"/>
          <w:lang w:val="en-US"/>
        </w:rPr>
      </w:pPr>
      <w:r>
        <w:rPr>
          <w:rFonts w:cs="Arial"/>
          <w:b/>
          <w:sz w:val="22"/>
          <w:szCs w:val="22"/>
          <w:lang w:val="en-US"/>
        </w:rPr>
        <w:t>Clinical outcomes –</w:t>
      </w:r>
      <w:r w:rsidR="00443A09" w:rsidRPr="00443A09">
        <w:rPr>
          <w:rFonts w:cs="Arial"/>
          <w:b/>
          <w:sz w:val="22"/>
          <w:szCs w:val="22"/>
          <w:lang w:val="en-US"/>
        </w:rPr>
        <w:t xml:space="preserve"> </w:t>
      </w:r>
      <w:r w:rsidR="00764831">
        <w:rPr>
          <w:rFonts w:cs="Arial"/>
          <w:b/>
          <w:sz w:val="22"/>
          <w:szCs w:val="22"/>
          <w:lang w:val="en-US"/>
        </w:rPr>
        <w:t>tophus resolution and reduction</w:t>
      </w:r>
    </w:p>
    <w:p w:rsidR="00A26EAB" w:rsidRPr="00A26EAB" w:rsidRDefault="00A26EAB" w:rsidP="00443A09">
      <w:pPr>
        <w:rPr>
          <w:rFonts w:cs="Arial"/>
          <w:sz w:val="22"/>
          <w:szCs w:val="22"/>
          <w:lang w:val="en-US"/>
        </w:rPr>
      </w:pPr>
      <w:r w:rsidRPr="00A26EAB">
        <w:rPr>
          <w:rFonts w:cs="Arial"/>
          <w:sz w:val="22"/>
          <w:szCs w:val="22"/>
          <w:lang w:val="en-US"/>
        </w:rPr>
        <w:t xml:space="preserve">In CLEAR1, CLEAR2, </w:t>
      </w:r>
      <w:r w:rsidR="0030335A">
        <w:rPr>
          <w:rFonts w:cs="Arial"/>
          <w:sz w:val="22"/>
          <w:szCs w:val="22"/>
          <w:lang w:val="en-US"/>
        </w:rPr>
        <w:t xml:space="preserve">and </w:t>
      </w:r>
      <w:r w:rsidRPr="00A26EAB">
        <w:rPr>
          <w:rFonts w:cs="Arial"/>
          <w:sz w:val="22"/>
          <w:szCs w:val="22"/>
          <w:lang w:val="en-US"/>
        </w:rPr>
        <w:t xml:space="preserve">CRYSTAL, the proportion of patients with complete resolution </w:t>
      </w:r>
      <w:r w:rsidR="0030335A" w:rsidRPr="0030335A">
        <w:rPr>
          <w:rFonts w:cs="Arial"/>
          <w:sz w:val="22"/>
          <w:szCs w:val="22"/>
          <w:lang w:val="en-US"/>
        </w:rPr>
        <w:t xml:space="preserve">of </w:t>
      </w:r>
      <w:r w:rsidR="006F0326">
        <w:rPr>
          <w:rFonts w:cs="Arial"/>
          <w:sz w:val="22"/>
          <w:szCs w:val="22"/>
          <w:lang w:val="en-US"/>
        </w:rPr>
        <w:t xml:space="preserve">at least </w:t>
      </w:r>
      <w:r w:rsidR="0030335A" w:rsidRPr="0030335A">
        <w:rPr>
          <w:rFonts w:cs="Arial"/>
          <w:sz w:val="22"/>
          <w:szCs w:val="22"/>
          <w:lang w:val="en-US"/>
        </w:rPr>
        <w:t>1 target tophus</w:t>
      </w:r>
      <w:r w:rsidR="0030335A" w:rsidRPr="00E34836">
        <w:rPr>
          <w:rFonts w:cs="Arial"/>
          <w:sz w:val="22"/>
          <w:szCs w:val="22"/>
          <w:lang w:val="en-US"/>
        </w:rPr>
        <w:t xml:space="preserve"> </w:t>
      </w:r>
      <w:r w:rsidRPr="00A26EAB">
        <w:rPr>
          <w:rFonts w:cs="Arial"/>
          <w:sz w:val="22"/>
          <w:szCs w:val="22"/>
          <w:lang w:val="en-US"/>
        </w:rPr>
        <w:t>was a key secondary endpoint.</w:t>
      </w:r>
      <w:r w:rsidR="002216F7">
        <w:rPr>
          <w:rFonts w:cs="Arial"/>
          <w:sz w:val="22"/>
          <w:szCs w:val="22"/>
          <w:lang w:val="en-US"/>
        </w:rPr>
        <w:t xml:space="preserve"> </w:t>
      </w:r>
      <w:r w:rsidR="002216F7" w:rsidRPr="003E0BF3">
        <w:rPr>
          <w:rFonts w:cs="Arial"/>
          <w:sz w:val="22"/>
          <w:szCs w:val="22"/>
          <w:lang w:val="en-US"/>
        </w:rPr>
        <w:t>The proportion of patients with complete or partial resolution was an additional key secondary endpoint in CRYSTAL.</w:t>
      </w:r>
      <w:r w:rsidR="002216F7">
        <w:rPr>
          <w:rFonts w:cs="Arial"/>
          <w:sz w:val="22"/>
          <w:szCs w:val="22"/>
          <w:lang w:val="en-US"/>
        </w:rPr>
        <w:t xml:space="preserve"> </w:t>
      </w:r>
      <w:r w:rsidRPr="00A26EAB">
        <w:rPr>
          <w:rFonts w:cs="Arial"/>
          <w:sz w:val="22"/>
          <w:szCs w:val="22"/>
          <w:lang w:val="en-US"/>
        </w:rPr>
        <w:t>There was no statistical difference favoring ZURAMPIC combination therapy compared with allopurinol or febuxostat alone</w:t>
      </w:r>
      <w:r w:rsidR="00223A14">
        <w:rPr>
          <w:rFonts w:cs="Arial"/>
          <w:sz w:val="22"/>
          <w:szCs w:val="22"/>
          <w:lang w:val="en-US"/>
        </w:rPr>
        <w:t xml:space="preserve"> for any of these endpoints</w:t>
      </w:r>
      <w:r w:rsidRPr="00A26EAB">
        <w:rPr>
          <w:rFonts w:cs="Arial"/>
          <w:sz w:val="22"/>
          <w:szCs w:val="22"/>
          <w:lang w:val="en-US"/>
        </w:rPr>
        <w:t>.</w:t>
      </w:r>
    </w:p>
    <w:p w:rsidR="00443A09" w:rsidRPr="00443A09" w:rsidRDefault="00474DFE" w:rsidP="00443A09">
      <w:pPr>
        <w:rPr>
          <w:rFonts w:cs="Arial"/>
          <w:sz w:val="22"/>
          <w:szCs w:val="22"/>
          <w:lang w:val="en-GB"/>
        </w:rPr>
      </w:pPr>
      <w:r>
        <w:rPr>
          <w:rFonts w:cs="Arial"/>
          <w:sz w:val="22"/>
          <w:szCs w:val="22"/>
          <w:lang w:val="en-US"/>
        </w:rPr>
        <w:t>ZURAMPIC</w:t>
      </w:r>
      <w:r w:rsidR="00443A09" w:rsidRPr="00443A09">
        <w:rPr>
          <w:rFonts w:cs="Arial"/>
          <w:sz w:val="22"/>
          <w:szCs w:val="22"/>
          <w:lang w:val="en-US"/>
        </w:rPr>
        <w:t xml:space="preserve"> 200 mg in combination with febuxostat resulted in greater tophus burden reduction as measured by target tophi area compared to those patients treated with placebo in combination with febuxostat</w:t>
      </w:r>
      <w:r w:rsidR="00F74512">
        <w:rPr>
          <w:rFonts w:cs="Arial"/>
          <w:sz w:val="22"/>
          <w:szCs w:val="22"/>
          <w:lang w:val="en-GB"/>
        </w:rPr>
        <w:t xml:space="preserve"> (p&lt;</w:t>
      </w:r>
      <w:r w:rsidR="00443A09" w:rsidRPr="00443A09">
        <w:rPr>
          <w:rFonts w:cs="Arial"/>
          <w:sz w:val="22"/>
          <w:szCs w:val="22"/>
          <w:lang w:val="en-GB"/>
        </w:rPr>
        <w:t>0.</w:t>
      </w:r>
      <w:r w:rsidR="00674447">
        <w:rPr>
          <w:rFonts w:cs="Arial"/>
          <w:sz w:val="22"/>
          <w:szCs w:val="22"/>
          <w:lang w:val="en-GB"/>
        </w:rPr>
        <w:t>05 at Month 12) (see Figure 3).</w:t>
      </w:r>
    </w:p>
    <w:p w:rsidR="00443A09" w:rsidRPr="00331650" w:rsidRDefault="00443A09" w:rsidP="00474DFE">
      <w:pPr>
        <w:pStyle w:val="A-TableTitle"/>
        <w:rPr>
          <w:sz w:val="22"/>
          <w:szCs w:val="22"/>
        </w:rPr>
      </w:pPr>
      <w:r w:rsidRPr="00331650">
        <w:rPr>
          <w:bCs/>
          <w:sz w:val="22"/>
          <w:szCs w:val="22"/>
        </w:rPr>
        <w:t>Figure 3</w:t>
      </w:r>
      <w:r w:rsidR="00474DFE" w:rsidRPr="00331650">
        <w:rPr>
          <w:bCs/>
          <w:sz w:val="22"/>
          <w:szCs w:val="22"/>
        </w:rPr>
        <w:tab/>
      </w:r>
      <w:r w:rsidRPr="00331650">
        <w:rPr>
          <w:sz w:val="22"/>
          <w:szCs w:val="22"/>
        </w:rPr>
        <w:t xml:space="preserve">Percent change in target tophus area from baseline to Months 3, 6, 9, and 12, in a </w:t>
      </w:r>
      <w:r w:rsidR="00474DFE" w:rsidRPr="00331650">
        <w:rPr>
          <w:sz w:val="22"/>
          <w:szCs w:val="22"/>
        </w:rPr>
        <w:t>ZURAMPIC</w:t>
      </w:r>
      <w:r w:rsidRPr="00331650">
        <w:rPr>
          <w:sz w:val="22"/>
          <w:szCs w:val="22"/>
        </w:rPr>
        <w:t xml:space="preserve"> and febuxostat combination study in tophaceous gout</w:t>
      </w:r>
    </w:p>
    <w:p w:rsidR="00443A09" w:rsidRPr="00443A09" w:rsidRDefault="00562C3A" w:rsidP="00474DFE">
      <w:pPr>
        <w:jc w:val="center"/>
        <w:rPr>
          <w:rFonts w:cs="Arial"/>
          <w:bCs/>
          <w:sz w:val="22"/>
          <w:szCs w:val="22"/>
          <w:lang w:val="en-GB"/>
        </w:rPr>
      </w:pPr>
      <w:r>
        <w:rPr>
          <w:rFonts w:cs="Arial"/>
          <w:noProof/>
          <w:sz w:val="22"/>
          <w:szCs w:val="22"/>
          <w:lang w:eastAsia="en-AU"/>
        </w:rPr>
        <w:drawing>
          <wp:inline distT="0" distB="0" distL="0" distR="0">
            <wp:extent cx="4241800" cy="4241800"/>
            <wp:effectExtent l="0" t="0" r="6350" b="6350"/>
            <wp:docPr id="4" name="Picture 7" descr="C:\Users\moneill\AppData\Local\Microsoft\Windows\Temporary Internet Files\Content.Outlook\T3DW3EDT\G_USPI_Pch_Tophus_Area_by_Month_CRYSTAL_PBO_200_LOCF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neill\AppData\Local\Microsoft\Windows\Temporary Internet Files\Content.Outlook\T3DW3EDT\G_USPI_Pch_Tophus_Area_by_Month_CRYSTAL_PBO_200_LOCF_ba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1800" cy="4241800"/>
                    </a:xfrm>
                    <a:prstGeom prst="rect">
                      <a:avLst/>
                    </a:prstGeom>
                    <a:noFill/>
                    <a:ln>
                      <a:noFill/>
                    </a:ln>
                  </pic:spPr>
                </pic:pic>
              </a:graphicData>
            </a:graphic>
          </wp:inline>
        </w:drawing>
      </w:r>
    </w:p>
    <w:p w:rsidR="00443A09" w:rsidRPr="00443A09" w:rsidRDefault="00443A09" w:rsidP="00443A09">
      <w:pPr>
        <w:rPr>
          <w:rFonts w:cs="Arial"/>
          <w:sz w:val="22"/>
          <w:szCs w:val="22"/>
        </w:rPr>
      </w:pPr>
      <w:r w:rsidRPr="00443A09">
        <w:rPr>
          <w:rFonts w:cs="Arial"/>
          <w:bCs/>
          <w:sz w:val="22"/>
          <w:szCs w:val="22"/>
          <w:lang w:val="en-GB"/>
        </w:rPr>
        <w:lastRenderedPageBreak/>
        <w:t xml:space="preserve">Across the 3 studies of </w:t>
      </w:r>
      <w:r w:rsidR="00474DFE">
        <w:rPr>
          <w:rFonts w:cs="Arial"/>
          <w:bCs/>
          <w:sz w:val="22"/>
          <w:szCs w:val="22"/>
          <w:lang w:val="en-GB"/>
        </w:rPr>
        <w:t>ZURAMPIC</w:t>
      </w:r>
      <w:r w:rsidRPr="00443A09">
        <w:rPr>
          <w:rFonts w:cs="Arial"/>
          <w:bCs/>
          <w:sz w:val="22"/>
          <w:szCs w:val="22"/>
          <w:lang w:val="en-GB"/>
        </w:rPr>
        <w:t xml:space="preserve"> in combination with a xanthine oxidase inhibitor, lower median </w:t>
      </w:r>
      <w:r w:rsidR="004177B0">
        <w:rPr>
          <w:rFonts w:cs="Arial"/>
          <w:bCs/>
          <w:sz w:val="22"/>
          <w:szCs w:val="22"/>
          <w:lang w:val="en-GB"/>
        </w:rPr>
        <w:t>sUA</w:t>
      </w:r>
      <w:r w:rsidRPr="00443A09">
        <w:rPr>
          <w:rFonts w:cs="Arial"/>
          <w:bCs/>
          <w:sz w:val="22"/>
          <w:szCs w:val="22"/>
          <w:lang w:val="en-GB"/>
        </w:rPr>
        <w:t xml:space="preserve"> levels were associated with greater percent reductions in total tophus area.</w:t>
      </w:r>
    </w:p>
    <w:p w:rsidR="00EF3376" w:rsidRDefault="00EF3376">
      <w:pPr>
        <w:pStyle w:val="A-Heading1"/>
        <w:rPr>
          <w:sz w:val="22"/>
          <w:lang w:val="en-AU"/>
        </w:rPr>
      </w:pPr>
      <w:r>
        <w:rPr>
          <w:sz w:val="22"/>
          <w:lang w:val="en-AU"/>
        </w:rPr>
        <w:t>INDICATIONS</w:t>
      </w:r>
    </w:p>
    <w:p w:rsidR="002941CC" w:rsidRPr="002941CC" w:rsidRDefault="002941CC">
      <w:pPr>
        <w:rPr>
          <w:sz w:val="22"/>
          <w:lang w:val="en-GB"/>
        </w:rPr>
      </w:pPr>
      <w:r>
        <w:rPr>
          <w:sz w:val="22"/>
        </w:rPr>
        <w:t xml:space="preserve">ZURAMPIC is indicated </w:t>
      </w:r>
      <w:r w:rsidRPr="002941CC">
        <w:rPr>
          <w:sz w:val="22"/>
          <w:lang w:val="en-GB"/>
        </w:rPr>
        <w:t>in combination with a xanthine oxidase inhibitor</w:t>
      </w:r>
      <w:r w:rsidR="00DD4DDB">
        <w:rPr>
          <w:sz w:val="22"/>
          <w:lang w:val="en-GB"/>
        </w:rPr>
        <w:t xml:space="preserve"> for the treatment of hyperuricaemia associated with gout in patients who have not achieved target serum uric acid levels with an adequate dose of a xanthine oxidase inhibitor alone</w:t>
      </w:r>
      <w:r w:rsidR="00326680">
        <w:rPr>
          <w:sz w:val="22"/>
          <w:lang w:val="en-GB"/>
        </w:rPr>
        <w:t>.</w:t>
      </w:r>
    </w:p>
    <w:p w:rsidR="00EF3376" w:rsidRDefault="00EF3376">
      <w:pPr>
        <w:pStyle w:val="A-Heading1"/>
        <w:rPr>
          <w:sz w:val="22"/>
          <w:lang w:val="en-AU"/>
        </w:rPr>
      </w:pPr>
      <w:r>
        <w:rPr>
          <w:sz w:val="22"/>
          <w:lang w:val="en-AU"/>
        </w:rPr>
        <w:t>CONTRAINDICATIONS</w:t>
      </w:r>
    </w:p>
    <w:p w:rsidR="00EF3376" w:rsidRDefault="002941CC">
      <w:pPr>
        <w:rPr>
          <w:sz w:val="22"/>
          <w:szCs w:val="24"/>
          <w:lang w:val="en-US"/>
        </w:rPr>
      </w:pPr>
      <w:r>
        <w:rPr>
          <w:sz w:val="22"/>
        </w:rPr>
        <w:t>ZURAMPIC</w:t>
      </w:r>
      <w:r w:rsidR="00EF3376">
        <w:rPr>
          <w:sz w:val="22"/>
        </w:rPr>
        <w:t xml:space="preserve"> </w:t>
      </w:r>
      <w:r w:rsidR="00EF3376">
        <w:rPr>
          <w:sz w:val="22"/>
          <w:szCs w:val="24"/>
        </w:rPr>
        <w:t>is contraindicated for use by any patient with a known serious hypersensitivity to this product, includi</w:t>
      </w:r>
      <w:r w:rsidR="006A25FC">
        <w:rPr>
          <w:sz w:val="22"/>
          <w:szCs w:val="24"/>
        </w:rPr>
        <w:t>ng its excipients</w:t>
      </w:r>
      <w:r w:rsidR="00EF3376">
        <w:rPr>
          <w:sz w:val="22"/>
          <w:szCs w:val="24"/>
        </w:rPr>
        <w:t xml:space="preserve">. </w:t>
      </w:r>
    </w:p>
    <w:p w:rsidR="002941CC" w:rsidRDefault="002941CC" w:rsidP="002941CC">
      <w:pPr>
        <w:rPr>
          <w:sz w:val="22"/>
          <w:szCs w:val="22"/>
          <w:lang w:val="en-US"/>
        </w:rPr>
      </w:pPr>
      <w:r w:rsidRPr="002941CC">
        <w:rPr>
          <w:sz w:val="22"/>
          <w:szCs w:val="22"/>
          <w:lang w:val="en-GB"/>
        </w:rPr>
        <w:t>ZURAMPIC is contraindicated in patients</w:t>
      </w:r>
      <w:r w:rsidRPr="002941CC">
        <w:rPr>
          <w:sz w:val="22"/>
          <w:szCs w:val="22"/>
          <w:lang w:val="en-US"/>
        </w:rPr>
        <w:t xml:space="preserve"> with tumour lysis syndrome or Lesch-Nyhan syndrome.</w:t>
      </w:r>
    </w:p>
    <w:p w:rsidR="00C53CAF" w:rsidRDefault="00C53CAF" w:rsidP="002941CC">
      <w:pPr>
        <w:rPr>
          <w:sz w:val="22"/>
          <w:szCs w:val="22"/>
          <w:lang w:val="en-US"/>
        </w:rPr>
      </w:pPr>
      <w:r>
        <w:rPr>
          <w:sz w:val="22"/>
          <w:szCs w:val="22"/>
          <w:lang w:val="en-US"/>
        </w:rPr>
        <w:t xml:space="preserve">ZURAMPIC is contraindicated in patients with severe renal impairment (CrCL &lt;30 mL/min), end stage renal disease, a kidney transplant, or in patients on dialysis (see </w:t>
      </w:r>
      <w:r>
        <w:rPr>
          <w:b/>
          <w:sz w:val="22"/>
          <w:szCs w:val="22"/>
          <w:lang w:val="en-US"/>
        </w:rPr>
        <w:t>DOSAGE AND ADMINISTRATION</w:t>
      </w:r>
      <w:r>
        <w:rPr>
          <w:sz w:val="22"/>
          <w:szCs w:val="22"/>
          <w:lang w:val="en-US"/>
        </w:rPr>
        <w:t>).</w:t>
      </w:r>
    </w:p>
    <w:p w:rsidR="005919B0" w:rsidRPr="005919B0" w:rsidRDefault="005919B0" w:rsidP="005919B0">
      <w:pPr>
        <w:pStyle w:val="A-Heading1"/>
        <w:rPr>
          <w:sz w:val="22"/>
          <w:szCs w:val="22"/>
        </w:rPr>
      </w:pPr>
      <w:r w:rsidRPr="005919B0">
        <w:rPr>
          <w:sz w:val="22"/>
          <w:szCs w:val="22"/>
        </w:rPr>
        <w:t>precautions</w:t>
      </w:r>
    </w:p>
    <w:p w:rsidR="00494612" w:rsidRPr="00494612" w:rsidRDefault="00494612" w:rsidP="00494612">
      <w:pPr>
        <w:pStyle w:val="A-Heading2"/>
        <w:rPr>
          <w:sz w:val="22"/>
          <w:szCs w:val="22"/>
        </w:rPr>
      </w:pPr>
      <w:r w:rsidRPr="00494612">
        <w:rPr>
          <w:sz w:val="22"/>
          <w:szCs w:val="22"/>
        </w:rPr>
        <w:t>Renal events</w:t>
      </w:r>
    </w:p>
    <w:p w:rsidR="0024689F" w:rsidRDefault="00237867" w:rsidP="00494612">
      <w:pPr>
        <w:rPr>
          <w:sz w:val="22"/>
          <w:szCs w:val="22"/>
          <w:lang w:val="en-US"/>
        </w:rPr>
      </w:pPr>
      <w:r>
        <w:rPr>
          <w:sz w:val="22"/>
          <w:szCs w:val="22"/>
          <w:lang w:val="en-US"/>
        </w:rPr>
        <w:t>Acute renal failure has occurred with ZURAMPIC and was more common when ZURAMPIC was given alone.</w:t>
      </w:r>
    </w:p>
    <w:p w:rsidR="00FA4529" w:rsidRDefault="00CB02C4" w:rsidP="00494612">
      <w:pPr>
        <w:rPr>
          <w:sz w:val="22"/>
          <w:szCs w:val="22"/>
          <w:lang w:val="en-US"/>
        </w:rPr>
      </w:pPr>
      <w:r>
        <w:rPr>
          <w:sz w:val="22"/>
          <w:szCs w:val="22"/>
          <w:lang w:val="en-US"/>
        </w:rPr>
        <w:t>ZURAMPIC mu</w:t>
      </w:r>
      <w:r w:rsidR="0051053E">
        <w:rPr>
          <w:sz w:val="22"/>
          <w:szCs w:val="22"/>
          <w:lang w:val="en-US"/>
        </w:rPr>
        <w:t>st not be given as monotherapy.</w:t>
      </w:r>
      <w:r>
        <w:rPr>
          <w:sz w:val="22"/>
          <w:szCs w:val="22"/>
          <w:lang w:val="en-US"/>
        </w:rPr>
        <w:t xml:space="preserve"> </w:t>
      </w:r>
      <w:r w:rsidR="0051053E" w:rsidRPr="0051053E">
        <w:rPr>
          <w:sz w:val="22"/>
          <w:szCs w:val="22"/>
          <w:lang w:val="en-US"/>
        </w:rPr>
        <w:t xml:space="preserve"> </w:t>
      </w:r>
      <w:r w:rsidR="0051053E" w:rsidRPr="00494612">
        <w:rPr>
          <w:sz w:val="22"/>
          <w:szCs w:val="22"/>
          <w:lang w:val="en-US"/>
        </w:rPr>
        <w:t xml:space="preserve">A higher incidence of </w:t>
      </w:r>
      <w:r w:rsidR="0051053E">
        <w:rPr>
          <w:sz w:val="22"/>
          <w:szCs w:val="22"/>
          <w:lang w:val="en-US"/>
        </w:rPr>
        <w:t>serum creatinine (sCr)</w:t>
      </w:r>
      <w:r w:rsidR="0051053E" w:rsidRPr="00494612">
        <w:rPr>
          <w:sz w:val="22"/>
          <w:szCs w:val="22"/>
          <w:lang w:val="en-US"/>
        </w:rPr>
        <w:t xml:space="preserve"> elevations and renal-related adverse reactions including serious adverse reactions </w:t>
      </w:r>
      <w:r w:rsidR="0051053E">
        <w:rPr>
          <w:sz w:val="22"/>
          <w:szCs w:val="22"/>
          <w:lang w:val="en-US"/>
        </w:rPr>
        <w:t xml:space="preserve">(e.g. acute renal failure) </w:t>
      </w:r>
      <w:r w:rsidR="0051053E" w:rsidRPr="00494612">
        <w:rPr>
          <w:sz w:val="22"/>
          <w:szCs w:val="22"/>
          <w:lang w:val="en-US"/>
        </w:rPr>
        <w:t xml:space="preserve">was observed </w:t>
      </w:r>
      <w:r w:rsidR="0051053E">
        <w:rPr>
          <w:sz w:val="22"/>
          <w:szCs w:val="22"/>
          <w:lang w:val="en-US"/>
        </w:rPr>
        <w:t>with ZURAMPIC 400 mg</w:t>
      </w:r>
      <w:r w:rsidR="0051053E" w:rsidRPr="00494612">
        <w:rPr>
          <w:sz w:val="22"/>
          <w:szCs w:val="22"/>
          <w:lang w:val="en-US"/>
        </w:rPr>
        <w:t xml:space="preserve"> </w:t>
      </w:r>
      <w:r w:rsidR="0051053E">
        <w:rPr>
          <w:sz w:val="22"/>
          <w:szCs w:val="22"/>
          <w:lang w:val="en-US"/>
        </w:rPr>
        <w:t xml:space="preserve">(twice the maximum daily dose) </w:t>
      </w:r>
      <w:r w:rsidR="0051053E" w:rsidRPr="00494612">
        <w:rPr>
          <w:sz w:val="22"/>
          <w:szCs w:val="22"/>
          <w:lang w:val="en-US"/>
        </w:rPr>
        <w:t xml:space="preserve">when given alone or in combination with a xanthine oxidase inhibitor, with the highest incidence when </w:t>
      </w:r>
      <w:r w:rsidR="0051053E">
        <w:rPr>
          <w:sz w:val="22"/>
          <w:szCs w:val="22"/>
          <w:lang w:val="en-US"/>
        </w:rPr>
        <w:t xml:space="preserve">ZURAMPIC 400 mg was given as monotherapy.  </w:t>
      </w:r>
      <w:r>
        <w:rPr>
          <w:sz w:val="22"/>
          <w:szCs w:val="22"/>
          <w:lang w:val="en-US"/>
        </w:rPr>
        <w:t xml:space="preserve">This effect is likely due to the increased amount of uric acid being handled and excreted by the kidney.  </w:t>
      </w:r>
      <w:r w:rsidR="00BB2020">
        <w:rPr>
          <w:sz w:val="22"/>
          <w:szCs w:val="22"/>
          <w:lang w:val="en-US"/>
        </w:rPr>
        <w:t>If while taking ZURAMPIC a patient experiences signs or symptoms suggestive of acute renal failure (reduced urinary output, generally feeling unwell, fatigue, nausea, vomiting, metallic taste, loss of appetite) or nephrolithiasis (flank pain, hematuria) renal function should be assessed.</w:t>
      </w:r>
    </w:p>
    <w:p w:rsidR="0024689F" w:rsidRDefault="00494612" w:rsidP="00494612">
      <w:pPr>
        <w:rPr>
          <w:sz w:val="22"/>
          <w:szCs w:val="22"/>
          <w:lang w:val="en-US"/>
        </w:rPr>
      </w:pPr>
      <w:r w:rsidRPr="00494612">
        <w:rPr>
          <w:sz w:val="22"/>
          <w:szCs w:val="22"/>
          <w:lang w:val="en-US"/>
        </w:rPr>
        <w:t xml:space="preserve">Treatment with </w:t>
      </w:r>
      <w:r w:rsidR="0001010D">
        <w:rPr>
          <w:sz w:val="22"/>
          <w:szCs w:val="22"/>
          <w:lang w:val="en-US"/>
        </w:rPr>
        <w:t>ZURAMPIC</w:t>
      </w:r>
      <w:r w:rsidRPr="00494612">
        <w:rPr>
          <w:sz w:val="22"/>
          <w:szCs w:val="22"/>
          <w:lang w:val="en-US"/>
        </w:rPr>
        <w:t xml:space="preserve"> 200 mg in combination with a xanthine oxidase inhibitor was associated with an increased incidence of transient </w:t>
      </w:r>
      <w:r w:rsidR="004177B0">
        <w:rPr>
          <w:sz w:val="22"/>
          <w:szCs w:val="22"/>
          <w:lang w:val="en-US"/>
        </w:rPr>
        <w:t xml:space="preserve">sCr </w:t>
      </w:r>
      <w:r w:rsidRPr="00494612">
        <w:rPr>
          <w:sz w:val="22"/>
          <w:szCs w:val="22"/>
          <w:lang w:val="en-US"/>
        </w:rPr>
        <w:t>elev</w:t>
      </w:r>
      <w:r w:rsidR="003220A8">
        <w:rPr>
          <w:sz w:val="22"/>
          <w:szCs w:val="22"/>
          <w:lang w:val="en-US"/>
        </w:rPr>
        <w:t>ations</w:t>
      </w:r>
      <w:r w:rsidRPr="00494612">
        <w:rPr>
          <w:sz w:val="22"/>
          <w:szCs w:val="22"/>
          <w:lang w:val="en-US"/>
        </w:rPr>
        <w:t xml:space="preserve">. </w:t>
      </w:r>
      <w:r w:rsidR="00223A14" w:rsidRPr="00197ABC">
        <w:rPr>
          <w:sz w:val="22"/>
          <w:szCs w:val="22"/>
          <w:lang w:val="en-US"/>
        </w:rPr>
        <w:t xml:space="preserve">There was no association between baseline renal function and the incidence of these </w:t>
      </w:r>
      <w:r w:rsidR="00223A14">
        <w:rPr>
          <w:sz w:val="22"/>
          <w:szCs w:val="22"/>
          <w:lang w:val="en-US"/>
        </w:rPr>
        <w:t>sCr</w:t>
      </w:r>
      <w:r w:rsidR="00223A14" w:rsidRPr="00197ABC">
        <w:rPr>
          <w:sz w:val="22"/>
          <w:szCs w:val="22"/>
          <w:lang w:val="en-US"/>
        </w:rPr>
        <w:t xml:space="preserve"> elevations.</w:t>
      </w:r>
      <w:r w:rsidR="00223A14" w:rsidRPr="00197ABC">
        <w:rPr>
          <w:sz w:val="22"/>
          <w:szCs w:val="22"/>
          <w:u w:val="single"/>
        </w:rPr>
        <w:t xml:space="preserve"> </w:t>
      </w:r>
      <w:r w:rsidRPr="00494612">
        <w:rPr>
          <w:sz w:val="22"/>
          <w:szCs w:val="22"/>
          <w:lang w:val="en-US"/>
        </w:rPr>
        <w:t xml:space="preserve">Adverse reactions related to renal function can occur after initiating </w:t>
      </w:r>
      <w:r w:rsidR="00DE798A">
        <w:rPr>
          <w:sz w:val="22"/>
          <w:szCs w:val="22"/>
          <w:lang w:val="en-US"/>
        </w:rPr>
        <w:t>ZURAMPIC</w:t>
      </w:r>
      <w:r w:rsidRPr="00494612">
        <w:rPr>
          <w:sz w:val="22"/>
          <w:szCs w:val="22"/>
          <w:lang w:val="en-US"/>
        </w:rPr>
        <w:t xml:space="preserve"> (see </w:t>
      </w:r>
      <w:r w:rsidRPr="00494612">
        <w:rPr>
          <w:b/>
          <w:sz w:val="22"/>
          <w:szCs w:val="22"/>
          <w:lang w:val="en-US"/>
        </w:rPr>
        <w:t>ADVERSE EFFECTS</w:t>
      </w:r>
      <w:r w:rsidRPr="00494612">
        <w:rPr>
          <w:sz w:val="22"/>
          <w:szCs w:val="22"/>
          <w:lang w:val="en-US"/>
        </w:rPr>
        <w:t>).</w:t>
      </w:r>
    </w:p>
    <w:p w:rsidR="0056744E" w:rsidRPr="00197ABC" w:rsidRDefault="0024689F" w:rsidP="00494612">
      <w:pPr>
        <w:rPr>
          <w:sz w:val="22"/>
          <w:szCs w:val="22"/>
          <w:u w:val="single"/>
        </w:rPr>
      </w:pPr>
      <w:r>
        <w:rPr>
          <w:sz w:val="22"/>
          <w:szCs w:val="22"/>
          <w:lang w:val="en-US"/>
        </w:rPr>
        <w:t>ZURAMPIC should not b</w:t>
      </w:r>
      <w:r w:rsidR="001C75B2">
        <w:rPr>
          <w:sz w:val="22"/>
          <w:szCs w:val="22"/>
          <w:lang w:val="en-US"/>
        </w:rPr>
        <w:t xml:space="preserve">e initiated in patients with </w:t>
      </w:r>
      <w:r w:rsidRPr="00A97723">
        <w:rPr>
          <w:sz w:val="22"/>
          <w:szCs w:val="22"/>
        </w:rPr>
        <w:t>C</w:t>
      </w:r>
      <w:r>
        <w:rPr>
          <w:sz w:val="22"/>
          <w:szCs w:val="22"/>
        </w:rPr>
        <w:t>rCL</w:t>
      </w:r>
      <w:r>
        <w:rPr>
          <w:sz w:val="22"/>
          <w:szCs w:val="22"/>
          <w:lang w:val="en-US"/>
        </w:rPr>
        <w:t xml:space="preserve"> &lt;45 mL/min. </w:t>
      </w:r>
    </w:p>
    <w:p w:rsidR="00494612" w:rsidRPr="0056744E" w:rsidRDefault="00494612" w:rsidP="00494612">
      <w:pPr>
        <w:rPr>
          <w:b/>
          <w:sz w:val="22"/>
          <w:szCs w:val="22"/>
        </w:rPr>
      </w:pPr>
      <w:r w:rsidRPr="00494612">
        <w:rPr>
          <w:sz w:val="22"/>
          <w:szCs w:val="22"/>
          <w:lang w:val="en-US"/>
        </w:rPr>
        <w:lastRenderedPageBreak/>
        <w:t xml:space="preserve">Renal function should be evaluated prior to initiation of </w:t>
      </w:r>
      <w:r w:rsidR="0001010D">
        <w:rPr>
          <w:sz w:val="22"/>
          <w:szCs w:val="22"/>
          <w:lang w:val="en-US"/>
        </w:rPr>
        <w:t>ZURAMPIC</w:t>
      </w:r>
      <w:r w:rsidRPr="00494612">
        <w:rPr>
          <w:sz w:val="22"/>
          <w:szCs w:val="22"/>
          <w:lang w:val="en-US"/>
        </w:rPr>
        <w:t xml:space="preserve"> and periodically thereafter. Interruption of </w:t>
      </w:r>
      <w:r w:rsidR="0001010D">
        <w:rPr>
          <w:sz w:val="22"/>
          <w:szCs w:val="22"/>
          <w:lang w:val="en-US"/>
        </w:rPr>
        <w:t>ZURAMPIC</w:t>
      </w:r>
      <w:r w:rsidRPr="00494612">
        <w:rPr>
          <w:sz w:val="22"/>
          <w:szCs w:val="22"/>
          <w:lang w:val="en-US"/>
        </w:rPr>
        <w:t xml:space="preserve"> should be considered if </w:t>
      </w:r>
      <w:r w:rsidR="004177B0">
        <w:rPr>
          <w:sz w:val="22"/>
          <w:szCs w:val="22"/>
          <w:lang w:val="en-US"/>
        </w:rPr>
        <w:t>sCr</w:t>
      </w:r>
      <w:r w:rsidRPr="00494612">
        <w:rPr>
          <w:sz w:val="22"/>
          <w:szCs w:val="22"/>
          <w:lang w:val="en-US"/>
        </w:rPr>
        <w:t xml:space="preserve"> is elevated to greater than 2 times the pre-treatment value. Interrupt treatment in patients who report symptoms that may indicate acute uric acid nephropathy including flank pain, nausea or vomiting, and measure </w:t>
      </w:r>
      <w:r w:rsidR="004177B0">
        <w:rPr>
          <w:sz w:val="22"/>
          <w:szCs w:val="22"/>
          <w:lang w:val="en-US"/>
        </w:rPr>
        <w:t>sCr</w:t>
      </w:r>
      <w:r w:rsidRPr="00494612">
        <w:rPr>
          <w:sz w:val="22"/>
          <w:szCs w:val="22"/>
          <w:lang w:val="en-US"/>
        </w:rPr>
        <w:t xml:space="preserve"> promptly. </w:t>
      </w:r>
      <w:r w:rsidR="0001010D">
        <w:rPr>
          <w:sz w:val="22"/>
          <w:szCs w:val="22"/>
          <w:lang w:val="en-US"/>
        </w:rPr>
        <w:t>ZURAMPIC</w:t>
      </w:r>
      <w:r w:rsidRPr="00494612">
        <w:rPr>
          <w:sz w:val="22"/>
          <w:szCs w:val="22"/>
          <w:lang w:val="en-US"/>
        </w:rPr>
        <w:t xml:space="preserve"> may be resumed when </w:t>
      </w:r>
      <w:r w:rsidR="004177B0">
        <w:rPr>
          <w:sz w:val="22"/>
          <w:szCs w:val="22"/>
          <w:lang w:val="en-US"/>
        </w:rPr>
        <w:t>sCr</w:t>
      </w:r>
      <w:r w:rsidRPr="00494612">
        <w:rPr>
          <w:sz w:val="22"/>
          <w:szCs w:val="22"/>
          <w:lang w:val="en-US"/>
        </w:rPr>
        <w:t xml:space="preserve"> returns to pre-treatment levels</w:t>
      </w:r>
      <w:r w:rsidR="00BB2020">
        <w:rPr>
          <w:sz w:val="22"/>
          <w:szCs w:val="22"/>
          <w:lang w:val="en-US"/>
        </w:rPr>
        <w:t>.</w:t>
      </w:r>
    </w:p>
    <w:p w:rsidR="008747D7" w:rsidRPr="00197ABC" w:rsidRDefault="008747D7" w:rsidP="00494612">
      <w:pPr>
        <w:pStyle w:val="A-Heading2"/>
        <w:rPr>
          <w:sz w:val="22"/>
          <w:szCs w:val="22"/>
        </w:rPr>
      </w:pPr>
      <w:r w:rsidRPr="00197ABC">
        <w:rPr>
          <w:sz w:val="22"/>
          <w:szCs w:val="22"/>
        </w:rPr>
        <w:t>Nephrolithiasis</w:t>
      </w:r>
    </w:p>
    <w:p w:rsidR="008747D7" w:rsidRPr="00197ABC" w:rsidRDefault="00900C06" w:rsidP="008747D7">
      <w:pPr>
        <w:rPr>
          <w:sz w:val="22"/>
          <w:szCs w:val="22"/>
          <w:lang w:val="en-GB"/>
        </w:rPr>
      </w:pPr>
      <w:r w:rsidRPr="00197ABC">
        <w:rPr>
          <w:sz w:val="22"/>
          <w:szCs w:val="22"/>
        </w:rPr>
        <w:t>As ZURAMPIC increases the amount of uric acid excreted in urine it may be associated with an increased risk of nephrolithiasis.</w:t>
      </w:r>
    </w:p>
    <w:p w:rsidR="00494612" w:rsidRPr="00494612" w:rsidRDefault="00494612" w:rsidP="00494612">
      <w:pPr>
        <w:pStyle w:val="A-Heading2"/>
        <w:rPr>
          <w:sz w:val="22"/>
          <w:szCs w:val="22"/>
        </w:rPr>
      </w:pPr>
      <w:r w:rsidRPr="00494612">
        <w:rPr>
          <w:sz w:val="22"/>
          <w:szCs w:val="22"/>
        </w:rPr>
        <w:t>Gout attacks (gout flares)</w:t>
      </w:r>
    </w:p>
    <w:p w:rsidR="00494612" w:rsidRPr="00B07C26" w:rsidRDefault="00494612" w:rsidP="00494612">
      <w:pPr>
        <w:rPr>
          <w:sz w:val="22"/>
          <w:szCs w:val="22"/>
          <w:lang w:val="sv-SE"/>
        </w:rPr>
      </w:pPr>
      <w:r w:rsidRPr="00494612">
        <w:rPr>
          <w:sz w:val="22"/>
          <w:szCs w:val="22"/>
          <w:lang w:val="en-US"/>
        </w:rPr>
        <w:t xml:space="preserve">Gout flares may occur after initiation of urate lowering therapy, including therapy with </w:t>
      </w:r>
      <w:r w:rsidR="0001010D">
        <w:rPr>
          <w:sz w:val="22"/>
          <w:szCs w:val="22"/>
          <w:lang w:val="en-US"/>
        </w:rPr>
        <w:t>ZURAMPIC</w:t>
      </w:r>
      <w:r w:rsidRPr="00494612">
        <w:rPr>
          <w:sz w:val="22"/>
          <w:szCs w:val="22"/>
          <w:lang w:val="en-US"/>
        </w:rPr>
        <w:t xml:space="preserve">. This is due to reduction in </w:t>
      </w:r>
      <w:r w:rsidR="004177B0">
        <w:rPr>
          <w:sz w:val="22"/>
          <w:szCs w:val="22"/>
          <w:lang w:val="en-US"/>
        </w:rPr>
        <w:t>sUA</w:t>
      </w:r>
      <w:r w:rsidRPr="00494612">
        <w:rPr>
          <w:sz w:val="22"/>
          <w:szCs w:val="22"/>
          <w:lang w:val="en-US"/>
        </w:rPr>
        <w:t xml:space="preserve"> levels resulting in mobili</w:t>
      </w:r>
      <w:r w:rsidR="004177B0">
        <w:rPr>
          <w:sz w:val="22"/>
          <w:szCs w:val="22"/>
          <w:lang w:val="en-US"/>
        </w:rPr>
        <w:t>s</w:t>
      </w:r>
      <w:r w:rsidRPr="00494612">
        <w:rPr>
          <w:sz w:val="22"/>
          <w:szCs w:val="22"/>
          <w:lang w:val="en-US"/>
        </w:rPr>
        <w:t>ation of urate from tissue deposits. Gout flare prophylaxis with colchicine or a</w:t>
      </w:r>
      <w:r w:rsidR="007C584B">
        <w:rPr>
          <w:sz w:val="22"/>
          <w:szCs w:val="22"/>
          <w:lang w:val="en-US"/>
        </w:rPr>
        <w:t>n</w:t>
      </w:r>
      <w:r w:rsidRPr="00494612">
        <w:rPr>
          <w:sz w:val="22"/>
          <w:szCs w:val="22"/>
          <w:lang w:val="en-US"/>
        </w:rPr>
        <w:t xml:space="preserve"> NSAID is recommended for at least 5 months when starting </w:t>
      </w:r>
      <w:r w:rsidR="0057066C">
        <w:rPr>
          <w:sz w:val="22"/>
          <w:szCs w:val="22"/>
          <w:lang w:val="en-US"/>
        </w:rPr>
        <w:t>ZURAMPIC</w:t>
      </w:r>
      <w:r w:rsidRPr="00494612">
        <w:rPr>
          <w:sz w:val="22"/>
          <w:szCs w:val="22"/>
          <w:lang w:val="en-US"/>
        </w:rPr>
        <w:t xml:space="preserve"> therapy (see </w:t>
      </w:r>
      <w:r w:rsidRPr="00494612">
        <w:rPr>
          <w:b/>
          <w:sz w:val="22"/>
          <w:szCs w:val="22"/>
          <w:lang w:val="en-US"/>
        </w:rPr>
        <w:t>DOSAGE AND ADMINSTRATION</w:t>
      </w:r>
      <w:r w:rsidRPr="00494612">
        <w:rPr>
          <w:sz w:val="22"/>
          <w:szCs w:val="22"/>
          <w:lang w:val="en-US"/>
        </w:rPr>
        <w:t xml:space="preserve">). </w:t>
      </w:r>
    </w:p>
    <w:p w:rsidR="004B37B5" w:rsidRDefault="0001010D" w:rsidP="00494612">
      <w:pPr>
        <w:rPr>
          <w:sz w:val="22"/>
          <w:szCs w:val="22"/>
          <w:lang w:val="en-US"/>
        </w:rPr>
      </w:pPr>
      <w:r>
        <w:rPr>
          <w:sz w:val="22"/>
          <w:szCs w:val="22"/>
          <w:lang w:val="en-US"/>
        </w:rPr>
        <w:t>ZURAMPIC</w:t>
      </w:r>
      <w:r w:rsidR="00494612" w:rsidRPr="00494612">
        <w:rPr>
          <w:sz w:val="22"/>
          <w:szCs w:val="22"/>
          <w:lang w:val="en-US"/>
        </w:rPr>
        <w:t xml:space="preserve"> does not need to be discon</w:t>
      </w:r>
      <w:r w:rsidR="003C152D">
        <w:rPr>
          <w:sz w:val="22"/>
          <w:szCs w:val="22"/>
          <w:lang w:val="en-US"/>
        </w:rPr>
        <w:t xml:space="preserve">tinued because of a gout flare. </w:t>
      </w:r>
      <w:r w:rsidR="00494612" w:rsidRPr="00494612">
        <w:rPr>
          <w:sz w:val="22"/>
          <w:szCs w:val="22"/>
          <w:lang w:val="en-US"/>
        </w:rPr>
        <w:t xml:space="preserve">The gout flare should be managed concurrently as appropriate for the individual patient. Continuous treatment with </w:t>
      </w:r>
      <w:r>
        <w:rPr>
          <w:sz w:val="22"/>
          <w:szCs w:val="22"/>
          <w:lang w:val="en-US"/>
        </w:rPr>
        <w:t>ZURAMPIC</w:t>
      </w:r>
      <w:r w:rsidR="00494612" w:rsidRPr="00494612">
        <w:rPr>
          <w:sz w:val="22"/>
          <w:szCs w:val="22"/>
          <w:lang w:val="en-US"/>
        </w:rPr>
        <w:t xml:space="preserve"> decreases the frequency of gout flares.</w:t>
      </w:r>
      <w:r w:rsidR="00270F5A">
        <w:rPr>
          <w:sz w:val="22"/>
          <w:szCs w:val="22"/>
          <w:lang w:val="en-US"/>
        </w:rPr>
        <w:t xml:space="preserve"> ZURAMPIC has not been demonstrated to reduce the incidence of gout flares in the first 12 months of treatment</w:t>
      </w:r>
      <w:r w:rsidR="00E42475">
        <w:rPr>
          <w:sz w:val="22"/>
          <w:szCs w:val="22"/>
          <w:lang w:val="en-US"/>
        </w:rPr>
        <w:t xml:space="preserve"> compared with</w:t>
      </w:r>
      <w:r w:rsidR="00C67294">
        <w:rPr>
          <w:sz w:val="22"/>
          <w:szCs w:val="22"/>
          <w:lang w:val="en-US"/>
        </w:rPr>
        <w:t xml:space="preserve"> a xanthine oxidase inhibitor alone</w:t>
      </w:r>
      <w:r w:rsidR="00270F5A">
        <w:rPr>
          <w:sz w:val="22"/>
          <w:szCs w:val="22"/>
          <w:lang w:val="en-US"/>
        </w:rPr>
        <w:t>.</w:t>
      </w:r>
    </w:p>
    <w:p w:rsidR="004B37B5" w:rsidRPr="00C5178C" w:rsidRDefault="004B37B5" w:rsidP="004B37B5">
      <w:pPr>
        <w:pStyle w:val="A-Heading2"/>
        <w:rPr>
          <w:sz w:val="22"/>
          <w:szCs w:val="22"/>
        </w:rPr>
      </w:pPr>
      <w:r w:rsidRPr="00C5178C">
        <w:rPr>
          <w:sz w:val="22"/>
          <w:szCs w:val="22"/>
        </w:rPr>
        <w:t>Cardiovascular events</w:t>
      </w:r>
    </w:p>
    <w:p w:rsidR="00494612" w:rsidRPr="0085759A" w:rsidRDefault="000D39E7" w:rsidP="00494612">
      <w:pPr>
        <w:rPr>
          <w:sz w:val="22"/>
          <w:szCs w:val="22"/>
          <w:lang w:val="sv-SE"/>
        </w:rPr>
      </w:pPr>
      <w:r>
        <w:rPr>
          <w:sz w:val="22"/>
          <w:szCs w:val="22"/>
          <w:lang w:val="sv-SE"/>
        </w:rPr>
        <w:t>In clinical studies</w:t>
      </w:r>
      <w:r w:rsidR="004B37B5" w:rsidRPr="00C5178C">
        <w:rPr>
          <w:sz w:val="22"/>
          <w:szCs w:val="22"/>
          <w:lang w:val="sv-SE"/>
        </w:rPr>
        <w:t>, major adverse cardiovascular events (defined as cardiovascular deaths, non-fatal myocardial infarctions, or non-fatal strokes) were observed with ZURAMPIC. A causal relationship with ZURAMPIC has not been established.</w:t>
      </w:r>
    </w:p>
    <w:p w:rsidR="00EF3376" w:rsidRPr="00FD0ED7" w:rsidRDefault="00EF3376">
      <w:pPr>
        <w:pStyle w:val="A-Heading2"/>
        <w:rPr>
          <w:sz w:val="22"/>
          <w:lang w:val="en-AU"/>
        </w:rPr>
      </w:pPr>
      <w:r w:rsidRPr="00FD0ED7">
        <w:rPr>
          <w:sz w:val="22"/>
          <w:lang w:val="en-AU"/>
        </w:rPr>
        <w:t>Effects on fertility</w:t>
      </w:r>
    </w:p>
    <w:p w:rsidR="00FD0ED7" w:rsidRPr="00FD0ED7" w:rsidRDefault="00FD0ED7">
      <w:pPr>
        <w:rPr>
          <w:b/>
          <w:bCs/>
          <w:sz w:val="22"/>
          <w:lang w:val="sv-SE"/>
        </w:rPr>
      </w:pPr>
      <w:r w:rsidRPr="00FD0ED7">
        <w:rPr>
          <w:sz w:val="22"/>
          <w:lang w:val="en-GB"/>
        </w:rPr>
        <w:t>The effect of lesinurad on fertility in humans has not been studied. In rats, there was no effect on mating or fertility wit</w:t>
      </w:r>
      <w:r w:rsidR="003C152D">
        <w:rPr>
          <w:sz w:val="22"/>
          <w:lang w:val="en-GB"/>
        </w:rPr>
        <w:t>h lesinurad.</w:t>
      </w:r>
      <w:r>
        <w:rPr>
          <w:sz w:val="22"/>
          <w:lang w:val="en-GB"/>
        </w:rPr>
        <w:t xml:space="preserve"> </w:t>
      </w:r>
      <w:r w:rsidRPr="00FD0ED7">
        <w:rPr>
          <w:sz w:val="22"/>
          <w:lang w:val="en-GB"/>
        </w:rPr>
        <w:t xml:space="preserve">Lesinurad at oral doses up to 300 mg/kg per day (approximately </w:t>
      </w:r>
      <w:r w:rsidR="003E6CDD">
        <w:rPr>
          <w:sz w:val="22"/>
          <w:lang w:val="en-GB"/>
        </w:rPr>
        <w:t>36</w:t>
      </w:r>
      <w:r w:rsidRPr="00FD0ED7">
        <w:rPr>
          <w:sz w:val="22"/>
          <w:lang w:val="en-GB"/>
        </w:rPr>
        <w:t xml:space="preserve"> times the human plasma exposure) had no effect on fertility and reproductive performance of male and female rats.</w:t>
      </w:r>
    </w:p>
    <w:p w:rsidR="00FD0ED7" w:rsidRPr="00104648" w:rsidRDefault="00EF3376" w:rsidP="00104648">
      <w:pPr>
        <w:pStyle w:val="A-Heading2"/>
        <w:rPr>
          <w:sz w:val="22"/>
          <w:szCs w:val="22"/>
        </w:rPr>
      </w:pPr>
      <w:r w:rsidRPr="00104648">
        <w:rPr>
          <w:sz w:val="22"/>
          <w:szCs w:val="22"/>
        </w:rPr>
        <w:t xml:space="preserve">Use in pregnancy – </w:t>
      </w:r>
      <w:r w:rsidR="00976CD8" w:rsidRPr="00104648">
        <w:rPr>
          <w:sz w:val="22"/>
          <w:szCs w:val="22"/>
        </w:rPr>
        <w:t>Category B1</w:t>
      </w:r>
    </w:p>
    <w:p w:rsidR="00FD0ED7" w:rsidRPr="00FD0ED7" w:rsidRDefault="00FD0ED7" w:rsidP="00FD0ED7">
      <w:pPr>
        <w:spacing w:after="0" w:line="240" w:lineRule="auto"/>
        <w:rPr>
          <w:sz w:val="22"/>
          <w:lang w:val="en-US"/>
        </w:rPr>
      </w:pPr>
      <w:r w:rsidRPr="00FD0ED7">
        <w:rPr>
          <w:sz w:val="22"/>
          <w:lang w:val="en-US"/>
        </w:rPr>
        <w:t xml:space="preserve">There are no data from the use of </w:t>
      </w:r>
      <w:r w:rsidR="0001010D">
        <w:rPr>
          <w:sz w:val="22"/>
          <w:lang w:val="en-US"/>
        </w:rPr>
        <w:t>ZURAMPIC</w:t>
      </w:r>
      <w:r w:rsidRPr="00FD0ED7">
        <w:rPr>
          <w:sz w:val="22"/>
          <w:lang w:val="en-US"/>
        </w:rPr>
        <w:t xml:space="preserve"> in pregnant women. </w:t>
      </w:r>
      <w:r w:rsidR="004C3126">
        <w:rPr>
          <w:sz w:val="22"/>
          <w:lang w:val="en-US"/>
        </w:rPr>
        <w:t xml:space="preserve"> </w:t>
      </w:r>
      <w:r w:rsidR="003E6CDD">
        <w:rPr>
          <w:sz w:val="22"/>
          <w:lang w:val="en-US"/>
        </w:rPr>
        <w:t>There was no evidence of teratogenicity or direct embryo</w:t>
      </w:r>
      <w:r w:rsidR="00A86210">
        <w:rPr>
          <w:sz w:val="22"/>
          <w:lang w:val="en-US"/>
        </w:rPr>
        <w:t>-</w:t>
      </w:r>
      <w:r w:rsidR="00E356BA">
        <w:rPr>
          <w:sz w:val="22"/>
          <w:lang w:val="en-US"/>
        </w:rPr>
        <w:t xml:space="preserve">fetal toxicity in rats or rabbits following maternal dosing </w:t>
      </w:r>
      <w:r w:rsidR="00E00225">
        <w:rPr>
          <w:sz w:val="22"/>
          <w:lang w:val="en-US"/>
        </w:rPr>
        <w:t xml:space="preserve">of lesinurad </w:t>
      </w:r>
      <w:r w:rsidR="00E356BA">
        <w:rPr>
          <w:sz w:val="22"/>
          <w:lang w:val="en-US"/>
        </w:rPr>
        <w:t xml:space="preserve">during the period of organogenesis at oral doses of up to 300 </w:t>
      </w:r>
      <w:r w:rsidR="00A86210">
        <w:rPr>
          <w:sz w:val="22"/>
          <w:lang w:val="en-US"/>
        </w:rPr>
        <w:t xml:space="preserve">mg/kg per day (rat) </w:t>
      </w:r>
      <w:r w:rsidR="00E356BA">
        <w:rPr>
          <w:sz w:val="22"/>
          <w:lang w:val="en-US"/>
        </w:rPr>
        <w:t>and 25 mg/kg per day (</w:t>
      </w:r>
      <w:r w:rsidR="00A86210">
        <w:rPr>
          <w:sz w:val="22"/>
          <w:lang w:val="en-US"/>
        </w:rPr>
        <w:t>rabbit).  This corresponds</w:t>
      </w:r>
      <w:r w:rsidR="00E356BA">
        <w:rPr>
          <w:sz w:val="22"/>
          <w:lang w:val="en-US"/>
        </w:rPr>
        <w:t xml:space="preserve"> to approximately 49 and 4 times the human plasma exposure</w:t>
      </w:r>
      <w:r w:rsidR="00A86210">
        <w:rPr>
          <w:sz w:val="22"/>
          <w:lang w:val="en-US"/>
        </w:rPr>
        <w:t>, respectively</w:t>
      </w:r>
      <w:r w:rsidR="00E356BA">
        <w:rPr>
          <w:sz w:val="22"/>
          <w:lang w:val="en-US"/>
        </w:rPr>
        <w:t>.  Decreased embryo</w:t>
      </w:r>
      <w:r w:rsidR="00A86210">
        <w:rPr>
          <w:sz w:val="22"/>
          <w:lang w:val="en-US"/>
        </w:rPr>
        <w:t>-</w:t>
      </w:r>
      <w:r w:rsidR="00E356BA">
        <w:rPr>
          <w:sz w:val="22"/>
          <w:lang w:val="en-US"/>
        </w:rPr>
        <w:t>fetal surviv</w:t>
      </w:r>
      <w:r w:rsidR="00131F3C">
        <w:rPr>
          <w:sz w:val="22"/>
          <w:lang w:val="en-US"/>
        </w:rPr>
        <w:t>al</w:t>
      </w:r>
      <w:r w:rsidR="00E356BA">
        <w:rPr>
          <w:sz w:val="22"/>
          <w:lang w:val="en-US"/>
        </w:rPr>
        <w:t xml:space="preserve"> occurred only in association with maternal toxicity.</w:t>
      </w:r>
    </w:p>
    <w:p w:rsidR="00FD0ED7" w:rsidRDefault="00FD0ED7" w:rsidP="00FD0ED7">
      <w:pPr>
        <w:spacing w:after="0" w:line="240" w:lineRule="auto"/>
        <w:rPr>
          <w:sz w:val="22"/>
          <w:lang w:val="en-GB"/>
        </w:rPr>
      </w:pPr>
    </w:p>
    <w:p w:rsidR="00FD0ED7" w:rsidRPr="00104648" w:rsidRDefault="00FD0ED7">
      <w:pPr>
        <w:spacing w:line="240" w:lineRule="auto"/>
        <w:rPr>
          <w:sz w:val="22"/>
          <w:lang w:val="en-GB"/>
        </w:rPr>
      </w:pPr>
      <w:r w:rsidRPr="00FD0ED7">
        <w:rPr>
          <w:sz w:val="22"/>
          <w:lang w:val="en-GB"/>
        </w:rPr>
        <w:t xml:space="preserve">As a precautionary measure, it is preferable to avoid the use of </w:t>
      </w:r>
      <w:r w:rsidR="0001010D">
        <w:rPr>
          <w:sz w:val="22"/>
          <w:lang w:val="en-GB"/>
        </w:rPr>
        <w:t>ZURAMPIC</w:t>
      </w:r>
      <w:r w:rsidRPr="00FD0ED7">
        <w:rPr>
          <w:sz w:val="22"/>
          <w:lang w:val="en-GB"/>
        </w:rPr>
        <w:t xml:space="preserve"> during pregnancy.</w:t>
      </w:r>
    </w:p>
    <w:p w:rsidR="00EF3376" w:rsidRPr="00104648" w:rsidRDefault="00EF3376" w:rsidP="00104648">
      <w:pPr>
        <w:pStyle w:val="A-Heading2"/>
        <w:rPr>
          <w:sz w:val="22"/>
          <w:szCs w:val="22"/>
        </w:rPr>
      </w:pPr>
      <w:r w:rsidRPr="00104648">
        <w:rPr>
          <w:sz w:val="22"/>
          <w:szCs w:val="22"/>
        </w:rPr>
        <w:lastRenderedPageBreak/>
        <w:t>Use in lactation</w:t>
      </w:r>
    </w:p>
    <w:p w:rsidR="00C34264" w:rsidRPr="00620434" w:rsidRDefault="0076043F">
      <w:pPr>
        <w:rPr>
          <w:sz w:val="22"/>
          <w:lang w:val="en-US"/>
        </w:rPr>
      </w:pPr>
      <w:r>
        <w:rPr>
          <w:sz w:val="22"/>
          <w:lang w:val="en-GB"/>
        </w:rPr>
        <w:t>Available pharmacodynamic/</w:t>
      </w:r>
      <w:r w:rsidR="00C34264" w:rsidRPr="00C34264">
        <w:rPr>
          <w:sz w:val="22"/>
          <w:lang w:val="en-GB"/>
        </w:rPr>
        <w:t xml:space="preserve">toxicological data in </w:t>
      </w:r>
      <w:r w:rsidR="00E00225">
        <w:rPr>
          <w:sz w:val="22"/>
          <w:lang w:val="en-GB"/>
        </w:rPr>
        <w:t>rats</w:t>
      </w:r>
      <w:r w:rsidR="00C34264" w:rsidRPr="00C34264">
        <w:rPr>
          <w:sz w:val="22"/>
          <w:lang w:val="en-GB"/>
        </w:rPr>
        <w:t xml:space="preserve"> have shown excretion of lesinurad </w:t>
      </w:r>
      <w:r w:rsidR="00C34264" w:rsidRPr="00620434">
        <w:rPr>
          <w:sz w:val="22"/>
          <w:lang w:val="en-GB"/>
        </w:rPr>
        <w:t xml:space="preserve">in milk. </w:t>
      </w:r>
      <w:r w:rsidR="001D0933">
        <w:rPr>
          <w:sz w:val="22"/>
          <w:lang w:val="en-GB"/>
        </w:rPr>
        <w:t xml:space="preserve"> </w:t>
      </w:r>
      <w:r w:rsidR="00E356BA">
        <w:rPr>
          <w:sz w:val="22"/>
          <w:lang w:val="en-GB"/>
        </w:rPr>
        <w:t xml:space="preserve">Lesinurad administration </w:t>
      </w:r>
      <w:r w:rsidR="00631957">
        <w:rPr>
          <w:sz w:val="22"/>
          <w:lang w:val="en-GB"/>
        </w:rPr>
        <w:t>to rats during pregnancy and lactation at doses of</w:t>
      </w:r>
      <w:r w:rsidR="00E34A6F">
        <w:rPr>
          <w:sz w:val="22"/>
          <w:lang w:val="en-GB"/>
        </w:rPr>
        <w:t xml:space="preserve"> </w:t>
      </w:r>
      <w:r w:rsidR="00631957">
        <w:rPr>
          <w:sz w:val="22"/>
          <w:lang w:val="en-GB"/>
        </w:rPr>
        <w:t xml:space="preserve">200 mg/kg/day (18 times the human plasma exposure) had adverse effects on pup survival, suckling, growth and development secondary to maternal toxicity.  </w:t>
      </w:r>
      <w:r w:rsidR="00C34264" w:rsidRPr="00620434">
        <w:rPr>
          <w:sz w:val="22"/>
          <w:lang w:val="en-GB"/>
        </w:rPr>
        <w:t>A risk to the newborns/infants cannot be excluded.</w:t>
      </w:r>
      <w:r w:rsidR="00DC4988">
        <w:rPr>
          <w:sz w:val="22"/>
          <w:lang w:val="en-GB"/>
        </w:rPr>
        <w:t xml:space="preserve">  </w:t>
      </w:r>
      <w:r w:rsidR="00233D76">
        <w:rPr>
          <w:sz w:val="22"/>
          <w:lang w:val="en-US"/>
        </w:rPr>
        <w:t>ZURAMPIC</w:t>
      </w:r>
      <w:r w:rsidR="00DC4988" w:rsidRPr="00DC4988">
        <w:rPr>
          <w:sz w:val="22"/>
          <w:lang w:val="en-US"/>
        </w:rPr>
        <w:t xml:space="preserve"> should not be used during breast-feeding.</w:t>
      </w:r>
    </w:p>
    <w:p w:rsidR="00EF3376" w:rsidRPr="00620434" w:rsidRDefault="00EF3376">
      <w:pPr>
        <w:pStyle w:val="A-Heading2"/>
        <w:rPr>
          <w:sz w:val="22"/>
          <w:lang w:val="en-AU"/>
        </w:rPr>
      </w:pPr>
      <w:r w:rsidRPr="00620434">
        <w:rPr>
          <w:sz w:val="22"/>
          <w:lang w:val="en-AU"/>
        </w:rPr>
        <w:t>Paediatric use</w:t>
      </w:r>
    </w:p>
    <w:p w:rsidR="00EF3376" w:rsidRPr="00B07C26" w:rsidRDefault="00C8291A">
      <w:pPr>
        <w:rPr>
          <w:color w:val="000000"/>
          <w:sz w:val="22"/>
          <w:szCs w:val="22"/>
          <w:lang w:val="sv-SE"/>
        </w:rPr>
      </w:pPr>
      <w:r w:rsidRPr="00B07C26">
        <w:rPr>
          <w:color w:val="000000"/>
          <w:sz w:val="22"/>
          <w:szCs w:val="22"/>
          <w:lang w:val="sv-SE"/>
        </w:rPr>
        <w:t xml:space="preserve">The safety and efficacy of </w:t>
      </w:r>
      <w:r w:rsidR="0001010D">
        <w:rPr>
          <w:color w:val="000000"/>
          <w:sz w:val="22"/>
          <w:szCs w:val="22"/>
          <w:lang w:val="sv-SE"/>
        </w:rPr>
        <w:t>ZURAMPIC</w:t>
      </w:r>
      <w:r w:rsidRPr="00B07C26">
        <w:rPr>
          <w:color w:val="000000"/>
          <w:sz w:val="22"/>
          <w:szCs w:val="22"/>
          <w:lang w:val="sv-SE"/>
        </w:rPr>
        <w:t xml:space="preserve"> in children </w:t>
      </w:r>
      <w:r w:rsidR="00B908CA" w:rsidRPr="00B07C26">
        <w:rPr>
          <w:color w:val="000000"/>
          <w:sz w:val="22"/>
          <w:szCs w:val="22"/>
          <w:lang w:val="sv-SE"/>
        </w:rPr>
        <w:t>and adol</w:t>
      </w:r>
      <w:r w:rsidR="000B77AB">
        <w:rPr>
          <w:color w:val="000000"/>
          <w:sz w:val="22"/>
          <w:szCs w:val="22"/>
          <w:lang w:val="sv-SE"/>
        </w:rPr>
        <w:t>e</w:t>
      </w:r>
      <w:r w:rsidR="00B908CA" w:rsidRPr="00B07C26">
        <w:rPr>
          <w:color w:val="000000"/>
          <w:sz w:val="22"/>
          <w:szCs w:val="22"/>
          <w:lang w:val="sv-SE"/>
        </w:rPr>
        <w:t xml:space="preserve">scents </w:t>
      </w:r>
      <w:r w:rsidRPr="00B07C26">
        <w:rPr>
          <w:color w:val="000000"/>
          <w:sz w:val="22"/>
          <w:szCs w:val="22"/>
          <w:lang w:val="sv-SE"/>
        </w:rPr>
        <w:t>under 18 years of age has not been established. No data are available.</w:t>
      </w:r>
    </w:p>
    <w:p w:rsidR="00EF3376" w:rsidRPr="00620434" w:rsidRDefault="00EF3376">
      <w:pPr>
        <w:pStyle w:val="A-Heading2"/>
        <w:rPr>
          <w:sz w:val="22"/>
          <w:szCs w:val="22"/>
          <w:lang w:val="en-AU"/>
        </w:rPr>
      </w:pPr>
      <w:r w:rsidRPr="00620434">
        <w:rPr>
          <w:sz w:val="22"/>
          <w:szCs w:val="22"/>
          <w:lang w:val="en-AU"/>
        </w:rPr>
        <w:t xml:space="preserve">Use in </w:t>
      </w:r>
      <w:r w:rsidR="00765EE4">
        <w:rPr>
          <w:sz w:val="22"/>
          <w:szCs w:val="22"/>
          <w:lang w:val="en-AU"/>
        </w:rPr>
        <w:t xml:space="preserve">the </w:t>
      </w:r>
      <w:r w:rsidRPr="00620434">
        <w:rPr>
          <w:sz w:val="22"/>
          <w:szCs w:val="22"/>
          <w:lang w:val="en-AU"/>
        </w:rPr>
        <w:t>elderly</w:t>
      </w:r>
    </w:p>
    <w:p w:rsidR="00620434" w:rsidRDefault="00620434" w:rsidP="00620434">
      <w:pPr>
        <w:keepNext/>
        <w:keepLines/>
        <w:autoSpaceDE w:val="0"/>
        <w:autoSpaceDN w:val="0"/>
        <w:adjustRightInd w:val="0"/>
        <w:rPr>
          <w:bCs/>
          <w:iCs/>
          <w:color w:val="000000"/>
          <w:sz w:val="22"/>
          <w:szCs w:val="24"/>
          <w:lang w:val="en-GB"/>
        </w:rPr>
      </w:pPr>
      <w:r w:rsidRPr="001F1C86">
        <w:rPr>
          <w:bCs/>
          <w:iCs/>
          <w:color w:val="000000"/>
          <w:sz w:val="22"/>
          <w:szCs w:val="24"/>
          <w:lang w:val="en-GB"/>
        </w:rPr>
        <w:t>Based on population pharmacokinetic analysis, age d</w:t>
      </w:r>
      <w:r>
        <w:rPr>
          <w:bCs/>
          <w:iCs/>
          <w:color w:val="000000"/>
          <w:sz w:val="22"/>
          <w:szCs w:val="24"/>
          <w:lang w:val="en-GB"/>
        </w:rPr>
        <w:t>oes</w:t>
      </w:r>
      <w:r w:rsidRPr="001F1C86">
        <w:rPr>
          <w:bCs/>
          <w:iCs/>
          <w:color w:val="000000"/>
          <w:sz w:val="22"/>
          <w:szCs w:val="24"/>
          <w:lang w:val="en-GB"/>
        </w:rPr>
        <w:t xml:space="preserve"> not have a clinically meaningful effect on the</w:t>
      </w:r>
      <w:r>
        <w:rPr>
          <w:bCs/>
          <w:iCs/>
          <w:color w:val="000000"/>
          <w:sz w:val="22"/>
          <w:szCs w:val="24"/>
          <w:lang w:val="en-GB"/>
        </w:rPr>
        <w:t xml:space="preserve"> pharmacokinetics of lesinurad and no dose adjustment is necessary based on age.</w:t>
      </w:r>
    </w:p>
    <w:p w:rsidR="00DE0197" w:rsidRPr="00F74512" w:rsidRDefault="00DE0197" w:rsidP="00DE0197">
      <w:pPr>
        <w:pStyle w:val="A-Heading2"/>
        <w:rPr>
          <w:sz w:val="22"/>
          <w:lang w:val="en-AU"/>
        </w:rPr>
      </w:pPr>
      <w:r>
        <w:rPr>
          <w:sz w:val="22"/>
          <w:lang w:val="en-AU"/>
        </w:rPr>
        <w:t>Genotoxicity</w:t>
      </w:r>
    </w:p>
    <w:p w:rsidR="00DE0197" w:rsidRPr="00DE0197" w:rsidRDefault="00DE0197" w:rsidP="00DE0197">
      <w:pPr>
        <w:rPr>
          <w:bCs/>
          <w:sz w:val="22"/>
          <w:szCs w:val="22"/>
          <w:lang w:val="en-US"/>
        </w:rPr>
      </w:pPr>
      <w:r w:rsidRPr="007873B8">
        <w:rPr>
          <w:sz w:val="22"/>
          <w:szCs w:val="22"/>
          <w:lang w:val="en-GB"/>
        </w:rPr>
        <w:t xml:space="preserve">Lesinurad was negative in the </w:t>
      </w:r>
      <w:r w:rsidRPr="007873B8">
        <w:rPr>
          <w:i/>
          <w:sz w:val="22"/>
          <w:szCs w:val="22"/>
          <w:lang w:val="en-GB"/>
        </w:rPr>
        <w:t>in vitro</w:t>
      </w:r>
      <w:r w:rsidRPr="007873B8">
        <w:rPr>
          <w:sz w:val="22"/>
          <w:szCs w:val="22"/>
          <w:lang w:val="en-GB"/>
        </w:rPr>
        <w:t xml:space="preserve"> Ames assay and chromosomal aberration test in Chinese hamster ovary (CHO) cells, and </w:t>
      </w:r>
      <w:r w:rsidRPr="007873B8">
        <w:rPr>
          <w:i/>
          <w:sz w:val="22"/>
          <w:szCs w:val="22"/>
          <w:lang w:val="en-GB"/>
        </w:rPr>
        <w:t>in vivo</w:t>
      </w:r>
      <w:r w:rsidRPr="007873B8">
        <w:rPr>
          <w:sz w:val="22"/>
          <w:szCs w:val="22"/>
          <w:lang w:val="en-GB"/>
        </w:rPr>
        <w:t xml:space="preserve"> micronucleus assay in rat bone marrow.</w:t>
      </w:r>
      <w:r>
        <w:rPr>
          <w:sz w:val="22"/>
          <w:szCs w:val="22"/>
          <w:lang w:val="en-GB"/>
        </w:rPr>
        <w:t xml:space="preserve">  </w:t>
      </w:r>
      <w:r w:rsidRPr="00862478">
        <w:rPr>
          <w:bCs/>
          <w:sz w:val="22"/>
          <w:szCs w:val="22"/>
          <w:lang w:val="en-US"/>
        </w:rPr>
        <w:t xml:space="preserve">Nonclinical data reveal no special hazard for humans based on conventional studies of </w:t>
      </w:r>
      <w:r>
        <w:rPr>
          <w:bCs/>
          <w:sz w:val="22"/>
          <w:szCs w:val="22"/>
          <w:lang w:val="en-US"/>
        </w:rPr>
        <w:t>genotoxicity</w:t>
      </w:r>
      <w:r w:rsidRPr="00862478">
        <w:rPr>
          <w:bCs/>
          <w:sz w:val="22"/>
          <w:szCs w:val="22"/>
          <w:lang w:val="en-US"/>
        </w:rPr>
        <w:t xml:space="preserve">. </w:t>
      </w:r>
    </w:p>
    <w:p w:rsidR="00EF3376" w:rsidRPr="00C34264" w:rsidRDefault="00EF3376">
      <w:pPr>
        <w:pStyle w:val="A-Heading2"/>
        <w:rPr>
          <w:sz w:val="22"/>
          <w:szCs w:val="22"/>
          <w:lang w:val="en-AU"/>
        </w:rPr>
      </w:pPr>
      <w:r w:rsidRPr="00C34264">
        <w:rPr>
          <w:sz w:val="22"/>
          <w:szCs w:val="22"/>
          <w:lang w:val="en-AU"/>
        </w:rPr>
        <w:t>Carcinogenicity</w:t>
      </w:r>
    </w:p>
    <w:p w:rsidR="00C34264" w:rsidRPr="00C34264" w:rsidRDefault="00C34264" w:rsidP="00C34264">
      <w:pPr>
        <w:rPr>
          <w:sz w:val="22"/>
          <w:szCs w:val="22"/>
        </w:rPr>
      </w:pPr>
      <w:r w:rsidRPr="00C34264">
        <w:rPr>
          <w:sz w:val="22"/>
          <w:szCs w:val="22"/>
          <w:lang w:val="en-US"/>
        </w:rPr>
        <w:t>There was no evidence of carcinogenicity when lesinurad was administered to rats for two year</w:t>
      </w:r>
      <w:r w:rsidR="003C152D">
        <w:rPr>
          <w:sz w:val="22"/>
          <w:szCs w:val="22"/>
          <w:lang w:val="en-US"/>
        </w:rPr>
        <w:t>s or TgrasH2 mice for 26 weeks.</w:t>
      </w:r>
      <w:r w:rsidRPr="00C34264">
        <w:rPr>
          <w:sz w:val="22"/>
          <w:szCs w:val="22"/>
          <w:lang w:val="en-US"/>
        </w:rPr>
        <w:t xml:space="preserve"> The doses in rats were up to 200 mg/kg/day (</w:t>
      </w:r>
      <w:r w:rsidR="00631957">
        <w:rPr>
          <w:sz w:val="22"/>
          <w:szCs w:val="22"/>
          <w:lang w:val="en-US"/>
        </w:rPr>
        <w:t>35</w:t>
      </w:r>
      <w:r w:rsidRPr="00C34264">
        <w:rPr>
          <w:sz w:val="22"/>
          <w:szCs w:val="22"/>
          <w:lang w:val="en-US"/>
        </w:rPr>
        <w:t xml:space="preserve"> times the human plasma exposure</w:t>
      </w:r>
      <w:r w:rsidR="003C152D">
        <w:rPr>
          <w:sz w:val="22"/>
          <w:szCs w:val="22"/>
          <w:lang w:val="en-US"/>
        </w:rPr>
        <w:t>).</w:t>
      </w:r>
      <w:r w:rsidRPr="00C34264">
        <w:rPr>
          <w:sz w:val="22"/>
          <w:szCs w:val="22"/>
          <w:lang w:val="en-US"/>
        </w:rPr>
        <w:t xml:space="preserve"> In male and female mice doses were up to 125 and 250 mg/kg/day (33 and 63 times the human plasma exposure), respectively.</w:t>
      </w:r>
    </w:p>
    <w:p w:rsidR="00EF3376" w:rsidRDefault="009B722C">
      <w:pPr>
        <w:pStyle w:val="A-Heading2"/>
        <w:rPr>
          <w:sz w:val="22"/>
          <w:lang w:val="en-AU"/>
        </w:rPr>
      </w:pPr>
      <w:r w:rsidRPr="002F3CA1">
        <w:rPr>
          <w:sz w:val="22"/>
          <w:lang w:val="en-AU"/>
        </w:rPr>
        <w:t>INTERACTIONS WITH OTHER MEDICINES</w:t>
      </w:r>
    </w:p>
    <w:p w:rsidR="00FD0ED7" w:rsidRPr="00FD0ED7" w:rsidRDefault="00FD0ED7" w:rsidP="00FD0ED7">
      <w:pPr>
        <w:rPr>
          <w:sz w:val="22"/>
          <w:szCs w:val="22"/>
          <w:lang w:val="en-GB"/>
        </w:rPr>
      </w:pPr>
      <w:r w:rsidRPr="00FD0ED7">
        <w:rPr>
          <w:sz w:val="22"/>
          <w:szCs w:val="22"/>
          <w:lang w:val="en-GB"/>
        </w:rPr>
        <w:t xml:space="preserve">Based on drug interaction studies in healthy subjects or gout patients, </w:t>
      </w:r>
      <w:r w:rsidR="0057066C">
        <w:rPr>
          <w:sz w:val="22"/>
          <w:szCs w:val="22"/>
          <w:lang w:val="en-GB"/>
        </w:rPr>
        <w:t>ZURAMPIC</w:t>
      </w:r>
      <w:r w:rsidRPr="00FD0ED7">
        <w:rPr>
          <w:sz w:val="22"/>
          <w:szCs w:val="22"/>
          <w:lang w:val="en-GB"/>
        </w:rPr>
        <w:t xml:space="preserve"> does not have clinically significant interactions with colchicine, naproxen, indomethacin, atorvastatin, warfarin, repaglinide or tolbutamide. </w:t>
      </w:r>
    </w:p>
    <w:p w:rsidR="00FD0ED7" w:rsidRPr="00FD0ED7" w:rsidRDefault="00FD0ED7" w:rsidP="00FD0ED7">
      <w:pPr>
        <w:pStyle w:val="A-Heading2"/>
        <w:rPr>
          <w:sz w:val="22"/>
          <w:szCs w:val="22"/>
        </w:rPr>
      </w:pPr>
      <w:r w:rsidRPr="00FD0ED7">
        <w:rPr>
          <w:sz w:val="22"/>
          <w:szCs w:val="22"/>
        </w:rPr>
        <w:t>CYP2C9 inhibitors</w:t>
      </w:r>
      <w:r w:rsidR="000C77AE">
        <w:rPr>
          <w:sz w:val="22"/>
          <w:szCs w:val="22"/>
        </w:rPr>
        <w:t>, CYP2C9 poor metabolisers</w:t>
      </w:r>
      <w:r w:rsidR="00AC2F5D">
        <w:rPr>
          <w:sz w:val="22"/>
          <w:szCs w:val="22"/>
        </w:rPr>
        <w:t>,</w:t>
      </w:r>
      <w:r w:rsidR="000C77AE">
        <w:rPr>
          <w:sz w:val="22"/>
          <w:szCs w:val="22"/>
        </w:rPr>
        <w:t xml:space="preserve"> and CYP2C9 inducers</w:t>
      </w:r>
      <w:r w:rsidRPr="00FD0ED7">
        <w:rPr>
          <w:sz w:val="22"/>
          <w:szCs w:val="22"/>
        </w:rPr>
        <w:t xml:space="preserve"> </w:t>
      </w:r>
    </w:p>
    <w:p w:rsidR="00FD0ED7" w:rsidRDefault="00FD0ED7" w:rsidP="00FD0ED7">
      <w:pPr>
        <w:rPr>
          <w:sz w:val="22"/>
          <w:szCs w:val="22"/>
          <w:lang w:val="en-GB"/>
        </w:rPr>
      </w:pPr>
      <w:r w:rsidRPr="00FD0ED7">
        <w:rPr>
          <w:sz w:val="22"/>
          <w:szCs w:val="22"/>
          <w:lang w:val="en-GB"/>
        </w:rPr>
        <w:t xml:space="preserve">Lesinurad exposure is increased when </w:t>
      </w:r>
      <w:r w:rsidR="000C77AE">
        <w:rPr>
          <w:sz w:val="22"/>
          <w:szCs w:val="22"/>
          <w:lang w:val="en-GB"/>
        </w:rPr>
        <w:t>ZURAMPIC</w:t>
      </w:r>
      <w:r w:rsidRPr="00FD0ED7">
        <w:rPr>
          <w:sz w:val="22"/>
          <w:szCs w:val="22"/>
          <w:lang w:val="en-GB"/>
        </w:rPr>
        <w:t xml:space="preserve"> is co-administered with inhibitors of CYP2C9</w:t>
      </w:r>
      <w:r w:rsidR="000C77AE">
        <w:rPr>
          <w:sz w:val="22"/>
          <w:szCs w:val="22"/>
          <w:lang w:val="en-GB"/>
        </w:rPr>
        <w:t>, and in CYP2C9 poor metabolisers</w:t>
      </w:r>
      <w:r w:rsidRPr="00FD0ED7">
        <w:rPr>
          <w:sz w:val="22"/>
          <w:szCs w:val="22"/>
          <w:lang w:val="en-GB"/>
        </w:rPr>
        <w:t xml:space="preserve">. </w:t>
      </w:r>
      <w:r w:rsidR="0001010D">
        <w:rPr>
          <w:sz w:val="22"/>
          <w:szCs w:val="22"/>
          <w:lang w:val="en-GB"/>
        </w:rPr>
        <w:t>ZURAMPIC</w:t>
      </w:r>
      <w:r w:rsidRPr="00FD0ED7">
        <w:rPr>
          <w:sz w:val="22"/>
          <w:szCs w:val="22"/>
          <w:lang w:val="en-GB"/>
        </w:rPr>
        <w:t xml:space="preserve"> should be used with caution in patients taking moderate inhibitors of CYP2C9 (e.g. fluconazole, amiodarone)</w:t>
      </w:r>
      <w:r w:rsidR="000C77AE">
        <w:rPr>
          <w:sz w:val="22"/>
          <w:szCs w:val="22"/>
          <w:lang w:val="en-GB"/>
        </w:rPr>
        <w:t xml:space="preserve"> and in CYP2C9 poor metabolisers</w:t>
      </w:r>
      <w:r w:rsidRPr="00FD0ED7">
        <w:rPr>
          <w:sz w:val="22"/>
          <w:szCs w:val="22"/>
          <w:lang w:val="en-GB"/>
        </w:rPr>
        <w:t>.</w:t>
      </w:r>
    </w:p>
    <w:p w:rsidR="000C77AE" w:rsidRDefault="000C77AE" w:rsidP="00FD0ED7">
      <w:pPr>
        <w:rPr>
          <w:sz w:val="22"/>
          <w:szCs w:val="22"/>
          <w:lang w:val="en-GB"/>
        </w:rPr>
      </w:pPr>
      <w:r>
        <w:rPr>
          <w:sz w:val="22"/>
          <w:szCs w:val="22"/>
          <w:lang w:val="en-GB"/>
        </w:rPr>
        <w:t>Lesinurad exposure is decreased when ZURAMPIC is co-administered with moderate inducers of CYP2C9 (e.g. rifampi</w:t>
      </w:r>
      <w:r w:rsidR="00B967A2">
        <w:rPr>
          <w:sz w:val="22"/>
          <w:szCs w:val="22"/>
          <w:lang w:val="en-GB"/>
        </w:rPr>
        <w:t>ci</w:t>
      </w:r>
      <w:r>
        <w:rPr>
          <w:sz w:val="22"/>
          <w:szCs w:val="22"/>
          <w:lang w:val="en-GB"/>
        </w:rPr>
        <w:t>n, carbamazepine), which may decrease the therapeutic effect of ZURAMPIC</w:t>
      </w:r>
      <w:r w:rsidR="00C2207B">
        <w:rPr>
          <w:sz w:val="22"/>
          <w:szCs w:val="22"/>
          <w:lang w:val="en-GB"/>
        </w:rPr>
        <w:t xml:space="preserve"> (see Table 3)</w:t>
      </w:r>
      <w:r>
        <w:rPr>
          <w:sz w:val="22"/>
          <w:szCs w:val="22"/>
          <w:lang w:val="en-GB"/>
        </w:rPr>
        <w:t>.</w:t>
      </w:r>
    </w:p>
    <w:p w:rsidR="004F5C91" w:rsidRPr="004F5C91" w:rsidRDefault="004F5C91" w:rsidP="004F5C91">
      <w:pPr>
        <w:pStyle w:val="A-TableTitle"/>
        <w:rPr>
          <w:bCs/>
          <w:sz w:val="22"/>
          <w:szCs w:val="22"/>
        </w:rPr>
      </w:pPr>
      <w:r>
        <w:rPr>
          <w:bCs/>
          <w:sz w:val="22"/>
          <w:szCs w:val="22"/>
        </w:rPr>
        <w:lastRenderedPageBreak/>
        <w:t>Table 3</w:t>
      </w:r>
      <w:r w:rsidRPr="00331650">
        <w:rPr>
          <w:bCs/>
          <w:sz w:val="22"/>
          <w:szCs w:val="22"/>
        </w:rPr>
        <w:t xml:space="preserve"> </w:t>
      </w:r>
      <w:r w:rsidRPr="00331650">
        <w:rPr>
          <w:bCs/>
          <w:sz w:val="22"/>
          <w:szCs w:val="22"/>
        </w:rPr>
        <w:tab/>
      </w:r>
      <w:r w:rsidR="00F802DD" w:rsidRPr="00F802DD">
        <w:rPr>
          <w:rFonts w:cs="Arial"/>
          <w:bCs/>
          <w:color w:val="000000"/>
          <w:sz w:val="22"/>
          <w:szCs w:val="22"/>
        </w:rPr>
        <w:t>E</w:t>
      </w:r>
      <w:r w:rsidR="00F802DD">
        <w:rPr>
          <w:rFonts w:cs="Arial"/>
          <w:bCs/>
          <w:color w:val="000000"/>
          <w:sz w:val="22"/>
          <w:szCs w:val="22"/>
        </w:rPr>
        <w:t xml:space="preserve">ffects </w:t>
      </w:r>
      <w:r w:rsidR="00F802DD" w:rsidRPr="00F802DD">
        <w:rPr>
          <w:rFonts w:cs="Arial"/>
          <w:bCs/>
          <w:color w:val="000000"/>
          <w:sz w:val="22"/>
          <w:szCs w:val="22"/>
        </w:rPr>
        <w:t>of co</w:t>
      </w:r>
      <w:r w:rsidR="00F802DD">
        <w:rPr>
          <w:rFonts w:cs="Arial"/>
          <w:bCs/>
          <w:color w:val="000000"/>
          <w:sz w:val="22"/>
          <w:szCs w:val="22"/>
        </w:rPr>
        <w:t xml:space="preserve">ncomitant </w:t>
      </w:r>
      <w:r w:rsidR="00F802DD" w:rsidRPr="00F802DD">
        <w:rPr>
          <w:rFonts w:cs="Arial"/>
          <w:bCs/>
          <w:color w:val="000000"/>
          <w:sz w:val="22"/>
          <w:szCs w:val="22"/>
        </w:rPr>
        <w:t>medications on the pharmacokinetics of lesinurad</w:t>
      </w:r>
    </w:p>
    <w:tbl>
      <w:tblPr>
        <w:tblW w:w="4965" w:type="pct"/>
        <w:tblLayout w:type="fixed"/>
        <w:tblLook w:val="04A0" w:firstRow="1" w:lastRow="0" w:firstColumn="1" w:lastColumn="0" w:noHBand="0" w:noVBand="1"/>
      </w:tblPr>
      <w:tblGrid>
        <w:gridCol w:w="2376"/>
        <w:gridCol w:w="1276"/>
        <w:gridCol w:w="1564"/>
        <w:gridCol w:w="1700"/>
        <w:gridCol w:w="2264"/>
      </w:tblGrid>
      <w:tr w:rsidR="00761F24" w:rsidRPr="004B5DEA" w:rsidTr="00985177">
        <w:trPr>
          <w:trHeight w:val="288"/>
        </w:trPr>
        <w:tc>
          <w:tcPr>
            <w:tcW w:w="1294" w:type="pct"/>
            <w:vMerge w:val="restart"/>
            <w:tcBorders>
              <w:top w:val="single" w:sz="4" w:space="0" w:color="auto"/>
              <w:left w:val="single" w:sz="4" w:space="0" w:color="auto"/>
              <w:bottom w:val="single" w:sz="4" w:space="0" w:color="auto"/>
            </w:tcBorders>
            <w:shd w:val="clear" w:color="auto" w:fill="auto"/>
            <w:noWrap/>
            <w:vAlign w:val="center"/>
            <w:hideMark/>
          </w:tcPr>
          <w:p w:rsidR="004F5C91" w:rsidRPr="004B5DEA" w:rsidRDefault="004F5C91" w:rsidP="00AC2F5D">
            <w:pPr>
              <w:spacing w:after="0" w:line="240" w:lineRule="auto"/>
              <w:rPr>
                <w:rFonts w:cs="Arial"/>
                <w:b/>
                <w:bCs/>
                <w:color w:val="000000"/>
                <w:sz w:val="20"/>
              </w:rPr>
            </w:pPr>
            <w:r w:rsidRPr="004B5DEA">
              <w:rPr>
                <w:rFonts w:cs="Arial"/>
                <w:b/>
                <w:bCs/>
                <w:color w:val="000000"/>
                <w:sz w:val="20"/>
              </w:rPr>
              <w:t>Co</w:t>
            </w:r>
            <w:r>
              <w:rPr>
                <w:rFonts w:cs="Arial"/>
                <w:b/>
                <w:bCs/>
                <w:color w:val="000000"/>
                <w:sz w:val="20"/>
              </w:rPr>
              <w:t>-</w:t>
            </w:r>
            <w:r w:rsidR="00906A50">
              <w:rPr>
                <w:rFonts w:cs="Arial"/>
                <w:b/>
                <w:bCs/>
                <w:color w:val="000000"/>
                <w:sz w:val="20"/>
              </w:rPr>
              <w:t>administered medications</w:t>
            </w:r>
          </w:p>
        </w:tc>
        <w:tc>
          <w:tcPr>
            <w:tcW w:w="695" w:type="pct"/>
            <w:vMerge w:val="restar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b/>
                <w:bCs/>
                <w:color w:val="000000"/>
                <w:sz w:val="20"/>
              </w:rPr>
            </w:pPr>
            <w:r w:rsidRPr="004B5DEA">
              <w:rPr>
                <w:rFonts w:cs="Arial"/>
                <w:b/>
                <w:bCs/>
                <w:color w:val="000000"/>
                <w:sz w:val="20"/>
              </w:rPr>
              <w:t>Lesinurad dose</w:t>
            </w:r>
          </w:p>
        </w:tc>
        <w:tc>
          <w:tcPr>
            <w:tcW w:w="1778" w:type="pct"/>
            <w:gridSpan w:val="2"/>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b/>
                <w:bCs/>
                <w:color w:val="000000"/>
                <w:sz w:val="20"/>
              </w:rPr>
            </w:pPr>
            <w:r w:rsidRPr="004B5DEA">
              <w:rPr>
                <w:rFonts w:cs="Arial"/>
                <w:b/>
                <w:bCs/>
                <w:color w:val="000000"/>
                <w:sz w:val="20"/>
              </w:rPr>
              <w:t>Fold change and 90% CI</w:t>
            </w:r>
          </w:p>
        </w:tc>
        <w:tc>
          <w:tcPr>
            <w:tcW w:w="1233" w:type="pct"/>
            <w:vMerge w:val="restart"/>
            <w:tcBorders>
              <w:top w:val="single" w:sz="4" w:space="0" w:color="auto"/>
              <w:bottom w:val="single" w:sz="4" w:space="0" w:color="auto"/>
              <w:right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b/>
                <w:bCs/>
                <w:color w:val="000000"/>
                <w:sz w:val="20"/>
              </w:rPr>
            </w:pPr>
            <w:r w:rsidRPr="004B5DEA">
              <w:rPr>
                <w:rFonts w:cs="Arial"/>
                <w:b/>
                <w:bCs/>
                <w:color w:val="000000"/>
                <w:sz w:val="20"/>
              </w:rPr>
              <w:t>Recommendation</w:t>
            </w:r>
          </w:p>
        </w:tc>
      </w:tr>
      <w:tr w:rsidR="00C2207B" w:rsidRPr="004B5DEA" w:rsidTr="00985177">
        <w:trPr>
          <w:trHeight w:val="312"/>
        </w:trPr>
        <w:tc>
          <w:tcPr>
            <w:tcW w:w="1294" w:type="pct"/>
            <w:vMerge/>
            <w:tcBorders>
              <w:top w:val="single" w:sz="4" w:space="0" w:color="auto"/>
              <w:left w:val="single" w:sz="4" w:space="0" w:color="auto"/>
              <w:bottom w:val="single" w:sz="4" w:space="0" w:color="auto"/>
            </w:tcBorders>
            <w:vAlign w:val="center"/>
            <w:hideMark/>
          </w:tcPr>
          <w:p w:rsidR="004F5C91" w:rsidRPr="004B5DEA" w:rsidRDefault="004F5C91" w:rsidP="00336E01">
            <w:pPr>
              <w:spacing w:after="0" w:line="240" w:lineRule="auto"/>
              <w:rPr>
                <w:rFonts w:cs="Arial"/>
                <w:b/>
                <w:bCs/>
                <w:color w:val="000000"/>
                <w:sz w:val="20"/>
              </w:rPr>
            </w:pPr>
          </w:p>
        </w:tc>
        <w:tc>
          <w:tcPr>
            <w:tcW w:w="695" w:type="pct"/>
            <w:vMerge/>
            <w:tcBorders>
              <w:top w:val="single" w:sz="4" w:space="0" w:color="auto"/>
              <w:bottom w:val="single" w:sz="4" w:space="0" w:color="auto"/>
            </w:tcBorders>
            <w:vAlign w:val="center"/>
            <w:hideMark/>
          </w:tcPr>
          <w:p w:rsidR="004F5C91" w:rsidRPr="004B5DEA" w:rsidRDefault="004F5C91" w:rsidP="00336E01">
            <w:pPr>
              <w:spacing w:after="0" w:line="240" w:lineRule="auto"/>
              <w:rPr>
                <w:rFonts w:cs="Arial"/>
                <w:b/>
                <w:bCs/>
                <w:color w:val="000000"/>
                <w:sz w:val="20"/>
              </w:rPr>
            </w:pPr>
          </w:p>
        </w:tc>
        <w:tc>
          <w:tcPr>
            <w:tcW w:w="852"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b/>
                <w:bCs/>
                <w:color w:val="000000"/>
                <w:sz w:val="20"/>
              </w:rPr>
            </w:pPr>
            <w:r w:rsidRPr="004B5DEA">
              <w:rPr>
                <w:rFonts w:cs="Arial"/>
                <w:b/>
                <w:bCs/>
                <w:color w:val="000000"/>
                <w:sz w:val="20"/>
              </w:rPr>
              <w:t>C</w:t>
            </w:r>
            <w:r w:rsidRPr="004B5DEA">
              <w:rPr>
                <w:rFonts w:cs="Arial"/>
                <w:b/>
                <w:bCs/>
                <w:color w:val="000000"/>
                <w:sz w:val="20"/>
                <w:vertAlign w:val="subscript"/>
              </w:rPr>
              <w:t>max</w:t>
            </w:r>
          </w:p>
        </w:tc>
        <w:tc>
          <w:tcPr>
            <w:tcW w:w="926"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b/>
                <w:bCs/>
                <w:color w:val="000000"/>
                <w:sz w:val="20"/>
              </w:rPr>
            </w:pPr>
            <w:r w:rsidRPr="004B5DEA">
              <w:rPr>
                <w:rFonts w:cs="Arial"/>
                <w:b/>
                <w:bCs/>
                <w:color w:val="000000"/>
                <w:sz w:val="20"/>
              </w:rPr>
              <w:t>AUC</w:t>
            </w:r>
          </w:p>
        </w:tc>
        <w:tc>
          <w:tcPr>
            <w:tcW w:w="1233" w:type="pct"/>
            <w:vMerge/>
            <w:tcBorders>
              <w:top w:val="single" w:sz="4" w:space="0" w:color="auto"/>
              <w:bottom w:val="single" w:sz="4" w:space="0" w:color="auto"/>
              <w:right w:val="single" w:sz="4" w:space="0" w:color="auto"/>
            </w:tcBorders>
            <w:vAlign w:val="center"/>
            <w:hideMark/>
          </w:tcPr>
          <w:p w:rsidR="004F5C91" w:rsidRPr="004B5DEA" w:rsidRDefault="004F5C91" w:rsidP="00336E01">
            <w:pPr>
              <w:spacing w:after="0" w:line="240" w:lineRule="auto"/>
              <w:rPr>
                <w:rFonts w:cs="Arial"/>
                <w:b/>
                <w:bCs/>
                <w:color w:val="000000"/>
                <w:sz w:val="20"/>
              </w:rPr>
            </w:pPr>
          </w:p>
        </w:tc>
      </w:tr>
      <w:tr w:rsidR="00C2207B" w:rsidRPr="004B5DEA" w:rsidTr="00A35F5D">
        <w:trPr>
          <w:trHeight w:val="288"/>
        </w:trPr>
        <w:tc>
          <w:tcPr>
            <w:tcW w:w="1294" w:type="pct"/>
            <w:tcBorders>
              <w:top w:val="single" w:sz="4" w:space="0" w:color="auto"/>
              <w:left w:val="single" w:sz="4" w:space="0" w:color="auto"/>
              <w:bottom w:val="single" w:sz="4" w:space="0" w:color="auto"/>
            </w:tcBorders>
            <w:shd w:val="clear" w:color="auto" w:fill="auto"/>
            <w:noWrap/>
            <w:vAlign w:val="center"/>
            <w:hideMark/>
          </w:tcPr>
          <w:p w:rsidR="004F5C91" w:rsidRPr="004B5DEA" w:rsidRDefault="00C2207B" w:rsidP="00336E01">
            <w:pPr>
              <w:spacing w:after="0" w:line="240" w:lineRule="auto"/>
              <w:rPr>
                <w:rFonts w:cs="Arial"/>
                <w:i/>
                <w:iCs/>
                <w:color w:val="000000"/>
                <w:sz w:val="20"/>
              </w:rPr>
            </w:pPr>
            <w:r>
              <w:rPr>
                <w:rFonts w:cs="Arial"/>
                <w:i/>
                <w:iCs/>
                <w:color w:val="000000"/>
                <w:sz w:val="20"/>
              </w:rPr>
              <w:t>CYP2C9 i</w:t>
            </w:r>
            <w:r w:rsidR="004F5C91" w:rsidRPr="004B5DEA">
              <w:rPr>
                <w:rFonts w:cs="Arial"/>
                <w:i/>
                <w:iCs/>
                <w:color w:val="000000"/>
                <w:sz w:val="20"/>
              </w:rPr>
              <w:t>nhibitor</w:t>
            </w:r>
          </w:p>
        </w:tc>
        <w:tc>
          <w:tcPr>
            <w:tcW w:w="695"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rPr>
                <w:rFonts w:cs="Arial"/>
                <w:color w:val="000000"/>
                <w:sz w:val="20"/>
              </w:rPr>
            </w:pPr>
          </w:p>
        </w:tc>
        <w:tc>
          <w:tcPr>
            <w:tcW w:w="852"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rPr>
                <w:rFonts w:cs="Arial"/>
                <w:color w:val="000000"/>
                <w:sz w:val="20"/>
              </w:rPr>
            </w:pPr>
          </w:p>
        </w:tc>
        <w:tc>
          <w:tcPr>
            <w:tcW w:w="926"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rPr>
                <w:rFonts w:cs="Arial"/>
                <w:color w:val="000000"/>
                <w:sz w:val="20"/>
              </w:rPr>
            </w:pPr>
          </w:p>
        </w:tc>
        <w:tc>
          <w:tcPr>
            <w:tcW w:w="1233" w:type="pct"/>
            <w:tcBorders>
              <w:top w:val="single" w:sz="4" w:space="0" w:color="auto"/>
              <w:bottom w:val="single" w:sz="4" w:space="0" w:color="auto"/>
              <w:right w:val="single" w:sz="4" w:space="0" w:color="auto"/>
            </w:tcBorders>
            <w:shd w:val="clear" w:color="auto" w:fill="auto"/>
            <w:vAlign w:val="center"/>
            <w:hideMark/>
          </w:tcPr>
          <w:p w:rsidR="004F5C91" w:rsidRPr="004B5DEA" w:rsidRDefault="004F5C91" w:rsidP="00336E01">
            <w:pPr>
              <w:spacing w:after="0" w:line="240" w:lineRule="auto"/>
              <w:rPr>
                <w:rFonts w:cs="Arial"/>
                <w:color w:val="000000"/>
                <w:sz w:val="20"/>
              </w:rPr>
            </w:pPr>
          </w:p>
        </w:tc>
      </w:tr>
      <w:tr w:rsidR="00C2207B" w:rsidRPr="004B5DEA" w:rsidTr="00985177">
        <w:trPr>
          <w:trHeight w:val="528"/>
        </w:trPr>
        <w:tc>
          <w:tcPr>
            <w:tcW w:w="1294" w:type="pct"/>
            <w:tcBorders>
              <w:top w:val="single" w:sz="4" w:space="0" w:color="auto"/>
              <w:left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rPr>
                <w:rFonts w:cs="Arial"/>
                <w:color w:val="000000"/>
                <w:sz w:val="20"/>
              </w:rPr>
            </w:pPr>
            <w:r w:rsidRPr="004B5DEA">
              <w:rPr>
                <w:rFonts w:cs="Arial"/>
                <w:color w:val="000000"/>
                <w:sz w:val="20"/>
              </w:rPr>
              <w:t>Fluconazole 200 mg qd</w:t>
            </w:r>
          </w:p>
        </w:tc>
        <w:tc>
          <w:tcPr>
            <w:tcW w:w="695"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color w:val="000000"/>
                <w:sz w:val="20"/>
              </w:rPr>
            </w:pPr>
            <w:r w:rsidRPr="004B5DEA">
              <w:rPr>
                <w:rFonts w:cs="Arial"/>
                <w:color w:val="000000"/>
                <w:sz w:val="20"/>
              </w:rPr>
              <w:t>400 mg</w:t>
            </w:r>
          </w:p>
        </w:tc>
        <w:tc>
          <w:tcPr>
            <w:tcW w:w="852"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color w:val="000000"/>
                <w:sz w:val="20"/>
              </w:rPr>
            </w:pPr>
            <w:r w:rsidRPr="004B5DEA">
              <w:rPr>
                <w:rFonts w:cs="Arial"/>
                <w:color w:val="000000"/>
                <w:sz w:val="20"/>
              </w:rPr>
              <w:t xml:space="preserve">1.38 </w:t>
            </w:r>
            <w:r w:rsidR="00761F24">
              <w:rPr>
                <w:rFonts w:cs="Arial"/>
                <w:color w:val="000000"/>
                <w:sz w:val="20"/>
              </w:rPr>
              <w:br/>
            </w:r>
            <w:r w:rsidRPr="004B5DEA">
              <w:rPr>
                <w:rFonts w:cs="Arial"/>
                <w:color w:val="000000"/>
                <w:sz w:val="20"/>
              </w:rPr>
              <w:t>(1.20-1.58)</w:t>
            </w:r>
          </w:p>
        </w:tc>
        <w:tc>
          <w:tcPr>
            <w:tcW w:w="926"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color w:val="000000"/>
                <w:sz w:val="20"/>
              </w:rPr>
            </w:pPr>
            <w:r w:rsidRPr="004B5DEA">
              <w:rPr>
                <w:rFonts w:cs="Arial"/>
                <w:color w:val="000000"/>
                <w:sz w:val="20"/>
              </w:rPr>
              <w:t xml:space="preserve">1.56 </w:t>
            </w:r>
            <w:r w:rsidR="00761F24">
              <w:rPr>
                <w:rFonts w:cs="Arial"/>
                <w:color w:val="000000"/>
                <w:sz w:val="20"/>
              </w:rPr>
              <w:br/>
            </w:r>
            <w:r w:rsidRPr="004B5DEA">
              <w:rPr>
                <w:rFonts w:cs="Arial"/>
                <w:color w:val="000000"/>
                <w:sz w:val="20"/>
              </w:rPr>
              <w:t>(1.41-1.73)</w:t>
            </w:r>
          </w:p>
        </w:tc>
        <w:tc>
          <w:tcPr>
            <w:tcW w:w="1233" w:type="pct"/>
            <w:tcBorders>
              <w:top w:val="single" w:sz="4" w:space="0" w:color="auto"/>
              <w:bottom w:val="single" w:sz="4" w:space="0" w:color="auto"/>
              <w:right w:val="single" w:sz="4" w:space="0" w:color="auto"/>
            </w:tcBorders>
            <w:shd w:val="clear" w:color="auto" w:fill="auto"/>
            <w:vAlign w:val="center"/>
            <w:hideMark/>
          </w:tcPr>
          <w:p w:rsidR="004F5C91" w:rsidRPr="004B5DEA" w:rsidRDefault="004F5C91" w:rsidP="00336E01">
            <w:pPr>
              <w:spacing w:after="0" w:line="240" w:lineRule="auto"/>
              <w:rPr>
                <w:rFonts w:cs="Arial"/>
                <w:color w:val="000000"/>
                <w:sz w:val="20"/>
              </w:rPr>
            </w:pPr>
            <w:r w:rsidRPr="004B5DEA">
              <w:rPr>
                <w:rFonts w:cs="Arial"/>
                <w:color w:val="000000"/>
                <w:sz w:val="20"/>
              </w:rPr>
              <w:t>Caution with moderate inhibitors of CYP2C9</w:t>
            </w:r>
          </w:p>
        </w:tc>
      </w:tr>
      <w:tr w:rsidR="00C2207B" w:rsidRPr="004B5DEA" w:rsidTr="00A35F5D">
        <w:trPr>
          <w:trHeight w:val="288"/>
        </w:trPr>
        <w:tc>
          <w:tcPr>
            <w:tcW w:w="1294" w:type="pct"/>
            <w:tcBorders>
              <w:top w:val="single" w:sz="4" w:space="0" w:color="auto"/>
              <w:left w:val="single" w:sz="4" w:space="0" w:color="auto"/>
              <w:bottom w:val="single" w:sz="4" w:space="0" w:color="auto"/>
            </w:tcBorders>
            <w:shd w:val="clear" w:color="auto" w:fill="auto"/>
            <w:noWrap/>
            <w:vAlign w:val="center"/>
            <w:hideMark/>
          </w:tcPr>
          <w:p w:rsidR="004F5C91" w:rsidRPr="004B5DEA" w:rsidRDefault="00C2207B" w:rsidP="00336E01">
            <w:pPr>
              <w:spacing w:after="0" w:line="240" w:lineRule="auto"/>
              <w:rPr>
                <w:rFonts w:cs="Arial"/>
                <w:i/>
                <w:iCs/>
                <w:color w:val="000000"/>
                <w:sz w:val="20"/>
              </w:rPr>
            </w:pPr>
            <w:r>
              <w:rPr>
                <w:rFonts w:cs="Arial"/>
                <w:i/>
                <w:iCs/>
                <w:color w:val="000000"/>
                <w:sz w:val="20"/>
              </w:rPr>
              <w:t>CYP2C9 i</w:t>
            </w:r>
            <w:r w:rsidR="004F5C91" w:rsidRPr="004B5DEA">
              <w:rPr>
                <w:rFonts w:cs="Arial"/>
                <w:i/>
                <w:iCs/>
                <w:color w:val="000000"/>
                <w:sz w:val="20"/>
              </w:rPr>
              <w:t>nducer</w:t>
            </w:r>
          </w:p>
        </w:tc>
        <w:tc>
          <w:tcPr>
            <w:tcW w:w="695"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color w:val="000000"/>
                <w:sz w:val="20"/>
              </w:rPr>
            </w:pPr>
          </w:p>
        </w:tc>
        <w:tc>
          <w:tcPr>
            <w:tcW w:w="852"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color w:val="000000"/>
                <w:sz w:val="20"/>
              </w:rPr>
            </w:pPr>
          </w:p>
        </w:tc>
        <w:tc>
          <w:tcPr>
            <w:tcW w:w="926"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color w:val="000000"/>
                <w:sz w:val="20"/>
              </w:rPr>
            </w:pPr>
          </w:p>
        </w:tc>
        <w:tc>
          <w:tcPr>
            <w:tcW w:w="1233" w:type="pct"/>
            <w:tcBorders>
              <w:top w:val="single" w:sz="4" w:space="0" w:color="auto"/>
              <w:bottom w:val="single" w:sz="4" w:space="0" w:color="auto"/>
              <w:right w:val="single" w:sz="4" w:space="0" w:color="auto"/>
            </w:tcBorders>
            <w:shd w:val="clear" w:color="auto" w:fill="auto"/>
            <w:vAlign w:val="center"/>
            <w:hideMark/>
          </w:tcPr>
          <w:p w:rsidR="004F5C91" w:rsidRPr="004B5DEA" w:rsidRDefault="004F5C91" w:rsidP="00336E01">
            <w:pPr>
              <w:spacing w:after="0" w:line="240" w:lineRule="auto"/>
              <w:rPr>
                <w:rFonts w:cs="Arial"/>
                <w:color w:val="000000"/>
                <w:sz w:val="20"/>
              </w:rPr>
            </w:pPr>
          </w:p>
        </w:tc>
      </w:tr>
      <w:tr w:rsidR="00C2207B" w:rsidRPr="004B5DEA" w:rsidTr="00985177">
        <w:trPr>
          <w:trHeight w:val="528"/>
        </w:trPr>
        <w:tc>
          <w:tcPr>
            <w:tcW w:w="1294" w:type="pct"/>
            <w:tcBorders>
              <w:top w:val="single" w:sz="4" w:space="0" w:color="auto"/>
              <w:left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rPr>
                <w:rFonts w:cs="Arial"/>
                <w:color w:val="000000"/>
                <w:sz w:val="20"/>
              </w:rPr>
            </w:pPr>
            <w:r w:rsidRPr="004B5DEA">
              <w:rPr>
                <w:rFonts w:cs="Arial"/>
                <w:color w:val="000000"/>
                <w:sz w:val="20"/>
              </w:rPr>
              <w:t>Rifampi</w:t>
            </w:r>
            <w:r w:rsidR="00B967A2">
              <w:rPr>
                <w:rFonts w:cs="Arial"/>
                <w:color w:val="000000"/>
                <w:sz w:val="20"/>
              </w:rPr>
              <w:t>ci</w:t>
            </w:r>
            <w:r w:rsidRPr="004B5DEA">
              <w:rPr>
                <w:rFonts w:cs="Arial"/>
                <w:color w:val="000000"/>
                <w:sz w:val="20"/>
              </w:rPr>
              <w:t>n 600 mg qd</w:t>
            </w:r>
          </w:p>
        </w:tc>
        <w:tc>
          <w:tcPr>
            <w:tcW w:w="695"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color w:val="000000"/>
                <w:sz w:val="20"/>
              </w:rPr>
            </w:pPr>
            <w:r w:rsidRPr="004B5DEA">
              <w:rPr>
                <w:rFonts w:cs="Arial"/>
                <w:color w:val="000000"/>
                <w:sz w:val="20"/>
              </w:rPr>
              <w:t>400 mg</w:t>
            </w:r>
          </w:p>
        </w:tc>
        <w:tc>
          <w:tcPr>
            <w:tcW w:w="852"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color w:val="000000"/>
                <w:sz w:val="20"/>
              </w:rPr>
            </w:pPr>
            <w:r w:rsidRPr="004B5DEA">
              <w:rPr>
                <w:rFonts w:cs="Arial"/>
                <w:color w:val="000000"/>
                <w:sz w:val="20"/>
              </w:rPr>
              <w:t xml:space="preserve">0.761 </w:t>
            </w:r>
            <w:r w:rsidR="00761F24">
              <w:rPr>
                <w:rFonts w:cs="Arial"/>
                <w:color w:val="000000"/>
                <w:sz w:val="20"/>
              </w:rPr>
              <w:br/>
            </w:r>
            <w:r w:rsidRPr="004B5DEA">
              <w:rPr>
                <w:rFonts w:cs="Arial"/>
                <w:color w:val="000000"/>
                <w:sz w:val="20"/>
              </w:rPr>
              <w:t>(0.696-0.833)</w:t>
            </w:r>
          </w:p>
        </w:tc>
        <w:tc>
          <w:tcPr>
            <w:tcW w:w="926" w:type="pct"/>
            <w:tcBorders>
              <w:top w:val="single" w:sz="4" w:space="0" w:color="auto"/>
              <w:bottom w:val="single" w:sz="4" w:space="0" w:color="auto"/>
            </w:tcBorders>
            <w:shd w:val="clear" w:color="auto" w:fill="auto"/>
            <w:noWrap/>
            <w:vAlign w:val="center"/>
            <w:hideMark/>
          </w:tcPr>
          <w:p w:rsidR="004F5C91" w:rsidRPr="004B5DEA" w:rsidRDefault="004F5C91" w:rsidP="00336E01">
            <w:pPr>
              <w:spacing w:after="0" w:line="240" w:lineRule="auto"/>
              <w:jc w:val="center"/>
              <w:rPr>
                <w:rFonts w:cs="Arial"/>
                <w:color w:val="000000"/>
                <w:sz w:val="20"/>
              </w:rPr>
            </w:pPr>
            <w:r w:rsidRPr="004B5DEA">
              <w:rPr>
                <w:rFonts w:cs="Arial"/>
                <w:color w:val="000000"/>
                <w:sz w:val="20"/>
              </w:rPr>
              <w:t xml:space="preserve">0.624 </w:t>
            </w:r>
            <w:r w:rsidR="00761F24">
              <w:rPr>
                <w:rFonts w:cs="Arial"/>
                <w:color w:val="000000"/>
                <w:sz w:val="20"/>
              </w:rPr>
              <w:br/>
            </w:r>
            <w:r w:rsidRPr="004B5DEA">
              <w:rPr>
                <w:rFonts w:cs="Arial"/>
                <w:color w:val="000000"/>
                <w:sz w:val="20"/>
              </w:rPr>
              <w:t>(0.578-0.672)</w:t>
            </w:r>
          </w:p>
        </w:tc>
        <w:tc>
          <w:tcPr>
            <w:tcW w:w="1233" w:type="pct"/>
            <w:tcBorders>
              <w:top w:val="single" w:sz="4" w:space="0" w:color="auto"/>
              <w:bottom w:val="single" w:sz="4" w:space="0" w:color="auto"/>
              <w:right w:val="single" w:sz="4" w:space="0" w:color="auto"/>
            </w:tcBorders>
            <w:shd w:val="clear" w:color="auto" w:fill="auto"/>
            <w:vAlign w:val="center"/>
            <w:hideMark/>
          </w:tcPr>
          <w:p w:rsidR="004F5C91" w:rsidRPr="004B5DEA" w:rsidRDefault="004F5C91" w:rsidP="00336E01">
            <w:pPr>
              <w:spacing w:after="0" w:line="240" w:lineRule="auto"/>
              <w:rPr>
                <w:rFonts w:cs="Arial"/>
                <w:color w:val="000000"/>
                <w:sz w:val="20"/>
              </w:rPr>
            </w:pPr>
            <w:r w:rsidRPr="004B5DEA">
              <w:rPr>
                <w:rFonts w:cs="Arial"/>
                <w:color w:val="000000"/>
                <w:sz w:val="20"/>
              </w:rPr>
              <w:t>Monitor for potential reduction in efficacy</w:t>
            </w:r>
          </w:p>
        </w:tc>
      </w:tr>
      <w:tr w:rsidR="001501F6" w:rsidRPr="004B5DEA" w:rsidTr="001501F6">
        <w:trPr>
          <w:trHeight w:val="528"/>
        </w:trPr>
        <w:tc>
          <w:tcPr>
            <w:tcW w:w="5000" w:type="pct"/>
            <w:gridSpan w:val="5"/>
            <w:tcBorders>
              <w:top w:val="single" w:sz="4" w:space="0" w:color="auto"/>
              <w:left w:val="nil"/>
              <w:right w:val="nil"/>
            </w:tcBorders>
            <w:shd w:val="clear" w:color="auto" w:fill="auto"/>
            <w:noWrap/>
            <w:vAlign w:val="center"/>
          </w:tcPr>
          <w:p w:rsidR="001501F6" w:rsidRPr="004B5DEA" w:rsidRDefault="001501F6" w:rsidP="00336E01">
            <w:pPr>
              <w:spacing w:after="0" w:line="240" w:lineRule="auto"/>
              <w:rPr>
                <w:rFonts w:cs="Arial"/>
                <w:color w:val="000000"/>
                <w:sz w:val="20"/>
              </w:rPr>
            </w:pPr>
            <w:r w:rsidRPr="00621052">
              <w:rPr>
                <w:sz w:val="18"/>
              </w:rPr>
              <w:t>Abbreviations:  AUC, area under the concentration-time curve; CI, confidence interval; C</w:t>
            </w:r>
            <w:r w:rsidRPr="00621052">
              <w:rPr>
                <w:sz w:val="18"/>
                <w:vertAlign w:val="subscript"/>
              </w:rPr>
              <w:t>max</w:t>
            </w:r>
            <w:r w:rsidRPr="00621052">
              <w:rPr>
                <w:sz w:val="18"/>
              </w:rPr>
              <w:t>, maximum observed concentration; qd, once daily.</w:t>
            </w:r>
          </w:p>
        </w:tc>
      </w:tr>
    </w:tbl>
    <w:p w:rsidR="00FD0ED7" w:rsidRPr="00FD0ED7" w:rsidRDefault="00FD0ED7" w:rsidP="00FD0ED7">
      <w:pPr>
        <w:pStyle w:val="A-Heading2"/>
        <w:rPr>
          <w:sz w:val="22"/>
          <w:szCs w:val="22"/>
        </w:rPr>
      </w:pPr>
      <w:r w:rsidRPr="00FD0ED7">
        <w:rPr>
          <w:sz w:val="22"/>
          <w:szCs w:val="22"/>
        </w:rPr>
        <w:t xml:space="preserve">CYP3A substrates </w:t>
      </w:r>
    </w:p>
    <w:p w:rsidR="00FD0ED7" w:rsidRDefault="00FD0ED7" w:rsidP="00FD0ED7">
      <w:pPr>
        <w:rPr>
          <w:sz w:val="22"/>
          <w:szCs w:val="22"/>
          <w:lang w:val="en-GB"/>
        </w:rPr>
      </w:pPr>
      <w:r w:rsidRPr="00FD0ED7">
        <w:rPr>
          <w:sz w:val="22"/>
          <w:szCs w:val="22"/>
          <w:lang w:val="en-GB"/>
        </w:rPr>
        <w:t xml:space="preserve">In interaction studies conducted in healthy subjects with </w:t>
      </w:r>
      <w:r w:rsidR="00816B58">
        <w:rPr>
          <w:sz w:val="22"/>
          <w:szCs w:val="22"/>
          <w:lang w:val="en-GB"/>
        </w:rPr>
        <w:t>ZURAMPIC</w:t>
      </w:r>
      <w:r w:rsidRPr="00FD0ED7">
        <w:rPr>
          <w:sz w:val="22"/>
          <w:szCs w:val="22"/>
          <w:lang w:val="en-GB"/>
        </w:rPr>
        <w:t xml:space="preserve"> and CYP3A substrates, lesinurad reduced the plasma concentrations of sildenafil and amlodipine. Although there was not a clinically significant interaction with atorvastatin, HMG-CoA reductase inhibitors that are sensitive CY</w:t>
      </w:r>
      <w:r w:rsidR="003C152D">
        <w:rPr>
          <w:sz w:val="22"/>
          <w:szCs w:val="22"/>
          <w:lang w:val="en-GB"/>
        </w:rPr>
        <w:t>P3A substrates may be affected.</w:t>
      </w:r>
      <w:r w:rsidRPr="00FD0ED7">
        <w:rPr>
          <w:sz w:val="22"/>
          <w:szCs w:val="22"/>
          <w:lang w:val="en-GB"/>
        </w:rPr>
        <w:t xml:space="preserve"> The possibility of reduced efficacy of concomitant drugs that are CYP3A substrates should be considered and their efficacy (e.g. blood pressure and cholesterol levels) should be monitored</w:t>
      </w:r>
      <w:r w:rsidR="00F802DD">
        <w:rPr>
          <w:sz w:val="22"/>
          <w:szCs w:val="22"/>
          <w:lang w:val="en-GB"/>
        </w:rPr>
        <w:t xml:space="preserve"> (see Table 4)</w:t>
      </w:r>
      <w:r w:rsidRPr="00FD0ED7">
        <w:rPr>
          <w:sz w:val="22"/>
          <w:szCs w:val="22"/>
          <w:lang w:val="en-GB"/>
        </w:rPr>
        <w:t xml:space="preserve">. </w:t>
      </w:r>
    </w:p>
    <w:p w:rsidR="00F802DD" w:rsidRPr="00F802DD" w:rsidRDefault="00F802DD" w:rsidP="00F802DD">
      <w:pPr>
        <w:pStyle w:val="A-TableTitle"/>
        <w:rPr>
          <w:bCs/>
          <w:sz w:val="22"/>
          <w:szCs w:val="22"/>
        </w:rPr>
      </w:pPr>
      <w:r>
        <w:rPr>
          <w:bCs/>
          <w:sz w:val="22"/>
          <w:szCs w:val="22"/>
        </w:rPr>
        <w:t>Table 4</w:t>
      </w:r>
      <w:r w:rsidRPr="00331650">
        <w:rPr>
          <w:bCs/>
          <w:sz w:val="22"/>
          <w:szCs w:val="22"/>
        </w:rPr>
        <w:t xml:space="preserve"> </w:t>
      </w:r>
      <w:r w:rsidRPr="00331650">
        <w:rPr>
          <w:bCs/>
          <w:sz w:val="22"/>
          <w:szCs w:val="22"/>
        </w:rPr>
        <w:tab/>
      </w:r>
      <w:r>
        <w:rPr>
          <w:bCs/>
          <w:sz w:val="22"/>
          <w:szCs w:val="22"/>
        </w:rPr>
        <w:t>Effects of lesinurad on the pharmacokinetics of concomitant medications</w:t>
      </w:r>
    </w:p>
    <w:tbl>
      <w:tblPr>
        <w:tblW w:w="4965" w:type="pct"/>
        <w:tblLayout w:type="fixed"/>
        <w:tblLook w:val="04A0" w:firstRow="1" w:lastRow="0" w:firstColumn="1" w:lastColumn="0" w:noHBand="0" w:noVBand="1"/>
      </w:tblPr>
      <w:tblGrid>
        <w:gridCol w:w="2376"/>
        <w:gridCol w:w="1276"/>
        <w:gridCol w:w="1564"/>
        <w:gridCol w:w="1700"/>
        <w:gridCol w:w="2264"/>
      </w:tblGrid>
      <w:tr w:rsidR="00F802DD" w:rsidRPr="004B5DEA" w:rsidTr="00985177">
        <w:trPr>
          <w:trHeight w:val="288"/>
        </w:trPr>
        <w:tc>
          <w:tcPr>
            <w:tcW w:w="1294" w:type="pct"/>
            <w:vMerge w:val="restart"/>
            <w:tcBorders>
              <w:top w:val="single" w:sz="4" w:space="0" w:color="auto"/>
              <w:left w:val="single" w:sz="4" w:space="0" w:color="auto"/>
              <w:bottom w:val="single" w:sz="4" w:space="0" w:color="auto"/>
            </w:tcBorders>
            <w:shd w:val="clear" w:color="auto" w:fill="auto"/>
            <w:noWrap/>
            <w:vAlign w:val="center"/>
            <w:hideMark/>
          </w:tcPr>
          <w:p w:rsidR="00F802DD" w:rsidRPr="004B5DEA" w:rsidRDefault="00F802DD" w:rsidP="00AC2F5D">
            <w:pPr>
              <w:spacing w:after="0" w:line="240" w:lineRule="auto"/>
              <w:rPr>
                <w:rFonts w:cs="Arial"/>
                <w:b/>
                <w:bCs/>
                <w:color w:val="000000"/>
                <w:sz w:val="20"/>
              </w:rPr>
            </w:pPr>
            <w:r w:rsidRPr="004B5DEA">
              <w:rPr>
                <w:rFonts w:cs="Arial"/>
                <w:b/>
                <w:bCs/>
                <w:color w:val="000000"/>
                <w:sz w:val="20"/>
              </w:rPr>
              <w:t>Co</w:t>
            </w:r>
            <w:r>
              <w:rPr>
                <w:rFonts w:cs="Arial"/>
                <w:b/>
                <w:bCs/>
                <w:color w:val="000000"/>
                <w:sz w:val="20"/>
              </w:rPr>
              <w:t>-</w:t>
            </w:r>
            <w:r w:rsidR="00906A50">
              <w:rPr>
                <w:rFonts w:cs="Arial"/>
                <w:b/>
                <w:bCs/>
                <w:color w:val="000000"/>
                <w:sz w:val="20"/>
              </w:rPr>
              <w:t>administered medications</w:t>
            </w:r>
          </w:p>
        </w:tc>
        <w:tc>
          <w:tcPr>
            <w:tcW w:w="695" w:type="pct"/>
            <w:vMerge w:val="restar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b/>
                <w:bCs/>
                <w:color w:val="000000"/>
                <w:sz w:val="20"/>
              </w:rPr>
            </w:pPr>
            <w:r w:rsidRPr="004B5DEA">
              <w:rPr>
                <w:rFonts w:cs="Arial"/>
                <w:b/>
                <w:bCs/>
                <w:color w:val="000000"/>
                <w:sz w:val="20"/>
              </w:rPr>
              <w:t>Lesinurad dose</w:t>
            </w:r>
          </w:p>
        </w:tc>
        <w:tc>
          <w:tcPr>
            <w:tcW w:w="1778" w:type="pct"/>
            <w:gridSpan w:val="2"/>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b/>
                <w:bCs/>
                <w:color w:val="000000"/>
                <w:sz w:val="20"/>
              </w:rPr>
            </w:pPr>
            <w:r w:rsidRPr="004B5DEA">
              <w:rPr>
                <w:rFonts w:cs="Arial"/>
                <w:b/>
                <w:bCs/>
                <w:color w:val="000000"/>
                <w:sz w:val="20"/>
              </w:rPr>
              <w:t>Fold change and 90% CI</w:t>
            </w:r>
          </w:p>
        </w:tc>
        <w:tc>
          <w:tcPr>
            <w:tcW w:w="1233" w:type="pct"/>
            <w:vMerge w:val="restart"/>
            <w:tcBorders>
              <w:top w:val="single" w:sz="4" w:space="0" w:color="auto"/>
              <w:bottom w:val="single" w:sz="4" w:space="0" w:color="auto"/>
              <w:right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b/>
                <w:bCs/>
                <w:color w:val="000000"/>
                <w:sz w:val="20"/>
              </w:rPr>
            </w:pPr>
            <w:r w:rsidRPr="004B5DEA">
              <w:rPr>
                <w:rFonts w:cs="Arial"/>
                <w:b/>
                <w:bCs/>
                <w:color w:val="000000"/>
                <w:sz w:val="20"/>
              </w:rPr>
              <w:t>Recommendation</w:t>
            </w:r>
          </w:p>
        </w:tc>
      </w:tr>
      <w:tr w:rsidR="00F802DD" w:rsidRPr="004B5DEA" w:rsidTr="00985177">
        <w:trPr>
          <w:trHeight w:val="312"/>
        </w:trPr>
        <w:tc>
          <w:tcPr>
            <w:tcW w:w="1294" w:type="pct"/>
            <w:vMerge/>
            <w:tcBorders>
              <w:top w:val="single" w:sz="4" w:space="0" w:color="auto"/>
              <w:left w:val="single" w:sz="4" w:space="0" w:color="auto"/>
              <w:bottom w:val="single" w:sz="4" w:space="0" w:color="auto"/>
            </w:tcBorders>
            <w:vAlign w:val="center"/>
            <w:hideMark/>
          </w:tcPr>
          <w:p w:rsidR="00F802DD" w:rsidRPr="004B5DEA" w:rsidRDefault="00F802DD" w:rsidP="00336E01">
            <w:pPr>
              <w:spacing w:after="0" w:line="240" w:lineRule="auto"/>
              <w:rPr>
                <w:rFonts w:cs="Arial"/>
                <w:b/>
                <w:bCs/>
                <w:color w:val="000000"/>
                <w:sz w:val="20"/>
              </w:rPr>
            </w:pPr>
          </w:p>
        </w:tc>
        <w:tc>
          <w:tcPr>
            <w:tcW w:w="695" w:type="pct"/>
            <w:vMerge/>
            <w:tcBorders>
              <w:top w:val="single" w:sz="4" w:space="0" w:color="auto"/>
              <w:bottom w:val="single" w:sz="4" w:space="0" w:color="auto"/>
            </w:tcBorders>
            <w:vAlign w:val="center"/>
            <w:hideMark/>
          </w:tcPr>
          <w:p w:rsidR="00F802DD" w:rsidRPr="004B5DEA" w:rsidRDefault="00F802DD" w:rsidP="00336E01">
            <w:pPr>
              <w:spacing w:after="0" w:line="240" w:lineRule="auto"/>
              <w:rPr>
                <w:rFonts w:cs="Arial"/>
                <w:b/>
                <w:bCs/>
                <w:color w:val="000000"/>
                <w:sz w:val="20"/>
              </w:rPr>
            </w:pPr>
          </w:p>
        </w:tc>
        <w:tc>
          <w:tcPr>
            <w:tcW w:w="852"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b/>
                <w:bCs/>
                <w:color w:val="000000"/>
                <w:sz w:val="20"/>
              </w:rPr>
            </w:pPr>
            <w:r w:rsidRPr="004B5DEA">
              <w:rPr>
                <w:rFonts w:cs="Arial"/>
                <w:b/>
                <w:bCs/>
                <w:color w:val="000000"/>
                <w:sz w:val="20"/>
              </w:rPr>
              <w:t>C</w:t>
            </w:r>
            <w:r w:rsidRPr="004B5DEA">
              <w:rPr>
                <w:rFonts w:cs="Arial"/>
                <w:b/>
                <w:bCs/>
                <w:color w:val="000000"/>
                <w:sz w:val="20"/>
                <w:vertAlign w:val="subscript"/>
              </w:rPr>
              <w:t>max</w:t>
            </w:r>
          </w:p>
        </w:tc>
        <w:tc>
          <w:tcPr>
            <w:tcW w:w="926"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b/>
                <w:bCs/>
                <w:color w:val="000000"/>
                <w:sz w:val="20"/>
              </w:rPr>
            </w:pPr>
            <w:r w:rsidRPr="004B5DEA">
              <w:rPr>
                <w:rFonts w:cs="Arial"/>
                <w:b/>
                <w:bCs/>
                <w:color w:val="000000"/>
                <w:sz w:val="20"/>
              </w:rPr>
              <w:t>AUC</w:t>
            </w:r>
          </w:p>
        </w:tc>
        <w:tc>
          <w:tcPr>
            <w:tcW w:w="1233" w:type="pct"/>
            <w:vMerge/>
            <w:tcBorders>
              <w:top w:val="single" w:sz="4" w:space="0" w:color="auto"/>
              <w:bottom w:val="single" w:sz="4" w:space="0" w:color="auto"/>
              <w:right w:val="single" w:sz="4" w:space="0" w:color="auto"/>
            </w:tcBorders>
            <w:vAlign w:val="center"/>
            <w:hideMark/>
          </w:tcPr>
          <w:p w:rsidR="00F802DD" w:rsidRPr="004B5DEA" w:rsidRDefault="00F802DD" w:rsidP="00336E01">
            <w:pPr>
              <w:spacing w:after="0" w:line="240" w:lineRule="auto"/>
              <w:rPr>
                <w:rFonts w:cs="Arial"/>
                <w:b/>
                <w:bCs/>
                <w:color w:val="000000"/>
                <w:sz w:val="20"/>
              </w:rPr>
            </w:pPr>
          </w:p>
        </w:tc>
      </w:tr>
      <w:tr w:rsidR="00F802DD" w:rsidRPr="004B5DEA" w:rsidTr="00A35F5D">
        <w:trPr>
          <w:trHeight w:val="288"/>
        </w:trPr>
        <w:tc>
          <w:tcPr>
            <w:tcW w:w="1294" w:type="pct"/>
            <w:tcBorders>
              <w:top w:val="single" w:sz="4" w:space="0" w:color="auto"/>
              <w:left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rPr>
                <w:rFonts w:cs="Arial"/>
                <w:i/>
                <w:iCs/>
                <w:color w:val="000000"/>
                <w:sz w:val="20"/>
              </w:rPr>
            </w:pPr>
            <w:r w:rsidRPr="004B5DEA">
              <w:rPr>
                <w:rFonts w:cs="Arial"/>
                <w:i/>
                <w:iCs/>
                <w:color w:val="000000"/>
                <w:sz w:val="20"/>
              </w:rPr>
              <w:t>CYP3A substrates</w:t>
            </w:r>
          </w:p>
        </w:tc>
        <w:tc>
          <w:tcPr>
            <w:tcW w:w="695"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rPr>
                <w:rFonts w:cs="Arial"/>
                <w:color w:val="000000"/>
                <w:sz w:val="20"/>
              </w:rPr>
            </w:pPr>
          </w:p>
        </w:tc>
        <w:tc>
          <w:tcPr>
            <w:tcW w:w="852"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rPr>
                <w:rFonts w:cs="Arial"/>
                <w:color w:val="000000"/>
                <w:sz w:val="20"/>
              </w:rPr>
            </w:pPr>
          </w:p>
        </w:tc>
        <w:tc>
          <w:tcPr>
            <w:tcW w:w="926"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rPr>
                <w:rFonts w:cs="Arial"/>
                <w:color w:val="000000"/>
                <w:sz w:val="20"/>
              </w:rPr>
            </w:pPr>
          </w:p>
        </w:tc>
        <w:tc>
          <w:tcPr>
            <w:tcW w:w="1233" w:type="pct"/>
            <w:tcBorders>
              <w:top w:val="single" w:sz="4" w:space="0" w:color="auto"/>
              <w:bottom w:val="single" w:sz="4" w:space="0" w:color="auto"/>
              <w:right w:val="single" w:sz="4" w:space="0" w:color="auto"/>
            </w:tcBorders>
            <w:shd w:val="clear" w:color="auto" w:fill="auto"/>
            <w:noWrap/>
            <w:vAlign w:val="center"/>
            <w:hideMark/>
          </w:tcPr>
          <w:p w:rsidR="00F802DD" w:rsidRPr="004B5DEA" w:rsidRDefault="00F802DD" w:rsidP="00336E01">
            <w:pPr>
              <w:spacing w:after="0" w:line="240" w:lineRule="auto"/>
              <w:rPr>
                <w:rFonts w:cs="Arial"/>
                <w:color w:val="000000"/>
                <w:sz w:val="20"/>
              </w:rPr>
            </w:pPr>
          </w:p>
        </w:tc>
      </w:tr>
      <w:tr w:rsidR="00F802DD" w:rsidRPr="004B5DEA" w:rsidTr="00985177">
        <w:trPr>
          <w:trHeight w:val="564"/>
        </w:trPr>
        <w:tc>
          <w:tcPr>
            <w:tcW w:w="1294" w:type="pct"/>
            <w:tcBorders>
              <w:top w:val="single" w:sz="4" w:space="0" w:color="auto"/>
              <w:left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rPr>
                <w:rFonts w:cs="Arial"/>
                <w:color w:val="000000"/>
                <w:sz w:val="20"/>
              </w:rPr>
            </w:pPr>
            <w:r w:rsidRPr="004B5DEA">
              <w:rPr>
                <w:rFonts w:cs="Arial"/>
                <w:color w:val="000000"/>
                <w:sz w:val="20"/>
              </w:rPr>
              <w:t>Sildenafil</w:t>
            </w:r>
          </w:p>
        </w:tc>
        <w:tc>
          <w:tcPr>
            <w:tcW w:w="695"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color w:val="000000"/>
                <w:sz w:val="20"/>
              </w:rPr>
            </w:pPr>
            <w:r w:rsidRPr="004B5DEA">
              <w:rPr>
                <w:rFonts w:cs="Arial"/>
                <w:color w:val="000000"/>
                <w:sz w:val="20"/>
              </w:rPr>
              <w:t>200 mg</w:t>
            </w:r>
          </w:p>
        </w:tc>
        <w:tc>
          <w:tcPr>
            <w:tcW w:w="852"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color w:val="000000"/>
                <w:sz w:val="20"/>
              </w:rPr>
            </w:pPr>
            <w:r w:rsidRPr="004B5DEA">
              <w:rPr>
                <w:rFonts w:cs="Arial"/>
                <w:color w:val="000000"/>
                <w:sz w:val="20"/>
              </w:rPr>
              <w:t xml:space="preserve">0.661 </w:t>
            </w:r>
            <w:r>
              <w:rPr>
                <w:rFonts w:cs="Arial"/>
                <w:color w:val="000000"/>
                <w:sz w:val="20"/>
              </w:rPr>
              <w:br/>
            </w:r>
            <w:r w:rsidRPr="004B5DEA">
              <w:rPr>
                <w:rFonts w:cs="Arial"/>
                <w:color w:val="000000"/>
                <w:sz w:val="20"/>
              </w:rPr>
              <w:t>(0.453-0.965)</w:t>
            </w:r>
          </w:p>
        </w:tc>
        <w:tc>
          <w:tcPr>
            <w:tcW w:w="926"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color w:val="000000"/>
                <w:sz w:val="20"/>
              </w:rPr>
            </w:pPr>
            <w:r w:rsidRPr="004B5DEA">
              <w:rPr>
                <w:rFonts w:cs="Arial"/>
                <w:color w:val="000000"/>
                <w:sz w:val="20"/>
              </w:rPr>
              <w:t xml:space="preserve">0.664 </w:t>
            </w:r>
            <w:r>
              <w:rPr>
                <w:rFonts w:cs="Arial"/>
                <w:color w:val="000000"/>
                <w:sz w:val="20"/>
              </w:rPr>
              <w:br/>
            </w:r>
            <w:r w:rsidRPr="004B5DEA">
              <w:rPr>
                <w:rFonts w:cs="Arial"/>
                <w:color w:val="000000"/>
                <w:sz w:val="20"/>
              </w:rPr>
              <w:t>(0.559-0.788)</w:t>
            </w:r>
          </w:p>
        </w:tc>
        <w:tc>
          <w:tcPr>
            <w:tcW w:w="1233" w:type="pct"/>
            <w:tcBorders>
              <w:top w:val="single" w:sz="4" w:space="0" w:color="auto"/>
              <w:bottom w:val="single" w:sz="4" w:space="0" w:color="auto"/>
              <w:right w:val="single" w:sz="4" w:space="0" w:color="auto"/>
            </w:tcBorders>
            <w:shd w:val="clear" w:color="auto" w:fill="auto"/>
            <w:vAlign w:val="center"/>
            <w:hideMark/>
          </w:tcPr>
          <w:p w:rsidR="00F802DD" w:rsidRPr="004B5DEA" w:rsidRDefault="00F802DD" w:rsidP="00336E01">
            <w:pPr>
              <w:spacing w:after="0" w:line="240" w:lineRule="auto"/>
              <w:rPr>
                <w:rFonts w:cs="Arial"/>
                <w:color w:val="000000"/>
                <w:sz w:val="20"/>
              </w:rPr>
            </w:pPr>
            <w:r w:rsidRPr="004B5DEA">
              <w:rPr>
                <w:rFonts w:cs="Arial"/>
                <w:color w:val="000000"/>
                <w:sz w:val="20"/>
              </w:rPr>
              <w:t>Monitor for potential reduction in efficacy</w:t>
            </w:r>
          </w:p>
        </w:tc>
      </w:tr>
      <w:tr w:rsidR="00F802DD" w:rsidRPr="004B5DEA" w:rsidTr="00985177">
        <w:trPr>
          <w:trHeight w:val="588"/>
        </w:trPr>
        <w:tc>
          <w:tcPr>
            <w:tcW w:w="1294" w:type="pct"/>
            <w:tcBorders>
              <w:top w:val="single" w:sz="4" w:space="0" w:color="auto"/>
              <w:left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rPr>
                <w:rFonts w:cs="Arial"/>
                <w:color w:val="000000"/>
                <w:sz w:val="20"/>
              </w:rPr>
            </w:pPr>
            <w:r w:rsidRPr="004B5DEA">
              <w:rPr>
                <w:rFonts w:cs="Arial"/>
                <w:color w:val="000000"/>
                <w:sz w:val="20"/>
              </w:rPr>
              <w:t>Amlodipine</w:t>
            </w:r>
          </w:p>
        </w:tc>
        <w:tc>
          <w:tcPr>
            <w:tcW w:w="695"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color w:val="000000"/>
                <w:sz w:val="20"/>
              </w:rPr>
            </w:pPr>
            <w:r w:rsidRPr="004B5DEA">
              <w:rPr>
                <w:rFonts w:cs="Arial"/>
                <w:color w:val="000000"/>
                <w:sz w:val="20"/>
              </w:rPr>
              <w:t>400 mg</w:t>
            </w:r>
          </w:p>
        </w:tc>
        <w:tc>
          <w:tcPr>
            <w:tcW w:w="852"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color w:val="000000"/>
                <w:sz w:val="20"/>
              </w:rPr>
            </w:pPr>
            <w:r w:rsidRPr="004B5DEA">
              <w:rPr>
                <w:rFonts w:cs="Arial"/>
                <w:color w:val="000000"/>
                <w:sz w:val="20"/>
              </w:rPr>
              <w:t xml:space="preserve">0.604 </w:t>
            </w:r>
            <w:r>
              <w:rPr>
                <w:rFonts w:cs="Arial"/>
                <w:color w:val="000000"/>
                <w:sz w:val="20"/>
              </w:rPr>
              <w:br/>
            </w:r>
            <w:r w:rsidRPr="004B5DEA">
              <w:rPr>
                <w:rFonts w:cs="Arial"/>
                <w:color w:val="000000"/>
                <w:sz w:val="20"/>
              </w:rPr>
              <w:t>(0.553-0.660)</w:t>
            </w:r>
          </w:p>
        </w:tc>
        <w:tc>
          <w:tcPr>
            <w:tcW w:w="926" w:type="pct"/>
            <w:tcBorders>
              <w:top w:val="single" w:sz="4" w:space="0" w:color="auto"/>
              <w:bottom w:val="single" w:sz="4" w:space="0" w:color="auto"/>
            </w:tcBorders>
            <w:shd w:val="clear" w:color="auto" w:fill="auto"/>
            <w:noWrap/>
            <w:vAlign w:val="center"/>
            <w:hideMark/>
          </w:tcPr>
          <w:p w:rsidR="00F802DD" w:rsidRPr="004B5DEA" w:rsidRDefault="00F802DD" w:rsidP="00336E01">
            <w:pPr>
              <w:spacing w:after="0" w:line="240" w:lineRule="auto"/>
              <w:jc w:val="center"/>
              <w:rPr>
                <w:rFonts w:cs="Arial"/>
                <w:color w:val="000000"/>
                <w:sz w:val="20"/>
              </w:rPr>
            </w:pPr>
            <w:r w:rsidRPr="004B5DEA">
              <w:rPr>
                <w:rFonts w:cs="Arial"/>
                <w:color w:val="000000"/>
                <w:sz w:val="20"/>
              </w:rPr>
              <w:t xml:space="preserve">0.575 </w:t>
            </w:r>
            <w:r>
              <w:rPr>
                <w:rFonts w:cs="Arial"/>
                <w:color w:val="000000"/>
                <w:sz w:val="20"/>
              </w:rPr>
              <w:br/>
            </w:r>
            <w:r w:rsidRPr="004B5DEA">
              <w:rPr>
                <w:rFonts w:cs="Arial"/>
                <w:color w:val="000000"/>
                <w:sz w:val="20"/>
              </w:rPr>
              <w:t>(0.525-0.631)</w:t>
            </w:r>
          </w:p>
        </w:tc>
        <w:tc>
          <w:tcPr>
            <w:tcW w:w="1233" w:type="pct"/>
            <w:tcBorders>
              <w:top w:val="single" w:sz="4" w:space="0" w:color="auto"/>
              <w:bottom w:val="single" w:sz="4" w:space="0" w:color="auto"/>
              <w:right w:val="single" w:sz="4" w:space="0" w:color="auto"/>
            </w:tcBorders>
            <w:shd w:val="clear" w:color="auto" w:fill="auto"/>
            <w:vAlign w:val="center"/>
            <w:hideMark/>
          </w:tcPr>
          <w:p w:rsidR="00F802DD" w:rsidRPr="004B5DEA" w:rsidRDefault="00F802DD" w:rsidP="00336E01">
            <w:pPr>
              <w:spacing w:after="0" w:line="240" w:lineRule="auto"/>
              <w:rPr>
                <w:rFonts w:cs="Arial"/>
                <w:color w:val="000000"/>
                <w:sz w:val="20"/>
              </w:rPr>
            </w:pPr>
            <w:r w:rsidRPr="004B5DEA">
              <w:rPr>
                <w:rFonts w:cs="Arial"/>
                <w:color w:val="000000"/>
                <w:sz w:val="20"/>
              </w:rPr>
              <w:t>Monitor for potential reduction in efficacy</w:t>
            </w:r>
          </w:p>
        </w:tc>
      </w:tr>
      <w:tr w:rsidR="00EA4186" w:rsidRPr="004B5DEA" w:rsidTr="00EA4186">
        <w:trPr>
          <w:trHeight w:val="588"/>
        </w:trPr>
        <w:tc>
          <w:tcPr>
            <w:tcW w:w="5000" w:type="pct"/>
            <w:gridSpan w:val="5"/>
            <w:tcBorders>
              <w:top w:val="single" w:sz="4" w:space="0" w:color="auto"/>
              <w:left w:val="nil"/>
              <w:right w:val="nil"/>
            </w:tcBorders>
            <w:shd w:val="clear" w:color="auto" w:fill="auto"/>
            <w:noWrap/>
            <w:vAlign w:val="center"/>
          </w:tcPr>
          <w:p w:rsidR="00EA4186" w:rsidRPr="004B5DEA" w:rsidRDefault="00EA4186" w:rsidP="00336E01">
            <w:pPr>
              <w:spacing w:after="0" w:line="240" w:lineRule="auto"/>
              <w:rPr>
                <w:rFonts w:cs="Arial"/>
                <w:color w:val="000000"/>
                <w:sz w:val="20"/>
              </w:rPr>
            </w:pPr>
            <w:r w:rsidRPr="00621052">
              <w:rPr>
                <w:sz w:val="18"/>
              </w:rPr>
              <w:t>Abbreviations:  AUC, area under the concentration-time curve; CI, confidence interval; C</w:t>
            </w:r>
            <w:r w:rsidRPr="00621052">
              <w:rPr>
                <w:sz w:val="18"/>
                <w:vertAlign w:val="subscript"/>
              </w:rPr>
              <w:t>max</w:t>
            </w:r>
            <w:r w:rsidRPr="00621052">
              <w:rPr>
                <w:sz w:val="18"/>
              </w:rPr>
              <w:t>, maximum observed concentration; qd, once daily.</w:t>
            </w:r>
          </w:p>
        </w:tc>
      </w:tr>
    </w:tbl>
    <w:p w:rsidR="00FD0ED7" w:rsidRPr="00FD0ED7" w:rsidRDefault="00FD0ED7" w:rsidP="00FD0ED7">
      <w:pPr>
        <w:pStyle w:val="A-Heading2"/>
        <w:rPr>
          <w:sz w:val="22"/>
          <w:szCs w:val="22"/>
        </w:rPr>
      </w:pPr>
      <w:r w:rsidRPr="00FD0ED7">
        <w:rPr>
          <w:sz w:val="22"/>
          <w:szCs w:val="22"/>
        </w:rPr>
        <w:t>Epoxide hydrolase inhibitors</w:t>
      </w:r>
    </w:p>
    <w:p w:rsidR="00FD0ED7" w:rsidRPr="00FD0ED7" w:rsidRDefault="00FD0ED7" w:rsidP="00FD0ED7">
      <w:pPr>
        <w:rPr>
          <w:sz w:val="22"/>
          <w:szCs w:val="22"/>
          <w:lang w:val="en-GB"/>
        </w:rPr>
      </w:pPr>
      <w:r w:rsidRPr="00FD0ED7">
        <w:rPr>
          <w:i/>
          <w:sz w:val="22"/>
          <w:szCs w:val="22"/>
          <w:lang w:val="en-GB"/>
        </w:rPr>
        <w:t>In vitro</w:t>
      </w:r>
      <w:r w:rsidRPr="00FD0ED7">
        <w:rPr>
          <w:sz w:val="22"/>
          <w:szCs w:val="22"/>
          <w:lang w:val="en-GB"/>
        </w:rPr>
        <w:t xml:space="preserve"> studies suggest that lesinurad is not an inhibitor of epoxide hydrolase; however, inhibitors of epoxide hydrolase (e.g. </w:t>
      </w:r>
      <w:r w:rsidR="00566234">
        <w:rPr>
          <w:sz w:val="22"/>
          <w:szCs w:val="22"/>
          <w:lang w:val="en-GB"/>
        </w:rPr>
        <w:t xml:space="preserve">sodium </w:t>
      </w:r>
      <w:r w:rsidR="008A363A">
        <w:rPr>
          <w:sz w:val="22"/>
          <w:szCs w:val="22"/>
          <w:lang w:val="en-GB"/>
        </w:rPr>
        <w:t>valproate</w:t>
      </w:r>
      <w:r w:rsidRPr="00FD0ED7">
        <w:rPr>
          <w:sz w:val="22"/>
          <w:szCs w:val="22"/>
          <w:lang w:val="en-GB"/>
        </w:rPr>
        <w:t xml:space="preserve">) may interfere with metabolism of lesinurad. </w:t>
      </w:r>
      <w:r w:rsidR="00FE0B60">
        <w:rPr>
          <w:sz w:val="22"/>
          <w:szCs w:val="22"/>
          <w:lang w:val="en-GB"/>
        </w:rPr>
        <w:t>ZURAMPIC</w:t>
      </w:r>
      <w:r w:rsidRPr="00FD0ED7">
        <w:rPr>
          <w:sz w:val="22"/>
          <w:szCs w:val="22"/>
          <w:lang w:val="en-GB"/>
        </w:rPr>
        <w:t xml:space="preserve"> should not be administered with inhibitors of epoxide hydrolase.</w:t>
      </w:r>
    </w:p>
    <w:p w:rsidR="00FD0ED7" w:rsidRPr="00FD0ED7" w:rsidRDefault="00FD0ED7" w:rsidP="00FD0ED7">
      <w:pPr>
        <w:pStyle w:val="A-Heading2"/>
        <w:rPr>
          <w:sz w:val="22"/>
          <w:szCs w:val="22"/>
        </w:rPr>
      </w:pPr>
      <w:r w:rsidRPr="00FD0ED7">
        <w:rPr>
          <w:sz w:val="22"/>
          <w:szCs w:val="22"/>
        </w:rPr>
        <w:t>Salicylates</w:t>
      </w:r>
    </w:p>
    <w:p w:rsidR="00FD0ED7" w:rsidRPr="00A6172C" w:rsidRDefault="00A6172C" w:rsidP="00FD0ED7">
      <w:pPr>
        <w:rPr>
          <w:sz w:val="22"/>
          <w:szCs w:val="22"/>
          <w:u w:val="single"/>
        </w:rPr>
      </w:pPr>
      <w:r w:rsidRPr="00A6172C">
        <w:rPr>
          <w:sz w:val="22"/>
          <w:szCs w:val="22"/>
        </w:rPr>
        <w:t>ZURAMPIC with allopurinol was as effective in reducing sUA to target levels in patients taking low dose aspirin to a similar extent as in the general population.</w:t>
      </w:r>
      <w:r w:rsidR="004741E3">
        <w:rPr>
          <w:sz w:val="22"/>
          <w:szCs w:val="22"/>
        </w:rPr>
        <w:t xml:space="preserve"> </w:t>
      </w:r>
      <w:r w:rsidR="00FD0ED7" w:rsidRPr="00FD0ED7">
        <w:rPr>
          <w:sz w:val="22"/>
          <w:szCs w:val="22"/>
          <w:lang w:val="en-GB"/>
        </w:rPr>
        <w:t xml:space="preserve">Salicylates at doses higher than 325 mg per day </w:t>
      </w:r>
      <w:r w:rsidR="00AB7B15">
        <w:rPr>
          <w:sz w:val="22"/>
          <w:szCs w:val="22"/>
          <w:lang w:val="en-GB"/>
        </w:rPr>
        <w:t xml:space="preserve">may decrease the </w:t>
      </w:r>
      <w:r w:rsidR="006F12A0">
        <w:rPr>
          <w:sz w:val="22"/>
          <w:szCs w:val="22"/>
          <w:lang w:val="en-GB"/>
        </w:rPr>
        <w:t>sUA</w:t>
      </w:r>
      <w:r w:rsidR="00FD0ED7" w:rsidRPr="00FD0ED7">
        <w:rPr>
          <w:sz w:val="22"/>
          <w:szCs w:val="22"/>
          <w:lang w:val="en-GB"/>
        </w:rPr>
        <w:t xml:space="preserve"> lowering activity of lesinurad in combination with allopurinol. There are no restrictions for doses of salicylates of 325 mg or less per day (i.e. for cardiovascular protection).</w:t>
      </w:r>
    </w:p>
    <w:p w:rsidR="00FD0ED7" w:rsidRPr="00FD0ED7" w:rsidRDefault="00FD0ED7" w:rsidP="00FD0ED7">
      <w:pPr>
        <w:pStyle w:val="A-Heading2"/>
        <w:rPr>
          <w:sz w:val="22"/>
          <w:szCs w:val="22"/>
        </w:rPr>
      </w:pPr>
      <w:r w:rsidRPr="00FD0ED7">
        <w:rPr>
          <w:sz w:val="22"/>
          <w:szCs w:val="22"/>
        </w:rPr>
        <w:lastRenderedPageBreak/>
        <w:t>Hormonal contraceptives</w:t>
      </w:r>
    </w:p>
    <w:p w:rsidR="00DE0197" w:rsidRDefault="00FD0ED7" w:rsidP="00DE0197">
      <w:pPr>
        <w:rPr>
          <w:sz w:val="22"/>
          <w:szCs w:val="22"/>
          <w:lang w:val="en-GB"/>
        </w:rPr>
      </w:pPr>
      <w:r w:rsidRPr="00FD0ED7">
        <w:rPr>
          <w:sz w:val="22"/>
          <w:szCs w:val="22"/>
          <w:lang w:val="en-GB"/>
        </w:rPr>
        <w:t xml:space="preserve">Hormonal contraceptives, including oral, injectable, transdermal, and implantable forms, may not be reliable when </w:t>
      </w:r>
      <w:r w:rsidR="00FE0B60">
        <w:rPr>
          <w:sz w:val="22"/>
          <w:szCs w:val="22"/>
          <w:lang w:val="en-GB"/>
        </w:rPr>
        <w:t>ZURAMPIC</w:t>
      </w:r>
      <w:r w:rsidRPr="00FD0ED7">
        <w:rPr>
          <w:sz w:val="22"/>
          <w:szCs w:val="22"/>
          <w:lang w:val="en-GB"/>
        </w:rPr>
        <w:t xml:space="preserve"> is co-administered. Females should practice additional methods of contraception and not rely on hormonal contraception alone when taking </w:t>
      </w:r>
      <w:r>
        <w:rPr>
          <w:sz w:val="22"/>
          <w:szCs w:val="22"/>
          <w:lang w:val="en-GB"/>
        </w:rPr>
        <w:t>ZURAMPIC</w:t>
      </w:r>
      <w:r w:rsidRPr="00FD0ED7">
        <w:rPr>
          <w:sz w:val="22"/>
          <w:szCs w:val="22"/>
          <w:lang w:val="en-GB"/>
        </w:rPr>
        <w:t>.</w:t>
      </w:r>
    </w:p>
    <w:p w:rsidR="002A64AF" w:rsidRDefault="002A64AF" w:rsidP="002A64AF">
      <w:pPr>
        <w:pStyle w:val="A-Heading2"/>
        <w:rPr>
          <w:sz w:val="22"/>
          <w:szCs w:val="22"/>
        </w:rPr>
      </w:pPr>
      <w:r w:rsidRPr="002A64AF">
        <w:rPr>
          <w:sz w:val="22"/>
          <w:szCs w:val="22"/>
        </w:rPr>
        <w:t>Thiazide diuretics</w:t>
      </w:r>
    </w:p>
    <w:p w:rsidR="002A64AF" w:rsidRDefault="00A6172C" w:rsidP="002A64AF">
      <w:pPr>
        <w:rPr>
          <w:sz w:val="22"/>
          <w:szCs w:val="22"/>
          <w:lang w:val="en-GB"/>
        </w:rPr>
      </w:pPr>
      <w:r w:rsidRPr="00A6172C">
        <w:rPr>
          <w:sz w:val="22"/>
          <w:szCs w:val="22"/>
          <w:lang w:val="en-GB"/>
        </w:rPr>
        <w:t>Thiazide diuretics are known to increase s</w:t>
      </w:r>
      <w:r w:rsidR="00EA4186">
        <w:rPr>
          <w:sz w:val="22"/>
          <w:szCs w:val="22"/>
          <w:lang w:val="en-GB"/>
        </w:rPr>
        <w:t>UA</w:t>
      </w:r>
      <w:r w:rsidRPr="00A6172C">
        <w:rPr>
          <w:sz w:val="22"/>
          <w:szCs w:val="22"/>
          <w:lang w:val="en-GB"/>
        </w:rPr>
        <w:t xml:space="preserve"> levels.</w:t>
      </w:r>
      <w:r w:rsidR="004741E3">
        <w:rPr>
          <w:sz w:val="22"/>
          <w:szCs w:val="22"/>
          <w:lang w:val="en-GB"/>
        </w:rPr>
        <w:t xml:space="preserve"> </w:t>
      </w:r>
      <w:r w:rsidR="002F013B" w:rsidRPr="002F013B">
        <w:rPr>
          <w:sz w:val="22"/>
          <w:szCs w:val="22"/>
          <w:lang w:val="en-GB"/>
        </w:rPr>
        <w:t xml:space="preserve">Consistent </w:t>
      </w:r>
      <w:r w:rsidR="00EA4186">
        <w:rPr>
          <w:sz w:val="22"/>
          <w:szCs w:val="22"/>
          <w:lang w:val="en-GB"/>
        </w:rPr>
        <w:t>sUA</w:t>
      </w:r>
      <w:r w:rsidR="002F013B" w:rsidRPr="002F013B">
        <w:rPr>
          <w:sz w:val="22"/>
          <w:szCs w:val="22"/>
          <w:lang w:val="en-GB"/>
        </w:rPr>
        <w:t xml:space="preserve"> lowering was observed in patients who were receiving thiazide diuretics in the placebo-controlled clinical studies in combination with allopurinol or febuxostat.</w:t>
      </w:r>
    </w:p>
    <w:p w:rsidR="002A64AF" w:rsidRDefault="002A64AF" w:rsidP="002A64AF">
      <w:pPr>
        <w:pStyle w:val="A-Heading2"/>
        <w:rPr>
          <w:sz w:val="22"/>
          <w:szCs w:val="22"/>
        </w:rPr>
      </w:pPr>
      <w:r>
        <w:rPr>
          <w:sz w:val="22"/>
          <w:szCs w:val="22"/>
        </w:rPr>
        <w:t>Indomethacin</w:t>
      </w:r>
    </w:p>
    <w:p w:rsidR="002A64AF" w:rsidRPr="002A64AF" w:rsidRDefault="003F59D1" w:rsidP="002A64AF">
      <w:pPr>
        <w:rPr>
          <w:sz w:val="22"/>
          <w:szCs w:val="22"/>
          <w:lang w:val="en-GB"/>
        </w:rPr>
      </w:pPr>
      <w:r>
        <w:rPr>
          <w:sz w:val="22"/>
          <w:szCs w:val="22"/>
          <w:lang w:val="en-GB"/>
        </w:rPr>
        <w:t>ZURAMPIC increases exposur</w:t>
      </w:r>
      <w:r w:rsidR="001038FE">
        <w:rPr>
          <w:sz w:val="22"/>
          <w:szCs w:val="22"/>
          <w:lang w:val="en-GB"/>
        </w:rPr>
        <w:t>e to indomethacin by about 30%.</w:t>
      </w:r>
      <w:r>
        <w:rPr>
          <w:sz w:val="22"/>
          <w:szCs w:val="22"/>
          <w:lang w:val="en-GB"/>
        </w:rPr>
        <w:t xml:space="preserve"> Increased adverse effects may result requiring reduction in the dose of indomethacin.</w:t>
      </w:r>
    </w:p>
    <w:p w:rsidR="00DE0197" w:rsidRDefault="00EF3376" w:rsidP="00DE0197">
      <w:pPr>
        <w:pStyle w:val="A-Heading1"/>
      </w:pPr>
      <w:r>
        <w:t>ADVERSE EFFECTS</w:t>
      </w:r>
    </w:p>
    <w:p w:rsidR="00432D8F" w:rsidRPr="00432D8F" w:rsidRDefault="00432D8F" w:rsidP="00432D8F">
      <w:pPr>
        <w:rPr>
          <w:sz w:val="22"/>
          <w:szCs w:val="22"/>
          <w:lang w:val="en-US"/>
        </w:rPr>
      </w:pPr>
      <w:r w:rsidRPr="00432D8F">
        <w:rPr>
          <w:sz w:val="22"/>
          <w:szCs w:val="22"/>
          <w:lang w:val="en-US"/>
        </w:rPr>
        <w:t xml:space="preserve">The safety of </w:t>
      </w:r>
      <w:r>
        <w:rPr>
          <w:sz w:val="22"/>
          <w:szCs w:val="22"/>
          <w:lang w:val="en-US"/>
        </w:rPr>
        <w:t>ZURAMPIC</w:t>
      </w:r>
      <w:r w:rsidRPr="00432D8F">
        <w:rPr>
          <w:sz w:val="22"/>
          <w:szCs w:val="22"/>
          <w:lang w:val="en-US"/>
        </w:rPr>
        <w:t xml:space="preserve"> was evaluated in 1</w:t>
      </w:r>
      <w:r w:rsidR="00765EE4">
        <w:rPr>
          <w:sz w:val="22"/>
          <w:szCs w:val="22"/>
          <w:lang w:val="en-US"/>
        </w:rPr>
        <w:t>,</w:t>
      </w:r>
      <w:r w:rsidRPr="00432D8F">
        <w:rPr>
          <w:sz w:val="22"/>
          <w:szCs w:val="22"/>
          <w:lang w:val="en-US"/>
        </w:rPr>
        <w:t xml:space="preserve">331 patients receiving </w:t>
      </w:r>
      <w:r>
        <w:rPr>
          <w:sz w:val="22"/>
          <w:szCs w:val="22"/>
          <w:lang w:val="en-US"/>
        </w:rPr>
        <w:t>ZURAMPIC</w:t>
      </w:r>
      <w:r w:rsidRPr="00432D8F">
        <w:rPr>
          <w:sz w:val="22"/>
          <w:szCs w:val="22"/>
          <w:lang w:val="en-US"/>
        </w:rPr>
        <w:t xml:space="preserve"> 200 mg or 400 mg in combination with a xanthine oxidase inhibitor, allopurinol or febuxostat, and is based on data from three clinical studies with a median treatment duration of 11.3 months. In addition, safety was evaluated in a 6-month monotherapy study of </w:t>
      </w:r>
      <w:r>
        <w:rPr>
          <w:sz w:val="22"/>
          <w:szCs w:val="22"/>
          <w:lang w:val="en-US"/>
        </w:rPr>
        <w:t>ZURAMPIC</w:t>
      </w:r>
      <w:r w:rsidRPr="00432D8F">
        <w:rPr>
          <w:sz w:val="22"/>
          <w:szCs w:val="22"/>
          <w:lang w:val="en-US"/>
        </w:rPr>
        <w:t xml:space="preserve"> 400 mg (see </w:t>
      </w:r>
      <w:r w:rsidRPr="00432D8F">
        <w:rPr>
          <w:b/>
          <w:sz w:val="22"/>
          <w:szCs w:val="22"/>
          <w:lang w:val="en-US"/>
        </w:rPr>
        <w:t>PRECAUTIONS</w:t>
      </w:r>
      <w:r>
        <w:rPr>
          <w:sz w:val="22"/>
          <w:szCs w:val="22"/>
          <w:lang w:val="en-US"/>
        </w:rPr>
        <w:t xml:space="preserve"> and </w:t>
      </w:r>
      <w:r w:rsidRPr="00432D8F">
        <w:rPr>
          <w:b/>
          <w:sz w:val="22"/>
          <w:szCs w:val="22"/>
          <w:lang w:val="en-US"/>
        </w:rPr>
        <w:t>DOSAGE AND ADMINSTRATION</w:t>
      </w:r>
      <w:r w:rsidRPr="00432D8F">
        <w:rPr>
          <w:sz w:val="22"/>
          <w:szCs w:val="22"/>
          <w:lang w:val="en-US"/>
        </w:rPr>
        <w:t>).</w:t>
      </w:r>
    </w:p>
    <w:p w:rsidR="00A21E99" w:rsidRDefault="00081902" w:rsidP="00DE0197">
      <w:pPr>
        <w:rPr>
          <w:rFonts w:cs="Arial"/>
          <w:sz w:val="22"/>
          <w:szCs w:val="22"/>
          <w:lang w:val="en-US"/>
        </w:rPr>
      </w:pPr>
      <w:r>
        <w:rPr>
          <w:rFonts w:cs="Arial"/>
          <w:sz w:val="22"/>
          <w:szCs w:val="22"/>
          <w:lang w:val="en-US"/>
        </w:rPr>
        <w:t xml:space="preserve">ZURAMPIC </w:t>
      </w:r>
      <w:r w:rsidR="00A36AAD">
        <w:rPr>
          <w:rFonts w:cs="Arial"/>
          <w:sz w:val="22"/>
          <w:szCs w:val="22"/>
          <w:lang w:val="en-US"/>
        </w:rPr>
        <w:t xml:space="preserve">200 mg in combination with a xanthine oxidase inhibitor </w:t>
      </w:r>
      <w:r>
        <w:rPr>
          <w:rFonts w:cs="Arial"/>
          <w:sz w:val="22"/>
          <w:szCs w:val="22"/>
          <w:lang w:val="en-US"/>
        </w:rPr>
        <w:t>was generally well tolerated. T</w:t>
      </w:r>
      <w:r w:rsidR="00C65200" w:rsidRPr="003A4694">
        <w:rPr>
          <w:rFonts w:cs="Arial"/>
          <w:sz w:val="22"/>
          <w:szCs w:val="22"/>
          <w:lang w:val="en-US"/>
        </w:rPr>
        <w:t xml:space="preserve">he most commonly reported Adverse Drug Reactions (ADRs) with </w:t>
      </w:r>
      <w:r w:rsidR="00162A2A" w:rsidRPr="003A4694">
        <w:rPr>
          <w:rFonts w:cs="Arial"/>
          <w:sz w:val="22"/>
          <w:szCs w:val="22"/>
          <w:lang w:val="en-US"/>
        </w:rPr>
        <w:t>ZURAMPIC</w:t>
      </w:r>
      <w:r w:rsidR="00C65200" w:rsidRPr="003A4694">
        <w:rPr>
          <w:rFonts w:cs="Arial"/>
          <w:sz w:val="22"/>
          <w:szCs w:val="22"/>
          <w:lang w:val="en-US"/>
        </w:rPr>
        <w:t xml:space="preserve"> (≥5%) </w:t>
      </w:r>
      <w:r>
        <w:rPr>
          <w:rFonts w:cs="Arial"/>
          <w:sz w:val="22"/>
          <w:szCs w:val="22"/>
          <w:lang w:val="en-US"/>
        </w:rPr>
        <w:t>were headache and</w:t>
      </w:r>
      <w:r w:rsidR="003A4694" w:rsidRPr="003A4694">
        <w:rPr>
          <w:rFonts w:cs="Arial"/>
          <w:sz w:val="22"/>
          <w:szCs w:val="22"/>
          <w:lang w:val="en-US"/>
        </w:rPr>
        <w:t xml:space="preserve"> influenza</w:t>
      </w:r>
      <w:r w:rsidR="00A21E99">
        <w:rPr>
          <w:rFonts w:cs="Arial"/>
          <w:sz w:val="22"/>
          <w:szCs w:val="22"/>
          <w:lang w:val="en-US"/>
        </w:rPr>
        <w:t>.</w:t>
      </w:r>
    </w:p>
    <w:p w:rsidR="00C65200" w:rsidRPr="00DE0197" w:rsidRDefault="003A4694" w:rsidP="00DE0197">
      <w:pPr>
        <w:rPr>
          <w:iCs/>
          <w:u w:val="single"/>
          <w:lang w:val="en-GB"/>
        </w:rPr>
      </w:pPr>
      <w:r w:rsidRPr="003A4694">
        <w:rPr>
          <w:rFonts w:cs="Arial"/>
          <w:sz w:val="22"/>
          <w:szCs w:val="22"/>
          <w:lang w:val="en-US"/>
        </w:rPr>
        <w:t xml:space="preserve">Although other doses have been studied, the recommended dose of </w:t>
      </w:r>
      <w:r w:rsidR="00A21E99">
        <w:rPr>
          <w:rFonts w:cs="Arial"/>
          <w:sz w:val="22"/>
          <w:szCs w:val="22"/>
          <w:lang w:val="en-US"/>
        </w:rPr>
        <w:t>ZURAMPIC</w:t>
      </w:r>
      <w:r w:rsidRPr="003A4694">
        <w:rPr>
          <w:rFonts w:cs="Arial"/>
          <w:sz w:val="22"/>
          <w:szCs w:val="22"/>
          <w:lang w:val="en-US"/>
        </w:rPr>
        <w:t xml:space="preserve"> is 200 </w:t>
      </w:r>
      <w:r>
        <w:rPr>
          <w:rFonts w:cs="Arial"/>
          <w:sz w:val="22"/>
          <w:szCs w:val="22"/>
          <w:lang w:val="en-US"/>
        </w:rPr>
        <w:t>mg once daily. Table 3 summaris</w:t>
      </w:r>
      <w:r w:rsidRPr="003A4694">
        <w:rPr>
          <w:rFonts w:cs="Arial"/>
          <w:sz w:val="22"/>
          <w:szCs w:val="22"/>
          <w:lang w:val="en-US"/>
        </w:rPr>
        <w:t xml:space="preserve">es </w:t>
      </w:r>
      <w:r>
        <w:rPr>
          <w:rFonts w:cs="Arial"/>
          <w:sz w:val="22"/>
          <w:szCs w:val="22"/>
          <w:lang w:val="en-US"/>
        </w:rPr>
        <w:t>ADRs</w:t>
      </w:r>
      <w:r w:rsidRPr="003A4694">
        <w:rPr>
          <w:rFonts w:cs="Arial"/>
          <w:sz w:val="22"/>
          <w:szCs w:val="22"/>
          <w:lang w:val="en-US"/>
        </w:rPr>
        <w:t xml:space="preserve"> identified in clinical studies with patients receiving </w:t>
      </w:r>
      <w:r w:rsidR="00A21E99">
        <w:rPr>
          <w:rFonts w:cs="Arial"/>
          <w:sz w:val="22"/>
          <w:szCs w:val="22"/>
          <w:lang w:val="en-US"/>
        </w:rPr>
        <w:t>ZURAMPIC</w:t>
      </w:r>
      <w:r w:rsidRPr="003A4694">
        <w:rPr>
          <w:rFonts w:cs="Arial"/>
          <w:sz w:val="22"/>
          <w:szCs w:val="22"/>
          <w:lang w:val="en-US"/>
        </w:rPr>
        <w:t xml:space="preserve"> 200 mg once daily in combination </w:t>
      </w:r>
      <w:r w:rsidR="004B4E00" w:rsidRPr="004B4E00">
        <w:rPr>
          <w:rFonts w:cs="Arial"/>
          <w:sz w:val="22"/>
          <w:szCs w:val="22"/>
          <w:lang w:val="en-US"/>
        </w:rPr>
        <w:t>with allopurinol at doses from 200 mg to 900 mg daily or febuxostat at a dose of 80 mg once daily.</w:t>
      </w:r>
    </w:p>
    <w:p w:rsidR="00093E71" w:rsidRPr="00E34A6F" w:rsidRDefault="00154497" w:rsidP="00E34A6F">
      <w:pPr>
        <w:pStyle w:val="A-TableTitle"/>
        <w:rPr>
          <w:sz w:val="22"/>
          <w:szCs w:val="22"/>
        </w:rPr>
      </w:pPr>
      <w:r w:rsidRPr="00E34A6F">
        <w:rPr>
          <w:sz w:val="22"/>
          <w:szCs w:val="22"/>
        </w:rPr>
        <w:t>Table 3</w:t>
      </w:r>
      <w:r w:rsidR="00E34A6F" w:rsidRPr="00E34A6F">
        <w:rPr>
          <w:sz w:val="22"/>
          <w:szCs w:val="22"/>
        </w:rPr>
        <w:tab/>
      </w:r>
      <w:r w:rsidR="00093E71" w:rsidRPr="00E34A6F">
        <w:rPr>
          <w:sz w:val="22"/>
          <w:szCs w:val="22"/>
        </w:rPr>
        <w:t xml:space="preserve">Adverse </w:t>
      </w:r>
      <w:r w:rsidR="009C545A">
        <w:rPr>
          <w:sz w:val="22"/>
          <w:szCs w:val="22"/>
        </w:rPr>
        <w:t>e</w:t>
      </w:r>
      <w:r w:rsidR="00093E71" w:rsidRPr="00E34A6F">
        <w:rPr>
          <w:sz w:val="22"/>
          <w:szCs w:val="22"/>
        </w:rPr>
        <w:t xml:space="preserve">vents </w:t>
      </w:r>
      <w:r w:rsidR="009C545A">
        <w:rPr>
          <w:sz w:val="22"/>
          <w:szCs w:val="22"/>
        </w:rPr>
        <w:t>o</w:t>
      </w:r>
      <w:r w:rsidR="00093E71" w:rsidRPr="00E34A6F">
        <w:rPr>
          <w:sz w:val="22"/>
          <w:szCs w:val="22"/>
        </w:rPr>
        <w:t xml:space="preserve">ccurring in ≥2% of </w:t>
      </w:r>
      <w:r w:rsidR="009C545A">
        <w:rPr>
          <w:sz w:val="22"/>
          <w:szCs w:val="22"/>
        </w:rPr>
        <w:t xml:space="preserve">ZURAMPIC </w:t>
      </w:r>
      <w:r w:rsidR="00093E71" w:rsidRPr="00E34A6F">
        <w:rPr>
          <w:sz w:val="22"/>
          <w:szCs w:val="22"/>
        </w:rPr>
        <w:t xml:space="preserve">200 mg </w:t>
      </w:r>
      <w:r w:rsidR="009C545A">
        <w:rPr>
          <w:sz w:val="22"/>
          <w:szCs w:val="22"/>
        </w:rPr>
        <w:t>t</w:t>
      </w:r>
      <w:r w:rsidR="00093E71" w:rsidRPr="00E34A6F">
        <w:rPr>
          <w:sz w:val="22"/>
          <w:szCs w:val="22"/>
        </w:rPr>
        <w:t xml:space="preserve">reated </w:t>
      </w:r>
      <w:r w:rsidR="009C545A">
        <w:rPr>
          <w:sz w:val="22"/>
          <w:szCs w:val="22"/>
        </w:rPr>
        <w:t>p</w:t>
      </w:r>
      <w:r w:rsidR="00093E71" w:rsidRPr="00E34A6F">
        <w:rPr>
          <w:sz w:val="22"/>
          <w:szCs w:val="22"/>
        </w:rPr>
        <w:t xml:space="preserve">atients and at </w:t>
      </w:r>
      <w:r w:rsidR="009C545A">
        <w:rPr>
          <w:sz w:val="22"/>
          <w:szCs w:val="22"/>
        </w:rPr>
        <w:t>l</w:t>
      </w:r>
      <w:r w:rsidR="00093E71" w:rsidRPr="00E34A6F">
        <w:rPr>
          <w:sz w:val="22"/>
          <w:szCs w:val="22"/>
        </w:rPr>
        <w:t xml:space="preserve">east 1% </w:t>
      </w:r>
      <w:r w:rsidR="009C545A">
        <w:rPr>
          <w:sz w:val="22"/>
          <w:szCs w:val="22"/>
        </w:rPr>
        <w:t>g</w:t>
      </w:r>
      <w:r w:rsidR="00093E71" w:rsidRPr="00E34A6F">
        <w:rPr>
          <w:sz w:val="22"/>
          <w:szCs w:val="22"/>
        </w:rPr>
        <w:t xml:space="preserve">reater </w:t>
      </w:r>
      <w:r w:rsidR="009C545A">
        <w:rPr>
          <w:sz w:val="22"/>
          <w:szCs w:val="22"/>
        </w:rPr>
        <w:t>t</w:t>
      </w:r>
      <w:r w:rsidR="00093E71" w:rsidRPr="00E34A6F">
        <w:rPr>
          <w:sz w:val="22"/>
          <w:szCs w:val="22"/>
        </w:rPr>
        <w:t xml:space="preserve">han </w:t>
      </w:r>
      <w:r w:rsidR="009C545A">
        <w:rPr>
          <w:sz w:val="22"/>
          <w:szCs w:val="22"/>
        </w:rPr>
        <w:t>s</w:t>
      </w:r>
      <w:r w:rsidR="00093E71" w:rsidRPr="00E34A6F">
        <w:rPr>
          <w:sz w:val="22"/>
          <w:szCs w:val="22"/>
        </w:rPr>
        <w:t xml:space="preserve">een in </w:t>
      </w:r>
      <w:r w:rsidR="009C545A">
        <w:rPr>
          <w:sz w:val="22"/>
          <w:szCs w:val="22"/>
        </w:rPr>
        <w:t>p</w:t>
      </w:r>
      <w:r w:rsidR="00093E71" w:rsidRPr="00E34A6F">
        <w:rPr>
          <w:sz w:val="22"/>
          <w:szCs w:val="22"/>
        </w:rPr>
        <w:t xml:space="preserve">atients </w:t>
      </w:r>
      <w:r w:rsidR="009C545A">
        <w:rPr>
          <w:sz w:val="22"/>
          <w:szCs w:val="22"/>
        </w:rPr>
        <w:t>r</w:t>
      </w:r>
      <w:r w:rsidR="00093E71" w:rsidRPr="00E34A6F">
        <w:rPr>
          <w:sz w:val="22"/>
          <w:szCs w:val="22"/>
        </w:rPr>
        <w:t xml:space="preserve">eceiving </w:t>
      </w:r>
      <w:r w:rsidR="009C545A">
        <w:rPr>
          <w:sz w:val="22"/>
          <w:szCs w:val="22"/>
        </w:rPr>
        <w:t>p</w:t>
      </w:r>
      <w:r w:rsidR="00093E71" w:rsidRPr="00E34A6F">
        <w:rPr>
          <w:sz w:val="22"/>
          <w:szCs w:val="22"/>
        </w:rPr>
        <w:t xml:space="preserve">lacebo in </w:t>
      </w:r>
      <w:r w:rsidR="009C545A">
        <w:rPr>
          <w:sz w:val="22"/>
          <w:szCs w:val="22"/>
        </w:rPr>
        <w:t>c</w:t>
      </w:r>
      <w:r w:rsidR="00093E71" w:rsidRPr="00E34A6F">
        <w:rPr>
          <w:sz w:val="22"/>
          <w:szCs w:val="22"/>
        </w:rPr>
        <w:t xml:space="preserve">ontrolled </w:t>
      </w:r>
      <w:r w:rsidR="009C545A">
        <w:rPr>
          <w:sz w:val="22"/>
          <w:szCs w:val="22"/>
        </w:rPr>
        <w:t>s</w:t>
      </w:r>
      <w:r w:rsidR="00093E71" w:rsidRPr="00E34A6F">
        <w:rPr>
          <w:sz w:val="22"/>
          <w:szCs w:val="22"/>
        </w:rPr>
        <w:t xml:space="preserve">tudies in </w:t>
      </w:r>
      <w:r w:rsidR="009C545A">
        <w:rPr>
          <w:sz w:val="22"/>
          <w:szCs w:val="22"/>
        </w:rPr>
        <w:t>c</w:t>
      </w:r>
      <w:r w:rsidR="00093E71" w:rsidRPr="00E34A6F">
        <w:rPr>
          <w:sz w:val="22"/>
          <w:szCs w:val="22"/>
        </w:rPr>
        <w:t xml:space="preserve">ombination </w:t>
      </w:r>
      <w:r w:rsidR="009C545A">
        <w:rPr>
          <w:sz w:val="22"/>
          <w:szCs w:val="22"/>
        </w:rPr>
        <w:t>w</w:t>
      </w:r>
      <w:r w:rsidR="00264F5F">
        <w:rPr>
          <w:sz w:val="22"/>
          <w:szCs w:val="22"/>
        </w:rPr>
        <w:t xml:space="preserve">ith a xanthine  oxidase </w:t>
      </w:r>
      <w:r w:rsidR="009C545A">
        <w:rPr>
          <w:sz w:val="22"/>
          <w:szCs w:val="22"/>
        </w:rPr>
        <w:t>i</w:t>
      </w:r>
      <w:r w:rsidR="00093E71" w:rsidRPr="00E34A6F">
        <w:rPr>
          <w:sz w:val="22"/>
          <w:szCs w:val="22"/>
        </w:rPr>
        <w:t>nhibitor</w:t>
      </w:r>
      <w:r w:rsidR="00264F5F">
        <w:rPr>
          <w:sz w:val="22"/>
          <w:szCs w:val="22"/>
        </w:rPr>
        <w:t xml:space="preserve"> (XOI)</w:t>
      </w:r>
    </w:p>
    <w:tbl>
      <w:tblPr>
        <w:tblW w:w="7725" w:type="dxa"/>
        <w:jc w:val="center"/>
        <w:tblCellMar>
          <w:left w:w="0" w:type="dxa"/>
          <w:right w:w="0" w:type="dxa"/>
        </w:tblCellMar>
        <w:tblLook w:val="04A0" w:firstRow="1" w:lastRow="0" w:firstColumn="1" w:lastColumn="0" w:noHBand="0" w:noVBand="1"/>
      </w:tblPr>
      <w:tblGrid>
        <w:gridCol w:w="2358"/>
        <w:gridCol w:w="2683"/>
        <w:gridCol w:w="2684"/>
      </w:tblGrid>
      <w:tr w:rsidR="00093E71" w:rsidTr="00093E71">
        <w:trPr>
          <w:cantSplit/>
          <w:tblHeader/>
          <w:jc w:val="center"/>
        </w:trPr>
        <w:tc>
          <w:tcPr>
            <w:tcW w:w="2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header"/>
              <w:rPr>
                <w:rFonts w:ascii="Arial" w:hAnsi="Arial" w:cs="Arial"/>
              </w:rPr>
            </w:pPr>
            <w:r w:rsidRPr="00E34A6F">
              <w:rPr>
                <w:rFonts w:ascii="Arial" w:hAnsi="Arial" w:cs="Arial"/>
              </w:rPr>
              <w:t xml:space="preserve">Adverse </w:t>
            </w:r>
            <w:r w:rsidR="00856AAB">
              <w:rPr>
                <w:rFonts w:ascii="Arial" w:hAnsi="Arial" w:cs="Arial"/>
              </w:rPr>
              <w:t>e</w:t>
            </w:r>
            <w:r w:rsidRPr="00E34A6F">
              <w:rPr>
                <w:rFonts w:ascii="Arial" w:hAnsi="Arial" w:cs="Arial"/>
              </w:rPr>
              <w:t>vent</w:t>
            </w:r>
          </w:p>
        </w:tc>
        <w:tc>
          <w:tcPr>
            <w:tcW w:w="2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3E71" w:rsidRPr="00E34A6F" w:rsidRDefault="00093E71" w:rsidP="00264F5F">
            <w:pPr>
              <w:pStyle w:val="c-tableheader"/>
              <w:jc w:val="center"/>
              <w:rPr>
                <w:rFonts w:ascii="Arial" w:hAnsi="Arial" w:cs="Arial"/>
              </w:rPr>
            </w:pPr>
            <w:r w:rsidRPr="00E34A6F">
              <w:rPr>
                <w:rFonts w:ascii="Arial" w:hAnsi="Arial" w:cs="Arial"/>
              </w:rPr>
              <w:t>Placebo + XO</w:t>
            </w:r>
            <w:r w:rsidR="00264F5F">
              <w:rPr>
                <w:rFonts w:ascii="Arial" w:hAnsi="Arial" w:cs="Arial"/>
              </w:rPr>
              <w:t>I</w:t>
            </w:r>
            <w:r w:rsidR="00EA4186">
              <w:rPr>
                <w:rFonts w:ascii="Arial" w:hAnsi="Arial" w:cs="Arial"/>
              </w:rPr>
              <w:br/>
              <w:t>(N</w:t>
            </w:r>
            <w:r w:rsidRPr="00E34A6F">
              <w:rPr>
                <w:rFonts w:ascii="Arial" w:hAnsi="Arial" w:cs="Arial"/>
              </w:rPr>
              <w:t>=516)</w:t>
            </w:r>
          </w:p>
        </w:tc>
        <w:tc>
          <w:tcPr>
            <w:tcW w:w="2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3E71" w:rsidRPr="00E34A6F" w:rsidRDefault="00E34A6F" w:rsidP="00264F5F">
            <w:pPr>
              <w:pStyle w:val="c-tableheader"/>
              <w:jc w:val="center"/>
              <w:rPr>
                <w:rFonts w:ascii="Arial" w:hAnsi="Arial" w:cs="Arial"/>
              </w:rPr>
            </w:pPr>
            <w:r>
              <w:rPr>
                <w:rFonts w:ascii="Arial" w:hAnsi="Arial" w:cs="Arial"/>
              </w:rPr>
              <w:t>ZURAMPIC</w:t>
            </w:r>
            <w:r w:rsidR="00264F5F">
              <w:rPr>
                <w:rFonts w:ascii="Arial" w:hAnsi="Arial" w:cs="Arial"/>
              </w:rPr>
              <w:t xml:space="preserve"> 200 mg + XOI</w:t>
            </w:r>
            <w:r w:rsidR="00093E71" w:rsidRPr="00E34A6F">
              <w:rPr>
                <w:rFonts w:ascii="Arial" w:hAnsi="Arial" w:cs="Arial"/>
              </w:rPr>
              <w:br/>
              <w:t>(N</w:t>
            </w:r>
            <w:r w:rsidR="00EA4186">
              <w:rPr>
                <w:rFonts w:ascii="Arial" w:hAnsi="Arial" w:cs="Arial"/>
              </w:rPr>
              <w:t>=</w:t>
            </w:r>
            <w:r w:rsidR="00093E71" w:rsidRPr="00E34A6F">
              <w:rPr>
                <w:rFonts w:ascii="Arial" w:hAnsi="Arial" w:cs="Arial"/>
              </w:rPr>
              <w:t>511)</w:t>
            </w:r>
          </w:p>
        </w:tc>
      </w:tr>
      <w:tr w:rsidR="00093E71" w:rsidTr="00093E71">
        <w:trPr>
          <w:cantSplit/>
          <w:jc w:val="center"/>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rPr>
                <w:rFonts w:ascii="Arial" w:hAnsi="Arial" w:cs="Arial"/>
              </w:rPr>
            </w:pPr>
            <w:r w:rsidRPr="00E34A6F">
              <w:rPr>
                <w:rFonts w:ascii="Arial" w:hAnsi="Arial" w:cs="Arial"/>
              </w:rPr>
              <w:t>Headache</w:t>
            </w:r>
          </w:p>
        </w:tc>
        <w:tc>
          <w:tcPr>
            <w:tcW w:w="2683" w:type="dxa"/>
            <w:tcBorders>
              <w:top w:val="nil"/>
              <w:left w:val="nil"/>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jc w:val="center"/>
              <w:rPr>
                <w:rFonts w:ascii="Arial" w:hAnsi="Arial" w:cs="Arial"/>
              </w:rPr>
            </w:pPr>
            <w:r w:rsidRPr="00E34A6F">
              <w:rPr>
                <w:rFonts w:ascii="Arial" w:hAnsi="Arial" w:cs="Arial"/>
              </w:rPr>
              <w:t>4.1%</w:t>
            </w:r>
          </w:p>
        </w:tc>
        <w:tc>
          <w:tcPr>
            <w:tcW w:w="2684" w:type="dxa"/>
            <w:tcBorders>
              <w:top w:val="nil"/>
              <w:left w:val="nil"/>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jc w:val="center"/>
              <w:rPr>
                <w:rFonts w:ascii="Arial" w:hAnsi="Arial" w:cs="Arial"/>
              </w:rPr>
            </w:pPr>
            <w:r w:rsidRPr="00E34A6F">
              <w:rPr>
                <w:rFonts w:ascii="Arial" w:hAnsi="Arial" w:cs="Arial"/>
              </w:rPr>
              <w:t>5.3%</w:t>
            </w:r>
          </w:p>
        </w:tc>
      </w:tr>
      <w:tr w:rsidR="00093E71" w:rsidTr="00093E71">
        <w:trPr>
          <w:cantSplit/>
          <w:jc w:val="center"/>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rPr>
                <w:rFonts w:ascii="Arial" w:hAnsi="Arial" w:cs="Arial"/>
              </w:rPr>
            </w:pPr>
            <w:r w:rsidRPr="00E34A6F">
              <w:rPr>
                <w:rFonts w:ascii="Arial" w:hAnsi="Arial" w:cs="Arial"/>
              </w:rPr>
              <w:t>Influenza</w:t>
            </w:r>
          </w:p>
        </w:tc>
        <w:tc>
          <w:tcPr>
            <w:tcW w:w="2683" w:type="dxa"/>
            <w:tcBorders>
              <w:top w:val="nil"/>
              <w:left w:val="nil"/>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jc w:val="center"/>
              <w:rPr>
                <w:rFonts w:ascii="Arial" w:hAnsi="Arial" w:cs="Arial"/>
              </w:rPr>
            </w:pPr>
            <w:r w:rsidRPr="00E34A6F">
              <w:rPr>
                <w:rFonts w:ascii="Arial" w:hAnsi="Arial" w:cs="Arial"/>
              </w:rPr>
              <w:t>2.7%</w:t>
            </w:r>
          </w:p>
        </w:tc>
        <w:tc>
          <w:tcPr>
            <w:tcW w:w="2684" w:type="dxa"/>
            <w:tcBorders>
              <w:top w:val="nil"/>
              <w:left w:val="nil"/>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jc w:val="center"/>
              <w:rPr>
                <w:rFonts w:ascii="Arial" w:hAnsi="Arial" w:cs="Arial"/>
              </w:rPr>
            </w:pPr>
            <w:r w:rsidRPr="00E34A6F">
              <w:rPr>
                <w:rFonts w:ascii="Arial" w:hAnsi="Arial" w:cs="Arial"/>
              </w:rPr>
              <w:t>5.1%</w:t>
            </w:r>
          </w:p>
        </w:tc>
      </w:tr>
      <w:tr w:rsidR="00093E71" w:rsidTr="00093E71">
        <w:trPr>
          <w:cantSplit/>
          <w:jc w:val="center"/>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rPr>
                <w:rFonts w:ascii="Arial" w:hAnsi="Arial" w:cs="Arial"/>
              </w:rPr>
            </w:pPr>
            <w:r w:rsidRPr="00E34A6F">
              <w:rPr>
                <w:rFonts w:ascii="Arial" w:hAnsi="Arial" w:cs="Arial"/>
              </w:rPr>
              <w:t>Blood creatinine increase</w:t>
            </w:r>
          </w:p>
        </w:tc>
        <w:tc>
          <w:tcPr>
            <w:tcW w:w="2683" w:type="dxa"/>
            <w:tcBorders>
              <w:top w:val="nil"/>
              <w:left w:val="nil"/>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jc w:val="center"/>
              <w:rPr>
                <w:rFonts w:ascii="Arial" w:hAnsi="Arial" w:cs="Arial"/>
              </w:rPr>
            </w:pPr>
            <w:r w:rsidRPr="00E34A6F">
              <w:rPr>
                <w:rFonts w:ascii="Arial" w:hAnsi="Arial" w:cs="Arial"/>
              </w:rPr>
              <w:t>2.3%</w:t>
            </w:r>
          </w:p>
        </w:tc>
        <w:tc>
          <w:tcPr>
            <w:tcW w:w="2684" w:type="dxa"/>
            <w:tcBorders>
              <w:top w:val="nil"/>
              <w:left w:val="nil"/>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jc w:val="center"/>
              <w:rPr>
                <w:rFonts w:ascii="Arial" w:hAnsi="Arial" w:cs="Arial"/>
              </w:rPr>
            </w:pPr>
            <w:r w:rsidRPr="00E34A6F">
              <w:rPr>
                <w:rFonts w:ascii="Arial" w:hAnsi="Arial" w:cs="Arial"/>
              </w:rPr>
              <w:t>4.3%</w:t>
            </w:r>
          </w:p>
        </w:tc>
      </w:tr>
      <w:tr w:rsidR="00093E71" w:rsidTr="00093E71">
        <w:trPr>
          <w:cantSplit/>
          <w:jc w:val="center"/>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rPr>
                <w:rFonts w:ascii="Arial" w:hAnsi="Arial" w:cs="Arial"/>
              </w:rPr>
            </w:pPr>
            <w:r w:rsidRPr="00E34A6F">
              <w:rPr>
                <w:rFonts w:ascii="Arial" w:hAnsi="Arial" w:cs="Arial"/>
              </w:rPr>
              <w:lastRenderedPageBreak/>
              <w:t>Gastro</w:t>
            </w:r>
            <w:r w:rsidR="00856AAB">
              <w:rPr>
                <w:rFonts w:ascii="Arial" w:hAnsi="Arial" w:cs="Arial"/>
              </w:rPr>
              <w:t>-</w:t>
            </w:r>
            <w:r w:rsidRPr="00E34A6F">
              <w:rPr>
                <w:rFonts w:ascii="Arial" w:hAnsi="Arial" w:cs="Arial"/>
              </w:rPr>
              <w:t>oesophageal reflux disease</w:t>
            </w:r>
          </w:p>
        </w:tc>
        <w:tc>
          <w:tcPr>
            <w:tcW w:w="2683" w:type="dxa"/>
            <w:tcBorders>
              <w:top w:val="nil"/>
              <w:left w:val="nil"/>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jc w:val="center"/>
              <w:rPr>
                <w:rFonts w:ascii="Arial" w:hAnsi="Arial" w:cs="Arial"/>
              </w:rPr>
            </w:pPr>
            <w:r w:rsidRPr="00E34A6F">
              <w:rPr>
                <w:rFonts w:ascii="Arial" w:hAnsi="Arial" w:cs="Arial"/>
              </w:rPr>
              <w:t>0.8%</w:t>
            </w:r>
          </w:p>
        </w:tc>
        <w:tc>
          <w:tcPr>
            <w:tcW w:w="2684" w:type="dxa"/>
            <w:tcBorders>
              <w:top w:val="nil"/>
              <w:left w:val="nil"/>
              <w:bottom w:val="single" w:sz="8" w:space="0" w:color="auto"/>
              <w:right w:val="single" w:sz="8" w:space="0" w:color="auto"/>
            </w:tcBorders>
            <w:tcMar>
              <w:top w:w="0" w:type="dxa"/>
              <w:left w:w="108" w:type="dxa"/>
              <w:bottom w:w="0" w:type="dxa"/>
              <w:right w:w="108" w:type="dxa"/>
            </w:tcMar>
            <w:hideMark/>
          </w:tcPr>
          <w:p w:rsidR="00093E71" w:rsidRPr="00E34A6F" w:rsidRDefault="00093E71">
            <w:pPr>
              <w:pStyle w:val="c-tabletext"/>
              <w:jc w:val="center"/>
              <w:rPr>
                <w:rFonts w:ascii="Arial" w:hAnsi="Arial" w:cs="Arial"/>
              </w:rPr>
            </w:pPr>
            <w:r w:rsidRPr="00E34A6F">
              <w:rPr>
                <w:rFonts w:ascii="Arial" w:hAnsi="Arial" w:cs="Arial"/>
              </w:rPr>
              <w:t>2.7%</w:t>
            </w:r>
          </w:p>
        </w:tc>
      </w:tr>
    </w:tbl>
    <w:p w:rsidR="00093E71" w:rsidRDefault="00093E71" w:rsidP="008C6507">
      <w:pPr>
        <w:pStyle w:val="A-Heading2"/>
        <w:spacing w:before="0"/>
        <w:rPr>
          <w:sz w:val="22"/>
          <w:szCs w:val="22"/>
        </w:rPr>
      </w:pPr>
    </w:p>
    <w:p w:rsidR="00DC4988" w:rsidRPr="00DC4988" w:rsidRDefault="00DC4988" w:rsidP="00DC4988">
      <w:pPr>
        <w:pStyle w:val="A-Heading2"/>
        <w:rPr>
          <w:sz w:val="22"/>
          <w:szCs w:val="22"/>
        </w:rPr>
      </w:pPr>
      <w:r w:rsidRPr="00DC4988">
        <w:rPr>
          <w:sz w:val="22"/>
          <w:szCs w:val="22"/>
        </w:rPr>
        <w:t>Renal events</w:t>
      </w:r>
    </w:p>
    <w:p w:rsidR="00FF01CD" w:rsidRDefault="00DC4988" w:rsidP="00DC4988">
      <w:pPr>
        <w:rPr>
          <w:sz w:val="22"/>
          <w:szCs w:val="22"/>
          <w:lang w:val="en-US"/>
        </w:rPr>
      </w:pPr>
      <w:r>
        <w:rPr>
          <w:sz w:val="22"/>
          <w:szCs w:val="22"/>
          <w:lang w:val="sv-SE"/>
        </w:rPr>
        <w:t>ZURAMPIC</w:t>
      </w:r>
      <w:r w:rsidRPr="00DC4988">
        <w:rPr>
          <w:sz w:val="22"/>
          <w:szCs w:val="22"/>
          <w:lang w:val="sv-SE"/>
        </w:rPr>
        <w:t xml:space="preserve"> causes an increase in renal uric acid excretion, which may lead to transient increases in serum creatinine, renal-related adver</w:t>
      </w:r>
      <w:r w:rsidR="00E33EE6">
        <w:rPr>
          <w:sz w:val="22"/>
          <w:szCs w:val="22"/>
          <w:lang w:val="sv-SE"/>
        </w:rPr>
        <w:t>se reactions and kidney stones.</w:t>
      </w:r>
      <w:r w:rsidR="00FF01CD">
        <w:rPr>
          <w:sz w:val="22"/>
          <w:szCs w:val="22"/>
          <w:lang w:val="sv-SE"/>
        </w:rPr>
        <w:t xml:space="preserve"> </w:t>
      </w:r>
      <w:r w:rsidR="00FF01CD" w:rsidRPr="0056744E">
        <w:rPr>
          <w:sz w:val="22"/>
          <w:szCs w:val="22"/>
          <w:lang w:val="en-US"/>
        </w:rPr>
        <w:t xml:space="preserve">In three 12-month placebo-controlled studies of </w:t>
      </w:r>
      <w:r w:rsidR="00FF01CD">
        <w:rPr>
          <w:sz w:val="22"/>
          <w:szCs w:val="22"/>
          <w:lang w:val="en-US"/>
        </w:rPr>
        <w:t>ZURAMPIC</w:t>
      </w:r>
      <w:r w:rsidR="00FF01CD" w:rsidRPr="0056744E">
        <w:rPr>
          <w:sz w:val="22"/>
          <w:szCs w:val="22"/>
          <w:lang w:val="en-US"/>
        </w:rPr>
        <w:t xml:space="preserve"> in combination with a xanthine oxidase inhibitor versus a xanthine oxidase inhibitor alone (placebo), sCr elevations 2</w:t>
      </w:r>
      <w:r w:rsidR="00FF01CD" w:rsidRPr="0056744E">
        <w:rPr>
          <w:sz w:val="22"/>
          <w:szCs w:val="22"/>
          <w:lang w:val="en-US"/>
        </w:rPr>
        <w:noBreakHyphen/>
        <w:t>fold or greater over baseline occurred in 1.8% of patients on ZURAMPIC 200 mg, 6.7% of patients on ZURAMPIC 400 mg and 0% on placebo. These sCr elevations generally resolved, most without treatment interruption.</w:t>
      </w:r>
    </w:p>
    <w:p w:rsidR="00820BE9" w:rsidRPr="00820BE9" w:rsidRDefault="00820BE9" w:rsidP="00DC4988">
      <w:pPr>
        <w:rPr>
          <w:sz w:val="22"/>
          <w:szCs w:val="22"/>
          <w:lang w:val="en-US"/>
        </w:rPr>
      </w:pPr>
      <w:r w:rsidRPr="00820BE9">
        <w:rPr>
          <w:sz w:val="22"/>
          <w:szCs w:val="22"/>
          <w:lang w:val="en-US"/>
        </w:rPr>
        <w:t>As ZURAMPIC increases the amount of uric acid excreted in urine, it may be associated with an increased risk of nephrolithiasis. Patients with a history of kidney stones were permitted entry into the 12-month studies of lesinurad in combination with a xanthine oxidase inhibitor. In these studies, kidney stone-related adverse reactions (nephrolithiasis being the most frequent) were reported in patients treated with ZURAMPIC 200 mg (0.6%)</w:t>
      </w:r>
      <w:r w:rsidR="004364AE" w:rsidRPr="004364AE">
        <w:rPr>
          <w:sz w:val="22"/>
          <w:szCs w:val="22"/>
          <w:lang w:val="en-US"/>
        </w:rPr>
        <w:t xml:space="preserve">, ZURAMPIC </w:t>
      </w:r>
      <w:r w:rsidR="004364AE">
        <w:rPr>
          <w:sz w:val="22"/>
          <w:szCs w:val="22"/>
          <w:lang w:val="en-US"/>
        </w:rPr>
        <w:br/>
      </w:r>
      <w:r w:rsidR="004364AE" w:rsidRPr="004364AE">
        <w:rPr>
          <w:sz w:val="22"/>
          <w:szCs w:val="22"/>
          <w:lang w:val="en-US"/>
        </w:rPr>
        <w:t>400 mg (2.5%),</w:t>
      </w:r>
      <w:r w:rsidRPr="00820BE9">
        <w:rPr>
          <w:sz w:val="22"/>
          <w:szCs w:val="22"/>
          <w:lang w:val="en-US"/>
        </w:rPr>
        <w:t xml:space="preserve"> and placebo (1.7%).</w:t>
      </w:r>
    </w:p>
    <w:p w:rsidR="004B37B5" w:rsidRDefault="004B37B5" w:rsidP="004B37B5">
      <w:pPr>
        <w:pStyle w:val="A-Heading2"/>
        <w:rPr>
          <w:sz w:val="22"/>
          <w:szCs w:val="22"/>
        </w:rPr>
      </w:pPr>
      <w:r w:rsidRPr="00270F5A">
        <w:rPr>
          <w:sz w:val="22"/>
          <w:szCs w:val="22"/>
        </w:rPr>
        <w:t>Cardiovascular safety</w:t>
      </w:r>
    </w:p>
    <w:p w:rsidR="004B37B5" w:rsidRDefault="004B37B5" w:rsidP="00DC4988">
      <w:pPr>
        <w:rPr>
          <w:sz w:val="22"/>
          <w:szCs w:val="22"/>
          <w:lang w:val="en-US"/>
        </w:rPr>
      </w:pPr>
      <w:r w:rsidRPr="00270F5A">
        <w:rPr>
          <w:sz w:val="22"/>
          <w:szCs w:val="22"/>
          <w:lang w:val="en-US"/>
        </w:rPr>
        <w:t xml:space="preserve">Cardiovascular events </w:t>
      </w:r>
      <w:r w:rsidR="00EA4186">
        <w:rPr>
          <w:sz w:val="22"/>
          <w:szCs w:val="22"/>
          <w:lang w:val="en-US"/>
        </w:rPr>
        <w:t>and deaths were adjudicated as major adverse cardiovascular e</w:t>
      </w:r>
      <w:r w:rsidRPr="00270F5A">
        <w:rPr>
          <w:sz w:val="22"/>
          <w:szCs w:val="22"/>
          <w:lang w:val="en-US"/>
        </w:rPr>
        <w:t xml:space="preserve">vents (cardiovascular death, non-fatal myocardial infarction, and non-fatal stroke) in the Phase 3 randomised controlled studies of </w:t>
      </w:r>
      <w:r>
        <w:rPr>
          <w:sz w:val="22"/>
          <w:szCs w:val="22"/>
          <w:lang w:val="en-US"/>
        </w:rPr>
        <w:t>ZURAMPIC</w:t>
      </w:r>
      <w:r w:rsidRPr="00270F5A">
        <w:rPr>
          <w:sz w:val="22"/>
          <w:szCs w:val="22"/>
          <w:lang w:val="en-US"/>
        </w:rPr>
        <w:t>. In the randomised controlled studies, the numbers of patients with adjudicated MACE events (incidences per 100 patient</w:t>
      </w:r>
      <w:r w:rsidRPr="00270F5A">
        <w:rPr>
          <w:sz w:val="22"/>
          <w:szCs w:val="22"/>
          <w:lang w:val="en-US"/>
        </w:rPr>
        <w:noBreakHyphen/>
        <w:t xml:space="preserve">years of exposure) were: 3 (0.71) for placebo, 4 (0.96) for </w:t>
      </w:r>
      <w:r>
        <w:rPr>
          <w:sz w:val="22"/>
          <w:szCs w:val="22"/>
          <w:lang w:val="en-US"/>
        </w:rPr>
        <w:t>ZURAMPIC</w:t>
      </w:r>
      <w:r w:rsidRPr="00270F5A">
        <w:rPr>
          <w:sz w:val="22"/>
          <w:szCs w:val="22"/>
          <w:lang w:val="en-US"/>
        </w:rPr>
        <w:t xml:space="preserve"> 200 mg, and 8 (1.94) for </w:t>
      </w:r>
      <w:r>
        <w:rPr>
          <w:sz w:val="22"/>
          <w:szCs w:val="22"/>
          <w:lang w:val="en-US"/>
        </w:rPr>
        <w:t>ZURAMPIC</w:t>
      </w:r>
      <w:r w:rsidRPr="00270F5A">
        <w:rPr>
          <w:sz w:val="22"/>
          <w:szCs w:val="22"/>
          <w:lang w:val="en-US"/>
        </w:rPr>
        <w:t xml:space="preserve"> 400</w:t>
      </w:r>
      <w:r w:rsidRPr="00270F5A">
        <w:rPr>
          <w:b/>
          <w:sz w:val="22"/>
          <w:szCs w:val="22"/>
          <w:lang w:val="en-US"/>
        </w:rPr>
        <w:t> </w:t>
      </w:r>
      <w:r w:rsidRPr="00270F5A">
        <w:rPr>
          <w:sz w:val="22"/>
          <w:szCs w:val="22"/>
          <w:lang w:val="en-US"/>
        </w:rPr>
        <w:t>mg when used in combination with a xanthine oxidase inhibitor.</w:t>
      </w:r>
    </w:p>
    <w:p w:rsidR="00444E46" w:rsidRDefault="00444E46" w:rsidP="00444E46">
      <w:pPr>
        <w:pStyle w:val="A-Heading2"/>
        <w:rPr>
          <w:sz w:val="22"/>
          <w:szCs w:val="22"/>
        </w:rPr>
      </w:pPr>
      <w:r w:rsidRPr="00444E46">
        <w:rPr>
          <w:sz w:val="22"/>
          <w:szCs w:val="22"/>
        </w:rPr>
        <w:t>Monotherapy</w:t>
      </w:r>
    </w:p>
    <w:p w:rsidR="00444E46" w:rsidRPr="00444E46" w:rsidRDefault="00444E46" w:rsidP="00444E46">
      <w:pPr>
        <w:rPr>
          <w:sz w:val="22"/>
          <w:szCs w:val="22"/>
          <w:lang w:val="en-GB"/>
        </w:rPr>
      </w:pPr>
      <w:r>
        <w:rPr>
          <w:sz w:val="22"/>
          <w:szCs w:val="22"/>
          <w:lang w:val="en-GB"/>
        </w:rPr>
        <w:t>In a 6-month double-blind, placebo-controlled monotherapy study, renal failure (9.3%), blood creatinine increased (8.4%), and nephro</w:t>
      </w:r>
      <w:r w:rsidR="001353D4">
        <w:rPr>
          <w:sz w:val="22"/>
          <w:szCs w:val="22"/>
          <w:lang w:val="en-GB"/>
        </w:rPr>
        <w:t>lithiasis (0.9%) were reported in patients receiving ZURAMPIC 400 mg alone and in</w:t>
      </w:r>
      <w:r w:rsidR="007D05F1">
        <w:rPr>
          <w:sz w:val="22"/>
          <w:szCs w:val="22"/>
          <w:lang w:val="en-GB"/>
        </w:rPr>
        <w:t xml:space="preserve"> no patients receiving placebo.</w:t>
      </w:r>
      <w:r w:rsidR="001353D4">
        <w:rPr>
          <w:sz w:val="22"/>
          <w:szCs w:val="22"/>
          <w:lang w:val="en-GB"/>
        </w:rPr>
        <w:t xml:space="preserve"> Serum creatinine elevations 1.5-fold or greater occurred in 24.3% of patients receiving ZURAMPIC 400 mg and in no patients receiving placebo.</w:t>
      </w:r>
    </w:p>
    <w:p w:rsidR="00C06D09" w:rsidRPr="000D0E51" w:rsidRDefault="00EF3376" w:rsidP="000D0E51">
      <w:pPr>
        <w:pStyle w:val="A-Heading1"/>
        <w:rPr>
          <w:sz w:val="22"/>
          <w:lang w:val="en-AU"/>
        </w:rPr>
      </w:pPr>
      <w:r>
        <w:rPr>
          <w:sz w:val="22"/>
          <w:lang w:val="en-AU"/>
        </w:rPr>
        <w:t>DOSAGE AND ADMINISTRATION</w:t>
      </w:r>
    </w:p>
    <w:p w:rsidR="00C06D09" w:rsidRDefault="00C06D09" w:rsidP="00D91EB3">
      <w:pPr>
        <w:rPr>
          <w:sz w:val="22"/>
          <w:szCs w:val="22"/>
        </w:rPr>
      </w:pPr>
      <w:r>
        <w:rPr>
          <w:sz w:val="22"/>
          <w:szCs w:val="22"/>
        </w:rPr>
        <w:t>ZURAMPIC tablets are for oral use and should be co-administered with a xanthine oxidase inhibitor, including allopurinol or febuxostat.</w:t>
      </w:r>
    </w:p>
    <w:p w:rsidR="0089135C" w:rsidRDefault="00C06D09" w:rsidP="00D91EB3">
      <w:pPr>
        <w:rPr>
          <w:sz w:val="22"/>
          <w:szCs w:val="22"/>
        </w:rPr>
      </w:pPr>
      <w:r>
        <w:rPr>
          <w:sz w:val="22"/>
          <w:szCs w:val="22"/>
        </w:rPr>
        <w:t>ZURAMPIC is recommended at 200 mg once daily. This is also the maximum daily dose. ZURAMPIC should be taken</w:t>
      </w:r>
      <w:r w:rsidR="0089135C">
        <w:rPr>
          <w:sz w:val="22"/>
          <w:szCs w:val="22"/>
        </w:rPr>
        <w:t xml:space="preserve"> by mouth, in the morning with food and water.</w:t>
      </w:r>
    </w:p>
    <w:p w:rsidR="0089135C" w:rsidRDefault="0089135C" w:rsidP="00D91EB3">
      <w:pPr>
        <w:rPr>
          <w:sz w:val="22"/>
          <w:szCs w:val="22"/>
        </w:rPr>
      </w:pPr>
      <w:r>
        <w:rPr>
          <w:sz w:val="22"/>
          <w:szCs w:val="22"/>
        </w:rPr>
        <w:lastRenderedPageBreak/>
        <w:t>ZURAMPIC may be added when target serum uric acid</w:t>
      </w:r>
      <w:r w:rsidR="00B13073">
        <w:rPr>
          <w:sz w:val="22"/>
          <w:szCs w:val="22"/>
        </w:rPr>
        <w:t>s</w:t>
      </w:r>
      <w:r w:rsidR="00705972">
        <w:rPr>
          <w:sz w:val="22"/>
          <w:szCs w:val="22"/>
        </w:rPr>
        <w:t xml:space="preserve"> </w:t>
      </w:r>
      <w:r>
        <w:rPr>
          <w:sz w:val="22"/>
          <w:szCs w:val="22"/>
        </w:rPr>
        <w:t>levels are not achieved on the medically appropriate dose of the xanthine oxidase inhibitor alone.</w:t>
      </w:r>
    </w:p>
    <w:p w:rsidR="0089135C" w:rsidRDefault="0089135C" w:rsidP="00D91EB3">
      <w:pPr>
        <w:rPr>
          <w:sz w:val="22"/>
          <w:szCs w:val="22"/>
        </w:rPr>
      </w:pPr>
      <w:r>
        <w:rPr>
          <w:sz w:val="22"/>
          <w:szCs w:val="22"/>
        </w:rPr>
        <w:t xml:space="preserve">ZURAMPIC is not recommended for patients taking daily doses of allopurinol less than </w:t>
      </w:r>
      <w:r w:rsidR="00203622">
        <w:rPr>
          <w:sz w:val="22"/>
          <w:szCs w:val="22"/>
        </w:rPr>
        <w:br/>
      </w:r>
      <w:r>
        <w:rPr>
          <w:sz w:val="22"/>
          <w:szCs w:val="22"/>
        </w:rPr>
        <w:t xml:space="preserve">300 mg (or less than 200 mg in patients with </w:t>
      </w:r>
      <w:r>
        <w:rPr>
          <w:bCs/>
          <w:iCs/>
          <w:color w:val="000000"/>
          <w:sz w:val="22"/>
          <w:szCs w:val="24"/>
          <w:lang w:val="en-US"/>
        </w:rPr>
        <w:t xml:space="preserve">eCrCL </w:t>
      </w:r>
      <w:r w:rsidR="00705972">
        <w:rPr>
          <w:bCs/>
          <w:iCs/>
          <w:color w:val="000000"/>
          <w:sz w:val="22"/>
          <w:szCs w:val="24"/>
          <w:lang w:val="en-US"/>
        </w:rPr>
        <w:t>&lt;</w:t>
      </w:r>
      <w:r>
        <w:rPr>
          <w:bCs/>
          <w:iCs/>
          <w:color w:val="000000"/>
          <w:sz w:val="22"/>
          <w:szCs w:val="24"/>
          <w:lang w:val="en-US"/>
        </w:rPr>
        <w:t>60 mL/min</w:t>
      </w:r>
      <w:r w:rsidR="00ED1807">
        <w:rPr>
          <w:bCs/>
          <w:iCs/>
          <w:color w:val="000000"/>
          <w:sz w:val="22"/>
          <w:szCs w:val="24"/>
          <w:lang w:val="en-US"/>
        </w:rPr>
        <w:t>)</w:t>
      </w:r>
      <w:r>
        <w:rPr>
          <w:bCs/>
          <w:iCs/>
          <w:color w:val="000000"/>
          <w:sz w:val="22"/>
          <w:szCs w:val="24"/>
          <w:lang w:val="en-US"/>
        </w:rPr>
        <w:t>.</w:t>
      </w:r>
    </w:p>
    <w:p w:rsidR="000D4C92" w:rsidRDefault="0089135C" w:rsidP="00D91EB3">
      <w:pPr>
        <w:rPr>
          <w:sz w:val="22"/>
          <w:szCs w:val="22"/>
        </w:rPr>
      </w:pPr>
      <w:r>
        <w:rPr>
          <w:sz w:val="22"/>
          <w:szCs w:val="22"/>
        </w:rPr>
        <w:t xml:space="preserve">Take ZURAMPIC at the same time as the morning dose of xanthine oxidase inhibitor. If treatment with the xanthine oxidase inhibitor is interrupted, ZURAMPIC should also be interrupted. Failure to follow these instructions may increase the risk of renal events (see </w:t>
      </w:r>
      <w:r w:rsidRPr="0089135C">
        <w:rPr>
          <w:b/>
          <w:sz w:val="22"/>
          <w:szCs w:val="22"/>
        </w:rPr>
        <w:t>PRECAUTIONS</w:t>
      </w:r>
      <w:r>
        <w:rPr>
          <w:sz w:val="22"/>
          <w:szCs w:val="22"/>
        </w:rPr>
        <w:t>).</w:t>
      </w:r>
    </w:p>
    <w:p w:rsidR="00687043" w:rsidRPr="00687043" w:rsidRDefault="000D4C92" w:rsidP="00D91EB3">
      <w:pPr>
        <w:rPr>
          <w:sz w:val="22"/>
          <w:szCs w:val="22"/>
        </w:rPr>
      </w:pPr>
      <w:r>
        <w:rPr>
          <w:sz w:val="22"/>
          <w:szCs w:val="22"/>
        </w:rPr>
        <w:t>Patients should be instructed to stay well hydrated (e.g. 2 L of liquid per day).</w:t>
      </w:r>
    </w:p>
    <w:p w:rsidR="00EF3376" w:rsidRDefault="00AC3F27">
      <w:pPr>
        <w:pStyle w:val="A-Heading2"/>
        <w:rPr>
          <w:sz w:val="22"/>
        </w:rPr>
      </w:pPr>
      <w:r>
        <w:rPr>
          <w:sz w:val="22"/>
        </w:rPr>
        <w:t>Special p</w:t>
      </w:r>
      <w:r w:rsidR="00EF3376">
        <w:rPr>
          <w:sz w:val="22"/>
        </w:rPr>
        <w:t>opulations</w:t>
      </w:r>
    </w:p>
    <w:p w:rsidR="00EF3376" w:rsidRDefault="00EF3376">
      <w:pPr>
        <w:pStyle w:val="A-Heading3"/>
        <w:rPr>
          <w:sz w:val="22"/>
        </w:rPr>
      </w:pPr>
      <w:r>
        <w:rPr>
          <w:sz w:val="22"/>
        </w:rPr>
        <w:t>Paedia</w:t>
      </w:r>
      <w:r w:rsidR="00687043">
        <w:rPr>
          <w:sz w:val="22"/>
        </w:rPr>
        <w:t>tric population</w:t>
      </w:r>
    </w:p>
    <w:p w:rsidR="00EF3376" w:rsidRDefault="00EF3376">
      <w:pPr>
        <w:rPr>
          <w:sz w:val="22"/>
        </w:rPr>
      </w:pPr>
      <w:r>
        <w:rPr>
          <w:sz w:val="22"/>
        </w:rPr>
        <w:t xml:space="preserve">Safety and efficacy of </w:t>
      </w:r>
      <w:r w:rsidR="006154FD">
        <w:rPr>
          <w:sz w:val="22"/>
          <w:lang w:val="en-US"/>
        </w:rPr>
        <w:t>ZURAMPIC</w:t>
      </w:r>
      <w:r>
        <w:rPr>
          <w:sz w:val="22"/>
          <w:lang w:val="en-US"/>
        </w:rPr>
        <w:t xml:space="preserve"> </w:t>
      </w:r>
      <w:r>
        <w:rPr>
          <w:sz w:val="22"/>
        </w:rPr>
        <w:t>have not been established in paediatric patients.</w:t>
      </w:r>
    </w:p>
    <w:p w:rsidR="00EF3376" w:rsidRDefault="00EF3376">
      <w:pPr>
        <w:pStyle w:val="A-Heading3"/>
        <w:rPr>
          <w:sz w:val="22"/>
        </w:rPr>
      </w:pPr>
      <w:r>
        <w:rPr>
          <w:sz w:val="22"/>
        </w:rPr>
        <w:t xml:space="preserve">Use in the elderly </w:t>
      </w:r>
    </w:p>
    <w:p w:rsidR="00EF3376" w:rsidRDefault="00EF3376">
      <w:pPr>
        <w:keepNext/>
        <w:keepLines/>
        <w:rPr>
          <w:sz w:val="22"/>
        </w:rPr>
      </w:pPr>
      <w:r>
        <w:rPr>
          <w:sz w:val="22"/>
        </w:rPr>
        <w:t xml:space="preserve">No dose adjustment </w:t>
      </w:r>
      <w:r w:rsidR="00A21E99">
        <w:rPr>
          <w:sz w:val="22"/>
        </w:rPr>
        <w:t xml:space="preserve">of ZURAMPIC </w:t>
      </w:r>
      <w:r>
        <w:rPr>
          <w:sz w:val="22"/>
        </w:rPr>
        <w:t xml:space="preserve">is </w:t>
      </w:r>
      <w:r w:rsidR="00687043">
        <w:rPr>
          <w:sz w:val="22"/>
        </w:rPr>
        <w:t>necessary based on age</w:t>
      </w:r>
      <w:r>
        <w:rPr>
          <w:sz w:val="22"/>
        </w:rPr>
        <w:t xml:space="preserve"> (see </w:t>
      </w:r>
      <w:r w:rsidRPr="00D8574D">
        <w:rPr>
          <w:b/>
          <w:sz w:val="22"/>
        </w:rPr>
        <w:t>Pharmacokinetics</w:t>
      </w:r>
      <w:r>
        <w:rPr>
          <w:sz w:val="22"/>
        </w:rPr>
        <w:t>).</w:t>
      </w:r>
    </w:p>
    <w:p w:rsidR="00EF3376" w:rsidRDefault="00EF3376">
      <w:pPr>
        <w:pStyle w:val="A-Heading3"/>
        <w:rPr>
          <w:sz w:val="22"/>
        </w:rPr>
      </w:pPr>
      <w:r>
        <w:rPr>
          <w:sz w:val="22"/>
        </w:rPr>
        <w:t>Dosage in patients with renal impairment</w:t>
      </w:r>
    </w:p>
    <w:p w:rsidR="00494612" w:rsidRPr="00494612" w:rsidRDefault="00494612" w:rsidP="00494612">
      <w:pPr>
        <w:rPr>
          <w:sz w:val="22"/>
          <w:szCs w:val="22"/>
          <w:lang w:val="sv-SE"/>
        </w:rPr>
      </w:pPr>
      <w:r w:rsidRPr="00494612">
        <w:rPr>
          <w:sz w:val="22"/>
          <w:szCs w:val="22"/>
          <w:lang w:val="sv-SE"/>
        </w:rPr>
        <w:t>No dose adjustment is necessary in patients with mild or moderate renal impairment. No overall differences in safety and effectiveness were observed in patients with mild or moderate renal impairment (</w:t>
      </w:r>
      <w:r w:rsidRPr="00494612">
        <w:rPr>
          <w:sz w:val="22"/>
          <w:szCs w:val="22"/>
          <w:lang w:val="en-US"/>
        </w:rPr>
        <w:t>CrCL</w:t>
      </w:r>
      <w:r w:rsidRPr="00494612">
        <w:rPr>
          <w:sz w:val="22"/>
          <w:szCs w:val="22"/>
          <w:lang w:val="sv-SE"/>
        </w:rPr>
        <w:t xml:space="preserve"> of 30-89 mL/min) compared to patients with normal renal function (see</w:t>
      </w:r>
      <w:r>
        <w:rPr>
          <w:b/>
          <w:sz w:val="22"/>
          <w:szCs w:val="22"/>
          <w:lang w:val="sv-SE"/>
        </w:rPr>
        <w:t xml:space="preserve"> Pharmacokinetics</w:t>
      </w:r>
      <w:r w:rsidR="000D4C92">
        <w:rPr>
          <w:sz w:val="22"/>
          <w:szCs w:val="22"/>
          <w:lang w:val="sv-SE"/>
        </w:rPr>
        <w:t>).</w:t>
      </w:r>
    </w:p>
    <w:p w:rsidR="00494612" w:rsidRDefault="008F76C2" w:rsidP="00494612">
      <w:pPr>
        <w:rPr>
          <w:sz w:val="22"/>
          <w:szCs w:val="22"/>
          <w:lang w:val="sv-SE"/>
        </w:rPr>
      </w:pPr>
      <w:r w:rsidRPr="00093E71">
        <w:rPr>
          <w:sz w:val="22"/>
          <w:szCs w:val="22"/>
          <w:lang w:val="sv-SE"/>
        </w:rPr>
        <w:t xml:space="preserve">ZURAMPIC </w:t>
      </w:r>
      <w:r w:rsidR="00203622">
        <w:rPr>
          <w:sz w:val="22"/>
          <w:szCs w:val="22"/>
          <w:lang w:val="sv-SE"/>
        </w:rPr>
        <w:t>is contraindicated</w:t>
      </w:r>
      <w:r w:rsidRPr="00093E71">
        <w:rPr>
          <w:sz w:val="22"/>
          <w:szCs w:val="22"/>
          <w:lang w:val="sv-SE"/>
        </w:rPr>
        <w:t xml:space="preserve"> in patients with severe renal impairment </w:t>
      </w:r>
      <w:r w:rsidR="00EA78C6">
        <w:rPr>
          <w:sz w:val="22"/>
          <w:szCs w:val="22"/>
          <w:lang w:val="sv-SE"/>
        </w:rPr>
        <w:br/>
      </w:r>
      <w:r w:rsidRPr="00093E71">
        <w:rPr>
          <w:sz w:val="22"/>
          <w:szCs w:val="22"/>
          <w:lang w:val="sv-SE"/>
        </w:rPr>
        <w:t>(CrCL &lt;</w:t>
      </w:r>
      <w:r>
        <w:rPr>
          <w:sz w:val="22"/>
          <w:szCs w:val="22"/>
          <w:lang w:val="sv-SE"/>
        </w:rPr>
        <w:t xml:space="preserve">30 mL/min), end stage renal disease, </w:t>
      </w:r>
      <w:r w:rsidRPr="00093E71">
        <w:rPr>
          <w:sz w:val="22"/>
          <w:szCs w:val="22"/>
          <w:lang w:val="sv-SE"/>
        </w:rPr>
        <w:t>a kidney transplant, or on dialysis</w:t>
      </w:r>
      <w:r w:rsidR="00286B9C">
        <w:rPr>
          <w:sz w:val="22"/>
          <w:szCs w:val="22"/>
          <w:lang w:val="sv-SE"/>
        </w:rPr>
        <w:t xml:space="preserve"> (see </w:t>
      </w:r>
      <w:r w:rsidR="00286B9C" w:rsidRPr="00286B9C">
        <w:rPr>
          <w:b/>
          <w:sz w:val="22"/>
          <w:szCs w:val="22"/>
          <w:lang w:val="sv-SE"/>
        </w:rPr>
        <w:t>CONTRAINDICATIONS</w:t>
      </w:r>
      <w:r w:rsidR="00286B9C">
        <w:rPr>
          <w:sz w:val="22"/>
          <w:szCs w:val="22"/>
          <w:lang w:val="sv-SE"/>
        </w:rPr>
        <w:t>)</w:t>
      </w:r>
      <w:r w:rsidRPr="00093E71">
        <w:rPr>
          <w:sz w:val="22"/>
          <w:szCs w:val="22"/>
          <w:lang w:val="sv-SE"/>
        </w:rPr>
        <w:t>.</w:t>
      </w:r>
    </w:p>
    <w:p w:rsidR="00203622" w:rsidRPr="00494612" w:rsidRDefault="00203622" w:rsidP="00494612">
      <w:pPr>
        <w:rPr>
          <w:sz w:val="22"/>
          <w:szCs w:val="22"/>
          <w:lang w:val="sv-SE"/>
        </w:rPr>
      </w:pPr>
      <w:r>
        <w:rPr>
          <w:sz w:val="22"/>
          <w:szCs w:val="22"/>
          <w:lang w:val="sv-SE"/>
        </w:rPr>
        <w:t>ZURAMPIC is not recommended for patients with CrCL &lt;45 mL/min due</w:t>
      </w:r>
      <w:r w:rsidR="002A3BB2">
        <w:rPr>
          <w:sz w:val="22"/>
          <w:szCs w:val="22"/>
          <w:lang w:val="sv-SE"/>
        </w:rPr>
        <w:t xml:space="preserve"> to limited data in this population</w:t>
      </w:r>
      <w:r>
        <w:rPr>
          <w:sz w:val="22"/>
          <w:szCs w:val="22"/>
          <w:lang w:val="sv-SE"/>
        </w:rPr>
        <w:t>.</w:t>
      </w:r>
    </w:p>
    <w:p w:rsidR="00EF3376" w:rsidRDefault="00EF3376">
      <w:pPr>
        <w:pStyle w:val="A-Heading3"/>
        <w:rPr>
          <w:sz w:val="22"/>
        </w:rPr>
      </w:pPr>
      <w:r>
        <w:rPr>
          <w:sz w:val="22"/>
        </w:rPr>
        <w:t>Dosage in patients with hepatic impairment</w:t>
      </w:r>
    </w:p>
    <w:p w:rsidR="00EF3376" w:rsidRDefault="00494612" w:rsidP="00494612">
      <w:pPr>
        <w:pStyle w:val="A-TableText"/>
        <w:rPr>
          <w:lang w:val="en-AU"/>
        </w:rPr>
      </w:pPr>
      <w:r w:rsidRPr="00494612">
        <w:rPr>
          <w:lang w:val="sv-SE"/>
        </w:rPr>
        <w:t xml:space="preserve">No dose adjustment is necessary in patients with mild or moderate hepatic impairment (Child-Pugh classes A and B) (see </w:t>
      </w:r>
      <w:r w:rsidRPr="00494612">
        <w:rPr>
          <w:b/>
          <w:lang w:val="sv-SE"/>
        </w:rPr>
        <w:t>Pharmacokinetics</w:t>
      </w:r>
      <w:r w:rsidRPr="00494612">
        <w:rPr>
          <w:lang w:val="sv-SE"/>
        </w:rPr>
        <w:t xml:space="preserve">). </w:t>
      </w:r>
      <w:r w:rsidR="00C00598">
        <w:rPr>
          <w:lang w:val="sv-SE"/>
        </w:rPr>
        <w:t>ZURAMPIC</w:t>
      </w:r>
      <w:r w:rsidRPr="00494612">
        <w:rPr>
          <w:lang w:val="sv-SE"/>
        </w:rPr>
        <w:t xml:space="preserve"> has not been studied in patients with severe hepatic impairment.</w:t>
      </w:r>
      <w:r w:rsidR="00EF3376">
        <w:rPr>
          <w:lang w:val="en-AU"/>
        </w:rPr>
        <w:t xml:space="preserve"> </w:t>
      </w:r>
    </w:p>
    <w:p w:rsidR="00687043" w:rsidRPr="00687043" w:rsidRDefault="00687043" w:rsidP="00186F4D">
      <w:pPr>
        <w:pStyle w:val="A-Heading3"/>
        <w:spacing w:before="240"/>
        <w:rPr>
          <w:sz w:val="22"/>
          <w:szCs w:val="22"/>
        </w:rPr>
      </w:pPr>
      <w:r w:rsidRPr="00687043">
        <w:rPr>
          <w:sz w:val="22"/>
          <w:szCs w:val="22"/>
        </w:rPr>
        <w:t>Secondary hyperuric</w:t>
      </w:r>
      <w:r w:rsidR="00186F4D">
        <w:rPr>
          <w:sz w:val="22"/>
          <w:szCs w:val="22"/>
        </w:rPr>
        <w:t>a</w:t>
      </w:r>
      <w:r w:rsidRPr="00687043">
        <w:rPr>
          <w:sz w:val="22"/>
          <w:szCs w:val="22"/>
        </w:rPr>
        <w:t>emia</w:t>
      </w:r>
    </w:p>
    <w:p w:rsidR="00687043" w:rsidRPr="00687043" w:rsidRDefault="00687043" w:rsidP="00687043">
      <w:pPr>
        <w:rPr>
          <w:sz w:val="22"/>
          <w:szCs w:val="22"/>
        </w:rPr>
      </w:pPr>
      <w:r w:rsidRPr="00687043">
        <w:rPr>
          <w:sz w:val="22"/>
          <w:szCs w:val="22"/>
        </w:rPr>
        <w:t>No studies have been conducted in patients with secondary hyperuric</w:t>
      </w:r>
      <w:r w:rsidR="00186F4D">
        <w:rPr>
          <w:sz w:val="22"/>
          <w:szCs w:val="22"/>
        </w:rPr>
        <w:t>a</w:t>
      </w:r>
      <w:r w:rsidRPr="00687043">
        <w:rPr>
          <w:sz w:val="22"/>
          <w:szCs w:val="22"/>
        </w:rPr>
        <w:t xml:space="preserve">emia (including organ transplant recipients). </w:t>
      </w:r>
    </w:p>
    <w:p w:rsidR="00EF3376" w:rsidRDefault="00EF3376">
      <w:pPr>
        <w:pStyle w:val="A-Heading1"/>
        <w:rPr>
          <w:sz w:val="22"/>
          <w:lang w:val="en-AU"/>
        </w:rPr>
      </w:pPr>
      <w:r>
        <w:rPr>
          <w:sz w:val="22"/>
          <w:lang w:val="en-AU"/>
        </w:rPr>
        <w:lastRenderedPageBreak/>
        <w:t>OVERDOSAGE</w:t>
      </w:r>
    </w:p>
    <w:p w:rsidR="00485947" w:rsidRPr="00485947" w:rsidRDefault="00485947" w:rsidP="001B661C">
      <w:pPr>
        <w:rPr>
          <w:sz w:val="22"/>
          <w:szCs w:val="22"/>
          <w:lang w:val="en-GB"/>
        </w:rPr>
      </w:pPr>
      <w:r w:rsidRPr="00485947">
        <w:rPr>
          <w:sz w:val="22"/>
          <w:szCs w:val="22"/>
          <w:lang w:val="en-US"/>
        </w:rPr>
        <w:t xml:space="preserve">Lesinurad was studied in healthy subjects given single doses up to 1,600 mg without evidence of dose-limiting toxicities. </w:t>
      </w:r>
      <w:r w:rsidR="0027238D" w:rsidRPr="00093E71">
        <w:rPr>
          <w:sz w:val="22"/>
          <w:szCs w:val="22"/>
          <w:lang w:val="en-US"/>
        </w:rPr>
        <w:t>Chronic dosing with doses of 400 mg per day or greater was associated with an increased risk of renal toxicity</w:t>
      </w:r>
      <w:r w:rsidR="0027238D">
        <w:rPr>
          <w:sz w:val="22"/>
          <w:szCs w:val="22"/>
          <w:lang w:val="en-US"/>
        </w:rPr>
        <w:t>.</w:t>
      </w:r>
      <w:r w:rsidR="00C00598">
        <w:rPr>
          <w:sz w:val="22"/>
          <w:szCs w:val="22"/>
          <w:lang w:val="en-US"/>
        </w:rPr>
        <w:t xml:space="preserve"> </w:t>
      </w:r>
      <w:r w:rsidRPr="00485947">
        <w:rPr>
          <w:sz w:val="22"/>
          <w:szCs w:val="22"/>
          <w:lang w:val="en-US"/>
        </w:rPr>
        <w:t>In case of overdose, patients should be managed by symptomatic and supportive care including adequate hydration.</w:t>
      </w:r>
    </w:p>
    <w:p w:rsidR="00EF3376" w:rsidRPr="001B661C" w:rsidRDefault="00EF3376" w:rsidP="001B661C">
      <w:pPr>
        <w:rPr>
          <w:sz w:val="22"/>
          <w:szCs w:val="22"/>
        </w:rPr>
      </w:pPr>
      <w:r w:rsidRPr="001B661C">
        <w:rPr>
          <w:sz w:val="22"/>
          <w:szCs w:val="22"/>
        </w:rPr>
        <w:t>Contact the Poisons Information Centre on 13</w:t>
      </w:r>
      <w:r w:rsidR="00DB4C40">
        <w:rPr>
          <w:sz w:val="22"/>
          <w:szCs w:val="22"/>
        </w:rPr>
        <w:t xml:space="preserve"> </w:t>
      </w:r>
      <w:r w:rsidRPr="001B661C">
        <w:rPr>
          <w:sz w:val="22"/>
          <w:szCs w:val="22"/>
        </w:rPr>
        <w:t>11</w:t>
      </w:r>
      <w:r w:rsidR="00DB4C40">
        <w:rPr>
          <w:sz w:val="22"/>
          <w:szCs w:val="22"/>
        </w:rPr>
        <w:t xml:space="preserve"> </w:t>
      </w:r>
      <w:r w:rsidRPr="001B661C">
        <w:rPr>
          <w:sz w:val="22"/>
          <w:szCs w:val="22"/>
        </w:rPr>
        <w:t xml:space="preserve">26 for advice on management. </w:t>
      </w:r>
    </w:p>
    <w:p w:rsidR="00EF3376" w:rsidRDefault="00EF3376">
      <w:pPr>
        <w:pStyle w:val="A-Heading1"/>
        <w:rPr>
          <w:sz w:val="22"/>
          <w:lang w:val="en-AU"/>
        </w:rPr>
      </w:pPr>
      <w:r>
        <w:rPr>
          <w:sz w:val="22"/>
          <w:lang w:val="en-AU"/>
        </w:rPr>
        <w:t>PRESENTATION AND STORAGE CONDITIONS</w:t>
      </w:r>
    </w:p>
    <w:p w:rsidR="00EF3376" w:rsidRDefault="00A568F5">
      <w:pPr>
        <w:pStyle w:val="A-TableText"/>
        <w:spacing w:before="0" w:after="240"/>
        <w:rPr>
          <w:lang w:val="en-AU"/>
        </w:rPr>
      </w:pPr>
      <w:r>
        <w:rPr>
          <w:lang w:val="en-AU"/>
        </w:rPr>
        <w:t>ZURAMPIC</w:t>
      </w:r>
      <w:r w:rsidR="00EF3376">
        <w:rPr>
          <w:lang w:val="en-AU"/>
        </w:rPr>
        <w:t xml:space="preserve"> </w:t>
      </w:r>
      <w:r>
        <w:rPr>
          <w:lang w:val="en-AU"/>
        </w:rPr>
        <w:t>200</w:t>
      </w:r>
      <w:r w:rsidR="00EF3376">
        <w:rPr>
          <w:lang w:val="en-AU"/>
        </w:rPr>
        <w:t xml:space="preserve">mg tablets are </w:t>
      </w:r>
      <w:r>
        <w:rPr>
          <w:lang w:val="en-AU"/>
        </w:rPr>
        <w:t>blue</w:t>
      </w:r>
      <w:r w:rsidR="00EF3376">
        <w:rPr>
          <w:lang w:val="en-AU"/>
        </w:rPr>
        <w:t xml:space="preserve">, </w:t>
      </w:r>
      <w:r w:rsidR="00935EDB">
        <w:rPr>
          <w:lang w:val="en-AU"/>
        </w:rPr>
        <w:t xml:space="preserve">oval, </w:t>
      </w:r>
      <w:r w:rsidR="00EF3376">
        <w:rPr>
          <w:lang w:val="en-AU"/>
        </w:rPr>
        <w:t xml:space="preserve">film-coated tablets in </w:t>
      </w:r>
      <w:r w:rsidR="00935EDB" w:rsidRPr="00CD23E9">
        <w:t>PCTFE/PVC/Aluminium</w:t>
      </w:r>
      <w:r w:rsidR="00935EDB">
        <w:rPr>
          <w:lang w:val="en-AU"/>
        </w:rPr>
        <w:t xml:space="preserve"> </w:t>
      </w:r>
      <w:r w:rsidR="00EF3376">
        <w:rPr>
          <w:lang w:val="en-AU"/>
        </w:rPr>
        <w:t xml:space="preserve">blisters in pack </w:t>
      </w:r>
      <w:r w:rsidR="00EF3376" w:rsidRPr="00AE417C">
        <w:rPr>
          <w:lang w:val="en-AU"/>
        </w:rPr>
        <w:t xml:space="preserve">sizes of </w:t>
      </w:r>
      <w:r w:rsidR="00E3339D" w:rsidRPr="00AE417C">
        <w:rPr>
          <w:lang w:val="en-AU"/>
        </w:rPr>
        <w:t>10</w:t>
      </w:r>
      <w:r w:rsidR="00EF3376" w:rsidRPr="00AE417C">
        <w:rPr>
          <w:lang w:val="en-AU"/>
        </w:rPr>
        <w:t xml:space="preserve"> and </w:t>
      </w:r>
      <w:r w:rsidR="00E3339D" w:rsidRPr="00AE417C">
        <w:rPr>
          <w:lang w:val="en-AU"/>
        </w:rPr>
        <w:t>30</w:t>
      </w:r>
      <w:r w:rsidR="00EF3376" w:rsidRPr="00AE417C">
        <w:rPr>
          <w:lang w:val="en-AU"/>
        </w:rPr>
        <w:t xml:space="preserve"> tablets.</w:t>
      </w:r>
    </w:p>
    <w:p w:rsidR="00EF3376" w:rsidRDefault="00935EDB">
      <w:pPr>
        <w:rPr>
          <w:sz w:val="22"/>
        </w:rPr>
      </w:pPr>
      <w:r>
        <w:rPr>
          <w:rFonts w:eastAsia="SimSun"/>
          <w:sz w:val="22"/>
          <w:lang w:val="en-US"/>
        </w:rPr>
        <w:t>ZURAMPIC t</w:t>
      </w:r>
      <w:r w:rsidR="00F42318">
        <w:rPr>
          <w:rFonts w:eastAsia="SimSun"/>
          <w:sz w:val="22"/>
          <w:lang w:val="en-US"/>
        </w:rPr>
        <w:t>ablets are debossed</w:t>
      </w:r>
      <w:r w:rsidR="00EF3376">
        <w:rPr>
          <w:rFonts w:eastAsia="SimSun"/>
          <w:sz w:val="22"/>
          <w:lang w:val="en-US"/>
        </w:rPr>
        <w:t xml:space="preserve"> with “</w:t>
      </w:r>
      <w:r>
        <w:rPr>
          <w:rFonts w:eastAsia="SimSun"/>
          <w:sz w:val="22"/>
          <w:szCs w:val="32"/>
          <w:lang w:val="en-US"/>
        </w:rPr>
        <w:t>LES200</w:t>
      </w:r>
      <w:r w:rsidR="00EF3376">
        <w:rPr>
          <w:rFonts w:eastAsia="SimSun"/>
          <w:sz w:val="22"/>
          <w:lang w:val="en-US"/>
        </w:rPr>
        <w:t>” on one side</w:t>
      </w:r>
      <w:r>
        <w:rPr>
          <w:rFonts w:eastAsia="SimSun"/>
          <w:sz w:val="22"/>
          <w:lang w:val="en-US"/>
        </w:rPr>
        <w:t xml:space="preserve"> and are blank on the other side.</w:t>
      </w:r>
    </w:p>
    <w:p w:rsidR="00EF3376" w:rsidRDefault="00EF3376">
      <w:pPr>
        <w:rPr>
          <w:sz w:val="22"/>
        </w:rPr>
      </w:pPr>
      <w:r>
        <w:rPr>
          <w:sz w:val="22"/>
        </w:rPr>
        <w:t>The t</w:t>
      </w:r>
      <w:r w:rsidR="00935EDB">
        <w:rPr>
          <w:sz w:val="22"/>
        </w:rPr>
        <w:t xml:space="preserve">ablets should be stored </w:t>
      </w:r>
      <w:r w:rsidR="00935EDB" w:rsidRPr="00600520">
        <w:rPr>
          <w:sz w:val="22"/>
        </w:rPr>
        <w:t xml:space="preserve">below </w:t>
      </w:r>
      <w:r w:rsidR="00842A8F">
        <w:rPr>
          <w:sz w:val="22"/>
        </w:rPr>
        <w:t>30</w:t>
      </w:r>
      <w:r w:rsidRPr="00600520">
        <w:rPr>
          <w:sz w:val="22"/>
        </w:rPr>
        <w:t>°C.</w:t>
      </w:r>
    </w:p>
    <w:p w:rsidR="00EF3376" w:rsidRDefault="00EF3376">
      <w:pPr>
        <w:pStyle w:val="A-Heading1"/>
        <w:rPr>
          <w:sz w:val="22"/>
          <w:lang w:val="en-AU"/>
        </w:rPr>
      </w:pPr>
      <w:r>
        <w:rPr>
          <w:sz w:val="22"/>
          <w:lang w:val="en-AU"/>
        </w:rPr>
        <w:t xml:space="preserve">NAME AND ADDRESS OF </w:t>
      </w:r>
      <w:r w:rsidR="00944D77">
        <w:rPr>
          <w:sz w:val="22"/>
          <w:lang w:val="en-AU"/>
        </w:rPr>
        <w:t xml:space="preserve">THE </w:t>
      </w:r>
      <w:r>
        <w:rPr>
          <w:sz w:val="22"/>
          <w:lang w:val="en-AU"/>
        </w:rPr>
        <w:t>SPONSOR</w:t>
      </w:r>
    </w:p>
    <w:p w:rsidR="00EF3376" w:rsidRDefault="00EF3376">
      <w:pPr>
        <w:rPr>
          <w:sz w:val="22"/>
        </w:rPr>
      </w:pPr>
      <w:r>
        <w:rPr>
          <w:sz w:val="22"/>
        </w:rPr>
        <w:t>AstraZeneca Pty Ltd</w:t>
      </w:r>
      <w:r>
        <w:rPr>
          <w:sz w:val="22"/>
        </w:rPr>
        <w:br/>
        <w:t>ABN 54 009 682 311</w:t>
      </w:r>
      <w:r>
        <w:rPr>
          <w:sz w:val="22"/>
        </w:rPr>
        <w:br/>
        <w:t>Alma Road</w:t>
      </w:r>
      <w:r>
        <w:rPr>
          <w:sz w:val="22"/>
        </w:rPr>
        <w:br/>
        <w:t>NORTH RYDE NSW 2113</w:t>
      </w:r>
    </w:p>
    <w:p w:rsidR="00EF3376" w:rsidRDefault="00EF3376">
      <w:pPr>
        <w:pStyle w:val="A-Heading1"/>
        <w:rPr>
          <w:sz w:val="22"/>
          <w:lang w:val="en-AU"/>
        </w:rPr>
      </w:pPr>
      <w:r>
        <w:rPr>
          <w:sz w:val="22"/>
          <w:lang w:val="en-AU"/>
        </w:rPr>
        <w:t>POISON SCHEDULE OF THE MEDICINE</w:t>
      </w:r>
    </w:p>
    <w:p w:rsidR="00EF3376" w:rsidRDefault="00EF3376">
      <w:pPr>
        <w:rPr>
          <w:sz w:val="22"/>
        </w:rPr>
      </w:pPr>
      <w:r>
        <w:rPr>
          <w:sz w:val="22"/>
        </w:rPr>
        <w:t>Schedule 4</w:t>
      </w:r>
      <w:r w:rsidR="00926387">
        <w:rPr>
          <w:sz w:val="22"/>
        </w:rPr>
        <w:t xml:space="preserve"> – Prescription Only Medicine</w:t>
      </w:r>
    </w:p>
    <w:p w:rsidR="00EF3376" w:rsidRDefault="00EF3376">
      <w:pPr>
        <w:pStyle w:val="A-Heading1"/>
        <w:rPr>
          <w:sz w:val="22"/>
          <w:lang w:val="en-AU"/>
        </w:rPr>
      </w:pPr>
      <w:r>
        <w:rPr>
          <w:sz w:val="22"/>
          <w:lang w:val="en-AU"/>
        </w:rPr>
        <w:t>DATE OF first inclusion in the australian register of therapeutic goods</w:t>
      </w:r>
      <w:r w:rsidR="00926387">
        <w:rPr>
          <w:sz w:val="22"/>
          <w:lang w:val="en-AU"/>
        </w:rPr>
        <w:t xml:space="preserve"> (THE ARTG)</w:t>
      </w:r>
    </w:p>
    <w:p w:rsidR="00EF3376" w:rsidRDefault="00ED1B8A">
      <w:pPr>
        <w:rPr>
          <w:sz w:val="22"/>
        </w:rPr>
      </w:pPr>
      <w:r>
        <w:rPr>
          <w:sz w:val="22"/>
        </w:rPr>
        <w:t>1 June 2016</w:t>
      </w:r>
    </w:p>
    <w:p w:rsidR="00926387" w:rsidRPr="00926387" w:rsidRDefault="00926387" w:rsidP="00926387">
      <w:pPr>
        <w:pStyle w:val="A-Heading1"/>
        <w:rPr>
          <w:sz w:val="22"/>
          <w:szCs w:val="22"/>
        </w:rPr>
      </w:pPr>
      <w:r w:rsidRPr="00926387">
        <w:rPr>
          <w:sz w:val="22"/>
          <w:szCs w:val="22"/>
        </w:rPr>
        <w:t xml:space="preserve">date of </w:t>
      </w:r>
      <w:r>
        <w:rPr>
          <w:sz w:val="22"/>
          <w:szCs w:val="22"/>
        </w:rPr>
        <w:t>MOST RECENT</w:t>
      </w:r>
      <w:r w:rsidRPr="00926387">
        <w:rPr>
          <w:sz w:val="22"/>
          <w:szCs w:val="22"/>
        </w:rPr>
        <w:t xml:space="preserve"> amendment</w:t>
      </w:r>
    </w:p>
    <w:p w:rsidR="00926387" w:rsidRPr="00926387" w:rsidRDefault="00926387" w:rsidP="00926387">
      <w:pPr>
        <w:rPr>
          <w:sz w:val="22"/>
          <w:szCs w:val="22"/>
          <w:lang w:val="en-GB"/>
        </w:rPr>
      </w:pPr>
      <w:r w:rsidRPr="00926387">
        <w:rPr>
          <w:sz w:val="22"/>
          <w:szCs w:val="22"/>
          <w:lang w:val="en-GB"/>
        </w:rPr>
        <w:t>N/A</w:t>
      </w:r>
    </w:p>
    <w:p w:rsidR="00926387" w:rsidRPr="00926387" w:rsidRDefault="00FD0ED7" w:rsidP="00926387">
      <w:pPr>
        <w:rPr>
          <w:sz w:val="22"/>
          <w:szCs w:val="22"/>
          <w:lang w:val="en-GB"/>
        </w:rPr>
      </w:pPr>
      <w:r>
        <w:rPr>
          <w:sz w:val="22"/>
          <w:szCs w:val="22"/>
          <w:lang w:val="en-GB"/>
        </w:rPr>
        <w:t>ZURAMPIC</w:t>
      </w:r>
      <w:r w:rsidR="00306266" w:rsidRPr="008758DD">
        <w:rPr>
          <w:rFonts w:cs="Arial"/>
          <w:sz w:val="22"/>
          <w:szCs w:val="22"/>
          <w:vertAlign w:val="superscript"/>
          <w:lang w:val="en-GB"/>
        </w:rPr>
        <w:t>®</w:t>
      </w:r>
      <w:r w:rsidR="00926387" w:rsidRPr="00926387">
        <w:rPr>
          <w:sz w:val="22"/>
          <w:szCs w:val="22"/>
          <w:lang w:val="en-GB"/>
        </w:rPr>
        <w:t xml:space="preserve"> is a </w:t>
      </w:r>
      <w:r w:rsidR="00306266">
        <w:rPr>
          <w:sz w:val="22"/>
          <w:szCs w:val="22"/>
          <w:lang w:val="en-GB"/>
        </w:rPr>
        <w:t xml:space="preserve">registered </w:t>
      </w:r>
      <w:r w:rsidR="00926387" w:rsidRPr="00926387">
        <w:rPr>
          <w:sz w:val="22"/>
          <w:szCs w:val="22"/>
          <w:lang w:val="en-GB"/>
        </w:rPr>
        <w:t>trade mark of the AstraZeneca group of companies.</w:t>
      </w:r>
    </w:p>
    <w:p w:rsidR="00124F4E" w:rsidRPr="008024C2" w:rsidRDefault="00EF3376">
      <w:pPr>
        <w:rPr>
          <w:sz w:val="22"/>
          <w:szCs w:val="22"/>
        </w:rPr>
      </w:pPr>
      <w:r w:rsidRPr="00926387">
        <w:rPr>
          <w:rFonts w:cs="Arial"/>
          <w:sz w:val="22"/>
          <w:szCs w:val="22"/>
          <w:vertAlign w:val="superscript"/>
        </w:rPr>
        <w:t>©</w:t>
      </w:r>
      <w:r w:rsidRPr="00926387">
        <w:rPr>
          <w:rFonts w:cs="Arial"/>
          <w:sz w:val="22"/>
          <w:szCs w:val="22"/>
        </w:rPr>
        <w:t xml:space="preserve"> </w:t>
      </w:r>
      <w:r w:rsidRPr="00926387">
        <w:rPr>
          <w:sz w:val="22"/>
          <w:szCs w:val="22"/>
        </w:rPr>
        <w:t>AstraZeneca 201</w:t>
      </w:r>
      <w:r w:rsidR="00C5178C">
        <w:rPr>
          <w:sz w:val="22"/>
          <w:szCs w:val="22"/>
        </w:rPr>
        <w:t>6</w:t>
      </w:r>
    </w:p>
    <w:sectPr w:rsidR="00124F4E" w:rsidRPr="008024C2" w:rsidSect="009C63D1">
      <w:headerReference w:type="default" r:id="rId17"/>
      <w:footerReference w:type="default" r:id="rId18"/>
      <w:pgSz w:w="11909" w:h="16834" w:code="9"/>
      <w:pgMar w:top="1440" w:right="1440" w:bottom="1440" w:left="1440" w:header="731" w:footer="7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FEE" w:rsidRDefault="00E97FEE" w:rsidP="00EF3376">
      <w:pPr>
        <w:spacing w:after="0" w:line="240" w:lineRule="auto"/>
      </w:pPr>
      <w:r>
        <w:separator/>
      </w:r>
    </w:p>
  </w:endnote>
  <w:endnote w:type="continuationSeparator" w:id="0">
    <w:p w:rsidR="00E97FEE" w:rsidRDefault="00E97FEE" w:rsidP="00EF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185" w:rsidRDefault="000F5185">
    <w:pPr>
      <w:pStyle w:val="Footer"/>
      <w:tabs>
        <w:tab w:val="center" w:pos="468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62C3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C3A">
      <w:rPr>
        <w:rStyle w:val="PageNumber"/>
        <w:noProof/>
      </w:rPr>
      <w:t>16</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FEE" w:rsidRDefault="00E97FEE" w:rsidP="00EF3376">
      <w:pPr>
        <w:spacing w:after="0" w:line="240" w:lineRule="auto"/>
      </w:pPr>
      <w:r>
        <w:separator/>
      </w:r>
    </w:p>
  </w:footnote>
  <w:footnote w:type="continuationSeparator" w:id="0">
    <w:p w:rsidR="00E97FEE" w:rsidRDefault="00E97FEE" w:rsidP="00EF3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9C7818" w:rsidTr="00E97FEE">
      <w:tc>
        <w:tcPr>
          <w:tcW w:w="8720" w:type="dxa"/>
          <w:shd w:val="clear" w:color="auto" w:fill="E4F2E0"/>
        </w:tcPr>
        <w:p w:rsidR="009C7818" w:rsidRPr="00E97FEE" w:rsidRDefault="009C7818" w:rsidP="00E97FEE">
          <w:pPr>
            <w:spacing w:before="40" w:after="40"/>
            <w:rPr>
              <w:rFonts w:ascii="Cambria" w:hAnsi="Cambria"/>
              <w:b/>
              <w:sz w:val="20"/>
            </w:rPr>
          </w:pPr>
          <w:r w:rsidRPr="00E97FEE">
            <w:rPr>
              <w:rFonts w:ascii="Cambria" w:hAnsi="Cambria"/>
              <w:b/>
              <w:sz w:val="20"/>
            </w:rPr>
            <w:t>Attachment 1: Product information for AusPAR Zurampic AstraZeneca Pty Ltd PM-2014-04708-1-3, 20 September 2016. This Product Information was approved at the time this AusPAR was published.</w:t>
          </w:r>
        </w:p>
      </w:tc>
    </w:tr>
  </w:tbl>
  <w:p w:rsidR="009C7818" w:rsidRDefault="009C7818">
    <w:pPr>
      <w:pStyle w:val="Header"/>
      <w:rPr>
        <w:rFonts w:cs="Arial"/>
      </w:rPr>
    </w:pPr>
  </w:p>
  <w:p w:rsidR="000F5185" w:rsidRDefault="000F5185">
    <w:pPr>
      <w:pStyle w:val="Header"/>
      <w:rPr>
        <w:rFonts w:cs="Arial"/>
      </w:rPr>
    </w:pPr>
    <w:r>
      <w:rPr>
        <w:rFonts w:cs="Arial"/>
      </w:rPr>
      <w:t>ZURAMPIC™ Product Information</w:t>
    </w:r>
  </w:p>
  <w:p w:rsidR="000F5185" w:rsidRDefault="00ED1B8A" w:rsidP="00931EEA">
    <w:pPr>
      <w:pStyle w:val="Header"/>
      <w:rPr>
        <w:rFonts w:cs="Arial"/>
      </w:rPr>
    </w:pPr>
    <w:r>
      <w:rPr>
        <w:rFonts w:cs="Arial"/>
      </w:rPr>
      <w:t>Doc ID-003242885</w:t>
    </w:r>
    <w:r w:rsidR="000F5185">
      <w:rPr>
        <w:rFonts w:cs="Arial"/>
      </w:rPr>
      <w:t xml:space="preserve"> V</w:t>
    </w:r>
    <w:r>
      <w:rPr>
        <w:rFonts w:cs="Arial"/>
      </w:rPr>
      <w:t>1</w:t>
    </w:r>
    <w:r w:rsidR="00687E44">
      <w:rPr>
        <w:rFonts w:cs="Arial"/>
      </w:rPr>
      <w:t>.0</w:t>
    </w:r>
  </w:p>
  <w:p w:rsidR="000F5185" w:rsidRDefault="000F5185">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2">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315A8A"/>
    <w:multiLevelType w:val="hybridMultilevel"/>
    <w:tmpl w:val="7A965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5">
    <w:nsid w:val="38320476"/>
    <w:multiLevelType w:val="hybridMultilevel"/>
    <w:tmpl w:val="59D824DE"/>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58C02A1"/>
    <w:multiLevelType w:val="singleLevel"/>
    <w:tmpl w:val="E7D22186"/>
    <w:lvl w:ilvl="0">
      <w:start w:val="1"/>
      <w:numFmt w:val="upperRoman"/>
      <w:lvlText w:val="%1."/>
      <w:lvlJc w:val="left"/>
      <w:pPr>
        <w:tabs>
          <w:tab w:val="num" w:pos="720"/>
        </w:tabs>
        <w:ind w:left="360" w:hanging="360"/>
      </w:pPr>
    </w:lvl>
  </w:abstractNum>
  <w:abstractNum w:abstractNumId="7">
    <w:nsid w:val="6D1E5BE0"/>
    <w:multiLevelType w:val="hybridMultilevel"/>
    <w:tmpl w:val="C14E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4"/>
  </w:num>
  <w:num w:numId="4">
    <w:abstractNumId w:val="1"/>
  </w:num>
  <w:num w:numId="5">
    <w:abstractNumId w:val="8"/>
  </w:num>
  <w:num w:numId="6">
    <w:abstractNumId w:val="2"/>
  </w:num>
  <w:num w:numId="7">
    <w:abstractNumId w:val="6"/>
  </w:num>
  <w:num w:numId="8">
    <w:abstractNumId w:val="5"/>
  </w:num>
  <w:num w:numId="9">
    <w:abstractNumId w:val="3"/>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692487"/>
    <w:rsid w:val="0000158A"/>
    <w:rsid w:val="00002791"/>
    <w:rsid w:val="00003CBD"/>
    <w:rsid w:val="00006111"/>
    <w:rsid w:val="00007257"/>
    <w:rsid w:val="0001010D"/>
    <w:rsid w:val="00011FC5"/>
    <w:rsid w:val="00012948"/>
    <w:rsid w:val="000158A8"/>
    <w:rsid w:val="0001709A"/>
    <w:rsid w:val="00026014"/>
    <w:rsid w:val="00027A17"/>
    <w:rsid w:val="00033DBC"/>
    <w:rsid w:val="000457DC"/>
    <w:rsid w:val="00062E5D"/>
    <w:rsid w:val="00065067"/>
    <w:rsid w:val="000715F7"/>
    <w:rsid w:val="0007526F"/>
    <w:rsid w:val="00081902"/>
    <w:rsid w:val="000851D9"/>
    <w:rsid w:val="000873E9"/>
    <w:rsid w:val="00093E71"/>
    <w:rsid w:val="00096A93"/>
    <w:rsid w:val="000A13DE"/>
    <w:rsid w:val="000A7B40"/>
    <w:rsid w:val="000B37D8"/>
    <w:rsid w:val="000B605E"/>
    <w:rsid w:val="000B77AB"/>
    <w:rsid w:val="000C192E"/>
    <w:rsid w:val="000C1A48"/>
    <w:rsid w:val="000C3297"/>
    <w:rsid w:val="000C4A76"/>
    <w:rsid w:val="000C625A"/>
    <w:rsid w:val="000C77AE"/>
    <w:rsid w:val="000D034D"/>
    <w:rsid w:val="000D0E51"/>
    <w:rsid w:val="000D39E7"/>
    <w:rsid w:val="000D4C92"/>
    <w:rsid w:val="000F4E31"/>
    <w:rsid w:val="000F5185"/>
    <w:rsid w:val="00100A05"/>
    <w:rsid w:val="001038FE"/>
    <w:rsid w:val="00104648"/>
    <w:rsid w:val="00105C4F"/>
    <w:rsid w:val="001102FC"/>
    <w:rsid w:val="00124F4E"/>
    <w:rsid w:val="001253F9"/>
    <w:rsid w:val="00125A2D"/>
    <w:rsid w:val="00131F3C"/>
    <w:rsid w:val="001321F0"/>
    <w:rsid w:val="001322AC"/>
    <w:rsid w:val="001353D4"/>
    <w:rsid w:val="00136CFB"/>
    <w:rsid w:val="001373CF"/>
    <w:rsid w:val="0013766B"/>
    <w:rsid w:val="001501F6"/>
    <w:rsid w:val="00154497"/>
    <w:rsid w:val="001627CC"/>
    <w:rsid w:val="00162A2A"/>
    <w:rsid w:val="00167423"/>
    <w:rsid w:val="001712D3"/>
    <w:rsid w:val="00186F4D"/>
    <w:rsid w:val="00197ABC"/>
    <w:rsid w:val="001A3B8F"/>
    <w:rsid w:val="001A5E2F"/>
    <w:rsid w:val="001B42B1"/>
    <w:rsid w:val="001B4A38"/>
    <w:rsid w:val="001B62F6"/>
    <w:rsid w:val="001B661C"/>
    <w:rsid w:val="001B6F1C"/>
    <w:rsid w:val="001B706E"/>
    <w:rsid w:val="001B7928"/>
    <w:rsid w:val="001C730D"/>
    <w:rsid w:val="001C75B2"/>
    <w:rsid w:val="001C77E7"/>
    <w:rsid w:val="001D0933"/>
    <w:rsid w:val="001D132E"/>
    <w:rsid w:val="001D2E1F"/>
    <w:rsid w:val="001D2F20"/>
    <w:rsid w:val="001D30A7"/>
    <w:rsid w:val="001D511A"/>
    <w:rsid w:val="001D7A4A"/>
    <w:rsid w:val="001E09E2"/>
    <w:rsid w:val="001E515A"/>
    <w:rsid w:val="001E58F1"/>
    <w:rsid w:val="001F1C86"/>
    <w:rsid w:val="001F58CB"/>
    <w:rsid w:val="001F78D6"/>
    <w:rsid w:val="00203622"/>
    <w:rsid w:val="00203EEA"/>
    <w:rsid w:val="00205C6D"/>
    <w:rsid w:val="00210A25"/>
    <w:rsid w:val="00220761"/>
    <w:rsid w:val="00220D6A"/>
    <w:rsid w:val="002216F7"/>
    <w:rsid w:val="00223A14"/>
    <w:rsid w:val="00225230"/>
    <w:rsid w:val="00232041"/>
    <w:rsid w:val="00233D76"/>
    <w:rsid w:val="00237867"/>
    <w:rsid w:val="002437BD"/>
    <w:rsid w:val="0024611E"/>
    <w:rsid w:val="0024689F"/>
    <w:rsid w:val="00252ED2"/>
    <w:rsid w:val="00253DF6"/>
    <w:rsid w:val="002556D2"/>
    <w:rsid w:val="0026262B"/>
    <w:rsid w:val="002639C3"/>
    <w:rsid w:val="00264C2C"/>
    <w:rsid w:val="00264F5F"/>
    <w:rsid w:val="00270F5A"/>
    <w:rsid w:val="0027238D"/>
    <w:rsid w:val="00274D44"/>
    <w:rsid w:val="00286B9C"/>
    <w:rsid w:val="00290F33"/>
    <w:rsid w:val="00292A58"/>
    <w:rsid w:val="002941CC"/>
    <w:rsid w:val="002A3BB2"/>
    <w:rsid w:val="002A41DE"/>
    <w:rsid w:val="002A4B83"/>
    <w:rsid w:val="002A64AF"/>
    <w:rsid w:val="002B1A4C"/>
    <w:rsid w:val="002B2AC3"/>
    <w:rsid w:val="002C5265"/>
    <w:rsid w:val="002C79FC"/>
    <w:rsid w:val="002D27D1"/>
    <w:rsid w:val="002F013B"/>
    <w:rsid w:val="002F31CF"/>
    <w:rsid w:val="002F3CA1"/>
    <w:rsid w:val="0030335A"/>
    <w:rsid w:val="0030477F"/>
    <w:rsid w:val="00306266"/>
    <w:rsid w:val="00312A58"/>
    <w:rsid w:val="00315E5D"/>
    <w:rsid w:val="00317C98"/>
    <w:rsid w:val="00317E84"/>
    <w:rsid w:val="003220A8"/>
    <w:rsid w:val="0032648C"/>
    <w:rsid w:val="00326680"/>
    <w:rsid w:val="00330FFB"/>
    <w:rsid w:val="00331650"/>
    <w:rsid w:val="00331A51"/>
    <w:rsid w:val="00333221"/>
    <w:rsid w:val="00336E01"/>
    <w:rsid w:val="00337924"/>
    <w:rsid w:val="003426FB"/>
    <w:rsid w:val="0034431F"/>
    <w:rsid w:val="00345895"/>
    <w:rsid w:val="003526D4"/>
    <w:rsid w:val="00360980"/>
    <w:rsid w:val="00361F4D"/>
    <w:rsid w:val="0036581E"/>
    <w:rsid w:val="003702A6"/>
    <w:rsid w:val="003729F7"/>
    <w:rsid w:val="003736C7"/>
    <w:rsid w:val="0038006C"/>
    <w:rsid w:val="003A137C"/>
    <w:rsid w:val="003A4694"/>
    <w:rsid w:val="003A4966"/>
    <w:rsid w:val="003A60B7"/>
    <w:rsid w:val="003B165E"/>
    <w:rsid w:val="003B4627"/>
    <w:rsid w:val="003B6CB7"/>
    <w:rsid w:val="003C152D"/>
    <w:rsid w:val="003C531C"/>
    <w:rsid w:val="003C6AD3"/>
    <w:rsid w:val="003C7124"/>
    <w:rsid w:val="003D005C"/>
    <w:rsid w:val="003D13D5"/>
    <w:rsid w:val="003D4A47"/>
    <w:rsid w:val="003E1089"/>
    <w:rsid w:val="003E26A1"/>
    <w:rsid w:val="003E6746"/>
    <w:rsid w:val="003E6CDD"/>
    <w:rsid w:val="003E7436"/>
    <w:rsid w:val="003F16D3"/>
    <w:rsid w:val="003F59D1"/>
    <w:rsid w:val="00403017"/>
    <w:rsid w:val="004030BC"/>
    <w:rsid w:val="00406692"/>
    <w:rsid w:val="00406B58"/>
    <w:rsid w:val="0041533B"/>
    <w:rsid w:val="004177B0"/>
    <w:rsid w:val="00420432"/>
    <w:rsid w:val="00420531"/>
    <w:rsid w:val="00426704"/>
    <w:rsid w:val="00426B93"/>
    <w:rsid w:val="00427AA7"/>
    <w:rsid w:val="00432D8F"/>
    <w:rsid w:val="004364AE"/>
    <w:rsid w:val="004416F1"/>
    <w:rsid w:val="00443A09"/>
    <w:rsid w:val="00444E46"/>
    <w:rsid w:val="00445FBD"/>
    <w:rsid w:val="0045006A"/>
    <w:rsid w:val="0045193D"/>
    <w:rsid w:val="004536EE"/>
    <w:rsid w:val="00453BF7"/>
    <w:rsid w:val="00455714"/>
    <w:rsid w:val="00457B85"/>
    <w:rsid w:val="00462358"/>
    <w:rsid w:val="00466BB2"/>
    <w:rsid w:val="00471A07"/>
    <w:rsid w:val="004741E3"/>
    <w:rsid w:val="00474DFE"/>
    <w:rsid w:val="00482F08"/>
    <w:rsid w:val="004841BB"/>
    <w:rsid w:val="00485947"/>
    <w:rsid w:val="004911A9"/>
    <w:rsid w:val="00494612"/>
    <w:rsid w:val="004A4BD4"/>
    <w:rsid w:val="004A76F8"/>
    <w:rsid w:val="004B2625"/>
    <w:rsid w:val="004B28DE"/>
    <w:rsid w:val="004B37B5"/>
    <w:rsid w:val="004B3828"/>
    <w:rsid w:val="004B3B04"/>
    <w:rsid w:val="004B4E00"/>
    <w:rsid w:val="004B52DC"/>
    <w:rsid w:val="004B5568"/>
    <w:rsid w:val="004B70CD"/>
    <w:rsid w:val="004C3126"/>
    <w:rsid w:val="004D27AB"/>
    <w:rsid w:val="004D6B09"/>
    <w:rsid w:val="004D6EBF"/>
    <w:rsid w:val="004D7D53"/>
    <w:rsid w:val="004F5C91"/>
    <w:rsid w:val="0050151E"/>
    <w:rsid w:val="0050306E"/>
    <w:rsid w:val="0051053E"/>
    <w:rsid w:val="00510FCA"/>
    <w:rsid w:val="00522B4D"/>
    <w:rsid w:val="005249F3"/>
    <w:rsid w:val="005309A1"/>
    <w:rsid w:val="00530AFE"/>
    <w:rsid w:val="00534F1F"/>
    <w:rsid w:val="0053686B"/>
    <w:rsid w:val="005410B2"/>
    <w:rsid w:val="00542170"/>
    <w:rsid w:val="0054754E"/>
    <w:rsid w:val="00554972"/>
    <w:rsid w:val="00555284"/>
    <w:rsid w:val="00555543"/>
    <w:rsid w:val="00556BBA"/>
    <w:rsid w:val="00562C3A"/>
    <w:rsid w:val="005656EE"/>
    <w:rsid w:val="00566234"/>
    <w:rsid w:val="0056744E"/>
    <w:rsid w:val="0057066C"/>
    <w:rsid w:val="00574EFF"/>
    <w:rsid w:val="005836D4"/>
    <w:rsid w:val="005918E2"/>
    <w:rsid w:val="005919B0"/>
    <w:rsid w:val="005952D5"/>
    <w:rsid w:val="00595C49"/>
    <w:rsid w:val="00597CE9"/>
    <w:rsid w:val="005C1955"/>
    <w:rsid w:val="005D1A16"/>
    <w:rsid w:val="005D2C24"/>
    <w:rsid w:val="005D513C"/>
    <w:rsid w:val="005E2772"/>
    <w:rsid w:val="005E728F"/>
    <w:rsid w:val="005F2E85"/>
    <w:rsid w:val="00600520"/>
    <w:rsid w:val="006123A3"/>
    <w:rsid w:val="006154FD"/>
    <w:rsid w:val="00620434"/>
    <w:rsid w:val="00625174"/>
    <w:rsid w:val="00630133"/>
    <w:rsid w:val="00631957"/>
    <w:rsid w:val="00633E83"/>
    <w:rsid w:val="00641981"/>
    <w:rsid w:val="00644758"/>
    <w:rsid w:val="006461E3"/>
    <w:rsid w:val="00647E0B"/>
    <w:rsid w:val="00655F19"/>
    <w:rsid w:val="00667529"/>
    <w:rsid w:val="00674447"/>
    <w:rsid w:val="00674CD1"/>
    <w:rsid w:val="00687043"/>
    <w:rsid w:val="00687E44"/>
    <w:rsid w:val="00692487"/>
    <w:rsid w:val="006A25FC"/>
    <w:rsid w:val="006A3850"/>
    <w:rsid w:val="006B283E"/>
    <w:rsid w:val="006C20F0"/>
    <w:rsid w:val="006C4DBA"/>
    <w:rsid w:val="006C511A"/>
    <w:rsid w:val="006C7431"/>
    <w:rsid w:val="006D58C7"/>
    <w:rsid w:val="006E32F4"/>
    <w:rsid w:val="006E5520"/>
    <w:rsid w:val="006E57D5"/>
    <w:rsid w:val="006E6914"/>
    <w:rsid w:val="006E7DFD"/>
    <w:rsid w:val="006F0326"/>
    <w:rsid w:val="006F12A0"/>
    <w:rsid w:val="006F58D5"/>
    <w:rsid w:val="00705972"/>
    <w:rsid w:val="0071086A"/>
    <w:rsid w:val="00726872"/>
    <w:rsid w:val="00735DE2"/>
    <w:rsid w:val="007363DE"/>
    <w:rsid w:val="00737DFF"/>
    <w:rsid w:val="00741CEE"/>
    <w:rsid w:val="0075493F"/>
    <w:rsid w:val="00755FB2"/>
    <w:rsid w:val="0076043F"/>
    <w:rsid w:val="00761F24"/>
    <w:rsid w:val="00764604"/>
    <w:rsid w:val="00764831"/>
    <w:rsid w:val="00765EE4"/>
    <w:rsid w:val="007873B8"/>
    <w:rsid w:val="007904C5"/>
    <w:rsid w:val="00794EB9"/>
    <w:rsid w:val="00795D9E"/>
    <w:rsid w:val="007A7AFC"/>
    <w:rsid w:val="007B6005"/>
    <w:rsid w:val="007C2D89"/>
    <w:rsid w:val="007C584B"/>
    <w:rsid w:val="007D05F1"/>
    <w:rsid w:val="007D5B3F"/>
    <w:rsid w:val="007E0101"/>
    <w:rsid w:val="007E047F"/>
    <w:rsid w:val="007E070E"/>
    <w:rsid w:val="007E54E1"/>
    <w:rsid w:val="007F4EBA"/>
    <w:rsid w:val="00800F28"/>
    <w:rsid w:val="008024C2"/>
    <w:rsid w:val="00802690"/>
    <w:rsid w:val="008101AE"/>
    <w:rsid w:val="0081487E"/>
    <w:rsid w:val="00816B58"/>
    <w:rsid w:val="00820BE9"/>
    <w:rsid w:val="00821DDF"/>
    <w:rsid w:val="0082235E"/>
    <w:rsid w:val="00824065"/>
    <w:rsid w:val="00830AEB"/>
    <w:rsid w:val="00833359"/>
    <w:rsid w:val="008366EF"/>
    <w:rsid w:val="00842A8F"/>
    <w:rsid w:val="00844891"/>
    <w:rsid w:val="00855146"/>
    <w:rsid w:val="00856AAB"/>
    <w:rsid w:val="0085759A"/>
    <w:rsid w:val="00860917"/>
    <w:rsid w:val="00860994"/>
    <w:rsid w:val="00862478"/>
    <w:rsid w:val="00865DFA"/>
    <w:rsid w:val="008665A0"/>
    <w:rsid w:val="00867752"/>
    <w:rsid w:val="00867BF7"/>
    <w:rsid w:val="008716F8"/>
    <w:rsid w:val="0087235C"/>
    <w:rsid w:val="008724D6"/>
    <w:rsid w:val="008747D7"/>
    <w:rsid w:val="008758DD"/>
    <w:rsid w:val="00887CBE"/>
    <w:rsid w:val="0089135C"/>
    <w:rsid w:val="00893FD8"/>
    <w:rsid w:val="008A2BFC"/>
    <w:rsid w:val="008A363A"/>
    <w:rsid w:val="008C6507"/>
    <w:rsid w:val="008C761E"/>
    <w:rsid w:val="008D4B3D"/>
    <w:rsid w:val="008D7E60"/>
    <w:rsid w:val="008F1325"/>
    <w:rsid w:val="008F699D"/>
    <w:rsid w:val="008F76C2"/>
    <w:rsid w:val="00900C06"/>
    <w:rsid w:val="00906A50"/>
    <w:rsid w:val="00915E46"/>
    <w:rsid w:val="00920218"/>
    <w:rsid w:val="00924458"/>
    <w:rsid w:val="00925AEE"/>
    <w:rsid w:val="00926387"/>
    <w:rsid w:val="00930D44"/>
    <w:rsid w:val="00931749"/>
    <w:rsid w:val="00931EEA"/>
    <w:rsid w:val="00932BB8"/>
    <w:rsid w:val="009358BD"/>
    <w:rsid w:val="00935EDB"/>
    <w:rsid w:val="0094266B"/>
    <w:rsid w:val="00942D61"/>
    <w:rsid w:val="00943E43"/>
    <w:rsid w:val="00944D77"/>
    <w:rsid w:val="0095251A"/>
    <w:rsid w:val="009577DD"/>
    <w:rsid w:val="009757D0"/>
    <w:rsid w:val="00976CD8"/>
    <w:rsid w:val="00985177"/>
    <w:rsid w:val="00986FDD"/>
    <w:rsid w:val="009920EA"/>
    <w:rsid w:val="00995B39"/>
    <w:rsid w:val="009A209E"/>
    <w:rsid w:val="009B4CAD"/>
    <w:rsid w:val="009B722C"/>
    <w:rsid w:val="009C0F24"/>
    <w:rsid w:val="009C21A4"/>
    <w:rsid w:val="009C332C"/>
    <w:rsid w:val="009C4D70"/>
    <w:rsid w:val="009C545A"/>
    <w:rsid w:val="009C63D1"/>
    <w:rsid w:val="009C7818"/>
    <w:rsid w:val="009D1C51"/>
    <w:rsid w:val="009D79D1"/>
    <w:rsid w:val="009E44D9"/>
    <w:rsid w:val="009F0237"/>
    <w:rsid w:val="009F3A66"/>
    <w:rsid w:val="009F5DE3"/>
    <w:rsid w:val="00A0064E"/>
    <w:rsid w:val="00A02CD4"/>
    <w:rsid w:val="00A02F4C"/>
    <w:rsid w:val="00A07ACD"/>
    <w:rsid w:val="00A12B0B"/>
    <w:rsid w:val="00A15FB6"/>
    <w:rsid w:val="00A21E99"/>
    <w:rsid w:val="00A26EAB"/>
    <w:rsid w:val="00A30F8A"/>
    <w:rsid w:val="00A35F5D"/>
    <w:rsid w:val="00A36AAD"/>
    <w:rsid w:val="00A425C3"/>
    <w:rsid w:val="00A43A09"/>
    <w:rsid w:val="00A44F91"/>
    <w:rsid w:val="00A46325"/>
    <w:rsid w:val="00A55398"/>
    <w:rsid w:val="00A5640D"/>
    <w:rsid w:val="00A568F5"/>
    <w:rsid w:val="00A6172C"/>
    <w:rsid w:val="00A67086"/>
    <w:rsid w:val="00A7181D"/>
    <w:rsid w:val="00A7363E"/>
    <w:rsid w:val="00A8288D"/>
    <w:rsid w:val="00A86210"/>
    <w:rsid w:val="00A90610"/>
    <w:rsid w:val="00A950D2"/>
    <w:rsid w:val="00A97723"/>
    <w:rsid w:val="00AA446B"/>
    <w:rsid w:val="00AB0221"/>
    <w:rsid w:val="00AB73B8"/>
    <w:rsid w:val="00AB7B15"/>
    <w:rsid w:val="00AC2F5D"/>
    <w:rsid w:val="00AC3F27"/>
    <w:rsid w:val="00AC61E9"/>
    <w:rsid w:val="00AC75A2"/>
    <w:rsid w:val="00AD0C85"/>
    <w:rsid w:val="00AD17FF"/>
    <w:rsid w:val="00AD2181"/>
    <w:rsid w:val="00AE0CF2"/>
    <w:rsid w:val="00AE417C"/>
    <w:rsid w:val="00AF6770"/>
    <w:rsid w:val="00B01E4B"/>
    <w:rsid w:val="00B07C26"/>
    <w:rsid w:val="00B12D8D"/>
    <w:rsid w:val="00B13073"/>
    <w:rsid w:val="00B15187"/>
    <w:rsid w:val="00B22225"/>
    <w:rsid w:val="00B24B0C"/>
    <w:rsid w:val="00B2572B"/>
    <w:rsid w:val="00B3050B"/>
    <w:rsid w:val="00B31CC0"/>
    <w:rsid w:val="00B37117"/>
    <w:rsid w:val="00B41B9E"/>
    <w:rsid w:val="00B42719"/>
    <w:rsid w:val="00B42BDF"/>
    <w:rsid w:val="00B45C71"/>
    <w:rsid w:val="00B46A57"/>
    <w:rsid w:val="00B54A96"/>
    <w:rsid w:val="00B720F3"/>
    <w:rsid w:val="00B747B8"/>
    <w:rsid w:val="00B86A0E"/>
    <w:rsid w:val="00B908CA"/>
    <w:rsid w:val="00B91C58"/>
    <w:rsid w:val="00B967A2"/>
    <w:rsid w:val="00BA2387"/>
    <w:rsid w:val="00BA376A"/>
    <w:rsid w:val="00BB2020"/>
    <w:rsid w:val="00BB6555"/>
    <w:rsid w:val="00BC3C07"/>
    <w:rsid w:val="00BC44E9"/>
    <w:rsid w:val="00BC6180"/>
    <w:rsid w:val="00BC688A"/>
    <w:rsid w:val="00BC7484"/>
    <w:rsid w:val="00BF00B8"/>
    <w:rsid w:val="00BF3522"/>
    <w:rsid w:val="00C00598"/>
    <w:rsid w:val="00C06055"/>
    <w:rsid w:val="00C06168"/>
    <w:rsid w:val="00C06D09"/>
    <w:rsid w:val="00C07D16"/>
    <w:rsid w:val="00C14611"/>
    <w:rsid w:val="00C20AA4"/>
    <w:rsid w:val="00C2207B"/>
    <w:rsid w:val="00C24FEB"/>
    <w:rsid w:val="00C3123D"/>
    <w:rsid w:val="00C31AF0"/>
    <w:rsid w:val="00C34264"/>
    <w:rsid w:val="00C34FCE"/>
    <w:rsid w:val="00C36561"/>
    <w:rsid w:val="00C41910"/>
    <w:rsid w:val="00C445AF"/>
    <w:rsid w:val="00C46D51"/>
    <w:rsid w:val="00C47BF9"/>
    <w:rsid w:val="00C50370"/>
    <w:rsid w:val="00C5178C"/>
    <w:rsid w:val="00C53CAF"/>
    <w:rsid w:val="00C55C33"/>
    <w:rsid w:val="00C601F4"/>
    <w:rsid w:val="00C60E5C"/>
    <w:rsid w:val="00C65200"/>
    <w:rsid w:val="00C6552D"/>
    <w:rsid w:val="00C67294"/>
    <w:rsid w:val="00C72554"/>
    <w:rsid w:val="00C74A1A"/>
    <w:rsid w:val="00C752DC"/>
    <w:rsid w:val="00C8291A"/>
    <w:rsid w:val="00C8377E"/>
    <w:rsid w:val="00C83B9B"/>
    <w:rsid w:val="00CA0A05"/>
    <w:rsid w:val="00CA36B5"/>
    <w:rsid w:val="00CA4B6E"/>
    <w:rsid w:val="00CA5A92"/>
    <w:rsid w:val="00CB02C4"/>
    <w:rsid w:val="00CC13AB"/>
    <w:rsid w:val="00CC23A2"/>
    <w:rsid w:val="00CC4432"/>
    <w:rsid w:val="00CD2135"/>
    <w:rsid w:val="00CD4730"/>
    <w:rsid w:val="00CE29CF"/>
    <w:rsid w:val="00CE48C7"/>
    <w:rsid w:val="00CE4DED"/>
    <w:rsid w:val="00CE69F7"/>
    <w:rsid w:val="00D318B7"/>
    <w:rsid w:val="00D42137"/>
    <w:rsid w:val="00D715B2"/>
    <w:rsid w:val="00D71999"/>
    <w:rsid w:val="00D73C51"/>
    <w:rsid w:val="00D82942"/>
    <w:rsid w:val="00D829CE"/>
    <w:rsid w:val="00D8574D"/>
    <w:rsid w:val="00D91EB3"/>
    <w:rsid w:val="00D95F25"/>
    <w:rsid w:val="00D96A8E"/>
    <w:rsid w:val="00DA0ADE"/>
    <w:rsid w:val="00DA41C6"/>
    <w:rsid w:val="00DA5E13"/>
    <w:rsid w:val="00DB0B3B"/>
    <w:rsid w:val="00DB4AEE"/>
    <w:rsid w:val="00DB4C40"/>
    <w:rsid w:val="00DB5053"/>
    <w:rsid w:val="00DC3082"/>
    <w:rsid w:val="00DC4988"/>
    <w:rsid w:val="00DD4DDB"/>
    <w:rsid w:val="00DE0197"/>
    <w:rsid w:val="00DE798A"/>
    <w:rsid w:val="00DF3920"/>
    <w:rsid w:val="00DF6D8C"/>
    <w:rsid w:val="00DF7932"/>
    <w:rsid w:val="00E00225"/>
    <w:rsid w:val="00E029EE"/>
    <w:rsid w:val="00E03205"/>
    <w:rsid w:val="00E13D4F"/>
    <w:rsid w:val="00E21169"/>
    <w:rsid w:val="00E24029"/>
    <w:rsid w:val="00E3339D"/>
    <w:rsid w:val="00E33EE6"/>
    <w:rsid w:val="00E34836"/>
    <w:rsid w:val="00E34A6F"/>
    <w:rsid w:val="00E356BA"/>
    <w:rsid w:val="00E35D0B"/>
    <w:rsid w:val="00E35E7D"/>
    <w:rsid w:val="00E36137"/>
    <w:rsid w:val="00E36C5E"/>
    <w:rsid w:val="00E42475"/>
    <w:rsid w:val="00E5038A"/>
    <w:rsid w:val="00E51F16"/>
    <w:rsid w:val="00E522AA"/>
    <w:rsid w:val="00E61BAF"/>
    <w:rsid w:val="00E6639E"/>
    <w:rsid w:val="00E66831"/>
    <w:rsid w:val="00E674E4"/>
    <w:rsid w:val="00E76D40"/>
    <w:rsid w:val="00E7731C"/>
    <w:rsid w:val="00E92965"/>
    <w:rsid w:val="00E97BB8"/>
    <w:rsid w:val="00E97FEE"/>
    <w:rsid w:val="00EA14E6"/>
    <w:rsid w:val="00EA28C9"/>
    <w:rsid w:val="00EA30AF"/>
    <w:rsid w:val="00EA4186"/>
    <w:rsid w:val="00EA6430"/>
    <w:rsid w:val="00EA78C6"/>
    <w:rsid w:val="00EB2FF0"/>
    <w:rsid w:val="00EC4C8C"/>
    <w:rsid w:val="00ED1807"/>
    <w:rsid w:val="00ED1AF8"/>
    <w:rsid w:val="00ED1B8A"/>
    <w:rsid w:val="00EF3376"/>
    <w:rsid w:val="00EF6C5C"/>
    <w:rsid w:val="00F03DC3"/>
    <w:rsid w:val="00F057C7"/>
    <w:rsid w:val="00F07448"/>
    <w:rsid w:val="00F07D18"/>
    <w:rsid w:val="00F126EB"/>
    <w:rsid w:val="00F24E7E"/>
    <w:rsid w:val="00F2711E"/>
    <w:rsid w:val="00F27206"/>
    <w:rsid w:val="00F318C3"/>
    <w:rsid w:val="00F3323C"/>
    <w:rsid w:val="00F362A4"/>
    <w:rsid w:val="00F41C10"/>
    <w:rsid w:val="00F42318"/>
    <w:rsid w:val="00F4270C"/>
    <w:rsid w:val="00F5756E"/>
    <w:rsid w:val="00F61488"/>
    <w:rsid w:val="00F64879"/>
    <w:rsid w:val="00F667F1"/>
    <w:rsid w:val="00F74512"/>
    <w:rsid w:val="00F752F4"/>
    <w:rsid w:val="00F77789"/>
    <w:rsid w:val="00F802DD"/>
    <w:rsid w:val="00F804AA"/>
    <w:rsid w:val="00F9782F"/>
    <w:rsid w:val="00FA4529"/>
    <w:rsid w:val="00FB188F"/>
    <w:rsid w:val="00FB3371"/>
    <w:rsid w:val="00FC0F0D"/>
    <w:rsid w:val="00FC124A"/>
    <w:rsid w:val="00FC3414"/>
    <w:rsid w:val="00FC432D"/>
    <w:rsid w:val="00FD0ED7"/>
    <w:rsid w:val="00FD734C"/>
    <w:rsid w:val="00FE080C"/>
    <w:rsid w:val="00FE0B60"/>
    <w:rsid w:val="00FF01CD"/>
    <w:rsid w:val="00FF49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80" w:lineRule="atLeast"/>
    </w:pPr>
    <w:rPr>
      <w:rFonts w:ascii="Arial" w:hAnsi="Arial"/>
      <w:sz w:val="24"/>
      <w:lang w:eastAsia="en-US"/>
    </w:rPr>
  </w:style>
  <w:style w:type="paragraph" w:styleId="Heading1">
    <w:name w:val="heading 1"/>
    <w:next w:val="Normal"/>
    <w:qFormat/>
    <w:pPr>
      <w:keepNext/>
      <w:numPr>
        <w:numId w:val="2"/>
      </w:numPr>
      <w:spacing w:before="480" w:after="240"/>
      <w:outlineLvl w:val="0"/>
    </w:pPr>
    <w:rPr>
      <w:b/>
      <w:caps/>
      <w:sz w:val="28"/>
      <w:lang w:val="en-GB" w:eastAsia="en-US"/>
    </w:rPr>
  </w:style>
  <w:style w:type="paragraph" w:styleId="Heading2">
    <w:name w:val="heading 2"/>
    <w:next w:val="Normal"/>
    <w:qFormat/>
    <w:pPr>
      <w:keepNext/>
      <w:numPr>
        <w:ilvl w:val="1"/>
        <w:numId w:val="2"/>
      </w:numPr>
      <w:spacing w:before="120" w:after="120"/>
      <w:outlineLvl w:val="1"/>
    </w:pPr>
    <w:rPr>
      <w:b/>
      <w:sz w:val="28"/>
      <w:lang w:val="en-GB" w:eastAsia="en-US"/>
    </w:rPr>
  </w:style>
  <w:style w:type="paragraph" w:styleId="Heading3">
    <w:name w:val="heading 3"/>
    <w:next w:val="Normal"/>
    <w:qFormat/>
    <w:pPr>
      <w:keepNext/>
      <w:numPr>
        <w:ilvl w:val="2"/>
        <w:numId w:val="2"/>
      </w:numPr>
      <w:spacing w:after="120"/>
      <w:outlineLvl w:val="2"/>
    </w:pPr>
    <w:rPr>
      <w:i/>
      <w:sz w:val="24"/>
      <w:lang w:val="en-GB" w:eastAsia="en-US"/>
    </w:rPr>
  </w:style>
  <w:style w:type="paragraph" w:styleId="Heading4">
    <w:name w:val="heading 4"/>
    <w:next w:val="Normal"/>
    <w:qFormat/>
    <w:pPr>
      <w:keepNext/>
      <w:numPr>
        <w:ilvl w:val="3"/>
        <w:numId w:val="2"/>
      </w:numPr>
      <w:spacing w:after="120"/>
      <w:outlineLvl w:val="3"/>
    </w:pPr>
    <w:rPr>
      <w:i/>
      <w:sz w:val="24"/>
      <w:lang w:val="en-GB" w:eastAsia="en-US"/>
    </w:rPr>
  </w:style>
  <w:style w:type="paragraph" w:styleId="Heading5">
    <w:name w:val="heading 5"/>
    <w:basedOn w:val="Normal"/>
    <w:next w:val="Normal"/>
    <w:qFormat/>
    <w:pPr>
      <w:keepNext/>
      <w:spacing w:after="120"/>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semiHidden/>
    <w:rPr>
      <w:rFonts w:ascii="Arial" w:hAnsi="Arial"/>
      <w:sz w:val="16"/>
      <w:lang w:val="en-GB" w:eastAsia="en-US"/>
    </w:rPr>
  </w:style>
  <w:style w:type="paragraph" w:styleId="Footer">
    <w:name w:val="footer"/>
    <w:semiHidden/>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after="120"/>
    </w:pPr>
    <w:rPr>
      <w:b/>
      <w:lang w:val="en-GB"/>
    </w:rPr>
  </w:style>
  <w:style w:type="character" w:customStyle="1" w:styleId="Z-RedHidden">
    <w:name w:val="Z-Red Hidden"/>
    <w:rPr>
      <w:rFonts w:ascii="Arial" w:hAnsi="Arial"/>
      <w:vanish/>
      <w:color w:val="FF0000"/>
      <w:sz w:val="16"/>
    </w:rPr>
  </w:style>
  <w:style w:type="paragraph" w:customStyle="1" w:styleId="A-StudyTitle">
    <w:name w:val="A-Study Title"/>
    <w:basedOn w:val="Normal"/>
    <w:pPr>
      <w:spacing w:after="120"/>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semiHidden/>
    <w:rPr>
      <w:rFonts w:ascii="Arial" w:hAnsi="Arial"/>
      <w:sz w:val="20"/>
    </w:rPr>
  </w:style>
  <w:style w:type="paragraph" w:customStyle="1" w:styleId="A-TableText">
    <w:name w:val="A-Table Text"/>
    <w:basedOn w:val="Normal"/>
    <w:pPr>
      <w:spacing w:before="60" w:after="60"/>
    </w:pPr>
    <w:rPr>
      <w:sz w:val="22"/>
      <w:lang w:val="en-GB"/>
    </w:rPr>
  </w:style>
  <w:style w:type="paragraph" w:styleId="Caption">
    <w:name w:val="caption"/>
    <w:next w:val="Normal"/>
    <w:qFormat/>
    <w:pPr>
      <w:keepNext/>
      <w:spacing w:after="120" w:line="280" w:lineRule="atLeast"/>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spacing w:after="120"/>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spacing w:before="120" w:after="120"/>
    </w:pPr>
    <w:rPr>
      <w:b/>
      <w:lang w:val="en-GB"/>
    </w:rPr>
  </w:style>
  <w:style w:type="paragraph" w:customStyle="1" w:styleId="A-ListBullet">
    <w:name w:val="A-List Bullet"/>
    <w:basedOn w:val="Normal"/>
    <w:pPr>
      <w:numPr>
        <w:numId w:val="3"/>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4"/>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5"/>
      </w:numPr>
    </w:pPr>
    <w:rPr>
      <w:lang w:val="en-GB"/>
    </w:rPr>
  </w:style>
  <w:style w:type="paragraph" w:customStyle="1" w:styleId="A-Listi">
    <w:name w:val="A-List (i)"/>
    <w:basedOn w:val="Normal"/>
    <w:next w:val="Normal"/>
    <w:pPr>
      <w:numPr>
        <w:numId w:val="6"/>
      </w:numPr>
    </w:pPr>
    <w:rPr>
      <w:lang w:val="en-GB"/>
    </w:rPr>
  </w:style>
  <w:style w:type="paragraph" w:customStyle="1" w:styleId="A-TableTitle">
    <w:name w:val="A-Table Title"/>
    <w:basedOn w:val="Normal"/>
    <w:next w:val="Normal"/>
    <w:pPr>
      <w:keepNext/>
      <w:tabs>
        <w:tab w:val="left" w:pos="1800"/>
      </w:tabs>
      <w:spacing w:after="120"/>
      <w:ind w:left="1800" w:hanging="1800"/>
    </w:pPr>
    <w:rPr>
      <w:b/>
      <w:lang w:val="en-GB"/>
    </w:rPr>
  </w:style>
  <w:style w:type="paragraph" w:customStyle="1" w:styleId="A-FigureTitle">
    <w:name w:val="A-Figure Title"/>
    <w:basedOn w:val="Normal"/>
    <w:next w:val="Normal"/>
    <w:pPr>
      <w:keepNext/>
      <w:tabs>
        <w:tab w:val="left" w:pos="1800"/>
      </w:tabs>
      <w:spacing w:after="120"/>
      <w:ind w:left="1800" w:hanging="1800"/>
    </w:pPr>
    <w:rPr>
      <w:b/>
      <w:lang w:val="en-GB"/>
    </w:rPr>
  </w:style>
  <w:style w:type="paragraph" w:customStyle="1" w:styleId="A-TableFootnoteText">
    <w:name w:val="A-Table Footnote Text"/>
    <w:basedOn w:val="Normal"/>
    <w:next w:val="Normal"/>
    <w:pPr>
      <w:tabs>
        <w:tab w:val="left" w:pos="432"/>
      </w:tabs>
      <w:ind w:left="432" w:hanging="432"/>
    </w:pPr>
    <w:rPr>
      <w:sz w:val="18"/>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spacing w:before="120" w:after="120"/>
      <w:outlineLvl w:val="1"/>
    </w:pPr>
    <w:rPr>
      <w:b/>
      <w:lang w:val="en-GB"/>
    </w:rPr>
  </w:style>
  <w:style w:type="paragraph" w:customStyle="1" w:styleId="A-Heading3">
    <w:name w:val="A-Heading 3"/>
    <w:basedOn w:val="Normal"/>
    <w:next w:val="Normal"/>
    <w:pPr>
      <w:keepNext/>
      <w:spacing w:after="120"/>
      <w:outlineLvl w:val="2"/>
    </w:pPr>
    <w:rPr>
      <w:b/>
      <w:i/>
      <w:lang w:val="en-GB"/>
    </w:rPr>
  </w:style>
  <w:style w:type="paragraph" w:customStyle="1" w:styleId="A-Heading4">
    <w:name w:val="A-Heading 4"/>
    <w:basedOn w:val="Normal"/>
    <w:next w:val="Normal"/>
    <w:pPr>
      <w:keepNext/>
      <w:spacing w:after="120"/>
      <w:outlineLvl w:val="3"/>
    </w:pPr>
    <w:rPr>
      <w:i/>
      <w:lang w:val="en-GB"/>
    </w:rPr>
  </w:style>
  <w:style w:type="paragraph" w:customStyle="1" w:styleId="Tableheading">
    <w:name w:val="Table heading"/>
    <w:basedOn w:val="Normal"/>
    <w:pPr>
      <w:spacing w:line="240" w:lineRule="auto"/>
    </w:pPr>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pPr>
      <w:spacing w:line="240" w:lineRule="auto"/>
    </w:pPr>
    <w:rPr>
      <w:sz w:val="20"/>
      <w:szCs w:val="24"/>
    </w:rPr>
  </w:style>
  <w:style w:type="paragraph" w:styleId="DocumentMap">
    <w:name w:val="Document Map"/>
    <w:basedOn w:val="Normal"/>
    <w:semiHidden/>
    <w:pPr>
      <w:shd w:val="clear" w:color="auto" w:fill="000080"/>
    </w:pPr>
    <w:rPr>
      <w:rFonts w:ascii="Tahoma" w:hAnsi="Tahoma" w:cs="Tahoma"/>
    </w:rPr>
  </w:style>
  <w:style w:type="paragraph" w:customStyle="1" w:styleId="USRALblNormal">
    <w:name w:val="USRA Lbl Normal"/>
    <w:pPr>
      <w:ind w:left="720"/>
      <w:jc w:val="both"/>
    </w:pPr>
    <w:rPr>
      <w:sz w:val="24"/>
      <w:lang w:val="en-GB" w:eastAsia="en-US"/>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character" w:styleId="FootnoteReference">
    <w:name w:val="footnote reference"/>
    <w:semiHidden/>
    <w:rPr>
      <w:vertAlign w:val="superscript"/>
    </w:rPr>
  </w:style>
  <w:style w:type="paragraph" w:styleId="BodyText">
    <w:name w:val="Body Text"/>
    <w:basedOn w:val="Normal"/>
    <w:semiHidden/>
    <w:pPr>
      <w:spacing w:after="0" w:line="240" w:lineRule="atLeast"/>
    </w:pPr>
    <w:rPr>
      <w:sz w:val="18"/>
      <w:szCs w:val="18"/>
    </w:rPr>
  </w:style>
  <w:style w:type="paragraph" w:styleId="BodyText3">
    <w:name w:val="Body Text 3"/>
    <w:basedOn w:val="Normal"/>
    <w:semiHidden/>
    <w:pPr>
      <w:autoSpaceDE w:val="0"/>
      <w:autoSpaceDN w:val="0"/>
      <w:adjustRightInd w:val="0"/>
      <w:spacing w:after="0" w:line="240" w:lineRule="auto"/>
    </w:pPr>
    <w:rPr>
      <w:rFonts w:ascii="Times New Roman" w:hAnsi="Times New Roman"/>
      <w:iCs/>
      <w:color w:val="000000"/>
      <w:szCs w:val="24"/>
      <w:lang w:val="en-GB"/>
    </w:rPr>
  </w:style>
  <w:style w:type="paragraph" w:customStyle="1" w:styleId="BMSBullets">
    <w:name w:val="BMS Bullets"/>
    <w:basedOn w:val="Normal"/>
    <w:pPr>
      <w:tabs>
        <w:tab w:val="num" w:pos="992"/>
      </w:tabs>
      <w:spacing w:after="60" w:line="240" w:lineRule="auto"/>
      <w:ind w:left="992" w:hanging="992"/>
      <w:jc w:val="both"/>
    </w:pPr>
    <w:rPr>
      <w:rFonts w:ascii="Times New Roman" w:hAnsi="Times New Roman"/>
      <w:color w:val="000000"/>
      <w:lang w:val="en-US"/>
    </w:rPr>
  </w:style>
  <w:style w:type="character" w:styleId="CommentReference">
    <w:name w:val="annotation reference"/>
    <w:uiPriority w:val="99"/>
    <w:unhideWhenUsed/>
    <w:rsid w:val="002F3CA1"/>
    <w:rPr>
      <w:sz w:val="16"/>
      <w:szCs w:val="16"/>
    </w:rPr>
  </w:style>
  <w:style w:type="paragraph" w:styleId="CommentText">
    <w:name w:val="annotation text"/>
    <w:basedOn w:val="Normal"/>
    <w:link w:val="CommentTextChar"/>
    <w:uiPriority w:val="99"/>
    <w:unhideWhenUsed/>
    <w:rsid w:val="002F3CA1"/>
    <w:rPr>
      <w:sz w:val="20"/>
      <w:lang w:val="x-none"/>
    </w:rPr>
  </w:style>
  <w:style w:type="character" w:customStyle="1" w:styleId="CommentTextChar">
    <w:name w:val="Comment Text Char"/>
    <w:link w:val="CommentText"/>
    <w:uiPriority w:val="99"/>
    <w:rsid w:val="002F3CA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F3CA1"/>
    <w:rPr>
      <w:b/>
      <w:bCs/>
    </w:rPr>
  </w:style>
  <w:style w:type="character" w:customStyle="1" w:styleId="CommentSubjectChar">
    <w:name w:val="Comment Subject Char"/>
    <w:link w:val="CommentSubject"/>
    <w:uiPriority w:val="99"/>
    <w:semiHidden/>
    <w:rsid w:val="002F3CA1"/>
    <w:rPr>
      <w:rFonts w:ascii="Arial" w:hAnsi="Arial"/>
      <w:b/>
      <w:bCs/>
      <w:lang w:eastAsia="en-US"/>
    </w:rPr>
  </w:style>
  <w:style w:type="paragraph" w:styleId="BalloonText">
    <w:name w:val="Balloon Text"/>
    <w:basedOn w:val="Normal"/>
    <w:link w:val="BalloonTextChar"/>
    <w:uiPriority w:val="99"/>
    <w:semiHidden/>
    <w:unhideWhenUsed/>
    <w:rsid w:val="002F3CA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F3CA1"/>
    <w:rPr>
      <w:rFonts w:ascii="Tahoma" w:hAnsi="Tahoma" w:cs="Tahoma"/>
      <w:sz w:val="16"/>
      <w:szCs w:val="16"/>
      <w:lang w:eastAsia="en-US"/>
    </w:rPr>
  </w:style>
  <w:style w:type="table" w:styleId="TableGrid">
    <w:name w:val="Table Grid"/>
    <w:basedOn w:val="TableNormal"/>
    <w:uiPriority w:val="59"/>
    <w:rsid w:val="00443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abletext">
    <w:name w:val="c-tabletext"/>
    <w:basedOn w:val="Normal"/>
    <w:rsid w:val="00093E71"/>
    <w:pPr>
      <w:spacing w:before="60" w:after="60" w:line="240" w:lineRule="auto"/>
    </w:pPr>
    <w:rPr>
      <w:rFonts w:ascii="Times New Roman" w:eastAsia="SimSun" w:hAnsi="Times New Roman"/>
      <w:sz w:val="22"/>
      <w:szCs w:val="22"/>
      <w:lang w:val="en-US" w:eastAsia="zh-CN"/>
    </w:rPr>
  </w:style>
  <w:style w:type="paragraph" w:customStyle="1" w:styleId="c-tableheader">
    <w:name w:val="c-tableheader"/>
    <w:basedOn w:val="Normal"/>
    <w:rsid w:val="00093E71"/>
    <w:pPr>
      <w:keepNext/>
      <w:spacing w:before="60" w:after="60" w:line="240" w:lineRule="auto"/>
    </w:pPr>
    <w:rPr>
      <w:rFonts w:ascii="Calibri" w:eastAsia="SimSun" w:hAnsi="Calibri" w:cs="SimSun"/>
      <w:b/>
      <w:bCs/>
      <w:sz w:val="22"/>
      <w:szCs w:val="22"/>
      <w:lang w:val="en-US" w:eastAsia="zh-CN"/>
    </w:rPr>
  </w:style>
  <w:style w:type="paragraph" w:styleId="EndnoteText">
    <w:name w:val="endnote text"/>
    <w:basedOn w:val="Normal"/>
    <w:link w:val="EndnoteTextChar"/>
    <w:uiPriority w:val="99"/>
    <w:semiHidden/>
    <w:unhideWhenUsed/>
    <w:rsid w:val="00270F5A"/>
    <w:pPr>
      <w:spacing w:after="0" w:line="240" w:lineRule="auto"/>
    </w:pPr>
    <w:rPr>
      <w:rFonts w:ascii="Times New Roman" w:hAnsi="Times New Roman" w:cs="Arial"/>
      <w:sz w:val="20"/>
      <w:lang w:val="en-US"/>
    </w:rPr>
  </w:style>
  <w:style w:type="character" w:customStyle="1" w:styleId="EndnoteTextChar">
    <w:name w:val="Endnote Text Char"/>
    <w:link w:val="EndnoteText"/>
    <w:uiPriority w:val="99"/>
    <w:semiHidden/>
    <w:rsid w:val="00270F5A"/>
    <w:rPr>
      <w:rFonts w:cs="Arial"/>
      <w:lang w:val="en-US" w:eastAsia="en-US"/>
    </w:rPr>
  </w:style>
  <w:style w:type="character" w:styleId="EndnoteReference">
    <w:name w:val="endnote reference"/>
    <w:uiPriority w:val="99"/>
    <w:unhideWhenUsed/>
    <w:rsid w:val="00270F5A"/>
    <w:rPr>
      <w:vertAlign w:val="superscript"/>
    </w:rPr>
  </w:style>
  <w:style w:type="paragraph" w:customStyle="1" w:styleId="C-PLR-TOC2">
    <w:name w:val="C-PLR-TOC 2"/>
    <w:basedOn w:val="Normal"/>
    <w:next w:val="Normal"/>
    <w:rsid w:val="006E32F4"/>
    <w:pPr>
      <w:spacing w:after="0" w:line="240" w:lineRule="auto"/>
      <w:ind w:left="864" w:hanging="432"/>
    </w:pPr>
    <w:rPr>
      <w:rFonts w:ascii="Times New Roman" w:hAnsi="Times New Roman"/>
      <w:color w:val="0000FF"/>
      <w:sz w:val="16"/>
      <w:lang w:val="en-US"/>
    </w:rPr>
  </w:style>
  <w:style w:type="character" w:customStyle="1" w:styleId="HeaderChar">
    <w:name w:val="Header Char"/>
    <w:link w:val="Header"/>
    <w:semiHidden/>
    <w:rsid w:val="00931EEA"/>
    <w:rPr>
      <w:rFonts w:ascii="Arial" w:hAnsi="Arial"/>
      <w:sz w:val="16"/>
      <w:lang w:val="en-GB" w:eastAsia="en-US"/>
    </w:rPr>
  </w:style>
  <w:style w:type="paragraph" w:customStyle="1" w:styleId="Default">
    <w:name w:val="Default"/>
    <w:rsid w:val="00B13073"/>
    <w:pPr>
      <w:autoSpaceDE w:val="0"/>
      <w:autoSpaceDN w:val="0"/>
      <w:adjustRightInd w:val="0"/>
    </w:pPr>
    <w:rPr>
      <w:rFonts w:ascii="Cambria" w:hAnsi="Cambria" w:cs="Cambria"/>
      <w:color w:val="000000"/>
      <w:sz w:val="24"/>
      <w:szCs w:val="24"/>
      <w:lang w:val="en-US" w:eastAsia="en-US"/>
    </w:rPr>
  </w:style>
  <w:style w:type="paragraph" w:styleId="Revision">
    <w:name w:val="Revision"/>
    <w:hidden/>
    <w:uiPriority w:val="99"/>
    <w:semiHidden/>
    <w:rsid w:val="0024689F"/>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80" w:lineRule="atLeast"/>
    </w:pPr>
    <w:rPr>
      <w:rFonts w:ascii="Arial" w:hAnsi="Arial"/>
      <w:sz w:val="24"/>
      <w:lang w:eastAsia="en-US"/>
    </w:rPr>
  </w:style>
  <w:style w:type="paragraph" w:styleId="Heading1">
    <w:name w:val="heading 1"/>
    <w:next w:val="Normal"/>
    <w:qFormat/>
    <w:pPr>
      <w:keepNext/>
      <w:numPr>
        <w:numId w:val="2"/>
      </w:numPr>
      <w:spacing w:before="480" w:after="240"/>
      <w:outlineLvl w:val="0"/>
    </w:pPr>
    <w:rPr>
      <w:b/>
      <w:caps/>
      <w:sz w:val="28"/>
      <w:lang w:val="en-GB" w:eastAsia="en-US"/>
    </w:rPr>
  </w:style>
  <w:style w:type="paragraph" w:styleId="Heading2">
    <w:name w:val="heading 2"/>
    <w:next w:val="Normal"/>
    <w:qFormat/>
    <w:pPr>
      <w:keepNext/>
      <w:numPr>
        <w:ilvl w:val="1"/>
        <w:numId w:val="2"/>
      </w:numPr>
      <w:spacing w:before="120" w:after="120"/>
      <w:outlineLvl w:val="1"/>
    </w:pPr>
    <w:rPr>
      <w:b/>
      <w:sz w:val="28"/>
      <w:lang w:val="en-GB" w:eastAsia="en-US"/>
    </w:rPr>
  </w:style>
  <w:style w:type="paragraph" w:styleId="Heading3">
    <w:name w:val="heading 3"/>
    <w:next w:val="Normal"/>
    <w:qFormat/>
    <w:pPr>
      <w:keepNext/>
      <w:numPr>
        <w:ilvl w:val="2"/>
        <w:numId w:val="2"/>
      </w:numPr>
      <w:spacing w:after="120"/>
      <w:outlineLvl w:val="2"/>
    </w:pPr>
    <w:rPr>
      <w:i/>
      <w:sz w:val="24"/>
      <w:lang w:val="en-GB" w:eastAsia="en-US"/>
    </w:rPr>
  </w:style>
  <w:style w:type="paragraph" w:styleId="Heading4">
    <w:name w:val="heading 4"/>
    <w:next w:val="Normal"/>
    <w:qFormat/>
    <w:pPr>
      <w:keepNext/>
      <w:numPr>
        <w:ilvl w:val="3"/>
        <w:numId w:val="2"/>
      </w:numPr>
      <w:spacing w:after="120"/>
      <w:outlineLvl w:val="3"/>
    </w:pPr>
    <w:rPr>
      <w:i/>
      <w:sz w:val="24"/>
      <w:lang w:val="en-GB" w:eastAsia="en-US"/>
    </w:rPr>
  </w:style>
  <w:style w:type="paragraph" w:styleId="Heading5">
    <w:name w:val="heading 5"/>
    <w:basedOn w:val="Normal"/>
    <w:next w:val="Normal"/>
    <w:qFormat/>
    <w:pPr>
      <w:keepNext/>
      <w:spacing w:after="120"/>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semiHidden/>
    <w:rPr>
      <w:rFonts w:ascii="Arial" w:hAnsi="Arial"/>
      <w:sz w:val="16"/>
      <w:lang w:val="en-GB" w:eastAsia="en-US"/>
    </w:rPr>
  </w:style>
  <w:style w:type="paragraph" w:styleId="Footer">
    <w:name w:val="footer"/>
    <w:semiHidden/>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after="120"/>
    </w:pPr>
    <w:rPr>
      <w:b/>
      <w:lang w:val="en-GB"/>
    </w:rPr>
  </w:style>
  <w:style w:type="character" w:customStyle="1" w:styleId="Z-RedHidden">
    <w:name w:val="Z-Red Hidden"/>
    <w:rPr>
      <w:rFonts w:ascii="Arial" w:hAnsi="Arial"/>
      <w:vanish/>
      <w:color w:val="FF0000"/>
      <w:sz w:val="16"/>
    </w:rPr>
  </w:style>
  <w:style w:type="paragraph" w:customStyle="1" w:styleId="A-StudyTitle">
    <w:name w:val="A-Study Title"/>
    <w:basedOn w:val="Normal"/>
    <w:pPr>
      <w:spacing w:after="120"/>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semiHidden/>
    <w:rPr>
      <w:rFonts w:ascii="Arial" w:hAnsi="Arial"/>
      <w:sz w:val="20"/>
    </w:rPr>
  </w:style>
  <w:style w:type="paragraph" w:customStyle="1" w:styleId="A-TableText">
    <w:name w:val="A-Table Text"/>
    <w:basedOn w:val="Normal"/>
    <w:pPr>
      <w:spacing w:before="60" w:after="60"/>
    </w:pPr>
    <w:rPr>
      <w:sz w:val="22"/>
      <w:lang w:val="en-GB"/>
    </w:rPr>
  </w:style>
  <w:style w:type="paragraph" w:styleId="Caption">
    <w:name w:val="caption"/>
    <w:next w:val="Normal"/>
    <w:qFormat/>
    <w:pPr>
      <w:keepNext/>
      <w:spacing w:after="120" w:line="280" w:lineRule="atLeast"/>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spacing w:after="120"/>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spacing w:before="120" w:after="120"/>
    </w:pPr>
    <w:rPr>
      <w:b/>
      <w:lang w:val="en-GB"/>
    </w:rPr>
  </w:style>
  <w:style w:type="paragraph" w:customStyle="1" w:styleId="A-ListBullet">
    <w:name w:val="A-List Bullet"/>
    <w:basedOn w:val="Normal"/>
    <w:pPr>
      <w:numPr>
        <w:numId w:val="3"/>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4"/>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5"/>
      </w:numPr>
    </w:pPr>
    <w:rPr>
      <w:lang w:val="en-GB"/>
    </w:rPr>
  </w:style>
  <w:style w:type="paragraph" w:customStyle="1" w:styleId="A-Listi">
    <w:name w:val="A-List (i)"/>
    <w:basedOn w:val="Normal"/>
    <w:next w:val="Normal"/>
    <w:pPr>
      <w:numPr>
        <w:numId w:val="6"/>
      </w:numPr>
    </w:pPr>
    <w:rPr>
      <w:lang w:val="en-GB"/>
    </w:rPr>
  </w:style>
  <w:style w:type="paragraph" w:customStyle="1" w:styleId="A-TableTitle">
    <w:name w:val="A-Table Title"/>
    <w:basedOn w:val="Normal"/>
    <w:next w:val="Normal"/>
    <w:pPr>
      <w:keepNext/>
      <w:tabs>
        <w:tab w:val="left" w:pos="1800"/>
      </w:tabs>
      <w:spacing w:after="120"/>
      <w:ind w:left="1800" w:hanging="1800"/>
    </w:pPr>
    <w:rPr>
      <w:b/>
      <w:lang w:val="en-GB"/>
    </w:rPr>
  </w:style>
  <w:style w:type="paragraph" w:customStyle="1" w:styleId="A-FigureTitle">
    <w:name w:val="A-Figure Title"/>
    <w:basedOn w:val="Normal"/>
    <w:next w:val="Normal"/>
    <w:pPr>
      <w:keepNext/>
      <w:tabs>
        <w:tab w:val="left" w:pos="1800"/>
      </w:tabs>
      <w:spacing w:after="120"/>
      <w:ind w:left="1800" w:hanging="1800"/>
    </w:pPr>
    <w:rPr>
      <w:b/>
      <w:lang w:val="en-GB"/>
    </w:rPr>
  </w:style>
  <w:style w:type="paragraph" w:customStyle="1" w:styleId="A-TableFootnoteText">
    <w:name w:val="A-Table Footnote Text"/>
    <w:basedOn w:val="Normal"/>
    <w:next w:val="Normal"/>
    <w:pPr>
      <w:tabs>
        <w:tab w:val="left" w:pos="432"/>
      </w:tabs>
      <w:ind w:left="432" w:hanging="432"/>
    </w:pPr>
    <w:rPr>
      <w:sz w:val="18"/>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spacing w:before="120" w:after="120"/>
      <w:outlineLvl w:val="1"/>
    </w:pPr>
    <w:rPr>
      <w:b/>
      <w:lang w:val="en-GB"/>
    </w:rPr>
  </w:style>
  <w:style w:type="paragraph" w:customStyle="1" w:styleId="A-Heading3">
    <w:name w:val="A-Heading 3"/>
    <w:basedOn w:val="Normal"/>
    <w:next w:val="Normal"/>
    <w:pPr>
      <w:keepNext/>
      <w:spacing w:after="120"/>
      <w:outlineLvl w:val="2"/>
    </w:pPr>
    <w:rPr>
      <w:b/>
      <w:i/>
      <w:lang w:val="en-GB"/>
    </w:rPr>
  </w:style>
  <w:style w:type="paragraph" w:customStyle="1" w:styleId="A-Heading4">
    <w:name w:val="A-Heading 4"/>
    <w:basedOn w:val="Normal"/>
    <w:next w:val="Normal"/>
    <w:pPr>
      <w:keepNext/>
      <w:spacing w:after="120"/>
      <w:outlineLvl w:val="3"/>
    </w:pPr>
    <w:rPr>
      <w:i/>
      <w:lang w:val="en-GB"/>
    </w:rPr>
  </w:style>
  <w:style w:type="paragraph" w:customStyle="1" w:styleId="Tableheading">
    <w:name w:val="Table heading"/>
    <w:basedOn w:val="Normal"/>
    <w:pPr>
      <w:spacing w:line="240" w:lineRule="auto"/>
    </w:pPr>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pPr>
      <w:spacing w:line="240" w:lineRule="auto"/>
    </w:pPr>
    <w:rPr>
      <w:sz w:val="20"/>
      <w:szCs w:val="24"/>
    </w:rPr>
  </w:style>
  <w:style w:type="paragraph" w:styleId="DocumentMap">
    <w:name w:val="Document Map"/>
    <w:basedOn w:val="Normal"/>
    <w:semiHidden/>
    <w:pPr>
      <w:shd w:val="clear" w:color="auto" w:fill="000080"/>
    </w:pPr>
    <w:rPr>
      <w:rFonts w:ascii="Tahoma" w:hAnsi="Tahoma" w:cs="Tahoma"/>
    </w:rPr>
  </w:style>
  <w:style w:type="paragraph" w:customStyle="1" w:styleId="USRALblNormal">
    <w:name w:val="USRA Lbl Normal"/>
    <w:pPr>
      <w:ind w:left="720"/>
      <w:jc w:val="both"/>
    </w:pPr>
    <w:rPr>
      <w:sz w:val="24"/>
      <w:lang w:val="en-GB" w:eastAsia="en-US"/>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character" w:styleId="FootnoteReference">
    <w:name w:val="footnote reference"/>
    <w:semiHidden/>
    <w:rPr>
      <w:vertAlign w:val="superscript"/>
    </w:rPr>
  </w:style>
  <w:style w:type="paragraph" w:styleId="BodyText">
    <w:name w:val="Body Text"/>
    <w:basedOn w:val="Normal"/>
    <w:semiHidden/>
    <w:pPr>
      <w:spacing w:after="0" w:line="240" w:lineRule="atLeast"/>
    </w:pPr>
    <w:rPr>
      <w:sz w:val="18"/>
      <w:szCs w:val="18"/>
    </w:rPr>
  </w:style>
  <w:style w:type="paragraph" w:styleId="BodyText3">
    <w:name w:val="Body Text 3"/>
    <w:basedOn w:val="Normal"/>
    <w:semiHidden/>
    <w:pPr>
      <w:autoSpaceDE w:val="0"/>
      <w:autoSpaceDN w:val="0"/>
      <w:adjustRightInd w:val="0"/>
      <w:spacing w:after="0" w:line="240" w:lineRule="auto"/>
    </w:pPr>
    <w:rPr>
      <w:rFonts w:ascii="Times New Roman" w:hAnsi="Times New Roman"/>
      <w:iCs/>
      <w:color w:val="000000"/>
      <w:szCs w:val="24"/>
      <w:lang w:val="en-GB"/>
    </w:rPr>
  </w:style>
  <w:style w:type="paragraph" w:customStyle="1" w:styleId="BMSBullets">
    <w:name w:val="BMS Bullets"/>
    <w:basedOn w:val="Normal"/>
    <w:pPr>
      <w:tabs>
        <w:tab w:val="num" w:pos="992"/>
      </w:tabs>
      <w:spacing w:after="60" w:line="240" w:lineRule="auto"/>
      <w:ind w:left="992" w:hanging="992"/>
      <w:jc w:val="both"/>
    </w:pPr>
    <w:rPr>
      <w:rFonts w:ascii="Times New Roman" w:hAnsi="Times New Roman"/>
      <w:color w:val="000000"/>
      <w:lang w:val="en-US"/>
    </w:rPr>
  </w:style>
  <w:style w:type="character" w:styleId="CommentReference">
    <w:name w:val="annotation reference"/>
    <w:uiPriority w:val="99"/>
    <w:unhideWhenUsed/>
    <w:rsid w:val="002F3CA1"/>
    <w:rPr>
      <w:sz w:val="16"/>
      <w:szCs w:val="16"/>
    </w:rPr>
  </w:style>
  <w:style w:type="paragraph" w:styleId="CommentText">
    <w:name w:val="annotation text"/>
    <w:basedOn w:val="Normal"/>
    <w:link w:val="CommentTextChar"/>
    <w:uiPriority w:val="99"/>
    <w:unhideWhenUsed/>
    <w:rsid w:val="002F3CA1"/>
    <w:rPr>
      <w:sz w:val="20"/>
      <w:lang w:val="x-none"/>
    </w:rPr>
  </w:style>
  <w:style w:type="character" w:customStyle="1" w:styleId="CommentTextChar">
    <w:name w:val="Comment Text Char"/>
    <w:link w:val="CommentText"/>
    <w:uiPriority w:val="99"/>
    <w:rsid w:val="002F3CA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F3CA1"/>
    <w:rPr>
      <w:b/>
      <w:bCs/>
    </w:rPr>
  </w:style>
  <w:style w:type="character" w:customStyle="1" w:styleId="CommentSubjectChar">
    <w:name w:val="Comment Subject Char"/>
    <w:link w:val="CommentSubject"/>
    <w:uiPriority w:val="99"/>
    <w:semiHidden/>
    <w:rsid w:val="002F3CA1"/>
    <w:rPr>
      <w:rFonts w:ascii="Arial" w:hAnsi="Arial"/>
      <w:b/>
      <w:bCs/>
      <w:lang w:eastAsia="en-US"/>
    </w:rPr>
  </w:style>
  <w:style w:type="paragraph" w:styleId="BalloonText">
    <w:name w:val="Balloon Text"/>
    <w:basedOn w:val="Normal"/>
    <w:link w:val="BalloonTextChar"/>
    <w:uiPriority w:val="99"/>
    <w:semiHidden/>
    <w:unhideWhenUsed/>
    <w:rsid w:val="002F3CA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F3CA1"/>
    <w:rPr>
      <w:rFonts w:ascii="Tahoma" w:hAnsi="Tahoma" w:cs="Tahoma"/>
      <w:sz w:val="16"/>
      <w:szCs w:val="16"/>
      <w:lang w:eastAsia="en-US"/>
    </w:rPr>
  </w:style>
  <w:style w:type="table" w:styleId="TableGrid">
    <w:name w:val="Table Grid"/>
    <w:basedOn w:val="TableNormal"/>
    <w:uiPriority w:val="59"/>
    <w:rsid w:val="00443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abletext">
    <w:name w:val="c-tabletext"/>
    <w:basedOn w:val="Normal"/>
    <w:rsid w:val="00093E71"/>
    <w:pPr>
      <w:spacing w:before="60" w:after="60" w:line="240" w:lineRule="auto"/>
    </w:pPr>
    <w:rPr>
      <w:rFonts w:ascii="Times New Roman" w:eastAsia="SimSun" w:hAnsi="Times New Roman"/>
      <w:sz w:val="22"/>
      <w:szCs w:val="22"/>
      <w:lang w:val="en-US" w:eastAsia="zh-CN"/>
    </w:rPr>
  </w:style>
  <w:style w:type="paragraph" w:customStyle="1" w:styleId="c-tableheader">
    <w:name w:val="c-tableheader"/>
    <w:basedOn w:val="Normal"/>
    <w:rsid w:val="00093E71"/>
    <w:pPr>
      <w:keepNext/>
      <w:spacing w:before="60" w:after="60" w:line="240" w:lineRule="auto"/>
    </w:pPr>
    <w:rPr>
      <w:rFonts w:ascii="Calibri" w:eastAsia="SimSun" w:hAnsi="Calibri" w:cs="SimSun"/>
      <w:b/>
      <w:bCs/>
      <w:sz w:val="22"/>
      <w:szCs w:val="22"/>
      <w:lang w:val="en-US" w:eastAsia="zh-CN"/>
    </w:rPr>
  </w:style>
  <w:style w:type="paragraph" w:styleId="EndnoteText">
    <w:name w:val="endnote text"/>
    <w:basedOn w:val="Normal"/>
    <w:link w:val="EndnoteTextChar"/>
    <w:uiPriority w:val="99"/>
    <w:semiHidden/>
    <w:unhideWhenUsed/>
    <w:rsid w:val="00270F5A"/>
    <w:pPr>
      <w:spacing w:after="0" w:line="240" w:lineRule="auto"/>
    </w:pPr>
    <w:rPr>
      <w:rFonts w:ascii="Times New Roman" w:hAnsi="Times New Roman" w:cs="Arial"/>
      <w:sz w:val="20"/>
      <w:lang w:val="en-US"/>
    </w:rPr>
  </w:style>
  <w:style w:type="character" w:customStyle="1" w:styleId="EndnoteTextChar">
    <w:name w:val="Endnote Text Char"/>
    <w:link w:val="EndnoteText"/>
    <w:uiPriority w:val="99"/>
    <w:semiHidden/>
    <w:rsid w:val="00270F5A"/>
    <w:rPr>
      <w:rFonts w:cs="Arial"/>
      <w:lang w:val="en-US" w:eastAsia="en-US"/>
    </w:rPr>
  </w:style>
  <w:style w:type="character" w:styleId="EndnoteReference">
    <w:name w:val="endnote reference"/>
    <w:uiPriority w:val="99"/>
    <w:unhideWhenUsed/>
    <w:rsid w:val="00270F5A"/>
    <w:rPr>
      <w:vertAlign w:val="superscript"/>
    </w:rPr>
  </w:style>
  <w:style w:type="paragraph" w:customStyle="1" w:styleId="C-PLR-TOC2">
    <w:name w:val="C-PLR-TOC 2"/>
    <w:basedOn w:val="Normal"/>
    <w:next w:val="Normal"/>
    <w:rsid w:val="006E32F4"/>
    <w:pPr>
      <w:spacing w:after="0" w:line="240" w:lineRule="auto"/>
      <w:ind w:left="864" w:hanging="432"/>
    </w:pPr>
    <w:rPr>
      <w:rFonts w:ascii="Times New Roman" w:hAnsi="Times New Roman"/>
      <w:color w:val="0000FF"/>
      <w:sz w:val="16"/>
      <w:lang w:val="en-US"/>
    </w:rPr>
  </w:style>
  <w:style w:type="character" w:customStyle="1" w:styleId="HeaderChar">
    <w:name w:val="Header Char"/>
    <w:link w:val="Header"/>
    <w:semiHidden/>
    <w:rsid w:val="00931EEA"/>
    <w:rPr>
      <w:rFonts w:ascii="Arial" w:hAnsi="Arial"/>
      <w:sz w:val="16"/>
      <w:lang w:val="en-GB" w:eastAsia="en-US"/>
    </w:rPr>
  </w:style>
  <w:style w:type="paragraph" w:customStyle="1" w:styleId="Default">
    <w:name w:val="Default"/>
    <w:rsid w:val="00B13073"/>
    <w:pPr>
      <w:autoSpaceDE w:val="0"/>
      <w:autoSpaceDN w:val="0"/>
      <w:adjustRightInd w:val="0"/>
    </w:pPr>
    <w:rPr>
      <w:rFonts w:ascii="Cambria" w:hAnsi="Cambria" w:cs="Cambria"/>
      <w:color w:val="000000"/>
      <w:sz w:val="24"/>
      <w:szCs w:val="24"/>
      <w:lang w:val="en-US" w:eastAsia="en-US"/>
    </w:rPr>
  </w:style>
  <w:style w:type="paragraph" w:styleId="Revision">
    <w:name w:val="Revision"/>
    <w:hidden/>
    <w:uiPriority w:val="99"/>
    <w:semiHidden/>
    <w:rsid w:val="0024689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80046">
      <w:bodyDiv w:val="1"/>
      <w:marLeft w:val="0"/>
      <w:marRight w:val="0"/>
      <w:marTop w:val="0"/>
      <w:marBottom w:val="0"/>
      <w:divBdr>
        <w:top w:val="none" w:sz="0" w:space="0" w:color="auto"/>
        <w:left w:val="none" w:sz="0" w:space="0" w:color="auto"/>
        <w:bottom w:val="none" w:sz="0" w:space="0" w:color="auto"/>
        <w:right w:val="none" w:sz="0" w:space="0" w:color="auto"/>
      </w:divBdr>
    </w:div>
    <w:div w:id="667709376">
      <w:bodyDiv w:val="1"/>
      <w:marLeft w:val="0"/>
      <w:marRight w:val="0"/>
      <w:marTop w:val="0"/>
      <w:marBottom w:val="0"/>
      <w:divBdr>
        <w:top w:val="none" w:sz="0" w:space="0" w:color="auto"/>
        <w:left w:val="none" w:sz="0" w:space="0" w:color="auto"/>
        <w:bottom w:val="none" w:sz="0" w:space="0" w:color="auto"/>
        <w:right w:val="none" w:sz="0" w:space="0" w:color="auto"/>
      </w:divBdr>
    </w:div>
    <w:div w:id="976105928">
      <w:bodyDiv w:val="1"/>
      <w:marLeft w:val="0"/>
      <w:marRight w:val="0"/>
      <w:marTop w:val="0"/>
      <w:marBottom w:val="0"/>
      <w:divBdr>
        <w:top w:val="none" w:sz="0" w:space="0" w:color="auto"/>
        <w:left w:val="none" w:sz="0" w:space="0" w:color="auto"/>
        <w:bottom w:val="none" w:sz="0" w:space="0" w:color="auto"/>
        <w:right w:val="none" w:sz="0" w:space="0" w:color="auto"/>
      </w:divBdr>
    </w:div>
    <w:div w:id="1679652732">
      <w:bodyDiv w:val="1"/>
      <w:marLeft w:val="0"/>
      <w:marRight w:val="0"/>
      <w:marTop w:val="0"/>
      <w:marBottom w:val="0"/>
      <w:divBdr>
        <w:top w:val="none" w:sz="0" w:space="0" w:color="auto"/>
        <w:left w:val="none" w:sz="0" w:space="0" w:color="auto"/>
        <w:bottom w:val="none" w:sz="0" w:space="0" w:color="auto"/>
        <w:right w:val="none" w:sz="0" w:space="0" w:color="auto"/>
      </w:divBdr>
    </w:div>
    <w:div w:id="1858886752">
      <w:bodyDiv w:val="1"/>
      <w:marLeft w:val="0"/>
      <w:marRight w:val="0"/>
      <w:marTop w:val="0"/>
      <w:marBottom w:val="0"/>
      <w:divBdr>
        <w:top w:val="none" w:sz="0" w:space="0" w:color="auto"/>
        <w:left w:val="none" w:sz="0" w:space="0" w:color="auto"/>
        <w:bottom w:val="none" w:sz="0" w:space="0" w:color="auto"/>
        <w:right w:val="none" w:sz="0" w:space="0" w:color="auto"/>
      </w:divBdr>
    </w:div>
    <w:div w:id="19739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FPViewDocumentLibraryForm</Display>
  <Edit>FPEditDocumentLibraryForm</Edit>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abeling" ma:contentTypeID="0x010100392E9EEB2E667C449BC1666CDC1B749B0E0021EC93C7B87024479C34F05B84C5EF80" ma:contentTypeVersion="40" ma:contentTypeDescription="" ma:contentTypeScope="" ma:versionID="e938dbf97578c5f0f577272ece977064">
  <xsd:schema xmlns:xsd="http://www.w3.org/2001/XMLSchema" xmlns:xs="http://www.w3.org/2001/XMLSchema" xmlns:p="http://schemas.microsoft.com/office/2006/metadata/properties" xmlns:ns2="0b51ad04-2888-4037-af9c-8029484d0cff" targetNamespace="http://schemas.microsoft.com/office/2006/metadata/properties" ma:root="true" ma:fieldsID="c9016588fc5327b54e43d8f0878a6d6b" ns2:_="">
    <xsd:import namespace="0b51ad04-2888-4037-af9c-8029484d0cff"/>
    <xsd:element name="properties">
      <xsd:complexType>
        <xsd:sequence>
          <xsd:element name="documentManagement">
            <xsd:complexType>
              <xsd:all>
                <xsd:element ref="ns2:Document_x0020_Number" minOccurs="0"/>
                <xsd:element ref="ns2:Lifecycle_x0020_Status" minOccurs="0"/>
                <xsd:element ref="ns2:Source_x0020_Document_x0020_GUID" minOccurs="0"/>
                <xsd:element ref="ns2:Workflow_x0020_Instance_x0020_GUID" minOccurs="0"/>
                <xsd:element ref="ns2:Searchable" minOccurs="0"/>
                <xsd:element ref="ns2:Keywords_x0020__x0028_FP_x0029_" minOccurs="0"/>
                <xsd:element ref="ns2:Application_x0020_Number" minOccurs="0"/>
                <xsd:element ref="ns2:Country" minOccurs="0"/>
                <xsd:element ref="ns2:Dosage_x0020_Form" minOccurs="0"/>
                <xsd:element ref="ns2:Dosage_x0020_Strength" minOccurs="0"/>
                <xsd:element ref="ns2:Health_x0020_Authority" minOccurs="0"/>
                <xsd:element ref="ns2:Indication" minOccurs="0"/>
                <xsd:element ref="ns2:Product" minOccurs="0"/>
                <xsd:element ref="ns2:Route_x0020_of_x0020_Adminstration" minOccurs="0"/>
                <xsd:element ref="ns2:Document_x0020_Type" minOccurs="0"/>
                <xsd:element ref="ns2:Submission_x0020_Type" minOccurs="0"/>
                <xsd:element ref="ns2:Geographic_x0020_Region" minOccurs="0"/>
                <xsd:element ref="ns2:eCTD_x0020_Region" minOccurs="0"/>
                <xsd:element ref="ns2:Application_x0020_Desc" minOccurs="0"/>
                <xsd:element ref="ns2:Submission_x0020_Serial_x0020_Number" minOccurs="0"/>
                <xsd:element ref="ns2:Routing_x0020_Status" minOccurs="0"/>
                <xsd:element ref="ns2:Approval_x0020_Data" minOccurs="0"/>
                <xsd:element ref="ns2:Library" minOccurs="0"/>
                <xsd:element ref="ns2:eCTD_x0020_Module" minOccurs="0"/>
                <xsd:element ref="ns2:eCTD_x0020_Node" minOccurs="0"/>
                <xsd:element ref="ns2:eCTD_x0020_Sub_x0020_Modul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1ad04-2888-4037-af9c-8029484d0cff" elementFormDefault="qualified">
    <xsd:import namespace="http://schemas.microsoft.com/office/2006/documentManagement/types"/>
    <xsd:import namespace="http://schemas.microsoft.com/office/infopath/2007/PartnerControls"/>
    <xsd:element name="Document_x0020_Number" ma:index="8" nillable="true" ma:displayName="Document Number" ma:internalName="Document_x0020_Number" ma:readOnly="false">
      <xsd:simpleType>
        <xsd:restriction base="dms:Text">
          <xsd:maxLength value="255"/>
        </xsd:restriction>
      </xsd:simpleType>
    </xsd:element>
    <xsd:element name="Lifecycle_x0020_Status" ma:index="9" nillable="true" ma:displayName="Lifecycle Status" ma:default="Draft" ma:format="Dropdown" ma:internalName="Lifecycle_x0020_Status" ma:readOnly="true">
      <xsd:simpleType>
        <xsd:restriction base="dms:Choice">
          <xsd:enumeration value="Accepted"/>
          <xsd:enumeration value="Approved"/>
          <xsd:enumeration value="Approved by eSig"/>
          <xsd:enumeration value="Cancelled"/>
          <xsd:enumeration value="Closed"/>
          <xsd:enumeration value="Collaboration Complete"/>
          <xsd:enumeration value="Draft"/>
          <xsd:enumeration value="Effective"/>
          <xsd:enumeration value="Final"/>
          <xsd:enumeration value="For Training"/>
          <xsd:enumeration value="Further Investigation"/>
          <xsd:enumeration value="Further Action Required"/>
          <xsd:enumeration value="Implementation Approved"/>
          <xsd:enumeration value="Implemented"/>
          <xsd:enumeration value="In Approval"/>
          <xsd:enumeration value="In Collaboration"/>
          <xsd:enumeration value="In Implementation"/>
          <xsd:enumeration value="In Implementation Approval"/>
          <xsd:enumeration value="In Investigation"/>
          <xsd:enumeration value="In Investigation Approval"/>
          <xsd:enumeration value="In Quality Assessment"/>
          <xsd:enumeration value="In Review"/>
          <xsd:enumeration value="In Review and Approval"/>
          <xsd:enumeration value="Investigation Approved"/>
          <xsd:enumeration value="Investigation Completed"/>
          <xsd:enumeration value="Obsolete"/>
          <xsd:enumeration value="Open"/>
          <xsd:enumeration value="Pending"/>
          <xsd:enumeration value="Pending Obsolete"/>
          <xsd:enumeration value="Proceed"/>
          <xsd:enumeration value="Quality Assessment Completed"/>
          <xsd:enumeration value="Release Prep"/>
          <xsd:enumeration value="Released"/>
          <xsd:enumeration value="Reviewed"/>
          <xsd:enumeration value="Superseded"/>
          <xsd:enumeration value="Withdrawn"/>
        </xsd:restriction>
      </xsd:simpleType>
    </xsd:element>
    <xsd:element name="Source_x0020_Document_x0020_GUID" ma:index="10" nillable="true" ma:displayName="Source Document GUID" ma:internalName="Source_x0020_Document_x0020_GUID">
      <xsd:simpleType>
        <xsd:restriction base="dms:Text">
          <xsd:maxLength value="36"/>
        </xsd:restriction>
      </xsd:simpleType>
    </xsd:element>
    <xsd:element name="Workflow_x0020_Instance_x0020_GUID" ma:index="11" nillable="true" ma:displayName="Workflow Instance GUID" ma:internalName="Workflow_x0020_Instance_x0020_GUID">
      <xsd:simpleType>
        <xsd:restriction base="dms:Text">
          <xsd:maxLength value="36"/>
        </xsd:restriction>
      </xsd:simpleType>
    </xsd:element>
    <xsd:element name="Searchable" ma:index="12" nillable="true" ma:displayName="Searchable" ma:default="Yes" ma:format="Dropdown" ma:internalName="Searchable">
      <xsd:simpleType>
        <xsd:restriction base="dms:Choice">
          <xsd:enumeration value="Yes"/>
          <xsd:enumeration value="No"/>
        </xsd:restriction>
      </xsd:simpleType>
    </xsd:element>
    <xsd:element name="Keywords_x0020__x0028_FP_x0029_" ma:index="13" nillable="true" ma:displayName="Keywords (FP)" ma:internalName="Keywords_x0020__x0028_FP_x0029_">
      <xsd:simpleType>
        <xsd:restriction base="dms:Text">
          <xsd:maxLength value="255"/>
        </xsd:restriction>
      </xsd:simpleType>
    </xsd:element>
    <xsd:element name="Application_x0020_Number" ma:index="14" nillable="true" ma:displayName="Application Number" ma:list="{42314f7c-28bd-4d84-ad2d-2ad51abeeba4}" ma:internalName="Application_x0020_Number" ma:showField="Title" ma:web="{0b51ad04-2888-4037-af9c-8029484d0cff}">
      <xsd:simpleType>
        <xsd:restriction base="dms:Lookup"/>
      </xsd:simpleType>
    </xsd:element>
    <xsd:element name="Country" ma:index="15" nillable="true" ma:displayName="Country" ma:list="{5cb5bcc2-392d-4d85-b3a4-7bfc5ab93fba}" ma:internalName="Country" ma:showField="Title" ma:web="{0b51ad04-2888-4037-af9c-8029484d0cff}">
      <xsd:simpleType>
        <xsd:restriction base="dms:Lookup"/>
      </xsd:simpleType>
    </xsd:element>
    <xsd:element name="Dosage_x0020_Form" ma:index="16" nillable="true" ma:displayName="Dosage Form" ma:list="{a4bf503f-3f58-4af4-b236-73e58f3d0bd1}" ma:internalName="Dosage_x0020_Form" ma:showField="Title" ma:web="{0b51ad04-2888-4037-af9c-8029484d0cff}">
      <xsd:complexType>
        <xsd:complexContent>
          <xsd:extension base="dms:MultiChoiceLookup">
            <xsd:sequence>
              <xsd:element name="Value" type="dms:Lookup" maxOccurs="unbounded" minOccurs="0" nillable="true"/>
            </xsd:sequence>
          </xsd:extension>
        </xsd:complexContent>
      </xsd:complexType>
    </xsd:element>
    <xsd:element name="Dosage_x0020_Strength" ma:index="17" nillable="true" ma:displayName="Dosage Strength" ma:list="{2f625a29-c8cc-4294-b523-431a478a29fe}" ma:internalName="Dosage_x0020_Strength" ma:showField="Title" ma:web="{0b51ad04-2888-4037-af9c-8029484d0cff}">
      <xsd:complexType>
        <xsd:complexContent>
          <xsd:extension base="dms:MultiChoiceLookup">
            <xsd:sequence>
              <xsd:element name="Value" type="dms:Lookup" maxOccurs="unbounded" minOccurs="0" nillable="true"/>
            </xsd:sequence>
          </xsd:extension>
        </xsd:complexContent>
      </xsd:complexType>
    </xsd:element>
    <xsd:element name="Health_x0020_Authority" ma:index="18" nillable="true" ma:displayName="Health Authority" ma:list="{0462bceb-16f9-45de-ae60-e1c81301cc1a}" ma:internalName="Health_x0020_Authority" ma:showField="Title" ma:web="{0b51ad04-2888-4037-af9c-8029484d0cff}">
      <xsd:simpleType>
        <xsd:restriction base="dms:Lookup"/>
      </xsd:simpleType>
    </xsd:element>
    <xsd:element name="Indication" ma:index="19" nillable="true" ma:displayName="Indication" ma:list="{9ae73da0-6dd6-45a2-9f6d-79cde01bb4e6}" ma:internalName="Indication" ma:showField="Title" ma:web="{0b51ad04-2888-4037-af9c-8029484d0cff}">
      <xsd:simpleType>
        <xsd:restriction base="dms:Lookup"/>
      </xsd:simpleType>
    </xsd:element>
    <xsd:element name="Product" ma:index="20" nillable="true" ma:displayName="Product" ma:list="{43fe874e-22d3-4510-87d3-23d37a65fb95}" ma:internalName="Product" ma:showField="Title" ma:web="{0b51ad04-2888-4037-af9c-8029484d0cff}">
      <xsd:simpleType>
        <xsd:restriction base="dms:Lookup"/>
      </xsd:simpleType>
    </xsd:element>
    <xsd:element name="Route_x0020_of_x0020_Adminstration" ma:index="21" nillable="true" ma:displayName="Route of Administration" ma:list="{3482aeab-79c4-4899-bcf0-34d3a2fcaca9}" ma:internalName="Route_x0020_of_x0020_Adminstration" ma:showField="Title" ma:web="{0b51ad04-2888-4037-af9c-8029484d0cff}">
      <xsd:complexType>
        <xsd:complexContent>
          <xsd:extension base="dms:MultiChoiceLookup">
            <xsd:sequence>
              <xsd:element name="Value" type="dms:Lookup" maxOccurs="unbounded" minOccurs="0" nillable="true"/>
            </xsd:sequence>
          </xsd:extension>
        </xsd:complexContent>
      </xsd:complexType>
    </xsd:element>
    <xsd:element name="Document_x0020_Type" ma:index="22" nillable="true" ma:displayName="Document Type" ma:list="{9e3a64c4-ca6a-4248-8dd1-419df327aa2a}" ma:internalName="Document_x0020_Type" ma:showField="Title" ma:web="{0b51ad04-2888-4037-af9c-8029484d0cff}">
      <xsd:simpleType>
        <xsd:restriction base="dms:Lookup"/>
      </xsd:simpleType>
    </xsd:element>
    <xsd:element name="Submission_x0020_Type" ma:index="23" nillable="true" ma:displayName="Submission Type" ma:list="{bf205065-ad73-498b-8c35-84ec88dd7699}" ma:internalName="Submission_x0020_Type" ma:showField="Title" ma:web="{0b51ad04-2888-4037-af9c-8029484d0cff}">
      <xsd:complexType>
        <xsd:complexContent>
          <xsd:extension base="dms:MultiChoiceLookup">
            <xsd:sequence>
              <xsd:element name="Value" type="dms:Lookup" maxOccurs="unbounded" minOccurs="0" nillable="true"/>
            </xsd:sequence>
          </xsd:extension>
        </xsd:complexContent>
      </xsd:complexType>
    </xsd:element>
    <xsd:element name="Geographic_x0020_Region" ma:index="24" nillable="true" ma:displayName="Geographic Region" ma:list="{ee997b3b-58fb-47ac-b6f0-1a404e5447f3}" ma:internalName="Geographic_x0020_Region" ma:showField="Title" ma:web="{0b51ad04-2888-4037-af9c-8029484d0cff}">
      <xsd:simpleType>
        <xsd:restriction base="dms:Lookup"/>
      </xsd:simpleType>
    </xsd:element>
    <xsd:element name="eCTD_x0020_Region" ma:index="25" nillable="true" ma:displayName="eCTD Region" ma:list="{582759ac-e47b-497f-942d-95d299411e5f}" ma:internalName="eCTD_x0020_Region" ma:showField="Title" ma:web="{0b51ad04-2888-4037-af9c-8029484d0cff}">
      <xsd:simpleType>
        <xsd:restriction base="dms:Lookup"/>
      </xsd:simpleType>
    </xsd:element>
    <xsd:element name="Application_x0020_Desc" ma:index="26" nillable="true" ma:displayName="Application Desc" ma:list="{f60480c7-8b1f-441d-84a6-55958ba51941}" ma:internalName="Application_x0020_Desc" ma:showField="Title" ma:web="{0b51ad04-2888-4037-af9c-8029484d0cff}">
      <xsd:complexType>
        <xsd:complexContent>
          <xsd:extension base="dms:MultiChoiceLookup">
            <xsd:sequence>
              <xsd:element name="Value" type="dms:Lookup" maxOccurs="unbounded" minOccurs="0" nillable="true"/>
            </xsd:sequence>
          </xsd:extension>
        </xsd:complexContent>
      </xsd:complexType>
    </xsd:element>
    <xsd:element name="Submission_x0020_Serial_x0020_Number" ma:index="27" nillable="true" ma:displayName="Submission Serial Number" ma:internalName="Submission_x0020_Serial_x0020_Number">
      <xsd:simpleType>
        <xsd:restriction base="dms:Text">
          <xsd:maxLength value="255"/>
        </xsd:restriction>
      </xsd:simpleType>
    </xsd:element>
    <xsd:element name="Routing_x0020_Status" ma:index="28" nillable="true" ma:displayName="Routing Status" ma:default="Ready for Revision" ma:format="Dropdown" ma:internalName="Routing_x0020_Status" ma:readOnly="true">
      <xsd:simpleType>
        <xsd:restriction base="dms:Choice">
          <xsd:enumeration value="Ready for Revision"/>
          <xsd:enumeration value="Ready for Review"/>
          <xsd:enumeration value="Ready for Approval"/>
          <xsd:enumeration value="Ready for Doc Control Initiation"/>
          <xsd:enumeration value="Requires Updates"/>
          <xsd:enumeration value="Routing"/>
          <xsd:enumeration value="In Periodic Review"/>
          <xsd:enumeration value="Ineligible for Revision"/>
          <xsd:enumeration value="Pending Effectivity"/>
        </xsd:restriction>
      </xsd:simpleType>
    </xsd:element>
    <xsd:element name="Approval_x0020_Data" ma:index="29" nillable="true" ma:displayName="Approval Data" ma:internalName="Approval_x0020_Data" ma:readOnly="false">
      <xsd:simpleType>
        <xsd:restriction base="dms:Note"/>
      </xsd:simpleType>
    </xsd:element>
    <xsd:element name="Library" ma:index="31" nillable="true" ma:displayName="Library" ma:list="{25d53d78-dbf4-4750-92ce-c0a1de060c58}" ma:internalName="Library" ma:showField="Title" ma:web="0b51ad04-2888-4037-af9c-8029484d0cff">
      <xsd:simpleType>
        <xsd:restriction base="dms:Lookup"/>
      </xsd:simpleType>
    </xsd:element>
    <xsd:element name="eCTD_x0020_Module" ma:index="32" nillable="true" ma:displayName="eCTD Module" ma:list="{743ae849-91d3-40ec-becb-fb148e0c285d}" ma:internalName="eCTD_x0020_Module" ma:showField="Title" ma:web="0b51ad04-2888-4037-af9c-8029484d0cff">
      <xsd:simpleType>
        <xsd:restriction base="dms:Lookup"/>
      </xsd:simpleType>
    </xsd:element>
    <xsd:element name="eCTD_x0020_Node" ma:index="33" nillable="true" ma:displayName="eCTD Node" ma:list="{f47e3cce-bdcb-4373-ba79-6d9d8e664963}" ma:internalName="eCTD_x0020_Node" ma:showField="Title" ma:web="0b51ad04-2888-4037-af9c-8029484d0cff">
      <xsd:simpleType>
        <xsd:restriction base="dms:Lookup"/>
      </xsd:simpleType>
    </xsd:element>
    <xsd:element name="eCTD_x0020_Sub_x0020_Module" ma:index="34" nillable="true" ma:displayName="eCTD Sub Module" ma:list="{0575cd7e-19e9-4853-b812-3cfe04cf5212}" ma:internalName="eCTD_x0020_Sub_x0020_Module" ma:showField="Title" ma:web="0b51ad04-2888-4037-af9c-8029484d0cff">
      <xsd:simpleType>
        <xsd:restriction base="dms:Lookup"/>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duct xmlns="0b51ad04-2888-4037-af9c-8029484d0cff">3</Product>
    <Searchable xmlns="0b51ad04-2888-4037-af9c-8029484d0cff">Yes</Searchable>
    <Application_x0020_Number xmlns="0b51ad04-2888-4037-af9c-8029484d0cff">20</Application_x0020_Number>
    <Workflow_x0020_Instance_x0020_GUID xmlns="0b51ad04-2888-4037-af9c-8029484d0cff" xsi:nil="true"/>
    <eCTD_x0020_Region xmlns="0b51ad04-2888-4037-af9c-8029484d0cff">6</eCTD_x0020_Region>
    <Document_x0020_Type xmlns="0b51ad04-2888-4037-af9c-8029484d0cff">354</Document_x0020_Type>
    <Document_x0020_Number xmlns="0b51ad04-2888-4037-af9c-8029484d0cff" xsi:nil="true"/>
    <Keywords_x0020__x0028_FP_x0029_ xmlns="0b51ad04-2888-4037-af9c-8029484d0cff" xsi:nil="true"/>
    <Geographic_x0020_Region xmlns="0b51ad04-2888-4037-af9c-8029484d0cff">7</Geographic_x0020_Region>
    <Health_x0020_Authority xmlns="0b51ad04-2888-4037-af9c-8029484d0cff">44</Health_x0020_Authority>
    <Source_x0020_Document_x0020_GUID xmlns="0b51ad04-2888-4037-af9c-8029484d0cff" xsi:nil="true"/>
    <Submission_x0020_Type xmlns="0b51ad04-2888-4037-af9c-8029484d0cff">
      <Value>44</Value>
    </Submission_x0020_Type>
    <Library xmlns="0b51ad04-2888-4037-af9c-8029484d0cff">4</Library>
    <Country xmlns="0b51ad04-2888-4037-af9c-8029484d0cff">3</Country>
    <eCTD_x0020_Sub_x0020_Module xmlns="0b51ad04-2888-4037-af9c-8029484d0cff">42</eCTD_x0020_Sub_x0020_Module>
    <Dosage_x0020_Form xmlns="0b51ad04-2888-4037-af9c-8029484d0cff">
      <Value>159</Value>
    </Dosage_x0020_Form>
    <eCTD_x0020_Module xmlns="0b51ad04-2888-4037-af9c-8029484d0cff">6</eCTD_x0020_Module>
    <Approval_x0020_Data xmlns="0b51ad04-2888-4037-af9c-8029484d0cff" xsi:nil="true"/>
    <Dosage_x0020_Strength xmlns="0b51ad04-2888-4037-af9c-8029484d0cff">
      <Value>12</Value>
    </Dosage_x0020_Strength>
    <Route_x0020_of_x0020_Adminstration xmlns="0b51ad04-2888-4037-af9c-8029484d0cff">
      <Value>86</Value>
    </Route_x0020_of_x0020_Adminstration>
    <Submission_x0020_Serial_x0020_Number xmlns="0b51ad04-2888-4037-af9c-8029484d0cff" xsi:nil="true"/>
    <Indication xmlns="0b51ad04-2888-4037-af9c-8029484d0cff">2</Indication>
    <Application_x0020_Desc xmlns="0b51ad04-2888-4037-af9c-8029484d0cff"/>
    <eCTD_x0020_Node xmlns="0b51ad04-2888-4037-af9c-8029484d0cff">364</eCTD_x0020_Nod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F6532-A6B9-4775-A53F-88DA9B6831EC}">
  <ds:schemaRefs>
    <ds:schemaRef ds:uri="http://schemas.microsoft.com/sharepoint/v3/contenttype/forms"/>
  </ds:schemaRefs>
</ds:datastoreItem>
</file>

<file path=customXml/itemProps2.xml><?xml version="1.0" encoding="utf-8"?>
<ds:datastoreItem xmlns:ds="http://schemas.openxmlformats.org/officeDocument/2006/customXml" ds:itemID="{4382CD4C-7DB5-488C-88A1-A7C674D03C10}">
  <ds:schemaRefs>
    <ds:schemaRef ds:uri="http://schemas.microsoft.com/sharepoint/events"/>
  </ds:schemaRefs>
</ds:datastoreItem>
</file>

<file path=customXml/itemProps3.xml><?xml version="1.0" encoding="utf-8"?>
<ds:datastoreItem xmlns:ds="http://schemas.openxmlformats.org/officeDocument/2006/customXml" ds:itemID="{EB8F5AFD-66F9-44FB-B138-2962DF70E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1ad04-2888-4037-af9c-8029484d0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46C99-C4FD-4A8A-823F-1F4B5F7C65CA}">
  <ds:schemaRefs>
    <ds:schemaRef ds:uri="http://www.w3.org/XML/1998/namespace"/>
    <ds:schemaRef ds:uri="http://schemas.microsoft.com/office/2006/documentManagement/types"/>
    <ds:schemaRef ds:uri="http://purl.org/dc/elements/1.1/"/>
    <ds:schemaRef ds:uri="0b51ad04-2888-4037-af9c-8029484d0cff"/>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6277B2F-EE9C-46C8-8EBC-B0CBCF45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4523</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Attachment 1: Product information for lesinurad</vt:lpstr>
    </vt:vector>
  </TitlesOfParts>
  <Company>AstraZeneca</Company>
  <LinksUpToDate>false</LinksUpToDate>
  <CharactersWithSpaces>30250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lesinurad</dc:title>
  <dc:creator>AstraZeneca Pty Ltd</dc:creator>
  <cp:lastModifiedBy>Sheppard, Fran</cp:lastModifiedBy>
  <cp:revision>2</cp:revision>
  <cp:lastPrinted>2016-03-11T17:23:00Z</cp:lastPrinted>
  <dcterms:created xsi:type="dcterms:W3CDTF">2016-10-11T03:19:00Z</dcterms:created>
  <dcterms:modified xsi:type="dcterms:W3CDTF">2016-10-11T03:19:00Z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y fmtid="{D5CDD505-2E9C-101B-9397-08002B2CF9AE}" pid="5" name="ContentTypeId">
    <vt:lpwstr>0x010100392E9EEB2E667C449BC1666CDC1B749B0E0021EC93C7B87024479C34F05B84C5EF80</vt:lpwstr>
  </property>
  <property fmtid="{D5CDD505-2E9C-101B-9397-08002B2CF9AE}" pid="6" name="_dlc_DocIdItemGuid">
    <vt:lpwstr>3869e017-6a6d-4f0e-9ae3-95c890c42439</vt:lpwstr>
  </property>
  <property fmtid="{D5CDD505-2E9C-101B-9397-08002B2CF9AE}" pid="7" name="Order">
    <vt:r8>365100</vt:r8>
  </property>
  <property fmtid="{D5CDD505-2E9C-101B-9397-08002B2CF9AE}" pid="8" name="xd_ProgID">
    <vt:lpwstr/>
  </property>
  <property fmtid="{D5CDD505-2E9C-101B-9397-08002B2CF9AE}" pid="9" name="TemplateUrl">
    <vt:lpwstr/>
  </property>
  <property fmtid="{D5CDD505-2E9C-101B-9397-08002B2CF9AE}" pid="10" name="_CopySource">
    <vt:lpwstr/>
  </property>
  <property fmtid="{D5CDD505-2E9C-101B-9397-08002B2CF9AE}" pid="11" name="_dlc_DocId">
    <vt:lpwstr>XXH6VDX2N642-31282-3</vt:lpwstr>
  </property>
  <property fmtid="{D5CDD505-2E9C-101B-9397-08002B2CF9AE}" pid="12" name="_dlc_DocIdUrl">
    <vt:lpwstr>http://fp.ardeabio.com/FP-4eb8a3bab509422e8f974bbca3c9d0ed/_layouts/DocIdRedir.aspx?ID=XXH6VDX2N642-31282-3, XXH6VDX2N642-31282-3</vt:lpwstr>
  </property>
  <property fmtid="{D5CDD505-2E9C-101B-9397-08002B2CF9AE}" pid="13" name="Routing Status">
    <vt:lpwstr>Ready for Approval</vt:lpwstr>
  </property>
  <property fmtid="{D5CDD505-2E9C-101B-9397-08002B2CF9AE}" pid="14" name="Lifecycle Status">
    <vt:lpwstr>Draft</vt:lpwstr>
  </property>
</Properties>
</file>