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6808EF7" w14:textId="4E078C7A" w:rsidR="002B7751" w:rsidRDefault="002B7751" w:rsidP="00152D49">
      <w:pPr>
        <w:pStyle w:val="Paragraph"/>
      </w:pPr>
      <w:r w:rsidRPr="00940071">
        <w:rPr>
          <w:noProof/>
          <w:lang w:val="en-AU" w:eastAsia="en-AU"/>
        </w:rPr>
        <mc:AlternateContent>
          <mc:Choice Requires="wps">
            <w:drawing>
              <wp:inline distT="0" distB="0" distL="0" distR="0" wp14:anchorId="7D2574A3" wp14:editId="20F88D00">
                <wp:extent cx="180000" cy="154800"/>
                <wp:effectExtent l="0" t="0" r="0" b="0"/>
                <wp:docPr id="3" name="Isosceles Triangle 3"/>
                <wp:cNvGraphicFramePr/>
                <a:graphic xmlns:a="http://schemas.openxmlformats.org/drawingml/2006/main">
                  <a:graphicData uri="http://schemas.microsoft.com/office/word/2010/wordprocessingShape">
                    <wps:wsp>
                      <wps:cNvSpPr/>
                      <wps:spPr>
                        <a:xfrm flipH="1" flipV="1">
                          <a:off x="0" y="0"/>
                          <a:ext cx="180000" cy="154800"/>
                        </a:xfrm>
                        <a:prstGeom prst="triangle">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14:paraId="74C8733D" w14:textId="77777777" w:rsidR="005D76EA" w:rsidRDefault="005D76EA" w:rsidP="002B77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D2574A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width:14.15pt;height:12.2pt;flip:x 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" fillcolor="black [3200]" stroked="f" strokeweight="2pt">
                <v:textbox>
                  <w:txbxContent>
                    <w:p w14:paraId="74C8733D" w14:textId="77777777" w:rsidR="005D76EA" w:rsidRDefault="005D76EA" w:rsidP="002B7751">
                      <w:pPr>
                        <w:jc w:val="center"/>
                      </w:pPr>
                    </w:p>
                  </w:txbxContent>
                </v:textbox>
                <w10:anchorlock/>
              </v:shape>
            </w:pict>
          </mc:Fallback>
        </mc:AlternateContent>
      </w:r>
      <w:r w:rsidRPr="008C3B7A">
        <w:t xml:space="preserve">This medicinal product is subject to additional monitoring in Australia due to provisional approval of an extension of indication. This will allow quick identification of new safety information. Healthcare professionals </w:t>
      </w:r>
      <w:proofErr w:type="gramStart"/>
      <w:r w:rsidRPr="008C3B7A">
        <w:t>are asked</w:t>
      </w:r>
      <w:proofErr w:type="gramEnd"/>
      <w:r w:rsidRPr="008C3B7A">
        <w:t xml:space="preserve"> to report any suspected adverse events at </w:t>
      </w:r>
      <w:hyperlink r:id="rId11" w:history="1">
        <w:r w:rsidRPr="00075173">
          <w:rPr>
            <w:rStyle w:val="Hyperlink"/>
          </w:rPr>
          <w:t>www</w:t>
        </w:r>
        <w:r w:rsidR="005D76EA" w:rsidRPr="00075173">
          <w:rPr>
            <w:rStyle w:val="Hyperlink"/>
          </w:rPr>
          <w:t>.tga.gov.au/reporting-problems</w:t>
        </w:r>
      </w:hyperlink>
      <w:r w:rsidR="005D76EA">
        <w:t>.</w:t>
      </w:r>
    </w:p>
    <w:p w14:paraId="0E1237B1" w14:textId="6969AF8C" w:rsidR="00947D56" w:rsidRPr="00947D56" w:rsidRDefault="00D85D9B" w:rsidP="00947D56">
      <w:pPr>
        <w:pStyle w:val="Heading1"/>
        <w:numPr>
          <w:ilvl w:val="0"/>
          <w:numId w:val="0"/>
        </w:numPr>
        <w:jc w:val="center"/>
      </w:pPr>
      <w:r>
        <w:t xml:space="preserve">Australian </w:t>
      </w:r>
      <w:r w:rsidR="00835476" w:rsidRPr="00BE78D8">
        <w:t>PRODUCT INFORMATION</w:t>
      </w:r>
      <w:r>
        <w:t xml:space="preserve"> – Lenvima</w:t>
      </w:r>
      <w:r w:rsidRPr="00D85D9B">
        <w:rPr>
          <w:vertAlign w:val="superscript"/>
        </w:rPr>
        <w:t>®</w:t>
      </w:r>
      <w:r>
        <w:t xml:space="preserve"> </w:t>
      </w:r>
      <w:r w:rsidR="00947D56">
        <w:t>(</w:t>
      </w:r>
      <w:r>
        <w:t>Lenvatinib</w:t>
      </w:r>
      <w:r w:rsidR="00947D56">
        <w:t xml:space="preserve">) </w:t>
      </w:r>
      <w:r w:rsidR="00DB2922" w:rsidRPr="008C477A">
        <w:t>Hard capsule</w:t>
      </w:r>
    </w:p>
    <w:p w14:paraId="2866D93C" w14:textId="77777777" w:rsidR="00835476" w:rsidRPr="00BE78D8" w:rsidRDefault="00835476" w:rsidP="00D85D9B">
      <w:pPr>
        <w:pStyle w:val="Heading1"/>
      </w:pPr>
      <w:r w:rsidRPr="00BE78D8">
        <w:t>Name of the MEDICINE</w:t>
      </w:r>
    </w:p>
    <w:p w14:paraId="2866D93D" w14:textId="77777777" w:rsidR="00835476" w:rsidRPr="00BE78D8" w:rsidRDefault="00BE78D8" w:rsidP="00D85D9B">
      <w:pPr>
        <w:pStyle w:val="BodyText"/>
        <w:rPr>
          <w:lang w:val="en-US"/>
        </w:rPr>
      </w:pPr>
      <w:proofErr w:type="spellStart"/>
      <w:r>
        <w:rPr>
          <w:lang w:val="en-US"/>
        </w:rPr>
        <w:t>Le</w:t>
      </w:r>
      <w:r w:rsidR="0047610F">
        <w:rPr>
          <w:lang w:val="en-US"/>
        </w:rPr>
        <w:t>n</w:t>
      </w:r>
      <w:r>
        <w:rPr>
          <w:lang w:val="en-US"/>
        </w:rPr>
        <w:t>vatinib</w:t>
      </w:r>
      <w:proofErr w:type="spellEnd"/>
      <w:r>
        <w:rPr>
          <w:lang w:val="en-US"/>
        </w:rPr>
        <w:t xml:space="preserve"> as </w:t>
      </w:r>
      <w:proofErr w:type="spellStart"/>
      <w:r>
        <w:rPr>
          <w:lang w:val="en-US"/>
        </w:rPr>
        <w:t>lenvatinib</w:t>
      </w:r>
      <w:proofErr w:type="spellEnd"/>
      <w:r>
        <w:rPr>
          <w:lang w:val="en-US"/>
        </w:rPr>
        <w:t xml:space="preserve"> </w:t>
      </w:r>
      <w:proofErr w:type="spellStart"/>
      <w:r w:rsidR="00835476" w:rsidRPr="00BE78D8">
        <w:rPr>
          <w:lang w:val="en-US"/>
        </w:rPr>
        <w:t>mesilate</w:t>
      </w:r>
      <w:proofErr w:type="spellEnd"/>
    </w:p>
    <w:p w14:paraId="2012C208" w14:textId="77777777" w:rsidR="00D85D9B" w:rsidRDefault="00D85D9B" w:rsidP="00D85D9B">
      <w:pPr>
        <w:pStyle w:val="Heading1"/>
        <w:ind w:left="431" w:hanging="431"/>
      </w:pPr>
      <w:r w:rsidRPr="00356A04">
        <w:t>Qualitative and quantitative composition</w:t>
      </w:r>
    </w:p>
    <w:p w14:paraId="79C25C3E" w14:textId="6B148BB5" w:rsidR="00DC5E06" w:rsidRPr="009502E0" w:rsidRDefault="00DC5E06" w:rsidP="005D76EA">
      <w:pPr>
        <w:pStyle w:val="BodyText"/>
        <w:spacing w:before="120" w:after="120"/>
      </w:pPr>
      <w:r>
        <w:t>Each LENVIMA 4</w:t>
      </w:r>
      <w:r w:rsidRPr="009502E0">
        <w:t> mg h</w:t>
      </w:r>
      <w:r>
        <w:t xml:space="preserve">ard capsule contains 4 mg </w:t>
      </w:r>
      <w:proofErr w:type="spellStart"/>
      <w:r>
        <w:t>lenvatinib</w:t>
      </w:r>
      <w:proofErr w:type="spellEnd"/>
      <w:r>
        <w:t xml:space="preserve"> (as </w:t>
      </w:r>
      <w:proofErr w:type="spellStart"/>
      <w:r>
        <w:t>mesilate</w:t>
      </w:r>
      <w:proofErr w:type="spellEnd"/>
      <w:r>
        <w:t>)</w:t>
      </w:r>
      <w:r w:rsidRPr="009502E0">
        <w:t>.</w:t>
      </w:r>
    </w:p>
    <w:p w14:paraId="591A84B0" w14:textId="7D7B386B" w:rsidR="00DC5E06" w:rsidRPr="009502E0" w:rsidRDefault="00DC5E06" w:rsidP="005D76EA">
      <w:pPr>
        <w:pStyle w:val="BodyText"/>
        <w:spacing w:before="120" w:after="120"/>
      </w:pPr>
      <w:r>
        <w:t>Each LENVIMA 10</w:t>
      </w:r>
      <w:r w:rsidRPr="009502E0">
        <w:t> mg h</w:t>
      </w:r>
      <w:r>
        <w:t xml:space="preserve">ard capsule contains 10 mg </w:t>
      </w:r>
      <w:proofErr w:type="spellStart"/>
      <w:r>
        <w:t>lenvatinib</w:t>
      </w:r>
      <w:proofErr w:type="spellEnd"/>
      <w:r>
        <w:t xml:space="preserve"> (as </w:t>
      </w:r>
      <w:proofErr w:type="spellStart"/>
      <w:r>
        <w:t>mesilate</w:t>
      </w:r>
      <w:proofErr w:type="spellEnd"/>
      <w:r>
        <w:t>)</w:t>
      </w:r>
      <w:r w:rsidRPr="009502E0">
        <w:t>.</w:t>
      </w:r>
    </w:p>
    <w:p w14:paraId="77643A61" w14:textId="509622B8" w:rsidR="00DC5E06" w:rsidRDefault="00DC5E06" w:rsidP="005D76EA">
      <w:pPr>
        <w:pStyle w:val="BodyText"/>
        <w:spacing w:before="120" w:after="120"/>
      </w:pPr>
      <w:r>
        <w:t>F</w:t>
      </w:r>
      <w:r w:rsidRPr="00356A04">
        <w:t>or the full list of excipients, see S</w:t>
      </w:r>
      <w:r>
        <w:t xml:space="preserve">ection </w:t>
      </w:r>
      <w:r>
        <w:fldChar w:fldCharType="begin"/>
      </w:r>
      <w:r>
        <w:instrText xml:space="preserve"> REF _Ref503187308 \r \h </w:instrText>
      </w:r>
      <w:r>
        <w:fldChar w:fldCharType="separate"/>
      </w:r>
      <w:r w:rsidR="0064223A">
        <w:t>6.1</w:t>
      </w:r>
      <w:r>
        <w:fldChar w:fldCharType="end"/>
      </w:r>
      <w:r>
        <w:t xml:space="preserve"> List of excipients.</w:t>
      </w:r>
    </w:p>
    <w:p w14:paraId="375C8F90" w14:textId="77777777" w:rsidR="00DC5E06" w:rsidRDefault="00DC5E06" w:rsidP="00DC5E06">
      <w:pPr>
        <w:pStyle w:val="Heading1"/>
        <w:ind w:left="431" w:hanging="431"/>
      </w:pPr>
      <w:r w:rsidRPr="00356A04">
        <w:t>Pharmaceutical form</w:t>
      </w:r>
    </w:p>
    <w:p w14:paraId="2866D955" w14:textId="580D2FE7" w:rsidR="00E07AED" w:rsidRDefault="00DC5E06" w:rsidP="005D76EA">
      <w:pPr>
        <w:pStyle w:val="BodyText"/>
        <w:spacing w:before="120" w:after="120"/>
        <w:rPr>
          <w:lang w:val="en-US"/>
        </w:rPr>
      </w:pPr>
      <w:r>
        <w:rPr>
          <w:lang w:val="en-US"/>
        </w:rPr>
        <w:t>Hard capsule.</w:t>
      </w:r>
    </w:p>
    <w:p w14:paraId="5309DF24" w14:textId="51C1D7C3" w:rsidR="00DC5E06" w:rsidRPr="00BE78D8" w:rsidRDefault="00DC5E06" w:rsidP="005D76EA">
      <w:pPr>
        <w:pStyle w:val="BodyText"/>
        <w:spacing w:before="120" w:after="120"/>
        <w:rPr>
          <w:lang w:val="en-US"/>
        </w:rPr>
      </w:pPr>
      <w:r>
        <w:rPr>
          <w:lang w:val="en-US"/>
        </w:rPr>
        <w:t xml:space="preserve">LENVIMA </w:t>
      </w:r>
      <w:r w:rsidRPr="00BE78D8">
        <w:rPr>
          <w:lang w:val="en-US"/>
        </w:rPr>
        <w:t xml:space="preserve">4 mg </w:t>
      </w:r>
      <w:r>
        <w:rPr>
          <w:lang w:val="en-US"/>
        </w:rPr>
        <w:t xml:space="preserve">hard </w:t>
      </w:r>
      <w:r w:rsidRPr="00BE78D8">
        <w:rPr>
          <w:lang w:val="en-US"/>
        </w:rPr>
        <w:t>capsule: A yellowish-red body and yellowish-red cap, approximately 14.3 mm in length, marked in black ink with “Є” on the cap, and “LENV 4 mg” on the body.</w:t>
      </w:r>
    </w:p>
    <w:p w14:paraId="650B3289" w14:textId="77777777" w:rsidR="00DC5E06" w:rsidRPr="00BE78D8" w:rsidRDefault="00DC5E06" w:rsidP="005D76EA">
      <w:pPr>
        <w:pStyle w:val="BodyText"/>
        <w:spacing w:before="120" w:after="120"/>
        <w:rPr>
          <w:lang w:val="en-US"/>
        </w:rPr>
      </w:pPr>
      <w:r>
        <w:rPr>
          <w:lang w:val="en-US"/>
        </w:rPr>
        <w:t xml:space="preserve">LENVIMA </w:t>
      </w:r>
      <w:r w:rsidRPr="00BE78D8">
        <w:rPr>
          <w:lang w:val="en-US"/>
        </w:rPr>
        <w:t xml:space="preserve">10 mg </w:t>
      </w:r>
      <w:r>
        <w:rPr>
          <w:lang w:val="en-US"/>
        </w:rPr>
        <w:t xml:space="preserve">hard </w:t>
      </w:r>
      <w:r w:rsidRPr="00BE78D8">
        <w:rPr>
          <w:lang w:val="en-US"/>
        </w:rPr>
        <w:t>capsule: A yellow body and yellowish-red cap, approximately 14.3 mm in length, marked in black ink with “Є” on the cap, and “LENV 10 mg” on the body.</w:t>
      </w:r>
    </w:p>
    <w:p w14:paraId="1F9F55D2" w14:textId="77777777" w:rsidR="00DC5E06" w:rsidRDefault="00DC5E06" w:rsidP="00DC5E06">
      <w:pPr>
        <w:pStyle w:val="Heading1"/>
        <w:ind w:left="431" w:hanging="431"/>
      </w:pPr>
      <w:r w:rsidRPr="00356A04">
        <w:t>Clinical particulars</w:t>
      </w:r>
    </w:p>
    <w:p w14:paraId="2F5576E3" w14:textId="0E20A170" w:rsidR="00DC5E06" w:rsidRDefault="005D76EA" w:rsidP="005D76EA">
      <w:pPr>
        <w:pStyle w:val="Heading2"/>
      </w:pPr>
      <w:r>
        <w:t>Therapeutic indications</w:t>
      </w:r>
    </w:p>
    <w:p w14:paraId="494F1808" w14:textId="50E647DC" w:rsidR="00346214" w:rsidRDefault="00346214" w:rsidP="005D76EA">
      <w:pPr>
        <w:pStyle w:val="BodyText"/>
        <w:spacing w:before="120" w:after="120"/>
      </w:pPr>
      <w:r w:rsidRPr="00CB3956">
        <w:t xml:space="preserve">LENVIMA, in combination with </w:t>
      </w:r>
      <w:proofErr w:type="spellStart"/>
      <w:r w:rsidRPr="00CB3956">
        <w:t>pembrolizumab</w:t>
      </w:r>
      <w:proofErr w:type="spellEnd"/>
      <w:r w:rsidRPr="00CB3956">
        <w:t xml:space="preserve">, is indicated for the treatment of patients with </w:t>
      </w:r>
      <w:r>
        <w:t xml:space="preserve">advanced </w:t>
      </w:r>
      <w:r w:rsidRPr="00CB3956">
        <w:t xml:space="preserve">endometrial carcinoma </w:t>
      </w:r>
      <w:r>
        <w:t xml:space="preserve">that is not </w:t>
      </w:r>
      <w:r w:rsidRPr="00CB3956">
        <w:t>microsatellite instability</w:t>
      </w:r>
      <w:r>
        <w:t>-</w:t>
      </w:r>
      <w:r w:rsidRPr="00CB3956">
        <w:t>high</w:t>
      </w:r>
      <w:r>
        <w:t xml:space="preserve"> (MSI-H) or</w:t>
      </w:r>
      <w:r w:rsidRPr="00CB3956">
        <w:t xml:space="preserve"> mismatch</w:t>
      </w:r>
      <w:r>
        <w:t xml:space="preserve"> repair deficient</w:t>
      </w:r>
      <w:r w:rsidRPr="00CB3956">
        <w:t xml:space="preserve"> (</w:t>
      </w:r>
      <w:proofErr w:type="spellStart"/>
      <w:r w:rsidRPr="00CB3956">
        <w:t>dMMR</w:t>
      </w:r>
      <w:proofErr w:type="spellEnd"/>
      <w:r w:rsidRPr="00CB3956">
        <w:t>)</w:t>
      </w:r>
      <w:r>
        <w:t>,</w:t>
      </w:r>
      <w:r w:rsidRPr="00D275CF">
        <w:t xml:space="preserve"> </w:t>
      </w:r>
      <w:r>
        <w:t xml:space="preserve">who </w:t>
      </w:r>
      <w:r w:rsidRPr="002C303D">
        <w:t>have disease progression following prior systemic therapy and are not candidates for curative surgery or radiation</w:t>
      </w:r>
      <w:r w:rsidRPr="00CB3956">
        <w:t>.</w:t>
      </w:r>
      <w:r>
        <w:t xml:space="preserve"> </w:t>
      </w:r>
      <w:r w:rsidRPr="00346214">
        <w:t xml:space="preserve">This indication </w:t>
      </w:r>
      <w:proofErr w:type="gramStart"/>
      <w:r w:rsidRPr="00346214">
        <w:t>was approved</w:t>
      </w:r>
      <w:proofErr w:type="gramEnd"/>
      <w:r w:rsidRPr="00346214">
        <w:t xml:space="preserve"> via the </w:t>
      </w:r>
      <w:r w:rsidRPr="00346214">
        <w:rPr>
          <w:b/>
        </w:rPr>
        <w:t>provisional approval</w:t>
      </w:r>
      <w:r w:rsidRPr="00346214">
        <w:t xml:space="preserve"> pathway, based on objective response rate and duration of response in a single-arm trial. Full registration for this indication depends on verification and description of clinical benefit in confirmatory trials.</w:t>
      </w:r>
    </w:p>
    <w:p w14:paraId="54E9D8D0" w14:textId="07BC7266" w:rsidR="0032045C" w:rsidRDefault="0032045C" w:rsidP="005D76EA">
      <w:pPr>
        <w:pStyle w:val="BodyText"/>
        <w:spacing w:before="120" w:after="120"/>
        <w:rPr>
          <w:lang w:val="en-US"/>
        </w:rPr>
      </w:pPr>
      <w:r w:rsidRPr="00BE78D8">
        <w:rPr>
          <w:lang w:val="en-US"/>
        </w:rPr>
        <w:t xml:space="preserve">LENVIMA </w:t>
      </w:r>
      <w:proofErr w:type="gramStart"/>
      <w:r w:rsidRPr="00BE78D8">
        <w:rPr>
          <w:lang w:val="en-US"/>
        </w:rPr>
        <w:t>is indicated</w:t>
      </w:r>
      <w:proofErr w:type="gramEnd"/>
      <w:r w:rsidRPr="00BE78D8">
        <w:rPr>
          <w:lang w:val="en-US"/>
        </w:rPr>
        <w:t xml:space="preserve"> for the treatment of patients with progressive,</w:t>
      </w:r>
      <w:r>
        <w:rPr>
          <w:lang w:val="en-US"/>
        </w:rPr>
        <w:t xml:space="preserve"> locally advanced or metastatic,</w:t>
      </w:r>
      <w:r w:rsidRPr="00BE78D8">
        <w:rPr>
          <w:lang w:val="en-US"/>
        </w:rPr>
        <w:t xml:space="preserve"> </w:t>
      </w:r>
      <w:r w:rsidRPr="007D44C5">
        <w:rPr>
          <w:lang w:val="en-US"/>
        </w:rPr>
        <w:t>radioactive iodine</w:t>
      </w:r>
      <w:r w:rsidR="009B346D">
        <w:rPr>
          <w:lang w:val="en-US"/>
        </w:rPr>
        <w:t xml:space="preserve"> (RAI)</w:t>
      </w:r>
      <w:r w:rsidRPr="007D44C5">
        <w:rPr>
          <w:lang w:val="en-US"/>
        </w:rPr>
        <w:t xml:space="preserve"> refractory</w:t>
      </w:r>
      <w:r w:rsidRPr="007D44C5" w:rsidDel="007D44C5">
        <w:rPr>
          <w:lang w:val="en-US"/>
        </w:rPr>
        <w:t xml:space="preserve"> </w:t>
      </w:r>
      <w:r w:rsidRPr="00BE78D8">
        <w:rPr>
          <w:lang w:val="en-US"/>
        </w:rPr>
        <w:t>differentiated thyroid cancer</w:t>
      </w:r>
      <w:r w:rsidR="009B346D">
        <w:rPr>
          <w:lang w:val="en-US"/>
        </w:rPr>
        <w:t xml:space="preserve"> (DTC)</w:t>
      </w:r>
      <w:r w:rsidRPr="00BE78D8">
        <w:rPr>
          <w:lang w:val="en-US"/>
        </w:rPr>
        <w:t>.</w:t>
      </w:r>
    </w:p>
    <w:p w14:paraId="7D8B4BD3" w14:textId="77777777" w:rsidR="0032045C" w:rsidRDefault="0032045C" w:rsidP="005D76EA">
      <w:pPr>
        <w:pStyle w:val="BodyText"/>
        <w:spacing w:before="120" w:after="120"/>
        <w:rPr>
          <w:lang w:val="en-US"/>
        </w:rPr>
      </w:pPr>
      <w:r w:rsidRPr="00221DDE">
        <w:rPr>
          <w:lang w:val="en-US"/>
        </w:rPr>
        <w:t xml:space="preserve">LENVIMA </w:t>
      </w:r>
      <w:proofErr w:type="gramStart"/>
      <w:r w:rsidRPr="00221DDE">
        <w:rPr>
          <w:lang w:val="en-US"/>
        </w:rPr>
        <w:t>is indicated</w:t>
      </w:r>
      <w:proofErr w:type="gramEnd"/>
      <w:r w:rsidRPr="00221DDE">
        <w:rPr>
          <w:lang w:val="en-US"/>
        </w:rPr>
        <w:t xml:space="preserve"> in combination with </w:t>
      </w:r>
      <w:proofErr w:type="spellStart"/>
      <w:r w:rsidRPr="00221DDE">
        <w:rPr>
          <w:lang w:val="en-US"/>
        </w:rPr>
        <w:t>everolimus</w:t>
      </w:r>
      <w:proofErr w:type="spellEnd"/>
      <w:r w:rsidRPr="00221DDE">
        <w:rPr>
          <w:lang w:val="en-US"/>
        </w:rPr>
        <w:t xml:space="preserve"> for the treatment of</w:t>
      </w:r>
      <w:r>
        <w:rPr>
          <w:lang w:val="en-US"/>
        </w:rPr>
        <w:t xml:space="preserve"> adult</w:t>
      </w:r>
      <w:r w:rsidRPr="00221DDE">
        <w:rPr>
          <w:lang w:val="en-US"/>
        </w:rPr>
        <w:t xml:space="preserve"> patients with advanced renal cell carcinoma whose disease has progressed following one prior </w:t>
      </w:r>
      <w:r w:rsidRPr="00036583">
        <w:rPr>
          <w:lang w:val="en-US"/>
        </w:rPr>
        <w:t>vascular endothelial growth factor</w:t>
      </w:r>
      <w:r>
        <w:rPr>
          <w:lang w:val="en-US"/>
        </w:rPr>
        <w:t xml:space="preserve"> targeted</w:t>
      </w:r>
      <w:r w:rsidRPr="00221DDE">
        <w:rPr>
          <w:lang w:val="en-US"/>
        </w:rPr>
        <w:t xml:space="preserve"> therapy.</w:t>
      </w:r>
    </w:p>
    <w:p w14:paraId="1D5A82CC" w14:textId="4BB02C0B" w:rsidR="004E0E9B" w:rsidRDefault="004E0E9B" w:rsidP="005D76EA">
      <w:pPr>
        <w:pStyle w:val="BodyText"/>
        <w:spacing w:before="120" w:after="120"/>
        <w:rPr>
          <w:lang w:val="en-US"/>
        </w:rPr>
      </w:pPr>
      <w:r w:rsidRPr="004E0E9B">
        <w:rPr>
          <w:lang w:val="en-US"/>
        </w:rPr>
        <w:lastRenderedPageBreak/>
        <w:t xml:space="preserve">LENVIMA </w:t>
      </w:r>
      <w:proofErr w:type="gramStart"/>
      <w:r w:rsidRPr="004E0E9B">
        <w:rPr>
          <w:lang w:val="en-US"/>
        </w:rPr>
        <w:t>is indicated</w:t>
      </w:r>
      <w:proofErr w:type="gramEnd"/>
      <w:r w:rsidRPr="004E0E9B">
        <w:rPr>
          <w:lang w:val="en-US"/>
        </w:rPr>
        <w:t xml:space="preserve"> for the</w:t>
      </w:r>
      <w:r w:rsidR="00382CF9">
        <w:rPr>
          <w:lang w:val="en-US"/>
        </w:rPr>
        <w:t xml:space="preserve"> first-line</w:t>
      </w:r>
      <w:r w:rsidRPr="004E0E9B">
        <w:rPr>
          <w:lang w:val="en-US"/>
        </w:rPr>
        <w:t xml:space="preserve"> treatment of patients with </w:t>
      </w:r>
      <w:proofErr w:type="spellStart"/>
      <w:r w:rsidR="00C3010D">
        <w:rPr>
          <w:lang w:val="en-US"/>
        </w:rPr>
        <w:t>unresectable</w:t>
      </w:r>
      <w:proofErr w:type="spellEnd"/>
      <w:r w:rsidR="00BA1623">
        <w:rPr>
          <w:lang w:val="en-US"/>
        </w:rPr>
        <w:t xml:space="preserve"> </w:t>
      </w:r>
      <w:r w:rsidRPr="004E0E9B">
        <w:rPr>
          <w:lang w:val="en-US"/>
        </w:rPr>
        <w:t>hepatocellular carcinoma</w:t>
      </w:r>
      <w:r w:rsidR="00382CF9">
        <w:rPr>
          <w:lang w:val="en-US"/>
        </w:rPr>
        <w:t xml:space="preserve"> (HCC).</w:t>
      </w:r>
    </w:p>
    <w:p w14:paraId="6E88711A" w14:textId="333E2004" w:rsidR="00DC5E06" w:rsidRPr="00BE78D8" w:rsidRDefault="00DC5E06" w:rsidP="00DC5E06">
      <w:pPr>
        <w:pStyle w:val="Heading2"/>
        <w:rPr>
          <w:lang w:val="en-US"/>
        </w:rPr>
      </w:pPr>
      <w:bookmarkStart w:id="1" w:name="_Ref503529038"/>
      <w:r>
        <w:rPr>
          <w:lang w:val="en-US"/>
        </w:rPr>
        <w:t>Dose and method of administration</w:t>
      </w:r>
      <w:bookmarkEnd w:id="1"/>
    </w:p>
    <w:p w14:paraId="4295E15A" w14:textId="77777777" w:rsidR="00DC5E06" w:rsidRPr="00BE78D8" w:rsidRDefault="00DC5E06" w:rsidP="005D76EA">
      <w:pPr>
        <w:pStyle w:val="BodyText"/>
        <w:spacing w:before="120" w:after="120"/>
        <w:rPr>
          <w:lang w:val="en-US"/>
        </w:rPr>
      </w:pPr>
      <w:proofErr w:type="gramStart"/>
      <w:r w:rsidRPr="00BE78D8">
        <w:rPr>
          <w:lang w:val="en-US"/>
        </w:rPr>
        <w:t>LENVIMA treatment should be supervised by a health care professional experienced in the use of anticancer therapies</w:t>
      </w:r>
      <w:proofErr w:type="gramEnd"/>
      <w:r w:rsidRPr="00BE78D8">
        <w:rPr>
          <w:lang w:val="en-US"/>
        </w:rPr>
        <w:t>.</w:t>
      </w:r>
    </w:p>
    <w:p w14:paraId="2A721E3F" w14:textId="5F1EFB3C" w:rsidR="00DC5E06" w:rsidRPr="003A656B" w:rsidRDefault="00DC5E06" w:rsidP="00DC5E06">
      <w:pPr>
        <w:pStyle w:val="Heading3"/>
      </w:pPr>
      <w:r w:rsidRPr="003A656B">
        <w:t xml:space="preserve">Starting dose in </w:t>
      </w:r>
      <w:r w:rsidRPr="00933981">
        <w:t>RAI</w:t>
      </w:r>
      <w:r>
        <w:t>–</w:t>
      </w:r>
      <w:r w:rsidR="000251CE">
        <w:t>r</w:t>
      </w:r>
      <w:r w:rsidRPr="00933981">
        <w:t>efractory</w:t>
      </w:r>
      <w:r>
        <w:t xml:space="preserve"> </w:t>
      </w:r>
      <w:r w:rsidR="009B346D">
        <w:t>differentiated thyroid cancer (</w:t>
      </w:r>
      <w:r>
        <w:t>DTC</w:t>
      </w:r>
      <w:r w:rsidR="009B346D">
        <w:t>)</w:t>
      </w:r>
    </w:p>
    <w:p w14:paraId="5A459C49" w14:textId="2AE879F2" w:rsidR="00DC107F" w:rsidRDefault="00DC5E06" w:rsidP="005D76EA">
      <w:pPr>
        <w:pStyle w:val="BodyText"/>
        <w:spacing w:before="120" w:after="120"/>
        <w:rPr>
          <w:lang w:val="en-US"/>
        </w:rPr>
      </w:pPr>
      <w:r w:rsidRPr="00BE78D8">
        <w:rPr>
          <w:lang w:val="en-US"/>
        </w:rPr>
        <w:t xml:space="preserve">The recommended dose of LENVIMA is 24 mg </w:t>
      </w:r>
      <w:r w:rsidR="009B346D">
        <w:t>orally</w:t>
      </w:r>
      <w:r w:rsidR="005E67B4">
        <w:t xml:space="preserve"> </w:t>
      </w:r>
      <w:r w:rsidR="005D76EA">
        <w:rPr>
          <w:lang w:val="en-US"/>
        </w:rPr>
        <w:t>once daily.</w:t>
      </w:r>
    </w:p>
    <w:p w14:paraId="5BF1ADE4" w14:textId="0C8641D6" w:rsidR="00DC5E06" w:rsidRPr="00BE78D8" w:rsidRDefault="00DC5E06" w:rsidP="005D76EA">
      <w:pPr>
        <w:pStyle w:val="BodyText"/>
        <w:spacing w:before="120" w:after="120"/>
        <w:rPr>
          <w:lang w:val="en-US"/>
        </w:rPr>
      </w:pPr>
      <w:r w:rsidRPr="00BE78D8">
        <w:rPr>
          <w:lang w:val="en-US"/>
        </w:rPr>
        <w:t>Treatment should continue as long as there is clinical benefit</w:t>
      </w:r>
      <w:r w:rsidRPr="009D7EAE">
        <w:t xml:space="preserve"> or until unacceptable toxicity occurs</w:t>
      </w:r>
      <w:r w:rsidRPr="00BE78D8">
        <w:rPr>
          <w:lang w:val="en-US"/>
        </w:rPr>
        <w:t>.</w:t>
      </w:r>
    </w:p>
    <w:p w14:paraId="2A436D24" w14:textId="371E3E31" w:rsidR="00DC5E06" w:rsidRPr="009D7EAE" w:rsidRDefault="00DC5E06" w:rsidP="00DC5E06">
      <w:pPr>
        <w:pStyle w:val="Heading3"/>
      </w:pPr>
      <w:r w:rsidRPr="009D7EAE">
        <w:t xml:space="preserve">Starting dose in </w:t>
      </w:r>
      <w:r w:rsidR="000251CE">
        <w:t>a</w:t>
      </w:r>
      <w:r>
        <w:t xml:space="preserve">dvanced </w:t>
      </w:r>
      <w:r w:rsidR="000251CE">
        <w:t>r</w:t>
      </w:r>
      <w:r w:rsidRPr="009D7EAE">
        <w:t xml:space="preserve">enal </w:t>
      </w:r>
      <w:r w:rsidR="000251CE">
        <w:t>c</w:t>
      </w:r>
      <w:r w:rsidRPr="009D7EAE">
        <w:t xml:space="preserve">ell </w:t>
      </w:r>
      <w:r w:rsidR="000251CE">
        <w:t>c</w:t>
      </w:r>
      <w:r w:rsidRPr="009D7EAE">
        <w:t>arcinoma</w:t>
      </w:r>
    </w:p>
    <w:p w14:paraId="030A0DA3" w14:textId="023A3725" w:rsidR="00DC5E06" w:rsidRDefault="00DC5E06" w:rsidP="005D76EA">
      <w:pPr>
        <w:pStyle w:val="BodyText"/>
        <w:spacing w:before="120" w:after="120"/>
      </w:pPr>
      <w:r w:rsidRPr="009D7EAE">
        <w:t xml:space="preserve">The recommended dose of LENVIMA is 18 mg </w:t>
      </w:r>
      <w:r w:rsidR="009B346D">
        <w:t>orally</w:t>
      </w:r>
      <w:r w:rsidRPr="009D7EAE">
        <w:t xml:space="preserve"> once daily in combination with 5 mg </w:t>
      </w:r>
      <w:proofErr w:type="spellStart"/>
      <w:r w:rsidRPr="009D7EAE">
        <w:t>everolimus</w:t>
      </w:r>
      <w:proofErr w:type="spellEnd"/>
      <w:r w:rsidRPr="009D7EAE">
        <w:t xml:space="preserve"> </w:t>
      </w:r>
      <w:r w:rsidR="009B346D">
        <w:t xml:space="preserve">orally </w:t>
      </w:r>
      <w:r w:rsidRPr="009D7EAE">
        <w:t>once daily.</w:t>
      </w:r>
      <w:r w:rsidR="005E67B4">
        <w:t xml:space="preserve"> </w:t>
      </w:r>
      <w:r w:rsidRPr="009D7EAE">
        <w:t>Treatment should continue as long as there is clinical benefit or until unacceptable toxicity occurs.</w:t>
      </w:r>
    </w:p>
    <w:p w14:paraId="4081ECC8" w14:textId="67D94F1D" w:rsidR="00A85055" w:rsidRPr="00A85055" w:rsidRDefault="00A85055" w:rsidP="00A85055">
      <w:pPr>
        <w:pStyle w:val="Heading3"/>
        <w:rPr>
          <w:lang w:val="en-US"/>
        </w:rPr>
      </w:pPr>
      <w:r w:rsidRPr="00A85055">
        <w:rPr>
          <w:lang w:val="en-US"/>
        </w:rPr>
        <w:t xml:space="preserve">Starting dose in </w:t>
      </w:r>
      <w:r w:rsidR="000251CE">
        <w:rPr>
          <w:lang w:val="en-US"/>
        </w:rPr>
        <w:t>h</w:t>
      </w:r>
      <w:r w:rsidRPr="00A85055">
        <w:rPr>
          <w:lang w:val="en-US"/>
        </w:rPr>
        <w:t xml:space="preserve">epatocellular </w:t>
      </w:r>
      <w:r w:rsidR="000251CE">
        <w:rPr>
          <w:lang w:val="en-US"/>
        </w:rPr>
        <w:t>c</w:t>
      </w:r>
      <w:r w:rsidRPr="00A85055">
        <w:rPr>
          <w:lang w:val="en-US"/>
        </w:rPr>
        <w:t>arcinoma</w:t>
      </w:r>
    </w:p>
    <w:p w14:paraId="2552A4DC" w14:textId="16BD02D3" w:rsidR="009B346D" w:rsidRDefault="00A85055" w:rsidP="005D76EA">
      <w:pPr>
        <w:pStyle w:val="BodyText"/>
        <w:spacing w:before="120" w:after="120"/>
        <w:rPr>
          <w:iCs/>
          <w:lang w:val="en-US"/>
        </w:rPr>
      </w:pPr>
      <w:r w:rsidRPr="00A85055">
        <w:rPr>
          <w:iCs/>
          <w:lang w:val="en-US"/>
        </w:rPr>
        <w:t xml:space="preserve">The recommended dose of LENVIMA </w:t>
      </w:r>
      <w:proofErr w:type="gramStart"/>
      <w:r w:rsidRPr="00A85055">
        <w:rPr>
          <w:iCs/>
          <w:lang w:val="en-US"/>
        </w:rPr>
        <w:t xml:space="preserve">is </w:t>
      </w:r>
      <w:r w:rsidR="009B346D">
        <w:rPr>
          <w:iCs/>
          <w:lang w:val="en-US"/>
        </w:rPr>
        <w:t>based</w:t>
      </w:r>
      <w:proofErr w:type="gramEnd"/>
      <w:r w:rsidR="009B346D">
        <w:rPr>
          <w:iCs/>
          <w:lang w:val="en-US"/>
        </w:rPr>
        <w:t xml:space="preserve"> on actual body weight:</w:t>
      </w:r>
    </w:p>
    <w:p w14:paraId="78C76447" w14:textId="536094A5" w:rsidR="000251CE" w:rsidRPr="00907221" w:rsidRDefault="00A85055" w:rsidP="00907221">
      <w:pPr>
        <w:pStyle w:val="BodyText"/>
        <w:numPr>
          <w:ilvl w:val="0"/>
          <w:numId w:val="47"/>
        </w:numPr>
        <w:rPr>
          <w:iCs/>
          <w:lang w:val="en-US"/>
        </w:rPr>
      </w:pPr>
      <w:r w:rsidRPr="00A85055">
        <w:rPr>
          <w:iCs/>
          <w:lang w:val="en-US"/>
        </w:rPr>
        <w:t>8 mg</w:t>
      </w:r>
      <w:r w:rsidR="000251CE">
        <w:rPr>
          <w:iCs/>
          <w:lang w:val="en-US"/>
        </w:rPr>
        <w:t xml:space="preserve"> </w:t>
      </w:r>
      <w:r w:rsidR="004520A6">
        <w:rPr>
          <w:iCs/>
          <w:lang w:val="en-US"/>
        </w:rPr>
        <w:t xml:space="preserve">orally </w:t>
      </w:r>
      <w:r w:rsidRPr="00A85055">
        <w:rPr>
          <w:iCs/>
          <w:lang w:val="en-US"/>
        </w:rPr>
        <w:t xml:space="preserve">once daily for patients with a body weight of &lt; 60 kg </w:t>
      </w:r>
      <w:r w:rsidR="009B346D">
        <w:rPr>
          <w:iCs/>
          <w:lang w:val="en-US"/>
        </w:rPr>
        <w:t>or</w:t>
      </w:r>
    </w:p>
    <w:p w14:paraId="3EFFA5BB" w14:textId="3F555F7C" w:rsidR="000251CE" w:rsidRPr="00907221" w:rsidRDefault="00A85055" w:rsidP="00907221">
      <w:pPr>
        <w:pStyle w:val="BodyText"/>
        <w:numPr>
          <w:ilvl w:val="0"/>
          <w:numId w:val="47"/>
        </w:numPr>
        <w:rPr>
          <w:iCs/>
          <w:lang w:val="en-US"/>
        </w:rPr>
      </w:pPr>
      <w:r w:rsidRPr="00291054">
        <w:rPr>
          <w:iCs/>
          <w:lang w:val="en-US"/>
        </w:rPr>
        <w:t xml:space="preserve">12 mg </w:t>
      </w:r>
      <w:r w:rsidR="004520A6" w:rsidRPr="00E35D44">
        <w:rPr>
          <w:iCs/>
          <w:lang w:val="en-US"/>
        </w:rPr>
        <w:t xml:space="preserve">orally </w:t>
      </w:r>
      <w:r w:rsidRPr="00E35D44">
        <w:rPr>
          <w:iCs/>
          <w:lang w:val="en-US"/>
        </w:rPr>
        <w:t>once daily for pa</w:t>
      </w:r>
      <w:r w:rsidRPr="00782A18">
        <w:rPr>
          <w:iCs/>
          <w:lang w:val="en-US"/>
        </w:rPr>
        <w:t>tients</w:t>
      </w:r>
      <w:r w:rsidR="005D76EA">
        <w:rPr>
          <w:iCs/>
          <w:lang w:val="en-US"/>
        </w:rPr>
        <w:t xml:space="preserve"> with a body weight of ≥ 60 kg.</w:t>
      </w:r>
    </w:p>
    <w:p w14:paraId="33B9E23C" w14:textId="6C5B05F9" w:rsidR="00DC5E06" w:rsidRDefault="00A85055" w:rsidP="005D76EA">
      <w:pPr>
        <w:pStyle w:val="BodyText"/>
        <w:spacing w:before="120" w:after="120"/>
        <w:rPr>
          <w:iCs/>
          <w:lang w:val="en-US"/>
        </w:rPr>
      </w:pPr>
      <w:r w:rsidRPr="00A85055">
        <w:rPr>
          <w:iCs/>
          <w:lang w:val="en-US"/>
        </w:rPr>
        <w:t>Treatment should continue as long as there is clinical benefit or until unacceptable toxicity occurs.</w:t>
      </w:r>
    </w:p>
    <w:p w14:paraId="72F042EB" w14:textId="7140557D" w:rsidR="0040016A" w:rsidRPr="0040016A" w:rsidRDefault="0040016A" w:rsidP="0040016A">
      <w:pPr>
        <w:pStyle w:val="Heading3"/>
        <w:rPr>
          <w:lang w:val="en-US"/>
        </w:rPr>
      </w:pPr>
      <w:r>
        <w:rPr>
          <w:lang w:val="en-US"/>
        </w:rPr>
        <w:t>Starting dose</w:t>
      </w:r>
      <w:r w:rsidRPr="0040016A">
        <w:rPr>
          <w:lang w:val="en-US"/>
        </w:rPr>
        <w:t xml:space="preserve"> </w:t>
      </w:r>
      <w:r>
        <w:rPr>
          <w:lang w:val="en-US"/>
        </w:rPr>
        <w:t>in</w:t>
      </w:r>
      <w:r w:rsidRPr="0040016A">
        <w:rPr>
          <w:lang w:val="en-US"/>
        </w:rPr>
        <w:t xml:space="preserve"> </w:t>
      </w:r>
      <w:r w:rsidR="000251CE">
        <w:rPr>
          <w:lang w:val="en-US"/>
        </w:rPr>
        <w:t>e</w:t>
      </w:r>
      <w:r w:rsidRPr="0040016A">
        <w:rPr>
          <w:lang w:val="en-US"/>
        </w:rPr>
        <w:t xml:space="preserve">ndometrial </w:t>
      </w:r>
      <w:r w:rsidR="000251CE">
        <w:rPr>
          <w:lang w:val="en-US"/>
        </w:rPr>
        <w:t>c</w:t>
      </w:r>
      <w:r w:rsidRPr="0040016A">
        <w:rPr>
          <w:lang w:val="en-US"/>
        </w:rPr>
        <w:t xml:space="preserve">arcinoma </w:t>
      </w:r>
    </w:p>
    <w:p w14:paraId="39BC2738" w14:textId="083BDA8B" w:rsidR="002A75C8" w:rsidRDefault="0040016A" w:rsidP="00874C4C">
      <w:pPr>
        <w:pStyle w:val="BodyText"/>
        <w:spacing w:before="120" w:after="120"/>
        <w:rPr>
          <w:iCs/>
          <w:lang w:val="en-US"/>
        </w:rPr>
      </w:pPr>
      <w:r w:rsidRPr="0040016A">
        <w:rPr>
          <w:iCs/>
          <w:lang w:val="en-US"/>
        </w:rPr>
        <w:t>The recommended dose of LENVIMA is 20 mg orally once daily</w:t>
      </w:r>
      <w:r w:rsidR="00D275CF">
        <w:rPr>
          <w:iCs/>
          <w:lang w:val="en-US"/>
        </w:rPr>
        <w:t>,</w:t>
      </w:r>
      <w:r w:rsidRPr="0040016A">
        <w:rPr>
          <w:iCs/>
          <w:lang w:val="en-US"/>
        </w:rPr>
        <w:t xml:space="preserve"> in combination with </w:t>
      </w:r>
      <w:proofErr w:type="spellStart"/>
      <w:r w:rsidRPr="0040016A">
        <w:rPr>
          <w:iCs/>
          <w:lang w:val="en-US"/>
        </w:rPr>
        <w:t>pembrolizumab</w:t>
      </w:r>
      <w:proofErr w:type="spellEnd"/>
      <w:r w:rsidRPr="0040016A">
        <w:rPr>
          <w:iCs/>
          <w:lang w:val="en-US"/>
        </w:rPr>
        <w:t xml:space="preserve"> 200 mg administered as an intravenous infusion over 30 minutes every 3 weeks</w:t>
      </w:r>
      <w:r w:rsidR="00885AE3">
        <w:rPr>
          <w:iCs/>
          <w:lang w:val="en-US"/>
        </w:rPr>
        <w:t xml:space="preserve">. </w:t>
      </w:r>
      <w:r w:rsidR="00885AE3" w:rsidRPr="00A85055">
        <w:rPr>
          <w:iCs/>
          <w:lang w:val="en-US"/>
        </w:rPr>
        <w:t>Treatment should continue</w:t>
      </w:r>
      <w:r w:rsidRPr="0040016A">
        <w:rPr>
          <w:iCs/>
          <w:lang w:val="en-US"/>
        </w:rPr>
        <w:t xml:space="preserve"> </w:t>
      </w:r>
      <w:r w:rsidR="004520A6">
        <w:rPr>
          <w:iCs/>
          <w:lang w:val="en-US"/>
        </w:rPr>
        <w:t xml:space="preserve">as long as there is clinical benefit or </w:t>
      </w:r>
      <w:r w:rsidRPr="0040016A">
        <w:rPr>
          <w:iCs/>
          <w:lang w:val="en-US"/>
        </w:rPr>
        <w:t xml:space="preserve">until unacceptable toxicity </w:t>
      </w:r>
      <w:r w:rsidR="004520A6">
        <w:rPr>
          <w:iCs/>
          <w:lang w:val="en-US"/>
        </w:rPr>
        <w:t xml:space="preserve">occurs. </w:t>
      </w:r>
      <w:r w:rsidR="004D4D7E" w:rsidRPr="00012B4B">
        <w:rPr>
          <w:iCs/>
          <w:lang w:val="en-US"/>
        </w:rPr>
        <w:t xml:space="preserve">Refer to the </w:t>
      </w:r>
      <w:proofErr w:type="spellStart"/>
      <w:r w:rsidR="004D4D7E" w:rsidRPr="00012B4B">
        <w:rPr>
          <w:iCs/>
          <w:lang w:val="en-US"/>
        </w:rPr>
        <w:t>pembrolizumab</w:t>
      </w:r>
      <w:proofErr w:type="spellEnd"/>
      <w:r w:rsidR="00D275CF">
        <w:rPr>
          <w:iCs/>
          <w:lang w:val="en-US"/>
        </w:rPr>
        <w:t xml:space="preserve"> product information</w:t>
      </w:r>
      <w:r w:rsidR="004D4D7E" w:rsidRPr="00012B4B">
        <w:rPr>
          <w:iCs/>
          <w:lang w:val="en-US"/>
        </w:rPr>
        <w:t xml:space="preserve"> for recommended </w:t>
      </w:r>
      <w:proofErr w:type="spellStart"/>
      <w:r w:rsidR="004520A6">
        <w:rPr>
          <w:iCs/>
          <w:lang w:val="en-US"/>
        </w:rPr>
        <w:t>pembrolizumab</w:t>
      </w:r>
      <w:proofErr w:type="spellEnd"/>
      <w:r w:rsidR="004520A6">
        <w:rPr>
          <w:iCs/>
          <w:lang w:val="en-US"/>
        </w:rPr>
        <w:t xml:space="preserve"> </w:t>
      </w:r>
      <w:r w:rsidR="004D4D7E" w:rsidRPr="00012B4B">
        <w:rPr>
          <w:iCs/>
          <w:lang w:val="en-US"/>
        </w:rPr>
        <w:t>dosing information.</w:t>
      </w:r>
    </w:p>
    <w:p w14:paraId="7D28DE3A" w14:textId="77777777" w:rsidR="00DC5E06" w:rsidRPr="00066BB0" w:rsidRDefault="00DC5E06" w:rsidP="00DC5E06">
      <w:pPr>
        <w:pStyle w:val="Heading3"/>
        <w:rPr>
          <w:lang w:val="en-US"/>
        </w:rPr>
      </w:pPr>
      <w:r w:rsidRPr="00066BB0">
        <w:rPr>
          <w:lang w:val="en-US"/>
        </w:rPr>
        <w:t>Dose adjustment during therapy</w:t>
      </w:r>
    </w:p>
    <w:p w14:paraId="20EDF27F" w14:textId="792B1068" w:rsidR="00DC5E06" w:rsidRDefault="00DC5E06" w:rsidP="00874C4C">
      <w:pPr>
        <w:pStyle w:val="BodyText"/>
        <w:spacing w:before="120" w:after="120"/>
      </w:pPr>
      <w:r w:rsidRPr="00BE78D8">
        <w:rPr>
          <w:lang w:val="en-US"/>
        </w:rPr>
        <w:t>Management of adverse reactions may require dose interruption, adjustment, or discontinuation of LENVIMA</w:t>
      </w:r>
      <w:r w:rsidR="001B42E1">
        <w:rPr>
          <w:lang w:val="en-US"/>
        </w:rPr>
        <w:t>.</w:t>
      </w:r>
      <w:r>
        <w:rPr>
          <w:lang w:val="en-US"/>
        </w:rPr>
        <w:t xml:space="preserve"> </w:t>
      </w:r>
      <w:r w:rsidRPr="008F7854">
        <w:t xml:space="preserve">For toxicities </w:t>
      </w:r>
      <w:proofErr w:type="gramStart"/>
      <w:r w:rsidRPr="008F7854">
        <w:t>thought to be related</w:t>
      </w:r>
      <w:proofErr w:type="gramEnd"/>
      <w:r w:rsidRPr="008F7854">
        <w:t xml:space="preserve"> to LENVIMA, general advice about dose management is included in </w:t>
      </w:r>
      <w:r w:rsidR="00505C3C">
        <w:fldChar w:fldCharType="begin"/>
      </w:r>
      <w:r w:rsidR="00505C3C">
        <w:instrText xml:space="preserve"> REF _Ref503527959 \h </w:instrText>
      </w:r>
      <w:r w:rsidR="00874C4C">
        <w:instrText xml:space="preserve"> \* MERGEFORMAT </w:instrText>
      </w:r>
      <w:r w:rsidR="00505C3C">
        <w:fldChar w:fldCharType="separate"/>
      </w:r>
      <w:r w:rsidR="0064223A" w:rsidRPr="00BF395D">
        <w:t>Table </w:t>
      </w:r>
      <w:r w:rsidR="0064223A">
        <w:rPr>
          <w:noProof/>
        </w:rPr>
        <w:t>1</w:t>
      </w:r>
      <w:r w:rsidR="00505C3C">
        <w:fldChar w:fldCharType="end"/>
      </w:r>
      <w:r w:rsidRPr="008F7854">
        <w:t xml:space="preserve">, and </w:t>
      </w:r>
      <w:r w:rsidR="007A6A34">
        <w:t>recommendations for</w:t>
      </w:r>
      <w:r w:rsidR="002A75C8">
        <w:t xml:space="preserve"> </w:t>
      </w:r>
      <w:r w:rsidRPr="008F7854">
        <w:t xml:space="preserve">dose </w:t>
      </w:r>
      <w:r w:rsidR="007A6A34">
        <w:t>reduction increments</w:t>
      </w:r>
      <w:r w:rsidR="007A6A34" w:rsidRPr="008F7854">
        <w:t xml:space="preserve"> </w:t>
      </w:r>
      <w:r w:rsidR="00940016">
        <w:rPr>
          <w:szCs w:val="24"/>
        </w:rPr>
        <w:t xml:space="preserve">are </w:t>
      </w:r>
      <w:r w:rsidR="00A85055" w:rsidRPr="00E95235">
        <w:rPr>
          <w:szCs w:val="24"/>
        </w:rPr>
        <w:t xml:space="preserve">in </w:t>
      </w:r>
      <w:r w:rsidR="00940016" w:rsidRPr="00940016">
        <w:rPr>
          <w:szCs w:val="24"/>
        </w:rPr>
        <w:fldChar w:fldCharType="begin"/>
      </w:r>
      <w:r w:rsidR="00940016" w:rsidRPr="00940016">
        <w:rPr>
          <w:szCs w:val="24"/>
        </w:rPr>
        <w:instrText xml:space="preserve"> REF _Ref523319077 \h  \* MERGEFORMAT </w:instrText>
      </w:r>
      <w:r w:rsidR="00940016" w:rsidRPr="00940016">
        <w:rPr>
          <w:szCs w:val="24"/>
        </w:rPr>
      </w:r>
      <w:r w:rsidR="00940016" w:rsidRPr="00940016">
        <w:rPr>
          <w:szCs w:val="24"/>
        </w:rPr>
        <w:fldChar w:fldCharType="separate"/>
      </w:r>
      <w:r w:rsidR="0064223A" w:rsidRPr="00444DA1">
        <w:t>Table 2</w:t>
      </w:r>
      <w:r w:rsidR="00940016" w:rsidRPr="00940016">
        <w:rPr>
          <w:szCs w:val="24"/>
        </w:rPr>
        <w:fldChar w:fldCharType="end"/>
      </w:r>
      <w:r w:rsidRPr="008F7854">
        <w:t>.</w:t>
      </w:r>
    </w:p>
    <w:p w14:paraId="44AA3301" w14:textId="427DA11C" w:rsidR="00DC5E06" w:rsidRDefault="000251CE" w:rsidP="00874C4C">
      <w:pPr>
        <w:pStyle w:val="BodyText"/>
        <w:spacing w:before="120" w:after="120"/>
      </w:pPr>
      <w:r w:rsidRPr="004520A6">
        <w:rPr>
          <w:lang w:val="en-US"/>
        </w:rPr>
        <w:t xml:space="preserve">When administering LENVIMA in combination with </w:t>
      </w:r>
      <w:proofErr w:type="spellStart"/>
      <w:r w:rsidRPr="004520A6">
        <w:rPr>
          <w:lang w:val="en-US"/>
        </w:rPr>
        <w:t>everolimus</w:t>
      </w:r>
      <w:proofErr w:type="spellEnd"/>
      <w:r w:rsidRPr="004520A6">
        <w:rPr>
          <w:lang w:val="en-US"/>
        </w:rPr>
        <w:t xml:space="preserve"> for the treatment of renal cell carcinoma, </w:t>
      </w:r>
      <w:r>
        <w:rPr>
          <w:lang w:val="en-US"/>
        </w:rPr>
        <w:t>f</w:t>
      </w:r>
      <w:r w:rsidR="00DC5E06" w:rsidRPr="00110CA0">
        <w:t xml:space="preserve">or toxicities thought to </w:t>
      </w:r>
      <w:proofErr w:type="gramStart"/>
      <w:r w:rsidR="00DC5E06" w:rsidRPr="00110CA0">
        <w:t>be related</w:t>
      </w:r>
      <w:proofErr w:type="gramEnd"/>
      <w:r w:rsidR="00DC5E06" w:rsidRPr="00110CA0">
        <w:t xml:space="preserve"> to </w:t>
      </w:r>
      <w:r>
        <w:t xml:space="preserve">both drugs, LENVIMA should be reduced prior to reducing </w:t>
      </w:r>
      <w:proofErr w:type="spellStart"/>
      <w:r>
        <w:t>everolimus</w:t>
      </w:r>
      <w:proofErr w:type="spellEnd"/>
      <w:r>
        <w:t xml:space="preserve">. For toxicities thought to be related only to </w:t>
      </w:r>
      <w:proofErr w:type="spellStart"/>
      <w:r w:rsidR="00DC5E06" w:rsidRPr="00110CA0">
        <w:t>everolimus</w:t>
      </w:r>
      <w:proofErr w:type="spellEnd"/>
      <w:r w:rsidR="00DC5E06" w:rsidRPr="00110CA0">
        <w:t xml:space="preserve">, </w:t>
      </w:r>
      <w:proofErr w:type="spellStart"/>
      <w:r w:rsidR="00DC5E06">
        <w:t>everolimus</w:t>
      </w:r>
      <w:proofErr w:type="spellEnd"/>
      <w:r w:rsidR="00DC5E06">
        <w:t xml:space="preserve"> </w:t>
      </w:r>
      <w:r w:rsidR="00DC5E06" w:rsidRPr="00110CA0">
        <w:t xml:space="preserve">treatment should be interrupted, reduced to alternate day dosing, or discontinued (see the </w:t>
      </w:r>
      <w:proofErr w:type="spellStart"/>
      <w:r w:rsidR="00DC5E06" w:rsidRPr="00110CA0">
        <w:t>everolimus</w:t>
      </w:r>
      <w:proofErr w:type="spellEnd"/>
      <w:r w:rsidR="00DC5E06" w:rsidRPr="00110CA0">
        <w:t xml:space="preserve"> PI for advice on specific adverse reactions).</w:t>
      </w:r>
    </w:p>
    <w:p w14:paraId="02BC930B" w14:textId="6ED26D1E" w:rsidR="0040016A" w:rsidRPr="00E432EC" w:rsidRDefault="000251CE" w:rsidP="00874C4C">
      <w:pPr>
        <w:pStyle w:val="BodyText"/>
        <w:spacing w:before="120" w:after="120"/>
      </w:pPr>
      <w:r w:rsidRPr="0040016A">
        <w:lastRenderedPageBreak/>
        <w:t xml:space="preserve">When administering LENVIMA in combination with </w:t>
      </w:r>
      <w:proofErr w:type="spellStart"/>
      <w:r w:rsidRPr="0040016A">
        <w:t>pembrolizumab</w:t>
      </w:r>
      <w:proofErr w:type="spellEnd"/>
      <w:r w:rsidRPr="0040016A">
        <w:t xml:space="preserve"> for the treatment of endometrial carcinoma, interrupt one or both drugs or dose reduce LENVIMA as appropriate. No dose reductions </w:t>
      </w:r>
      <w:proofErr w:type="gramStart"/>
      <w:r w:rsidRPr="0040016A">
        <w:t>are recommended</w:t>
      </w:r>
      <w:proofErr w:type="gramEnd"/>
      <w:r w:rsidRPr="0040016A">
        <w:t xml:space="preserve"> for </w:t>
      </w:r>
      <w:proofErr w:type="spellStart"/>
      <w:r w:rsidRPr="0040016A">
        <w:t>pembrolizumab</w:t>
      </w:r>
      <w:proofErr w:type="spellEnd"/>
      <w:r w:rsidRPr="0040016A">
        <w:t xml:space="preserve">. Withhold or discontinue </w:t>
      </w:r>
      <w:proofErr w:type="spellStart"/>
      <w:r w:rsidRPr="0040016A">
        <w:t>pembrolizumab</w:t>
      </w:r>
      <w:proofErr w:type="spellEnd"/>
      <w:r w:rsidRPr="0040016A">
        <w:t xml:space="preserve"> in accordance with the instructions in the </w:t>
      </w:r>
      <w:proofErr w:type="spellStart"/>
      <w:r w:rsidRPr="0040016A">
        <w:t>pembrolizumab</w:t>
      </w:r>
      <w:proofErr w:type="spellEnd"/>
      <w:r w:rsidRPr="0040016A">
        <w:t xml:space="preserve"> pr</w:t>
      </w:r>
      <w:r>
        <w:t xml:space="preserve">oduct </w:t>
      </w:r>
      <w:r w:rsidRPr="0040016A">
        <w:t>information.</w:t>
      </w:r>
    </w:p>
    <w:p w14:paraId="2D9D8BF6" w14:textId="286E327F" w:rsidR="00DC5E06" w:rsidRPr="00BE78D8" w:rsidRDefault="007A6A34" w:rsidP="00874C4C">
      <w:pPr>
        <w:pStyle w:val="BodyText"/>
        <w:spacing w:before="120" w:after="60"/>
        <w:rPr>
          <w:lang w:val="en-US"/>
        </w:rPr>
      </w:pPr>
      <w:r w:rsidRPr="008F7854">
        <w:t>Medical management of nausea, vomiting and diarrhoea should be optimised to reduce the risk of dehydration and renal failure (</w:t>
      </w:r>
      <w:r w:rsidRPr="009D7EAE">
        <w:t xml:space="preserve">See </w:t>
      </w:r>
      <w:r>
        <w:t xml:space="preserve">Section </w:t>
      </w:r>
      <w:r>
        <w:fldChar w:fldCharType="begin"/>
      </w:r>
      <w:r>
        <w:instrText xml:space="preserve"> REF _Ref503187146 \r \h </w:instrText>
      </w:r>
      <w:r w:rsidR="00874C4C">
        <w:instrText xml:space="preserve"> \* MERGEFORMAT </w:instrText>
      </w:r>
      <w:r>
        <w:fldChar w:fldCharType="separate"/>
      </w:r>
      <w:r>
        <w:t>4.4</w:t>
      </w:r>
      <w:r>
        <w:fldChar w:fldCharType="end"/>
      </w:r>
      <w:r>
        <w:t xml:space="preserve"> Special warnings and precautions for use</w:t>
      </w:r>
      <w:r w:rsidRPr="008F7854">
        <w:t xml:space="preserve">, </w:t>
      </w:r>
      <w:proofErr w:type="gramStart"/>
      <w:r w:rsidRPr="008F7854">
        <w:t>Renal</w:t>
      </w:r>
      <w:proofErr w:type="gramEnd"/>
      <w:r w:rsidRPr="008F7854">
        <w:t xml:space="preserve"> failure and impairment) prior to </w:t>
      </w:r>
      <w:r>
        <w:t>any</w:t>
      </w:r>
      <w:r w:rsidRPr="008F7854">
        <w:t xml:space="preserve"> LENVIMA</w:t>
      </w:r>
      <w:r>
        <w:t xml:space="preserve"> therapy interruption or dose reduction.</w:t>
      </w:r>
    </w:p>
    <w:p w14:paraId="45108CE4" w14:textId="08C3B5DB" w:rsidR="00505C3C" w:rsidRPr="00BF395D" w:rsidRDefault="00505C3C" w:rsidP="00BF395D">
      <w:pPr>
        <w:pStyle w:val="Caption"/>
      </w:pPr>
      <w:bookmarkStart w:id="2" w:name="_Ref503527959"/>
      <w:r w:rsidRPr="00BF395D">
        <w:t>Table </w:t>
      </w:r>
      <w:r w:rsidR="002A2468">
        <w:rPr>
          <w:noProof/>
        </w:rPr>
        <w:fldChar w:fldCharType="begin"/>
      </w:r>
      <w:r w:rsidR="002A2468">
        <w:rPr>
          <w:noProof/>
        </w:rPr>
        <w:instrText xml:space="preserve"> SEQ Table \* ARABIC </w:instrText>
      </w:r>
      <w:r w:rsidR="002A2468">
        <w:rPr>
          <w:noProof/>
        </w:rPr>
        <w:fldChar w:fldCharType="separate"/>
      </w:r>
      <w:r w:rsidR="008D1089">
        <w:rPr>
          <w:noProof/>
        </w:rPr>
        <w:t>1</w:t>
      </w:r>
      <w:r w:rsidR="002A2468">
        <w:rPr>
          <w:noProof/>
        </w:rPr>
        <w:fldChar w:fldCharType="end"/>
      </w:r>
      <w:bookmarkEnd w:id="2"/>
      <w:r w:rsidRPr="00BF395D">
        <w:t xml:space="preserve"> </w:t>
      </w:r>
      <w:r w:rsidRPr="00BF395D">
        <w:tab/>
        <w:t>Dose modifications for adverse reactions</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2102"/>
        <w:gridCol w:w="2039"/>
        <w:gridCol w:w="3064"/>
      </w:tblGrid>
      <w:tr w:rsidR="00DC5E06" w:rsidRPr="009D7EAE" w14:paraId="276DD616" w14:textId="77777777" w:rsidTr="00444DA1">
        <w:trPr>
          <w:cantSplit/>
          <w:trHeight w:val="728"/>
          <w:tblHeader/>
        </w:trPr>
        <w:tc>
          <w:tcPr>
            <w:tcW w:w="2009" w:type="dxa"/>
            <w:shd w:val="clear" w:color="auto" w:fill="auto"/>
          </w:tcPr>
          <w:p w14:paraId="034018A6" w14:textId="1F72FCB0" w:rsidR="00DC5E06" w:rsidRPr="009D7EAE" w:rsidRDefault="00DC5E06" w:rsidP="00C54A3F">
            <w:pPr>
              <w:pStyle w:val="TableHeading"/>
            </w:pPr>
            <w:r w:rsidRPr="009D7EAE">
              <w:t xml:space="preserve">Adverse </w:t>
            </w:r>
            <w:r w:rsidR="00291054">
              <w:t>r</w:t>
            </w:r>
            <w:r w:rsidRPr="009D7EAE">
              <w:t>eaction</w:t>
            </w:r>
          </w:p>
        </w:tc>
        <w:tc>
          <w:tcPr>
            <w:tcW w:w="2102" w:type="dxa"/>
            <w:shd w:val="clear" w:color="auto" w:fill="auto"/>
          </w:tcPr>
          <w:p w14:paraId="4CFE476F" w14:textId="6727FB11" w:rsidR="00DC5E06" w:rsidRPr="009D7EAE" w:rsidRDefault="00DC5E06" w:rsidP="00C54A3F">
            <w:pPr>
              <w:pStyle w:val="TableHeading"/>
            </w:pPr>
            <w:r w:rsidRPr="009D7EAE">
              <w:t xml:space="preserve">CTCAE </w:t>
            </w:r>
            <w:proofErr w:type="spellStart"/>
            <w:r w:rsidRPr="009D7EAE">
              <w:t>Grade</w:t>
            </w:r>
            <w:r w:rsidR="007A6A34" w:rsidRPr="00444DA1">
              <w:rPr>
                <w:vertAlign w:val="superscript"/>
              </w:rPr>
              <w:t>a</w:t>
            </w:r>
            <w:proofErr w:type="spellEnd"/>
          </w:p>
        </w:tc>
        <w:tc>
          <w:tcPr>
            <w:tcW w:w="2039" w:type="dxa"/>
          </w:tcPr>
          <w:p w14:paraId="520750D5" w14:textId="77777777" w:rsidR="00DC5E06" w:rsidRPr="009D7EAE" w:rsidRDefault="00DC5E06" w:rsidP="00C54A3F">
            <w:pPr>
              <w:pStyle w:val="TableHeading"/>
            </w:pPr>
            <w:r w:rsidRPr="009D7EAE">
              <w:t>Action</w:t>
            </w:r>
          </w:p>
        </w:tc>
        <w:tc>
          <w:tcPr>
            <w:tcW w:w="3064" w:type="dxa"/>
            <w:shd w:val="clear" w:color="auto" w:fill="auto"/>
          </w:tcPr>
          <w:p w14:paraId="7DB4CE3F" w14:textId="5C2ED057" w:rsidR="00DC5E06" w:rsidRPr="009D7EAE" w:rsidRDefault="002A75C8" w:rsidP="00C54A3F">
            <w:pPr>
              <w:pStyle w:val="TableHeading"/>
            </w:pPr>
            <w:r>
              <w:t>When/whether to</w:t>
            </w:r>
            <w:r w:rsidR="00DC5E06" w:rsidRPr="009D7EAE">
              <w:t xml:space="preserve"> </w:t>
            </w:r>
            <w:r>
              <w:t>r</w:t>
            </w:r>
            <w:r w:rsidR="00DC5E06" w:rsidRPr="009D7EAE">
              <w:t>esume</w:t>
            </w:r>
          </w:p>
          <w:p w14:paraId="1C59430C" w14:textId="3393A73E" w:rsidR="00DC5E06" w:rsidRPr="009D7EAE" w:rsidRDefault="00DC5E06" w:rsidP="00C54A3F">
            <w:pPr>
              <w:pStyle w:val="TableHeading"/>
            </w:pPr>
            <w:r w:rsidRPr="009D7EAE">
              <w:t>LENVIMA</w:t>
            </w:r>
            <w:r w:rsidR="001B42E1">
              <w:t xml:space="preserve"> (at reduced dose)</w:t>
            </w:r>
          </w:p>
        </w:tc>
      </w:tr>
      <w:tr w:rsidR="00DC5E06" w:rsidRPr="009D7EAE" w14:paraId="1A79619A" w14:textId="77777777" w:rsidTr="00444DA1">
        <w:trPr>
          <w:cantSplit/>
          <w:trHeight w:val="251"/>
        </w:trPr>
        <w:tc>
          <w:tcPr>
            <w:tcW w:w="2009" w:type="dxa"/>
            <w:vMerge w:val="restart"/>
            <w:shd w:val="clear" w:color="auto" w:fill="auto"/>
          </w:tcPr>
          <w:p w14:paraId="3BBAE2B5" w14:textId="77777777" w:rsidR="00DC5E06" w:rsidRPr="009D7EAE" w:rsidRDefault="00DC5E06" w:rsidP="00DC5E06">
            <w:pPr>
              <w:pStyle w:val="TableText"/>
            </w:pPr>
            <w:r w:rsidRPr="009D7EAE">
              <w:t>Hypertension</w:t>
            </w:r>
          </w:p>
        </w:tc>
        <w:tc>
          <w:tcPr>
            <w:tcW w:w="2102" w:type="dxa"/>
            <w:shd w:val="clear" w:color="auto" w:fill="auto"/>
          </w:tcPr>
          <w:p w14:paraId="0B9815FF" w14:textId="0AFB740C" w:rsidR="00DC5E06" w:rsidRPr="009D7EAE" w:rsidRDefault="00DC5E06" w:rsidP="00985FFD">
            <w:pPr>
              <w:pStyle w:val="TableText"/>
            </w:pPr>
            <w:r w:rsidRPr="009D7EAE">
              <w:t>Grade 3</w:t>
            </w:r>
            <w:r w:rsidR="007A6A34">
              <w:rPr>
                <w:vertAlign w:val="superscript"/>
              </w:rPr>
              <w:t>b</w:t>
            </w:r>
            <w:r w:rsidRPr="009D7EAE">
              <w:t xml:space="preserve"> </w:t>
            </w:r>
          </w:p>
        </w:tc>
        <w:tc>
          <w:tcPr>
            <w:tcW w:w="2039" w:type="dxa"/>
          </w:tcPr>
          <w:p w14:paraId="64907BC0" w14:textId="77777777" w:rsidR="00DC5E06" w:rsidRPr="009D7EAE" w:rsidRDefault="00DC5E06" w:rsidP="00DC5E06">
            <w:pPr>
              <w:pStyle w:val="TableText"/>
            </w:pPr>
            <w:r w:rsidRPr="009D7EAE">
              <w:t>Interrupt</w:t>
            </w:r>
          </w:p>
        </w:tc>
        <w:tc>
          <w:tcPr>
            <w:tcW w:w="3064" w:type="dxa"/>
            <w:shd w:val="clear" w:color="auto" w:fill="auto"/>
          </w:tcPr>
          <w:p w14:paraId="15E863B9" w14:textId="77777777" w:rsidR="00DC5E06" w:rsidRPr="009D7EAE" w:rsidRDefault="00DC5E06" w:rsidP="00DC5E06">
            <w:pPr>
              <w:pStyle w:val="TableText"/>
            </w:pPr>
            <w:r w:rsidRPr="009D7EAE">
              <w:t xml:space="preserve">Resolves to Grade 0, 1 or 2. </w:t>
            </w:r>
          </w:p>
          <w:p w14:paraId="0F466410" w14:textId="62843557" w:rsidR="00DC5E06" w:rsidRPr="009D7EAE" w:rsidRDefault="00DC5E06" w:rsidP="00950841">
            <w:pPr>
              <w:pStyle w:val="TableText"/>
            </w:pPr>
            <w:r w:rsidRPr="009D7EAE">
              <w:t xml:space="preserve">See detailed guidance in </w:t>
            </w:r>
            <w:r w:rsidR="00505C3C">
              <w:fldChar w:fldCharType="begin"/>
            </w:r>
            <w:r w:rsidR="00505C3C">
              <w:instrText xml:space="preserve"> REF _Ref503528314 \h </w:instrText>
            </w:r>
            <w:r w:rsidR="00505C3C">
              <w:fldChar w:fldCharType="separate"/>
            </w:r>
            <w:r w:rsidR="0064223A">
              <w:t>Table </w:t>
            </w:r>
            <w:r w:rsidR="0064223A">
              <w:rPr>
                <w:noProof/>
              </w:rPr>
              <w:t>3</w:t>
            </w:r>
            <w:r w:rsidR="00505C3C">
              <w:fldChar w:fldCharType="end"/>
            </w:r>
            <w:r w:rsidR="00505C3C">
              <w:t xml:space="preserve"> </w:t>
            </w:r>
            <w:r w:rsidRPr="009D7EAE">
              <w:t xml:space="preserve">in </w:t>
            </w:r>
            <w:r w:rsidR="00505C3C">
              <w:t xml:space="preserve">Section </w:t>
            </w:r>
            <w:r w:rsidR="00505C3C">
              <w:fldChar w:fldCharType="begin"/>
            </w:r>
            <w:r w:rsidR="00505C3C">
              <w:instrText xml:space="preserve"> REF _Ref503187146 \r \h </w:instrText>
            </w:r>
            <w:r w:rsidR="00505C3C">
              <w:fldChar w:fldCharType="separate"/>
            </w:r>
            <w:r w:rsidR="0064223A">
              <w:t>4.4</w:t>
            </w:r>
            <w:r w:rsidR="00505C3C">
              <w:fldChar w:fldCharType="end"/>
            </w:r>
            <w:r w:rsidR="008B3996">
              <w:t xml:space="preserve"> Special warnings and precautions for use</w:t>
            </w:r>
            <w:r w:rsidRPr="009D7EAE">
              <w:t>, Hypertension section</w:t>
            </w:r>
          </w:p>
        </w:tc>
      </w:tr>
      <w:tr w:rsidR="00DC5E06" w:rsidRPr="009D7EAE" w14:paraId="0003B51D" w14:textId="77777777" w:rsidTr="00444DA1">
        <w:trPr>
          <w:cantSplit/>
          <w:trHeight w:val="260"/>
        </w:trPr>
        <w:tc>
          <w:tcPr>
            <w:tcW w:w="2009" w:type="dxa"/>
            <w:vMerge/>
            <w:shd w:val="clear" w:color="auto" w:fill="auto"/>
          </w:tcPr>
          <w:p w14:paraId="3DA215BB" w14:textId="77777777" w:rsidR="00DC5E06" w:rsidRPr="009D7EAE" w:rsidRDefault="00DC5E06" w:rsidP="00DC5E06">
            <w:pPr>
              <w:pStyle w:val="TableText"/>
            </w:pPr>
          </w:p>
        </w:tc>
        <w:tc>
          <w:tcPr>
            <w:tcW w:w="2102" w:type="dxa"/>
            <w:shd w:val="clear" w:color="auto" w:fill="auto"/>
          </w:tcPr>
          <w:p w14:paraId="0E287709" w14:textId="77777777" w:rsidR="00DC5E06" w:rsidRPr="009D7EAE" w:rsidRDefault="00DC5E06" w:rsidP="00DC5E06">
            <w:pPr>
              <w:pStyle w:val="TableText"/>
            </w:pPr>
            <w:r w:rsidRPr="009D7EAE">
              <w:t>Grade 4</w:t>
            </w:r>
          </w:p>
        </w:tc>
        <w:tc>
          <w:tcPr>
            <w:tcW w:w="2039" w:type="dxa"/>
          </w:tcPr>
          <w:p w14:paraId="416B4E6A" w14:textId="77777777" w:rsidR="00DC5E06" w:rsidRPr="009D7EAE" w:rsidDel="00942C63" w:rsidRDefault="00DC5E06" w:rsidP="00DC5E06">
            <w:pPr>
              <w:pStyle w:val="TableText"/>
            </w:pPr>
            <w:r w:rsidRPr="009D7EAE">
              <w:t>Discontinue</w:t>
            </w:r>
          </w:p>
        </w:tc>
        <w:tc>
          <w:tcPr>
            <w:tcW w:w="3064" w:type="dxa"/>
            <w:shd w:val="clear" w:color="auto" w:fill="auto"/>
          </w:tcPr>
          <w:p w14:paraId="4CAC108C" w14:textId="77777777" w:rsidR="00DC5E06" w:rsidRPr="009D7EAE" w:rsidRDefault="00DC5E06" w:rsidP="00DC5E06">
            <w:pPr>
              <w:pStyle w:val="TableText"/>
            </w:pPr>
            <w:r w:rsidRPr="009D7EAE">
              <w:t>Do not resume</w:t>
            </w:r>
          </w:p>
        </w:tc>
      </w:tr>
      <w:tr w:rsidR="00DC5E06" w:rsidRPr="009D7EAE" w14:paraId="5B94DFFE" w14:textId="77777777" w:rsidTr="00444DA1">
        <w:trPr>
          <w:cantSplit/>
        </w:trPr>
        <w:tc>
          <w:tcPr>
            <w:tcW w:w="2009" w:type="dxa"/>
            <w:shd w:val="clear" w:color="auto" w:fill="auto"/>
          </w:tcPr>
          <w:p w14:paraId="2947BC61" w14:textId="77777777" w:rsidR="00DC5E06" w:rsidRPr="009D7EAE" w:rsidRDefault="00DC5E06" w:rsidP="00DC5E06">
            <w:pPr>
              <w:pStyle w:val="TableText"/>
            </w:pPr>
            <w:r w:rsidRPr="009D7EAE">
              <w:t>Proteinuria</w:t>
            </w:r>
          </w:p>
        </w:tc>
        <w:tc>
          <w:tcPr>
            <w:tcW w:w="2102" w:type="dxa"/>
            <w:shd w:val="clear" w:color="auto" w:fill="auto"/>
          </w:tcPr>
          <w:p w14:paraId="40129A79" w14:textId="389BAB34" w:rsidR="00DC5E06" w:rsidRPr="009D7EAE" w:rsidRDefault="006540BC" w:rsidP="00DC5E06">
            <w:pPr>
              <w:pStyle w:val="TableText"/>
            </w:pPr>
            <w:r>
              <w:sym w:font="Symbol" w:char="F0B3"/>
            </w:r>
            <w:r w:rsidR="00DC5E06" w:rsidRPr="009D7EAE">
              <w:t>2 gm/24 hours</w:t>
            </w:r>
          </w:p>
        </w:tc>
        <w:tc>
          <w:tcPr>
            <w:tcW w:w="2039" w:type="dxa"/>
          </w:tcPr>
          <w:p w14:paraId="24BCF554" w14:textId="77777777" w:rsidR="00DC5E06" w:rsidRPr="009D7EAE" w:rsidRDefault="00DC5E06" w:rsidP="00DC5E06">
            <w:pPr>
              <w:pStyle w:val="TableText"/>
            </w:pPr>
            <w:r w:rsidRPr="009D7EAE">
              <w:t>Interrupt</w:t>
            </w:r>
          </w:p>
        </w:tc>
        <w:tc>
          <w:tcPr>
            <w:tcW w:w="3064" w:type="dxa"/>
            <w:shd w:val="clear" w:color="auto" w:fill="auto"/>
          </w:tcPr>
          <w:p w14:paraId="001C5FD3" w14:textId="77777777" w:rsidR="00DC5E06" w:rsidRPr="009D7EAE" w:rsidRDefault="00DC5E06" w:rsidP="00DC5E06">
            <w:pPr>
              <w:pStyle w:val="TableText"/>
            </w:pPr>
            <w:r w:rsidRPr="009D7EAE">
              <w:t>Resolves to less than 2 gm/24 hours</w:t>
            </w:r>
          </w:p>
        </w:tc>
      </w:tr>
      <w:tr w:rsidR="00DC5E06" w:rsidRPr="009D7EAE" w14:paraId="2B3F8CEC" w14:textId="77777777" w:rsidTr="00444DA1">
        <w:trPr>
          <w:cantSplit/>
        </w:trPr>
        <w:tc>
          <w:tcPr>
            <w:tcW w:w="2009" w:type="dxa"/>
            <w:shd w:val="clear" w:color="auto" w:fill="auto"/>
          </w:tcPr>
          <w:p w14:paraId="7961F1E8" w14:textId="77777777" w:rsidR="00DC5E06" w:rsidRPr="009D7EAE" w:rsidRDefault="00DC5E06" w:rsidP="00DC5E06">
            <w:pPr>
              <w:pStyle w:val="TableText"/>
            </w:pPr>
            <w:r w:rsidRPr="009D7EAE">
              <w:t>Nephrotic syndrome</w:t>
            </w:r>
          </w:p>
        </w:tc>
        <w:tc>
          <w:tcPr>
            <w:tcW w:w="2102" w:type="dxa"/>
            <w:shd w:val="clear" w:color="auto" w:fill="auto"/>
          </w:tcPr>
          <w:p w14:paraId="3D8A4951" w14:textId="77777777" w:rsidR="00DC5E06" w:rsidRPr="009D7EAE" w:rsidRDefault="00DC5E06" w:rsidP="00DC5E06">
            <w:pPr>
              <w:pStyle w:val="TableText"/>
            </w:pPr>
            <w:r w:rsidRPr="009D7EAE">
              <w:t xml:space="preserve">------- </w:t>
            </w:r>
          </w:p>
        </w:tc>
        <w:tc>
          <w:tcPr>
            <w:tcW w:w="2039" w:type="dxa"/>
          </w:tcPr>
          <w:p w14:paraId="7D2B81D0" w14:textId="77777777" w:rsidR="00DC5E06" w:rsidRPr="009D7EAE" w:rsidRDefault="00DC5E06" w:rsidP="00DC5E06">
            <w:pPr>
              <w:pStyle w:val="TableText"/>
            </w:pPr>
            <w:r w:rsidRPr="009D7EAE">
              <w:t>Discontinue</w:t>
            </w:r>
          </w:p>
        </w:tc>
        <w:tc>
          <w:tcPr>
            <w:tcW w:w="3064" w:type="dxa"/>
            <w:shd w:val="clear" w:color="auto" w:fill="auto"/>
          </w:tcPr>
          <w:p w14:paraId="091FFD28" w14:textId="77777777" w:rsidR="00DC5E06" w:rsidRPr="009D7EAE" w:rsidRDefault="00DC5E06" w:rsidP="00DC5E06">
            <w:pPr>
              <w:pStyle w:val="TableText"/>
            </w:pPr>
            <w:r w:rsidRPr="009D7EAE">
              <w:t>Do not resume</w:t>
            </w:r>
          </w:p>
        </w:tc>
      </w:tr>
      <w:tr w:rsidR="00DC5E06" w:rsidRPr="009D7EAE" w14:paraId="4F56CB72" w14:textId="77777777" w:rsidTr="00444DA1">
        <w:trPr>
          <w:cantSplit/>
          <w:trHeight w:val="283"/>
        </w:trPr>
        <w:tc>
          <w:tcPr>
            <w:tcW w:w="2009" w:type="dxa"/>
            <w:vMerge w:val="restart"/>
            <w:shd w:val="clear" w:color="auto" w:fill="auto"/>
          </w:tcPr>
          <w:p w14:paraId="400E05B6" w14:textId="77777777" w:rsidR="00DC5E06" w:rsidRPr="009D7EAE" w:rsidRDefault="00DC5E06" w:rsidP="00DC5E06">
            <w:pPr>
              <w:pStyle w:val="TableText"/>
            </w:pPr>
            <w:r w:rsidRPr="009D7EAE">
              <w:t>Renal impairment or failure</w:t>
            </w:r>
          </w:p>
        </w:tc>
        <w:tc>
          <w:tcPr>
            <w:tcW w:w="2102" w:type="dxa"/>
            <w:shd w:val="clear" w:color="auto" w:fill="auto"/>
          </w:tcPr>
          <w:p w14:paraId="74FDF7FF" w14:textId="77777777" w:rsidR="00DC5E06" w:rsidRPr="009D7EAE" w:rsidRDefault="00DC5E06" w:rsidP="00DC5E06">
            <w:pPr>
              <w:pStyle w:val="TableText"/>
            </w:pPr>
            <w:r w:rsidRPr="009D7EAE">
              <w:t>Grade 3</w:t>
            </w:r>
          </w:p>
        </w:tc>
        <w:tc>
          <w:tcPr>
            <w:tcW w:w="2039" w:type="dxa"/>
          </w:tcPr>
          <w:p w14:paraId="4E1FEC85" w14:textId="77777777" w:rsidR="00DC5E06" w:rsidRPr="009D7EAE" w:rsidRDefault="00DC5E06" w:rsidP="00DC5E06">
            <w:pPr>
              <w:pStyle w:val="TableText"/>
            </w:pPr>
            <w:r w:rsidRPr="009D7EAE">
              <w:t>Interrupt</w:t>
            </w:r>
          </w:p>
        </w:tc>
        <w:tc>
          <w:tcPr>
            <w:tcW w:w="3064" w:type="dxa"/>
            <w:shd w:val="clear" w:color="auto" w:fill="auto"/>
          </w:tcPr>
          <w:p w14:paraId="39C17FF6" w14:textId="77777777" w:rsidR="00DC5E06" w:rsidRPr="009D7EAE" w:rsidRDefault="00DC5E06" w:rsidP="00DC5E06">
            <w:pPr>
              <w:pStyle w:val="TableText"/>
            </w:pPr>
            <w:r w:rsidRPr="009D7EAE">
              <w:t>Resolves to Grade 0-1 or baseline</w:t>
            </w:r>
          </w:p>
        </w:tc>
      </w:tr>
      <w:tr w:rsidR="00DC5E06" w:rsidRPr="009D7EAE" w14:paraId="27576781" w14:textId="77777777" w:rsidTr="00444DA1">
        <w:trPr>
          <w:cantSplit/>
          <w:trHeight w:val="272"/>
        </w:trPr>
        <w:tc>
          <w:tcPr>
            <w:tcW w:w="2009" w:type="dxa"/>
            <w:vMerge/>
            <w:shd w:val="clear" w:color="auto" w:fill="auto"/>
          </w:tcPr>
          <w:p w14:paraId="4FC7AE67" w14:textId="77777777" w:rsidR="00DC5E06" w:rsidRPr="009D7EAE" w:rsidRDefault="00DC5E06" w:rsidP="00DC5E06">
            <w:pPr>
              <w:pStyle w:val="TableText"/>
            </w:pPr>
          </w:p>
        </w:tc>
        <w:tc>
          <w:tcPr>
            <w:tcW w:w="2102" w:type="dxa"/>
            <w:shd w:val="clear" w:color="auto" w:fill="auto"/>
          </w:tcPr>
          <w:p w14:paraId="3A7A8507" w14:textId="6B9FAD0D" w:rsidR="00DC5E06" w:rsidRPr="009D7EAE" w:rsidRDefault="00DC5E06" w:rsidP="00DC5E06">
            <w:pPr>
              <w:pStyle w:val="TableText"/>
            </w:pPr>
            <w:r w:rsidRPr="009D7EAE">
              <w:t>Grade 4</w:t>
            </w:r>
            <w:r w:rsidR="007A6A34">
              <w:rPr>
                <w:vertAlign w:val="superscript"/>
              </w:rPr>
              <w:t>c</w:t>
            </w:r>
          </w:p>
        </w:tc>
        <w:tc>
          <w:tcPr>
            <w:tcW w:w="2039" w:type="dxa"/>
          </w:tcPr>
          <w:p w14:paraId="094E2EB2" w14:textId="77777777" w:rsidR="00DC5E06" w:rsidRPr="009D7EAE" w:rsidRDefault="00DC5E06" w:rsidP="00DC5E06">
            <w:pPr>
              <w:pStyle w:val="TableText"/>
            </w:pPr>
            <w:r w:rsidRPr="009D7EAE">
              <w:t>Discontinue</w:t>
            </w:r>
          </w:p>
        </w:tc>
        <w:tc>
          <w:tcPr>
            <w:tcW w:w="3064" w:type="dxa"/>
            <w:shd w:val="clear" w:color="auto" w:fill="auto"/>
          </w:tcPr>
          <w:p w14:paraId="17620B47" w14:textId="77777777" w:rsidR="00DC5E06" w:rsidRPr="009D7EAE" w:rsidRDefault="00DC5E06" w:rsidP="00DC5E06">
            <w:pPr>
              <w:pStyle w:val="TableText"/>
            </w:pPr>
            <w:r w:rsidRPr="009D7EAE">
              <w:t>Do not resume</w:t>
            </w:r>
          </w:p>
        </w:tc>
      </w:tr>
      <w:tr w:rsidR="00DC5E06" w:rsidRPr="009D7EAE" w14:paraId="20579B5E" w14:textId="77777777" w:rsidTr="00444DA1">
        <w:trPr>
          <w:cantSplit/>
          <w:trHeight w:val="260"/>
        </w:trPr>
        <w:tc>
          <w:tcPr>
            <w:tcW w:w="2009" w:type="dxa"/>
            <w:vMerge w:val="restart"/>
            <w:shd w:val="clear" w:color="auto" w:fill="auto"/>
          </w:tcPr>
          <w:p w14:paraId="5F2A88FE" w14:textId="77777777" w:rsidR="00DC5E06" w:rsidRPr="009D7EAE" w:rsidRDefault="00DC5E06" w:rsidP="00DC5E06">
            <w:pPr>
              <w:pStyle w:val="TableText"/>
            </w:pPr>
            <w:r w:rsidRPr="009D7EAE">
              <w:t>Cardiac failure</w:t>
            </w:r>
          </w:p>
        </w:tc>
        <w:tc>
          <w:tcPr>
            <w:tcW w:w="2102" w:type="dxa"/>
            <w:shd w:val="clear" w:color="auto" w:fill="auto"/>
          </w:tcPr>
          <w:p w14:paraId="7DD65CE6" w14:textId="77777777" w:rsidR="00DC5E06" w:rsidRPr="009D7EAE" w:rsidRDefault="00DC5E06" w:rsidP="00DC5E06">
            <w:pPr>
              <w:pStyle w:val="TableText"/>
            </w:pPr>
            <w:r w:rsidRPr="009D7EAE">
              <w:t>Grade 3</w:t>
            </w:r>
          </w:p>
        </w:tc>
        <w:tc>
          <w:tcPr>
            <w:tcW w:w="2039" w:type="dxa"/>
          </w:tcPr>
          <w:p w14:paraId="23B6E196" w14:textId="77777777" w:rsidR="00DC5E06" w:rsidRPr="009D7EAE" w:rsidRDefault="00DC5E06" w:rsidP="00DC5E06">
            <w:pPr>
              <w:pStyle w:val="TableText"/>
            </w:pPr>
            <w:r w:rsidRPr="009D7EAE">
              <w:t>Interrupt</w:t>
            </w:r>
          </w:p>
        </w:tc>
        <w:tc>
          <w:tcPr>
            <w:tcW w:w="3064" w:type="dxa"/>
            <w:shd w:val="clear" w:color="auto" w:fill="auto"/>
          </w:tcPr>
          <w:p w14:paraId="39F8FEE6" w14:textId="77777777" w:rsidR="00DC5E06" w:rsidRPr="009D7EAE" w:rsidRDefault="00DC5E06" w:rsidP="00DC5E06">
            <w:pPr>
              <w:pStyle w:val="TableText"/>
            </w:pPr>
            <w:r w:rsidRPr="009D7EAE">
              <w:t>Resolves to Grade 0-1 or baseline</w:t>
            </w:r>
            <w:r w:rsidRPr="009D7EAE" w:rsidDel="00220EB0">
              <w:t xml:space="preserve"> </w:t>
            </w:r>
          </w:p>
        </w:tc>
      </w:tr>
      <w:tr w:rsidR="00DC5E06" w:rsidRPr="009D7EAE" w14:paraId="2A73238D" w14:textId="77777777" w:rsidTr="00444DA1">
        <w:trPr>
          <w:cantSplit/>
          <w:trHeight w:val="269"/>
        </w:trPr>
        <w:tc>
          <w:tcPr>
            <w:tcW w:w="2009" w:type="dxa"/>
            <w:vMerge/>
            <w:shd w:val="clear" w:color="auto" w:fill="auto"/>
          </w:tcPr>
          <w:p w14:paraId="5BF02882" w14:textId="77777777" w:rsidR="00DC5E06" w:rsidRPr="009D7EAE" w:rsidRDefault="00DC5E06" w:rsidP="00DC5E06">
            <w:pPr>
              <w:pStyle w:val="TableText"/>
            </w:pPr>
          </w:p>
        </w:tc>
        <w:tc>
          <w:tcPr>
            <w:tcW w:w="2102" w:type="dxa"/>
            <w:shd w:val="clear" w:color="auto" w:fill="auto"/>
          </w:tcPr>
          <w:p w14:paraId="274EE862" w14:textId="77777777" w:rsidR="00DC5E06" w:rsidRPr="009D7EAE" w:rsidRDefault="00DC5E06" w:rsidP="00DC5E06">
            <w:pPr>
              <w:pStyle w:val="TableText"/>
            </w:pPr>
            <w:r w:rsidRPr="009D7EAE">
              <w:t>Grade 4</w:t>
            </w:r>
          </w:p>
        </w:tc>
        <w:tc>
          <w:tcPr>
            <w:tcW w:w="2039" w:type="dxa"/>
          </w:tcPr>
          <w:p w14:paraId="1935B352" w14:textId="77777777" w:rsidR="00DC5E06" w:rsidRPr="009D7EAE" w:rsidRDefault="00DC5E06" w:rsidP="00DC5E06">
            <w:pPr>
              <w:pStyle w:val="TableText"/>
            </w:pPr>
            <w:r w:rsidRPr="009D7EAE">
              <w:t>Discontinue</w:t>
            </w:r>
          </w:p>
        </w:tc>
        <w:tc>
          <w:tcPr>
            <w:tcW w:w="3064" w:type="dxa"/>
            <w:shd w:val="clear" w:color="auto" w:fill="auto"/>
          </w:tcPr>
          <w:p w14:paraId="3C2D21B6" w14:textId="77777777" w:rsidR="00DC5E06" w:rsidRPr="009D7EAE" w:rsidRDefault="00DC5E06" w:rsidP="00DC5E06">
            <w:pPr>
              <w:pStyle w:val="TableText"/>
            </w:pPr>
            <w:r w:rsidRPr="009D7EAE">
              <w:t>Do not resume</w:t>
            </w:r>
          </w:p>
        </w:tc>
      </w:tr>
      <w:tr w:rsidR="00DC5E06" w:rsidRPr="009D7EAE" w14:paraId="79DEAF96" w14:textId="77777777" w:rsidTr="00444DA1">
        <w:trPr>
          <w:cantSplit/>
          <w:trHeight w:val="269"/>
        </w:trPr>
        <w:tc>
          <w:tcPr>
            <w:tcW w:w="2009" w:type="dxa"/>
            <w:shd w:val="clear" w:color="auto" w:fill="auto"/>
          </w:tcPr>
          <w:p w14:paraId="1E27A94C" w14:textId="77777777" w:rsidR="00DC5E06" w:rsidRPr="009D7EAE" w:rsidRDefault="00DC5E06" w:rsidP="00DC5E06">
            <w:pPr>
              <w:pStyle w:val="TableText"/>
            </w:pPr>
            <w:r w:rsidRPr="009D7EAE">
              <w:t>PRES/RPLS</w:t>
            </w:r>
          </w:p>
        </w:tc>
        <w:tc>
          <w:tcPr>
            <w:tcW w:w="2102" w:type="dxa"/>
            <w:shd w:val="clear" w:color="auto" w:fill="auto"/>
          </w:tcPr>
          <w:p w14:paraId="7296909D" w14:textId="77777777" w:rsidR="00DC5E06" w:rsidRPr="009D7EAE" w:rsidRDefault="00DC5E06" w:rsidP="00DC5E06">
            <w:pPr>
              <w:pStyle w:val="TableText"/>
            </w:pPr>
            <w:r w:rsidRPr="009D7EAE">
              <w:t>Any grade</w:t>
            </w:r>
          </w:p>
        </w:tc>
        <w:tc>
          <w:tcPr>
            <w:tcW w:w="2039" w:type="dxa"/>
          </w:tcPr>
          <w:p w14:paraId="1536C63B" w14:textId="77777777" w:rsidR="00DC5E06" w:rsidRPr="009D7EAE" w:rsidRDefault="00DC5E06" w:rsidP="00DC5E06">
            <w:pPr>
              <w:pStyle w:val="TableText"/>
            </w:pPr>
            <w:r w:rsidRPr="009D7EAE">
              <w:t>Interrupt</w:t>
            </w:r>
          </w:p>
        </w:tc>
        <w:tc>
          <w:tcPr>
            <w:tcW w:w="3064" w:type="dxa"/>
            <w:shd w:val="clear" w:color="auto" w:fill="auto"/>
          </w:tcPr>
          <w:p w14:paraId="715F8E30" w14:textId="77777777" w:rsidR="00DC5E06" w:rsidRPr="009D7EAE" w:rsidRDefault="00DC5E06" w:rsidP="00DC5E06">
            <w:pPr>
              <w:pStyle w:val="TableText"/>
            </w:pPr>
            <w:r w:rsidRPr="009D7EAE">
              <w:t>Consider resuming at reduced dose if resolves to Grade 0-1</w:t>
            </w:r>
          </w:p>
        </w:tc>
      </w:tr>
      <w:tr w:rsidR="00DC5E06" w:rsidRPr="009D7EAE" w14:paraId="4A080CF5" w14:textId="77777777" w:rsidTr="00444DA1">
        <w:trPr>
          <w:cantSplit/>
          <w:trHeight w:val="251"/>
        </w:trPr>
        <w:tc>
          <w:tcPr>
            <w:tcW w:w="2009" w:type="dxa"/>
            <w:vMerge w:val="restart"/>
            <w:shd w:val="clear" w:color="auto" w:fill="auto"/>
          </w:tcPr>
          <w:p w14:paraId="6F02F9C3" w14:textId="77777777" w:rsidR="00DC5E06" w:rsidRPr="009D7EAE" w:rsidRDefault="00DC5E06" w:rsidP="00DC5E06">
            <w:pPr>
              <w:pStyle w:val="TableText"/>
            </w:pPr>
            <w:r w:rsidRPr="009D7EAE">
              <w:t>Hepatotoxicity</w:t>
            </w:r>
          </w:p>
        </w:tc>
        <w:tc>
          <w:tcPr>
            <w:tcW w:w="2102" w:type="dxa"/>
            <w:shd w:val="clear" w:color="auto" w:fill="auto"/>
          </w:tcPr>
          <w:p w14:paraId="603499CF" w14:textId="77777777" w:rsidR="00DC5E06" w:rsidRPr="009D7EAE" w:rsidRDefault="00DC5E06" w:rsidP="00DC5E06">
            <w:pPr>
              <w:pStyle w:val="TableText"/>
            </w:pPr>
            <w:r w:rsidRPr="009D7EAE">
              <w:t>Grade 3</w:t>
            </w:r>
          </w:p>
        </w:tc>
        <w:tc>
          <w:tcPr>
            <w:tcW w:w="2039" w:type="dxa"/>
          </w:tcPr>
          <w:p w14:paraId="5CFD90A9" w14:textId="77777777" w:rsidR="00DC5E06" w:rsidRPr="009D7EAE" w:rsidRDefault="00DC5E06" w:rsidP="00DC5E06">
            <w:pPr>
              <w:pStyle w:val="TableText"/>
            </w:pPr>
            <w:r w:rsidRPr="009D7EAE">
              <w:t>Interrupt</w:t>
            </w:r>
          </w:p>
        </w:tc>
        <w:tc>
          <w:tcPr>
            <w:tcW w:w="3064" w:type="dxa"/>
            <w:shd w:val="clear" w:color="auto" w:fill="auto"/>
          </w:tcPr>
          <w:p w14:paraId="06A383E8" w14:textId="77777777" w:rsidR="00DC5E06" w:rsidRPr="009D7EAE" w:rsidRDefault="00DC5E06" w:rsidP="00DC5E06">
            <w:pPr>
              <w:pStyle w:val="TableText"/>
            </w:pPr>
            <w:r w:rsidRPr="009D7EAE">
              <w:t>Resolves to Grade 0-1 or baseline</w:t>
            </w:r>
          </w:p>
        </w:tc>
      </w:tr>
      <w:tr w:rsidR="00DC5E06" w:rsidRPr="009D7EAE" w14:paraId="51EDD0DA" w14:textId="77777777" w:rsidTr="00444DA1">
        <w:trPr>
          <w:cantSplit/>
          <w:trHeight w:val="251"/>
        </w:trPr>
        <w:tc>
          <w:tcPr>
            <w:tcW w:w="2009" w:type="dxa"/>
            <w:vMerge/>
            <w:shd w:val="clear" w:color="auto" w:fill="auto"/>
          </w:tcPr>
          <w:p w14:paraId="31E5FD41" w14:textId="77777777" w:rsidR="00DC5E06" w:rsidRPr="009D7EAE" w:rsidRDefault="00DC5E06" w:rsidP="00DC5E06">
            <w:pPr>
              <w:pStyle w:val="TableText"/>
            </w:pPr>
          </w:p>
        </w:tc>
        <w:tc>
          <w:tcPr>
            <w:tcW w:w="2102" w:type="dxa"/>
            <w:shd w:val="clear" w:color="auto" w:fill="auto"/>
          </w:tcPr>
          <w:p w14:paraId="5F316FD1" w14:textId="67BEAA81" w:rsidR="00DC5E06" w:rsidRPr="009D7EAE" w:rsidRDefault="00DC5E06" w:rsidP="00DC5E06">
            <w:pPr>
              <w:pStyle w:val="TableText"/>
            </w:pPr>
            <w:r w:rsidRPr="009D7EAE">
              <w:t>Grade 4</w:t>
            </w:r>
            <w:r w:rsidR="007A6A34">
              <w:rPr>
                <w:vertAlign w:val="superscript"/>
              </w:rPr>
              <w:t>c</w:t>
            </w:r>
          </w:p>
        </w:tc>
        <w:tc>
          <w:tcPr>
            <w:tcW w:w="2039" w:type="dxa"/>
          </w:tcPr>
          <w:p w14:paraId="069B9087" w14:textId="77777777" w:rsidR="00DC5E06" w:rsidRPr="009D7EAE" w:rsidRDefault="00DC5E06" w:rsidP="00DC5E06">
            <w:pPr>
              <w:pStyle w:val="TableText"/>
            </w:pPr>
            <w:r w:rsidRPr="009D7EAE">
              <w:t>Discontinue</w:t>
            </w:r>
          </w:p>
        </w:tc>
        <w:tc>
          <w:tcPr>
            <w:tcW w:w="3064" w:type="dxa"/>
            <w:shd w:val="clear" w:color="auto" w:fill="auto"/>
          </w:tcPr>
          <w:p w14:paraId="1904383A" w14:textId="77777777" w:rsidR="00DC5E06" w:rsidRPr="009D7EAE" w:rsidRDefault="00DC5E06" w:rsidP="00DC5E06">
            <w:pPr>
              <w:pStyle w:val="TableText"/>
            </w:pPr>
            <w:r w:rsidRPr="009D7EAE">
              <w:t>Do not resume</w:t>
            </w:r>
          </w:p>
        </w:tc>
      </w:tr>
      <w:tr w:rsidR="00DC5E06" w:rsidRPr="009D7EAE" w14:paraId="24532643" w14:textId="77777777" w:rsidTr="00444DA1">
        <w:trPr>
          <w:cantSplit/>
          <w:trHeight w:val="251"/>
        </w:trPr>
        <w:tc>
          <w:tcPr>
            <w:tcW w:w="2009" w:type="dxa"/>
            <w:shd w:val="clear" w:color="auto" w:fill="auto"/>
          </w:tcPr>
          <w:p w14:paraId="2B72157C" w14:textId="77777777" w:rsidR="00DC5E06" w:rsidRPr="009D7EAE" w:rsidRDefault="00DC5E06" w:rsidP="00DC5E06">
            <w:pPr>
              <w:pStyle w:val="TableText"/>
            </w:pPr>
            <w:r w:rsidRPr="009D7EAE">
              <w:t>Arterial thromboembolisms</w:t>
            </w:r>
          </w:p>
        </w:tc>
        <w:tc>
          <w:tcPr>
            <w:tcW w:w="2102" w:type="dxa"/>
            <w:shd w:val="clear" w:color="auto" w:fill="auto"/>
          </w:tcPr>
          <w:p w14:paraId="52AF0B2A" w14:textId="77777777" w:rsidR="00DC5E06" w:rsidRPr="009D7EAE" w:rsidRDefault="00DC5E06" w:rsidP="00DC5E06">
            <w:pPr>
              <w:pStyle w:val="TableText"/>
            </w:pPr>
            <w:r w:rsidRPr="009D7EAE">
              <w:t>Any Grade</w:t>
            </w:r>
          </w:p>
        </w:tc>
        <w:tc>
          <w:tcPr>
            <w:tcW w:w="2039" w:type="dxa"/>
          </w:tcPr>
          <w:p w14:paraId="204C3149" w14:textId="77777777" w:rsidR="00DC5E06" w:rsidRPr="009D7EAE" w:rsidRDefault="00DC5E06" w:rsidP="00DC5E06">
            <w:pPr>
              <w:pStyle w:val="TableText"/>
            </w:pPr>
            <w:r w:rsidRPr="009D7EAE">
              <w:t>Discontinue</w:t>
            </w:r>
          </w:p>
        </w:tc>
        <w:tc>
          <w:tcPr>
            <w:tcW w:w="3064" w:type="dxa"/>
            <w:shd w:val="clear" w:color="auto" w:fill="auto"/>
          </w:tcPr>
          <w:p w14:paraId="260B8DFF" w14:textId="77777777" w:rsidR="00DC5E06" w:rsidRPr="009D7EAE" w:rsidRDefault="00DC5E06" w:rsidP="00DC5E06">
            <w:pPr>
              <w:pStyle w:val="TableText"/>
            </w:pPr>
            <w:r w:rsidRPr="009D7EAE">
              <w:t>Do not resume</w:t>
            </w:r>
          </w:p>
        </w:tc>
      </w:tr>
      <w:tr w:rsidR="00DC5E06" w:rsidRPr="009D7EAE" w14:paraId="2799BCED" w14:textId="77777777" w:rsidTr="00C86DDE">
        <w:trPr>
          <w:cantSplit/>
          <w:trHeight w:val="138"/>
        </w:trPr>
        <w:tc>
          <w:tcPr>
            <w:tcW w:w="2009" w:type="dxa"/>
            <w:vMerge w:val="restart"/>
            <w:shd w:val="clear" w:color="auto" w:fill="auto"/>
          </w:tcPr>
          <w:p w14:paraId="24EF9BC7" w14:textId="18A00E87" w:rsidR="00DC5E06" w:rsidRPr="009D7EAE" w:rsidRDefault="00DC5E06" w:rsidP="00DC5E06">
            <w:pPr>
              <w:pStyle w:val="TableText"/>
            </w:pPr>
            <w:r w:rsidRPr="009D7EAE">
              <w:t xml:space="preserve">Haemorrhage and </w:t>
            </w:r>
            <w:proofErr w:type="spellStart"/>
            <w:r w:rsidRPr="009D7EAE">
              <w:t>Thrombocytopeni</w:t>
            </w:r>
            <w:r w:rsidR="00575EC9">
              <w:t>a</w:t>
            </w:r>
            <w:r w:rsidR="001B42E1" w:rsidRPr="00444DA1">
              <w:rPr>
                <w:vertAlign w:val="superscript"/>
              </w:rPr>
              <w:t>c</w:t>
            </w:r>
            <w:proofErr w:type="spellEnd"/>
          </w:p>
        </w:tc>
        <w:tc>
          <w:tcPr>
            <w:tcW w:w="2102" w:type="dxa"/>
            <w:shd w:val="clear" w:color="auto" w:fill="auto"/>
          </w:tcPr>
          <w:p w14:paraId="1737E70E" w14:textId="77777777" w:rsidR="00DC5E06" w:rsidRPr="009D7EAE" w:rsidRDefault="00DC5E06" w:rsidP="00DC5E06">
            <w:pPr>
              <w:pStyle w:val="TableText"/>
            </w:pPr>
            <w:r w:rsidRPr="009D7EAE">
              <w:t>Grade 3</w:t>
            </w:r>
          </w:p>
        </w:tc>
        <w:tc>
          <w:tcPr>
            <w:tcW w:w="2039" w:type="dxa"/>
          </w:tcPr>
          <w:p w14:paraId="56A7BBAF" w14:textId="77777777" w:rsidR="00DC5E06" w:rsidRPr="009D7EAE" w:rsidRDefault="00DC5E06" w:rsidP="00DC5E06">
            <w:pPr>
              <w:pStyle w:val="TableText"/>
            </w:pPr>
            <w:r w:rsidRPr="009D7EAE">
              <w:t>Interrupt</w:t>
            </w:r>
          </w:p>
        </w:tc>
        <w:tc>
          <w:tcPr>
            <w:tcW w:w="3064" w:type="dxa"/>
            <w:shd w:val="clear" w:color="auto" w:fill="auto"/>
          </w:tcPr>
          <w:p w14:paraId="7BD7F9DE" w14:textId="77777777" w:rsidR="00DC5E06" w:rsidRPr="009D7EAE" w:rsidRDefault="00DC5E06" w:rsidP="00DC5E06">
            <w:pPr>
              <w:pStyle w:val="TableText"/>
            </w:pPr>
            <w:r w:rsidRPr="009D7EAE">
              <w:t>Resolves to Grade 0-1</w:t>
            </w:r>
          </w:p>
        </w:tc>
      </w:tr>
      <w:tr w:rsidR="00DC5E06" w:rsidRPr="009D7EAE" w14:paraId="2FB5DE7E" w14:textId="77777777" w:rsidTr="00444DA1">
        <w:trPr>
          <w:cantSplit/>
          <w:trHeight w:val="269"/>
        </w:trPr>
        <w:tc>
          <w:tcPr>
            <w:tcW w:w="2009" w:type="dxa"/>
            <w:vMerge/>
            <w:shd w:val="clear" w:color="auto" w:fill="auto"/>
          </w:tcPr>
          <w:p w14:paraId="4FF18C90" w14:textId="77777777" w:rsidR="00DC5E06" w:rsidRPr="009D7EAE" w:rsidRDefault="00DC5E06" w:rsidP="00DC5E06">
            <w:pPr>
              <w:pStyle w:val="TableText"/>
            </w:pPr>
          </w:p>
        </w:tc>
        <w:tc>
          <w:tcPr>
            <w:tcW w:w="2102" w:type="dxa"/>
            <w:shd w:val="clear" w:color="auto" w:fill="auto"/>
          </w:tcPr>
          <w:p w14:paraId="00AA608F" w14:textId="77777777" w:rsidR="00DC5E06" w:rsidRPr="009D7EAE" w:rsidRDefault="00DC5E06" w:rsidP="00DC5E06">
            <w:pPr>
              <w:pStyle w:val="TableText"/>
            </w:pPr>
            <w:r w:rsidRPr="009D7EAE">
              <w:t>Grade 4</w:t>
            </w:r>
          </w:p>
        </w:tc>
        <w:tc>
          <w:tcPr>
            <w:tcW w:w="2039" w:type="dxa"/>
          </w:tcPr>
          <w:p w14:paraId="2347052C" w14:textId="77777777" w:rsidR="00DC5E06" w:rsidRPr="009D7EAE" w:rsidRDefault="00DC5E06" w:rsidP="00DC5E06">
            <w:pPr>
              <w:pStyle w:val="TableText"/>
            </w:pPr>
            <w:r w:rsidRPr="009D7EAE">
              <w:t>Discontinue</w:t>
            </w:r>
          </w:p>
        </w:tc>
        <w:tc>
          <w:tcPr>
            <w:tcW w:w="3064" w:type="dxa"/>
            <w:shd w:val="clear" w:color="auto" w:fill="auto"/>
          </w:tcPr>
          <w:p w14:paraId="769E3DCD" w14:textId="77777777" w:rsidR="00DC5E06" w:rsidRPr="009D7EAE" w:rsidRDefault="00DC5E06" w:rsidP="00DC5E06">
            <w:pPr>
              <w:pStyle w:val="TableText"/>
            </w:pPr>
            <w:r w:rsidRPr="009D7EAE">
              <w:t>Do not resume</w:t>
            </w:r>
          </w:p>
        </w:tc>
      </w:tr>
      <w:tr w:rsidR="00DC5E06" w:rsidRPr="009D7EAE" w14:paraId="62C466F4" w14:textId="77777777" w:rsidTr="00444DA1">
        <w:trPr>
          <w:cantSplit/>
        </w:trPr>
        <w:tc>
          <w:tcPr>
            <w:tcW w:w="2009" w:type="dxa"/>
            <w:vMerge w:val="restart"/>
            <w:shd w:val="clear" w:color="auto" w:fill="auto"/>
          </w:tcPr>
          <w:p w14:paraId="6F2550FA" w14:textId="77777777" w:rsidR="00DC5E06" w:rsidRPr="009D7EAE" w:rsidRDefault="00DC5E06" w:rsidP="00DC5E06">
            <w:pPr>
              <w:pStyle w:val="TableText"/>
            </w:pPr>
            <w:r w:rsidRPr="009D7EAE">
              <w:t>GI perforation or fistula</w:t>
            </w:r>
          </w:p>
        </w:tc>
        <w:tc>
          <w:tcPr>
            <w:tcW w:w="2102" w:type="dxa"/>
            <w:shd w:val="clear" w:color="auto" w:fill="auto"/>
          </w:tcPr>
          <w:p w14:paraId="05A0726C" w14:textId="77777777" w:rsidR="00DC5E06" w:rsidRPr="009D7EAE" w:rsidRDefault="00DC5E06" w:rsidP="00DC5E06">
            <w:pPr>
              <w:pStyle w:val="TableText"/>
            </w:pPr>
            <w:r w:rsidRPr="009D7EAE">
              <w:t>Grade 3</w:t>
            </w:r>
          </w:p>
        </w:tc>
        <w:tc>
          <w:tcPr>
            <w:tcW w:w="2039" w:type="dxa"/>
          </w:tcPr>
          <w:p w14:paraId="7752466A" w14:textId="77777777" w:rsidR="00DC5E06" w:rsidRPr="009D7EAE" w:rsidRDefault="00DC5E06" w:rsidP="00DC5E06">
            <w:pPr>
              <w:pStyle w:val="TableText"/>
            </w:pPr>
            <w:r w:rsidRPr="009D7EAE">
              <w:t>Interrupt</w:t>
            </w:r>
          </w:p>
        </w:tc>
        <w:tc>
          <w:tcPr>
            <w:tcW w:w="3064" w:type="dxa"/>
            <w:shd w:val="clear" w:color="auto" w:fill="auto"/>
          </w:tcPr>
          <w:p w14:paraId="2A643EA7" w14:textId="77777777" w:rsidR="00DC5E06" w:rsidRPr="009D7EAE" w:rsidRDefault="00DC5E06" w:rsidP="00DC5E06">
            <w:pPr>
              <w:pStyle w:val="TableText"/>
            </w:pPr>
            <w:r w:rsidRPr="009D7EAE">
              <w:t>Resolves to Grade 0-1 or baseline</w:t>
            </w:r>
          </w:p>
        </w:tc>
      </w:tr>
      <w:tr w:rsidR="00DC5E06" w:rsidRPr="009D7EAE" w14:paraId="6937E4CB" w14:textId="77777777" w:rsidTr="00444DA1">
        <w:trPr>
          <w:cantSplit/>
        </w:trPr>
        <w:tc>
          <w:tcPr>
            <w:tcW w:w="2009" w:type="dxa"/>
            <w:vMerge/>
            <w:shd w:val="clear" w:color="auto" w:fill="auto"/>
          </w:tcPr>
          <w:p w14:paraId="23AE9A20" w14:textId="77777777" w:rsidR="00DC5E06" w:rsidRPr="009D7EAE" w:rsidRDefault="00DC5E06" w:rsidP="00DC5E06">
            <w:pPr>
              <w:pStyle w:val="TableText"/>
            </w:pPr>
          </w:p>
        </w:tc>
        <w:tc>
          <w:tcPr>
            <w:tcW w:w="2102" w:type="dxa"/>
            <w:shd w:val="clear" w:color="auto" w:fill="auto"/>
          </w:tcPr>
          <w:p w14:paraId="7C5B7E49" w14:textId="77777777" w:rsidR="00DC5E06" w:rsidRPr="009D7EAE" w:rsidRDefault="00DC5E06" w:rsidP="00DC5E06">
            <w:pPr>
              <w:pStyle w:val="TableText"/>
            </w:pPr>
            <w:r w:rsidRPr="009D7EAE">
              <w:t>Grade 4</w:t>
            </w:r>
          </w:p>
        </w:tc>
        <w:tc>
          <w:tcPr>
            <w:tcW w:w="2039" w:type="dxa"/>
          </w:tcPr>
          <w:p w14:paraId="5D08AD5B" w14:textId="77777777" w:rsidR="00DC5E06" w:rsidRPr="009D7EAE" w:rsidRDefault="00DC5E06" w:rsidP="00DC5E06">
            <w:pPr>
              <w:pStyle w:val="TableText"/>
            </w:pPr>
            <w:r w:rsidRPr="009D7EAE">
              <w:t>Discontinue</w:t>
            </w:r>
          </w:p>
        </w:tc>
        <w:tc>
          <w:tcPr>
            <w:tcW w:w="3064" w:type="dxa"/>
            <w:shd w:val="clear" w:color="auto" w:fill="auto"/>
          </w:tcPr>
          <w:p w14:paraId="30EF590C" w14:textId="77777777" w:rsidR="00DC5E06" w:rsidRPr="009D7EAE" w:rsidRDefault="00DC5E06" w:rsidP="00DC5E06">
            <w:pPr>
              <w:pStyle w:val="TableText"/>
            </w:pPr>
            <w:r w:rsidRPr="009D7EAE">
              <w:t>Do not resume</w:t>
            </w:r>
          </w:p>
        </w:tc>
      </w:tr>
      <w:tr w:rsidR="00DC5E06" w:rsidRPr="009D7EAE" w14:paraId="02E2D233" w14:textId="77777777" w:rsidTr="00444DA1">
        <w:trPr>
          <w:cantSplit/>
          <w:trHeight w:val="1099"/>
        </w:trPr>
        <w:tc>
          <w:tcPr>
            <w:tcW w:w="2009" w:type="dxa"/>
            <w:shd w:val="clear" w:color="auto" w:fill="auto"/>
          </w:tcPr>
          <w:p w14:paraId="20512BDF" w14:textId="77777777" w:rsidR="00DC5E06" w:rsidRPr="009D7EAE" w:rsidRDefault="00DC5E06" w:rsidP="00DC5E06">
            <w:pPr>
              <w:pStyle w:val="TableText"/>
            </w:pPr>
            <w:r w:rsidRPr="009D7EAE">
              <w:t>QT interval prolongation</w:t>
            </w:r>
          </w:p>
        </w:tc>
        <w:tc>
          <w:tcPr>
            <w:tcW w:w="2102" w:type="dxa"/>
            <w:shd w:val="clear" w:color="auto" w:fill="auto"/>
          </w:tcPr>
          <w:p w14:paraId="650CC19B" w14:textId="77777777" w:rsidR="00DC5E06" w:rsidRPr="009D7EAE" w:rsidRDefault="00DC5E06" w:rsidP="00DC5E06">
            <w:pPr>
              <w:pStyle w:val="TableText"/>
            </w:pPr>
            <w:r w:rsidRPr="009D7EAE">
              <w:t xml:space="preserve">&gt;500 </w:t>
            </w:r>
            <w:proofErr w:type="spellStart"/>
            <w:r w:rsidRPr="009D7EAE">
              <w:t>ms</w:t>
            </w:r>
            <w:proofErr w:type="spellEnd"/>
          </w:p>
        </w:tc>
        <w:tc>
          <w:tcPr>
            <w:tcW w:w="2039" w:type="dxa"/>
          </w:tcPr>
          <w:p w14:paraId="356C4EF8" w14:textId="77777777" w:rsidR="00DC5E06" w:rsidRPr="009D7EAE" w:rsidRDefault="00DC5E06" w:rsidP="00DC5E06">
            <w:pPr>
              <w:pStyle w:val="TableText"/>
            </w:pPr>
            <w:r w:rsidRPr="009D7EAE">
              <w:t>Interrupt</w:t>
            </w:r>
          </w:p>
        </w:tc>
        <w:tc>
          <w:tcPr>
            <w:tcW w:w="3064" w:type="dxa"/>
            <w:shd w:val="clear" w:color="auto" w:fill="auto"/>
          </w:tcPr>
          <w:p w14:paraId="171E5D02" w14:textId="4F5A0797" w:rsidR="00DC5E06" w:rsidRPr="009D7EAE" w:rsidRDefault="00DC5E06" w:rsidP="00DC5E06">
            <w:pPr>
              <w:pStyle w:val="TableText"/>
            </w:pPr>
            <w:r w:rsidRPr="009D7EAE">
              <w:t xml:space="preserve">Resolves to &lt;480 </w:t>
            </w:r>
            <w:proofErr w:type="spellStart"/>
            <w:r w:rsidRPr="009D7EAE">
              <w:t>ms</w:t>
            </w:r>
            <w:proofErr w:type="spellEnd"/>
            <w:r w:rsidRPr="009D7EAE">
              <w:t xml:space="preserve"> or baseline</w:t>
            </w:r>
          </w:p>
        </w:tc>
      </w:tr>
      <w:tr w:rsidR="00DC5E06" w:rsidRPr="009D7EAE" w14:paraId="38CAC35A" w14:textId="77777777" w:rsidTr="00444DA1">
        <w:trPr>
          <w:cantSplit/>
        </w:trPr>
        <w:tc>
          <w:tcPr>
            <w:tcW w:w="2009" w:type="dxa"/>
            <w:vMerge w:val="restart"/>
            <w:shd w:val="clear" w:color="auto" w:fill="auto"/>
          </w:tcPr>
          <w:p w14:paraId="52A6920B" w14:textId="77777777" w:rsidR="00DC5E06" w:rsidRPr="009D7EAE" w:rsidRDefault="00DC5E06" w:rsidP="00DC5E06">
            <w:pPr>
              <w:pStyle w:val="TableText"/>
            </w:pPr>
            <w:r w:rsidRPr="009D7EAE">
              <w:t>Diarrhoea</w:t>
            </w:r>
          </w:p>
        </w:tc>
        <w:tc>
          <w:tcPr>
            <w:tcW w:w="2102" w:type="dxa"/>
            <w:shd w:val="clear" w:color="auto" w:fill="auto"/>
          </w:tcPr>
          <w:p w14:paraId="5B3D8D95" w14:textId="77777777" w:rsidR="00DC5E06" w:rsidRPr="009D7EAE" w:rsidRDefault="00DC5E06" w:rsidP="00DC5E06">
            <w:pPr>
              <w:pStyle w:val="TableText"/>
            </w:pPr>
            <w:r w:rsidRPr="009D7EAE">
              <w:t>Grade 3</w:t>
            </w:r>
          </w:p>
        </w:tc>
        <w:tc>
          <w:tcPr>
            <w:tcW w:w="2039" w:type="dxa"/>
          </w:tcPr>
          <w:p w14:paraId="636D78F3" w14:textId="77777777" w:rsidR="00DC5E06" w:rsidRPr="009D7EAE" w:rsidRDefault="00DC5E06" w:rsidP="00DC5E06">
            <w:pPr>
              <w:pStyle w:val="TableText"/>
            </w:pPr>
            <w:r w:rsidRPr="009D7EAE">
              <w:t>Interrupt</w:t>
            </w:r>
          </w:p>
        </w:tc>
        <w:tc>
          <w:tcPr>
            <w:tcW w:w="3064" w:type="dxa"/>
            <w:shd w:val="clear" w:color="auto" w:fill="auto"/>
          </w:tcPr>
          <w:p w14:paraId="79C5EAB9" w14:textId="77777777" w:rsidR="00DC5E06" w:rsidRPr="009D7EAE" w:rsidRDefault="00DC5E06" w:rsidP="00DC5E06">
            <w:pPr>
              <w:pStyle w:val="TableText"/>
            </w:pPr>
            <w:r w:rsidRPr="009D7EAE">
              <w:t>Resolves to Grade 0-1 or baseline</w:t>
            </w:r>
          </w:p>
        </w:tc>
      </w:tr>
      <w:tr w:rsidR="00DC5E06" w:rsidRPr="009D7EAE" w14:paraId="5E031CA9" w14:textId="77777777" w:rsidTr="00444DA1">
        <w:trPr>
          <w:cantSplit/>
        </w:trPr>
        <w:tc>
          <w:tcPr>
            <w:tcW w:w="2009" w:type="dxa"/>
            <w:vMerge/>
            <w:shd w:val="clear" w:color="auto" w:fill="auto"/>
          </w:tcPr>
          <w:p w14:paraId="55B52F2F" w14:textId="77777777" w:rsidR="00DC5E06" w:rsidRPr="009D7EAE" w:rsidRDefault="00DC5E06" w:rsidP="00DC5E06">
            <w:pPr>
              <w:pStyle w:val="TableText"/>
            </w:pPr>
          </w:p>
        </w:tc>
        <w:tc>
          <w:tcPr>
            <w:tcW w:w="2102" w:type="dxa"/>
            <w:shd w:val="clear" w:color="auto" w:fill="auto"/>
          </w:tcPr>
          <w:p w14:paraId="22DFEF99" w14:textId="4BE20EAF" w:rsidR="00DC5E06" w:rsidRPr="009D7EAE" w:rsidRDefault="00DC5E06" w:rsidP="00985FFD">
            <w:pPr>
              <w:pStyle w:val="TableText"/>
            </w:pPr>
            <w:r w:rsidRPr="009D7EAE">
              <w:t>Grade 4</w:t>
            </w:r>
            <w:r w:rsidR="007A6A34">
              <w:rPr>
                <w:vertAlign w:val="superscript"/>
              </w:rPr>
              <w:t>d</w:t>
            </w:r>
            <w:r w:rsidRPr="009D7EAE">
              <w:t xml:space="preserve"> </w:t>
            </w:r>
          </w:p>
        </w:tc>
        <w:tc>
          <w:tcPr>
            <w:tcW w:w="2039" w:type="dxa"/>
          </w:tcPr>
          <w:p w14:paraId="03F78C0A" w14:textId="77777777" w:rsidR="00DC5E06" w:rsidRPr="009D7EAE" w:rsidRDefault="00DC5E06" w:rsidP="00DC5E06">
            <w:pPr>
              <w:pStyle w:val="TableText"/>
            </w:pPr>
            <w:r w:rsidRPr="009D7EAE">
              <w:t>Discontinue</w:t>
            </w:r>
          </w:p>
        </w:tc>
        <w:tc>
          <w:tcPr>
            <w:tcW w:w="3064" w:type="dxa"/>
            <w:shd w:val="clear" w:color="auto" w:fill="auto"/>
          </w:tcPr>
          <w:p w14:paraId="4AC40BBD" w14:textId="77777777" w:rsidR="00DC5E06" w:rsidRPr="009D7EAE" w:rsidRDefault="00DC5E06" w:rsidP="00DC5E06">
            <w:pPr>
              <w:pStyle w:val="TableText"/>
            </w:pPr>
            <w:r w:rsidRPr="009D7EAE">
              <w:t>Do not resume</w:t>
            </w:r>
          </w:p>
        </w:tc>
      </w:tr>
    </w:tbl>
    <w:p w14:paraId="2C6E8A1F" w14:textId="01FF0C3D" w:rsidR="007A6A34" w:rsidRDefault="007A6A34" w:rsidP="007A6A34">
      <w:pPr>
        <w:pStyle w:val="TableFootnote-list"/>
      </w:pPr>
      <w:r w:rsidRPr="007A6A34">
        <w:t>National Cancer Institute Common Terminology Criteria for Adverse Events, version 4.0</w:t>
      </w:r>
    </w:p>
    <w:p w14:paraId="06CB5E61" w14:textId="3564F0CB" w:rsidR="00985FFD" w:rsidRDefault="00985FFD" w:rsidP="00985FFD">
      <w:pPr>
        <w:pStyle w:val="TableFootnote-list"/>
      </w:pPr>
      <w:r>
        <w:t xml:space="preserve">Grade </w:t>
      </w:r>
      <w:proofErr w:type="gramStart"/>
      <w:r>
        <w:t>3</w:t>
      </w:r>
      <w:proofErr w:type="gramEnd"/>
      <w:r>
        <w:t xml:space="preserve"> </w:t>
      </w:r>
      <w:r w:rsidRPr="009D7EAE">
        <w:t>despite optimal antihypertensive therapy</w:t>
      </w:r>
      <w:r>
        <w:t>.</w:t>
      </w:r>
    </w:p>
    <w:p w14:paraId="2F314E73" w14:textId="42F0736C" w:rsidR="00985FFD" w:rsidRDefault="00985FFD" w:rsidP="00985FFD">
      <w:pPr>
        <w:pStyle w:val="TableFootnote-list"/>
      </w:pPr>
      <w:r w:rsidRPr="009D7EAE">
        <w:t>Grade 4 laboratory abnormalities judged to be non-life-threatening, may be managed as severe reactions (e.g., Grade 3)</w:t>
      </w:r>
    </w:p>
    <w:p w14:paraId="10B87DAA" w14:textId="4273B915" w:rsidR="00985FFD" w:rsidRPr="009D7EAE" w:rsidRDefault="00985FFD" w:rsidP="003F7AFA">
      <w:pPr>
        <w:pStyle w:val="TableFootnote-list"/>
      </w:pPr>
      <w:r>
        <w:t xml:space="preserve">Grade 4 </w:t>
      </w:r>
      <w:r w:rsidRPr="009D7EAE">
        <w:t>despite medical management</w:t>
      </w:r>
    </w:p>
    <w:p w14:paraId="29D0B6C7" w14:textId="4BDC0BAC" w:rsidR="00940016" w:rsidRPr="00940016" w:rsidRDefault="00940016" w:rsidP="00B722A3">
      <w:pPr>
        <w:pStyle w:val="BodyText"/>
        <w:keepNext/>
        <w:rPr>
          <w:b/>
          <w:lang w:val="en-US"/>
        </w:rPr>
      </w:pPr>
      <w:bookmarkStart w:id="3" w:name="_Ref523319077"/>
      <w:r w:rsidRPr="00940016">
        <w:rPr>
          <w:b/>
        </w:rPr>
        <w:lastRenderedPageBreak/>
        <w:t>Table </w:t>
      </w:r>
      <w:r w:rsidRPr="00940016">
        <w:rPr>
          <w:b/>
          <w:noProof/>
        </w:rPr>
        <w:fldChar w:fldCharType="begin"/>
      </w:r>
      <w:r w:rsidRPr="00940016">
        <w:rPr>
          <w:b/>
          <w:noProof/>
        </w:rPr>
        <w:instrText xml:space="preserve"> SEQ Table \* ARABIC </w:instrText>
      </w:r>
      <w:r w:rsidRPr="00940016">
        <w:rPr>
          <w:b/>
          <w:noProof/>
        </w:rPr>
        <w:fldChar w:fldCharType="separate"/>
      </w:r>
      <w:r w:rsidR="008D1089">
        <w:rPr>
          <w:b/>
          <w:noProof/>
        </w:rPr>
        <w:t>2</w:t>
      </w:r>
      <w:r w:rsidRPr="00940016">
        <w:rPr>
          <w:b/>
          <w:noProof/>
        </w:rPr>
        <w:fldChar w:fldCharType="end"/>
      </w:r>
      <w:bookmarkEnd w:id="3"/>
      <w:r w:rsidRPr="00940016">
        <w:rPr>
          <w:b/>
          <w:noProof/>
        </w:rPr>
        <w:tab/>
      </w:r>
      <w:r w:rsidRPr="00940016">
        <w:rPr>
          <w:b/>
        </w:rPr>
        <w:t xml:space="preserve">Recommended </w:t>
      </w:r>
      <w:r w:rsidR="007A6A34">
        <w:rPr>
          <w:b/>
        </w:rPr>
        <w:t xml:space="preserve">LENVIMA </w:t>
      </w:r>
      <w:r w:rsidR="004520A6">
        <w:rPr>
          <w:b/>
        </w:rPr>
        <w:t>d</w:t>
      </w:r>
      <w:r w:rsidRPr="00940016">
        <w:rPr>
          <w:b/>
        </w:rPr>
        <w:t xml:space="preserve">ose </w:t>
      </w:r>
      <w:r w:rsidR="004520A6">
        <w:rPr>
          <w:b/>
        </w:rPr>
        <w:t>r</w:t>
      </w:r>
      <w:r w:rsidRPr="00940016">
        <w:rPr>
          <w:b/>
        </w:rPr>
        <w:t>eduction</w:t>
      </w:r>
      <w:r w:rsidR="00291054">
        <w:rPr>
          <w:b/>
        </w:rPr>
        <w:t xml:space="preserve"> </w:t>
      </w:r>
      <w:r w:rsidR="007A6A34">
        <w:rPr>
          <w:b/>
        </w:rPr>
        <w:t xml:space="preserve">increments </w:t>
      </w:r>
      <w:r w:rsidRPr="00940016">
        <w:rPr>
          <w:b/>
        </w:rPr>
        <w:t xml:space="preserve">for </w:t>
      </w:r>
      <w:r w:rsidR="004520A6">
        <w:rPr>
          <w:b/>
        </w:rPr>
        <w:t>a</w:t>
      </w:r>
      <w:r w:rsidRPr="00940016">
        <w:rPr>
          <w:b/>
        </w:rPr>
        <w:t xml:space="preserve">dverse </w:t>
      </w:r>
      <w:r w:rsidR="00291054">
        <w:rPr>
          <w:b/>
        </w:rPr>
        <w:t>r</w:t>
      </w:r>
      <w:r w:rsidRPr="00940016">
        <w:rPr>
          <w:b/>
        </w:rPr>
        <w:t>eactions</w:t>
      </w:r>
    </w:p>
    <w:tbl>
      <w:tblPr>
        <w:tblStyle w:val="TableGrid"/>
        <w:tblW w:w="9558" w:type="dxa"/>
        <w:tblLayout w:type="fixed"/>
        <w:tblLook w:val="04A0" w:firstRow="1" w:lastRow="0" w:firstColumn="1" w:lastColumn="0" w:noHBand="0" w:noVBand="1"/>
      </w:tblPr>
      <w:tblGrid>
        <w:gridCol w:w="3528"/>
        <w:gridCol w:w="2010"/>
        <w:gridCol w:w="2010"/>
        <w:gridCol w:w="2010"/>
      </w:tblGrid>
      <w:tr w:rsidR="00CB0D47" w:rsidRPr="0019436C" w14:paraId="2F5EA9AE" w14:textId="77777777" w:rsidTr="00211F82">
        <w:trPr>
          <w:trHeight w:val="548"/>
        </w:trPr>
        <w:tc>
          <w:tcPr>
            <w:tcW w:w="3528" w:type="dxa"/>
            <w:tcBorders>
              <w:top w:val="single" w:sz="4" w:space="0" w:color="auto"/>
              <w:left w:val="single" w:sz="4" w:space="0" w:color="auto"/>
              <w:bottom w:val="single" w:sz="4" w:space="0" w:color="auto"/>
              <w:right w:val="single" w:sz="4" w:space="0" w:color="auto"/>
            </w:tcBorders>
            <w:hideMark/>
          </w:tcPr>
          <w:p w14:paraId="6576AAC9" w14:textId="77060C19" w:rsidR="00CB0D47" w:rsidRPr="00D7231E" w:rsidRDefault="00CB0D47" w:rsidP="008C477A">
            <w:pPr>
              <w:pStyle w:val="TableHeading"/>
            </w:pPr>
            <w:r w:rsidRPr="00D7231E">
              <w:t>Indication</w:t>
            </w:r>
          </w:p>
        </w:tc>
        <w:tc>
          <w:tcPr>
            <w:tcW w:w="2010" w:type="dxa"/>
            <w:tcBorders>
              <w:top w:val="single" w:sz="4" w:space="0" w:color="auto"/>
              <w:left w:val="single" w:sz="4" w:space="0" w:color="auto"/>
              <w:bottom w:val="single" w:sz="4" w:space="0" w:color="auto"/>
              <w:right w:val="single" w:sz="4" w:space="0" w:color="auto"/>
            </w:tcBorders>
            <w:hideMark/>
          </w:tcPr>
          <w:p w14:paraId="1482BDB5" w14:textId="4FE7927D" w:rsidR="00CB0D47" w:rsidRPr="00D7231E" w:rsidRDefault="00CB0D47" w:rsidP="008C477A">
            <w:pPr>
              <w:pStyle w:val="TableHeading"/>
            </w:pPr>
            <w:r w:rsidRPr="00D7231E">
              <w:t xml:space="preserve">First </w:t>
            </w:r>
            <w:r w:rsidR="00291054">
              <w:t>d</w:t>
            </w:r>
            <w:r w:rsidRPr="00D7231E">
              <w:t xml:space="preserve">osage </w:t>
            </w:r>
            <w:r w:rsidR="00291054">
              <w:t>r</w:t>
            </w:r>
            <w:r w:rsidRPr="00D7231E">
              <w:t>eduction</w:t>
            </w:r>
            <w:r>
              <w:t xml:space="preserve"> </w:t>
            </w:r>
            <w:r w:rsidR="00291054">
              <w:t>t</w:t>
            </w:r>
            <w:r>
              <w:t>o</w:t>
            </w:r>
          </w:p>
        </w:tc>
        <w:tc>
          <w:tcPr>
            <w:tcW w:w="2010" w:type="dxa"/>
            <w:tcBorders>
              <w:top w:val="single" w:sz="4" w:space="0" w:color="auto"/>
              <w:left w:val="single" w:sz="4" w:space="0" w:color="auto"/>
              <w:bottom w:val="single" w:sz="4" w:space="0" w:color="auto"/>
              <w:right w:val="single" w:sz="4" w:space="0" w:color="auto"/>
            </w:tcBorders>
            <w:hideMark/>
          </w:tcPr>
          <w:p w14:paraId="76B496AD" w14:textId="6EFF8957" w:rsidR="00CB0D47" w:rsidRPr="00D7231E" w:rsidRDefault="00CB0D47" w:rsidP="008C477A">
            <w:pPr>
              <w:pStyle w:val="TableHeading"/>
            </w:pPr>
            <w:r w:rsidRPr="00D7231E">
              <w:t xml:space="preserve">Second </w:t>
            </w:r>
            <w:r w:rsidR="00291054">
              <w:t>d</w:t>
            </w:r>
            <w:r w:rsidRPr="00D7231E">
              <w:t xml:space="preserve">osage </w:t>
            </w:r>
            <w:r w:rsidR="00291054">
              <w:t>r</w:t>
            </w:r>
            <w:r w:rsidRPr="00D7231E">
              <w:t>eduction</w:t>
            </w:r>
            <w:r>
              <w:t xml:space="preserve"> </w:t>
            </w:r>
            <w:r w:rsidR="00291054">
              <w:t>t</w:t>
            </w:r>
            <w:r>
              <w:t>o</w:t>
            </w:r>
          </w:p>
        </w:tc>
        <w:tc>
          <w:tcPr>
            <w:tcW w:w="2010" w:type="dxa"/>
            <w:tcBorders>
              <w:top w:val="single" w:sz="4" w:space="0" w:color="auto"/>
              <w:left w:val="single" w:sz="4" w:space="0" w:color="auto"/>
              <w:bottom w:val="single" w:sz="4" w:space="0" w:color="auto"/>
              <w:right w:val="single" w:sz="4" w:space="0" w:color="auto"/>
            </w:tcBorders>
            <w:hideMark/>
          </w:tcPr>
          <w:p w14:paraId="09056775" w14:textId="3F07FFBC" w:rsidR="00CB0D47" w:rsidRPr="00D7231E" w:rsidRDefault="00CB0D47" w:rsidP="008C477A">
            <w:pPr>
              <w:pStyle w:val="TableHeading"/>
            </w:pPr>
            <w:r w:rsidRPr="00D7231E">
              <w:t xml:space="preserve">Third </w:t>
            </w:r>
            <w:r w:rsidR="00291054">
              <w:t>d</w:t>
            </w:r>
            <w:r w:rsidRPr="00D7231E">
              <w:t xml:space="preserve">osage </w:t>
            </w:r>
            <w:r w:rsidR="00291054">
              <w:t>r</w:t>
            </w:r>
            <w:r w:rsidRPr="00D7231E">
              <w:t>eduction</w:t>
            </w:r>
            <w:r>
              <w:t xml:space="preserve"> </w:t>
            </w:r>
            <w:r w:rsidR="00291054">
              <w:t>t</w:t>
            </w:r>
            <w:r>
              <w:t>o</w:t>
            </w:r>
          </w:p>
        </w:tc>
      </w:tr>
      <w:tr w:rsidR="00CB0D47" w:rsidRPr="0019436C" w14:paraId="74C8E100" w14:textId="77777777" w:rsidTr="00211F82">
        <w:tc>
          <w:tcPr>
            <w:tcW w:w="3528" w:type="dxa"/>
            <w:tcBorders>
              <w:top w:val="single" w:sz="4" w:space="0" w:color="auto"/>
              <w:left w:val="single" w:sz="4" w:space="0" w:color="auto"/>
              <w:bottom w:val="single" w:sz="4" w:space="0" w:color="auto"/>
              <w:right w:val="single" w:sz="4" w:space="0" w:color="auto"/>
            </w:tcBorders>
            <w:hideMark/>
          </w:tcPr>
          <w:p w14:paraId="5DA03833" w14:textId="77777777" w:rsidR="00CB0D47" w:rsidRPr="00D7231E" w:rsidRDefault="00CB0D47" w:rsidP="008C477A">
            <w:pPr>
              <w:pStyle w:val="TableText"/>
            </w:pPr>
            <w:r w:rsidRPr="00D7231E">
              <w:t>DTC</w:t>
            </w:r>
          </w:p>
        </w:tc>
        <w:tc>
          <w:tcPr>
            <w:tcW w:w="2010" w:type="dxa"/>
            <w:tcBorders>
              <w:top w:val="single" w:sz="4" w:space="0" w:color="auto"/>
              <w:left w:val="single" w:sz="4" w:space="0" w:color="auto"/>
              <w:bottom w:val="single" w:sz="4" w:space="0" w:color="auto"/>
              <w:right w:val="single" w:sz="4" w:space="0" w:color="auto"/>
            </w:tcBorders>
            <w:hideMark/>
          </w:tcPr>
          <w:p w14:paraId="6698DB03" w14:textId="77777777" w:rsidR="00CB0D47" w:rsidRPr="00D7231E" w:rsidRDefault="00CB0D47" w:rsidP="008C477A">
            <w:pPr>
              <w:pStyle w:val="TableText"/>
            </w:pPr>
            <w:r w:rsidRPr="00D7231E">
              <w:t xml:space="preserve">20 mg </w:t>
            </w:r>
          </w:p>
          <w:p w14:paraId="1116DDCE" w14:textId="77777777" w:rsidR="00CB0D47" w:rsidRPr="00D7231E" w:rsidRDefault="00CB0D47" w:rsidP="008C477A">
            <w:pPr>
              <w:pStyle w:val="TableText"/>
            </w:pPr>
            <w:r w:rsidRPr="00D7231E">
              <w:t xml:space="preserve">once daily </w:t>
            </w:r>
          </w:p>
        </w:tc>
        <w:tc>
          <w:tcPr>
            <w:tcW w:w="2010" w:type="dxa"/>
            <w:tcBorders>
              <w:top w:val="single" w:sz="4" w:space="0" w:color="auto"/>
              <w:left w:val="single" w:sz="4" w:space="0" w:color="auto"/>
              <w:bottom w:val="single" w:sz="4" w:space="0" w:color="auto"/>
              <w:right w:val="single" w:sz="4" w:space="0" w:color="auto"/>
            </w:tcBorders>
            <w:hideMark/>
          </w:tcPr>
          <w:p w14:paraId="3547E7E7" w14:textId="77777777" w:rsidR="00CB0D47" w:rsidRPr="00D7231E" w:rsidRDefault="00CB0D47" w:rsidP="008C477A">
            <w:pPr>
              <w:pStyle w:val="TableText"/>
            </w:pPr>
            <w:r w:rsidRPr="00D7231E">
              <w:t xml:space="preserve">14 mg </w:t>
            </w:r>
          </w:p>
          <w:p w14:paraId="22984802" w14:textId="77777777" w:rsidR="00CB0D47" w:rsidRPr="00D7231E" w:rsidRDefault="00CB0D47" w:rsidP="008C477A">
            <w:pPr>
              <w:pStyle w:val="TableText"/>
            </w:pPr>
            <w:r w:rsidRPr="00D7231E">
              <w:t xml:space="preserve">once daily </w:t>
            </w:r>
          </w:p>
        </w:tc>
        <w:tc>
          <w:tcPr>
            <w:tcW w:w="2010" w:type="dxa"/>
            <w:tcBorders>
              <w:top w:val="single" w:sz="4" w:space="0" w:color="auto"/>
              <w:left w:val="single" w:sz="4" w:space="0" w:color="auto"/>
              <w:bottom w:val="single" w:sz="4" w:space="0" w:color="auto"/>
              <w:right w:val="single" w:sz="4" w:space="0" w:color="auto"/>
            </w:tcBorders>
            <w:hideMark/>
          </w:tcPr>
          <w:p w14:paraId="470F4C51" w14:textId="77777777" w:rsidR="00CB0D47" w:rsidRPr="00D7231E" w:rsidRDefault="00CB0D47" w:rsidP="008C477A">
            <w:pPr>
              <w:pStyle w:val="TableText"/>
            </w:pPr>
            <w:r w:rsidRPr="00D7231E">
              <w:t>10 mg</w:t>
            </w:r>
          </w:p>
          <w:p w14:paraId="30EFA63B" w14:textId="77777777" w:rsidR="00CB0D47" w:rsidRPr="00D7231E" w:rsidRDefault="00CB0D47" w:rsidP="008C477A">
            <w:pPr>
              <w:pStyle w:val="TableText"/>
            </w:pPr>
            <w:r w:rsidRPr="00D7231E">
              <w:t>once daily</w:t>
            </w:r>
          </w:p>
        </w:tc>
      </w:tr>
      <w:tr w:rsidR="00CB0D47" w:rsidRPr="0019436C" w14:paraId="3E91B920" w14:textId="77777777" w:rsidTr="00211F82">
        <w:tc>
          <w:tcPr>
            <w:tcW w:w="3528" w:type="dxa"/>
            <w:tcBorders>
              <w:top w:val="single" w:sz="4" w:space="0" w:color="auto"/>
              <w:left w:val="single" w:sz="4" w:space="0" w:color="auto"/>
              <w:bottom w:val="single" w:sz="4" w:space="0" w:color="auto"/>
              <w:right w:val="single" w:sz="4" w:space="0" w:color="auto"/>
            </w:tcBorders>
            <w:hideMark/>
          </w:tcPr>
          <w:p w14:paraId="596CA659" w14:textId="77777777" w:rsidR="00CB0D47" w:rsidRPr="00D7231E" w:rsidRDefault="00CB0D47" w:rsidP="008C477A">
            <w:pPr>
              <w:pStyle w:val="TableText"/>
            </w:pPr>
            <w:r w:rsidRPr="00D7231E">
              <w:t>RCC</w:t>
            </w:r>
          </w:p>
        </w:tc>
        <w:tc>
          <w:tcPr>
            <w:tcW w:w="2010" w:type="dxa"/>
            <w:tcBorders>
              <w:top w:val="single" w:sz="4" w:space="0" w:color="auto"/>
              <w:left w:val="single" w:sz="4" w:space="0" w:color="auto"/>
              <w:bottom w:val="single" w:sz="4" w:space="0" w:color="auto"/>
              <w:right w:val="single" w:sz="4" w:space="0" w:color="auto"/>
            </w:tcBorders>
            <w:hideMark/>
          </w:tcPr>
          <w:p w14:paraId="38368D02" w14:textId="77777777" w:rsidR="00CB0D47" w:rsidRPr="00D7231E" w:rsidRDefault="00CB0D47" w:rsidP="008C477A">
            <w:pPr>
              <w:pStyle w:val="TableText"/>
            </w:pPr>
            <w:r w:rsidRPr="00D7231E">
              <w:t xml:space="preserve">14 mg </w:t>
            </w:r>
          </w:p>
          <w:p w14:paraId="1FCC560D" w14:textId="77777777" w:rsidR="00CB0D47" w:rsidRPr="00D7231E" w:rsidRDefault="00CB0D47" w:rsidP="008C477A">
            <w:pPr>
              <w:pStyle w:val="TableText"/>
            </w:pPr>
            <w:r w:rsidRPr="00D7231E">
              <w:t xml:space="preserve">once daily </w:t>
            </w:r>
          </w:p>
        </w:tc>
        <w:tc>
          <w:tcPr>
            <w:tcW w:w="2010" w:type="dxa"/>
            <w:tcBorders>
              <w:top w:val="single" w:sz="4" w:space="0" w:color="auto"/>
              <w:left w:val="single" w:sz="4" w:space="0" w:color="auto"/>
              <w:bottom w:val="single" w:sz="4" w:space="0" w:color="auto"/>
              <w:right w:val="single" w:sz="4" w:space="0" w:color="auto"/>
            </w:tcBorders>
            <w:hideMark/>
          </w:tcPr>
          <w:p w14:paraId="7D0DFFC5" w14:textId="77777777" w:rsidR="00CB0D47" w:rsidRPr="00D7231E" w:rsidRDefault="00CB0D47" w:rsidP="008C477A">
            <w:pPr>
              <w:pStyle w:val="TableText"/>
            </w:pPr>
            <w:r w:rsidRPr="00D7231E">
              <w:t>10 mg</w:t>
            </w:r>
          </w:p>
          <w:p w14:paraId="1D1A1A9C" w14:textId="77777777" w:rsidR="00CB0D47" w:rsidRPr="00D7231E" w:rsidRDefault="00CB0D47" w:rsidP="008C477A">
            <w:pPr>
              <w:pStyle w:val="TableText"/>
            </w:pPr>
            <w:r w:rsidRPr="00D7231E">
              <w:t>once daily</w:t>
            </w:r>
          </w:p>
        </w:tc>
        <w:tc>
          <w:tcPr>
            <w:tcW w:w="2010" w:type="dxa"/>
            <w:tcBorders>
              <w:top w:val="single" w:sz="4" w:space="0" w:color="auto"/>
              <w:left w:val="single" w:sz="4" w:space="0" w:color="auto"/>
              <w:bottom w:val="single" w:sz="4" w:space="0" w:color="auto"/>
              <w:right w:val="single" w:sz="4" w:space="0" w:color="auto"/>
            </w:tcBorders>
            <w:hideMark/>
          </w:tcPr>
          <w:p w14:paraId="0D7B97AF" w14:textId="77777777" w:rsidR="00CB0D47" w:rsidRPr="00D7231E" w:rsidRDefault="00CB0D47" w:rsidP="008C477A">
            <w:pPr>
              <w:pStyle w:val="TableText"/>
            </w:pPr>
            <w:r w:rsidRPr="00D7231E">
              <w:t>8 mg</w:t>
            </w:r>
          </w:p>
          <w:p w14:paraId="5976D337" w14:textId="77777777" w:rsidR="00CB0D47" w:rsidRPr="00D7231E" w:rsidRDefault="00CB0D47" w:rsidP="008C477A">
            <w:pPr>
              <w:pStyle w:val="TableText"/>
            </w:pPr>
            <w:r w:rsidRPr="00D7231E">
              <w:t>once daily</w:t>
            </w:r>
          </w:p>
        </w:tc>
      </w:tr>
      <w:tr w:rsidR="0040016A" w:rsidRPr="0019436C" w14:paraId="2B9CC3FA" w14:textId="77777777" w:rsidTr="00211F82">
        <w:tc>
          <w:tcPr>
            <w:tcW w:w="3528" w:type="dxa"/>
            <w:tcBorders>
              <w:top w:val="single" w:sz="4" w:space="0" w:color="auto"/>
              <w:left w:val="single" w:sz="4" w:space="0" w:color="auto"/>
              <w:bottom w:val="single" w:sz="4" w:space="0" w:color="auto"/>
              <w:right w:val="single" w:sz="4" w:space="0" w:color="auto"/>
            </w:tcBorders>
          </w:tcPr>
          <w:p w14:paraId="7648CACB" w14:textId="0E9C2927" w:rsidR="0040016A" w:rsidRPr="00D7231E" w:rsidRDefault="0040016A" w:rsidP="0040016A">
            <w:pPr>
              <w:pStyle w:val="TableText"/>
            </w:pPr>
            <w:r>
              <w:t xml:space="preserve">Endometrial </w:t>
            </w:r>
            <w:r w:rsidR="00C5609E">
              <w:t>C</w:t>
            </w:r>
            <w:r>
              <w:t>arcinoma</w:t>
            </w:r>
          </w:p>
        </w:tc>
        <w:tc>
          <w:tcPr>
            <w:tcW w:w="2010" w:type="dxa"/>
            <w:tcBorders>
              <w:top w:val="single" w:sz="4" w:space="0" w:color="auto"/>
              <w:left w:val="single" w:sz="4" w:space="0" w:color="auto"/>
              <w:bottom w:val="single" w:sz="4" w:space="0" w:color="auto"/>
              <w:right w:val="single" w:sz="4" w:space="0" w:color="auto"/>
            </w:tcBorders>
          </w:tcPr>
          <w:p w14:paraId="4AD67C70" w14:textId="77777777" w:rsidR="0040016A" w:rsidRPr="00D7231E" w:rsidRDefault="0040016A" w:rsidP="0040016A">
            <w:pPr>
              <w:pStyle w:val="TableText"/>
            </w:pPr>
            <w:r w:rsidRPr="00D7231E">
              <w:t xml:space="preserve">14 mg </w:t>
            </w:r>
          </w:p>
          <w:p w14:paraId="6198B692" w14:textId="2170A5FD" w:rsidR="0040016A" w:rsidRPr="00D7231E" w:rsidRDefault="0040016A" w:rsidP="0040016A">
            <w:pPr>
              <w:pStyle w:val="TableText"/>
            </w:pPr>
            <w:r w:rsidRPr="00D7231E">
              <w:t xml:space="preserve">once daily </w:t>
            </w:r>
          </w:p>
        </w:tc>
        <w:tc>
          <w:tcPr>
            <w:tcW w:w="2010" w:type="dxa"/>
            <w:tcBorders>
              <w:top w:val="single" w:sz="4" w:space="0" w:color="auto"/>
              <w:left w:val="single" w:sz="4" w:space="0" w:color="auto"/>
              <w:bottom w:val="single" w:sz="4" w:space="0" w:color="auto"/>
              <w:right w:val="single" w:sz="4" w:space="0" w:color="auto"/>
            </w:tcBorders>
          </w:tcPr>
          <w:p w14:paraId="799C9174" w14:textId="77777777" w:rsidR="0040016A" w:rsidRPr="00D7231E" w:rsidRDefault="0040016A" w:rsidP="0040016A">
            <w:pPr>
              <w:pStyle w:val="TableText"/>
            </w:pPr>
            <w:r w:rsidRPr="00D7231E">
              <w:t>10 mg</w:t>
            </w:r>
          </w:p>
          <w:p w14:paraId="3AA0DD60" w14:textId="06851857" w:rsidR="0040016A" w:rsidRPr="00D7231E" w:rsidRDefault="0040016A" w:rsidP="0040016A">
            <w:pPr>
              <w:pStyle w:val="TableText"/>
            </w:pPr>
            <w:r w:rsidRPr="00D7231E">
              <w:t>once daily</w:t>
            </w:r>
          </w:p>
        </w:tc>
        <w:tc>
          <w:tcPr>
            <w:tcW w:w="2010" w:type="dxa"/>
            <w:tcBorders>
              <w:top w:val="single" w:sz="4" w:space="0" w:color="auto"/>
              <w:left w:val="single" w:sz="4" w:space="0" w:color="auto"/>
              <w:bottom w:val="single" w:sz="4" w:space="0" w:color="auto"/>
              <w:right w:val="single" w:sz="4" w:space="0" w:color="auto"/>
            </w:tcBorders>
          </w:tcPr>
          <w:p w14:paraId="3B036532" w14:textId="77777777" w:rsidR="0040016A" w:rsidRPr="00D7231E" w:rsidRDefault="0040016A" w:rsidP="0040016A">
            <w:pPr>
              <w:pStyle w:val="TableText"/>
            </w:pPr>
            <w:r w:rsidRPr="00D7231E">
              <w:t>8 mg</w:t>
            </w:r>
          </w:p>
          <w:p w14:paraId="485979A6" w14:textId="0C4E13B9" w:rsidR="0040016A" w:rsidRPr="00D7231E" w:rsidRDefault="0040016A" w:rsidP="0040016A">
            <w:pPr>
              <w:pStyle w:val="TableText"/>
            </w:pPr>
            <w:r w:rsidRPr="00D7231E">
              <w:t>once daily</w:t>
            </w:r>
          </w:p>
        </w:tc>
      </w:tr>
      <w:tr w:rsidR="0040016A" w:rsidRPr="0019436C" w14:paraId="4BEAFA11" w14:textId="77777777" w:rsidTr="00211F82">
        <w:tc>
          <w:tcPr>
            <w:tcW w:w="9558" w:type="dxa"/>
            <w:gridSpan w:val="4"/>
            <w:tcBorders>
              <w:top w:val="single" w:sz="4" w:space="0" w:color="auto"/>
              <w:left w:val="single" w:sz="4" w:space="0" w:color="auto"/>
              <w:bottom w:val="single" w:sz="4" w:space="0" w:color="auto"/>
              <w:right w:val="single" w:sz="4" w:space="0" w:color="auto"/>
            </w:tcBorders>
            <w:hideMark/>
          </w:tcPr>
          <w:p w14:paraId="7777D9C9" w14:textId="47513324" w:rsidR="0040016A" w:rsidRPr="00D7231E" w:rsidRDefault="0040016A" w:rsidP="0040016A">
            <w:pPr>
              <w:pStyle w:val="TableText"/>
            </w:pPr>
            <w:r w:rsidRPr="00D7231E">
              <w:t>HCC</w:t>
            </w:r>
            <w:r w:rsidR="00291054">
              <w:t>:</w:t>
            </w:r>
          </w:p>
        </w:tc>
      </w:tr>
      <w:tr w:rsidR="0040016A" w:rsidRPr="0019436C" w14:paraId="710D256C" w14:textId="77777777" w:rsidTr="00211F82">
        <w:tc>
          <w:tcPr>
            <w:tcW w:w="3528" w:type="dxa"/>
            <w:tcBorders>
              <w:top w:val="single" w:sz="4" w:space="0" w:color="auto"/>
              <w:left w:val="single" w:sz="4" w:space="0" w:color="auto"/>
              <w:bottom w:val="single" w:sz="4" w:space="0" w:color="auto"/>
              <w:right w:val="single" w:sz="4" w:space="0" w:color="auto"/>
            </w:tcBorders>
            <w:hideMark/>
          </w:tcPr>
          <w:p w14:paraId="1088365F" w14:textId="77777777" w:rsidR="0040016A" w:rsidRPr="00D7231E" w:rsidRDefault="0040016A" w:rsidP="0040016A">
            <w:pPr>
              <w:pStyle w:val="TableText"/>
              <w:numPr>
                <w:ilvl w:val="0"/>
                <w:numId w:val="35"/>
              </w:numPr>
              <w:ind w:left="426"/>
            </w:pPr>
            <w:r w:rsidRPr="00D7231E">
              <w:t>Actual weight 60 kg or greater</w:t>
            </w:r>
          </w:p>
        </w:tc>
        <w:tc>
          <w:tcPr>
            <w:tcW w:w="2010" w:type="dxa"/>
            <w:tcBorders>
              <w:top w:val="single" w:sz="4" w:space="0" w:color="auto"/>
              <w:left w:val="single" w:sz="4" w:space="0" w:color="auto"/>
              <w:bottom w:val="single" w:sz="4" w:space="0" w:color="auto"/>
              <w:right w:val="single" w:sz="4" w:space="0" w:color="auto"/>
            </w:tcBorders>
            <w:hideMark/>
          </w:tcPr>
          <w:p w14:paraId="549A85F8" w14:textId="77777777" w:rsidR="0040016A" w:rsidRPr="00D7231E" w:rsidRDefault="0040016A" w:rsidP="0040016A">
            <w:pPr>
              <w:pStyle w:val="TableText"/>
            </w:pPr>
            <w:r w:rsidRPr="00D7231E">
              <w:t xml:space="preserve">8 mg </w:t>
            </w:r>
          </w:p>
          <w:p w14:paraId="4712626B" w14:textId="77777777" w:rsidR="0040016A" w:rsidRPr="00D7231E" w:rsidRDefault="0040016A" w:rsidP="0040016A">
            <w:pPr>
              <w:pStyle w:val="TableText"/>
            </w:pPr>
            <w:r w:rsidRPr="00D7231E">
              <w:t xml:space="preserve">once daily </w:t>
            </w:r>
          </w:p>
        </w:tc>
        <w:tc>
          <w:tcPr>
            <w:tcW w:w="2010" w:type="dxa"/>
            <w:tcBorders>
              <w:top w:val="single" w:sz="4" w:space="0" w:color="auto"/>
              <w:left w:val="single" w:sz="4" w:space="0" w:color="auto"/>
              <w:bottom w:val="single" w:sz="4" w:space="0" w:color="auto"/>
              <w:right w:val="single" w:sz="4" w:space="0" w:color="auto"/>
            </w:tcBorders>
            <w:hideMark/>
          </w:tcPr>
          <w:p w14:paraId="27568F38" w14:textId="77777777" w:rsidR="0040016A" w:rsidRPr="00D7231E" w:rsidRDefault="0040016A" w:rsidP="0040016A">
            <w:pPr>
              <w:pStyle w:val="TableText"/>
            </w:pPr>
            <w:r w:rsidRPr="00D7231E">
              <w:t xml:space="preserve">4 mg </w:t>
            </w:r>
          </w:p>
          <w:p w14:paraId="3EC123D9" w14:textId="77777777" w:rsidR="0040016A" w:rsidRPr="00D7231E" w:rsidRDefault="0040016A" w:rsidP="0040016A">
            <w:pPr>
              <w:pStyle w:val="TableText"/>
            </w:pPr>
            <w:r w:rsidRPr="00D7231E">
              <w:t>once daily</w:t>
            </w:r>
          </w:p>
        </w:tc>
        <w:tc>
          <w:tcPr>
            <w:tcW w:w="2010" w:type="dxa"/>
            <w:tcBorders>
              <w:top w:val="single" w:sz="4" w:space="0" w:color="auto"/>
              <w:left w:val="single" w:sz="4" w:space="0" w:color="auto"/>
              <w:bottom w:val="single" w:sz="4" w:space="0" w:color="auto"/>
              <w:right w:val="single" w:sz="4" w:space="0" w:color="auto"/>
            </w:tcBorders>
            <w:hideMark/>
          </w:tcPr>
          <w:p w14:paraId="128900C5" w14:textId="77777777" w:rsidR="0040016A" w:rsidRPr="00D7231E" w:rsidRDefault="0040016A" w:rsidP="0040016A">
            <w:pPr>
              <w:pStyle w:val="TableText"/>
            </w:pPr>
            <w:r w:rsidRPr="00D7231E">
              <w:t xml:space="preserve">4 mg </w:t>
            </w:r>
          </w:p>
          <w:p w14:paraId="2CEF3D3D" w14:textId="77777777" w:rsidR="0040016A" w:rsidRPr="00D7231E" w:rsidRDefault="0040016A" w:rsidP="0040016A">
            <w:pPr>
              <w:pStyle w:val="TableText"/>
            </w:pPr>
            <w:r w:rsidRPr="00D7231E">
              <w:t>every other day</w:t>
            </w:r>
          </w:p>
        </w:tc>
      </w:tr>
      <w:tr w:rsidR="0040016A" w:rsidRPr="0019436C" w14:paraId="4F2A73ED" w14:textId="77777777" w:rsidTr="00211F82">
        <w:tc>
          <w:tcPr>
            <w:tcW w:w="3528" w:type="dxa"/>
            <w:tcBorders>
              <w:top w:val="single" w:sz="4" w:space="0" w:color="auto"/>
              <w:left w:val="single" w:sz="4" w:space="0" w:color="auto"/>
              <w:bottom w:val="single" w:sz="4" w:space="0" w:color="auto"/>
              <w:right w:val="single" w:sz="4" w:space="0" w:color="auto"/>
            </w:tcBorders>
            <w:hideMark/>
          </w:tcPr>
          <w:p w14:paraId="20619F64" w14:textId="77777777" w:rsidR="0040016A" w:rsidRPr="00D7231E" w:rsidRDefault="0040016A" w:rsidP="0040016A">
            <w:pPr>
              <w:pStyle w:val="TableText"/>
              <w:numPr>
                <w:ilvl w:val="0"/>
                <w:numId w:val="35"/>
              </w:numPr>
              <w:ind w:left="426"/>
            </w:pPr>
            <w:r w:rsidRPr="00D7231E">
              <w:t>Actual weight less than 60 kg</w:t>
            </w:r>
          </w:p>
        </w:tc>
        <w:tc>
          <w:tcPr>
            <w:tcW w:w="2010" w:type="dxa"/>
            <w:tcBorders>
              <w:top w:val="single" w:sz="4" w:space="0" w:color="auto"/>
              <w:left w:val="single" w:sz="4" w:space="0" w:color="auto"/>
              <w:bottom w:val="single" w:sz="4" w:space="0" w:color="auto"/>
              <w:right w:val="single" w:sz="4" w:space="0" w:color="auto"/>
            </w:tcBorders>
            <w:hideMark/>
          </w:tcPr>
          <w:p w14:paraId="5C2C7C3E" w14:textId="77777777" w:rsidR="0040016A" w:rsidRPr="00D7231E" w:rsidRDefault="0040016A" w:rsidP="0040016A">
            <w:pPr>
              <w:pStyle w:val="TableText"/>
            </w:pPr>
            <w:r w:rsidRPr="00D7231E">
              <w:t xml:space="preserve">4 mg </w:t>
            </w:r>
          </w:p>
          <w:p w14:paraId="31A74A37" w14:textId="77777777" w:rsidR="0040016A" w:rsidRPr="00D7231E" w:rsidRDefault="0040016A" w:rsidP="0040016A">
            <w:pPr>
              <w:pStyle w:val="TableText"/>
            </w:pPr>
            <w:r w:rsidRPr="00D7231E">
              <w:t>once daily</w:t>
            </w:r>
          </w:p>
        </w:tc>
        <w:tc>
          <w:tcPr>
            <w:tcW w:w="2010" w:type="dxa"/>
            <w:tcBorders>
              <w:top w:val="single" w:sz="4" w:space="0" w:color="auto"/>
              <w:left w:val="single" w:sz="4" w:space="0" w:color="auto"/>
              <w:bottom w:val="single" w:sz="4" w:space="0" w:color="auto"/>
              <w:right w:val="single" w:sz="4" w:space="0" w:color="auto"/>
            </w:tcBorders>
            <w:hideMark/>
          </w:tcPr>
          <w:p w14:paraId="79D6E4D6" w14:textId="77777777" w:rsidR="0040016A" w:rsidRPr="00D7231E" w:rsidRDefault="0040016A" w:rsidP="0040016A">
            <w:pPr>
              <w:pStyle w:val="TableText"/>
            </w:pPr>
            <w:r w:rsidRPr="00D7231E">
              <w:t xml:space="preserve">4 mg </w:t>
            </w:r>
          </w:p>
          <w:p w14:paraId="4415E32C" w14:textId="77777777" w:rsidR="0040016A" w:rsidRPr="00D7231E" w:rsidRDefault="0040016A" w:rsidP="0040016A">
            <w:pPr>
              <w:pStyle w:val="TableText"/>
            </w:pPr>
            <w:r w:rsidRPr="00D7231E">
              <w:t xml:space="preserve">every other day </w:t>
            </w:r>
          </w:p>
        </w:tc>
        <w:tc>
          <w:tcPr>
            <w:tcW w:w="2010" w:type="dxa"/>
            <w:tcBorders>
              <w:top w:val="single" w:sz="4" w:space="0" w:color="auto"/>
              <w:left w:val="single" w:sz="4" w:space="0" w:color="auto"/>
              <w:bottom w:val="single" w:sz="4" w:space="0" w:color="auto"/>
              <w:right w:val="single" w:sz="4" w:space="0" w:color="auto"/>
            </w:tcBorders>
            <w:hideMark/>
          </w:tcPr>
          <w:p w14:paraId="16B8EB60" w14:textId="77777777" w:rsidR="0040016A" w:rsidRPr="00D7231E" w:rsidRDefault="0040016A" w:rsidP="0040016A">
            <w:pPr>
              <w:pStyle w:val="TableText"/>
            </w:pPr>
            <w:r w:rsidRPr="00D7231E">
              <w:t>Discontinue</w:t>
            </w:r>
          </w:p>
        </w:tc>
      </w:tr>
    </w:tbl>
    <w:p w14:paraId="63BE19DC" w14:textId="44581892" w:rsidR="00985FFD" w:rsidRPr="00BE78D8" w:rsidRDefault="00985FFD" w:rsidP="00DC5E06">
      <w:pPr>
        <w:pStyle w:val="BodyText"/>
        <w:rPr>
          <w:lang w:val="en-US"/>
        </w:rPr>
      </w:pPr>
    </w:p>
    <w:p w14:paraId="49D9959D" w14:textId="2116D974" w:rsidR="00DC5E06" w:rsidRPr="00214E83" w:rsidRDefault="00DC5E06" w:rsidP="00444DA1">
      <w:pPr>
        <w:pStyle w:val="Heading3"/>
        <w:rPr>
          <w:lang w:val="en-US"/>
        </w:rPr>
      </w:pPr>
      <w:r w:rsidRPr="00444DA1">
        <w:t>Special populations</w:t>
      </w:r>
    </w:p>
    <w:p w14:paraId="3B4D8506" w14:textId="04A0F58F" w:rsidR="00DC5E06" w:rsidRPr="00BE78D8" w:rsidRDefault="008B3996" w:rsidP="00BF395D">
      <w:pPr>
        <w:pStyle w:val="Heading4"/>
      </w:pPr>
      <w:r>
        <w:t>Dose adjustment in</w:t>
      </w:r>
      <w:r w:rsidR="00DC5E06" w:rsidRPr="00BE78D8">
        <w:t xml:space="preserve"> </w:t>
      </w:r>
      <w:r w:rsidR="00782A18">
        <w:t xml:space="preserve">severe </w:t>
      </w:r>
      <w:r w:rsidR="00DC5E06" w:rsidRPr="00BE78D8">
        <w:t>hepatic impairment</w:t>
      </w:r>
    </w:p>
    <w:p w14:paraId="20FB89B1" w14:textId="523D78A2" w:rsidR="008364FE" w:rsidRDefault="008364FE" w:rsidP="00874C4C">
      <w:pPr>
        <w:pStyle w:val="BodyText"/>
        <w:spacing w:before="120" w:after="60"/>
        <w:rPr>
          <w:lang w:val="en-US"/>
        </w:rPr>
      </w:pPr>
      <w:r>
        <w:rPr>
          <w:lang w:val="en-US"/>
        </w:rPr>
        <w:t xml:space="preserve">A reduced starting dose of LENVIMA </w:t>
      </w:r>
      <w:proofErr w:type="gramStart"/>
      <w:r>
        <w:rPr>
          <w:lang w:val="en-US"/>
        </w:rPr>
        <w:t>is recommended</w:t>
      </w:r>
      <w:proofErr w:type="gramEnd"/>
      <w:r>
        <w:rPr>
          <w:lang w:val="en-US"/>
        </w:rPr>
        <w:t xml:space="preserve"> for</w:t>
      </w:r>
      <w:r w:rsidRPr="00556996">
        <w:rPr>
          <w:lang w:val="en-US"/>
        </w:rPr>
        <w:t xml:space="preserve"> patients with </w:t>
      </w:r>
      <w:r>
        <w:rPr>
          <w:lang w:val="en-US"/>
        </w:rPr>
        <w:t xml:space="preserve">DTC, RCC or endometrial carcinoma who have </w:t>
      </w:r>
      <w:r w:rsidRPr="00556996">
        <w:rPr>
          <w:lang w:val="en-US"/>
        </w:rPr>
        <w:t>severe hepatic impairment</w:t>
      </w:r>
      <w:r>
        <w:rPr>
          <w:lang w:val="en-US"/>
        </w:rPr>
        <w:t xml:space="preserve"> </w:t>
      </w:r>
      <w:r w:rsidRPr="00556996">
        <w:rPr>
          <w:lang w:val="en-US"/>
        </w:rPr>
        <w:t>(Child-Pugh C)</w:t>
      </w:r>
      <w:r>
        <w:rPr>
          <w:lang w:val="en-US"/>
        </w:rPr>
        <w:t>:</w:t>
      </w:r>
    </w:p>
    <w:p w14:paraId="138258C0" w14:textId="0FE5B630" w:rsidR="008364FE" w:rsidRDefault="008364FE" w:rsidP="00444DA1">
      <w:pPr>
        <w:pStyle w:val="BodyText"/>
        <w:numPr>
          <w:ilvl w:val="0"/>
          <w:numId w:val="35"/>
        </w:numPr>
        <w:rPr>
          <w:lang w:val="en-US"/>
        </w:rPr>
      </w:pPr>
      <w:r>
        <w:rPr>
          <w:lang w:val="en-US"/>
        </w:rPr>
        <w:t>14 mg orally</w:t>
      </w:r>
      <w:r w:rsidRPr="00556996">
        <w:rPr>
          <w:lang w:val="en-US"/>
        </w:rPr>
        <w:t xml:space="preserve"> once daily </w:t>
      </w:r>
      <w:r>
        <w:rPr>
          <w:lang w:val="en-US"/>
        </w:rPr>
        <w:t>for DTC</w:t>
      </w:r>
    </w:p>
    <w:p w14:paraId="3ECF5C6D" w14:textId="6B30A294" w:rsidR="008364FE" w:rsidRDefault="008364FE" w:rsidP="00444DA1">
      <w:pPr>
        <w:pStyle w:val="BodyText"/>
        <w:numPr>
          <w:ilvl w:val="0"/>
          <w:numId w:val="35"/>
        </w:numPr>
        <w:rPr>
          <w:lang w:val="en-US"/>
        </w:rPr>
      </w:pPr>
      <w:r>
        <w:rPr>
          <w:lang w:val="en-US"/>
        </w:rPr>
        <w:t>10 mg orally</w:t>
      </w:r>
      <w:r w:rsidRPr="00556996">
        <w:rPr>
          <w:lang w:val="en-US"/>
        </w:rPr>
        <w:t xml:space="preserve"> once daily </w:t>
      </w:r>
      <w:r>
        <w:rPr>
          <w:lang w:val="en-US"/>
        </w:rPr>
        <w:t>for RCC</w:t>
      </w:r>
    </w:p>
    <w:p w14:paraId="5236370B" w14:textId="7D2C852B" w:rsidR="008364FE" w:rsidRDefault="008364FE" w:rsidP="00444DA1">
      <w:pPr>
        <w:pStyle w:val="BodyText"/>
        <w:numPr>
          <w:ilvl w:val="0"/>
          <w:numId w:val="35"/>
        </w:numPr>
        <w:rPr>
          <w:lang w:val="en-US"/>
        </w:rPr>
      </w:pPr>
      <w:r>
        <w:rPr>
          <w:lang w:val="en-US"/>
        </w:rPr>
        <w:t>10 mg orally once daily for endometrial carcinoma</w:t>
      </w:r>
    </w:p>
    <w:p w14:paraId="221CAD9E" w14:textId="00938F77" w:rsidR="00C64410" w:rsidRDefault="002C6CFE" w:rsidP="00874C4C">
      <w:pPr>
        <w:pStyle w:val="BodyText"/>
        <w:spacing w:before="120" w:after="60"/>
        <w:rPr>
          <w:lang w:val="en-US"/>
        </w:rPr>
      </w:pPr>
      <w:r w:rsidRPr="006F68D6">
        <w:rPr>
          <w:lang w:val="en-US"/>
        </w:rPr>
        <w:t>The available data do not allow for a dosing recommendation for patients with HCC and moderate hepatic impairment (Child-Pugh B).</w:t>
      </w:r>
      <w:r>
        <w:rPr>
          <w:lang w:val="en-US"/>
        </w:rPr>
        <w:t xml:space="preserve"> </w:t>
      </w:r>
      <w:r w:rsidRPr="00B22615">
        <w:rPr>
          <w:lang w:val="en-US"/>
        </w:rPr>
        <w:t>The available data do not allow for a dosing recommendation for patients with HCC and severe hepatic impairment (Child-Pugh C)</w:t>
      </w:r>
      <w:r w:rsidR="0076480E">
        <w:rPr>
          <w:lang w:val="en-US"/>
        </w:rPr>
        <w:t>,</w:t>
      </w:r>
      <w:r>
        <w:rPr>
          <w:lang w:val="en-US"/>
        </w:rPr>
        <w:t xml:space="preserve"> and use in this population </w:t>
      </w:r>
      <w:proofErr w:type="gramStart"/>
      <w:r>
        <w:rPr>
          <w:lang w:val="en-US"/>
        </w:rPr>
        <w:t>is not recommended</w:t>
      </w:r>
      <w:proofErr w:type="gramEnd"/>
      <w:r>
        <w:rPr>
          <w:lang w:val="en-US"/>
        </w:rPr>
        <w:t>.</w:t>
      </w:r>
    </w:p>
    <w:p w14:paraId="0A6236C4" w14:textId="37F37470" w:rsidR="00DC5E06" w:rsidRPr="00BE78D8" w:rsidRDefault="008B3996" w:rsidP="00DC5E06">
      <w:pPr>
        <w:pStyle w:val="Heading4"/>
        <w:rPr>
          <w:lang w:val="en-US"/>
        </w:rPr>
      </w:pPr>
      <w:r>
        <w:rPr>
          <w:lang w:val="en-US"/>
        </w:rPr>
        <w:t>Dose adjustment in</w:t>
      </w:r>
      <w:r w:rsidR="00DC5E06" w:rsidRPr="00BE78D8">
        <w:rPr>
          <w:lang w:val="en-US"/>
        </w:rPr>
        <w:t xml:space="preserve"> renal impairment</w:t>
      </w:r>
    </w:p>
    <w:p w14:paraId="3CF22C6F" w14:textId="40F763A4" w:rsidR="002C6CFE" w:rsidRDefault="002C6CFE" w:rsidP="00874C4C">
      <w:pPr>
        <w:pStyle w:val="BodyText"/>
        <w:spacing w:before="120" w:after="60"/>
        <w:rPr>
          <w:lang w:val="en-US"/>
        </w:rPr>
      </w:pPr>
      <w:r>
        <w:rPr>
          <w:lang w:val="en-US"/>
        </w:rPr>
        <w:t xml:space="preserve">A reduced starting dose of LENVIMA </w:t>
      </w:r>
      <w:proofErr w:type="gramStart"/>
      <w:r>
        <w:rPr>
          <w:lang w:val="en-US"/>
        </w:rPr>
        <w:t>is recommended</w:t>
      </w:r>
      <w:proofErr w:type="gramEnd"/>
      <w:r>
        <w:rPr>
          <w:lang w:val="en-US"/>
        </w:rPr>
        <w:t xml:space="preserve"> for</w:t>
      </w:r>
      <w:r w:rsidRPr="00556996">
        <w:rPr>
          <w:lang w:val="en-US"/>
        </w:rPr>
        <w:t xml:space="preserve"> patients with </w:t>
      </w:r>
      <w:r>
        <w:rPr>
          <w:lang w:val="en-US"/>
        </w:rPr>
        <w:t xml:space="preserve">DTC, RCC or endometrial carcinoma who have </w:t>
      </w:r>
      <w:r w:rsidRPr="00556996">
        <w:rPr>
          <w:lang w:val="en-US"/>
        </w:rPr>
        <w:t>severe</w:t>
      </w:r>
      <w:r w:rsidRPr="00BE78D8">
        <w:rPr>
          <w:lang w:val="en-US"/>
        </w:rPr>
        <w:t xml:space="preserve"> </w:t>
      </w:r>
      <w:r w:rsidR="00DC5E06" w:rsidRPr="00BE78D8">
        <w:rPr>
          <w:lang w:val="en-US"/>
        </w:rPr>
        <w:t>renal impairment</w:t>
      </w:r>
      <w:r w:rsidR="00DC5E06">
        <w:rPr>
          <w:lang w:val="en-US"/>
        </w:rPr>
        <w:t xml:space="preserve"> </w:t>
      </w:r>
      <w:r w:rsidR="00DC5E06" w:rsidRPr="00C4320E">
        <w:t>(</w:t>
      </w:r>
      <w:proofErr w:type="spellStart"/>
      <w:r w:rsidR="00DC5E06">
        <w:t>Cr</w:t>
      </w:r>
      <w:r w:rsidR="00DC5E06" w:rsidRPr="00C4320E">
        <w:t>CL</w:t>
      </w:r>
      <w:proofErr w:type="spellEnd"/>
      <w:r w:rsidR="00DC5E06" w:rsidRPr="00C4320E">
        <w:t xml:space="preserve"> &lt;30 mL/min)</w:t>
      </w:r>
      <w:r>
        <w:rPr>
          <w:lang w:val="en-US"/>
        </w:rPr>
        <w:t>:</w:t>
      </w:r>
    </w:p>
    <w:p w14:paraId="451061C5" w14:textId="77777777" w:rsidR="002C6CFE" w:rsidRDefault="002C6CFE" w:rsidP="002C6CFE">
      <w:pPr>
        <w:pStyle w:val="BodyText"/>
        <w:numPr>
          <w:ilvl w:val="0"/>
          <w:numId w:val="35"/>
        </w:numPr>
        <w:rPr>
          <w:lang w:val="en-US"/>
        </w:rPr>
      </w:pPr>
      <w:r>
        <w:rPr>
          <w:lang w:val="en-US"/>
        </w:rPr>
        <w:t>14 mg orally</w:t>
      </w:r>
      <w:r w:rsidRPr="00556996">
        <w:rPr>
          <w:lang w:val="en-US"/>
        </w:rPr>
        <w:t xml:space="preserve"> once daily </w:t>
      </w:r>
      <w:r>
        <w:rPr>
          <w:lang w:val="en-US"/>
        </w:rPr>
        <w:t>for DTC</w:t>
      </w:r>
    </w:p>
    <w:p w14:paraId="20838A5A" w14:textId="77777777" w:rsidR="002C6CFE" w:rsidRDefault="002C6CFE" w:rsidP="002C6CFE">
      <w:pPr>
        <w:pStyle w:val="BodyText"/>
        <w:numPr>
          <w:ilvl w:val="0"/>
          <w:numId w:val="35"/>
        </w:numPr>
        <w:rPr>
          <w:lang w:val="en-US"/>
        </w:rPr>
      </w:pPr>
      <w:r>
        <w:rPr>
          <w:lang w:val="en-US"/>
        </w:rPr>
        <w:t>10 mg orally</w:t>
      </w:r>
      <w:r w:rsidRPr="00556996">
        <w:rPr>
          <w:lang w:val="en-US"/>
        </w:rPr>
        <w:t xml:space="preserve"> once daily </w:t>
      </w:r>
      <w:r>
        <w:rPr>
          <w:lang w:val="en-US"/>
        </w:rPr>
        <w:t>for RCC</w:t>
      </w:r>
    </w:p>
    <w:p w14:paraId="715F529E" w14:textId="77777777" w:rsidR="002C6CFE" w:rsidRDefault="002C6CFE" w:rsidP="002C6CFE">
      <w:pPr>
        <w:pStyle w:val="BodyText"/>
        <w:numPr>
          <w:ilvl w:val="0"/>
          <w:numId w:val="35"/>
        </w:numPr>
        <w:rPr>
          <w:lang w:val="en-US"/>
        </w:rPr>
      </w:pPr>
      <w:r>
        <w:rPr>
          <w:lang w:val="en-US"/>
        </w:rPr>
        <w:t>10 mg orally once daily for endometrial carcinoma</w:t>
      </w:r>
    </w:p>
    <w:p w14:paraId="53069478" w14:textId="0BE10D6F" w:rsidR="002C6CFE" w:rsidRDefault="002C6CFE" w:rsidP="00874C4C">
      <w:pPr>
        <w:pStyle w:val="BodyText"/>
        <w:spacing w:before="120" w:after="60"/>
      </w:pPr>
      <w:r>
        <w:t xml:space="preserve">LENVIMA </w:t>
      </w:r>
      <w:proofErr w:type="gramStart"/>
      <w:r>
        <w:t>has not been studied</w:t>
      </w:r>
      <w:proofErr w:type="gramEnd"/>
      <w:r>
        <w:t xml:space="preserve"> in patients with end stage renal disease, and use in </w:t>
      </w:r>
      <w:r w:rsidR="0076480E">
        <w:t>this</w:t>
      </w:r>
      <w:r>
        <w:t xml:space="preserve"> </w:t>
      </w:r>
      <w:r w:rsidR="0076480E">
        <w:t>population</w:t>
      </w:r>
      <w:r>
        <w:t xml:space="preserve"> is not recommended.</w:t>
      </w:r>
    </w:p>
    <w:p w14:paraId="7A5E2255" w14:textId="69E64416" w:rsidR="00C64410" w:rsidRPr="00214E83" w:rsidRDefault="002C6CFE" w:rsidP="00874C4C">
      <w:pPr>
        <w:pStyle w:val="BodyText"/>
        <w:spacing w:before="120" w:after="60"/>
        <w:rPr>
          <w:iCs/>
          <w:lang w:val="en-US"/>
        </w:rPr>
      </w:pPr>
      <w:r>
        <w:rPr>
          <w:lang w:val="en-US"/>
        </w:rPr>
        <w:t>T</w:t>
      </w:r>
      <w:r w:rsidRPr="00B22615">
        <w:rPr>
          <w:lang w:val="en-US"/>
        </w:rPr>
        <w:t>he available data do not allow for a dosing recommendation for patients with HCC and severe renal impairment</w:t>
      </w:r>
      <w:r>
        <w:rPr>
          <w:lang w:val="en-US"/>
        </w:rPr>
        <w:t xml:space="preserve">, and use in this population </w:t>
      </w:r>
      <w:proofErr w:type="gramStart"/>
      <w:r>
        <w:rPr>
          <w:lang w:val="en-US"/>
        </w:rPr>
        <w:t>is not recommended</w:t>
      </w:r>
      <w:proofErr w:type="gramEnd"/>
      <w:r w:rsidRPr="00B22615">
        <w:rPr>
          <w:lang w:val="en-US"/>
        </w:rPr>
        <w:t>.</w:t>
      </w:r>
    </w:p>
    <w:p w14:paraId="1A935D8D" w14:textId="77777777" w:rsidR="00DC5E06" w:rsidRPr="00BE78D8" w:rsidRDefault="00DC5E06" w:rsidP="00874C4C">
      <w:pPr>
        <w:pStyle w:val="Heading4"/>
        <w:rPr>
          <w:lang w:val="en-US"/>
        </w:rPr>
      </w:pPr>
      <w:proofErr w:type="spellStart"/>
      <w:r w:rsidRPr="00BE78D8">
        <w:rPr>
          <w:lang w:val="en-US"/>
        </w:rPr>
        <w:lastRenderedPageBreak/>
        <w:t>Paediatric</w:t>
      </w:r>
      <w:proofErr w:type="spellEnd"/>
      <w:r w:rsidRPr="00BE78D8">
        <w:rPr>
          <w:lang w:val="en-US"/>
        </w:rPr>
        <w:t xml:space="preserve"> population</w:t>
      </w:r>
    </w:p>
    <w:p w14:paraId="0CDB78F0" w14:textId="16D732CC" w:rsidR="00DC5E06" w:rsidRPr="00BE78D8" w:rsidRDefault="00DC5E06" w:rsidP="00874C4C">
      <w:pPr>
        <w:pStyle w:val="BodyText"/>
        <w:keepNext/>
        <w:keepLines/>
        <w:spacing w:before="120" w:after="60"/>
        <w:rPr>
          <w:lang w:val="en-US"/>
        </w:rPr>
      </w:pPr>
      <w:r>
        <w:rPr>
          <w:lang w:val="en-US"/>
        </w:rPr>
        <w:t xml:space="preserve">LENVIMA </w:t>
      </w:r>
      <w:proofErr w:type="gramStart"/>
      <w:r>
        <w:rPr>
          <w:lang w:val="en-US"/>
        </w:rPr>
        <w:t>should</w:t>
      </w:r>
      <w:r w:rsidRPr="00BE78D8">
        <w:rPr>
          <w:lang w:val="en-US"/>
        </w:rPr>
        <w:t xml:space="preserve"> not be used</w:t>
      </w:r>
      <w:proofErr w:type="gramEnd"/>
      <w:r w:rsidRPr="00BE78D8">
        <w:rPr>
          <w:lang w:val="en-US"/>
        </w:rPr>
        <w:t xml:space="preserve"> in children younger than 2 years of age because of safety concerns </w:t>
      </w:r>
      <w:r>
        <w:rPr>
          <w:lang w:val="en-US"/>
        </w:rPr>
        <w:t>identified in animal studies</w:t>
      </w:r>
      <w:r w:rsidRPr="00BE78D8">
        <w:rPr>
          <w:lang w:val="en-US"/>
        </w:rPr>
        <w:t xml:space="preserve">. The safety and efficacy of </w:t>
      </w:r>
      <w:r>
        <w:rPr>
          <w:lang w:val="en-US"/>
        </w:rPr>
        <w:t>LENVIMA</w:t>
      </w:r>
      <w:r w:rsidRPr="00BE78D8">
        <w:rPr>
          <w:lang w:val="en-US"/>
        </w:rPr>
        <w:t xml:space="preserve"> in children aged </w:t>
      </w:r>
      <w:proofErr w:type="gramStart"/>
      <w:r w:rsidRPr="00BE78D8">
        <w:rPr>
          <w:lang w:val="en-US"/>
        </w:rPr>
        <w:t>2</w:t>
      </w:r>
      <w:proofErr w:type="gramEnd"/>
      <w:r w:rsidRPr="00BE78D8">
        <w:rPr>
          <w:lang w:val="en-US"/>
        </w:rPr>
        <w:t xml:space="preserve"> to &lt;18 years have </w:t>
      </w:r>
      <w:r>
        <w:rPr>
          <w:lang w:val="en-US"/>
        </w:rPr>
        <w:t>not yet been established (see</w:t>
      </w:r>
      <w:r w:rsidR="00505C3C">
        <w:rPr>
          <w:lang w:val="en-US"/>
        </w:rPr>
        <w:t xml:space="preserve"> Section </w:t>
      </w:r>
      <w:r w:rsidR="00505C3C">
        <w:rPr>
          <w:lang w:val="en-US"/>
        </w:rPr>
        <w:fldChar w:fldCharType="begin"/>
      </w:r>
      <w:r w:rsidR="00505C3C">
        <w:rPr>
          <w:lang w:val="en-US"/>
        </w:rPr>
        <w:instrText xml:space="preserve"> REF _Ref503528653 \r \h </w:instrText>
      </w:r>
      <w:r w:rsidR="00505C3C">
        <w:rPr>
          <w:lang w:val="en-US"/>
        </w:rPr>
      </w:r>
      <w:r w:rsidR="00505C3C">
        <w:rPr>
          <w:lang w:val="en-US"/>
        </w:rPr>
        <w:fldChar w:fldCharType="separate"/>
      </w:r>
      <w:r w:rsidR="0064223A">
        <w:rPr>
          <w:lang w:val="en-US"/>
        </w:rPr>
        <w:t>5.1</w:t>
      </w:r>
      <w:r w:rsidR="00505C3C">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505C3C">
        <w:rPr>
          <w:lang w:val="en-US"/>
        </w:rPr>
        <w:t>,</w:t>
      </w:r>
      <w:r>
        <w:rPr>
          <w:lang w:val="en-US"/>
        </w:rPr>
        <w:t xml:space="preserve"> </w:t>
      </w:r>
      <w:r w:rsidR="00B662F4">
        <w:rPr>
          <w:lang w:val="en-US"/>
        </w:rPr>
        <w:t>Clinical trials</w:t>
      </w:r>
      <w:r w:rsidRPr="00BE78D8">
        <w:rPr>
          <w:lang w:val="en-US"/>
        </w:rPr>
        <w:t>). No data are available.</w:t>
      </w:r>
    </w:p>
    <w:p w14:paraId="353E3783" w14:textId="77777777" w:rsidR="00DC5E06" w:rsidRPr="00066BB0" w:rsidRDefault="00DC5E06" w:rsidP="00DC5E06">
      <w:pPr>
        <w:pStyle w:val="Heading3"/>
        <w:rPr>
          <w:lang w:val="en-US"/>
        </w:rPr>
      </w:pPr>
      <w:r w:rsidRPr="00066BB0">
        <w:rPr>
          <w:lang w:val="en-US"/>
        </w:rPr>
        <w:t>Method of administration</w:t>
      </w:r>
    </w:p>
    <w:p w14:paraId="2EE47F0C" w14:textId="77777777" w:rsidR="00DC5E06" w:rsidRPr="00BE78D8" w:rsidRDefault="00DC5E06" w:rsidP="00874C4C">
      <w:pPr>
        <w:pStyle w:val="BodyText"/>
        <w:spacing w:before="120" w:after="120"/>
        <w:rPr>
          <w:lang w:val="en-US"/>
        </w:rPr>
      </w:pPr>
      <w:r>
        <w:rPr>
          <w:lang w:val="en-US"/>
        </w:rPr>
        <w:t>LENVIMA</w:t>
      </w:r>
      <w:r w:rsidRPr="00BE78D8">
        <w:rPr>
          <w:lang w:val="en-US"/>
        </w:rPr>
        <w:t xml:space="preserve"> </w:t>
      </w:r>
      <w:proofErr w:type="gramStart"/>
      <w:r w:rsidRPr="00BE78D8">
        <w:rPr>
          <w:lang w:val="en-US"/>
        </w:rPr>
        <w:t>should be taken</w:t>
      </w:r>
      <w:proofErr w:type="gramEnd"/>
      <w:r w:rsidRPr="00BE78D8">
        <w:rPr>
          <w:lang w:val="en-US"/>
        </w:rPr>
        <w:t xml:space="preserve"> at about the same time each day, with or without food. The capsules should be swallowed </w:t>
      </w:r>
      <w:proofErr w:type="gramStart"/>
      <w:r w:rsidRPr="00BE78D8">
        <w:rPr>
          <w:lang w:val="en-US"/>
        </w:rPr>
        <w:t>whole</w:t>
      </w:r>
      <w:proofErr w:type="gramEnd"/>
      <w:r w:rsidRPr="00BE78D8">
        <w:rPr>
          <w:lang w:val="en-US"/>
        </w:rPr>
        <w:t xml:space="preserve"> with water.</w:t>
      </w:r>
    </w:p>
    <w:p w14:paraId="5E5850AA" w14:textId="77777777" w:rsidR="00DC5E06" w:rsidRDefault="00DC5E06" w:rsidP="00874C4C">
      <w:pPr>
        <w:pStyle w:val="BodyText"/>
        <w:spacing w:before="120" w:after="120"/>
      </w:pPr>
      <w:r w:rsidRPr="003E683F">
        <w:t xml:space="preserve">Alternatively, </w:t>
      </w:r>
      <w:r>
        <w:t>if unable to swallow the capsule whole place the</w:t>
      </w:r>
      <w:r w:rsidRPr="003E683F">
        <w:t xml:space="preserve"> capsule</w:t>
      </w:r>
      <w:r>
        <w:t xml:space="preserve">, without breaking or crushing, in a glass of approximately 25 mL </w:t>
      </w:r>
      <w:r w:rsidRPr="003E683F">
        <w:t xml:space="preserve">of water or apple juice. </w:t>
      </w:r>
      <w:r>
        <w:t xml:space="preserve">The capsules </w:t>
      </w:r>
      <w:proofErr w:type="gramStart"/>
      <w:r>
        <w:t>must be left to disintegrate in</w:t>
      </w:r>
      <w:r w:rsidRPr="003E683F">
        <w:t xml:space="preserve"> the liquid for at least 10 minutes</w:t>
      </w:r>
      <w:r>
        <w:t xml:space="preserve"> and then gently s</w:t>
      </w:r>
      <w:r w:rsidRPr="003E683F">
        <w:t>tir</w:t>
      </w:r>
      <w:r>
        <w:t>red</w:t>
      </w:r>
      <w:r w:rsidRPr="003E683F">
        <w:t xml:space="preserve"> for at least 3 minutes</w:t>
      </w:r>
      <w:r>
        <w:t xml:space="preserve"> to dissolve the capsules shells</w:t>
      </w:r>
      <w:proofErr w:type="gramEnd"/>
      <w:r w:rsidRPr="003E683F">
        <w:t xml:space="preserve">. </w:t>
      </w:r>
      <w:r>
        <w:t xml:space="preserve">The suspension is to </w:t>
      </w:r>
      <w:proofErr w:type="gramStart"/>
      <w:r>
        <w:t>be swallowed</w:t>
      </w:r>
      <w:proofErr w:type="gramEnd"/>
      <w:r>
        <w:t>.</w:t>
      </w:r>
      <w:r w:rsidRPr="003E683F">
        <w:t xml:space="preserve"> After drinking, the same amount of water or apple juice</w:t>
      </w:r>
      <w:r>
        <w:t xml:space="preserve"> (25 mL</w:t>
      </w:r>
      <w:proofErr w:type="gramStart"/>
      <w:r>
        <w:t>)</w:t>
      </w:r>
      <w:r w:rsidRPr="003E683F">
        <w:t xml:space="preserve"> </w:t>
      </w:r>
      <w:r>
        <w:t xml:space="preserve"> must</w:t>
      </w:r>
      <w:proofErr w:type="gramEnd"/>
      <w:r>
        <w:t xml:space="preserve"> be added</w:t>
      </w:r>
      <w:r w:rsidRPr="003E683F">
        <w:t xml:space="preserve"> to the glass</w:t>
      </w:r>
      <w:r>
        <w:t xml:space="preserve"> and swirled</w:t>
      </w:r>
      <w:r w:rsidRPr="003E683F">
        <w:t xml:space="preserve"> a few times</w:t>
      </w:r>
      <w:r>
        <w:t>. T</w:t>
      </w:r>
      <w:r w:rsidRPr="003E683F">
        <w:t>he additional liquid</w:t>
      </w:r>
      <w:r>
        <w:t xml:space="preserve"> </w:t>
      </w:r>
      <w:proofErr w:type="gramStart"/>
      <w:r>
        <w:t>must be swallowed</w:t>
      </w:r>
      <w:proofErr w:type="gramEnd"/>
      <w:r w:rsidRPr="003E683F">
        <w:t>.</w:t>
      </w:r>
      <w:r>
        <w:t xml:space="preserve"> Do not mix more than one medicine in the glass at the same time.</w:t>
      </w:r>
    </w:p>
    <w:p w14:paraId="237FFFF0" w14:textId="77777777" w:rsidR="00DC5E06" w:rsidRPr="003E683F" w:rsidRDefault="00DC5E06" w:rsidP="00874C4C">
      <w:pPr>
        <w:pStyle w:val="BodyText"/>
        <w:spacing w:before="120" w:after="120"/>
      </w:pPr>
      <w:r>
        <w:t xml:space="preserve">The person preparing the suspension should ensure their hands </w:t>
      </w:r>
      <w:proofErr w:type="gramStart"/>
      <w:r>
        <w:t>are thoroughly washed</w:t>
      </w:r>
      <w:proofErr w:type="gramEnd"/>
      <w:r>
        <w:t xml:space="preserve"> on completion of preparation and taking of the medication.</w:t>
      </w:r>
    </w:p>
    <w:p w14:paraId="59D44AC0" w14:textId="77777777" w:rsidR="00DC5E06" w:rsidRPr="003E683F" w:rsidRDefault="00DC5E06" w:rsidP="00874C4C">
      <w:pPr>
        <w:pStyle w:val="BodyText"/>
        <w:spacing w:before="120" w:after="120"/>
      </w:pPr>
      <w:r w:rsidRPr="003E683F">
        <w:t xml:space="preserve">If a patient misses a dose, and it </w:t>
      </w:r>
      <w:proofErr w:type="gramStart"/>
      <w:r w:rsidRPr="003E683F">
        <w:t>cannot be taken</w:t>
      </w:r>
      <w:proofErr w:type="gramEnd"/>
      <w:r w:rsidRPr="003E683F">
        <w:t xml:space="preserve"> within 12 hours, then that dose should be skipped and the next dose should be taken at the usual time of administration.</w:t>
      </w:r>
    </w:p>
    <w:p w14:paraId="2866DA77" w14:textId="1BE46C15" w:rsidR="0064422E" w:rsidRPr="00BE78D8" w:rsidRDefault="00032264" w:rsidP="00032264">
      <w:pPr>
        <w:pStyle w:val="Heading2"/>
        <w:rPr>
          <w:lang w:val="en-US"/>
        </w:rPr>
      </w:pPr>
      <w:r>
        <w:rPr>
          <w:lang w:val="en-US"/>
        </w:rPr>
        <w:t>Contraindications</w:t>
      </w:r>
    </w:p>
    <w:p w14:paraId="2866DA79" w14:textId="7D3D3EA2" w:rsidR="00486AF6" w:rsidRPr="00214E83" w:rsidRDefault="0064422E" w:rsidP="00874C4C">
      <w:pPr>
        <w:pStyle w:val="BodyText"/>
        <w:spacing w:before="120" w:after="60"/>
      </w:pPr>
      <w:r w:rsidRPr="00BE78D8">
        <w:t xml:space="preserve">Hypersensitivity to the active substance or to any of the excipients (see </w:t>
      </w:r>
      <w:r w:rsidR="007B4197">
        <w:t xml:space="preserve">Section </w:t>
      </w:r>
      <w:r w:rsidR="007B4197">
        <w:fldChar w:fldCharType="begin"/>
      </w:r>
      <w:r w:rsidR="007B4197">
        <w:instrText xml:space="preserve"> REF _Ref503187308 \r \h </w:instrText>
      </w:r>
      <w:r w:rsidR="007B4197">
        <w:fldChar w:fldCharType="separate"/>
      </w:r>
      <w:r w:rsidR="0064223A">
        <w:t>6.1</w:t>
      </w:r>
      <w:r w:rsidR="007B4197">
        <w:fldChar w:fldCharType="end"/>
      </w:r>
      <w:r w:rsidR="00B662F4">
        <w:t xml:space="preserve"> List of excipients</w:t>
      </w:r>
      <w:r w:rsidR="00874C4C">
        <w:t>)</w:t>
      </w:r>
    </w:p>
    <w:p w14:paraId="6BB2839C" w14:textId="77777777" w:rsidR="00032264" w:rsidRDefault="00032264" w:rsidP="00032264">
      <w:pPr>
        <w:pStyle w:val="Heading2"/>
        <w:ind w:left="578" w:hanging="578"/>
      </w:pPr>
      <w:bookmarkStart w:id="4" w:name="_Ref503187146"/>
      <w:r w:rsidRPr="00356A04">
        <w:t>Special warnings and precautions for use</w:t>
      </w:r>
      <w:bookmarkEnd w:id="4"/>
    </w:p>
    <w:p w14:paraId="555F6138" w14:textId="1156A395" w:rsidR="00A56386" w:rsidRPr="00A24B5D" w:rsidRDefault="00124819" w:rsidP="00032264">
      <w:pPr>
        <w:pStyle w:val="Heading3"/>
      </w:pPr>
      <w:r>
        <w:t xml:space="preserve">Gastrointestinal toxicity: </w:t>
      </w:r>
      <w:r w:rsidR="00C90B7E">
        <w:t>d</w:t>
      </w:r>
      <w:r w:rsidR="00A56386" w:rsidRPr="00A24B5D">
        <w:t>iarrhoea</w:t>
      </w:r>
      <w:r w:rsidR="00A56386">
        <w:t xml:space="preserve"> and dehydration</w:t>
      </w:r>
    </w:p>
    <w:p w14:paraId="6DD26577" w14:textId="5EDEF0EA" w:rsidR="00A56386" w:rsidRDefault="00A56386" w:rsidP="00874C4C">
      <w:pPr>
        <w:pStyle w:val="BodyText"/>
        <w:spacing w:before="120" w:after="60"/>
      </w:pPr>
      <w:r w:rsidRPr="00A24B5D">
        <w:t xml:space="preserve">Diarrhoea </w:t>
      </w:r>
      <w:proofErr w:type="gramStart"/>
      <w:r w:rsidRPr="00A24B5D">
        <w:t>has been reported</w:t>
      </w:r>
      <w:proofErr w:type="gramEnd"/>
      <w:r w:rsidRPr="00A24B5D">
        <w:t xml:space="preserve"> </w:t>
      </w:r>
      <w:r>
        <w:t xml:space="preserve">frequently </w:t>
      </w:r>
      <w:r w:rsidRPr="00A24B5D">
        <w:t>in patients treated with LENVIMA</w:t>
      </w:r>
      <w:r>
        <w:t xml:space="preserve"> usually occurring early in the course of treatment (</w:t>
      </w:r>
      <w:r w:rsidR="00505C3C" w:rsidRPr="002D1C89">
        <w:t xml:space="preserve">see </w:t>
      </w:r>
      <w:r w:rsidR="00505C3C">
        <w:t xml:space="preserve">Section </w:t>
      </w:r>
      <w:r w:rsidR="00505C3C">
        <w:fldChar w:fldCharType="begin"/>
      </w:r>
      <w:r w:rsidR="00505C3C">
        <w:instrText xml:space="preserve"> REF _Ref503187256 \r \h </w:instrText>
      </w:r>
      <w:r w:rsidR="00505C3C">
        <w:fldChar w:fldCharType="separate"/>
      </w:r>
      <w:r w:rsidR="0064223A">
        <w:t>4.8</w:t>
      </w:r>
      <w:r w:rsidR="00505C3C">
        <w:fldChar w:fldCharType="end"/>
      </w:r>
      <w:r w:rsidR="00B662F4">
        <w:t xml:space="preserve"> Adverse effects</w:t>
      </w:r>
      <w:r w:rsidRPr="0049032E">
        <w:t>, Selected Adverse Reactions</w:t>
      </w:r>
      <w:r>
        <w:t>)</w:t>
      </w:r>
      <w:r w:rsidRPr="00A24B5D">
        <w:t xml:space="preserve">. </w:t>
      </w:r>
      <w:r>
        <w:t>P</w:t>
      </w:r>
      <w:r w:rsidRPr="00A24B5D">
        <w:t xml:space="preserve">rompt medical management of diarrhoea </w:t>
      </w:r>
      <w:proofErr w:type="gramStart"/>
      <w:r>
        <w:t>should be instituted</w:t>
      </w:r>
      <w:proofErr w:type="gramEnd"/>
      <w:r>
        <w:t xml:space="preserve"> in order to prevent</w:t>
      </w:r>
      <w:r w:rsidRPr="00A24B5D">
        <w:t xml:space="preserve"> dehydration. LENVIMA </w:t>
      </w:r>
      <w:proofErr w:type="gramStart"/>
      <w:r>
        <w:t xml:space="preserve">should be </w:t>
      </w:r>
      <w:r w:rsidRPr="000F4CE7">
        <w:t>discontinue</w:t>
      </w:r>
      <w:r>
        <w:t>d</w:t>
      </w:r>
      <w:proofErr w:type="gramEnd"/>
      <w:r w:rsidRPr="000F4CE7">
        <w:t xml:space="preserve"> </w:t>
      </w:r>
      <w:r>
        <w:t>in the event of persisten</w:t>
      </w:r>
      <w:r w:rsidR="00855892">
        <w:t xml:space="preserve">t </w:t>
      </w:r>
      <w:r w:rsidRPr="00A24B5D">
        <w:t>Grade 4 diarrhoea despite medical management</w:t>
      </w:r>
      <w:r>
        <w:t xml:space="preserve"> </w:t>
      </w:r>
      <w:r w:rsidRPr="00A21782">
        <w:t xml:space="preserve">(see </w:t>
      </w:r>
      <w:r w:rsidR="007B4197">
        <w:t xml:space="preserve">Section </w:t>
      </w:r>
      <w:r w:rsidR="007B4197">
        <w:fldChar w:fldCharType="begin"/>
      </w:r>
      <w:r w:rsidR="007B4197">
        <w:instrText xml:space="preserve"> REF _Ref503529038 \r \h </w:instrText>
      </w:r>
      <w:r w:rsidR="00874C4C">
        <w:instrText xml:space="preserve"> \* MERGEFORMAT </w:instrText>
      </w:r>
      <w:r w:rsidR="007B4197">
        <w:fldChar w:fldCharType="separate"/>
      </w:r>
      <w:r w:rsidR="0064223A">
        <w:t>4.2</w:t>
      </w:r>
      <w:r w:rsidR="007B4197">
        <w:fldChar w:fldCharType="end"/>
      </w:r>
      <w:r w:rsidR="00B662F4">
        <w:t xml:space="preserve"> Dose and method of administration</w:t>
      </w:r>
      <w:r w:rsidRPr="00A21782">
        <w:t>)</w:t>
      </w:r>
      <w:r w:rsidRPr="00A24B5D">
        <w:t>.</w:t>
      </w:r>
    </w:p>
    <w:p w14:paraId="2866DA7C" w14:textId="7CD62B79" w:rsidR="0064422E" w:rsidRDefault="00124819" w:rsidP="00874C4C">
      <w:pPr>
        <w:pStyle w:val="BodyText"/>
        <w:spacing w:before="120" w:after="60"/>
      </w:pPr>
      <w:r w:rsidRPr="00032264">
        <w:t>Gastrointestinal toxicity</w:t>
      </w:r>
      <w:r>
        <w:t xml:space="preserve"> (including events of diarrhoea, nausea and vomiting)</w:t>
      </w:r>
      <w:r w:rsidRPr="00032264">
        <w:t xml:space="preserve"> </w:t>
      </w:r>
      <w:proofErr w:type="gramStart"/>
      <w:r w:rsidRPr="00032264">
        <w:t>should be actively managed</w:t>
      </w:r>
      <w:proofErr w:type="gramEnd"/>
      <w:r w:rsidRPr="00032264">
        <w:t xml:space="preserve"> in order to reduce the risk of development of renal impairment or renal failure. Serious adverse events of both hypokalaemia and hyperkalaemia have occurred and renal function and electrolytes </w:t>
      </w:r>
      <w:proofErr w:type="gramStart"/>
      <w:r w:rsidRPr="00032264">
        <w:t>should be monitored</w:t>
      </w:r>
      <w:proofErr w:type="gramEnd"/>
      <w:r w:rsidRPr="00032264">
        <w:t xml:space="preserve"> closely.</w:t>
      </w:r>
      <w:r>
        <w:t xml:space="preserve"> (See </w:t>
      </w:r>
      <w:r w:rsidR="00D33B56">
        <w:t xml:space="preserve">Section </w:t>
      </w:r>
      <w:r w:rsidR="00D33B56">
        <w:fldChar w:fldCharType="begin"/>
      </w:r>
      <w:r w:rsidR="00D33B56">
        <w:instrText xml:space="preserve"> REF _Ref503187146 \r \h </w:instrText>
      </w:r>
      <w:r w:rsidR="00D33B56">
        <w:fldChar w:fldCharType="separate"/>
      </w:r>
      <w:r w:rsidR="0064223A">
        <w:t>4.4</w:t>
      </w:r>
      <w:r w:rsidR="00D33B56">
        <w:fldChar w:fldCharType="end"/>
      </w:r>
      <w:r w:rsidR="00D33B56">
        <w:t xml:space="preserve"> Special warnings and precautions for use, </w:t>
      </w:r>
      <w:proofErr w:type="gramStart"/>
      <w:r>
        <w:t>Renal</w:t>
      </w:r>
      <w:proofErr w:type="gramEnd"/>
      <w:r>
        <w:t xml:space="preserve"> failure and impairment)</w:t>
      </w:r>
      <w:r w:rsidR="00FD35B2">
        <w:t>.</w:t>
      </w:r>
    </w:p>
    <w:p w14:paraId="459B4D2F" w14:textId="671C6986" w:rsidR="008F7854" w:rsidRPr="00032264" w:rsidRDefault="008F7854" w:rsidP="00874C4C">
      <w:pPr>
        <w:pStyle w:val="Heading3"/>
      </w:pPr>
      <w:r w:rsidRPr="00032264">
        <w:lastRenderedPageBreak/>
        <w:t xml:space="preserve">Renal failure and </w:t>
      </w:r>
      <w:r w:rsidRPr="004E0E9B">
        <w:t>impairment</w:t>
      </w:r>
    </w:p>
    <w:p w14:paraId="7740DBC0" w14:textId="4975203E" w:rsidR="00A56386" w:rsidRPr="00032264" w:rsidRDefault="00A56386" w:rsidP="00874C4C">
      <w:pPr>
        <w:pStyle w:val="BodyText"/>
        <w:keepNext/>
        <w:keepLines/>
        <w:spacing w:before="120" w:after="60"/>
      </w:pPr>
      <w:r w:rsidRPr="00032264">
        <w:t>Patients with baseline renal function &lt;60ml/minute experienced more adverse events, including fatal and serious adverse events and Grade 3 or 4 events, than those with normal renal function and were more likely to require a treatment interruption, dose reduction or discontinuation of treatment. The recommended starting dose is lower for patients with renal impairment (</w:t>
      </w:r>
      <w:r w:rsidR="007B4197" w:rsidRPr="00A21782">
        <w:t xml:space="preserve">see </w:t>
      </w:r>
      <w:r w:rsidR="007B4197">
        <w:t xml:space="preserve">Section </w:t>
      </w:r>
      <w:r w:rsidR="007B4197">
        <w:fldChar w:fldCharType="begin"/>
      </w:r>
      <w:r w:rsidR="007B4197">
        <w:instrText xml:space="preserve"> REF _Ref503529038 \r \h </w:instrText>
      </w:r>
      <w:r w:rsidR="007B4197">
        <w:fldChar w:fldCharType="separate"/>
      </w:r>
      <w:r w:rsidR="0064223A">
        <w:t>4.2</w:t>
      </w:r>
      <w:r w:rsidR="007B4197">
        <w:fldChar w:fldCharType="end"/>
      </w:r>
      <w:r w:rsidR="00B662F4">
        <w:t xml:space="preserve"> Dose and method of administration</w:t>
      </w:r>
      <w:r w:rsidRPr="00032264">
        <w:t xml:space="preserve">) and it </w:t>
      </w:r>
      <w:proofErr w:type="gramStart"/>
      <w:r w:rsidRPr="00032264">
        <w:t>is also</w:t>
      </w:r>
      <w:proofErr w:type="gramEnd"/>
      <w:r w:rsidRPr="00032264">
        <w:t xml:space="preserve"> recommended these patients be monitored closely during treatment. There is no clinical trial experience of patients with severe renal impairment.</w:t>
      </w:r>
    </w:p>
    <w:p w14:paraId="25C55A4C" w14:textId="650F2776" w:rsidR="008F7854" w:rsidRPr="00032264" w:rsidRDefault="008F7854" w:rsidP="00874C4C">
      <w:pPr>
        <w:pStyle w:val="BodyText"/>
        <w:spacing w:before="120" w:after="60"/>
      </w:pPr>
      <w:r w:rsidRPr="00032264">
        <w:t xml:space="preserve">Renal impairment (including renal failure) </w:t>
      </w:r>
      <w:proofErr w:type="gramStart"/>
      <w:r w:rsidRPr="00032264">
        <w:t>has been reported</w:t>
      </w:r>
      <w:proofErr w:type="gramEnd"/>
      <w:r w:rsidRPr="00032264">
        <w:t xml:space="preserve"> in patients treated with LENVIMA (</w:t>
      </w:r>
      <w:r w:rsidR="00505C3C" w:rsidRPr="002D1C89">
        <w:t xml:space="preserve">see </w:t>
      </w:r>
      <w:r w:rsidR="00505C3C">
        <w:t xml:space="preserve">Section </w:t>
      </w:r>
      <w:r w:rsidR="00505C3C">
        <w:fldChar w:fldCharType="begin"/>
      </w:r>
      <w:r w:rsidR="00505C3C">
        <w:instrText xml:space="preserve"> REF _Ref503187256 \r \h </w:instrText>
      </w:r>
      <w:r w:rsidR="00874C4C">
        <w:instrText xml:space="preserve"> \* MERGEFORMAT </w:instrText>
      </w:r>
      <w:r w:rsidR="00505C3C">
        <w:fldChar w:fldCharType="separate"/>
      </w:r>
      <w:r w:rsidR="0064223A">
        <w:t>4.8</w:t>
      </w:r>
      <w:r w:rsidR="00505C3C">
        <w:fldChar w:fldCharType="end"/>
      </w:r>
      <w:r w:rsidR="008B3996">
        <w:t xml:space="preserve"> Adverse effects</w:t>
      </w:r>
      <w:r w:rsidRPr="00032264">
        <w:t>, Selected Adverse Reactions). The primary risk factors identified were pre-existing renal impairment and dehydration and/or hypovolemia due to gastrointestinal toxicity</w:t>
      </w:r>
      <w:r w:rsidR="00124819">
        <w:t>. (See</w:t>
      </w:r>
      <w:r w:rsidR="00021384">
        <w:t xml:space="preserve"> Section </w:t>
      </w:r>
      <w:r w:rsidR="00021384">
        <w:fldChar w:fldCharType="begin"/>
      </w:r>
      <w:r w:rsidR="00021384">
        <w:instrText xml:space="preserve"> REF _Ref503187146 \r \h </w:instrText>
      </w:r>
      <w:r w:rsidR="00021384">
        <w:fldChar w:fldCharType="separate"/>
      </w:r>
      <w:r w:rsidR="0064223A">
        <w:t>4.4</w:t>
      </w:r>
      <w:r w:rsidR="00021384">
        <w:fldChar w:fldCharType="end"/>
      </w:r>
      <w:r w:rsidR="00021384">
        <w:t xml:space="preserve"> Special warnings and precautions for use,</w:t>
      </w:r>
      <w:r w:rsidR="00124819">
        <w:t xml:space="preserve"> </w:t>
      </w:r>
      <w:proofErr w:type="gramStart"/>
      <w:r w:rsidR="00124819">
        <w:t>Gastrointestinal</w:t>
      </w:r>
      <w:proofErr w:type="gramEnd"/>
      <w:r w:rsidR="00124819">
        <w:t xml:space="preserve"> toxici</w:t>
      </w:r>
      <w:r w:rsidR="006540BC">
        <w:t>ty: Diarrhoea and dehydration).</w:t>
      </w:r>
      <w:r w:rsidR="008D0E34" w:rsidRPr="00032264">
        <w:t xml:space="preserve"> </w:t>
      </w:r>
      <w:r w:rsidRPr="00032264">
        <w:t xml:space="preserve">Caution </w:t>
      </w:r>
      <w:proofErr w:type="gramStart"/>
      <w:r w:rsidRPr="00032264">
        <w:t>should be taken</w:t>
      </w:r>
      <w:proofErr w:type="gramEnd"/>
      <w:r w:rsidRPr="00032264">
        <w:t xml:space="preserve"> in patients receiving agents acting on the renin-angiotensin aldosterone system given a potentially higher risk for acute renal failure with the combination treatment. Dose interruptions, adjustments, or discontinuation may be necessary (</w:t>
      </w:r>
      <w:r w:rsidR="007B4197" w:rsidRPr="00A21782">
        <w:t xml:space="preserve">see </w:t>
      </w:r>
      <w:r w:rsidR="007B4197">
        <w:t xml:space="preserve">Section </w:t>
      </w:r>
      <w:r w:rsidR="007B4197">
        <w:fldChar w:fldCharType="begin"/>
      </w:r>
      <w:r w:rsidR="007B4197">
        <w:instrText xml:space="preserve"> REF _Ref503529038 \r \h </w:instrText>
      </w:r>
      <w:r w:rsidR="00874C4C">
        <w:instrText xml:space="preserve"> \* MERGEFORMAT </w:instrText>
      </w:r>
      <w:r w:rsidR="007B4197">
        <w:fldChar w:fldCharType="separate"/>
      </w:r>
      <w:r w:rsidR="0064223A">
        <w:t>4.2</w:t>
      </w:r>
      <w:r w:rsidR="007B4197">
        <w:fldChar w:fldCharType="end"/>
      </w:r>
      <w:r w:rsidR="00B662F4">
        <w:t xml:space="preserve"> Dose and method of administration</w:t>
      </w:r>
      <w:r w:rsidRPr="00032264">
        <w:t>).</w:t>
      </w:r>
    </w:p>
    <w:p w14:paraId="085DDA22" w14:textId="4268C331" w:rsidR="008F7854" w:rsidRPr="00032264" w:rsidRDefault="008F7854" w:rsidP="00874C4C">
      <w:pPr>
        <w:pStyle w:val="BodyText"/>
        <w:spacing w:before="120" w:after="60"/>
      </w:pPr>
      <w:r w:rsidRPr="00032264">
        <w:t xml:space="preserve">If patients have severe renal impairment, the initial dose </w:t>
      </w:r>
      <w:r w:rsidR="008D5B63" w:rsidRPr="00032264">
        <w:t xml:space="preserve">of LENVIMA </w:t>
      </w:r>
      <w:proofErr w:type="gramStart"/>
      <w:r w:rsidR="008D5B63" w:rsidRPr="00032264">
        <w:t>should be adjusted</w:t>
      </w:r>
      <w:proofErr w:type="gramEnd"/>
      <w:r w:rsidR="008D5B63" w:rsidRPr="00032264">
        <w:t xml:space="preserve"> (</w:t>
      </w:r>
      <w:r w:rsidR="007B4197" w:rsidRPr="00A21782">
        <w:t xml:space="preserve">see </w:t>
      </w:r>
      <w:r w:rsidR="007B4197">
        <w:t xml:space="preserve">Section </w:t>
      </w:r>
      <w:r w:rsidR="007B4197">
        <w:fldChar w:fldCharType="begin"/>
      </w:r>
      <w:r w:rsidR="007B4197">
        <w:instrText xml:space="preserve"> REF _Ref503529038 \r \h </w:instrText>
      </w:r>
      <w:r w:rsidR="00874C4C">
        <w:instrText xml:space="preserve"> \* MERGEFORMAT </w:instrText>
      </w:r>
      <w:r w:rsidR="007B4197">
        <w:fldChar w:fldCharType="separate"/>
      </w:r>
      <w:r w:rsidR="0064223A">
        <w:t>4.2</w:t>
      </w:r>
      <w:r w:rsidR="007B4197">
        <w:fldChar w:fldCharType="end"/>
      </w:r>
      <w:r w:rsidR="00B662F4">
        <w:t xml:space="preserve"> Dose and method of administration</w:t>
      </w:r>
      <w:r w:rsidRPr="00032264">
        <w:t xml:space="preserve">). </w:t>
      </w:r>
    </w:p>
    <w:p w14:paraId="2866DA7D" w14:textId="5191407E" w:rsidR="0064422E" w:rsidRPr="00032264" w:rsidRDefault="0064422E" w:rsidP="00032264">
      <w:pPr>
        <w:pStyle w:val="Heading3"/>
      </w:pPr>
      <w:r w:rsidRPr="00032264">
        <w:t>Hypertension</w:t>
      </w:r>
    </w:p>
    <w:p w14:paraId="2866DA7F" w14:textId="49BFC74F" w:rsidR="0064422E" w:rsidRPr="00032264" w:rsidRDefault="0064422E" w:rsidP="00874C4C">
      <w:pPr>
        <w:pStyle w:val="BodyText"/>
        <w:spacing w:before="120" w:after="60"/>
      </w:pPr>
      <w:r w:rsidRPr="00032264">
        <w:t xml:space="preserve">Hypertension </w:t>
      </w:r>
      <w:proofErr w:type="gramStart"/>
      <w:r w:rsidRPr="00032264">
        <w:t>has been reported</w:t>
      </w:r>
      <w:proofErr w:type="gramEnd"/>
      <w:r w:rsidRPr="00032264">
        <w:t xml:space="preserve"> in patients treated with </w:t>
      </w:r>
      <w:r w:rsidR="00221DDE" w:rsidRPr="00032264">
        <w:t>LENVIMA</w:t>
      </w:r>
      <w:r w:rsidRPr="00032264">
        <w:t>, usually occurring early in the course of treatment (</w:t>
      </w:r>
      <w:r w:rsidR="00505C3C" w:rsidRPr="002D1C89">
        <w:t xml:space="preserve">see </w:t>
      </w:r>
      <w:r w:rsidR="00505C3C">
        <w:t xml:space="preserve">Section </w:t>
      </w:r>
      <w:r w:rsidR="00505C3C">
        <w:fldChar w:fldCharType="begin"/>
      </w:r>
      <w:r w:rsidR="00505C3C">
        <w:instrText xml:space="preserve"> REF _Ref503187256 \r \h </w:instrText>
      </w:r>
      <w:r w:rsidR="00505C3C">
        <w:fldChar w:fldCharType="separate"/>
      </w:r>
      <w:r w:rsidR="0064223A">
        <w:t>4.8</w:t>
      </w:r>
      <w:r w:rsidR="00505C3C">
        <w:fldChar w:fldCharType="end"/>
      </w:r>
      <w:r w:rsidR="008B3996">
        <w:t xml:space="preserve"> Adverse effects</w:t>
      </w:r>
      <w:r w:rsidR="00221DDE" w:rsidRPr="00032264">
        <w:t>, Selected Adverse Reactions</w:t>
      </w:r>
      <w:r w:rsidRPr="00032264">
        <w:t xml:space="preserve">). Blood pressure </w:t>
      </w:r>
      <w:r w:rsidR="00221DDE" w:rsidRPr="00032264">
        <w:t xml:space="preserve">(BP) </w:t>
      </w:r>
      <w:r w:rsidRPr="00032264">
        <w:t xml:space="preserve">should be well controlled prior to treatment with </w:t>
      </w:r>
      <w:r w:rsidR="00221DDE" w:rsidRPr="00032264">
        <w:t>LENVIMA</w:t>
      </w:r>
      <w:r w:rsidR="00092849" w:rsidRPr="00032264">
        <w:t xml:space="preserve"> and, if patients are known to be </w:t>
      </w:r>
      <w:proofErr w:type="gramStart"/>
      <w:r w:rsidR="00092849" w:rsidRPr="00032264">
        <w:t>hypertensive</w:t>
      </w:r>
      <w:proofErr w:type="gramEnd"/>
      <w:r w:rsidR="00092849" w:rsidRPr="00032264">
        <w:t xml:space="preserve"> they should be on a stable dose of an antihypertensive therapy for at least 1 week prior to treatment with </w:t>
      </w:r>
      <w:r w:rsidR="00221DDE" w:rsidRPr="00032264">
        <w:t>LENVIMA</w:t>
      </w:r>
      <w:r w:rsidRPr="00032264">
        <w:t xml:space="preserve">. The early detection and effective management of hypertension are important to minimise the need for </w:t>
      </w:r>
      <w:r w:rsidR="00221DDE" w:rsidRPr="00032264">
        <w:t>LENVIMA</w:t>
      </w:r>
      <w:r w:rsidRPr="00032264">
        <w:t xml:space="preserve"> dose interruptions and reductions.</w:t>
      </w:r>
      <w:r w:rsidR="007214A4">
        <w:t xml:space="preserve"> </w:t>
      </w:r>
      <w:r w:rsidR="007214A4" w:rsidRPr="007214A4">
        <w:t xml:space="preserve">Serious complications of poorly controlled hypertension, including aortic dissection, </w:t>
      </w:r>
      <w:proofErr w:type="gramStart"/>
      <w:r w:rsidR="007214A4" w:rsidRPr="007214A4">
        <w:t>have been reported</w:t>
      </w:r>
      <w:proofErr w:type="gramEnd"/>
      <w:r w:rsidR="007214A4" w:rsidRPr="007214A4">
        <w:t>.</w:t>
      </w:r>
      <w:r w:rsidRPr="00032264">
        <w:t xml:space="preserve"> </w:t>
      </w:r>
      <w:proofErr w:type="spellStart"/>
      <w:r w:rsidR="00092849" w:rsidRPr="00032264">
        <w:t>Antihypertensives</w:t>
      </w:r>
      <w:proofErr w:type="spellEnd"/>
      <w:r w:rsidR="00092849" w:rsidRPr="00032264">
        <w:t xml:space="preserve"> </w:t>
      </w:r>
      <w:proofErr w:type="gramStart"/>
      <w:r w:rsidR="00092849" w:rsidRPr="00032264">
        <w:t>should be started</w:t>
      </w:r>
      <w:proofErr w:type="gramEnd"/>
      <w:r w:rsidR="00092849" w:rsidRPr="00032264">
        <w:t xml:space="preserve"> as soon as elevated BP is confirmed. </w:t>
      </w:r>
      <w:r w:rsidRPr="00032264">
        <w:t xml:space="preserve">Blood pressure </w:t>
      </w:r>
      <w:proofErr w:type="gramStart"/>
      <w:r w:rsidRPr="00032264">
        <w:t>should be monitored</w:t>
      </w:r>
      <w:proofErr w:type="gramEnd"/>
      <w:r w:rsidRPr="00032264">
        <w:t xml:space="preserve"> after 1 week of treatment with </w:t>
      </w:r>
      <w:r w:rsidR="00221DDE" w:rsidRPr="00032264">
        <w:t>LENVIMA</w:t>
      </w:r>
      <w:r w:rsidRPr="00032264">
        <w:t xml:space="preserve">, then every 2 weeks for the first 2 </w:t>
      </w:r>
      <w:r w:rsidR="00AD0A0F" w:rsidRPr="00032264">
        <w:t>months</w:t>
      </w:r>
      <w:r w:rsidRPr="00032264">
        <w:t xml:space="preserve"> and monthly thereafter. </w:t>
      </w:r>
      <w:r w:rsidR="00092849" w:rsidRPr="00032264">
        <w:t xml:space="preserve">The choice of antihypertensive treatment should be individualised to the patient’s clinical circumstances and follow standard medical practice. For previously normotensive subjects, monotherapy with one of the classes of </w:t>
      </w:r>
      <w:proofErr w:type="spellStart"/>
      <w:r w:rsidR="00092849" w:rsidRPr="00032264">
        <w:t>antihypertensives</w:t>
      </w:r>
      <w:proofErr w:type="spellEnd"/>
      <w:r w:rsidR="00092849" w:rsidRPr="00032264">
        <w:t xml:space="preserve"> </w:t>
      </w:r>
      <w:proofErr w:type="gramStart"/>
      <w:r w:rsidR="00092849" w:rsidRPr="00032264">
        <w:t>should be started</w:t>
      </w:r>
      <w:proofErr w:type="gramEnd"/>
      <w:r w:rsidR="00092849" w:rsidRPr="00032264">
        <w:t xml:space="preserve"> when elevated BP is observed. For those patients already on antihypertensive medication, the dose of the current agent </w:t>
      </w:r>
      <w:proofErr w:type="gramStart"/>
      <w:r w:rsidR="00092849" w:rsidRPr="00032264">
        <w:t>may be increased</w:t>
      </w:r>
      <w:proofErr w:type="gramEnd"/>
      <w:r w:rsidR="00092849" w:rsidRPr="00032264">
        <w:t xml:space="preserve">, if appropriate, or one or more agents of a different class of antihypertensive should be added. </w:t>
      </w:r>
      <w:r w:rsidRPr="00032264">
        <w:t xml:space="preserve">When necessary, manage hypertension as recommended in </w:t>
      </w:r>
      <w:r w:rsidR="00587962">
        <w:fldChar w:fldCharType="begin"/>
      </w:r>
      <w:r w:rsidR="00587962">
        <w:instrText xml:space="preserve"> REF _Ref503528314 \h </w:instrText>
      </w:r>
      <w:r w:rsidR="00587962">
        <w:fldChar w:fldCharType="separate"/>
      </w:r>
      <w:r w:rsidR="0064223A">
        <w:t>Table </w:t>
      </w:r>
      <w:r w:rsidR="0064223A">
        <w:rPr>
          <w:noProof/>
        </w:rPr>
        <w:t>3</w:t>
      </w:r>
      <w:r w:rsidR="00587962">
        <w:fldChar w:fldCharType="end"/>
      </w:r>
      <w:r w:rsidRPr="00032264">
        <w:t>.</w:t>
      </w:r>
    </w:p>
    <w:p w14:paraId="115C9369" w14:textId="5688E6D4" w:rsidR="00505C3C" w:rsidRDefault="00505C3C" w:rsidP="00874C4C">
      <w:pPr>
        <w:pStyle w:val="Caption"/>
        <w:pageBreakBefore/>
      </w:pPr>
      <w:bookmarkStart w:id="5" w:name="_Ref503528314"/>
      <w:r>
        <w:lastRenderedPageBreak/>
        <w:t>Table </w:t>
      </w:r>
      <w:r w:rsidR="002C196B">
        <w:rPr>
          <w:noProof/>
        </w:rPr>
        <w:fldChar w:fldCharType="begin"/>
      </w:r>
      <w:r w:rsidR="002C196B">
        <w:rPr>
          <w:noProof/>
        </w:rPr>
        <w:instrText xml:space="preserve"> SEQ Table \* ARABIC </w:instrText>
      </w:r>
      <w:r w:rsidR="002C196B">
        <w:rPr>
          <w:noProof/>
        </w:rPr>
        <w:fldChar w:fldCharType="separate"/>
      </w:r>
      <w:r w:rsidR="008D1089">
        <w:rPr>
          <w:noProof/>
        </w:rPr>
        <w:t>3</w:t>
      </w:r>
      <w:r w:rsidR="002C196B">
        <w:rPr>
          <w:noProof/>
        </w:rPr>
        <w:fldChar w:fldCharType="end"/>
      </w:r>
      <w:bookmarkEnd w:id="5"/>
      <w:r w:rsidRPr="00505C3C">
        <w:t xml:space="preserve"> </w:t>
      </w:r>
      <w:r>
        <w:tab/>
      </w:r>
      <w:r w:rsidRPr="00BE78D8">
        <w:t>Recommended Management of Hypertension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64422E" w:rsidRPr="00BE78D8" w14:paraId="2866DA84" w14:textId="77777777" w:rsidTr="004E0E9B">
        <w:tc>
          <w:tcPr>
            <w:tcW w:w="4621" w:type="dxa"/>
          </w:tcPr>
          <w:p w14:paraId="2866DA82" w14:textId="77777777" w:rsidR="0064422E" w:rsidRPr="00BE78D8" w:rsidRDefault="0064422E" w:rsidP="00C54A3F">
            <w:pPr>
              <w:pStyle w:val="TableHeading"/>
            </w:pPr>
            <w:r w:rsidRPr="00BE78D8">
              <w:t xml:space="preserve">Blood Pressure </w:t>
            </w:r>
            <w:r w:rsidR="00AF016C">
              <w:t xml:space="preserve">(BP) </w:t>
            </w:r>
            <w:r w:rsidRPr="00BE78D8">
              <w:t>Level</w:t>
            </w:r>
          </w:p>
        </w:tc>
        <w:tc>
          <w:tcPr>
            <w:tcW w:w="4621" w:type="dxa"/>
          </w:tcPr>
          <w:p w14:paraId="2866DA83" w14:textId="77777777" w:rsidR="0064422E" w:rsidRPr="00BE78D8" w:rsidRDefault="0064422E" w:rsidP="00C54A3F">
            <w:pPr>
              <w:pStyle w:val="TableHeading"/>
            </w:pPr>
            <w:r w:rsidRPr="00BE78D8">
              <w:t>Recommended Action</w:t>
            </w:r>
          </w:p>
        </w:tc>
      </w:tr>
      <w:tr w:rsidR="0064422E" w:rsidRPr="00BE78D8" w14:paraId="2866DA8B" w14:textId="77777777" w:rsidTr="004E0E9B">
        <w:tc>
          <w:tcPr>
            <w:tcW w:w="4621" w:type="dxa"/>
          </w:tcPr>
          <w:p w14:paraId="63DA8C9C" w14:textId="77777777" w:rsidR="008D5B63" w:rsidRDefault="008D5B63" w:rsidP="00032264">
            <w:pPr>
              <w:pStyle w:val="TableText"/>
              <w:rPr>
                <w:lang w:val="en-US"/>
              </w:rPr>
            </w:pPr>
          </w:p>
          <w:p w14:paraId="2866DA85" w14:textId="476C63F2" w:rsidR="0064422E" w:rsidRPr="00BE78D8" w:rsidRDefault="00EE4CD6" w:rsidP="00032264">
            <w:pPr>
              <w:pStyle w:val="TableText"/>
              <w:rPr>
                <w:lang w:val="en-US"/>
              </w:rPr>
            </w:pPr>
            <w:r w:rsidRPr="00BE78D8">
              <w:rPr>
                <w:lang w:val="en-US"/>
              </w:rPr>
              <w:t xml:space="preserve">Systolic BP </w:t>
            </w:r>
            <w:r w:rsidR="006540BC">
              <w:rPr>
                <w:lang w:val="en-US"/>
              </w:rPr>
              <w:sym w:font="Symbol" w:char="F0B3"/>
            </w:r>
            <w:r w:rsidRPr="00BE78D8">
              <w:rPr>
                <w:lang w:val="en-US"/>
              </w:rPr>
              <w:t xml:space="preserve"> 140 mmHg up to &lt;</w:t>
            </w:r>
            <w:r w:rsidR="008D5B63">
              <w:rPr>
                <w:lang w:val="en-US"/>
              </w:rPr>
              <w:t xml:space="preserve"> </w:t>
            </w:r>
            <w:r w:rsidRPr="00BE78D8">
              <w:rPr>
                <w:lang w:val="en-US"/>
              </w:rPr>
              <w:t>160 mmHg or</w:t>
            </w:r>
          </w:p>
          <w:p w14:paraId="2866DA86" w14:textId="36BC100E" w:rsidR="00EE4CD6" w:rsidRPr="00BE78D8" w:rsidRDefault="00EE4CD6" w:rsidP="006540BC">
            <w:pPr>
              <w:pStyle w:val="TableText"/>
              <w:rPr>
                <w:lang w:val="en-US"/>
              </w:rPr>
            </w:pPr>
            <w:r w:rsidRPr="00BE78D8">
              <w:rPr>
                <w:lang w:val="en-US"/>
              </w:rPr>
              <w:t>diastolic BP</w:t>
            </w:r>
            <w:r w:rsidR="008D5B63">
              <w:rPr>
                <w:lang w:val="en-US"/>
              </w:rPr>
              <w:t xml:space="preserve"> </w:t>
            </w:r>
            <w:r w:rsidR="006540BC">
              <w:rPr>
                <w:lang w:val="en-US"/>
              </w:rPr>
              <w:sym w:font="Symbol" w:char="F0B3"/>
            </w:r>
            <w:r w:rsidRPr="00BE78D8">
              <w:rPr>
                <w:lang w:val="en-US"/>
              </w:rPr>
              <w:t xml:space="preserve"> 90 mmHg up to &lt;</w:t>
            </w:r>
            <w:r w:rsidR="008D5B63">
              <w:rPr>
                <w:lang w:val="en-US"/>
              </w:rPr>
              <w:t xml:space="preserve"> </w:t>
            </w:r>
            <w:r w:rsidRPr="00BE78D8">
              <w:rPr>
                <w:lang w:val="en-US"/>
              </w:rPr>
              <w:t>100 mmHg</w:t>
            </w:r>
          </w:p>
        </w:tc>
        <w:tc>
          <w:tcPr>
            <w:tcW w:w="4621" w:type="dxa"/>
          </w:tcPr>
          <w:p w14:paraId="24CE2881" w14:textId="77777777" w:rsidR="008D5B63" w:rsidRDefault="008D5B63" w:rsidP="00032264">
            <w:pPr>
              <w:pStyle w:val="TableText"/>
              <w:rPr>
                <w:lang w:val="en-US"/>
              </w:rPr>
            </w:pPr>
          </w:p>
          <w:p w14:paraId="2866DA87" w14:textId="7AD00503" w:rsidR="0064422E" w:rsidRPr="00BE78D8" w:rsidRDefault="00EE4CD6" w:rsidP="00032264">
            <w:pPr>
              <w:pStyle w:val="TableText"/>
              <w:rPr>
                <w:lang w:val="en-US"/>
              </w:rPr>
            </w:pPr>
            <w:r w:rsidRPr="00BE78D8">
              <w:rPr>
                <w:lang w:val="en-US"/>
              </w:rPr>
              <w:t xml:space="preserve">Continue </w:t>
            </w:r>
            <w:r w:rsidR="00221DDE">
              <w:rPr>
                <w:lang w:val="en-US"/>
              </w:rPr>
              <w:t>LENVIMA</w:t>
            </w:r>
            <w:r w:rsidRPr="00BE78D8">
              <w:rPr>
                <w:lang w:val="en-US"/>
              </w:rPr>
              <w:t xml:space="preserve"> and initiate antihypertensive therapy, if not already receiving</w:t>
            </w:r>
          </w:p>
          <w:p w14:paraId="2866DA88" w14:textId="77777777" w:rsidR="00EE4CD6" w:rsidRPr="00BE78D8" w:rsidRDefault="00EE4CD6" w:rsidP="00032264">
            <w:pPr>
              <w:pStyle w:val="TableText"/>
              <w:rPr>
                <w:lang w:val="en-US"/>
              </w:rPr>
            </w:pPr>
            <w:r w:rsidRPr="00BE78D8">
              <w:rPr>
                <w:lang w:val="en-US"/>
              </w:rPr>
              <w:t>OR</w:t>
            </w:r>
          </w:p>
          <w:p w14:paraId="2866DA89" w14:textId="195D4B43" w:rsidR="00EE4CD6" w:rsidRDefault="00EE4CD6" w:rsidP="00032264">
            <w:pPr>
              <w:pStyle w:val="TableText"/>
              <w:rPr>
                <w:lang w:val="en-US"/>
              </w:rPr>
            </w:pPr>
            <w:r w:rsidRPr="00BE78D8">
              <w:rPr>
                <w:lang w:val="en-US"/>
              </w:rPr>
              <w:t xml:space="preserve">Continue </w:t>
            </w:r>
            <w:r w:rsidR="00221DDE">
              <w:rPr>
                <w:lang w:val="en-US"/>
              </w:rPr>
              <w:t>LENVIMA</w:t>
            </w:r>
            <w:r w:rsidRPr="00BE78D8">
              <w:rPr>
                <w:lang w:val="en-US"/>
              </w:rPr>
              <w:t xml:space="preserve"> and increase the dose of the current antihypertensive therapy or initiate additional antihypertensive therapy</w:t>
            </w:r>
          </w:p>
          <w:p w14:paraId="2866DA8A" w14:textId="77777777" w:rsidR="00AF016C" w:rsidRPr="00BE78D8" w:rsidRDefault="00AF016C" w:rsidP="00032264">
            <w:pPr>
              <w:pStyle w:val="TableText"/>
              <w:rPr>
                <w:lang w:val="en-US"/>
              </w:rPr>
            </w:pPr>
          </w:p>
        </w:tc>
      </w:tr>
      <w:tr w:rsidR="0064422E" w:rsidRPr="00BE78D8" w14:paraId="2866DA94" w14:textId="77777777" w:rsidTr="004E0E9B">
        <w:tc>
          <w:tcPr>
            <w:tcW w:w="4621" w:type="dxa"/>
          </w:tcPr>
          <w:p w14:paraId="2866DA8C" w14:textId="77777777" w:rsidR="00AF016C" w:rsidRDefault="00AF016C" w:rsidP="00032264">
            <w:pPr>
              <w:pStyle w:val="TableText"/>
              <w:rPr>
                <w:lang w:val="en-US"/>
              </w:rPr>
            </w:pPr>
          </w:p>
          <w:p w14:paraId="2866DA8D" w14:textId="1388FBCD" w:rsidR="0064422E" w:rsidRPr="00BE78D8" w:rsidRDefault="00EE4CD6" w:rsidP="00032264">
            <w:pPr>
              <w:pStyle w:val="TableText"/>
              <w:rPr>
                <w:lang w:val="en-US"/>
              </w:rPr>
            </w:pPr>
            <w:r w:rsidRPr="00BE78D8">
              <w:rPr>
                <w:lang w:val="en-US"/>
              </w:rPr>
              <w:t xml:space="preserve">Systolic BP </w:t>
            </w:r>
            <w:r w:rsidR="006540BC">
              <w:rPr>
                <w:lang w:val="en-US"/>
              </w:rPr>
              <w:sym w:font="Symbol" w:char="F0B3"/>
            </w:r>
            <w:r w:rsidR="001D6874">
              <w:rPr>
                <w:lang w:val="en-US"/>
              </w:rPr>
              <w:t> </w:t>
            </w:r>
            <w:r w:rsidRPr="00BE78D8">
              <w:rPr>
                <w:lang w:val="en-US"/>
              </w:rPr>
              <w:t>160 mmHg or</w:t>
            </w:r>
          </w:p>
          <w:p w14:paraId="2866DA8E" w14:textId="5E425D04" w:rsidR="00EE4CD6" w:rsidRPr="00BE78D8" w:rsidRDefault="00EE4CD6" w:rsidP="00032264">
            <w:pPr>
              <w:pStyle w:val="TableText"/>
              <w:rPr>
                <w:lang w:val="en-US"/>
              </w:rPr>
            </w:pPr>
            <w:r w:rsidRPr="00BE78D8">
              <w:rPr>
                <w:lang w:val="en-US"/>
              </w:rPr>
              <w:t xml:space="preserve">diastolic BP </w:t>
            </w:r>
            <w:r w:rsidR="006540BC">
              <w:rPr>
                <w:lang w:val="en-US"/>
              </w:rPr>
              <w:sym w:font="Symbol" w:char="F0B3"/>
            </w:r>
            <w:r w:rsidR="001D6874">
              <w:rPr>
                <w:lang w:val="en-US"/>
              </w:rPr>
              <w:t> </w:t>
            </w:r>
            <w:r w:rsidRPr="00BE78D8">
              <w:rPr>
                <w:lang w:val="en-US"/>
              </w:rPr>
              <w:t>100 mmHg</w:t>
            </w:r>
          </w:p>
          <w:p w14:paraId="2866DA8F" w14:textId="77777777" w:rsidR="00EE4CD6" w:rsidRPr="00BE78D8" w:rsidRDefault="00EE4CD6" w:rsidP="00032264">
            <w:pPr>
              <w:pStyle w:val="TableText"/>
              <w:rPr>
                <w:lang w:val="en-US"/>
              </w:rPr>
            </w:pPr>
            <w:r w:rsidRPr="00BE78D8">
              <w:rPr>
                <w:lang w:val="en-US"/>
              </w:rPr>
              <w:t>despite optimal antihypertensive therapy</w:t>
            </w:r>
          </w:p>
        </w:tc>
        <w:tc>
          <w:tcPr>
            <w:tcW w:w="4621" w:type="dxa"/>
          </w:tcPr>
          <w:p w14:paraId="2866DA90" w14:textId="77777777" w:rsidR="00AF016C" w:rsidRDefault="00AF016C" w:rsidP="00032264">
            <w:pPr>
              <w:pStyle w:val="TableText"/>
              <w:rPr>
                <w:lang w:val="en-US"/>
              </w:rPr>
            </w:pPr>
          </w:p>
          <w:p w14:paraId="2866DA91" w14:textId="16040298" w:rsidR="0064422E" w:rsidRPr="00BE78D8" w:rsidRDefault="00EE4CD6" w:rsidP="00032264">
            <w:pPr>
              <w:pStyle w:val="TableText"/>
              <w:rPr>
                <w:lang w:val="en-US"/>
              </w:rPr>
            </w:pPr>
            <w:r w:rsidRPr="00BE78D8">
              <w:rPr>
                <w:lang w:val="en-US"/>
              </w:rPr>
              <w:t xml:space="preserve">1. Withhold </w:t>
            </w:r>
            <w:r w:rsidR="00221DDE">
              <w:rPr>
                <w:lang w:val="en-US"/>
              </w:rPr>
              <w:t>LENVIMA</w:t>
            </w:r>
          </w:p>
          <w:p w14:paraId="2866DA92" w14:textId="736C5B47" w:rsidR="00EE4CD6" w:rsidRDefault="00EE4CD6" w:rsidP="00032264">
            <w:pPr>
              <w:pStyle w:val="TableText"/>
              <w:rPr>
                <w:lang w:val="en-US"/>
              </w:rPr>
            </w:pPr>
            <w:r w:rsidRPr="00BE78D8">
              <w:rPr>
                <w:lang w:val="en-US"/>
              </w:rPr>
              <w:t xml:space="preserve">2. When systolic BP </w:t>
            </w:r>
            <w:r w:rsidR="006540BC">
              <w:rPr>
                <w:lang w:val="en-US"/>
              </w:rPr>
              <w:sym w:font="Symbol" w:char="F0A3"/>
            </w:r>
            <w:r w:rsidRPr="00BE78D8">
              <w:rPr>
                <w:lang w:val="en-US"/>
              </w:rPr>
              <w:t xml:space="preserve">150 mmHg, diastolic BP </w:t>
            </w:r>
            <w:r w:rsidR="00123378">
              <w:rPr>
                <w:lang w:val="en-US"/>
              </w:rPr>
              <w:sym w:font="Symbol" w:char="F0A3"/>
            </w:r>
            <w:r w:rsidR="008D5B63">
              <w:rPr>
                <w:lang w:val="en-US"/>
              </w:rPr>
              <w:t xml:space="preserve"> </w:t>
            </w:r>
            <w:r w:rsidRPr="00BE78D8">
              <w:rPr>
                <w:lang w:val="en-US"/>
              </w:rPr>
              <w:t xml:space="preserve">95 mmHg, and patient has been on a stable dose for at least 48 hours, resume </w:t>
            </w:r>
            <w:r w:rsidR="00221DDE">
              <w:rPr>
                <w:lang w:val="en-US"/>
              </w:rPr>
              <w:t>LENVIMA</w:t>
            </w:r>
            <w:r w:rsidRPr="00BE78D8">
              <w:rPr>
                <w:lang w:val="en-US"/>
              </w:rPr>
              <w:t xml:space="preserve"> at a reduced dose </w:t>
            </w:r>
            <w:r w:rsidR="00AF016C" w:rsidRPr="00AF016C">
              <w:t>(</w:t>
            </w:r>
            <w:r w:rsidR="007B4197" w:rsidRPr="00A21782">
              <w:t xml:space="preserve">see </w:t>
            </w:r>
            <w:r w:rsidR="007B4197">
              <w:t xml:space="preserve">Section </w:t>
            </w:r>
            <w:r w:rsidR="007B4197">
              <w:fldChar w:fldCharType="begin"/>
            </w:r>
            <w:r w:rsidR="007B4197">
              <w:instrText xml:space="preserve"> REF _Ref503529038 \r \h </w:instrText>
            </w:r>
            <w:r w:rsidR="007B4197">
              <w:fldChar w:fldCharType="separate"/>
            </w:r>
            <w:r w:rsidR="0064223A">
              <w:t>4.2</w:t>
            </w:r>
            <w:r w:rsidR="007B4197">
              <w:fldChar w:fldCharType="end"/>
            </w:r>
            <w:r w:rsidR="00B662F4">
              <w:t xml:space="preserve"> Dose and method of administration</w:t>
            </w:r>
            <w:r w:rsidR="00AF016C" w:rsidRPr="00AF016C">
              <w:t>)</w:t>
            </w:r>
          </w:p>
          <w:p w14:paraId="2866DA93" w14:textId="77777777" w:rsidR="00AF016C" w:rsidRPr="00BE78D8" w:rsidRDefault="00AF016C" w:rsidP="00032264">
            <w:pPr>
              <w:pStyle w:val="TableText"/>
              <w:rPr>
                <w:lang w:val="en-US"/>
              </w:rPr>
            </w:pPr>
          </w:p>
        </w:tc>
      </w:tr>
      <w:tr w:rsidR="0064422E" w:rsidRPr="00BE78D8" w14:paraId="2866DA9B" w14:textId="77777777" w:rsidTr="004E0E9B">
        <w:tc>
          <w:tcPr>
            <w:tcW w:w="4621" w:type="dxa"/>
          </w:tcPr>
          <w:p w14:paraId="2866DA95" w14:textId="77777777" w:rsidR="00AF016C" w:rsidRDefault="00AF016C" w:rsidP="00032264">
            <w:pPr>
              <w:pStyle w:val="TableText"/>
              <w:rPr>
                <w:lang w:val="en-US"/>
              </w:rPr>
            </w:pPr>
          </w:p>
          <w:p w14:paraId="2866DA96" w14:textId="77777777" w:rsidR="0064422E" w:rsidRDefault="00EE4CD6" w:rsidP="00032264">
            <w:pPr>
              <w:pStyle w:val="TableText"/>
              <w:rPr>
                <w:lang w:val="en-US"/>
              </w:rPr>
            </w:pPr>
            <w:r w:rsidRPr="00BE78D8">
              <w:rPr>
                <w:lang w:val="en-US"/>
              </w:rPr>
              <w:t>Life-threatening consequences (malignant hypertension, neurological deficit, or hypertensive crisis)</w:t>
            </w:r>
          </w:p>
          <w:p w14:paraId="2866DA97" w14:textId="77777777" w:rsidR="00AF016C" w:rsidRPr="00BE78D8" w:rsidRDefault="00AF016C" w:rsidP="00032264">
            <w:pPr>
              <w:pStyle w:val="TableText"/>
              <w:rPr>
                <w:lang w:val="en-US"/>
              </w:rPr>
            </w:pPr>
          </w:p>
        </w:tc>
        <w:tc>
          <w:tcPr>
            <w:tcW w:w="4621" w:type="dxa"/>
          </w:tcPr>
          <w:p w14:paraId="2866DA98" w14:textId="77777777" w:rsidR="00AF016C" w:rsidRDefault="00AF016C" w:rsidP="00032264">
            <w:pPr>
              <w:pStyle w:val="TableText"/>
              <w:rPr>
                <w:lang w:val="en-US"/>
              </w:rPr>
            </w:pPr>
          </w:p>
          <w:p w14:paraId="2866DA99" w14:textId="7B417A3E" w:rsidR="0064422E" w:rsidRDefault="00EE4CD6" w:rsidP="00032264">
            <w:pPr>
              <w:pStyle w:val="TableText"/>
              <w:rPr>
                <w:lang w:val="en-US"/>
              </w:rPr>
            </w:pPr>
            <w:r w:rsidRPr="00BE78D8">
              <w:rPr>
                <w:lang w:val="en-US"/>
              </w:rPr>
              <w:t xml:space="preserve">Urgent intervention </w:t>
            </w:r>
            <w:proofErr w:type="gramStart"/>
            <w:r w:rsidRPr="00BE78D8">
              <w:rPr>
                <w:lang w:val="en-US"/>
              </w:rPr>
              <w:t>is indicated</w:t>
            </w:r>
            <w:proofErr w:type="gramEnd"/>
            <w:r w:rsidRPr="00BE78D8">
              <w:rPr>
                <w:lang w:val="en-US"/>
              </w:rPr>
              <w:t xml:space="preserve">. Discontinue </w:t>
            </w:r>
            <w:r w:rsidR="00221DDE">
              <w:rPr>
                <w:lang w:val="en-US"/>
              </w:rPr>
              <w:t>LENVIMA</w:t>
            </w:r>
            <w:r w:rsidRPr="00BE78D8">
              <w:rPr>
                <w:lang w:val="en-US"/>
              </w:rPr>
              <w:t xml:space="preserve"> and institute appropriate medical management.</w:t>
            </w:r>
          </w:p>
          <w:p w14:paraId="2866DA9A" w14:textId="77777777" w:rsidR="00AF016C" w:rsidRPr="00BE78D8" w:rsidRDefault="00AF016C" w:rsidP="00032264">
            <w:pPr>
              <w:pStyle w:val="TableText"/>
              <w:rPr>
                <w:lang w:val="en-US"/>
              </w:rPr>
            </w:pPr>
          </w:p>
        </w:tc>
      </w:tr>
    </w:tbl>
    <w:p w14:paraId="2866DA9E" w14:textId="77777777" w:rsidR="00D712C4" w:rsidRPr="00032264" w:rsidRDefault="00D712C4" w:rsidP="00032264">
      <w:pPr>
        <w:pStyle w:val="Heading3"/>
      </w:pPr>
      <w:r w:rsidRPr="00032264">
        <w:t>Proteinuria</w:t>
      </w:r>
    </w:p>
    <w:p w14:paraId="2866DAA0" w14:textId="1305392D" w:rsidR="00D712C4" w:rsidRPr="00032264" w:rsidRDefault="00D712C4" w:rsidP="002C5F81">
      <w:pPr>
        <w:pStyle w:val="BodyText"/>
        <w:spacing w:before="120" w:after="60"/>
      </w:pPr>
      <w:r w:rsidRPr="00032264">
        <w:t xml:space="preserve">Proteinuria </w:t>
      </w:r>
      <w:proofErr w:type="gramStart"/>
      <w:r w:rsidRPr="00032264">
        <w:t>has been reported</w:t>
      </w:r>
      <w:proofErr w:type="gramEnd"/>
      <w:r w:rsidRPr="00032264">
        <w:t xml:space="preserve"> in patients treated with </w:t>
      </w:r>
      <w:r w:rsidR="00221DDE" w:rsidRPr="00032264">
        <w:t>LENVIMA</w:t>
      </w:r>
      <w:r w:rsidRPr="00032264">
        <w:t>,</w:t>
      </w:r>
      <w:r w:rsidR="006F62F3" w:rsidRPr="00032264">
        <w:t xml:space="preserve"> usually occurring early in the course of the treatment</w:t>
      </w:r>
      <w:r w:rsidRPr="00032264">
        <w:t xml:space="preserve"> </w:t>
      </w:r>
      <w:r w:rsidR="00240ADF" w:rsidRPr="00032264">
        <w:t>(</w:t>
      </w:r>
      <w:r w:rsidR="00505C3C" w:rsidRPr="002D1C89">
        <w:t xml:space="preserve">see </w:t>
      </w:r>
      <w:r w:rsidR="00505C3C">
        <w:t xml:space="preserve">Section </w:t>
      </w:r>
      <w:r w:rsidR="00505C3C">
        <w:fldChar w:fldCharType="begin"/>
      </w:r>
      <w:r w:rsidR="00505C3C">
        <w:instrText xml:space="preserve"> REF _Ref503187256 \r \h </w:instrText>
      </w:r>
      <w:r w:rsidR="00505C3C">
        <w:fldChar w:fldCharType="separate"/>
      </w:r>
      <w:r w:rsidR="0064223A">
        <w:t>4.8</w:t>
      </w:r>
      <w:r w:rsidR="00505C3C">
        <w:fldChar w:fldCharType="end"/>
      </w:r>
      <w:r w:rsidR="008B3996">
        <w:t xml:space="preserve"> Adverse effects</w:t>
      </w:r>
      <w:r w:rsidR="00AF016C" w:rsidRPr="00032264">
        <w:t>, Selected Adverse Reactions</w:t>
      </w:r>
      <w:r w:rsidRPr="00032264">
        <w:t xml:space="preserve">). Monitor urine protein regularly. If urine dipstick proteinuria </w:t>
      </w:r>
      <w:r w:rsidR="006540BC">
        <w:sym w:font="Symbol" w:char="F0B3"/>
      </w:r>
      <w:r w:rsidR="008D5B63" w:rsidRPr="00032264">
        <w:t xml:space="preserve"> </w:t>
      </w:r>
      <w:r w:rsidRPr="00032264">
        <w:t xml:space="preserve">2+ </w:t>
      </w:r>
      <w:proofErr w:type="gramStart"/>
      <w:r w:rsidRPr="00032264">
        <w:t>is detected</w:t>
      </w:r>
      <w:proofErr w:type="gramEnd"/>
      <w:r w:rsidRPr="00032264">
        <w:t>, dose interruptions, adjustments, or discontinuation may be necessary (</w:t>
      </w:r>
      <w:r w:rsidR="007B4197" w:rsidRPr="00A21782">
        <w:t xml:space="preserve">see </w:t>
      </w:r>
      <w:r w:rsidR="007B4197">
        <w:t xml:space="preserve">Section </w:t>
      </w:r>
      <w:r w:rsidR="007B4197">
        <w:fldChar w:fldCharType="begin"/>
      </w:r>
      <w:r w:rsidR="007B4197">
        <w:instrText xml:space="preserve"> REF _Ref503529038 \r \h </w:instrText>
      </w:r>
      <w:r w:rsidR="007B4197">
        <w:fldChar w:fldCharType="separate"/>
      </w:r>
      <w:r w:rsidR="0064223A">
        <w:t>4.2</w:t>
      </w:r>
      <w:r w:rsidR="007B4197">
        <w:fldChar w:fldCharType="end"/>
      </w:r>
      <w:r w:rsidR="00B662F4">
        <w:t xml:space="preserve"> Dose and method of administration</w:t>
      </w:r>
      <w:r w:rsidRPr="00032264">
        <w:t>).</w:t>
      </w:r>
      <w:r w:rsidR="006F62F3" w:rsidRPr="00032264">
        <w:t xml:space="preserve"> L</w:t>
      </w:r>
      <w:r w:rsidR="00221DDE" w:rsidRPr="00032264">
        <w:t>ENVIMA</w:t>
      </w:r>
      <w:r w:rsidR="006F62F3" w:rsidRPr="00032264">
        <w:t xml:space="preserve"> </w:t>
      </w:r>
      <w:proofErr w:type="gramStart"/>
      <w:r w:rsidR="006F62F3" w:rsidRPr="00032264">
        <w:t>should be discontinued</w:t>
      </w:r>
      <w:proofErr w:type="gramEnd"/>
      <w:r w:rsidR="006F62F3" w:rsidRPr="00032264">
        <w:t xml:space="preserve"> in the event of </w:t>
      </w:r>
      <w:r w:rsidR="009F4525" w:rsidRPr="00032264">
        <w:t xml:space="preserve">nephrotic </w:t>
      </w:r>
      <w:r w:rsidR="006F62F3" w:rsidRPr="00032264">
        <w:t>syndrome.</w:t>
      </w:r>
    </w:p>
    <w:p w14:paraId="2866DAA8" w14:textId="02D51250" w:rsidR="00D712C4" w:rsidRPr="00032264" w:rsidRDefault="00D712C4" w:rsidP="00032264">
      <w:pPr>
        <w:pStyle w:val="Heading3"/>
      </w:pPr>
      <w:r w:rsidRPr="00032264">
        <w:t xml:space="preserve">Cardiac </w:t>
      </w:r>
      <w:r w:rsidR="00AF016C" w:rsidRPr="00032264">
        <w:t>dysfunction</w:t>
      </w:r>
    </w:p>
    <w:p w14:paraId="2866DAAA" w14:textId="48722936" w:rsidR="00D712C4" w:rsidRPr="00032264" w:rsidRDefault="00D712C4" w:rsidP="002C5F81">
      <w:pPr>
        <w:pStyle w:val="BodyText"/>
        <w:spacing w:before="120" w:after="60"/>
      </w:pPr>
      <w:r w:rsidRPr="00BE78D8">
        <w:rPr>
          <w:szCs w:val="24"/>
          <w:lang w:val="en-US"/>
        </w:rPr>
        <w:t xml:space="preserve">Cardiac failure and decreased left ventricular ejection fraction </w:t>
      </w:r>
      <w:proofErr w:type="gramStart"/>
      <w:r w:rsidRPr="00BE78D8">
        <w:rPr>
          <w:szCs w:val="24"/>
          <w:lang w:val="en-US"/>
        </w:rPr>
        <w:t>have been reported</w:t>
      </w:r>
      <w:proofErr w:type="gramEnd"/>
      <w:r w:rsidRPr="00BE78D8">
        <w:rPr>
          <w:szCs w:val="24"/>
          <w:lang w:val="en-US"/>
        </w:rPr>
        <w:t xml:space="preserve"> in patients </w:t>
      </w:r>
      <w:r w:rsidRPr="00032264">
        <w:t>treated</w:t>
      </w:r>
      <w:r w:rsidR="00366E64" w:rsidRPr="00032264">
        <w:t xml:space="preserve"> </w:t>
      </w:r>
      <w:r w:rsidRPr="00032264">
        <w:t xml:space="preserve">with </w:t>
      </w:r>
      <w:r w:rsidR="00221DDE" w:rsidRPr="00032264">
        <w:t>LENVIMA</w:t>
      </w:r>
      <w:r w:rsidRPr="00032264">
        <w:t xml:space="preserve"> (</w:t>
      </w:r>
      <w:r w:rsidR="00505C3C" w:rsidRPr="002D1C89">
        <w:t xml:space="preserve">see </w:t>
      </w:r>
      <w:r w:rsidR="00505C3C">
        <w:t xml:space="preserve">Section </w:t>
      </w:r>
      <w:r w:rsidR="00505C3C">
        <w:fldChar w:fldCharType="begin"/>
      </w:r>
      <w:r w:rsidR="00505C3C">
        <w:instrText xml:space="preserve"> REF _Ref503187256 \r \h </w:instrText>
      </w:r>
      <w:r w:rsidR="00505C3C">
        <w:fldChar w:fldCharType="separate"/>
      </w:r>
      <w:r w:rsidR="0064223A">
        <w:t>4.8</w:t>
      </w:r>
      <w:r w:rsidR="00505C3C">
        <w:fldChar w:fldCharType="end"/>
      </w:r>
      <w:r w:rsidR="008B3996">
        <w:t xml:space="preserve"> Adverse effects</w:t>
      </w:r>
      <w:r w:rsidR="00AF016C" w:rsidRPr="00032264">
        <w:t>, Selected Adverse Reactions</w:t>
      </w:r>
      <w:r w:rsidR="00240ADF" w:rsidRPr="00032264">
        <w:t>)</w:t>
      </w:r>
      <w:r w:rsidR="00BF7107" w:rsidRPr="00032264">
        <w:t xml:space="preserve">. </w:t>
      </w:r>
      <w:r w:rsidRPr="00032264">
        <w:t xml:space="preserve"> Patients </w:t>
      </w:r>
      <w:proofErr w:type="gramStart"/>
      <w:r w:rsidRPr="00032264">
        <w:t>should be monitored</w:t>
      </w:r>
      <w:proofErr w:type="gramEnd"/>
      <w:r w:rsidRPr="00032264">
        <w:t xml:space="preserve"> for clinical symptoms or signs of cardiac decompensation, as dose interruptions, adjustments, or discontinuation may be necessary (</w:t>
      </w:r>
      <w:r w:rsidR="007B4197" w:rsidRPr="00A21782">
        <w:t xml:space="preserve">see </w:t>
      </w:r>
      <w:r w:rsidR="007B4197">
        <w:t xml:space="preserve">Section </w:t>
      </w:r>
      <w:r w:rsidR="007B4197">
        <w:fldChar w:fldCharType="begin"/>
      </w:r>
      <w:r w:rsidR="007B4197">
        <w:instrText xml:space="preserve"> REF _Ref503529038 \r \h </w:instrText>
      </w:r>
      <w:r w:rsidR="007B4197">
        <w:fldChar w:fldCharType="separate"/>
      </w:r>
      <w:r w:rsidR="0064223A">
        <w:t>4.2</w:t>
      </w:r>
      <w:r w:rsidR="007B4197">
        <w:fldChar w:fldCharType="end"/>
      </w:r>
      <w:r w:rsidR="00B662F4">
        <w:t xml:space="preserve"> Dose and method of administration</w:t>
      </w:r>
      <w:r w:rsidRPr="00032264">
        <w:t>).</w:t>
      </w:r>
    </w:p>
    <w:p w14:paraId="2866DAAC" w14:textId="77777777" w:rsidR="005E6937" w:rsidRPr="00032264" w:rsidRDefault="005E6937" w:rsidP="002C5F81">
      <w:pPr>
        <w:pStyle w:val="BodyText"/>
        <w:spacing w:before="120" w:after="60"/>
      </w:pPr>
      <w:r w:rsidRPr="00032264">
        <w:t xml:space="preserve">LENVIMA </w:t>
      </w:r>
      <w:proofErr w:type="gramStart"/>
      <w:r w:rsidRPr="00032264">
        <w:t>has not been studied</w:t>
      </w:r>
      <w:proofErr w:type="gramEnd"/>
      <w:r w:rsidRPr="00032264">
        <w:t xml:space="preserve"> in patients who have had cardiac failure within the previous 6 months and therefore should be used with caution in such patients.</w:t>
      </w:r>
    </w:p>
    <w:p w14:paraId="2866DAAE" w14:textId="77777777" w:rsidR="00D712C4" w:rsidRPr="00032264" w:rsidRDefault="00D712C4" w:rsidP="00032264">
      <w:pPr>
        <w:pStyle w:val="Heading3"/>
      </w:pPr>
      <w:r w:rsidRPr="00032264">
        <w:t xml:space="preserve">Posterior reversible encephalopathy syndrome (PRES) / Reversible Posterior </w:t>
      </w:r>
      <w:proofErr w:type="spellStart"/>
      <w:r w:rsidRPr="00032264">
        <w:t>Leucoencephalopathy</w:t>
      </w:r>
      <w:proofErr w:type="spellEnd"/>
      <w:r w:rsidRPr="00032264">
        <w:t xml:space="preserve"> Syndrome (RPLS)</w:t>
      </w:r>
    </w:p>
    <w:p w14:paraId="2866DAB0" w14:textId="2FF14FDA" w:rsidR="00D712C4" w:rsidRPr="00032264" w:rsidRDefault="001D6874" w:rsidP="002C5F81">
      <w:pPr>
        <w:pStyle w:val="BodyText"/>
        <w:spacing w:before="120" w:after="60"/>
      </w:pPr>
      <w:r w:rsidRPr="00032264">
        <w:t>P</w:t>
      </w:r>
      <w:r w:rsidR="00D712C4" w:rsidRPr="00032264">
        <w:t>osterior reversible encephalopathy syndrome (PRES</w:t>
      </w:r>
      <w:r w:rsidR="00342C7D" w:rsidRPr="00032264">
        <w:t>, also known as RPLS</w:t>
      </w:r>
      <w:r w:rsidR="00D712C4" w:rsidRPr="00032264">
        <w:t xml:space="preserve">) </w:t>
      </w:r>
      <w:r w:rsidR="00AD5C0D" w:rsidRPr="00032264">
        <w:t>has</w:t>
      </w:r>
      <w:r w:rsidR="00D712C4" w:rsidRPr="00032264">
        <w:t xml:space="preserve"> been reported in patients treated with </w:t>
      </w:r>
      <w:r w:rsidR="00221DDE" w:rsidRPr="00032264">
        <w:t>LENVIMA</w:t>
      </w:r>
      <w:r w:rsidR="00D712C4" w:rsidRPr="00032264">
        <w:t xml:space="preserve"> (</w:t>
      </w:r>
      <w:r w:rsidR="009F4525" w:rsidRPr="00032264">
        <w:t xml:space="preserve">observed in </w:t>
      </w:r>
      <w:r w:rsidR="00D712C4" w:rsidRPr="00032264">
        <w:t>&lt;</w:t>
      </w:r>
      <w:r w:rsidR="008D5B63" w:rsidRPr="00032264">
        <w:t xml:space="preserve"> </w:t>
      </w:r>
      <w:proofErr w:type="gramStart"/>
      <w:r w:rsidR="00D712C4" w:rsidRPr="00032264">
        <w:t>1%</w:t>
      </w:r>
      <w:proofErr w:type="gramEnd"/>
      <w:r w:rsidR="009F4525" w:rsidRPr="00032264">
        <w:t xml:space="preserve"> or patients</w:t>
      </w:r>
      <w:r w:rsidR="00D712C4" w:rsidRPr="00032264">
        <w:t xml:space="preserve">; </w:t>
      </w:r>
      <w:r w:rsidR="00240ADF" w:rsidRPr="00032264">
        <w:t>ADVERSE EFFECTS</w:t>
      </w:r>
      <w:r w:rsidRPr="00032264">
        <w:t>, Selected Adverse Reactions</w:t>
      </w:r>
      <w:r w:rsidR="00D712C4" w:rsidRPr="00032264">
        <w:t xml:space="preserve">). PRES is a neurological </w:t>
      </w:r>
      <w:proofErr w:type="gramStart"/>
      <w:r w:rsidR="00D712C4" w:rsidRPr="00032264">
        <w:t>disorder which</w:t>
      </w:r>
      <w:proofErr w:type="gramEnd"/>
      <w:r w:rsidR="00D712C4" w:rsidRPr="00032264">
        <w:t xml:space="preserve"> can present with headache, seizure, lethargy, confusion, altered mental function, blindness, and other visual or neurological disturbances. Mild to severe hypertension may be present. Magnetic </w:t>
      </w:r>
      <w:r w:rsidR="00D712C4" w:rsidRPr="00032264">
        <w:lastRenderedPageBreak/>
        <w:t xml:space="preserve">resonance imaging is necessary to confirm the diagnosis of PRES. Appropriate measures </w:t>
      </w:r>
      <w:proofErr w:type="gramStart"/>
      <w:r w:rsidR="00D712C4" w:rsidRPr="00032264">
        <w:t>should be taken</w:t>
      </w:r>
      <w:proofErr w:type="gramEnd"/>
      <w:r w:rsidR="00D712C4" w:rsidRPr="00032264">
        <w:t xml:space="preserve"> to control blood pressure (</w:t>
      </w:r>
      <w:r w:rsidR="00505C3C" w:rsidRPr="009D7EAE">
        <w:t xml:space="preserve">See </w:t>
      </w:r>
      <w:r w:rsidR="00505C3C">
        <w:t xml:space="preserve">Section </w:t>
      </w:r>
      <w:r w:rsidR="00505C3C">
        <w:fldChar w:fldCharType="begin"/>
      </w:r>
      <w:r w:rsidR="00505C3C">
        <w:instrText xml:space="preserve"> REF _Ref503187146 \r \h </w:instrText>
      </w:r>
      <w:r w:rsidR="00505C3C">
        <w:fldChar w:fldCharType="separate"/>
      </w:r>
      <w:r w:rsidR="0064223A">
        <w:t>4.4</w:t>
      </w:r>
      <w:r w:rsidR="00505C3C">
        <w:fldChar w:fldCharType="end"/>
      </w:r>
      <w:r w:rsidR="008B3996">
        <w:t xml:space="preserve"> Special warnings and precautions for use</w:t>
      </w:r>
      <w:r w:rsidRPr="00032264">
        <w:t>, Hypertension</w:t>
      </w:r>
      <w:r w:rsidR="00D712C4" w:rsidRPr="00032264">
        <w:t>). In patients with signs or symptoms of PRES, dose interruptions, adjustments, or discontinuation may be</w:t>
      </w:r>
      <w:r w:rsidR="00366E64" w:rsidRPr="00032264">
        <w:t xml:space="preserve"> </w:t>
      </w:r>
      <w:r w:rsidR="00D712C4" w:rsidRPr="00032264">
        <w:t>necessary (</w:t>
      </w:r>
      <w:r w:rsidR="007B4197" w:rsidRPr="00A21782">
        <w:t xml:space="preserve">see </w:t>
      </w:r>
      <w:r w:rsidR="007B4197">
        <w:t xml:space="preserve">Section </w:t>
      </w:r>
      <w:r w:rsidR="007B4197">
        <w:fldChar w:fldCharType="begin"/>
      </w:r>
      <w:r w:rsidR="007B4197">
        <w:instrText xml:space="preserve"> REF _Ref503529038 \r \h </w:instrText>
      </w:r>
      <w:r w:rsidR="007B4197">
        <w:fldChar w:fldCharType="separate"/>
      </w:r>
      <w:r w:rsidR="0064223A">
        <w:t>4.2</w:t>
      </w:r>
      <w:r w:rsidR="007B4197">
        <w:fldChar w:fldCharType="end"/>
      </w:r>
      <w:r w:rsidR="00B662F4">
        <w:t xml:space="preserve"> Dose and method of administration</w:t>
      </w:r>
      <w:r w:rsidR="00D712C4" w:rsidRPr="00032264">
        <w:t>).</w:t>
      </w:r>
    </w:p>
    <w:p w14:paraId="2866DAB2" w14:textId="77777777" w:rsidR="00D712C4" w:rsidRPr="00032264" w:rsidRDefault="00D712C4" w:rsidP="00032264">
      <w:pPr>
        <w:pStyle w:val="Heading3"/>
      </w:pPr>
      <w:r w:rsidRPr="00032264">
        <w:t>Hepatotoxicity</w:t>
      </w:r>
    </w:p>
    <w:p w14:paraId="23DCC010" w14:textId="749ED6CC" w:rsidR="007260F2" w:rsidRDefault="007260F2" w:rsidP="002C5F81">
      <w:pPr>
        <w:pStyle w:val="BodyText"/>
        <w:spacing w:before="120" w:after="60"/>
      </w:pPr>
      <w:r>
        <w:t>In DTC and RCC, l</w:t>
      </w:r>
      <w:r w:rsidR="00D712C4" w:rsidRPr="00032264">
        <w:t xml:space="preserve">iver-related adverse reactions most commonly reported in patients treated with </w:t>
      </w:r>
      <w:r w:rsidR="00221DDE" w:rsidRPr="00032264">
        <w:t>LENVIMA</w:t>
      </w:r>
      <w:r w:rsidR="00D712C4" w:rsidRPr="00032264">
        <w:t xml:space="preserve"> included increases in alanine aminotransferase</w:t>
      </w:r>
      <w:r>
        <w:t xml:space="preserve"> (ALT)</w:t>
      </w:r>
      <w:r w:rsidR="00D712C4" w:rsidRPr="00032264">
        <w:t>, increases in aspartate aminotransferase</w:t>
      </w:r>
      <w:r>
        <w:t xml:space="preserve"> (AST)</w:t>
      </w:r>
      <w:r w:rsidR="00D712C4" w:rsidRPr="00032264">
        <w:t>, and increases in blood bilirubin</w:t>
      </w:r>
      <w:r w:rsidR="006123C4" w:rsidRPr="00032264">
        <w:t xml:space="preserve"> (</w:t>
      </w:r>
      <w:r w:rsidR="00505C3C" w:rsidRPr="002D1C89">
        <w:t xml:space="preserve">see </w:t>
      </w:r>
      <w:r w:rsidR="00505C3C">
        <w:t xml:space="preserve">Section </w:t>
      </w:r>
      <w:r w:rsidR="00505C3C">
        <w:fldChar w:fldCharType="begin"/>
      </w:r>
      <w:r w:rsidR="00505C3C">
        <w:instrText xml:space="preserve"> REF _Ref503187256 \r \h </w:instrText>
      </w:r>
      <w:r w:rsidR="00505C3C">
        <w:fldChar w:fldCharType="separate"/>
      </w:r>
      <w:r w:rsidR="0064223A">
        <w:t>4.8</w:t>
      </w:r>
      <w:r w:rsidR="00505C3C">
        <w:fldChar w:fldCharType="end"/>
      </w:r>
      <w:r w:rsidR="008B3996">
        <w:t xml:space="preserve"> Adverse effects</w:t>
      </w:r>
      <w:r w:rsidR="005E6937" w:rsidRPr="00032264">
        <w:t>, Selected Adverse Reactions</w:t>
      </w:r>
      <w:r w:rsidR="006123C4" w:rsidRPr="00032264">
        <w:t>)</w:t>
      </w:r>
      <w:r w:rsidR="00D712C4" w:rsidRPr="00032264">
        <w:t>. Hepatic failure and acute hepatitis (</w:t>
      </w:r>
      <w:r w:rsidR="00386878" w:rsidRPr="00032264">
        <w:t xml:space="preserve">observed in </w:t>
      </w:r>
      <w:r w:rsidR="00D712C4" w:rsidRPr="00032264">
        <w:t>&lt;</w:t>
      </w:r>
      <w:r w:rsidR="001D6874" w:rsidRPr="00032264">
        <w:t> </w:t>
      </w:r>
      <w:proofErr w:type="gramStart"/>
      <w:r w:rsidR="00D712C4" w:rsidRPr="00032264">
        <w:t>1%</w:t>
      </w:r>
      <w:proofErr w:type="gramEnd"/>
      <w:r w:rsidR="00386878" w:rsidRPr="00032264">
        <w:t xml:space="preserve"> of patients</w:t>
      </w:r>
      <w:r w:rsidR="006123C4" w:rsidRPr="00032264">
        <w:t>)</w:t>
      </w:r>
      <w:r w:rsidR="00D712C4" w:rsidRPr="00032264">
        <w:t xml:space="preserve"> have been reported in patients </w:t>
      </w:r>
      <w:r>
        <w:t xml:space="preserve">with DTC and RCC </w:t>
      </w:r>
      <w:r w:rsidR="00D712C4" w:rsidRPr="00032264">
        <w:t>treated</w:t>
      </w:r>
      <w:r w:rsidR="00240ADF" w:rsidRPr="00032264">
        <w:t xml:space="preserve"> </w:t>
      </w:r>
      <w:r w:rsidR="00D712C4" w:rsidRPr="00032264">
        <w:t xml:space="preserve">with </w:t>
      </w:r>
      <w:r w:rsidR="00221DDE" w:rsidRPr="00032264">
        <w:t>LENVIMA</w:t>
      </w:r>
      <w:r w:rsidR="00D712C4" w:rsidRPr="00032264">
        <w:t xml:space="preserve">. The hepatic failure events </w:t>
      </w:r>
      <w:proofErr w:type="gramStart"/>
      <w:r w:rsidR="00D712C4" w:rsidRPr="00032264">
        <w:t>were generally reported</w:t>
      </w:r>
      <w:proofErr w:type="gramEnd"/>
      <w:r w:rsidR="00D712C4" w:rsidRPr="00032264">
        <w:t xml:space="preserve"> in patients with progressive</w:t>
      </w:r>
      <w:r>
        <w:t xml:space="preserve"> metastatic</w:t>
      </w:r>
      <w:r w:rsidR="00D712C4" w:rsidRPr="00032264">
        <w:t xml:space="preserve"> liver </w:t>
      </w:r>
      <w:r>
        <w:t>disease</w:t>
      </w:r>
      <w:r w:rsidR="00D712C4" w:rsidRPr="00032264">
        <w:t>.</w:t>
      </w:r>
    </w:p>
    <w:p w14:paraId="5F85A129" w14:textId="3241ECA0" w:rsidR="007260F2" w:rsidRDefault="007260F2" w:rsidP="002C5F81">
      <w:pPr>
        <w:pStyle w:val="BodyText"/>
        <w:spacing w:before="120" w:after="60"/>
      </w:pPr>
      <w:r w:rsidRPr="007260F2">
        <w:t xml:space="preserve">Liver-related adverse reactions including hepatic encephalopathy and hepatic failure (including fatal reactions) </w:t>
      </w:r>
      <w:proofErr w:type="gramStart"/>
      <w:r w:rsidRPr="007260F2">
        <w:t>were reported</w:t>
      </w:r>
      <w:proofErr w:type="gramEnd"/>
      <w:r w:rsidRPr="007260F2">
        <w:t xml:space="preserve"> at a higher frequency in LENVIMA treated HCC patients (see </w:t>
      </w:r>
      <w:r>
        <w:t xml:space="preserve">Section </w:t>
      </w:r>
      <w:r>
        <w:fldChar w:fldCharType="begin"/>
      </w:r>
      <w:r>
        <w:instrText xml:space="preserve"> REF _Ref503187256 \r \h </w:instrText>
      </w:r>
      <w:r w:rsidR="002C5F81">
        <w:instrText xml:space="preserve"> \* MERGEFORMAT </w:instrText>
      </w:r>
      <w:r>
        <w:fldChar w:fldCharType="separate"/>
      </w:r>
      <w:r w:rsidR="0064223A">
        <w:t>4.8</w:t>
      </w:r>
      <w:r>
        <w:fldChar w:fldCharType="end"/>
      </w:r>
      <w:r w:rsidR="008B3996">
        <w:t xml:space="preserve"> Adverse effects</w:t>
      </w:r>
      <w:r w:rsidRPr="007260F2">
        <w:t xml:space="preserve">) compared to DTC and RCC patients. Patients with worse hepatic impairment and/or greater liver tumour burden at baseline had a higher risk of developing hepatic encephalopathy and hepatic failure. Hepatic encephalopathy also occurred more frequently in patients aged 75 years and older. Approximately half of the events of hepatic failure </w:t>
      </w:r>
      <w:proofErr w:type="gramStart"/>
      <w:r w:rsidRPr="007260F2">
        <w:t>were reported</w:t>
      </w:r>
      <w:proofErr w:type="gramEnd"/>
      <w:r w:rsidRPr="007260F2">
        <w:t xml:space="preserve"> in patients with disease progression.</w:t>
      </w:r>
    </w:p>
    <w:p w14:paraId="2866DAB4" w14:textId="261F7B5C" w:rsidR="00D712C4" w:rsidRPr="00032264" w:rsidRDefault="00D712C4" w:rsidP="002C5F81">
      <w:pPr>
        <w:pStyle w:val="BodyText"/>
        <w:spacing w:before="120" w:after="60"/>
      </w:pPr>
      <w:r w:rsidRPr="00032264">
        <w:t xml:space="preserve">Liver function tests </w:t>
      </w:r>
      <w:proofErr w:type="gramStart"/>
      <w:r w:rsidRPr="00032264">
        <w:t>should be monitored</w:t>
      </w:r>
      <w:proofErr w:type="gramEnd"/>
      <w:r w:rsidRPr="00032264">
        <w:t xml:space="preserve"> before initiation of treatment, then every 2 weeks for the first 2 months and monthly thereafter during treatment. </w:t>
      </w:r>
      <w:r w:rsidR="007260F2" w:rsidRPr="00C02FAF">
        <w:rPr>
          <w:szCs w:val="24"/>
          <w:lang w:val="en-US"/>
        </w:rPr>
        <w:t xml:space="preserve">Patients with HCC </w:t>
      </w:r>
      <w:proofErr w:type="gramStart"/>
      <w:r w:rsidR="007260F2" w:rsidRPr="00C02FAF">
        <w:rPr>
          <w:szCs w:val="24"/>
          <w:lang w:val="en-US"/>
        </w:rPr>
        <w:t>should be monitored</w:t>
      </w:r>
      <w:proofErr w:type="gramEnd"/>
      <w:r w:rsidR="007260F2" w:rsidRPr="00C02FAF">
        <w:rPr>
          <w:szCs w:val="24"/>
          <w:lang w:val="en-US"/>
        </w:rPr>
        <w:t xml:space="preserve"> for worsening liver function including hepatic encephalopathy.</w:t>
      </w:r>
      <w:r w:rsidR="007260F2">
        <w:rPr>
          <w:szCs w:val="24"/>
          <w:lang w:val="en-US"/>
        </w:rPr>
        <w:t xml:space="preserve"> </w:t>
      </w:r>
      <w:r w:rsidRPr="00032264">
        <w:t xml:space="preserve">In the case of hepatotoxicity, dose interruptions, adjustments, or discontinuation may be necessary </w:t>
      </w:r>
      <w:r w:rsidR="00240ADF" w:rsidRPr="00032264">
        <w:t>(</w:t>
      </w:r>
      <w:r w:rsidR="007B4197" w:rsidRPr="00A21782">
        <w:t xml:space="preserve">see </w:t>
      </w:r>
      <w:r w:rsidR="007B4197">
        <w:t xml:space="preserve">Section </w:t>
      </w:r>
      <w:r w:rsidR="007B4197">
        <w:fldChar w:fldCharType="begin"/>
      </w:r>
      <w:r w:rsidR="007B4197">
        <w:instrText xml:space="preserve"> REF _Ref503529038 \r \h </w:instrText>
      </w:r>
      <w:r w:rsidR="002C5F81">
        <w:instrText xml:space="preserve"> \* MERGEFORMAT </w:instrText>
      </w:r>
      <w:r w:rsidR="007B4197">
        <w:fldChar w:fldCharType="separate"/>
      </w:r>
      <w:r w:rsidR="0064223A">
        <w:t>4.2</w:t>
      </w:r>
      <w:r w:rsidR="007B4197">
        <w:fldChar w:fldCharType="end"/>
      </w:r>
      <w:r w:rsidR="00B662F4">
        <w:t xml:space="preserve"> Dose and method of administration</w:t>
      </w:r>
      <w:r w:rsidRPr="00032264">
        <w:t>).</w:t>
      </w:r>
    </w:p>
    <w:p w14:paraId="2866DAB6" w14:textId="0F37C9EA" w:rsidR="00342C7D" w:rsidRPr="00032264" w:rsidRDefault="008F7854" w:rsidP="002C5F81">
      <w:pPr>
        <w:pStyle w:val="BodyText"/>
        <w:spacing w:before="120" w:after="60"/>
      </w:pPr>
      <w:r w:rsidRPr="00032264">
        <w:t xml:space="preserve">If patients have any degree of </w:t>
      </w:r>
      <w:proofErr w:type="gramStart"/>
      <w:r w:rsidRPr="00032264">
        <w:t>liver</w:t>
      </w:r>
      <w:proofErr w:type="gramEnd"/>
      <w:r w:rsidRPr="00032264">
        <w:t xml:space="preserve"> impairment they need to be monitored closely for liver related adverse reactions. </w:t>
      </w:r>
      <w:r w:rsidR="007260F2">
        <w:rPr>
          <w:szCs w:val="24"/>
          <w:lang w:val="en-US"/>
        </w:rPr>
        <w:t>For DTC and RCC</w:t>
      </w:r>
      <w:r w:rsidR="00B0520F">
        <w:rPr>
          <w:szCs w:val="24"/>
          <w:lang w:val="en-US"/>
        </w:rPr>
        <w:t xml:space="preserve"> </w:t>
      </w:r>
      <w:r w:rsidR="00342C7D" w:rsidRPr="00032264">
        <w:t xml:space="preserve">patients </w:t>
      </w:r>
      <w:r w:rsidR="00B0520F">
        <w:t>with</w:t>
      </w:r>
      <w:r w:rsidR="00342C7D" w:rsidRPr="00032264">
        <w:t xml:space="preserve"> severe hepatic impairment, the initial dose of </w:t>
      </w:r>
      <w:r w:rsidR="00221DDE" w:rsidRPr="00032264">
        <w:t>LENVIMA</w:t>
      </w:r>
      <w:r w:rsidR="00342C7D" w:rsidRPr="00032264">
        <w:t xml:space="preserve"> </w:t>
      </w:r>
      <w:proofErr w:type="gramStart"/>
      <w:r w:rsidR="00342C7D" w:rsidRPr="00032264">
        <w:t>should be adjusted</w:t>
      </w:r>
      <w:proofErr w:type="gramEnd"/>
      <w:r w:rsidR="00B0520F">
        <w:rPr>
          <w:szCs w:val="24"/>
          <w:lang w:val="en-US"/>
        </w:rPr>
        <w:t xml:space="preserve">. </w:t>
      </w:r>
      <w:r w:rsidR="00B662F4" w:rsidRPr="006F68D6">
        <w:rPr>
          <w:lang w:val="en-US"/>
        </w:rPr>
        <w:t>The available data do not allow for a dosing recommendation for patients with HCC and moderate hepatic impairment (Child-Pugh B).</w:t>
      </w:r>
      <w:r w:rsidR="00D418E6">
        <w:t xml:space="preserve"> LENVIMA </w:t>
      </w:r>
      <w:proofErr w:type="gramStart"/>
      <w:r w:rsidR="00D418E6">
        <w:t>has not been studied</w:t>
      </w:r>
      <w:proofErr w:type="gramEnd"/>
      <w:r w:rsidR="00D418E6">
        <w:t xml:space="preserve"> in patients with HCC and sever</w:t>
      </w:r>
      <w:r w:rsidR="0001136A">
        <w:t>e</w:t>
      </w:r>
      <w:r w:rsidR="00514EB8">
        <w:t xml:space="preserve"> hepatic impairment (</w:t>
      </w:r>
      <w:r w:rsidR="00D418E6">
        <w:t>Child</w:t>
      </w:r>
      <w:r w:rsidR="008835EA">
        <w:noBreakHyphen/>
      </w:r>
      <w:r w:rsidR="00D418E6">
        <w:t xml:space="preserve">Pugh C) </w:t>
      </w:r>
      <w:r w:rsidR="00DF4E01">
        <w:t xml:space="preserve">and </w:t>
      </w:r>
      <w:r w:rsidR="00641FC2">
        <w:t xml:space="preserve">therefore </w:t>
      </w:r>
      <w:r w:rsidR="00DF4E01">
        <w:t xml:space="preserve">the use of </w:t>
      </w:r>
      <w:r w:rsidR="00B871A6">
        <w:t xml:space="preserve">LENVIMA </w:t>
      </w:r>
      <w:r w:rsidR="00DF4E01">
        <w:t>in these patients is not recommended.</w:t>
      </w:r>
    </w:p>
    <w:p w14:paraId="2866DABC" w14:textId="77777777" w:rsidR="00D712C4" w:rsidRPr="00032264" w:rsidRDefault="00D712C4" w:rsidP="00032264">
      <w:pPr>
        <w:pStyle w:val="Heading3"/>
      </w:pPr>
      <w:r w:rsidRPr="00032264">
        <w:t>Arterial thromboembolic events</w:t>
      </w:r>
    </w:p>
    <w:p w14:paraId="2866DABE" w14:textId="7B656D2A" w:rsidR="00D712C4" w:rsidRPr="00032264" w:rsidRDefault="00D712C4" w:rsidP="002C5F81">
      <w:pPr>
        <w:pStyle w:val="BodyText"/>
        <w:spacing w:before="120" w:after="60"/>
      </w:pPr>
      <w:r w:rsidRPr="00032264">
        <w:t>Arterial thromboembolic events (cerebrovascular accident, transient ischaemic attack, and myocardial</w:t>
      </w:r>
      <w:r w:rsidR="00F631CA" w:rsidRPr="00032264">
        <w:t xml:space="preserve"> </w:t>
      </w:r>
      <w:r w:rsidRPr="00032264">
        <w:t xml:space="preserve">infarction) have been reported in patients treated with </w:t>
      </w:r>
      <w:r w:rsidR="00221DDE" w:rsidRPr="00032264">
        <w:t>LENVIMA</w:t>
      </w:r>
      <w:r w:rsidRPr="00032264">
        <w:t xml:space="preserve"> (</w:t>
      </w:r>
      <w:r w:rsidR="00505C3C" w:rsidRPr="002D1C89">
        <w:t xml:space="preserve">see </w:t>
      </w:r>
      <w:r w:rsidR="00505C3C">
        <w:t xml:space="preserve">Section </w:t>
      </w:r>
      <w:r w:rsidR="00505C3C">
        <w:fldChar w:fldCharType="begin"/>
      </w:r>
      <w:r w:rsidR="00505C3C">
        <w:instrText xml:space="preserve"> REF _Ref503187256 \r \h </w:instrText>
      </w:r>
      <w:r w:rsidR="00505C3C">
        <w:fldChar w:fldCharType="separate"/>
      </w:r>
      <w:r w:rsidR="0064223A">
        <w:t>4.8</w:t>
      </w:r>
      <w:r w:rsidR="00505C3C">
        <w:fldChar w:fldCharType="end"/>
      </w:r>
      <w:r w:rsidR="008B3996">
        <w:t xml:space="preserve"> Adverse effects</w:t>
      </w:r>
      <w:r w:rsidR="001D6874" w:rsidRPr="00032264">
        <w:t>, Selected Adverse Reactions</w:t>
      </w:r>
      <w:r w:rsidRPr="00032264">
        <w:t xml:space="preserve">). </w:t>
      </w:r>
      <w:r w:rsidR="00221DDE" w:rsidRPr="00032264">
        <w:t>LENVIMA</w:t>
      </w:r>
      <w:r w:rsidRPr="00032264">
        <w:t xml:space="preserve"> </w:t>
      </w:r>
      <w:proofErr w:type="gramStart"/>
      <w:r w:rsidRPr="00032264">
        <w:t>has not been studied</w:t>
      </w:r>
      <w:proofErr w:type="gramEnd"/>
      <w:r w:rsidRPr="00032264">
        <w:t xml:space="preserve"> in patients who have had an arterial thromboembolic event within the previous 6 months</w:t>
      </w:r>
      <w:r w:rsidR="00342C7D" w:rsidRPr="00032264">
        <w:t xml:space="preserve"> and therefore should be used with caution in such patients</w:t>
      </w:r>
      <w:r w:rsidR="00F505C8" w:rsidRPr="00032264">
        <w:t xml:space="preserve">. A treatment decision </w:t>
      </w:r>
      <w:proofErr w:type="gramStart"/>
      <w:r w:rsidR="00F505C8" w:rsidRPr="00032264">
        <w:t>should be made</w:t>
      </w:r>
      <w:proofErr w:type="gramEnd"/>
      <w:r w:rsidR="00F505C8" w:rsidRPr="00032264">
        <w:t xml:space="preserve"> based upon an assessment of the individual patient</w:t>
      </w:r>
      <w:r w:rsidR="008B1A90" w:rsidRPr="00032264">
        <w:t>’</w:t>
      </w:r>
      <w:r w:rsidR="00F505C8" w:rsidRPr="00032264">
        <w:t xml:space="preserve">s benefit/risk </w:t>
      </w:r>
      <w:r w:rsidR="001D6874" w:rsidRPr="00032264">
        <w:t>LENVIMA</w:t>
      </w:r>
      <w:r w:rsidR="00F505C8" w:rsidRPr="00032264">
        <w:t xml:space="preserve"> should be </w:t>
      </w:r>
      <w:r w:rsidR="00F505C8" w:rsidRPr="00032264">
        <w:lastRenderedPageBreak/>
        <w:t xml:space="preserve">discontinued following an arterial </w:t>
      </w:r>
      <w:r w:rsidR="008B1A90" w:rsidRPr="00032264">
        <w:t>thrombotic</w:t>
      </w:r>
      <w:r w:rsidR="00F505C8" w:rsidRPr="00032264">
        <w:t xml:space="preserve"> event</w:t>
      </w:r>
      <w:r w:rsidR="005E6937" w:rsidRPr="00032264">
        <w:t xml:space="preserve"> (</w:t>
      </w:r>
      <w:r w:rsidR="007B4197" w:rsidRPr="00A21782">
        <w:t xml:space="preserve">see </w:t>
      </w:r>
      <w:r w:rsidR="007B4197">
        <w:t xml:space="preserve">Section </w:t>
      </w:r>
      <w:r w:rsidR="007B4197">
        <w:fldChar w:fldCharType="begin"/>
      </w:r>
      <w:r w:rsidR="007B4197">
        <w:instrText xml:space="preserve"> REF _Ref503529038 \r \h </w:instrText>
      </w:r>
      <w:r w:rsidR="007B4197">
        <w:fldChar w:fldCharType="separate"/>
      </w:r>
      <w:r w:rsidR="0064223A">
        <w:t>4.2</w:t>
      </w:r>
      <w:r w:rsidR="007B4197">
        <w:fldChar w:fldCharType="end"/>
      </w:r>
      <w:r w:rsidR="00B662F4">
        <w:t xml:space="preserve"> Dose and method of administration</w:t>
      </w:r>
      <w:r w:rsidR="005E6937" w:rsidRPr="00032264">
        <w:t>)</w:t>
      </w:r>
      <w:r w:rsidR="00F505C8" w:rsidRPr="00032264">
        <w:t>.</w:t>
      </w:r>
    </w:p>
    <w:p w14:paraId="2866DAC0" w14:textId="77777777" w:rsidR="005E6937" w:rsidRPr="00032264" w:rsidRDefault="005E6937" w:rsidP="00032264">
      <w:pPr>
        <w:pStyle w:val="Heading3"/>
      </w:pPr>
      <w:r w:rsidRPr="00032264">
        <w:t>Haemorrhagic events and thrombocytopenia</w:t>
      </w:r>
    </w:p>
    <w:p w14:paraId="2866DAC2" w14:textId="0C7DEAD0" w:rsidR="005E6937" w:rsidRPr="00032264" w:rsidRDefault="005E6937" w:rsidP="002C5F81">
      <w:pPr>
        <w:pStyle w:val="BodyText"/>
        <w:spacing w:before="120" w:after="60"/>
      </w:pPr>
      <w:r w:rsidRPr="00032264">
        <w:t xml:space="preserve">Serious haemorrhagic events </w:t>
      </w:r>
      <w:proofErr w:type="gramStart"/>
      <w:r w:rsidRPr="00032264">
        <w:t>have been reported</w:t>
      </w:r>
      <w:proofErr w:type="gramEnd"/>
      <w:r w:rsidRPr="00032264">
        <w:t xml:space="preserve"> in patients treated with</w:t>
      </w:r>
      <w:r w:rsidR="001D6874" w:rsidRPr="00032264">
        <w:t xml:space="preserve"> LENVIMA</w:t>
      </w:r>
      <w:r w:rsidRPr="00032264">
        <w:t xml:space="preserve">. The most frequently reported haemorrhagic event was mild epistaxis. Serious events of thrombocytopenia </w:t>
      </w:r>
      <w:proofErr w:type="gramStart"/>
      <w:r w:rsidRPr="00032264">
        <w:t>have also been reported</w:t>
      </w:r>
      <w:proofErr w:type="gramEnd"/>
      <w:r w:rsidRPr="00032264">
        <w:t xml:space="preserve"> in patients treated with LENVIMA and thrombocytopenia may increase risk of developing haemorrhagic events. (</w:t>
      </w:r>
      <w:proofErr w:type="gramStart"/>
      <w:r w:rsidR="00505C3C" w:rsidRPr="002D1C89">
        <w:t>see</w:t>
      </w:r>
      <w:proofErr w:type="gramEnd"/>
      <w:r w:rsidR="00505C3C" w:rsidRPr="002D1C89">
        <w:t xml:space="preserve"> </w:t>
      </w:r>
      <w:r w:rsidR="00505C3C">
        <w:t xml:space="preserve">Section </w:t>
      </w:r>
      <w:r w:rsidR="00505C3C">
        <w:fldChar w:fldCharType="begin"/>
      </w:r>
      <w:r w:rsidR="00505C3C">
        <w:instrText xml:space="preserve"> REF _Ref503187256 \r \h </w:instrText>
      </w:r>
      <w:r w:rsidR="002C5F81">
        <w:instrText xml:space="preserve"> \* MERGEFORMAT </w:instrText>
      </w:r>
      <w:r w:rsidR="00505C3C">
        <w:fldChar w:fldCharType="separate"/>
      </w:r>
      <w:r w:rsidR="0064223A">
        <w:t>4.8</w:t>
      </w:r>
      <w:r w:rsidR="00505C3C">
        <w:fldChar w:fldCharType="end"/>
      </w:r>
      <w:r w:rsidR="008B3996">
        <w:t xml:space="preserve"> Adverse effects</w:t>
      </w:r>
      <w:r w:rsidRPr="00032264">
        <w:t>, Selected Adverse Reactions)</w:t>
      </w:r>
    </w:p>
    <w:p w14:paraId="2866DAC4" w14:textId="652D721E" w:rsidR="005E6937" w:rsidRPr="00032264" w:rsidRDefault="005E6937" w:rsidP="002C5F81">
      <w:pPr>
        <w:pStyle w:val="BodyText"/>
        <w:spacing w:before="120" w:after="60"/>
      </w:pPr>
      <w:r w:rsidRPr="00032264">
        <w:t xml:space="preserve">Serious tumour related bleeds </w:t>
      </w:r>
      <w:proofErr w:type="gramStart"/>
      <w:r w:rsidRPr="00032264">
        <w:t>have been reported</w:t>
      </w:r>
      <w:proofErr w:type="gramEnd"/>
      <w:r w:rsidRPr="00032264">
        <w:t>, including fatal haemorrhagic events in LENVIMA</w:t>
      </w:r>
      <w:r w:rsidR="008D5B63" w:rsidRPr="00032264">
        <w:t xml:space="preserve"> </w:t>
      </w:r>
      <w:r w:rsidRPr="00032264">
        <w:t>treated patients and there have been reports of haemorrhage associated with thrombocytopenia.</w:t>
      </w:r>
    </w:p>
    <w:p w14:paraId="2866DAC6" w14:textId="0F857FF2" w:rsidR="005E6937" w:rsidRPr="00032264" w:rsidRDefault="005E6937" w:rsidP="002C5F81">
      <w:pPr>
        <w:pStyle w:val="BodyText"/>
        <w:spacing w:before="120" w:after="60"/>
      </w:pPr>
      <w:r w:rsidRPr="00032264">
        <w:t xml:space="preserve">The degree of tumour invasion/infiltration of major blood vessels (e.g. carotid artery) </w:t>
      </w:r>
      <w:proofErr w:type="gramStart"/>
      <w:r w:rsidRPr="00032264">
        <w:t>should be considered</w:t>
      </w:r>
      <w:proofErr w:type="gramEnd"/>
      <w:r w:rsidRPr="00032264">
        <w:t xml:space="preserve"> because of the potential risk of severe haemorrhage associated with tumour shrinkage/necrosis following LENVIMA therapy. In the case of haemorrhagic events/</w:t>
      </w:r>
      <w:r w:rsidR="001D6874" w:rsidRPr="00032264">
        <w:t xml:space="preserve"> </w:t>
      </w:r>
      <w:r w:rsidRPr="00032264">
        <w:t>thrombocytopenia, dose interruptions, adjustments, or discontinuation may be necessary (</w:t>
      </w:r>
      <w:r w:rsidR="007B4197" w:rsidRPr="00A21782">
        <w:t xml:space="preserve">see </w:t>
      </w:r>
      <w:r w:rsidR="007B4197">
        <w:t xml:space="preserve">Section </w:t>
      </w:r>
      <w:r w:rsidR="007B4197">
        <w:fldChar w:fldCharType="begin"/>
      </w:r>
      <w:r w:rsidR="007B4197">
        <w:instrText xml:space="preserve"> REF _Ref503529038 \r \h </w:instrText>
      </w:r>
      <w:r w:rsidR="007B4197">
        <w:fldChar w:fldCharType="separate"/>
      </w:r>
      <w:r w:rsidR="0064223A">
        <w:t>4.2</w:t>
      </w:r>
      <w:r w:rsidR="007B4197">
        <w:fldChar w:fldCharType="end"/>
      </w:r>
      <w:r w:rsidR="00B662F4">
        <w:t xml:space="preserve"> Dose and method of administration</w:t>
      </w:r>
      <w:r w:rsidRPr="00032264">
        <w:t>).</w:t>
      </w:r>
    </w:p>
    <w:p w14:paraId="65D6A8F1" w14:textId="77777777" w:rsidR="007214A4" w:rsidRDefault="007214A4" w:rsidP="007214A4">
      <w:pPr>
        <w:pStyle w:val="Heading3"/>
      </w:pPr>
      <w:r>
        <w:t>Wound Healing Complications</w:t>
      </w:r>
    </w:p>
    <w:p w14:paraId="6ABAB7A0" w14:textId="70080B5E" w:rsidR="007214A4" w:rsidRDefault="007214A4" w:rsidP="002C5F81">
      <w:pPr>
        <w:pStyle w:val="BodyText"/>
        <w:spacing w:before="120" w:after="60"/>
      </w:pPr>
      <w:r>
        <w:t xml:space="preserve">No formal studies of the effect of LENVIMA on wound healing </w:t>
      </w:r>
      <w:proofErr w:type="gramStart"/>
      <w:r>
        <w:t>have been conducted</w:t>
      </w:r>
      <w:proofErr w:type="gramEnd"/>
      <w:r>
        <w:t xml:space="preserve">. Impaired wound healing </w:t>
      </w:r>
      <w:proofErr w:type="gramStart"/>
      <w:r>
        <w:t>has been reported</w:t>
      </w:r>
      <w:proofErr w:type="gramEnd"/>
      <w:r>
        <w:t xml:space="preserve"> in patients receiving LENVIMA. Temporary interruption of LENVIMA </w:t>
      </w:r>
      <w:proofErr w:type="gramStart"/>
      <w:r>
        <w:t>should be considered</w:t>
      </w:r>
      <w:proofErr w:type="gramEnd"/>
      <w:r>
        <w:t xml:space="preserve"> in patients undergoing major surgical procedures. There is limited clinical experience regarding the timing of </w:t>
      </w:r>
      <w:proofErr w:type="spellStart"/>
      <w:r>
        <w:t>reinitiation</w:t>
      </w:r>
      <w:proofErr w:type="spellEnd"/>
      <w:r>
        <w:t xml:space="preserve"> of LENVIMA following a major surgical procedure. Therefore, the decision to resume LENVIMA following a major surgical procedure </w:t>
      </w:r>
      <w:proofErr w:type="gramStart"/>
      <w:r>
        <w:t>should be based</w:t>
      </w:r>
      <w:proofErr w:type="gramEnd"/>
      <w:r>
        <w:t xml:space="preserve"> on clinical judgment of adequate wound healing.</w:t>
      </w:r>
    </w:p>
    <w:p w14:paraId="2866DAC8" w14:textId="77777777" w:rsidR="00D712C4" w:rsidRPr="00032264" w:rsidRDefault="00D712C4" w:rsidP="00032264">
      <w:pPr>
        <w:pStyle w:val="Heading3"/>
      </w:pPr>
      <w:r w:rsidRPr="00032264">
        <w:t>Gastrointestinal perforation and fistula formation</w:t>
      </w:r>
    </w:p>
    <w:p w14:paraId="2866DACA" w14:textId="0F9BE0E5" w:rsidR="00D712C4" w:rsidRPr="00032264" w:rsidRDefault="005E6937" w:rsidP="002C5F81">
      <w:pPr>
        <w:pStyle w:val="BodyText"/>
        <w:spacing w:before="120" w:after="60"/>
      </w:pPr>
      <w:r w:rsidRPr="00032264">
        <w:t>G</w:t>
      </w:r>
      <w:r w:rsidR="00D712C4" w:rsidRPr="00032264">
        <w:t>astrointestinal perforation or fistula</w:t>
      </w:r>
      <w:r w:rsidRPr="00032264">
        <w:t>e</w:t>
      </w:r>
      <w:r w:rsidR="00D712C4" w:rsidRPr="00032264">
        <w:t xml:space="preserve"> </w:t>
      </w:r>
      <w:proofErr w:type="gramStart"/>
      <w:r w:rsidR="00D712C4" w:rsidRPr="00032264">
        <w:t>have been reported</w:t>
      </w:r>
      <w:proofErr w:type="gramEnd"/>
      <w:r w:rsidR="00D712C4" w:rsidRPr="00032264">
        <w:t xml:space="preserve"> in patients treated with </w:t>
      </w:r>
      <w:r w:rsidR="00221DDE" w:rsidRPr="00032264">
        <w:t>LENVIMA</w:t>
      </w:r>
      <w:r w:rsidR="00D712C4" w:rsidRPr="00032264">
        <w:t xml:space="preserve"> (</w:t>
      </w:r>
      <w:r w:rsidR="00505C3C" w:rsidRPr="002D1C89">
        <w:t xml:space="preserve">see </w:t>
      </w:r>
      <w:r w:rsidR="00505C3C">
        <w:t xml:space="preserve">Section </w:t>
      </w:r>
      <w:r w:rsidR="00505C3C">
        <w:fldChar w:fldCharType="begin"/>
      </w:r>
      <w:r w:rsidR="00505C3C">
        <w:instrText xml:space="preserve"> REF _Ref503187256 \r \h </w:instrText>
      </w:r>
      <w:r w:rsidR="00505C3C">
        <w:fldChar w:fldCharType="separate"/>
      </w:r>
      <w:r w:rsidR="0064223A">
        <w:t>4.8</w:t>
      </w:r>
      <w:r w:rsidR="00505C3C">
        <w:fldChar w:fldCharType="end"/>
      </w:r>
      <w:r w:rsidR="008B3996">
        <w:t xml:space="preserve"> Adverse effects</w:t>
      </w:r>
      <w:r w:rsidRPr="00032264">
        <w:t>, Selected Adverse Reactions</w:t>
      </w:r>
      <w:r w:rsidR="00D712C4" w:rsidRPr="00032264">
        <w:t>). In most cases, gastrointestinal perforation and fistulae occurred in patients with risk factors such as prior surgery or radiotherapy. In the case of a gastrointestinal perforation or fistula, dose interruptions, adjustments, or discontinuation may be necessary (</w:t>
      </w:r>
      <w:r w:rsidR="007B4197" w:rsidRPr="00A21782">
        <w:t xml:space="preserve">see </w:t>
      </w:r>
      <w:r w:rsidR="007B4197">
        <w:t xml:space="preserve">Section </w:t>
      </w:r>
      <w:r w:rsidR="007B4197">
        <w:fldChar w:fldCharType="begin"/>
      </w:r>
      <w:r w:rsidR="007B4197">
        <w:instrText xml:space="preserve"> REF _Ref503529038 \r \h </w:instrText>
      </w:r>
      <w:r w:rsidR="007B4197">
        <w:fldChar w:fldCharType="separate"/>
      </w:r>
      <w:r w:rsidR="0064223A">
        <w:t>4.2</w:t>
      </w:r>
      <w:r w:rsidR="007B4197">
        <w:fldChar w:fldCharType="end"/>
      </w:r>
      <w:r w:rsidR="00B662F4">
        <w:t xml:space="preserve"> Dose and method of administration</w:t>
      </w:r>
      <w:r w:rsidR="00D712C4" w:rsidRPr="00032264">
        <w:t>).</w:t>
      </w:r>
    </w:p>
    <w:p w14:paraId="2866DACC" w14:textId="77777777" w:rsidR="00A21782" w:rsidRPr="00032264" w:rsidRDefault="00A21782" w:rsidP="00032264">
      <w:pPr>
        <w:pStyle w:val="Heading3"/>
      </w:pPr>
      <w:r w:rsidRPr="00032264">
        <w:t>Non-Gastrointestinal fistula</w:t>
      </w:r>
    </w:p>
    <w:p w14:paraId="2866DACE" w14:textId="6B25AAD6" w:rsidR="00A21782" w:rsidRPr="00032264" w:rsidRDefault="00A21782" w:rsidP="002C5F81">
      <w:pPr>
        <w:pStyle w:val="BodyText"/>
        <w:spacing w:before="120" w:after="60"/>
      </w:pPr>
      <w:r w:rsidRPr="00032264">
        <w:t xml:space="preserve">Patients may be at increased risk for the development of fistulae when treated with LENVIMA. Cases of fistula formation or enlargement that involve other areas of the body than stomach or intestines </w:t>
      </w:r>
      <w:proofErr w:type="gramStart"/>
      <w:r w:rsidRPr="00032264">
        <w:t>were observed</w:t>
      </w:r>
      <w:proofErr w:type="gramEnd"/>
      <w:r w:rsidRPr="00032264">
        <w:t xml:space="preserve"> in clinical trials and in post-marketing experience (e.g. tracheal, </w:t>
      </w:r>
      <w:proofErr w:type="spellStart"/>
      <w:r w:rsidRPr="00032264">
        <w:t>tracheo</w:t>
      </w:r>
      <w:proofErr w:type="spellEnd"/>
      <w:r w:rsidRPr="00032264">
        <w:t xml:space="preserve">-oesophageal, oesophageal, cutaneous, female genital tract fistulae). </w:t>
      </w:r>
      <w:r w:rsidR="00A130A5" w:rsidRPr="0040016A">
        <w:t xml:space="preserve">In addition, pneumothorax </w:t>
      </w:r>
      <w:proofErr w:type="gramStart"/>
      <w:r w:rsidR="00A130A5" w:rsidRPr="0040016A">
        <w:t>has been reported</w:t>
      </w:r>
      <w:proofErr w:type="gramEnd"/>
      <w:r w:rsidR="00A130A5" w:rsidRPr="0040016A">
        <w:t xml:space="preserve"> with and without clear evidence of a </w:t>
      </w:r>
      <w:proofErr w:type="spellStart"/>
      <w:r w:rsidR="00A130A5" w:rsidRPr="0040016A">
        <w:t>bronchopleural</w:t>
      </w:r>
      <w:proofErr w:type="spellEnd"/>
      <w:r w:rsidR="00A130A5" w:rsidRPr="0040016A">
        <w:t xml:space="preserve"> fistula. Some reports of gastrointestinal perforation, fistula and pneumothorax </w:t>
      </w:r>
      <w:r w:rsidR="00A130A5" w:rsidRPr="0040016A">
        <w:lastRenderedPageBreak/>
        <w:t xml:space="preserve">occurred in association with tumour regression or necrosis. </w:t>
      </w:r>
      <w:r w:rsidRPr="00032264">
        <w:t xml:space="preserve">Prior surgery and radiotherapy may be contributing risk factors. </w:t>
      </w:r>
      <w:proofErr w:type="gramStart"/>
      <w:r w:rsidRPr="00032264">
        <w:t>LENVIMA should not be started in patients with fistulae to avoid worsening and LENVIMA should be permanently discontinued in patients with oesophageal or tracheobronchial tract involvement and any Grade 4 fistula (</w:t>
      </w:r>
      <w:r w:rsidR="007B4197" w:rsidRPr="00A21782">
        <w:t xml:space="preserve">see </w:t>
      </w:r>
      <w:r w:rsidR="007B4197">
        <w:t xml:space="preserve">Section </w:t>
      </w:r>
      <w:r w:rsidR="007B4197">
        <w:fldChar w:fldCharType="begin"/>
      </w:r>
      <w:r w:rsidR="007B4197">
        <w:instrText xml:space="preserve"> REF _Ref503529038 \r \h </w:instrText>
      </w:r>
      <w:r w:rsidR="007B4197">
        <w:fldChar w:fldCharType="separate"/>
      </w:r>
      <w:r w:rsidR="0064223A">
        <w:t>4.2</w:t>
      </w:r>
      <w:r w:rsidR="007B4197">
        <w:fldChar w:fldCharType="end"/>
      </w:r>
      <w:r w:rsidR="00B662F4">
        <w:t xml:space="preserve"> Dose and method of administration</w:t>
      </w:r>
      <w:r w:rsidRPr="00032264">
        <w:t>); limited information is available on the use of dose interruption or reduction in management of other events, but worsening was observed in some cases and caution should be taken.</w:t>
      </w:r>
      <w:proofErr w:type="gramEnd"/>
      <w:r w:rsidRPr="00032264">
        <w:t xml:space="preserve"> LENVIMA may adversely affect the wound healing </w:t>
      </w:r>
      <w:proofErr w:type="gramStart"/>
      <w:r w:rsidRPr="00032264">
        <w:t>process</w:t>
      </w:r>
      <w:proofErr w:type="gramEnd"/>
      <w:r w:rsidRPr="00032264">
        <w:t xml:space="preserve"> as do other agents of the same class.</w:t>
      </w:r>
    </w:p>
    <w:p w14:paraId="2866DAD0" w14:textId="77777777" w:rsidR="00D712C4" w:rsidRPr="00032264" w:rsidRDefault="00D712C4" w:rsidP="00032264">
      <w:pPr>
        <w:pStyle w:val="Heading3"/>
      </w:pPr>
      <w:r w:rsidRPr="00032264">
        <w:t>QT interval prolongation</w:t>
      </w:r>
    </w:p>
    <w:p w14:paraId="2866DAD2" w14:textId="1232A1AF" w:rsidR="00A21782" w:rsidRPr="00032264" w:rsidRDefault="00D712C4" w:rsidP="002C5F81">
      <w:pPr>
        <w:pStyle w:val="BodyText"/>
        <w:spacing w:before="120" w:after="60"/>
      </w:pPr>
      <w:r w:rsidRPr="00032264">
        <w:t>QT/</w:t>
      </w:r>
      <w:proofErr w:type="spellStart"/>
      <w:r w:rsidRPr="00032264">
        <w:t>QTc</w:t>
      </w:r>
      <w:proofErr w:type="spellEnd"/>
      <w:r w:rsidRPr="00032264">
        <w:t xml:space="preserve"> interval prolongation </w:t>
      </w:r>
      <w:proofErr w:type="gramStart"/>
      <w:r w:rsidRPr="00032264">
        <w:t>has been reported</w:t>
      </w:r>
      <w:proofErr w:type="gramEnd"/>
      <w:r w:rsidRPr="00032264">
        <w:t xml:space="preserve"> at a higher incidence in patients treated with </w:t>
      </w:r>
      <w:r w:rsidR="00221DDE" w:rsidRPr="00032264">
        <w:t>LENVIMA</w:t>
      </w:r>
      <w:r w:rsidRPr="00032264">
        <w:t xml:space="preserve"> than in patients treated with placebo (</w:t>
      </w:r>
      <w:r w:rsidR="00505C3C" w:rsidRPr="002D1C89">
        <w:t xml:space="preserve">see </w:t>
      </w:r>
      <w:r w:rsidR="00505C3C">
        <w:t xml:space="preserve">Section </w:t>
      </w:r>
      <w:r w:rsidR="00505C3C">
        <w:fldChar w:fldCharType="begin"/>
      </w:r>
      <w:r w:rsidR="00505C3C">
        <w:instrText xml:space="preserve"> REF _Ref503187256 \r \h </w:instrText>
      </w:r>
      <w:r w:rsidR="00505C3C">
        <w:fldChar w:fldCharType="separate"/>
      </w:r>
      <w:r w:rsidR="0064223A">
        <w:t>4.8</w:t>
      </w:r>
      <w:r w:rsidR="00505C3C">
        <w:fldChar w:fldCharType="end"/>
      </w:r>
      <w:r w:rsidR="008B3996">
        <w:t xml:space="preserve"> Adverse effects</w:t>
      </w:r>
      <w:r w:rsidR="00A21782" w:rsidRPr="00032264">
        <w:t>, Selected Adverse Reactions</w:t>
      </w:r>
      <w:r w:rsidRPr="00032264">
        <w:t xml:space="preserve">). </w:t>
      </w:r>
      <w:r w:rsidR="00A21782" w:rsidRPr="00032264">
        <w:t xml:space="preserve">The median time to onset of </w:t>
      </w:r>
      <w:proofErr w:type="spellStart"/>
      <w:r w:rsidR="00A21782" w:rsidRPr="00032264">
        <w:t>QTc</w:t>
      </w:r>
      <w:proofErr w:type="spellEnd"/>
      <w:r w:rsidR="00A21782" w:rsidRPr="00032264">
        <w:t xml:space="preserve"> prolongation was 16.1 weeks in the DTC study</w:t>
      </w:r>
      <w:r w:rsidR="00B0520F">
        <w:rPr>
          <w:szCs w:val="24"/>
        </w:rPr>
        <w:t>, 31.1 weeks in the HCC study</w:t>
      </w:r>
      <w:r w:rsidR="00A21782" w:rsidRPr="00032264">
        <w:t xml:space="preserve"> for patients on LENVIMA monotherapy and 30 weeks in the RCC study for combination patients. </w:t>
      </w:r>
      <w:r w:rsidRPr="00032264">
        <w:t xml:space="preserve">Electrocardiograms should be monitored in patients </w:t>
      </w:r>
      <w:r w:rsidR="00A21782" w:rsidRPr="00032264">
        <w:t xml:space="preserve">on an ongoing basis </w:t>
      </w:r>
      <w:r w:rsidRPr="00032264">
        <w:t xml:space="preserve">with </w:t>
      </w:r>
      <w:r w:rsidR="00071E07" w:rsidRPr="00032264">
        <w:t xml:space="preserve">a special attention for those with </w:t>
      </w:r>
      <w:r w:rsidRPr="00032264">
        <w:t>congenital</w:t>
      </w:r>
      <w:r w:rsidR="00240ADF" w:rsidRPr="00032264">
        <w:t xml:space="preserve"> </w:t>
      </w:r>
      <w:r w:rsidRPr="00032264">
        <w:t xml:space="preserve">long QT syndrome, congestive heart failure, </w:t>
      </w:r>
      <w:proofErr w:type="spellStart"/>
      <w:r w:rsidRPr="00032264">
        <w:t>bradyarrhythmias</w:t>
      </w:r>
      <w:proofErr w:type="spellEnd"/>
      <w:r w:rsidRPr="00032264">
        <w:t xml:space="preserve">, and those taking drugs known to prolong the QT interval, including Class </w:t>
      </w:r>
      <w:proofErr w:type="spellStart"/>
      <w:proofErr w:type="gramStart"/>
      <w:r w:rsidRPr="00032264">
        <w:t>Ia</w:t>
      </w:r>
      <w:proofErr w:type="spellEnd"/>
      <w:proofErr w:type="gramEnd"/>
      <w:r w:rsidRPr="00032264">
        <w:t xml:space="preserve"> and III </w:t>
      </w:r>
      <w:proofErr w:type="spellStart"/>
      <w:r w:rsidRPr="00032264">
        <w:t>antiarrhythmics</w:t>
      </w:r>
      <w:proofErr w:type="spellEnd"/>
      <w:r w:rsidRPr="00032264">
        <w:t xml:space="preserve">. </w:t>
      </w:r>
      <w:r w:rsidR="00A21782" w:rsidRPr="00032264">
        <w:t xml:space="preserve">LENVIMA should be withheld in the event of development of QT interval prolongation greater than 500 </w:t>
      </w:r>
      <w:proofErr w:type="spellStart"/>
      <w:proofErr w:type="gramStart"/>
      <w:r w:rsidR="00A21782" w:rsidRPr="00032264">
        <w:t>ms</w:t>
      </w:r>
      <w:proofErr w:type="spellEnd"/>
      <w:proofErr w:type="gramEnd"/>
      <w:r w:rsidR="00A21782" w:rsidRPr="00032264">
        <w:t xml:space="preserve">. LENVIMA should be resumed at a reduced dose when </w:t>
      </w:r>
      <w:proofErr w:type="spellStart"/>
      <w:r w:rsidR="00A21782" w:rsidRPr="00032264">
        <w:t>QTc</w:t>
      </w:r>
      <w:proofErr w:type="spellEnd"/>
      <w:r w:rsidR="00A21782" w:rsidRPr="00032264">
        <w:t xml:space="preserve"> prolongation is resolved to &lt; 480 </w:t>
      </w:r>
      <w:proofErr w:type="spellStart"/>
      <w:r w:rsidR="00A21782" w:rsidRPr="00032264">
        <w:t>ms</w:t>
      </w:r>
      <w:proofErr w:type="spellEnd"/>
      <w:r w:rsidR="00A21782" w:rsidRPr="00032264">
        <w:t xml:space="preserve"> or baseline (</w:t>
      </w:r>
      <w:r w:rsidR="007B4197" w:rsidRPr="00A21782">
        <w:t xml:space="preserve">see </w:t>
      </w:r>
      <w:r w:rsidR="007B4197">
        <w:t xml:space="preserve">Section </w:t>
      </w:r>
      <w:r w:rsidR="007B4197">
        <w:fldChar w:fldCharType="begin"/>
      </w:r>
      <w:r w:rsidR="007B4197">
        <w:instrText xml:space="preserve"> REF _Ref503529038 \r \h </w:instrText>
      </w:r>
      <w:r w:rsidR="002C5F81">
        <w:instrText xml:space="preserve"> \* MERGEFORMAT </w:instrText>
      </w:r>
      <w:r w:rsidR="007B4197">
        <w:fldChar w:fldCharType="separate"/>
      </w:r>
      <w:r w:rsidR="0064223A">
        <w:t>4.2</w:t>
      </w:r>
      <w:r w:rsidR="007B4197">
        <w:fldChar w:fldCharType="end"/>
      </w:r>
      <w:r w:rsidR="00B662F4">
        <w:t xml:space="preserve"> Dose and method of administration</w:t>
      </w:r>
      <w:r w:rsidR="00A21782" w:rsidRPr="00032264">
        <w:t>).</w:t>
      </w:r>
    </w:p>
    <w:p w14:paraId="2866DAD5" w14:textId="7DFFD954" w:rsidR="00C6307C" w:rsidRPr="00032264" w:rsidRDefault="00D712C4" w:rsidP="002C5F81">
      <w:pPr>
        <w:pStyle w:val="BodyText"/>
        <w:spacing w:before="120" w:after="60"/>
      </w:pPr>
      <w:r w:rsidRPr="00032264">
        <w:t xml:space="preserve">Electrolyte </w:t>
      </w:r>
      <w:r w:rsidR="00071E07" w:rsidRPr="00032264">
        <w:t>disturbances such as hypokalaemia, hypocalcaemia, or hypomagnesaemia increase the risk of QT prolongation</w:t>
      </w:r>
      <w:r w:rsidR="001D6874" w:rsidRPr="00032264">
        <w:t>;</w:t>
      </w:r>
      <w:r w:rsidR="00071E07" w:rsidRPr="00032264">
        <w:t xml:space="preserve"> </w:t>
      </w:r>
      <w:proofErr w:type="gramStart"/>
      <w:r w:rsidR="00071E07" w:rsidRPr="00032264">
        <w:t>therefore</w:t>
      </w:r>
      <w:proofErr w:type="gramEnd"/>
      <w:r w:rsidR="00071E07" w:rsidRPr="00032264">
        <w:t xml:space="preserve"> electrolyte abnormalities </w:t>
      </w:r>
      <w:r w:rsidRPr="00032264">
        <w:t>should be monitored and corrected in all patients</w:t>
      </w:r>
      <w:r w:rsidR="00071E07" w:rsidRPr="00032264">
        <w:t xml:space="preserve"> before starting treatment. Periodic monitoring of ECG and electrolytes (magnesium, potassium and calcium) </w:t>
      </w:r>
      <w:proofErr w:type="gramStart"/>
      <w:r w:rsidR="00071E07" w:rsidRPr="00032264">
        <w:t>should be considered</w:t>
      </w:r>
      <w:proofErr w:type="gramEnd"/>
      <w:r w:rsidR="00071E07" w:rsidRPr="00032264">
        <w:t xml:space="preserve"> during treatment.</w:t>
      </w:r>
      <w:r w:rsidR="00A21782" w:rsidRPr="00032264">
        <w:t xml:space="preserve"> Blood calcium levels </w:t>
      </w:r>
      <w:proofErr w:type="gramStart"/>
      <w:r w:rsidR="00A21782" w:rsidRPr="00032264">
        <w:t>should be monitored</w:t>
      </w:r>
      <w:proofErr w:type="gramEnd"/>
      <w:r w:rsidR="00A21782" w:rsidRPr="00032264">
        <w:t xml:space="preserve"> at least monthly and calcium should be replaced as necessary during LENVIMA treatment. LENVIMA dose </w:t>
      </w:r>
      <w:proofErr w:type="gramStart"/>
      <w:r w:rsidR="00A21782" w:rsidRPr="00032264">
        <w:t>should be interrupted</w:t>
      </w:r>
      <w:proofErr w:type="gramEnd"/>
      <w:r w:rsidR="00A21782" w:rsidRPr="00032264">
        <w:t xml:space="preserve"> or dose adjusted as necessary depending on severity, presence of ECG changes, and persistence of hypocalcaemia.</w:t>
      </w:r>
    </w:p>
    <w:p w14:paraId="2866DADA" w14:textId="77777777" w:rsidR="0087779B" w:rsidRPr="00032264" w:rsidRDefault="0087779B" w:rsidP="00032264">
      <w:pPr>
        <w:pStyle w:val="Heading3"/>
      </w:pPr>
      <w:r w:rsidRPr="00032264">
        <w:t>Impairment of thyroid stimulating hormone suppression</w:t>
      </w:r>
      <w:r w:rsidR="00A21782" w:rsidRPr="00032264">
        <w:t>/Thyroid dysfunction</w:t>
      </w:r>
    </w:p>
    <w:p w14:paraId="2866DADC" w14:textId="120B7D65" w:rsidR="00A21782" w:rsidRPr="00032264" w:rsidRDefault="00221DDE" w:rsidP="002C5F81">
      <w:pPr>
        <w:pStyle w:val="BodyText"/>
        <w:spacing w:before="120" w:after="60"/>
      </w:pPr>
      <w:r w:rsidRPr="00032264">
        <w:t>LENVIMA</w:t>
      </w:r>
      <w:r w:rsidR="0087779B" w:rsidRPr="00032264">
        <w:t xml:space="preserve"> impairs exogenous thyroid suppression (</w:t>
      </w:r>
      <w:r w:rsidR="00505C3C" w:rsidRPr="002D1C89">
        <w:t xml:space="preserve">see </w:t>
      </w:r>
      <w:r w:rsidR="00505C3C">
        <w:t xml:space="preserve">Section </w:t>
      </w:r>
      <w:r w:rsidR="00505C3C">
        <w:fldChar w:fldCharType="begin"/>
      </w:r>
      <w:r w:rsidR="00505C3C">
        <w:instrText xml:space="preserve"> REF _Ref503187256 \r \h </w:instrText>
      </w:r>
      <w:r w:rsidR="002C5F81">
        <w:instrText xml:space="preserve"> \* MERGEFORMAT </w:instrText>
      </w:r>
      <w:r w:rsidR="00505C3C">
        <w:fldChar w:fldCharType="separate"/>
      </w:r>
      <w:r w:rsidR="0064223A">
        <w:t>4.8</w:t>
      </w:r>
      <w:r w:rsidR="00505C3C">
        <w:fldChar w:fldCharType="end"/>
      </w:r>
      <w:r w:rsidR="008B3996">
        <w:t xml:space="preserve"> Adverse effects</w:t>
      </w:r>
      <w:r w:rsidR="002C5F81">
        <w:t>).</w:t>
      </w:r>
    </w:p>
    <w:p w14:paraId="2866DADE" w14:textId="1DC71356" w:rsidR="00A21782" w:rsidRPr="00032264" w:rsidRDefault="00A21782" w:rsidP="002C5F81">
      <w:pPr>
        <w:pStyle w:val="BodyText"/>
        <w:spacing w:before="120" w:after="60"/>
      </w:pPr>
      <w:r w:rsidRPr="00032264">
        <w:t xml:space="preserve">Hypothyroidism </w:t>
      </w:r>
      <w:proofErr w:type="gramStart"/>
      <w:r w:rsidRPr="00032264">
        <w:t>has been reported</w:t>
      </w:r>
      <w:proofErr w:type="gramEnd"/>
      <w:r w:rsidRPr="00032264">
        <w:t xml:space="preserve"> as very common in patients treated with LENVIMA in the RCC trial (</w:t>
      </w:r>
      <w:r w:rsidR="00505C3C" w:rsidRPr="002D1C89">
        <w:t xml:space="preserve">see </w:t>
      </w:r>
      <w:r w:rsidR="00505C3C">
        <w:t xml:space="preserve">Section </w:t>
      </w:r>
      <w:r w:rsidR="00505C3C">
        <w:fldChar w:fldCharType="begin"/>
      </w:r>
      <w:r w:rsidR="00505C3C">
        <w:instrText xml:space="preserve"> REF _Ref503187256 \r \h </w:instrText>
      </w:r>
      <w:r w:rsidR="002C5F81">
        <w:instrText xml:space="preserve"> \* MERGEFORMAT </w:instrText>
      </w:r>
      <w:r w:rsidR="00505C3C">
        <w:fldChar w:fldCharType="separate"/>
      </w:r>
      <w:r w:rsidR="0064223A">
        <w:t>4.8</w:t>
      </w:r>
      <w:r w:rsidR="00505C3C">
        <w:fldChar w:fldCharType="end"/>
      </w:r>
      <w:r w:rsidR="008B3996">
        <w:t xml:space="preserve"> Adverse effects</w:t>
      </w:r>
      <w:r w:rsidR="006540BC">
        <w:t>, Selected Adverse Reactions).</w:t>
      </w:r>
    </w:p>
    <w:p w14:paraId="2866DAE0" w14:textId="77777777" w:rsidR="00A21782" w:rsidRPr="00032264" w:rsidRDefault="00A21782" w:rsidP="002C5F81">
      <w:pPr>
        <w:pStyle w:val="BodyText"/>
        <w:spacing w:before="120" w:after="60"/>
      </w:pPr>
      <w:r w:rsidRPr="00032264">
        <w:t xml:space="preserve">Thyroid function should be monitored before initiation of treatment, and periodically at least monthly throughout treatment with LENVIMA. Hypothyroidism </w:t>
      </w:r>
      <w:proofErr w:type="gramStart"/>
      <w:r w:rsidRPr="00032264">
        <w:t>should be treated</w:t>
      </w:r>
      <w:proofErr w:type="gramEnd"/>
      <w:r w:rsidRPr="00032264">
        <w:t xml:space="preserve"> according to standard medical practice to maintain </w:t>
      </w:r>
      <w:proofErr w:type="spellStart"/>
      <w:r w:rsidRPr="00032264">
        <w:t>euthyroid</w:t>
      </w:r>
      <w:proofErr w:type="spellEnd"/>
      <w:r w:rsidRPr="00032264">
        <w:t xml:space="preserve"> state.</w:t>
      </w:r>
    </w:p>
    <w:p w14:paraId="2866DAE7" w14:textId="77777777" w:rsidR="006135FD" w:rsidRPr="00032264" w:rsidRDefault="006135FD" w:rsidP="00032264">
      <w:pPr>
        <w:pStyle w:val="Heading3"/>
      </w:pPr>
      <w:r w:rsidRPr="00032264">
        <w:t>Special Populations</w:t>
      </w:r>
    </w:p>
    <w:p w14:paraId="2866DAE9" w14:textId="261270C5" w:rsidR="006135FD" w:rsidRPr="00032264" w:rsidRDefault="00527492" w:rsidP="002C5F81">
      <w:pPr>
        <w:pStyle w:val="BodyText"/>
        <w:spacing w:before="120" w:after="60"/>
      </w:pPr>
      <w:r w:rsidRPr="00032264">
        <w:t xml:space="preserve">Limited data are available for patients of ethnic origin other than Caucasian or Asian. </w:t>
      </w:r>
      <w:r w:rsidR="00221DDE" w:rsidRPr="00032264">
        <w:t>LENVIMA</w:t>
      </w:r>
      <w:r w:rsidRPr="00032264">
        <w:t xml:space="preserve"> </w:t>
      </w:r>
      <w:proofErr w:type="gramStart"/>
      <w:r w:rsidRPr="00032264">
        <w:t>should be used</w:t>
      </w:r>
      <w:proofErr w:type="gramEnd"/>
      <w:r w:rsidRPr="00032264">
        <w:t xml:space="preserve"> with caution in such patients, given the reduced tolerability of </w:t>
      </w:r>
      <w:r w:rsidR="00221DDE" w:rsidRPr="00032264">
        <w:t>LENVIMA</w:t>
      </w:r>
      <w:r w:rsidRPr="00032264">
        <w:t xml:space="preserve"> in Asian patients (</w:t>
      </w:r>
      <w:r w:rsidR="00505C3C" w:rsidRPr="002D1C89">
        <w:t xml:space="preserve">see </w:t>
      </w:r>
      <w:r w:rsidR="00505C3C">
        <w:t xml:space="preserve">Section </w:t>
      </w:r>
      <w:r w:rsidR="00505C3C">
        <w:fldChar w:fldCharType="begin"/>
      </w:r>
      <w:r w:rsidR="00505C3C">
        <w:instrText xml:space="preserve"> REF _Ref503187256 \r \h </w:instrText>
      </w:r>
      <w:r w:rsidR="00505C3C">
        <w:fldChar w:fldCharType="separate"/>
      </w:r>
      <w:r w:rsidR="0064223A">
        <w:t>4.8</w:t>
      </w:r>
      <w:r w:rsidR="00505C3C">
        <w:fldChar w:fldCharType="end"/>
      </w:r>
      <w:r w:rsidR="008B3996">
        <w:t xml:space="preserve"> Adverse effects</w:t>
      </w:r>
      <w:r w:rsidR="00A21782" w:rsidRPr="00032264">
        <w:t>, Other Special Populations</w:t>
      </w:r>
      <w:r w:rsidRPr="00032264">
        <w:t>).</w:t>
      </w:r>
    </w:p>
    <w:p w14:paraId="2866DAEB" w14:textId="7D5288FE" w:rsidR="006135FD" w:rsidRPr="00032264" w:rsidRDefault="00527492" w:rsidP="002C5F81">
      <w:pPr>
        <w:pStyle w:val="BodyText"/>
        <w:spacing w:before="120" w:after="60"/>
      </w:pPr>
      <w:r w:rsidRPr="00032264">
        <w:lastRenderedPageBreak/>
        <w:t xml:space="preserve">There are no data on the use of </w:t>
      </w:r>
      <w:r w:rsidR="00221DDE" w:rsidRPr="00032264">
        <w:t>LENVIMA</w:t>
      </w:r>
      <w:r w:rsidRPr="00032264">
        <w:t xml:space="preserve"> immediately following </w:t>
      </w:r>
      <w:proofErr w:type="spellStart"/>
      <w:r w:rsidRPr="00032264">
        <w:t>sorafenib</w:t>
      </w:r>
      <w:proofErr w:type="spellEnd"/>
      <w:r w:rsidRPr="00032264">
        <w:t xml:space="preserve"> or other anticancer treatments and there may be a potential risk for additive toxicities unless there is an adequate washout period between treatments. The minimal washout period in clinical trials was of 4 weeks.</w:t>
      </w:r>
    </w:p>
    <w:p w14:paraId="0DB83457" w14:textId="45C6F64E" w:rsidR="00450F9E" w:rsidRPr="00450F9E" w:rsidRDefault="00450F9E" w:rsidP="00032264">
      <w:pPr>
        <w:pStyle w:val="Heading4"/>
      </w:pPr>
      <w:r>
        <w:t>Patients with poor</w:t>
      </w:r>
      <w:r w:rsidRPr="00450F9E">
        <w:t xml:space="preserve"> ECOG performance status</w:t>
      </w:r>
    </w:p>
    <w:p w14:paraId="6EBCA7E6" w14:textId="6A49CFED" w:rsidR="00450F9E" w:rsidRDefault="00450F9E" w:rsidP="002C5F81">
      <w:pPr>
        <w:pStyle w:val="BodyText"/>
        <w:spacing w:before="120" w:after="60"/>
      </w:pPr>
      <w:r w:rsidRPr="00032264">
        <w:t xml:space="preserve">Patients with an ECOG performance status of </w:t>
      </w:r>
      <w:proofErr w:type="gramStart"/>
      <w:r w:rsidRPr="00032264">
        <w:t>2</w:t>
      </w:r>
      <w:proofErr w:type="gramEnd"/>
      <w:r w:rsidRPr="00032264">
        <w:t xml:space="preserve"> or higher were excluded from the RCC</w:t>
      </w:r>
      <w:r w:rsidR="00782A18">
        <w:t>,</w:t>
      </w:r>
      <w:r w:rsidRPr="00032264">
        <w:t xml:space="preserve"> </w:t>
      </w:r>
      <w:r w:rsidR="00B0520F">
        <w:t>HCC</w:t>
      </w:r>
      <w:r w:rsidR="00782A18">
        <w:t xml:space="preserve"> and endometrial carcinoma</w:t>
      </w:r>
      <w:r w:rsidR="001471CA">
        <w:t xml:space="preserve"> </w:t>
      </w:r>
      <w:r w:rsidRPr="00032264">
        <w:t>studies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032264">
        <w:t xml:space="preserve">). Patients with an ECOG performance 3 or higher </w:t>
      </w:r>
      <w:proofErr w:type="gramStart"/>
      <w:r w:rsidRPr="00032264">
        <w:t>were excluded</w:t>
      </w:r>
      <w:proofErr w:type="gramEnd"/>
      <w:r w:rsidRPr="00032264">
        <w:t xml:space="preserve"> from the DTC studies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032264">
        <w:t xml:space="preserve">). Benefit-risk in these patients </w:t>
      </w:r>
      <w:proofErr w:type="gramStart"/>
      <w:r w:rsidRPr="00032264">
        <w:t>has not been evaluated</w:t>
      </w:r>
      <w:proofErr w:type="gramEnd"/>
      <w:r w:rsidRPr="00032264">
        <w:t>.</w:t>
      </w:r>
    </w:p>
    <w:p w14:paraId="1CB6F7AD" w14:textId="77777777" w:rsidR="00FA510C" w:rsidRPr="00BE78D8" w:rsidRDefault="00FA510C" w:rsidP="00FA510C">
      <w:pPr>
        <w:pStyle w:val="Heading4"/>
        <w:rPr>
          <w:lang w:val="en-US"/>
        </w:rPr>
      </w:pPr>
      <w:r w:rsidRPr="00BE78D8">
        <w:rPr>
          <w:lang w:val="en-US"/>
        </w:rPr>
        <w:t>Patients with hypertension</w:t>
      </w:r>
    </w:p>
    <w:p w14:paraId="7C36C7F4" w14:textId="54DCBCB4" w:rsidR="00FA510C" w:rsidRPr="00C90B7E" w:rsidRDefault="00FA510C" w:rsidP="002C5F81">
      <w:pPr>
        <w:pStyle w:val="BodyText"/>
        <w:spacing w:before="120" w:after="60"/>
      </w:pPr>
      <w:r w:rsidRPr="00BE78D8">
        <w:rPr>
          <w:lang w:val="en-US"/>
        </w:rPr>
        <w:t xml:space="preserve">Blood pressure </w:t>
      </w:r>
      <w:proofErr w:type="gramStart"/>
      <w:r w:rsidRPr="00BE78D8">
        <w:rPr>
          <w:lang w:val="en-US"/>
        </w:rPr>
        <w:t>should be well controlled</w:t>
      </w:r>
      <w:proofErr w:type="gramEnd"/>
      <w:r w:rsidRPr="00BE78D8">
        <w:rPr>
          <w:lang w:val="en-US"/>
        </w:rPr>
        <w:t xml:space="preserve"> prior to treatment with </w:t>
      </w:r>
      <w:r>
        <w:rPr>
          <w:lang w:val="en-US"/>
        </w:rPr>
        <w:t>LENVIMA</w:t>
      </w:r>
      <w:r w:rsidRPr="00BE78D8">
        <w:rPr>
          <w:lang w:val="en-US"/>
        </w:rPr>
        <w:t>, and should be regularly monitored during treatment (</w:t>
      </w:r>
      <w:r w:rsidRPr="009D7EAE">
        <w:t xml:space="preserve">See </w:t>
      </w:r>
      <w:r>
        <w:t xml:space="preserve">Section </w:t>
      </w:r>
      <w:r>
        <w:fldChar w:fldCharType="begin"/>
      </w:r>
      <w:r>
        <w:instrText xml:space="preserve"> REF _Ref503187146 \r \h </w:instrText>
      </w:r>
      <w:r>
        <w:fldChar w:fldCharType="separate"/>
      </w:r>
      <w:r>
        <w:t>4.4</w:t>
      </w:r>
      <w:r>
        <w:fldChar w:fldCharType="end"/>
      </w:r>
      <w:r>
        <w:t xml:space="preserve"> Special warnings and precautions for use</w:t>
      </w:r>
      <w:r>
        <w:rPr>
          <w:lang w:val="en-US"/>
        </w:rPr>
        <w:t xml:space="preserve"> and Section </w:t>
      </w:r>
      <w:r>
        <w:rPr>
          <w:lang w:val="en-US"/>
        </w:rPr>
        <w:fldChar w:fldCharType="begin"/>
      </w:r>
      <w:r>
        <w:rPr>
          <w:lang w:val="en-US"/>
        </w:rPr>
        <w:instrText xml:space="preserve"> REF _Ref503187256 \r \h </w:instrText>
      </w:r>
      <w:r>
        <w:rPr>
          <w:lang w:val="en-US"/>
        </w:rPr>
      </w:r>
      <w:r>
        <w:rPr>
          <w:lang w:val="en-US"/>
        </w:rPr>
        <w:fldChar w:fldCharType="separate"/>
      </w:r>
      <w:r>
        <w:rPr>
          <w:lang w:val="en-US"/>
        </w:rPr>
        <w:t>4.8</w:t>
      </w:r>
      <w:r>
        <w:rPr>
          <w:lang w:val="en-US"/>
        </w:rPr>
        <w:fldChar w:fldCharType="end"/>
      </w:r>
      <w:r>
        <w:rPr>
          <w:lang w:val="en-US"/>
        </w:rPr>
        <w:t xml:space="preserve"> </w:t>
      </w:r>
      <w:r>
        <w:t>Adverse effects</w:t>
      </w:r>
      <w:r w:rsidRPr="00BE78D8">
        <w:rPr>
          <w:lang w:val="en-US"/>
        </w:rPr>
        <w:t>).</w:t>
      </w:r>
    </w:p>
    <w:p w14:paraId="1A30C88D" w14:textId="77777777" w:rsidR="00B871A6" w:rsidRPr="00B871A6" w:rsidRDefault="00B871A6" w:rsidP="00000F37">
      <w:pPr>
        <w:pStyle w:val="Heading3"/>
      </w:pPr>
      <w:r w:rsidRPr="00B871A6">
        <w:t>Use in hepatic impairment</w:t>
      </w:r>
    </w:p>
    <w:p w14:paraId="5C8A8790" w14:textId="03A79E10" w:rsidR="00B871A6" w:rsidRPr="00B871A6" w:rsidRDefault="00B871A6" w:rsidP="002C5F81">
      <w:pPr>
        <w:pStyle w:val="BodyText"/>
        <w:spacing w:before="120" w:after="60"/>
      </w:pPr>
      <w:r w:rsidRPr="00B871A6">
        <w:t xml:space="preserve">See </w:t>
      </w:r>
      <w:r w:rsidRPr="00B871A6">
        <w:fldChar w:fldCharType="begin"/>
      </w:r>
      <w:r w:rsidRPr="00B871A6">
        <w:instrText xml:space="preserve"> REF _Ref503529038 \r \h  \* MERGEFORMAT </w:instrText>
      </w:r>
      <w:r w:rsidRPr="00B871A6">
        <w:fldChar w:fldCharType="separate"/>
      </w:r>
      <w:r w:rsidR="0064223A">
        <w:t>4.2</w:t>
      </w:r>
      <w:r w:rsidRPr="00B871A6">
        <w:fldChar w:fldCharType="end"/>
      </w:r>
      <w:r w:rsidRPr="00B871A6">
        <w:t xml:space="preserve"> Dose and method of administration, Dosage adjustment in hepatic impairment and Section </w:t>
      </w:r>
      <w:r w:rsidR="007A21F2">
        <w:fldChar w:fldCharType="begin"/>
      </w:r>
      <w:r w:rsidR="007A21F2">
        <w:instrText xml:space="preserve"> REF _Ref523321075 \r \h </w:instrText>
      </w:r>
      <w:r w:rsidR="007A21F2">
        <w:fldChar w:fldCharType="separate"/>
      </w:r>
      <w:r w:rsidR="0064223A">
        <w:t>5.2</w:t>
      </w:r>
      <w:r w:rsidR="007A21F2">
        <w:fldChar w:fldCharType="end"/>
      </w:r>
      <w:r w:rsidR="007A21F2">
        <w:t xml:space="preserve"> </w:t>
      </w:r>
      <w:r w:rsidRPr="00B871A6">
        <w:t xml:space="preserve">Pharmacokinetic Properties, Special Populations, Hepatic </w:t>
      </w:r>
      <w:r w:rsidRPr="001F4EA0">
        <w:t>Impairment,</w:t>
      </w:r>
    </w:p>
    <w:p w14:paraId="3B0F9690" w14:textId="77777777" w:rsidR="00B871A6" w:rsidRPr="00B871A6" w:rsidRDefault="00B871A6" w:rsidP="00000F37">
      <w:pPr>
        <w:pStyle w:val="Heading3"/>
      </w:pPr>
      <w:r w:rsidRPr="00B871A6">
        <w:t>Use in renal impairment</w:t>
      </w:r>
    </w:p>
    <w:p w14:paraId="0B420282" w14:textId="7D3EFE05" w:rsidR="001F4EA0" w:rsidRDefault="00B871A6" w:rsidP="002C5F81">
      <w:pPr>
        <w:pStyle w:val="BodyText"/>
        <w:spacing w:before="120" w:after="60"/>
      </w:pPr>
      <w:r w:rsidRPr="00B871A6">
        <w:t xml:space="preserve">See </w:t>
      </w:r>
      <w:r w:rsidRPr="00B871A6">
        <w:fldChar w:fldCharType="begin"/>
      </w:r>
      <w:r w:rsidRPr="00B871A6">
        <w:instrText xml:space="preserve"> REF _Ref503529038 \r \h  \* MERGEFORMAT </w:instrText>
      </w:r>
      <w:r w:rsidRPr="00B871A6">
        <w:fldChar w:fldCharType="separate"/>
      </w:r>
      <w:r w:rsidR="0064223A">
        <w:t>4.2</w:t>
      </w:r>
      <w:r w:rsidRPr="00B871A6">
        <w:fldChar w:fldCharType="end"/>
      </w:r>
      <w:r w:rsidRPr="00B871A6">
        <w:t xml:space="preserve"> Dose and method of administration, Dosage adjustment in renal impairment and Section </w:t>
      </w:r>
      <w:r w:rsidR="007A21F2">
        <w:fldChar w:fldCharType="begin"/>
      </w:r>
      <w:r w:rsidR="007A21F2">
        <w:instrText xml:space="preserve"> REF _Ref523321075 \r \h </w:instrText>
      </w:r>
      <w:r w:rsidR="007A21F2">
        <w:fldChar w:fldCharType="separate"/>
      </w:r>
      <w:r w:rsidR="0064223A">
        <w:t>5.2</w:t>
      </w:r>
      <w:r w:rsidR="007A21F2">
        <w:fldChar w:fldCharType="end"/>
      </w:r>
      <w:r w:rsidRPr="00B871A6">
        <w:t xml:space="preserve"> Pharmacokinetic Properties, Special Populations, Renal </w:t>
      </w:r>
      <w:r w:rsidRPr="001F4EA0">
        <w:t>Impairment,</w:t>
      </w:r>
    </w:p>
    <w:p w14:paraId="2CE4A98C" w14:textId="2CBAA099" w:rsidR="00B662F4" w:rsidRDefault="00B662F4" w:rsidP="00B662F4">
      <w:pPr>
        <w:pStyle w:val="Heading3"/>
      </w:pPr>
      <w:r>
        <w:t xml:space="preserve">Use in the </w:t>
      </w:r>
      <w:r w:rsidR="00E35D44">
        <w:t>e</w:t>
      </w:r>
      <w:r>
        <w:t>lderly</w:t>
      </w:r>
    </w:p>
    <w:p w14:paraId="5B49216C" w14:textId="5878035E" w:rsidR="00B662F4" w:rsidRDefault="00B662F4" w:rsidP="002C5F81">
      <w:pPr>
        <w:pStyle w:val="BodyText"/>
        <w:spacing w:before="120" w:after="60"/>
      </w:pPr>
      <w:r w:rsidRPr="00032264">
        <w:t xml:space="preserve">Limited data are available in patients aged </w:t>
      </w:r>
      <w:r w:rsidR="006540BC">
        <w:sym w:font="Symbol" w:char="F0B3"/>
      </w:r>
      <w:r w:rsidRPr="00032264">
        <w:t>75 years.</w:t>
      </w:r>
      <w:r>
        <w:t xml:space="preserve"> </w:t>
      </w:r>
      <w:r w:rsidRPr="00032264">
        <w:t xml:space="preserve">LENVIMA </w:t>
      </w:r>
      <w:proofErr w:type="gramStart"/>
      <w:r w:rsidRPr="00032264">
        <w:t>should be used</w:t>
      </w:r>
      <w:proofErr w:type="gramEnd"/>
      <w:r w:rsidRPr="00032264">
        <w:t xml:space="preserve"> with caution in such patients, given the reduced tolerability of LENVIMA in elderly patients (</w:t>
      </w:r>
      <w:r w:rsidRPr="002D1C89">
        <w:t xml:space="preserve">see </w:t>
      </w:r>
      <w:r>
        <w:t xml:space="preserve">Section </w:t>
      </w:r>
      <w:r>
        <w:fldChar w:fldCharType="begin"/>
      </w:r>
      <w:r>
        <w:instrText xml:space="preserve"> REF _Ref503529038 \r \h </w:instrText>
      </w:r>
      <w:r>
        <w:fldChar w:fldCharType="separate"/>
      </w:r>
      <w:r w:rsidR="0064223A">
        <w:t>4.2</w:t>
      </w:r>
      <w:r>
        <w:fldChar w:fldCharType="end"/>
      </w:r>
      <w:r>
        <w:t xml:space="preserve"> Dose and method of administration and Section </w:t>
      </w:r>
      <w:r>
        <w:fldChar w:fldCharType="begin"/>
      </w:r>
      <w:r>
        <w:instrText xml:space="preserve"> REF _Ref503187256 \r \h </w:instrText>
      </w:r>
      <w:r>
        <w:fldChar w:fldCharType="separate"/>
      </w:r>
      <w:r w:rsidR="0064223A">
        <w:t>4.8</w:t>
      </w:r>
      <w:r>
        <w:fldChar w:fldCharType="end"/>
      </w:r>
      <w:r>
        <w:t xml:space="preserve"> Adverse effects</w:t>
      </w:r>
      <w:r w:rsidRPr="00032264">
        <w:t>, Other Special Populations).</w:t>
      </w:r>
    </w:p>
    <w:p w14:paraId="0C1D523F" w14:textId="0EAFDDD5" w:rsidR="00505C3C" w:rsidRPr="00505C3C" w:rsidRDefault="00505C3C" w:rsidP="00505C3C">
      <w:pPr>
        <w:pStyle w:val="Heading3"/>
      </w:pPr>
      <w:r w:rsidRPr="00505C3C">
        <w:t xml:space="preserve">Paediatric </w:t>
      </w:r>
      <w:r w:rsidR="00E35D44">
        <w:t>u</w:t>
      </w:r>
      <w:r w:rsidRPr="00505C3C">
        <w:t>se</w:t>
      </w:r>
    </w:p>
    <w:p w14:paraId="5BE90297" w14:textId="77777777" w:rsidR="00505C3C" w:rsidRPr="00505C3C" w:rsidRDefault="00505C3C" w:rsidP="002C5F81">
      <w:pPr>
        <w:pStyle w:val="BodyText"/>
        <w:spacing w:before="120" w:after="60"/>
      </w:pPr>
      <w:r w:rsidRPr="00505C3C">
        <w:t>Clinical data are not yet available in this population.</w:t>
      </w:r>
    </w:p>
    <w:p w14:paraId="6E590B5F" w14:textId="77777777" w:rsidR="00505C3C" w:rsidRPr="00032264" w:rsidRDefault="00505C3C" w:rsidP="002C5F81">
      <w:pPr>
        <w:pStyle w:val="BodyText"/>
        <w:spacing w:before="120" w:after="60"/>
      </w:pPr>
      <w:r w:rsidRPr="00505C3C">
        <w:t xml:space="preserve">Mortality was the dose-limiting toxicity in juvenile rats in which dosing </w:t>
      </w:r>
      <w:proofErr w:type="gramStart"/>
      <w:r w:rsidRPr="00505C3C">
        <w:t>was initiated</w:t>
      </w:r>
      <w:proofErr w:type="gramEnd"/>
      <w:r w:rsidRPr="00505C3C">
        <w:t xml:space="preserve"> on postnatal day (PND) 7 or PND21. Mortality occurred at lower doses in neonatal rats (dosing initiated on PND7), or after a shorter duration of treatment in juvenile rats (dosing initiated on PND21). The exposure (as AUC) to </w:t>
      </w:r>
      <w:proofErr w:type="spellStart"/>
      <w:r w:rsidRPr="00505C3C">
        <w:t>lenvatinib</w:t>
      </w:r>
      <w:proofErr w:type="spellEnd"/>
      <w:r w:rsidRPr="00505C3C">
        <w:t xml:space="preserve"> in juvenile rats </w:t>
      </w:r>
      <w:proofErr w:type="gramStart"/>
      <w:r w:rsidRPr="00505C3C">
        <w:t>was lower compared</w:t>
      </w:r>
      <w:proofErr w:type="gramEnd"/>
      <w:r w:rsidRPr="00505C3C">
        <w:t xml:space="preserve"> to adults, suggesting increased susceptibility to the toxic effects of </w:t>
      </w:r>
      <w:proofErr w:type="spellStart"/>
      <w:r w:rsidRPr="00505C3C">
        <w:t>lenvatinib</w:t>
      </w:r>
      <w:proofErr w:type="spellEnd"/>
      <w:r w:rsidRPr="00505C3C">
        <w:t xml:space="preserve"> in young animals. Growth retardation, secondary delay of physical development, and lesions attributable to pharmacologic effects (incisors, femur [epiphyseal growth plate], kidneys, adrenals, and duodenum) </w:t>
      </w:r>
      <w:proofErr w:type="gramStart"/>
      <w:r w:rsidRPr="00505C3C">
        <w:t>were also observed</w:t>
      </w:r>
      <w:proofErr w:type="gramEnd"/>
      <w:r w:rsidRPr="00505C3C">
        <w:t xml:space="preserve"> in juvenile rats.</w:t>
      </w:r>
    </w:p>
    <w:p w14:paraId="2E895AA6" w14:textId="77777777" w:rsidR="00B662F4" w:rsidRDefault="00B662F4" w:rsidP="00B662F4">
      <w:pPr>
        <w:pStyle w:val="Heading3"/>
      </w:pPr>
      <w:r>
        <w:lastRenderedPageBreak/>
        <w:t>Effects on laboratory tests</w:t>
      </w:r>
    </w:p>
    <w:p w14:paraId="666765D9" w14:textId="77777777" w:rsidR="00B662F4" w:rsidRDefault="00B662F4" w:rsidP="002C5F81">
      <w:pPr>
        <w:pStyle w:val="BodyText"/>
        <w:spacing w:before="120" w:after="60"/>
      </w:pPr>
      <w:r>
        <w:t>No data available</w:t>
      </w:r>
    </w:p>
    <w:p w14:paraId="201F15EF" w14:textId="77777777" w:rsidR="00032264" w:rsidRDefault="00032264" w:rsidP="00032264">
      <w:pPr>
        <w:pStyle w:val="Heading2"/>
        <w:ind w:left="578" w:hanging="578"/>
      </w:pPr>
      <w:bookmarkStart w:id="6" w:name="_Ref503187121"/>
      <w:r w:rsidRPr="00356A04">
        <w:t>Interactions with other medicines and other forms of interactions</w:t>
      </w:r>
      <w:bookmarkEnd w:id="6"/>
    </w:p>
    <w:p w14:paraId="2AB1F921" w14:textId="77777777" w:rsidR="00032264" w:rsidRPr="00BE78D8" w:rsidRDefault="00032264" w:rsidP="00032264">
      <w:pPr>
        <w:pStyle w:val="Heading3"/>
        <w:rPr>
          <w:lang w:val="en-US"/>
        </w:rPr>
      </w:pPr>
      <w:r w:rsidRPr="00BE78D8">
        <w:rPr>
          <w:lang w:val="en-US"/>
        </w:rPr>
        <w:t xml:space="preserve">Effect of other medicinal products on </w:t>
      </w:r>
      <w:r>
        <w:rPr>
          <w:lang w:val="en-US"/>
        </w:rPr>
        <w:t>LENVIMA</w:t>
      </w:r>
    </w:p>
    <w:p w14:paraId="452EC402" w14:textId="77777777" w:rsidR="00032264" w:rsidRPr="002F5578" w:rsidRDefault="00032264" w:rsidP="00032264">
      <w:pPr>
        <w:pStyle w:val="Heading4"/>
        <w:rPr>
          <w:lang w:val="en-US"/>
        </w:rPr>
      </w:pPr>
      <w:r w:rsidRPr="002F5578">
        <w:rPr>
          <w:lang w:val="en-US"/>
        </w:rPr>
        <w:t>CYP3A, P-</w:t>
      </w:r>
      <w:proofErr w:type="spellStart"/>
      <w:r w:rsidRPr="002F5578">
        <w:rPr>
          <w:lang w:val="en-US"/>
        </w:rPr>
        <w:t>gp</w:t>
      </w:r>
      <w:proofErr w:type="spellEnd"/>
      <w:r w:rsidRPr="002F5578">
        <w:rPr>
          <w:lang w:val="en-US"/>
        </w:rPr>
        <w:t xml:space="preserve">, and BCRP </w:t>
      </w:r>
      <w:r>
        <w:rPr>
          <w:lang w:val="en-US"/>
        </w:rPr>
        <w:t>inhibitors or inducers</w:t>
      </w:r>
    </w:p>
    <w:p w14:paraId="2E225C97" w14:textId="3AB50938" w:rsidR="00032264" w:rsidRPr="00BA1B54" w:rsidRDefault="00032264" w:rsidP="002C5F81">
      <w:pPr>
        <w:pStyle w:val="BodyText"/>
        <w:spacing w:before="120" w:after="60"/>
      </w:pPr>
      <w:r w:rsidRPr="00BA1B54">
        <w:t xml:space="preserve">LENVIMA </w:t>
      </w:r>
      <w:proofErr w:type="gramStart"/>
      <w:r w:rsidRPr="00BA1B54">
        <w:t>may be administered</w:t>
      </w:r>
      <w:proofErr w:type="gramEnd"/>
      <w:r w:rsidRPr="00BA1B54">
        <w:t xml:space="preserve"> regardless of co-administration with CYP</w:t>
      </w:r>
      <w:r w:rsidR="00920D76">
        <w:t>3A, P-</w:t>
      </w:r>
      <w:proofErr w:type="spellStart"/>
      <w:r w:rsidR="00920D76">
        <w:t>gp</w:t>
      </w:r>
      <w:proofErr w:type="spellEnd"/>
      <w:r w:rsidR="00920D76">
        <w:t xml:space="preserve">, and BCRP inhibitors. </w:t>
      </w:r>
      <w:r w:rsidRPr="00BA1B54">
        <w:t xml:space="preserve">In healthy subjects, ketoconazole (400 mg for 18 days) increased </w:t>
      </w:r>
      <w:proofErr w:type="spellStart"/>
      <w:r w:rsidRPr="00BA1B54">
        <w:t>lenvatinib</w:t>
      </w:r>
      <w:proofErr w:type="spellEnd"/>
      <w:r w:rsidRPr="00BA1B54">
        <w:t xml:space="preserve"> (administered as a single dose on Day 5) AUC</w:t>
      </w:r>
      <w:r w:rsidRPr="00BA1B54">
        <w:rPr>
          <w:vertAlign w:val="subscript"/>
        </w:rPr>
        <w:t>0-inf</w:t>
      </w:r>
      <w:r w:rsidRPr="00BA1B54">
        <w:t xml:space="preserve"> and AUC</w:t>
      </w:r>
      <w:r w:rsidRPr="00BA1B54">
        <w:rPr>
          <w:vertAlign w:val="subscript"/>
        </w:rPr>
        <w:t>0-t</w:t>
      </w:r>
      <w:r w:rsidRPr="00BA1B54">
        <w:t xml:space="preserve"> approximately 15% while </w:t>
      </w:r>
      <w:proofErr w:type="spellStart"/>
      <w:r w:rsidRPr="00BA1B54">
        <w:t>C</w:t>
      </w:r>
      <w:r w:rsidRPr="00BA1B54">
        <w:rPr>
          <w:vertAlign w:val="subscript"/>
        </w:rPr>
        <w:t>max</w:t>
      </w:r>
      <w:proofErr w:type="spellEnd"/>
      <w:r w:rsidRPr="00BA1B54">
        <w:t xml:space="preserve"> inc</w:t>
      </w:r>
      <w:r w:rsidR="002C5F81">
        <w:t xml:space="preserve">reased 19%. </w:t>
      </w:r>
      <w:r w:rsidRPr="00BA1B54">
        <w:t xml:space="preserve">This is supported by a population PK </w:t>
      </w:r>
      <w:proofErr w:type="gramStart"/>
      <w:r w:rsidRPr="00BA1B54">
        <w:t>analysis which</w:t>
      </w:r>
      <w:proofErr w:type="gramEnd"/>
      <w:r w:rsidRPr="00BA1B54">
        <w:t xml:space="preserve"> found CYP3A4 inhibitors decreased Cl/F by 7.8%.</w:t>
      </w:r>
    </w:p>
    <w:p w14:paraId="7446E0C4" w14:textId="41693679" w:rsidR="00032264" w:rsidRPr="004D4EB9" w:rsidRDefault="00032264" w:rsidP="002C5F81">
      <w:pPr>
        <w:pStyle w:val="BodyText"/>
        <w:spacing w:before="120" w:after="60"/>
      </w:pPr>
      <w:r w:rsidRPr="00BA1B54">
        <w:t>LENVIMA may be co-administered without dose adjustment with CYP3A and P-</w:t>
      </w:r>
      <w:proofErr w:type="spellStart"/>
      <w:r w:rsidRPr="00BA1B54">
        <w:t>gp</w:t>
      </w:r>
      <w:proofErr w:type="spellEnd"/>
      <w:r w:rsidRPr="00BA1B54">
        <w:t xml:space="preserve"> inducers, based on a study in which healthy subjects were administered repeated doses of rifampicin (600 mg for 21 days) and a single dose of </w:t>
      </w:r>
      <w:proofErr w:type="spellStart"/>
      <w:r w:rsidRPr="00BA1B54">
        <w:t>lenvatinib</w:t>
      </w:r>
      <w:proofErr w:type="spellEnd"/>
      <w:r w:rsidRPr="00BA1B54">
        <w:t xml:space="preserve"> (24 mg, Day 15).  AUC</w:t>
      </w:r>
      <w:r w:rsidRPr="00BA1B54">
        <w:rPr>
          <w:vertAlign w:val="subscript"/>
        </w:rPr>
        <w:t>0-inf</w:t>
      </w:r>
      <w:r w:rsidRPr="00BA1B54">
        <w:t xml:space="preserve"> and AUC</w:t>
      </w:r>
      <w:r w:rsidRPr="00BA1B54">
        <w:rPr>
          <w:vertAlign w:val="subscript"/>
        </w:rPr>
        <w:t>0-t</w:t>
      </w:r>
      <w:r w:rsidRPr="00BA1B54">
        <w:t xml:space="preserve"> decreased approximately 18% while </w:t>
      </w:r>
      <w:proofErr w:type="spellStart"/>
      <w:r w:rsidRPr="00BA1B54">
        <w:t>C</w:t>
      </w:r>
      <w:r w:rsidRPr="00BA1B54">
        <w:rPr>
          <w:vertAlign w:val="subscript"/>
        </w:rPr>
        <w:t>max</w:t>
      </w:r>
      <w:proofErr w:type="spellEnd"/>
      <w:r w:rsidR="00920D76">
        <w:t xml:space="preserve"> did not change. </w:t>
      </w:r>
      <w:r w:rsidRPr="00BA1B54">
        <w:t xml:space="preserve">The effect of CYP3A induction alone </w:t>
      </w:r>
      <w:proofErr w:type="gramStart"/>
      <w:r w:rsidRPr="00BA1B54">
        <w:t>was estimated</w:t>
      </w:r>
      <w:proofErr w:type="gramEnd"/>
      <w:r w:rsidRPr="00BA1B54">
        <w:t xml:space="preserve"> by comparing the PK parameters for </w:t>
      </w:r>
      <w:proofErr w:type="spellStart"/>
      <w:r w:rsidRPr="00BA1B54">
        <w:t>lenvatinib</w:t>
      </w:r>
      <w:proofErr w:type="spellEnd"/>
      <w:r w:rsidRPr="00BA1B54">
        <w:t xml:space="preserve"> following single and multiple doses of rifampicin.  </w:t>
      </w:r>
      <w:proofErr w:type="spellStart"/>
      <w:r w:rsidRPr="00BA1B54">
        <w:t>Lenvatinib</w:t>
      </w:r>
      <w:proofErr w:type="spellEnd"/>
      <w:r w:rsidRPr="00BA1B54">
        <w:t xml:space="preserve"> AUC and </w:t>
      </w:r>
      <w:proofErr w:type="spellStart"/>
      <w:r w:rsidRPr="00BA1B54">
        <w:t>C</w:t>
      </w:r>
      <w:r w:rsidRPr="00BA1B54">
        <w:rPr>
          <w:vertAlign w:val="subscript"/>
        </w:rPr>
        <w:t>max</w:t>
      </w:r>
      <w:proofErr w:type="spellEnd"/>
      <w:r w:rsidRPr="00BA1B54">
        <w:t xml:space="preserve"> </w:t>
      </w:r>
      <w:proofErr w:type="gramStart"/>
      <w:r w:rsidRPr="00BA1B54">
        <w:t>were predicted</w:t>
      </w:r>
      <w:proofErr w:type="gramEnd"/>
      <w:r w:rsidRPr="00BA1B54">
        <w:t xml:space="preserve"> to decrease by 30% and 15%, respectively, after strong induction in the absence of acute P-</w:t>
      </w:r>
      <w:proofErr w:type="spellStart"/>
      <w:r w:rsidRPr="00BA1B54">
        <w:t>gp</w:t>
      </w:r>
      <w:proofErr w:type="spellEnd"/>
      <w:r w:rsidRPr="00BA1B54">
        <w:t xml:space="preserve"> inhibition.  This is supported by a population PK </w:t>
      </w:r>
      <w:proofErr w:type="gramStart"/>
      <w:r w:rsidRPr="00BA1B54">
        <w:t>analysis which</w:t>
      </w:r>
      <w:proofErr w:type="gramEnd"/>
      <w:r w:rsidRPr="00BA1B54">
        <w:t xml:space="preserve"> found CYP3A4 inducers increased Cl/F by 30</w:t>
      </w:r>
      <w:r w:rsidRPr="004D4EB9">
        <w:t>%.</w:t>
      </w:r>
    </w:p>
    <w:p w14:paraId="02674D1E" w14:textId="77777777" w:rsidR="00032264" w:rsidRPr="00BE78D8" w:rsidRDefault="00032264" w:rsidP="00032264">
      <w:pPr>
        <w:pStyle w:val="Heading4"/>
        <w:rPr>
          <w:lang w:val="en-US"/>
        </w:rPr>
      </w:pPr>
      <w:r w:rsidRPr="00BE78D8">
        <w:rPr>
          <w:lang w:val="en-US"/>
        </w:rPr>
        <w:t>Gastric pH-altering agents</w:t>
      </w:r>
    </w:p>
    <w:p w14:paraId="50063796" w14:textId="77777777" w:rsidR="00032264" w:rsidRPr="00BE78D8" w:rsidRDefault="00032264" w:rsidP="00920D76">
      <w:pPr>
        <w:pStyle w:val="BodyText"/>
        <w:spacing w:before="120" w:after="60"/>
        <w:rPr>
          <w:lang w:val="en-US"/>
        </w:rPr>
      </w:pPr>
      <w:r w:rsidRPr="00BE78D8">
        <w:rPr>
          <w:lang w:val="en-US"/>
        </w:rPr>
        <w:t xml:space="preserve">In a population pharmacokinetic analysis of patients receiving </w:t>
      </w:r>
      <w:r>
        <w:rPr>
          <w:lang w:val="en-US"/>
        </w:rPr>
        <w:t>LENVIMA</w:t>
      </w:r>
      <w:r w:rsidRPr="00BE78D8">
        <w:rPr>
          <w:lang w:val="en-US"/>
        </w:rPr>
        <w:t xml:space="preserve"> up to 24 mg once daily, </w:t>
      </w:r>
      <w:proofErr w:type="gramStart"/>
      <w:r w:rsidRPr="00BE78D8">
        <w:rPr>
          <w:lang w:val="en-US"/>
        </w:rPr>
        <w:t>agents which increase gastric pH (H2 receptor blockers, proton pump inhibitors, antacids)</w:t>
      </w:r>
      <w:proofErr w:type="gramEnd"/>
      <w:r w:rsidRPr="00BE78D8">
        <w:rPr>
          <w:lang w:val="en-US"/>
        </w:rPr>
        <w:t xml:space="preserve"> did not have a significant effect on </w:t>
      </w:r>
      <w:proofErr w:type="spellStart"/>
      <w:r w:rsidRPr="00BE78D8">
        <w:rPr>
          <w:lang w:val="en-US"/>
        </w:rPr>
        <w:t>lenvatinib</w:t>
      </w:r>
      <w:proofErr w:type="spellEnd"/>
      <w:r w:rsidRPr="00BE78D8">
        <w:rPr>
          <w:lang w:val="en-US"/>
        </w:rPr>
        <w:t xml:space="preserve"> exposure.</w:t>
      </w:r>
    </w:p>
    <w:p w14:paraId="2C27FE6E" w14:textId="77777777" w:rsidR="00032264" w:rsidRPr="00BE78D8" w:rsidRDefault="00032264" w:rsidP="00032264">
      <w:pPr>
        <w:pStyle w:val="Heading4"/>
        <w:rPr>
          <w:lang w:val="en-US"/>
        </w:rPr>
      </w:pPr>
      <w:r w:rsidRPr="00BE78D8">
        <w:rPr>
          <w:lang w:val="en-US"/>
        </w:rPr>
        <w:t>Other chemotherapeutic agents</w:t>
      </w:r>
    </w:p>
    <w:p w14:paraId="03AB75A8" w14:textId="77777777" w:rsidR="00032264" w:rsidRPr="00BE78D8" w:rsidRDefault="00032264" w:rsidP="00920D76">
      <w:pPr>
        <w:pStyle w:val="BodyText"/>
        <w:spacing w:before="120" w:after="60"/>
        <w:rPr>
          <w:lang w:val="en-US"/>
        </w:rPr>
      </w:pPr>
      <w:r w:rsidRPr="00BE78D8">
        <w:rPr>
          <w:lang w:val="en-US"/>
        </w:rPr>
        <w:t xml:space="preserve">Concomitant administration of </w:t>
      </w:r>
      <w:proofErr w:type="spellStart"/>
      <w:r w:rsidRPr="00BE78D8">
        <w:rPr>
          <w:lang w:val="en-US"/>
        </w:rPr>
        <w:t>lenvatinib</w:t>
      </w:r>
      <w:proofErr w:type="spellEnd"/>
      <w:r w:rsidRPr="00BE78D8">
        <w:rPr>
          <w:lang w:val="en-US"/>
        </w:rPr>
        <w:t xml:space="preserve">, carboplatin, and paclitaxel </w:t>
      </w:r>
      <w:r>
        <w:rPr>
          <w:lang w:val="en-US"/>
        </w:rPr>
        <w:t>had</w:t>
      </w:r>
      <w:r w:rsidRPr="00BE78D8">
        <w:rPr>
          <w:lang w:val="en-US"/>
        </w:rPr>
        <w:t xml:space="preserve"> no significant impact on the pharmacokinetics of any of these </w:t>
      </w:r>
      <w:proofErr w:type="gramStart"/>
      <w:r w:rsidRPr="00BE78D8">
        <w:rPr>
          <w:lang w:val="en-US"/>
        </w:rPr>
        <w:t>3</w:t>
      </w:r>
      <w:proofErr w:type="gramEnd"/>
      <w:r>
        <w:rPr>
          <w:lang w:val="en-US"/>
        </w:rPr>
        <w:t xml:space="preserve"> substances</w:t>
      </w:r>
      <w:r w:rsidRPr="00BE78D8">
        <w:rPr>
          <w:lang w:val="en-US"/>
        </w:rPr>
        <w:t>.</w:t>
      </w:r>
    </w:p>
    <w:p w14:paraId="59A3E414" w14:textId="77777777" w:rsidR="00032264" w:rsidRPr="00BE78D8" w:rsidRDefault="00032264" w:rsidP="00032264">
      <w:pPr>
        <w:pStyle w:val="Heading3"/>
        <w:rPr>
          <w:lang w:val="en-US"/>
        </w:rPr>
      </w:pPr>
      <w:r w:rsidRPr="00BE78D8">
        <w:rPr>
          <w:lang w:val="en-US"/>
        </w:rPr>
        <w:t xml:space="preserve">Effect of </w:t>
      </w:r>
      <w:r>
        <w:rPr>
          <w:lang w:val="en-US"/>
        </w:rPr>
        <w:t>LENVIMA</w:t>
      </w:r>
      <w:r w:rsidRPr="00BE78D8">
        <w:rPr>
          <w:lang w:val="en-US"/>
        </w:rPr>
        <w:t xml:space="preserve"> on other medicinal products</w:t>
      </w:r>
    </w:p>
    <w:p w14:paraId="47EDCC43" w14:textId="77777777" w:rsidR="00032264" w:rsidRPr="00BE78D8" w:rsidRDefault="00032264" w:rsidP="00766F3B">
      <w:pPr>
        <w:pStyle w:val="Heading4"/>
        <w:rPr>
          <w:lang w:val="en-US"/>
        </w:rPr>
      </w:pPr>
      <w:r w:rsidRPr="00BE78D8">
        <w:rPr>
          <w:lang w:val="en-US"/>
        </w:rPr>
        <w:t>Cytochrome P450 or UGT enzyme substrates</w:t>
      </w:r>
    </w:p>
    <w:p w14:paraId="08C21384" w14:textId="77777777" w:rsidR="00032264" w:rsidRPr="00BE78D8" w:rsidRDefault="00032264" w:rsidP="00920D76">
      <w:pPr>
        <w:pStyle w:val="BodyText"/>
        <w:spacing w:before="120" w:after="60"/>
        <w:rPr>
          <w:lang w:val="en-US"/>
        </w:rPr>
      </w:pPr>
      <w:proofErr w:type="spellStart"/>
      <w:r w:rsidRPr="00BE78D8">
        <w:rPr>
          <w:lang w:val="en-US"/>
        </w:rPr>
        <w:t>Lenvatinib</w:t>
      </w:r>
      <w:proofErr w:type="spellEnd"/>
      <w:r w:rsidRPr="00BE78D8">
        <w:rPr>
          <w:lang w:val="en-US"/>
        </w:rPr>
        <w:t xml:space="preserve"> </w:t>
      </w:r>
      <w:proofErr w:type="gramStart"/>
      <w:r w:rsidRPr="00BE78D8">
        <w:rPr>
          <w:lang w:val="en-US"/>
        </w:rPr>
        <w:t>is considered</w:t>
      </w:r>
      <w:proofErr w:type="gramEnd"/>
      <w:r w:rsidRPr="00BE78D8">
        <w:rPr>
          <w:lang w:val="en-US"/>
        </w:rPr>
        <w:t xml:space="preserve"> neither a strong inhibitor nor </w:t>
      </w:r>
      <w:r>
        <w:rPr>
          <w:lang w:val="en-US"/>
        </w:rPr>
        <w:t xml:space="preserve">an </w:t>
      </w:r>
      <w:r w:rsidRPr="00BE78D8">
        <w:rPr>
          <w:lang w:val="en-US"/>
        </w:rPr>
        <w:t>inducer of cytochrome P450 or uridine 5’-diphosphoglucuronosyl transferase (UGT) enzymes.</w:t>
      </w:r>
    </w:p>
    <w:p w14:paraId="1B915EC9" w14:textId="77777777" w:rsidR="00032264" w:rsidRPr="00BE78D8" w:rsidRDefault="00032264" w:rsidP="00766F3B">
      <w:pPr>
        <w:pStyle w:val="Heading4"/>
        <w:rPr>
          <w:lang w:val="en-US"/>
        </w:rPr>
      </w:pPr>
      <w:r w:rsidRPr="00BE78D8">
        <w:rPr>
          <w:lang w:val="en-US"/>
        </w:rPr>
        <w:t>P-</w:t>
      </w:r>
      <w:proofErr w:type="spellStart"/>
      <w:r w:rsidRPr="00BE78D8">
        <w:rPr>
          <w:lang w:val="en-US"/>
        </w:rPr>
        <w:t>gp</w:t>
      </w:r>
      <w:proofErr w:type="spellEnd"/>
      <w:r w:rsidRPr="00BE78D8">
        <w:rPr>
          <w:lang w:val="en-US"/>
        </w:rPr>
        <w:t xml:space="preserve"> and BCRP substrates</w:t>
      </w:r>
    </w:p>
    <w:p w14:paraId="32EE00D0" w14:textId="77777777" w:rsidR="00032264" w:rsidRPr="00BE78D8" w:rsidRDefault="00032264" w:rsidP="00920D76">
      <w:pPr>
        <w:pStyle w:val="BodyText"/>
        <w:spacing w:before="120" w:after="60"/>
        <w:rPr>
          <w:lang w:val="en-US"/>
        </w:rPr>
      </w:pPr>
      <w:proofErr w:type="spellStart"/>
      <w:r w:rsidRPr="00BE78D8">
        <w:rPr>
          <w:lang w:val="en-US"/>
        </w:rPr>
        <w:t>Lenvatinib</w:t>
      </w:r>
      <w:proofErr w:type="spellEnd"/>
      <w:r w:rsidRPr="00BE78D8">
        <w:rPr>
          <w:lang w:val="en-US"/>
        </w:rPr>
        <w:t xml:space="preserve"> showed minimal inhibitory activities toward P-</w:t>
      </w:r>
      <w:proofErr w:type="spellStart"/>
      <w:r w:rsidRPr="00BE78D8">
        <w:rPr>
          <w:lang w:val="en-US"/>
        </w:rPr>
        <w:t>gp</w:t>
      </w:r>
      <w:proofErr w:type="spellEnd"/>
      <w:r w:rsidRPr="00BE78D8">
        <w:rPr>
          <w:lang w:val="en-US"/>
        </w:rPr>
        <w:t>-mediated and BCRP-mediated transport activities. Similarly, no induction of P-</w:t>
      </w:r>
      <w:proofErr w:type="spellStart"/>
      <w:r w:rsidRPr="00BE78D8">
        <w:rPr>
          <w:lang w:val="en-US"/>
        </w:rPr>
        <w:t>gp</w:t>
      </w:r>
      <w:proofErr w:type="spellEnd"/>
      <w:r w:rsidRPr="00BE78D8">
        <w:rPr>
          <w:lang w:val="en-US"/>
        </w:rPr>
        <w:t xml:space="preserve"> mRNA expression </w:t>
      </w:r>
      <w:proofErr w:type="gramStart"/>
      <w:r w:rsidRPr="00BE78D8">
        <w:rPr>
          <w:lang w:val="en-US"/>
        </w:rPr>
        <w:t>was observed</w:t>
      </w:r>
      <w:proofErr w:type="gramEnd"/>
      <w:r w:rsidRPr="00BE78D8">
        <w:rPr>
          <w:lang w:val="en-US"/>
        </w:rPr>
        <w:t>.</w:t>
      </w:r>
    </w:p>
    <w:p w14:paraId="356B5574" w14:textId="67AA313E" w:rsidR="00032264" w:rsidRPr="00BE78D8" w:rsidRDefault="00032264" w:rsidP="00766F3B">
      <w:pPr>
        <w:pStyle w:val="Heading4"/>
        <w:rPr>
          <w:lang w:val="en-US"/>
        </w:rPr>
      </w:pPr>
      <w:r w:rsidRPr="00BE78D8">
        <w:rPr>
          <w:lang w:val="en-US"/>
        </w:rPr>
        <w:lastRenderedPageBreak/>
        <w:t xml:space="preserve">OAT, OCT, OATP, BSEP, </w:t>
      </w:r>
      <w:r w:rsidR="00531456">
        <w:rPr>
          <w:lang w:val="en-US"/>
        </w:rPr>
        <w:t xml:space="preserve">MATE </w:t>
      </w:r>
      <w:r w:rsidRPr="00BE78D8">
        <w:rPr>
          <w:lang w:val="en-US"/>
        </w:rPr>
        <w:t>and aldehyde oxidase substrates</w:t>
      </w:r>
    </w:p>
    <w:p w14:paraId="71BA1496" w14:textId="187D2615" w:rsidR="00032264" w:rsidRPr="00BE78D8" w:rsidRDefault="00032264" w:rsidP="00920D76">
      <w:pPr>
        <w:pStyle w:val="BodyText"/>
        <w:spacing w:before="120" w:after="60"/>
        <w:rPr>
          <w:lang w:val="en-US"/>
        </w:rPr>
      </w:pPr>
      <w:proofErr w:type="spellStart"/>
      <w:r w:rsidRPr="00BE78D8">
        <w:rPr>
          <w:lang w:val="en-US"/>
        </w:rPr>
        <w:t>Lenvatinib</w:t>
      </w:r>
      <w:proofErr w:type="spellEnd"/>
      <w:r w:rsidRPr="00BE78D8">
        <w:rPr>
          <w:lang w:val="en-US"/>
        </w:rPr>
        <w:t xml:space="preserve"> showed inhibitory effects on organic anion transporter (OAT</w:t>
      </w:r>
      <w:proofErr w:type="gramStart"/>
      <w:r w:rsidRPr="00BE78D8">
        <w:rPr>
          <w:lang w:val="en-US"/>
        </w:rPr>
        <w:t>)1</w:t>
      </w:r>
      <w:proofErr w:type="gramEnd"/>
      <w:r w:rsidRPr="00BE78D8">
        <w:rPr>
          <w:lang w:val="en-US"/>
        </w:rPr>
        <w:t>, OAT3, organic cation transporter</w:t>
      </w:r>
      <w:r>
        <w:rPr>
          <w:lang w:val="en-US"/>
        </w:rPr>
        <w:t xml:space="preserve"> </w:t>
      </w:r>
      <w:r w:rsidRPr="00BE78D8">
        <w:rPr>
          <w:lang w:val="en-US"/>
        </w:rPr>
        <w:t>(OCT)1, OCT2, organic anion transporting polypeptide (OATP)1B1, and bile salt export pump (BSEP), but minimal or no inhibitory effect on OATP1B3</w:t>
      </w:r>
      <w:r w:rsidR="00B0520F">
        <w:rPr>
          <w:lang w:val="en-US"/>
        </w:rPr>
        <w:t xml:space="preserve"> </w:t>
      </w:r>
      <w:r w:rsidR="00B0520F" w:rsidRPr="00F81BD1">
        <w:rPr>
          <w:szCs w:val="24"/>
          <w:lang w:val="en-US"/>
        </w:rPr>
        <w:t>and multidrug and toxin extrusion 2 (M</w:t>
      </w:r>
      <w:r w:rsidR="00B0520F">
        <w:rPr>
          <w:szCs w:val="24"/>
          <w:lang w:val="en-US"/>
        </w:rPr>
        <w:t>ATE2)-K.</w:t>
      </w:r>
      <w:r w:rsidR="00B0520F" w:rsidRPr="00F81BD1">
        <w:rPr>
          <w:szCs w:val="24"/>
          <w:lang w:val="en-US"/>
        </w:rPr>
        <w:t xml:space="preserve"> </w:t>
      </w:r>
      <w:proofErr w:type="spellStart"/>
      <w:r w:rsidR="00B0520F" w:rsidRPr="00F81BD1">
        <w:rPr>
          <w:szCs w:val="24"/>
          <w:lang w:val="en-US"/>
        </w:rPr>
        <w:t>Lenvatinib</w:t>
      </w:r>
      <w:proofErr w:type="spellEnd"/>
      <w:r w:rsidR="00B0520F" w:rsidRPr="00F81BD1">
        <w:rPr>
          <w:szCs w:val="24"/>
          <w:lang w:val="en-US"/>
        </w:rPr>
        <w:t xml:space="preserve"> weakly inhibits MATE1</w:t>
      </w:r>
      <w:r w:rsidRPr="00BE78D8">
        <w:rPr>
          <w:lang w:val="en-US"/>
        </w:rPr>
        <w:t xml:space="preserve">. In human liver cytosol, </w:t>
      </w:r>
      <w:proofErr w:type="spellStart"/>
      <w:r w:rsidRPr="00BE78D8">
        <w:rPr>
          <w:lang w:val="en-US"/>
        </w:rPr>
        <w:t>lenvatinib</w:t>
      </w:r>
      <w:proofErr w:type="spellEnd"/>
      <w:r w:rsidRPr="00BE78D8">
        <w:rPr>
          <w:lang w:val="en-US"/>
        </w:rPr>
        <w:t xml:space="preserve"> did not inhibit aldehyde oxidase activity.</w:t>
      </w:r>
    </w:p>
    <w:p w14:paraId="58459F65" w14:textId="0E793A26" w:rsidR="00032264" w:rsidRPr="00356A04" w:rsidRDefault="00032264" w:rsidP="00032264">
      <w:pPr>
        <w:pStyle w:val="Heading2"/>
        <w:ind w:left="578" w:hanging="578"/>
      </w:pPr>
      <w:r w:rsidRPr="00356A04">
        <w:t>Fer</w:t>
      </w:r>
      <w:r w:rsidR="006540BC">
        <w:t>tility, pregnancy and lactation</w:t>
      </w:r>
    </w:p>
    <w:p w14:paraId="2866DAED" w14:textId="77777777" w:rsidR="00303B57" w:rsidRPr="00032264" w:rsidRDefault="00303B57" w:rsidP="00032264">
      <w:pPr>
        <w:pStyle w:val="Heading3"/>
      </w:pPr>
      <w:r w:rsidRPr="00032264">
        <w:t>Effects on Fertility</w:t>
      </w:r>
    </w:p>
    <w:p w14:paraId="2866DAEF" w14:textId="3E850E15" w:rsidR="00303B57" w:rsidRPr="00032264" w:rsidRDefault="00303B57" w:rsidP="00920D76">
      <w:pPr>
        <w:pStyle w:val="BodyText"/>
        <w:spacing w:before="120" w:after="60"/>
      </w:pPr>
      <w:r w:rsidRPr="00032264">
        <w:t xml:space="preserve">Effects in humans are unknown. However, testicular and ovarian toxicity </w:t>
      </w:r>
      <w:proofErr w:type="gramStart"/>
      <w:r w:rsidRPr="00032264">
        <w:t>has been obser</w:t>
      </w:r>
      <w:r w:rsidR="00920D76">
        <w:t>ved</w:t>
      </w:r>
      <w:proofErr w:type="gramEnd"/>
      <w:r w:rsidR="00920D76">
        <w:t xml:space="preserve"> in rats, dogs, and monkeys.</w:t>
      </w:r>
    </w:p>
    <w:p w14:paraId="2866DAF1" w14:textId="4B3A0D77" w:rsidR="00303B57" w:rsidRPr="00032264" w:rsidRDefault="00303B57" w:rsidP="00920D76">
      <w:pPr>
        <w:pStyle w:val="BodyText"/>
        <w:spacing w:before="120" w:after="60"/>
      </w:pPr>
      <w:r w:rsidRPr="00032264">
        <w:t xml:space="preserve">No specific studies with </w:t>
      </w:r>
      <w:proofErr w:type="spellStart"/>
      <w:r w:rsidRPr="00032264">
        <w:t>lenvatinib</w:t>
      </w:r>
      <w:proofErr w:type="spellEnd"/>
      <w:r w:rsidRPr="00032264">
        <w:t xml:space="preserve"> </w:t>
      </w:r>
      <w:proofErr w:type="gramStart"/>
      <w:r w:rsidRPr="00032264">
        <w:t>have been conducted</w:t>
      </w:r>
      <w:proofErr w:type="gramEnd"/>
      <w:r w:rsidRPr="00032264">
        <w:t xml:space="preserve"> in animals to evaluate the effect on fertility. However, testicular and ovarian changes </w:t>
      </w:r>
      <w:proofErr w:type="gramStart"/>
      <w:r w:rsidRPr="00032264">
        <w:t>were observed</w:t>
      </w:r>
      <w:proofErr w:type="gramEnd"/>
      <w:r w:rsidRPr="00032264">
        <w:t xml:space="preserve"> in repeated-dose toxicity studies in animals at exposures 11 to 15 times (rat) or 0.6 to 7 times (monkey) the anticipated clinical exposure (based on AUC) at the maximum tolerated human dose. These findings were reversible at the end of a 4–week recovery period.</w:t>
      </w:r>
    </w:p>
    <w:p w14:paraId="738F6141" w14:textId="77777777" w:rsidR="00032264" w:rsidRDefault="00C6307C" w:rsidP="00032264">
      <w:pPr>
        <w:pStyle w:val="Heading3"/>
      </w:pPr>
      <w:r w:rsidRPr="00032264">
        <w:t xml:space="preserve">Use in Pregnancy </w:t>
      </w:r>
    </w:p>
    <w:p w14:paraId="2866DAF3" w14:textId="6C380B18" w:rsidR="00C6307C" w:rsidRDefault="00032264" w:rsidP="00920D76">
      <w:pPr>
        <w:pStyle w:val="BodyText"/>
        <w:spacing w:before="120" w:after="60"/>
      </w:pPr>
      <w:r>
        <w:t xml:space="preserve">Pregnancy </w:t>
      </w:r>
      <w:r w:rsidR="00C6307C" w:rsidRPr="00032264">
        <w:t>Category D</w:t>
      </w:r>
      <w:r>
        <w:t>.</w:t>
      </w:r>
    </w:p>
    <w:p w14:paraId="2866DAF5" w14:textId="5CD936B9" w:rsidR="00C6307C" w:rsidRPr="00032264" w:rsidRDefault="00C6307C" w:rsidP="00920D76">
      <w:pPr>
        <w:pStyle w:val="BodyText"/>
        <w:spacing w:before="120" w:after="60"/>
      </w:pPr>
      <w:r w:rsidRPr="00032264">
        <w:t>There is</w:t>
      </w:r>
      <w:r w:rsidR="00A21782" w:rsidRPr="00032264">
        <w:t xml:space="preserve"> limited</w:t>
      </w:r>
      <w:r w:rsidRPr="00032264">
        <w:t xml:space="preserve"> information on the use of </w:t>
      </w:r>
      <w:r w:rsidR="00221DDE" w:rsidRPr="00032264">
        <w:t>LENVIMA</w:t>
      </w:r>
      <w:r w:rsidRPr="00032264">
        <w:t xml:space="preserve"> in pregnant women. </w:t>
      </w:r>
      <w:proofErr w:type="spellStart"/>
      <w:r w:rsidRPr="00032264">
        <w:t>Lenvatinib</w:t>
      </w:r>
      <w:proofErr w:type="spellEnd"/>
      <w:r w:rsidRPr="00032264">
        <w:t xml:space="preserve"> was </w:t>
      </w:r>
      <w:proofErr w:type="spellStart"/>
      <w:r w:rsidRPr="00032264">
        <w:t>embryotoxic</w:t>
      </w:r>
      <w:proofErr w:type="spellEnd"/>
      <w:r w:rsidRPr="00032264">
        <w:t xml:space="preserve"> and teratogenic when administered to rats and rabbits</w:t>
      </w:r>
      <w:r w:rsidR="00EA041B" w:rsidRPr="00032264">
        <w:t xml:space="preserve"> </w:t>
      </w:r>
      <w:proofErr w:type="gramStart"/>
      <w:r w:rsidR="00EA041B" w:rsidRPr="00032264">
        <w:t>during organogenesis at exposures below the clinical exposure (based on body surface area)</w:t>
      </w:r>
      <w:proofErr w:type="gramEnd"/>
      <w:r w:rsidR="00EA041B" w:rsidRPr="00032264">
        <w:t xml:space="preserve"> at the maximum recommended human dose. </w:t>
      </w:r>
      <w:proofErr w:type="spellStart"/>
      <w:r w:rsidR="00EA041B" w:rsidRPr="00032264">
        <w:t>Fetal</w:t>
      </w:r>
      <w:proofErr w:type="spellEnd"/>
      <w:r w:rsidR="00EA041B" w:rsidRPr="00032264">
        <w:t xml:space="preserve"> anomalies included parietal oedema, </w:t>
      </w:r>
      <w:proofErr w:type="spellStart"/>
      <w:r w:rsidR="00EA041B" w:rsidRPr="00032264">
        <w:t>cryptophthalmia</w:t>
      </w:r>
      <w:proofErr w:type="spellEnd"/>
      <w:r w:rsidR="00EA041B" w:rsidRPr="00032264">
        <w:t>, abnormal tail</w:t>
      </w:r>
      <w:r w:rsidR="00D52723" w:rsidRPr="00032264">
        <w:t xml:space="preserve"> (rats)</w:t>
      </w:r>
      <w:r w:rsidR="00EA041B" w:rsidRPr="00032264">
        <w:t xml:space="preserve">, </w:t>
      </w:r>
      <w:proofErr w:type="spellStart"/>
      <w:r w:rsidR="00EA041B" w:rsidRPr="00032264">
        <w:t>retroesophageal</w:t>
      </w:r>
      <w:proofErr w:type="spellEnd"/>
      <w:r w:rsidR="00EA041B" w:rsidRPr="00032264">
        <w:t xml:space="preserve"> subclavian artery, fused ribs, and vertebral abnormalities</w:t>
      </w:r>
      <w:r w:rsidR="00D52723" w:rsidRPr="00032264">
        <w:t xml:space="preserve"> (rabbits)</w:t>
      </w:r>
      <w:r w:rsidR="00EA041B" w:rsidRPr="00032264">
        <w:t xml:space="preserve">. These </w:t>
      </w:r>
      <w:proofErr w:type="spellStart"/>
      <w:r w:rsidR="00EA041B" w:rsidRPr="00032264">
        <w:t>embryofetal</w:t>
      </w:r>
      <w:proofErr w:type="spellEnd"/>
      <w:r w:rsidR="00EA041B" w:rsidRPr="00032264">
        <w:t xml:space="preserve"> findings </w:t>
      </w:r>
      <w:proofErr w:type="gramStart"/>
      <w:r w:rsidR="00EA041B" w:rsidRPr="00032264">
        <w:t>are probably related</w:t>
      </w:r>
      <w:proofErr w:type="gramEnd"/>
      <w:r w:rsidR="00EA041B" w:rsidRPr="00032264">
        <w:t xml:space="preserve"> to the pharmacologic activity of </w:t>
      </w:r>
      <w:proofErr w:type="spellStart"/>
      <w:r w:rsidR="00EA041B" w:rsidRPr="00032264">
        <w:t>lenvatinib</w:t>
      </w:r>
      <w:proofErr w:type="spellEnd"/>
      <w:r w:rsidR="00EA041B" w:rsidRPr="00032264">
        <w:t xml:space="preserve"> as an antiangiogenic agent</w:t>
      </w:r>
      <w:r w:rsidRPr="00032264">
        <w:t>.</w:t>
      </w:r>
    </w:p>
    <w:p w14:paraId="2866DAF7" w14:textId="7B5196B0" w:rsidR="00E84DC8" w:rsidRPr="00032264" w:rsidRDefault="00221DDE" w:rsidP="00920D76">
      <w:pPr>
        <w:pStyle w:val="BodyText"/>
        <w:spacing w:before="120" w:after="60"/>
      </w:pPr>
      <w:r w:rsidRPr="00032264">
        <w:t>LENVIMA</w:t>
      </w:r>
      <w:r w:rsidR="00C6307C" w:rsidRPr="00032264">
        <w:t xml:space="preserve"> should not be used during pregnanc</w:t>
      </w:r>
      <w:r w:rsidR="00366E64" w:rsidRPr="00032264">
        <w:t>y unless clearly necessary and a</w:t>
      </w:r>
      <w:r w:rsidR="00C6307C" w:rsidRPr="00032264">
        <w:t>fter a careful consideration of</w:t>
      </w:r>
      <w:r w:rsidR="00366E64" w:rsidRPr="00032264">
        <w:t xml:space="preserve"> </w:t>
      </w:r>
      <w:r w:rsidR="00C6307C" w:rsidRPr="00032264">
        <w:t>the needs of the mot</w:t>
      </w:r>
      <w:r w:rsidR="00920D76">
        <w:t>her and the risk to the foetus.</w:t>
      </w:r>
    </w:p>
    <w:p w14:paraId="2866DAF9" w14:textId="77777777" w:rsidR="00E84DC8" w:rsidRPr="00032264" w:rsidRDefault="00527492" w:rsidP="00032264">
      <w:pPr>
        <w:pStyle w:val="Heading3"/>
      </w:pPr>
      <w:r w:rsidRPr="00032264">
        <w:t>Women of childbearing potential</w:t>
      </w:r>
    </w:p>
    <w:p w14:paraId="2866DAFA" w14:textId="42DBC738" w:rsidR="00E84DC8" w:rsidRPr="00032264" w:rsidRDefault="00E84DC8" w:rsidP="00920D76">
      <w:pPr>
        <w:pStyle w:val="BodyText"/>
        <w:spacing w:before="120" w:after="60"/>
      </w:pPr>
      <w:r w:rsidRPr="00032264">
        <w:t xml:space="preserve">Women of childbearing potential should avoid becoming pregnant and use highly effective contraception while on treatment with </w:t>
      </w:r>
      <w:r w:rsidR="00221DDE" w:rsidRPr="00032264">
        <w:t>LENVIMA</w:t>
      </w:r>
      <w:r w:rsidRPr="00032264">
        <w:t xml:space="preserve"> and for at least one month after finishing treatment. It is currently unknown whether </w:t>
      </w:r>
      <w:r w:rsidR="00221DDE" w:rsidRPr="00032264">
        <w:t>LENVIMA</w:t>
      </w:r>
      <w:r w:rsidRPr="00032264">
        <w:t xml:space="preserve"> may reduce the effectiveness of hormonal contraceptives, and therefore women using oral hormonal contraceptives should add a barrier method.</w:t>
      </w:r>
    </w:p>
    <w:p w14:paraId="2866DAFC" w14:textId="77777777" w:rsidR="00C6307C" w:rsidRPr="00032264" w:rsidRDefault="00C6307C" w:rsidP="00032264">
      <w:pPr>
        <w:pStyle w:val="Heading3"/>
      </w:pPr>
      <w:r w:rsidRPr="00032264">
        <w:t xml:space="preserve">Use </w:t>
      </w:r>
      <w:proofErr w:type="gramStart"/>
      <w:r w:rsidRPr="00032264">
        <w:t>In</w:t>
      </w:r>
      <w:proofErr w:type="gramEnd"/>
      <w:r w:rsidRPr="00032264">
        <w:t xml:space="preserve"> Lactation</w:t>
      </w:r>
    </w:p>
    <w:p w14:paraId="2866DAFE" w14:textId="5DA0D1E7" w:rsidR="00C6307C" w:rsidRPr="00032264" w:rsidRDefault="00C6307C" w:rsidP="00920D76">
      <w:pPr>
        <w:pStyle w:val="BodyText"/>
        <w:spacing w:before="120" w:after="60"/>
      </w:pPr>
      <w:r w:rsidRPr="00032264">
        <w:t xml:space="preserve">It </w:t>
      </w:r>
      <w:proofErr w:type="gramStart"/>
      <w:r w:rsidRPr="00032264">
        <w:t>is not known</w:t>
      </w:r>
      <w:proofErr w:type="gramEnd"/>
      <w:r w:rsidRPr="00032264">
        <w:t xml:space="preserve"> whether </w:t>
      </w:r>
      <w:proofErr w:type="spellStart"/>
      <w:r w:rsidRPr="00032264">
        <w:t>lenvatinib</w:t>
      </w:r>
      <w:proofErr w:type="spellEnd"/>
      <w:r w:rsidRPr="00032264">
        <w:t xml:space="preserve"> is excreted in human milk. </w:t>
      </w:r>
      <w:proofErr w:type="spellStart"/>
      <w:r w:rsidRPr="00032264">
        <w:t>Lenvatinib</w:t>
      </w:r>
      <w:proofErr w:type="spellEnd"/>
      <w:r w:rsidRPr="00032264">
        <w:t xml:space="preserve"> and its metabolites </w:t>
      </w:r>
      <w:proofErr w:type="gramStart"/>
      <w:r w:rsidRPr="00032264">
        <w:t>are excreted</w:t>
      </w:r>
      <w:proofErr w:type="gramEnd"/>
      <w:r w:rsidRPr="00032264">
        <w:t xml:space="preserve"> in rat milk</w:t>
      </w:r>
      <w:r w:rsidR="00C92DDE" w:rsidRPr="00032264">
        <w:t xml:space="preserve"> and neonatal rats were more sensitive to the toxicity of </w:t>
      </w:r>
      <w:proofErr w:type="spellStart"/>
      <w:r w:rsidR="00C92DDE" w:rsidRPr="00032264">
        <w:t>lenvatinib</w:t>
      </w:r>
      <w:proofErr w:type="spellEnd"/>
      <w:r w:rsidR="00C92DDE" w:rsidRPr="00032264">
        <w:t xml:space="preserve"> compared to adults (See </w:t>
      </w:r>
      <w:r w:rsidR="007B4197">
        <w:t xml:space="preserve">Section </w:t>
      </w:r>
      <w:r w:rsidR="007B4197">
        <w:fldChar w:fldCharType="begin"/>
      </w:r>
      <w:r w:rsidR="007B4197">
        <w:instrText xml:space="preserve"> REF _Ref503187146 \r \h </w:instrText>
      </w:r>
      <w:r w:rsidR="007B4197">
        <w:fldChar w:fldCharType="separate"/>
      </w:r>
      <w:r w:rsidR="0064223A">
        <w:t>4.4</w:t>
      </w:r>
      <w:r w:rsidR="007B4197">
        <w:fldChar w:fldCharType="end"/>
      </w:r>
      <w:r w:rsidR="008B3996">
        <w:t xml:space="preserve"> Special warnings and precautions for use</w:t>
      </w:r>
      <w:r w:rsidR="007B4197">
        <w:t xml:space="preserve">, </w:t>
      </w:r>
      <w:r w:rsidR="00C92DDE" w:rsidRPr="00032264">
        <w:t xml:space="preserve">Paediatric </w:t>
      </w:r>
      <w:r w:rsidR="00C92DDE" w:rsidRPr="00032264">
        <w:lastRenderedPageBreak/>
        <w:t>Use)</w:t>
      </w:r>
      <w:r w:rsidRPr="00032264">
        <w:t>.</w:t>
      </w:r>
      <w:r w:rsidR="00C92DDE" w:rsidRPr="00032264">
        <w:t xml:space="preserve"> Therefore, a</w:t>
      </w:r>
      <w:r w:rsidRPr="00032264">
        <w:t xml:space="preserve"> risk to newborns or infants </w:t>
      </w:r>
      <w:proofErr w:type="gramStart"/>
      <w:r w:rsidRPr="00032264">
        <w:t>cannot be excluded</w:t>
      </w:r>
      <w:proofErr w:type="gramEnd"/>
      <w:r w:rsidRPr="00032264">
        <w:t xml:space="preserve"> and </w:t>
      </w:r>
      <w:r w:rsidR="00221DDE" w:rsidRPr="00032264">
        <w:t>LENVIMA</w:t>
      </w:r>
      <w:r w:rsidRPr="00032264">
        <w:t xml:space="preserve"> should not be used during breastfeeding.</w:t>
      </w:r>
    </w:p>
    <w:p w14:paraId="2866DB0E" w14:textId="5B91E357" w:rsidR="00CB2DC4" w:rsidRPr="00032264" w:rsidRDefault="00CB2DC4" w:rsidP="00032264">
      <w:pPr>
        <w:pStyle w:val="Heading2"/>
      </w:pPr>
      <w:r w:rsidRPr="00032264">
        <w:t>Effects on ability to drive and use machines</w:t>
      </w:r>
    </w:p>
    <w:p w14:paraId="2866DB10" w14:textId="0784D55B" w:rsidR="00CB2DC4" w:rsidRPr="00032264" w:rsidRDefault="00CB2DC4" w:rsidP="00920D76">
      <w:pPr>
        <w:pStyle w:val="BodyText"/>
        <w:spacing w:before="120" w:after="60"/>
      </w:pPr>
      <w:r w:rsidRPr="00032264">
        <w:t xml:space="preserve">No studies on the effects on the ability to drive and use machines </w:t>
      </w:r>
      <w:proofErr w:type="gramStart"/>
      <w:r w:rsidRPr="00032264">
        <w:t>have been performed</w:t>
      </w:r>
      <w:proofErr w:type="gramEnd"/>
      <w:r w:rsidRPr="00032264">
        <w:t xml:space="preserve">. </w:t>
      </w:r>
      <w:r w:rsidR="00221DDE" w:rsidRPr="00032264">
        <w:t>LENVIMA</w:t>
      </w:r>
      <w:r w:rsidRPr="00032264">
        <w:t xml:space="preserve"> may cause side effects such as fatigue and dizziness. Patients who experience these symptoms should use caution when driving or operating machines.</w:t>
      </w:r>
    </w:p>
    <w:p w14:paraId="2C2FC3AC" w14:textId="77777777" w:rsidR="00766F3B" w:rsidRDefault="00766F3B" w:rsidP="00766F3B">
      <w:pPr>
        <w:pStyle w:val="Heading2"/>
        <w:ind w:left="578" w:hanging="578"/>
      </w:pPr>
      <w:bookmarkStart w:id="7" w:name="_Ref503187256"/>
      <w:r w:rsidRPr="00356A04">
        <w:t>Adverse effects (Undesirable effects)</w:t>
      </w:r>
      <w:bookmarkEnd w:id="7"/>
    </w:p>
    <w:p w14:paraId="2866DB30" w14:textId="08CC10D3" w:rsidR="00026C88" w:rsidRPr="00BE78D8" w:rsidRDefault="00026C88" w:rsidP="00766F3B">
      <w:pPr>
        <w:pStyle w:val="Heading3"/>
        <w:rPr>
          <w:lang w:val="en-US"/>
        </w:rPr>
      </w:pPr>
      <w:r w:rsidRPr="00BE78D8">
        <w:rPr>
          <w:lang w:val="en-US"/>
        </w:rPr>
        <w:t xml:space="preserve">Clinical </w:t>
      </w:r>
      <w:r w:rsidR="00B662F4">
        <w:rPr>
          <w:lang w:val="en-US"/>
        </w:rPr>
        <w:t>t</w:t>
      </w:r>
      <w:r w:rsidRPr="00BE78D8">
        <w:rPr>
          <w:lang w:val="en-US"/>
        </w:rPr>
        <w:t>rials</w:t>
      </w:r>
    </w:p>
    <w:p w14:paraId="2866DB35" w14:textId="77777777" w:rsidR="00937B65" w:rsidRPr="003A656B" w:rsidRDefault="00937B65" w:rsidP="00B0520F">
      <w:pPr>
        <w:pStyle w:val="Heading4"/>
      </w:pPr>
      <w:r w:rsidRPr="003A656B">
        <w:t>Radioactive iodine refractory differentiated thyroid cancer</w:t>
      </w:r>
    </w:p>
    <w:p w14:paraId="2866DB37" w14:textId="333BBCCE" w:rsidR="00937B65" w:rsidRDefault="00937B65" w:rsidP="00920D76">
      <w:pPr>
        <w:pStyle w:val="BodyText"/>
        <w:spacing w:before="120" w:after="60"/>
        <w:rPr>
          <w:lang w:val="en-US"/>
        </w:rPr>
      </w:pPr>
      <w:r w:rsidRPr="00666637">
        <w:t xml:space="preserve">The safety of </w:t>
      </w:r>
      <w:r>
        <w:t>LENVIMA</w:t>
      </w:r>
      <w:r w:rsidRPr="00666637">
        <w:t xml:space="preserve"> was evaluated in 392 patients</w:t>
      </w:r>
      <w:r>
        <w:t xml:space="preserve"> from the Phase 3 SELECT trial</w:t>
      </w:r>
      <w:r w:rsidRPr="00666637">
        <w:t xml:space="preserve"> with radioactive iodine-refractory</w:t>
      </w:r>
      <w:r>
        <w:t xml:space="preserve"> </w:t>
      </w:r>
      <w:r w:rsidRPr="00666637">
        <w:t>differentiated thyroid cancer (RAI-refractory DTC) randomi</w:t>
      </w:r>
      <w:r w:rsidR="00935453">
        <w:t>s</w:t>
      </w:r>
      <w:r w:rsidRPr="00666637">
        <w:t xml:space="preserve">ed to receive </w:t>
      </w:r>
      <w:r>
        <w:t xml:space="preserve">LENVIMA </w:t>
      </w:r>
      <w:r w:rsidRPr="00666637">
        <w:t>24 mg</w:t>
      </w:r>
      <w:r>
        <w:t xml:space="preserve"> </w:t>
      </w:r>
      <w:r w:rsidRPr="00666637">
        <w:t>once daily (n=261) or placebo (n=131)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3E22E0">
        <w:rPr>
          <w:lang w:val="en-US"/>
        </w:rPr>
        <w:t xml:space="preserve">Clinical </w:t>
      </w:r>
      <w:r w:rsidR="00B662F4">
        <w:rPr>
          <w:lang w:val="en-US"/>
        </w:rPr>
        <w:t>t</w:t>
      </w:r>
      <w:r w:rsidR="003E22E0">
        <w:rPr>
          <w:lang w:val="en-US"/>
        </w:rPr>
        <w:t>rials</w:t>
      </w:r>
      <w:r w:rsidRPr="00666637">
        <w:t>).</w:t>
      </w:r>
    </w:p>
    <w:p w14:paraId="2866DB39" w14:textId="3C5288F6" w:rsidR="00937B65" w:rsidRDefault="00937B65" w:rsidP="00920D76">
      <w:pPr>
        <w:pStyle w:val="BodyText"/>
        <w:spacing w:before="120" w:after="60"/>
      </w:pPr>
      <w:r>
        <w:t>In the SELECT study, t</w:t>
      </w:r>
      <w:r w:rsidRPr="00EB2937">
        <w:t xml:space="preserve">he most common adverse reactions observed in LENVIMA-treated patients (greater than or equal to 30%) were, in order of decreasing frequency, </w:t>
      </w:r>
      <w:r w:rsidRPr="00214E83">
        <w:t xml:space="preserve">hypertension, fatigue, </w:t>
      </w:r>
      <w:r w:rsidR="00D178F2" w:rsidRPr="00214E83">
        <w:t>diarrhoea</w:t>
      </w:r>
      <w:r w:rsidRPr="00214E83">
        <w:t xml:space="preserve">, arthralgia/myalgia, decreased appetite, weight decreased, nausea, stomatitis, headache, vomiting, proteinuria, palmar-plantar </w:t>
      </w:r>
      <w:proofErr w:type="spellStart"/>
      <w:r w:rsidR="00372091" w:rsidRPr="00214E83">
        <w:t>erythrodysaesthesia</w:t>
      </w:r>
      <w:proofErr w:type="spellEnd"/>
      <w:r w:rsidRPr="00214E83">
        <w:t xml:space="preserve"> (PPE) syndrome, abdominal pain, and dysphonia.</w:t>
      </w:r>
      <w:r w:rsidR="00920D76">
        <w:t xml:space="preserve"> </w:t>
      </w:r>
      <w:r w:rsidRPr="00EB2937">
        <w:t>The most common serious adverse reactions (at least 2%) were pneumonia (4%), hypertension (3%), and dehydration (3%).</w:t>
      </w:r>
    </w:p>
    <w:p w14:paraId="2866DB3B" w14:textId="478D2044" w:rsidR="00937B65" w:rsidRDefault="00937B65" w:rsidP="00920D76">
      <w:pPr>
        <w:pStyle w:val="BodyText"/>
        <w:spacing w:before="120" w:after="60"/>
      </w:pPr>
      <w:r w:rsidRPr="00EB2937">
        <w:t xml:space="preserve">Adverse reactions led to dose reductions in 68% of patients receiving LENVIMA and 5% of patients receiving placebo; 18% of patients discontinued LENVIMA and 5% discontinued </w:t>
      </w:r>
      <w:r w:rsidR="00920D76">
        <w:t xml:space="preserve">placebo for adverse reactions. </w:t>
      </w:r>
      <w:r w:rsidRPr="00EB2937">
        <w:t>The most common adverse reactions (at least 10%) resulting in dose reductions of LENVIMA were hypertension (13%), proteinuria (11%), decreased appetite (10%), and diarrh</w:t>
      </w:r>
      <w:r w:rsidR="00D178F2">
        <w:t>o</w:t>
      </w:r>
      <w:r w:rsidRPr="00EB2937">
        <w:t xml:space="preserve">ea (10%); the most common adverse reactions (at least 1%) resulting in discontinuation of LENVIMA were hypertension (1%) and asthenia (1%). </w:t>
      </w:r>
    </w:p>
    <w:p w14:paraId="2866DBD7" w14:textId="2016139B" w:rsidR="00026C88" w:rsidRPr="00BE78D8" w:rsidRDefault="00AD0A0F" w:rsidP="00920D76">
      <w:pPr>
        <w:pStyle w:val="BodyText"/>
        <w:spacing w:before="120" w:after="60"/>
        <w:rPr>
          <w:lang w:val="en-US"/>
        </w:rPr>
      </w:pPr>
      <w:r>
        <w:fldChar w:fldCharType="begin"/>
      </w:r>
      <w:r>
        <w:instrText xml:space="preserve"> REF _Ref503528360 \h </w:instrText>
      </w:r>
      <w:r w:rsidR="00920D76">
        <w:instrText xml:space="preserve"> \* MERGEFORMAT </w:instrText>
      </w:r>
      <w:r>
        <w:fldChar w:fldCharType="separate"/>
      </w:r>
      <w:r w:rsidR="0064223A">
        <w:t>Table </w:t>
      </w:r>
      <w:r w:rsidR="0064223A">
        <w:rPr>
          <w:noProof/>
        </w:rPr>
        <w:t>4</w:t>
      </w:r>
      <w:r>
        <w:fldChar w:fldCharType="end"/>
      </w:r>
      <w:r w:rsidRPr="00D665C0">
        <w:t xml:space="preserve"> </w:t>
      </w:r>
      <w:r w:rsidR="002178CE" w:rsidRPr="00D665C0">
        <w:t xml:space="preserve">presents the incidence rates of treatment-emergent adverse events observed in the double blind phase of the DTC study. All adverse events occurring with a treatment difference of at least 5% over placebo are included in the Table. Clinically significant events (CSEs) that </w:t>
      </w:r>
      <w:proofErr w:type="gramStart"/>
      <w:r w:rsidR="002178CE" w:rsidRPr="00D665C0">
        <w:t>were observed</w:t>
      </w:r>
      <w:proofErr w:type="gramEnd"/>
      <w:r w:rsidR="002178CE" w:rsidRPr="00D665C0">
        <w:t xml:space="preserve"> more frequently than placebo are also included based on an assessment of the known pharmacology of </w:t>
      </w:r>
      <w:r w:rsidR="00D178F2">
        <w:t>LENVIMA</w:t>
      </w:r>
      <w:r w:rsidR="00D178F2" w:rsidRPr="00D665C0">
        <w:t xml:space="preserve"> </w:t>
      </w:r>
      <w:r w:rsidR="002178CE" w:rsidRPr="00D665C0">
        <w:t>and class effects</w:t>
      </w:r>
      <w:r w:rsidR="00935453">
        <w:t>.</w:t>
      </w:r>
    </w:p>
    <w:tbl>
      <w:tblPr>
        <w:tblW w:w="9216" w:type="dxa"/>
        <w:jc w:val="center"/>
        <w:tblLayout w:type="fixed"/>
        <w:tblLook w:val="0000" w:firstRow="0" w:lastRow="0" w:firstColumn="0" w:lastColumn="0" w:noHBand="0" w:noVBand="0"/>
      </w:tblPr>
      <w:tblGrid>
        <w:gridCol w:w="3978"/>
        <w:gridCol w:w="1350"/>
        <w:gridCol w:w="1260"/>
        <w:gridCol w:w="1350"/>
        <w:gridCol w:w="1278"/>
      </w:tblGrid>
      <w:tr w:rsidR="002178CE" w14:paraId="2866DBDA" w14:textId="77777777" w:rsidTr="00920D76">
        <w:trPr>
          <w:tblHeader/>
          <w:jc w:val="center"/>
        </w:trPr>
        <w:tc>
          <w:tcPr>
            <w:tcW w:w="9216" w:type="dxa"/>
            <w:gridSpan w:val="5"/>
            <w:tcBorders>
              <w:bottom w:val="single" w:sz="4" w:space="0" w:color="auto"/>
            </w:tcBorders>
            <w:shd w:val="clear" w:color="auto" w:fill="auto"/>
          </w:tcPr>
          <w:p w14:paraId="2866DBD9" w14:textId="4C3D40EE" w:rsidR="002178CE" w:rsidRPr="00066BB0" w:rsidRDefault="00505C3C" w:rsidP="00920D76">
            <w:pPr>
              <w:pStyle w:val="Caption"/>
              <w:rPr>
                <w:highlight w:val="yellow"/>
              </w:rPr>
            </w:pPr>
            <w:bookmarkStart w:id="8" w:name="_Ref503528360"/>
            <w:r>
              <w:lastRenderedPageBreak/>
              <w:t>Table </w:t>
            </w:r>
            <w:r w:rsidR="002C196B">
              <w:rPr>
                <w:noProof/>
              </w:rPr>
              <w:fldChar w:fldCharType="begin"/>
            </w:r>
            <w:r w:rsidR="002C196B">
              <w:rPr>
                <w:noProof/>
              </w:rPr>
              <w:instrText xml:space="preserve"> SEQ Table \* ARABIC </w:instrText>
            </w:r>
            <w:r w:rsidR="002C196B">
              <w:rPr>
                <w:noProof/>
              </w:rPr>
              <w:fldChar w:fldCharType="separate"/>
            </w:r>
            <w:r w:rsidR="008D1089">
              <w:rPr>
                <w:noProof/>
              </w:rPr>
              <w:t>4</w:t>
            </w:r>
            <w:r w:rsidR="002C196B">
              <w:rPr>
                <w:noProof/>
              </w:rPr>
              <w:fldChar w:fldCharType="end"/>
            </w:r>
            <w:bookmarkEnd w:id="8"/>
            <w:r w:rsidR="002178CE" w:rsidRPr="0080509B">
              <w:tab/>
              <w:t xml:space="preserve">Treatment-Emergent Adverse Events reported for </w:t>
            </w:r>
            <w:r w:rsidR="00385FF1" w:rsidRPr="0080509B">
              <w:t xml:space="preserve">LENVIMA </w:t>
            </w:r>
            <w:r w:rsidR="002178CE" w:rsidRPr="0080509B">
              <w:t xml:space="preserve">in the double-blind phase of the DTC Study* </w:t>
            </w:r>
          </w:p>
        </w:tc>
      </w:tr>
      <w:tr w:rsidR="002178CE" w14:paraId="2866DBE1" w14:textId="77777777" w:rsidTr="00920D76">
        <w:trPr>
          <w:trHeight w:val="169"/>
          <w:tblHeader/>
          <w:jc w:val="center"/>
        </w:trPr>
        <w:tc>
          <w:tcPr>
            <w:tcW w:w="3978" w:type="dxa"/>
            <w:vMerge w:val="restart"/>
            <w:tcBorders>
              <w:top w:val="single" w:sz="4" w:space="0" w:color="auto"/>
              <w:left w:val="single" w:sz="4" w:space="0" w:color="auto"/>
              <w:right w:val="single" w:sz="4" w:space="0" w:color="auto"/>
            </w:tcBorders>
            <w:shd w:val="clear" w:color="auto" w:fill="auto"/>
            <w:vAlign w:val="bottom"/>
          </w:tcPr>
          <w:p w14:paraId="2866DBDB" w14:textId="77777777" w:rsidR="002178CE" w:rsidRPr="00495961" w:rsidRDefault="002178CE" w:rsidP="00920D76">
            <w:pPr>
              <w:pStyle w:val="TableHeading"/>
            </w:pPr>
            <w:r w:rsidRPr="00495961">
              <w:t>System Organ Class</w:t>
            </w:r>
          </w:p>
          <w:p w14:paraId="2866DBDC" w14:textId="77777777" w:rsidR="002178CE" w:rsidRPr="00495961" w:rsidRDefault="002178CE" w:rsidP="00920D76">
            <w:pPr>
              <w:pStyle w:val="TableHeading"/>
            </w:pPr>
            <w:r w:rsidRPr="00495961">
              <w:t>Preferred Term</w:t>
            </w:r>
            <w:r>
              <w:t xml:space="preserve"> </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66DBDD" w14:textId="77777777" w:rsidR="002178CE" w:rsidRPr="00495961" w:rsidRDefault="002178CE" w:rsidP="00C54A3F">
            <w:pPr>
              <w:pStyle w:val="TableHeading"/>
            </w:pPr>
            <w:r w:rsidRPr="00495961">
              <w:t>LENVIMA 24 mg</w:t>
            </w:r>
          </w:p>
          <w:p w14:paraId="2866DBDE" w14:textId="77777777" w:rsidR="002178CE" w:rsidRPr="00495961" w:rsidRDefault="002178CE" w:rsidP="00C54A3F">
            <w:pPr>
              <w:pStyle w:val="TableHeading"/>
            </w:pPr>
            <w:r w:rsidRPr="00495961">
              <w:t>N=261</w:t>
            </w:r>
          </w:p>
        </w:tc>
        <w:tc>
          <w:tcPr>
            <w:tcW w:w="26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66DBDF" w14:textId="77777777" w:rsidR="002178CE" w:rsidRPr="00495961" w:rsidRDefault="002178CE" w:rsidP="00C54A3F">
            <w:pPr>
              <w:pStyle w:val="TableHeading"/>
            </w:pPr>
            <w:r w:rsidRPr="00495961">
              <w:t>Placebo</w:t>
            </w:r>
          </w:p>
          <w:p w14:paraId="2866DBE0" w14:textId="77777777" w:rsidR="002178CE" w:rsidRPr="00495961" w:rsidRDefault="002178CE" w:rsidP="00C54A3F">
            <w:pPr>
              <w:pStyle w:val="TableHeading"/>
            </w:pPr>
            <w:r w:rsidRPr="00495961">
              <w:t>N=131</w:t>
            </w:r>
          </w:p>
        </w:tc>
      </w:tr>
      <w:tr w:rsidR="002178CE" w14:paraId="2866DBEB" w14:textId="77777777" w:rsidTr="00920D76">
        <w:trPr>
          <w:trHeight w:val="168"/>
          <w:tblHeader/>
          <w:jc w:val="center"/>
        </w:trPr>
        <w:tc>
          <w:tcPr>
            <w:tcW w:w="3978" w:type="dxa"/>
            <w:vMerge/>
            <w:tcBorders>
              <w:left w:val="single" w:sz="4" w:space="0" w:color="auto"/>
              <w:bottom w:val="single" w:sz="4" w:space="0" w:color="auto"/>
              <w:right w:val="single" w:sz="4" w:space="0" w:color="auto"/>
            </w:tcBorders>
            <w:shd w:val="clear" w:color="auto" w:fill="auto"/>
            <w:vAlign w:val="bottom"/>
          </w:tcPr>
          <w:p w14:paraId="2866DBE2" w14:textId="77777777" w:rsidR="002178CE" w:rsidRPr="00495961" w:rsidRDefault="002178CE" w:rsidP="00920D76">
            <w:pPr>
              <w:pStyle w:val="TableHeading"/>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866DBE3" w14:textId="77777777" w:rsidR="002178CE" w:rsidRPr="00495961" w:rsidRDefault="002178CE" w:rsidP="00C54A3F">
            <w:pPr>
              <w:pStyle w:val="TableHeading"/>
            </w:pPr>
            <w:r w:rsidRPr="00495961">
              <w:t>All Grades</w:t>
            </w:r>
          </w:p>
          <w:p w14:paraId="2866DBE4" w14:textId="77777777" w:rsidR="002178CE" w:rsidRPr="00495961" w:rsidRDefault="002178CE" w:rsidP="00C54A3F">
            <w:pPr>
              <w:pStyle w:val="TableHeading"/>
            </w:pPr>
            <w:r w:rsidRPr="00495961">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2866DBE5" w14:textId="77777777" w:rsidR="002178CE" w:rsidRPr="00495961" w:rsidRDefault="002178CE" w:rsidP="00C54A3F">
            <w:pPr>
              <w:pStyle w:val="TableHeading"/>
            </w:pPr>
            <w:r w:rsidRPr="00495961">
              <w:t>Grades 3-4</w:t>
            </w:r>
          </w:p>
          <w:p w14:paraId="2866DBE6" w14:textId="77777777" w:rsidR="002178CE" w:rsidRPr="00495961" w:rsidRDefault="002178CE" w:rsidP="00C54A3F">
            <w:pPr>
              <w:pStyle w:val="TableHeading"/>
            </w:pPr>
            <w:r w:rsidRPr="00495961">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866DBE7" w14:textId="77777777" w:rsidR="002178CE" w:rsidRPr="00495961" w:rsidRDefault="002178CE" w:rsidP="00C54A3F">
            <w:pPr>
              <w:pStyle w:val="TableHeading"/>
            </w:pPr>
            <w:r w:rsidRPr="00495961">
              <w:t>All Grades</w:t>
            </w:r>
          </w:p>
          <w:p w14:paraId="2866DBE8" w14:textId="77777777" w:rsidR="002178CE" w:rsidRPr="00495961" w:rsidRDefault="002178CE" w:rsidP="00C54A3F">
            <w:pPr>
              <w:pStyle w:val="TableHeading"/>
            </w:pPr>
            <w:r w:rsidRPr="00495961">
              <w:t>(%)</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2866DBE9" w14:textId="77777777" w:rsidR="002178CE" w:rsidRPr="00495961" w:rsidRDefault="002178CE" w:rsidP="00C54A3F">
            <w:pPr>
              <w:pStyle w:val="TableHeading"/>
            </w:pPr>
            <w:r w:rsidRPr="00495961">
              <w:t>Grades 3-4</w:t>
            </w:r>
          </w:p>
          <w:p w14:paraId="2866DBEA" w14:textId="77777777" w:rsidR="002178CE" w:rsidRPr="00495961" w:rsidRDefault="002178CE" w:rsidP="00C54A3F">
            <w:pPr>
              <w:pStyle w:val="TableHeading"/>
            </w:pPr>
            <w:r w:rsidRPr="00495961">
              <w:t>(%)</w:t>
            </w:r>
          </w:p>
        </w:tc>
      </w:tr>
      <w:tr w:rsidR="002178CE" w14:paraId="2866DBED"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BEC" w14:textId="77777777" w:rsidR="002178CE" w:rsidRPr="00495961" w:rsidRDefault="002178CE" w:rsidP="00920D76">
            <w:pPr>
              <w:pStyle w:val="TableHeading"/>
              <w:rPr>
                <w:highlight w:val="yellow"/>
              </w:rPr>
            </w:pPr>
            <w:r w:rsidRPr="00495961">
              <w:t xml:space="preserve">Blood &amp; Lymphatic </w:t>
            </w:r>
            <w:r>
              <w:t xml:space="preserve">System </w:t>
            </w:r>
            <w:r w:rsidRPr="00495961">
              <w:t>Disorders</w:t>
            </w:r>
          </w:p>
        </w:tc>
      </w:tr>
      <w:tr w:rsidR="002178CE" w14:paraId="2866DBF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BEE" w14:textId="2096DE13" w:rsidR="002178CE" w:rsidRPr="00971623" w:rsidRDefault="002178CE" w:rsidP="00920D76">
            <w:pPr>
              <w:pStyle w:val="TableText"/>
              <w:keepNext/>
            </w:pPr>
            <w:proofErr w:type="spellStart"/>
            <w:r w:rsidRPr="00971623">
              <w:t>Thrombocytopenia</w:t>
            </w:r>
            <w:r w:rsidR="00937B65" w:rsidRPr="00937B65">
              <w:rPr>
                <w:vertAlign w:val="superscript"/>
              </w:rPr>
              <w:t>a</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BEF" w14:textId="77777777" w:rsidR="002178CE" w:rsidRPr="00676E98" w:rsidRDefault="002178CE" w:rsidP="00766F3B">
            <w:pPr>
              <w:pStyle w:val="TableCentre"/>
            </w:pPr>
            <w:r w:rsidRPr="00676E98">
              <w:t>13.8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BF0" w14:textId="77777777" w:rsidR="002178CE" w:rsidRPr="00676E98" w:rsidRDefault="002178CE" w:rsidP="00766F3B">
            <w:pPr>
              <w:pStyle w:val="TableCentre"/>
            </w:pPr>
            <w:r w:rsidRPr="00676E98">
              <w:t>1.9</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BF1" w14:textId="77777777" w:rsidR="002178CE" w:rsidRPr="00676E98" w:rsidRDefault="002178CE" w:rsidP="00766F3B">
            <w:pPr>
              <w:pStyle w:val="TableCentre"/>
            </w:pPr>
            <w:r w:rsidRPr="00676E98">
              <w:t>2.3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BF2" w14:textId="77777777" w:rsidR="002178CE" w:rsidRPr="00676E98" w:rsidRDefault="002178CE" w:rsidP="00766F3B">
            <w:pPr>
              <w:pStyle w:val="TableCentre"/>
            </w:pPr>
            <w:r w:rsidRPr="00676E98">
              <w:t>0</w:t>
            </w:r>
          </w:p>
        </w:tc>
      </w:tr>
      <w:tr w:rsidR="002178CE" w14:paraId="2866DBF9"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BF4" w14:textId="56D24DBA" w:rsidR="002178CE" w:rsidRPr="00971623" w:rsidRDefault="002178CE" w:rsidP="00920D76">
            <w:pPr>
              <w:pStyle w:val="TableText"/>
              <w:keepNext/>
            </w:pPr>
            <w:proofErr w:type="spellStart"/>
            <w:r w:rsidRPr="00971623">
              <w:t>Lymphopenia</w:t>
            </w:r>
            <w:r w:rsidR="00937B65" w:rsidRPr="00937B65">
              <w:rPr>
                <w:vertAlign w:val="superscript"/>
              </w:rPr>
              <w:t>b</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BF5" w14:textId="77777777" w:rsidR="002178CE" w:rsidRPr="00676E98" w:rsidRDefault="002178CE" w:rsidP="00766F3B">
            <w:pPr>
              <w:pStyle w:val="TableCentre"/>
            </w:pPr>
            <w:r>
              <w:t>10.7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BF6" w14:textId="77777777" w:rsidR="002178CE" w:rsidRPr="00676E98" w:rsidRDefault="002178CE" w:rsidP="00766F3B">
            <w:pPr>
              <w:pStyle w:val="TableCentre"/>
            </w:pPr>
            <w:r>
              <w:t>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BF7" w14:textId="77777777" w:rsidR="002178CE" w:rsidRPr="00676E98" w:rsidRDefault="002178CE" w:rsidP="00766F3B">
            <w:pPr>
              <w:pStyle w:val="TableCentre"/>
            </w:pPr>
            <w:r>
              <w:t>4.6</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BF8" w14:textId="77777777" w:rsidR="002178CE" w:rsidRPr="00676E98" w:rsidRDefault="002178CE" w:rsidP="00766F3B">
            <w:pPr>
              <w:pStyle w:val="TableCentre"/>
            </w:pPr>
            <w:r w:rsidRPr="00676E98">
              <w:t>0</w:t>
            </w:r>
            <w:r>
              <w:t>.8</w:t>
            </w:r>
          </w:p>
        </w:tc>
      </w:tr>
      <w:tr w:rsidR="002178CE" w14:paraId="2866DBFF"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BFA" w14:textId="77777777" w:rsidR="002178CE" w:rsidRPr="00971623" w:rsidRDefault="002178CE" w:rsidP="00920D76">
            <w:pPr>
              <w:pStyle w:val="TableText"/>
              <w:keepNext/>
              <w:rPr>
                <w:b/>
              </w:rPr>
            </w:pPr>
            <w:r w:rsidRPr="00971623">
              <w:t>Splenic infarction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BFB" w14:textId="77777777" w:rsidR="002178CE" w:rsidRPr="00676E98" w:rsidRDefault="002178CE" w:rsidP="00766F3B">
            <w:pPr>
              <w:pStyle w:val="TableCentre"/>
            </w:pPr>
            <w:r w:rsidRPr="00676E98">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BFC" w14:textId="77777777" w:rsidR="002178CE" w:rsidRPr="00676E98" w:rsidRDefault="002178CE" w:rsidP="00766F3B">
            <w:pPr>
              <w:pStyle w:val="TableCentre"/>
            </w:pPr>
            <w:r w:rsidRPr="00676E98">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BFD" w14:textId="77777777" w:rsidR="002178CE" w:rsidRPr="00676E98" w:rsidRDefault="002178CE" w:rsidP="00766F3B">
            <w:pPr>
              <w:pStyle w:val="TableCentre"/>
            </w:pPr>
            <w:r w:rsidRPr="00676E98">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BFE" w14:textId="77777777" w:rsidR="002178CE" w:rsidRPr="00676E98" w:rsidRDefault="002178CE" w:rsidP="00766F3B">
            <w:pPr>
              <w:pStyle w:val="TableCentre"/>
            </w:pPr>
            <w:r w:rsidRPr="00676E98">
              <w:t>0</w:t>
            </w:r>
          </w:p>
        </w:tc>
      </w:tr>
      <w:tr w:rsidR="002178CE" w14:paraId="2866DC01"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C00" w14:textId="77777777" w:rsidR="002178CE" w:rsidRPr="00971623" w:rsidRDefault="002178CE" w:rsidP="00C54A3F">
            <w:pPr>
              <w:pStyle w:val="TableHeading"/>
            </w:pPr>
            <w:r w:rsidRPr="00971623">
              <w:t>Cardiac Disorders</w:t>
            </w:r>
          </w:p>
        </w:tc>
      </w:tr>
      <w:tr w:rsidR="002178CE" w14:paraId="2866DC07" w14:textId="77777777" w:rsidTr="00920D76">
        <w:trPr>
          <w:trHeight w:val="260"/>
          <w:jc w:val="center"/>
        </w:trPr>
        <w:tc>
          <w:tcPr>
            <w:tcW w:w="3978" w:type="dxa"/>
            <w:tcBorders>
              <w:top w:val="single" w:sz="4" w:space="0" w:color="auto"/>
              <w:left w:val="single" w:sz="4" w:space="0" w:color="auto"/>
              <w:right w:val="single" w:sz="4" w:space="0" w:color="auto"/>
            </w:tcBorders>
            <w:shd w:val="clear" w:color="auto" w:fill="auto"/>
          </w:tcPr>
          <w:p w14:paraId="2866DC02" w14:textId="77777777" w:rsidR="002178CE" w:rsidRPr="00766F3B" w:rsidRDefault="002178CE" w:rsidP="00766F3B">
            <w:pPr>
              <w:pStyle w:val="TableText"/>
            </w:pPr>
            <w:r w:rsidRPr="00766F3B">
              <w:t>Ejection fraction decreased</w:t>
            </w:r>
          </w:p>
        </w:tc>
        <w:tc>
          <w:tcPr>
            <w:tcW w:w="1350" w:type="dxa"/>
            <w:tcBorders>
              <w:top w:val="single" w:sz="4" w:space="0" w:color="auto"/>
              <w:left w:val="single" w:sz="4" w:space="0" w:color="auto"/>
              <w:right w:val="single" w:sz="4" w:space="0" w:color="auto"/>
            </w:tcBorders>
            <w:shd w:val="clear" w:color="auto" w:fill="auto"/>
          </w:tcPr>
          <w:p w14:paraId="2866DC03" w14:textId="77777777" w:rsidR="002178CE" w:rsidRPr="00766F3B" w:rsidRDefault="002178CE" w:rsidP="00766F3B">
            <w:pPr>
              <w:pStyle w:val="TableCentre"/>
            </w:pPr>
            <w:r w:rsidRPr="00766F3B">
              <w:t>5.4</w:t>
            </w:r>
          </w:p>
        </w:tc>
        <w:tc>
          <w:tcPr>
            <w:tcW w:w="1260" w:type="dxa"/>
            <w:tcBorders>
              <w:top w:val="single" w:sz="4" w:space="0" w:color="auto"/>
              <w:left w:val="single" w:sz="4" w:space="0" w:color="auto"/>
              <w:right w:val="single" w:sz="4" w:space="0" w:color="auto"/>
            </w:tcBorders>
            <w:shd w:val="clear" w:color="auto" w:fill="auto"/>
          </w:tcPr>
          <w:p w14:paraId="2866DC04" w14:textId="77777777" w:rsidR="002178CE" w:rsidRPr="00766F3B" w:rsidRDefault="002178CE" w:rsidP="00766F3B">
            <w:pPr>
              <w:pStyle w:val="TableCentre"/>
            </w:pPr>
            <w:r w:rsidRPr="00766F3B">
              <w:t>1.1</w:t>
            </w:r>
          </w:p>
        </w:tc>
        <w:tc>
          <w:tcPr>
            <w:tcW w:w="1350" w:type="dxa"/>
            <w:tcBorders>
              <w:top w:val="single" w:sz="4" w:space="0" w:color="auto"/>
              <w:left w:val="single" w:sz="4" w:space="0" w:color="auto"/>
              <w:right w:val="single" w:sz="4" w:space="0" w:color="auto"/>
            </w:tcBorders>
            <w:shd w:val="clear" w:color="auto" w:fill="auto"/>
          </w:tcPr>
          <w:p w14:paraId="2866DC05" w14:textId="77777777" w:rsidR="002178CE" w:rsidRPr="00766F3B" w:rsidRDefault="002178CE" w:rsidP="00766F3B">
            <w:pPr>
              <w:pStyle w:val="TableCentre"/>
            </w:pPr>
            <w:r w:rsidRPr="00766F3B">
              <w:t>0.8</w:t>
            </w:r>
          </w:p>
        </w:tc>
        <w:tc>
          <w:tcPr>
            <w:tcW w:w="1278" w:type="dxa"/>
            <w:tcBorders>
              <w:top w:val="single" w:sz="4" w:space="0" w:color="auto"/>
              <w:left w:val="single" w:sz="4" w:space="0" w:color="auto"/>
              <w:right w:val="single" w:sz="4" w:space="0" w:color="auto"/>
            </w:tcBorders>
            <w:shd w:val="clear" w:color="auto" w:fill="auto"/>
          </w:tcPr>
          <w:p w14:paraId="2866DC06" w14:textId="77777777" w:rsidR="002178CE" w:rsidRPr="00766F3B" w:rsidRDefault="002178CE" w:rsidP="00766F3B">
            <w:pPr>
              <w:pStyle w:val="TableCentre"/>
            </w:pPr>
            <w:r w:rsidRPr="00766F3B">
              <w:t>0</w:t>
            </w:r>
          </w:p>
        </w:tc>
      </w:tr>
      <w:tr w:rsidR="002178CE" w14:paraId="2866DC0D" w14:textId="77777777" w:rsidTr="00920D76">
        <w:trPr>
          <w:trHeight w:val="260"/>
          <w:jc w:val="center"/>
        </w:trPr>
        <w:tc>
          <w:tcPr>
            <w:tcW w:w="3978" w:type="dxa"/>
            <w:tcBorders>
              <w:top w:val="single" w:sz="4" w:space="0" w:color="auto"/>
              <w:left w:val="single" w:sz="4" w:space="0" w:color="auto"/>
              <w:right w:val="single" w:sz="4" w:space="0" w:color="auto"/>
            </w:tcBorders>
            <w:shd w:val="clear" w:color="auto" w:fill="auto"/>
          </w:tcPr>
          <w:p w14:paraId="2866DC08" w14:textId="65D3B220" w:rsidR="002178CE" w:rsidRPr="00766F3B" w:rsidRDefault="002178CE" w:rsidP="00766F3B">
            <w:pPr>
              <w:pStyle w:val="TableText"/>
            </w:pPr>
            <w:r w:rsidRPr="00766F3B">
              <w:t xml:space="preserve">Myocardial </w:t>
            </w:r>
            <w:proofErr w:type="spellStart"/>
            <w:r w:rsidRPr="00766F3B">
              <w:t>infarction</w:t>
            </w:r>
            <w:r w:rsidR="00937B65" w:rsidRPr="00766F3B">
              <w:rPr>
                <w:vertAlign w:val="superscript"/>
              </w:rPr>
              <w:t>c</w:t>
            </w:r>
            <w:r w:rsidRPr="00766F3B">
              <w:rPr>
                <w:vertAlign w:val="superscript"/>
              </w:rPr>
              <w:t>,</w:t>
            </w:r>
            <w:r w:rsidR="00937B65" w:rsidRPr="00766F3B">
              <w:rPr>
                <w:vertAlign w:val="superscript"/>
              </w:rPr>
              <w:t>d</w:t>
            </w:r>
            <w:proofErr w:type="spellEnd"/>
          </w:p>
        </w:tc>
        <w:tc>
          <w:tcPr>
            <w:tcW w:w="1350" w:type="dxa"/>
            <w:tcBorders>
              <w:top w:val="single" w:sz="4" w:space="0" w:color="auto"/>
              <w:left w:val="single" w:sz="4" w:space="0" w:color="auto"/>
              <w:right w:val="single" w:sz="4" w:space="0" w:color="auto"/>
            </w:tcBorders>
            <w:shd w:val="clear" w:color="auto" w:fill="auto"/>
          </w:tcPr>
          <w:p w14:paraId="2866DC09" w14:textId="77777777" w:rsidR="002178CE" w:rsidRPr="00766F3B" w:rsidRDefault="002178CE" w:rsidP="00766F3B">
            <w:pPr>
              <w:pStyle w:val="TableCentre"/>
            </w:pPr>
            <w:r w:rsidRPr="00766F3B">
              <w:t>1.1</w:t>
            </w:r>
          </w:p>
        </w:tc>
        <w:tc>
          <w:tcPr>
            <w:tcW w:w="1260" w:type="dxa"/>
            <w:tcBorders>
              <w:top w:val="single" w:sz="4" w:space="0" w:color="auto"/>
              <w:left w:val="single" w:sz="4" w:space="0" w:color="auto"/>
              <w:right w:val="single" w:sz="4" w:space="0" w:color="auto"/>
            </w:tcBorders>
            <w:shd w:val="clear" w:color="auto" w:fill="auto"/>
          </w:tcPr>
          <w:p w14:paraId="2866DC0A" w14:textId="77777777" w:rsidR="002178CE" w:rsidRPr="00766F3B" w:rsidRDefault="002178CE" w:rsidP="00766F3B">
            <w:pPr>
              <w:pStyle w:val="TableCentre"/>
            </w:pPr>
            <w:r w:rsidRPr="00766F3B">
              <w:t>1.1</w:t>
            </w:r>
          </w:p>
        </w:tc>
        <w:tc>
          <w:tcPr>
            <w:tcW w:w="1350" w:type="dxa"/>
            <w:tcBorders>
              <w:top w:val="single" w:sz="4" w:space="0" w:color="auto"/>
              <w:left w:val="single" w:sz="4" w:space="0" w:color="auto"/>
              <w:right w:val="single" w:sz="4" w:space="0" w:color="auto"/>
            </w:tcBorders>
            <w:shd w:val="clear" w:color="auto" w:fill="auto"/>
          </w:tcPr>
          <w:p w14:paraId="2866DC0B" w14:textId="77777777" w:rsidR="002178CE" w:rsidRPr="00766F3B" w:rsidRDefault="002178CE" w:rsidP="00766F3B">
            <w:pPr>
              <w:pStyle w:val="TableCentre"/>
            </w:pPr>
            <w:r w:rsidRPr="00766F3B">
              <w:t>0.8</w:t>
            </w:r>
          </w:p>
        </w:tc>
        <w:tc>
          <w:tcPr>
            <w:tcW w:w="1278" w:type="dxa"/>
            <w:tcBorders>
              <w:top w:val="single" w:sz="4" w:space="0" w:color="auto"/>
              <w:left w:val="single" w:sz="4" w:space="0" w:color="auto"/>
              <w:right w:val="single" w:sz="4" w:space="0" w:color="auto"/>
            </w:tcBorders>
            <w:shd w:val="clear" w:color="auto" w:fill="auto"/>
          </w:tcPr>
          <w:p w14:paraId="2866DC0C" w14:textId="77777777" w:rsidR="002178CE" w:rsidRPr="00766F3B" w:rsidRDefault="002178CE" w:rsidP="00766F3B">
            <w:pPr>
              <w:pStyle w:val="TableCentre"/>
            </w:pPr>
            <w:r w:rsidRPr="00766F3B">
              <w:t>0.8</w:t>
            </w:r>
          </w:p>
        </w:tc>
      </w:tr>
      <w:tr w:rsidR="002178CE" w14:paraId="2866DC13" w14:textId="77777777" w:rsidTr="00920D76">
        <w:trPr>
          <w:trHeight w:val="260"/>
          <w:jc w:val="center"/>
        </w:trPr>
        <w:tc>
          <w:tcPr>
            <w:tcW w:w="3978" w:type="dxa"/>
            <w:tcBorders>
              <w:top w:val="single" w:sz="4" w:space="0" w:color="auto"/>
              <w:left w:val="single" w:sz="4" w:space="0" w:color="auto"/>
              <w:right w:val="single" w:sz="4" w:space="0" w:color="auto"/>
            </w:tcBorders>
            <w:shd w:val="clear" w:color="auto" w:fill="auto"/>
          </w:tcPr>
          <w:p w14:paraId="2866DC0E" w14:textId="77777777" w:rsidR="002178CE" w:rsidRPr="00766F3B" w:rsidRDefault="002178CE" w:rsidP="00766F3B">
            <w:pPr>
              <w:pStyle w:val="TableText"/>
            </w:pPr>
            <w:r w:rsidRPr="00766F3B">
              <w:t>Cardiac failure</w:t>
            </w:r>
          </w:p>
        </w:tc>
        <w:tc>
          <w:tcPr>
            <w:tcW w:w="1350" w:type="dxa"/>
            <w:tcBorders>
              <w:top w:val="single" w:sz="4" w:space="0" w:color="auto"/>
              <w:left w:val="single" w:sz="4" w:space="0" w:color="auto"/>
              <w:right w:val="single" w:sz="4" w:space="0" w:color="auto"/>
            </w:tcBorders>
            <w:shd w:val="clear" w:color="auto" w:fill="auto"/>
          </w:tcPr>
          <w:p w14:paraId="2866DC0F" w14:textId="77777777" w:rsidR="002178CE" w:rsidRPr="00766F3B" w:rsidRDefault="002178CE" w:rsidP="00766F3B">
            <w:pPr>
              <w:pStyle w:val="TableCentre"/>
            </w:pPr>
            <w:r w:rsidRPr="00766F3B">
              <w:t>0.8</w:t>
            </w:r>
          </w:p>
        </w:tc>
        <w:tc>
          <w:tcPr>
            <w:tcW w:w="1260" w:type="dxa"/>
            <w:tcBorders>
              <w:top w:val="single" w:sz="4" w:space="0" w:color="auto"/>
              <w:left w:val="single" w:sz="4" w:space="0" w:color="auto"/>
              <w:right w:val="single" w:sz="4" w:space="0" w:color="auto"/>
            </w:tcBorders>
            <w:shd w:val="clear" w:color="auto" w:fill="auto"/>
          </w:tcPr>
          <w:p w14:paraId="2866DC10"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right w:val="single" w:sz="4" w:space="0" w:color="auto"/>
            </w:tcBorders>
            <w:shd w:val="clear" w:color="auto" w:fill="auto"/>
          </w:tcPr>
          <w:p w14:paraId="2866DC11"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right w:val="single" w:sz="4" w:space="0" w:color="auto"/>
            </w:tcBorders>
            <w:shd w:val="clear" w:color="auto" w:fill="auto"/>
          </w:tcPr>
          <w:p w14:paraId="2866DC12" w14:textId="77777777" w:rsidR="002178CE" w:rsidRPr="00766F3B" w:rsidRDefault="002178CE" w:rsidP="00766F3B">
            <w:pPr>
              <w:pStyle w:val="TableCentre"/>
            </w:pPr>
            <w:r w:rsidRPr="00766F3B">
              <w:t>0</w:t>
            </w:r>
          </w:p>
        </w:tc>
      </w:tr>
      <w:tr w:rsidR="002178CE" w14:paraId="2866DC15"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C14" w14:textId="77777777" w:rsidR="002178CE" w:rsidRPr="00766F3B" w:rsidRDefault="002178CE" w:rsidP="00C54A3F">
            <w:pPr>
              <w:pStyle w:val="TableHeading"/>
            </w:pPr>
            <w:r w:rsidRPr="00766F3B">
              <w:t>Endocrine Disorders</w:t>
            </w:r>
          </w:p>
        </w:tc>
      </w:tr>
      <w:tr w:rsidR="002178CE" w14:paraId="2866DC1B"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16" w14:textId="77777777" w:rsidR="002178CE" w:rsidRPr="00766F3B" w:rsidRDefault="002178CE" w:rsidP="00766F3B">
            <w:pPr>
              <w:pStyle w:val="TableText"/>
            </w:pPr>
            <w:r w:rsidRPr="00766F3B">
              <w:t>Hypothyroidism</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17" w14:textId="77777777" w:rsidR="002178CE" w:rsidRPr="00766F3B" w:rsidRDefault="002178CE" w:rsidP="00766F3B">
            <w:pPr>
              <w:pStyle w:val="TableCentre"/>
            </w:pPr>
            <w:r w:rsidRPr="00766F3B">
              <w:t>5.4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18"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19"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1A" w14:textId="77777777" w:rsidR="002178CE" w:rsidRPr="00766F3B" w:rsidRDefault="002178CE" w:rsidP="00766F3B">
            <w:pPr>
              <w:pStyle w:val="TableCentre"/>
            </w:pPr>
            <w:r w:rsidRPr="00766F3B">
              <w:t>0</w:t>
            </w:r>
          </w:p>
        </w:tc>
      </w:tr>
      <w:tr w:rsidR="002178CE" w14:paraId="2866DC1D"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C1C" w14:textId="77777777" w:rsidR="002178CE" w:rsidRPr="00766F3B" w:rsidRDefault="002178CE" w:rsidP="00C54A3F">
            <w:pPr>
              <w:pStyle w:val="TableHeading"/>
            </w:pPr>
            <w:r w:rsidRPr="00766F3B">
              <w:t>Gastrointestinal Disorders</w:t>
            </w:r>
          </w:p>
        </w:tc>
      </w:tr>
      <w:tr w:rsidR="002178CE" w14:paraId="2866DC2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1E" w14:textId="77777777" w:rsidR="002178CE" w:rsidRPr="00766F3B" w:rsidRDefault="002178CE" w:rsidP="00766F3B">
            <w:pPr>
              <w:pStyle w:val="TableText"/>
            </w:pPr>
            <w:r w:rsidRPr="00766F3B">
              <w:t>Diarrh</w:t>
            </w:r>
            <w:r w:rsidR="00372091" w:rsidRPr="00766F3B">
              <w:t>o</w:t>
            </w:r>
            <w:r w:rsidRPr="00766F3B">
              <w:t>ea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1F" w14:textId="77777777" w:rsidR="002178CE" w:rsidRPr="00766F3B" w:rsidRDefault="002178CE" w:rsidP="00766F3B">
            <w:pPr>
              <w:pStyle w:val="TableCentre"/>
            </w:pPr>
            <w:r w:rsidRPr="00766F3B">
              <w:t>67.4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20" w14:textId="77777777" w:rsidR="002178CE" w:rsidRPr="00766F3B" w:rsidRDefault="002178CE" w:rsidP="00766F3B">
            <w:pPr>
              <w:pStyle w:val="TableCentre"/>
            </w:pPr>
            <w:r w:rsidRPr="00766F3B">
              <w:t>9.2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21" w14:textId="77777777" w:rsidR="002178CE" w:rsidRPr="00766F3B" w:rsidRDefault="002178CE" w:rsidP="00766F3B">
            <w:pPr>
              <w:pStyle w:val="TableCentre"/>
            </w:pPr>
            <w:r w:rsidRPr="00766F3B">
              <w:t>16.8</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22" w14:textId="77777777" w:rsidR="002178CE" w:rsidRPr="00766F3B" w:rsidRDefault="002178CE" w:rsidP="00766F3B">
            <w:pPr>
              <w:pStyle w:val="TableCentre"/>
            </w:pPr>
            <w:r w:rsidRPr="00766F3B">
              <w:t>0</w:t>
            </w:r>
          </w:p>
        </w:tc>
      </w:tr>
      <w:tr w:rsidR="002178CE" w14:paraId="2866DC29"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24" w14:textId="77777777" w:rsidR="002178CE" w:rsidRPr="00766F3B" w:rsidRDefault="002178CE" w:rsidP="00766F3B">
            <w:pPr>
              <w:pStyle w:val="TableText"/>
            </w:pPr>
            <w:r w:rsidRPr="00766F3B">
              <w:t>Nausea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25" w14:textId="77777777" w:rsidR="002178CE" w:rsidRPr="00766F3B" w:rsidRDefault="002178CE" w:rsidP="00766F3B">
            <w:pPr>
              <w:pStyle w:val="TableCentre"/>
            </w:pPr>
            <w:r w:rsidRPr="00766F3B">
              <w:t>46.7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26" w14:textId="77777777" w:rsidR="002178CE" w:rsidRPr="00766F3B" w:rsidRDefault="002178CE" w:rsidP="00766F3B">
            <w:pPr>
              <w:pStyle w:val="TableCentre"/>
            </w:pPr>
            <w:r w:rsidRPr="00766F3B">
              <w:t>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27" w14:textId="77777777" w:rsidR="002178CE" w:rsidRPr="00766F3B" w:rsidRDefault="002178CE" w:rsidP="00766F3B">
            <w:pPr>
              <w:pStyle w:val="TableCentre"/>
            </w:pPr>
            <w:r w:rsidRPr="00766F3B">
              <w:t>25.2</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28" w14:textId="77777777" w:rsidR="002178CE" w:rsidRPr="00766F3B" w:rsidRDefault="002178CE" w:rsidP="00766F3B">
            <w:pPr>
              <w:pStyle w:val="TableCentre"/>
            </w:pPr>
            <w:r w:rsidRPr="00766F3B">
              <w:t>0.8</w:t>
            </w:r>
          </w:p>
        </w:tc>
      </w:tr>
      <w:tr w:rsidR="002178CE" w14:paraId="2866DC2F"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2A" w14:textId="05655982" w:rsidR="002178CE" w:rsidRPr="00766F3B" w:rsidRDefault="002178CE" w:rsidP="00766F3B">
            <w:pPr>
              <w:pStyle w:val="TableText"/>
            </w:pPr>
            <w:proofErr w:type="spellStart"/>
            <w:r w:rsidRPr="00766F3B">
              <w:t>Stomatitis</w:t>
            </w:r>
            <w:r w:rsidR="00937B65" w:rsidRPr="00766F3B">
              <w:rPr>
                <w:vertAlign w:val="superscript"/>
              </w:rPr>
              <w:t>e</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2B" w14:textId="77777777" w:rsidR="002178CE" w:rsidRPr="00766F3B" w:rsidRDefault="002178CE" w:rsidP="00766F3B">
            <w:pPr>
              <w:pStyle w:val="TableCentre"/>
            </w:pPr>
            <w:r w:rsidRPr="00766F3B">
              <w:t>41.0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2C" w14:textId="77777777" w:rsidR="002178CE" w:rsidRPr="00766F3B" w:rsidRDefault="002178CE" w:rsidP="00766F3B">
            <w:pPr>
              <w:pStyle w:val="TableCentre"/>
            </w:pPr>
            <w:r w:rsidRPr="00766F3B">
              <w:t>4.6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2D" w14:textId="77777777" w:rsidR="002178CE" w:rsidRPr="00766F3B" w:rsidRDefault="002178CE" w:rsidP="00766F3B">
            <w:pPr>
              <w:pStyle w:val="TableCentre"/>
            </w:pPr>
            <w:r w:rsidRPr="00766F3B">
              <w:t>8.4</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2E" w14:textId="77777777" w:rsidR="002178CE" w:rsidRPr="00766F3B" w:rsidRDefault="002178CE" w:rsidP="00766F3B">
            <w:pPr>
              <w:pStyle w:val="TableCentre"/>
            </w:pPr>
            <w:r w:rsidRPr="00766F3B">
              <w:t>0</w:t>
            </w:r>
          </w:p>
        </w:tc>
      </w:tr>
      <w:tr w:rsidR="002178CE" w14:paraId="2866DC35"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30" w14:textId="77777777" w:rsidR="002178CE" w:rsidRPr="00766F3B" w:rsidRDefault="002178CE" w:rsidP="00766F3B">
            <w:pPr>
              <w:pStyle w:val="TableText"/>
            </w:pPr>
            <w:r w:rsidRPr="00766F3B">
              <w:t>Vomiting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31" w14:textId="77777777" w:rsidR="002178CE" w:rsidRPr="00766F3B" w:rsidRDefault="002178CE" w:rsidP="00766F3B">
            <w:pPr>
              <w:pStyle w:val="TableCentre"/>
            </w:pPr>
            <w:r w:rsidRPr="00766F3B">
              <w:t>35.6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32" w14:textId="77777777" w:rsidR="002178CE" w:rsidRPr="00766F3B" w:rsidRDefault="002178CE" w:rsidP="00766F3B">
            <w:pPr>
              <w:pStyle w:val="TableCentre"/>
            </w:pPr>
            <w:r w:rsidRPr="00766F3B">
              <w:t>1.9</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33" w14:textId="77777777" w:rsidR="002178CE" w:rsidRPr="00766F3B" w:rsidRDefault="002178CE" w:rsidP="00766F3B">
            <w:pPr>
              <w:pStyle w:val="TableCentre"/>
            </w:pPr>
            <w:r w:rsidRPr="00766F3B">
              <w:t>14.5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34" w14:textId="77777777" w:rsidR="002178CE" w:rsidRPr="00766F3B" w:rsidRDefault="002178CE" w:rsidP="00766F3B">
            <w:pPr>
              <w:pStyle w:val="TableCentre"/>
            </w:pPr>
            <w:r w:rsidRPr="00766F3B">
              <w:t>0</w:t>
            </w:r>
          </w:p>
        </w:tc>
      </w:tr>
      <w:tr w:rsidR="002178CE" w14:paraId="2866DC3B"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36" w14:textId="1C278893" w:rsidR="002178CE" w:rsidRPr="00766F3B" w:rsidRDefault="002178CE" w:rsidP="00766F3B">
            <w:pPr>
              <w:pStyle w:val="TableText"/>
            </w:pPr>
            <w:r w:rsidRPr="00766F3B">
              <w:t xml:space="preserve">Abdominal </w:t>
            </w:r>
            <w:proofErr w:type="spellStart"/>
            <w:r w:rsidRPr="00766F3B">
              <w:t>pain</w:t>
            </w:r>
            <w:r w:rsidR="00937B65" w:rsidRPr="00766F3B">
              <w:rPr>
                <w:vertAlign w:val="superscript"/>
              </w:rPr>
              <w:t>f</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866DC37" w14:textId="77777777" w:rsidR="002178CE" w:rsidRPr="00766F3B" w:rsidRDefault="002178CE" w:rsidP="00766F3B">
            <w:pPr>
              <w:pStyle w:val="TableCentre"/>
            </w:pPr>
            <w:r w:rsidRPr="00766F3B">
              <w:t>31.4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866DC38" w14:textId="77777777" w:rsidR="002178CE" w:rsidRPr="00766F3B" w:rsidRDefault="002178CE" w:rsidP="00766F3B">
            <w:pPr>
              <w:pStyle w:val="TableCentre"/>
            </w:pPr>
            <w:r w:rsidRPr="00766F3B">
              <w:t>2.3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866DC39" w14:textId="77777777" w:rsidR="002178CE" w:rsidRPr="00766F3B" w:rsidRDefault="002178CE" w:rsidP="00766F3B">
            <w:pPr>
              <w:pStyle w:val="TableCentre"/>
            </w:pPr>
            <w:r w:rsidRPr="00766F3B">
              <w:t>10.7</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866DC3A" w14:textId="77777777" w:rsidR="002178CE" w:rsidRPr="00766F3B" w:rsidRDefault="002178CE" w:rsidP="00766F3B">
            <w:pPr>
              <w:pStyle w:val="TableCentre"/>
            </w:pPr>
            <w:r w:rsidRPr="00766F3B">
              <w:t>0.8</w:t>
            </w:r>
          </w:p>
        </w:tc>
      </w:tr>
      <w:tr w:rsidR="002178CE" w14:paraId="2866DC41"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3C" w14:textId="77777777" w:rsidR="002178CE" w:rsidRPr="00766F3B" w:rsidRDefault="002178CE" w:rsidP="00766F3B">
            <w:pPr>
              <w:pStyle w:val="TableText"/>
            </w:pPr>
            <w:r w:rsidRPr="00766F3B">
              <w:t>Constipation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3D" w14:textId="77777777" w:rsidR="002178CE" w:rsidRPr="00766F3B" w:rsidRDefault="002178CE" w:rsidP="00766F3B">
            <w:pPr>
              <w:pStyle w:val="TableCentre"/>
            </w:pPr>
            <w:r w:rsidRPr="00766F3B">
              <w:t>28.7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3E"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3F" w14:textId="77777777" w:rsidR="002178CE" w:rsidRPr="00766F3B" w:rsidRDefault="002178CE" w:rsidP="00766F3B">
            <w:pPr>
              <w:pStyle w:val="TableCentre"/>
            </w:pPr>
            <w:r w:rsidRPr="00766F3B">
              <w:t>15.3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40" w14:textId="77777777" w:rsidR="002178CE" w:rsidRPr="00766F3B" w:rsidRDefault="002178CE" w:rsidP="00766F3B">
            <w:pPr>
              <w:pStyle w:val="TableCentre"/>
            </w:pPr>
            <w:r w:rsidRPr="00766F3B">
              <w:t>0.8</w:t>
            </w:r>
          </w:p>
        </w:tc>
      </w:tr>
      <w:tr w:rsidR="002178CE" w14:paraId="2866DC47"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42" w14:textId="33AF39A8" w:rsidR="002178CE" w:rsidRPr="00766F3B" w:rsidRDefault="002178CE" w:rsidP="00766F3B">
            <w:pPr>
              <w:pStyle w:val="TableText"/>
            </w:pPr>
            <w:r w:rsidRPr="00766F3B">
              <w:t xml:space="preserve">Oral </w:t>
            </w:r>
            <w:proofErr w:type="spellStart"/>
            <w:r w:rsidRPr="00766F3B">
              <w:t>pain</w:t>
            </w:r>
            <w:r w:rsidR="00937B65" w:rsidRPr="00766F3B">
              <w:rPr>
                <w:vertAlign w:val="superscript"/>
              </w:rPr>
              <w:t>g</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43" w14:textId="77777777" w:rsidR="002178CE" w:rsidRPr="00766F3B" w:rsidRDefault="002178CE" w:rsidP="00766F3B">
            <w:pPr>
              <w:pStyle w:val="TableCentre"/>
            </w:pPr>
            <w:r w:rsidRPr="00766F3B">
              <w:t>24.9</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44" w14:textId="77777777" w:rsidR="002178CE" w:rsidRPr="00766F3B" w:rsidRDefault="002178CE" w:rsidP="00766F3B">
            <w:pPr>
              <w:pStyle w:val="TableCentre"/>
            </w:pPr>
            <w:r w:rsidRPr="00766F3B">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45" w14:textId="77777777" w:rsidR="002178CE" w:rsidRPr="00766F3B" w:rsidRDefault="002178CE" w:rsidP="00766F3B">
            <w:pPr>
              <w:pStyle w:val="TableCentre"/>
            </w:pPr>
            <w:r w:rsidRPr="00766F3B">
              <w:t>2.3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46" w14:textId="77777777" w:rsidR="002178CE" w:rsidRPr="00766F3B" w:rsidRDefault="002178CE" w:rsidP="00766F3B">
            <w:pPr>
              <w:pStyle w:val="TableCentre"/>
            </w:pPr>
            <w:r w:rsidRPr="00766F3B">
              <w:t>0</w:t>
            </w:r>
          </w:p>
        </w:tc>
      </w:tr>
      <w:tr w:rsidR="002178CE" w:rsidRPr="009672BA" w14:paraId="2866DC4D"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48" w14:textId="77777777" w:rsidR="002178CE" w:rsidRPr="00766F3B" w:rsidRDefault="002178CE" w:rsidP="00766F3B">
            <w:pPr>
              <w:pStyle w:val="TableText"/>
            </w:pPr>
            <w:r w:rsidRPr="00766F3B">
              <w:t>Dry mouth</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49" w14:textId="77777777" w:rsidR="002178CE" w:rsidRPr="00766F3B" w:rsidRDefault="002178CE" w:rsidP="00766F3B">
            <w:pPr>
              <w:pStyle w:val="TableCentre"/>
            </w:pPr>
            <w:r w:rsidRPr="00766F3B">
              <w:t>16.9</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4A"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4B" w14:textId="77777777" w:rsidR="002178CE" w:rsidRPr="00766F3B" w:rsidRDefault="002178CE" w:rsidP="00766F3B">
            <w:pPr>
              <w:pStyle w:val="TableCentre"/>
            </w:pPr>
            <w:r w:rsidRPr="00766F3B">
              <w:t>8.4</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4C" w14:textId="77777777" w:rsidR="002178CE" w:rsidRPr="00766F3B" w:rsidRDefault="002178CE" w:rsidP="00766F3B">
            <w:pPr>
              <w:pStyle w:val="TableCentre"/>
            </w:pPr>
            <w:r w:rsidRPr="00766F3B">
              <w:t>0</w:t>
            </w:r>
          </w:p>
        </w:tc>
      </w:tr>
      <w:tr w:rsidR="002178CE" w14:paraId="2866DC5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4E" w14:textId="77777777" w:rsidR="002178CE" w:rsidRPr="00766F3B" w:rsidRDefault="002178CE" w:rsidP="00766F3B">
            <w:pPr>
              <w:pStyle w:val="TableText"/>
            </w:pPr>
            <w:r w:rsidRPr="00766F3B">
              <w:t>Dyspepsia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4F" w14:textId="77777777" w:rsidR="002178CE" w:rsidRPr="00766F3B" w:rsidRDefault="002178CE" w:rsidP="00766F3B">
            <w:pPr>
              <w:pStyle w:val="TableCentre"/>
            </w:pPr>
            <w:r w:rsidRPr="00766F3B">
              <w:t>13.0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50"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51" w14:textId="77777777" w:rsidR="002178CE" w:rsidRPr="00766F3B" w:rsidRDefault="002178CE" w:rsidP="00766F3B">
            <w:pPr>
              <w:pStyle w:val="TableCentre"/>
            </w:pPr>
            <w:r w:rsidRPr="00766F3B">
              <w:t>3.8</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52" w14:textId="77777777" w:rsidR="002178CE" w:rsidRPr="00766F3B" w:rsidRDefault="002178CE" w:rsidP="00766F3B">
            <w:pPr>
              <w:pStyle w:val="TableCentre"/>
            </w:pPr>
            <w:r w:rsidRPr="00766F3B">
              <w:t>0</w:t>
            </w:r>
          </w:p>
        </w:tc>
      </w:tr>
      <w:tr w:rsidR="002178CE" w14:paraId="2866DC59"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54" w14:textId="77777777" w:rsidR="002178CE" w:rsidRPr="00766F3B" w:rsidRDefault="002178CE" w:rsidP="00766F3B">
            <w:pPr>
              <w:pStyle w:val="TableText"/>
            </w:pPr>
            <w:r w:rsidRPr="00766F3B">
              <w:t>Flatulence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55" w14:textId="77777777" w:rsidR="002178CE" w:rsidRPr="00766F3B" w:rsidRDefault="002178CE" w:rsidP="00766F3B">
            <w:pPr>
              <w:pStyle w:val="TableCentre"/>
            </w:pPr>
            <w:r w:rsidRPr="00766F3B">
              <w:t>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56"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57" w14:textId="77777777" w:rsidR="002178CE" w:rsidRPr="00766F3B" w:rsidRDefault="002178CE" w:rsidP="00766F3B">
            <w:pPr>
              <w:pStyle w:val="TableCentre"/>
            </w:pPr>
            <w:r w:rsidRPr="00766F3B">
              <w:t>0.8</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58" w14:textId="77777777" w:rsidR="002178CE" w:rsidRPr="00766F3B" w:rsidRDefault="002178CE" w:rsidP="00766F3B">
            <w:pPr>
              <w:pStyle w:val="TableCentre"/>
            </w:pPr>
            <w:r w:rsidRPr="00766F3B">
              <w:t>0</w:t>
            </w:r>
          </w:p>
        </w:tc>
      </w:tr>
      <w:tr w:rsidR="002178CE" w14:paraId="2866DC5F"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5A" w14:textId="77777777" w:rsidR="002178CE" w:rsidRPr="00766F3B" w:rsidRDefault="002178CE" w:rsidP="00766F3B">
            <w:pPr>
              <w:pStyle w:val="TableText"/>
            </w:pPr>
            <w:r w:rsidRPr="00766F3B">
              <w:t>Anal fistula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5B" w14:textId="77777777" w:rsidR="002178CE" w:rsidRPr="00766F3B" w:rsidRDefault="002178CE" w:rsidP="00766F3B">
            <w:pPr>
              <w:pStyle w:val="TableCentre"/>
            </w:pPr>
            <w:r w:rsidRPr="00766F3B">
              <w:t>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5C"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5D"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5E" w14:textId="77777777" w:rsidR="002178CE" w:rsidRPr="00766F3B" w:rsidRDefault="002178CE" w:rsidP="00766F3B">
            <w:pPr>
              <w:pStyle w:val="TableCentre"/>
            </w:pPr>
            <w:r w:rsidRPr="00766F3B">
              <w:t>0</w:t>
            </w:r>
          </w:p>
        </w:tc>
      </w:tr>
      <w:tr w:rsidR="002178CE" w14:paraId="2866DC61"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C60" w14:textId="77777777" w:rsidR="002178CE" w:rsidRPr="00766F3B" w:rsidRDefault="002178CE" w:rsidP="00C54A3F">
            <w:pPr>
              <w:pStyle w:val="TableHeading"/>
            </w:pPr>
            <w:r w:rsidRPr="00766F3B">
              <w:t>General Disorders and Administration Site Conditions</w:t>
            </w:r>
          </w:p>
        </w:tc>
      </w:tr>
      <w:tr w:rsidR="002178CE" w14:paraId="2866DC67"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62" w14:textId="77777777" w:rsidR="002178CE" w:rsidRPr="00766F3B" w:rsidRDefault="002178CE" w:rsidP="00766F3B">
            <w:pPr>
              <w:pStyle w:val="TableText"/>
            </w:pPr>
            <w:r w:rsidRPr="00766F3B">
              <w:t>Fatigue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63" w14:textId="77777777" w:rsidR="002178CE" w:rsidRPr="00766F3B" w:rsidRDefault="002178CE" w:rsidP="00766F3B">
            <w:pPr>
              <w:pStyle w:val="TableCentre"/>
            </w:pPr>
            <w:r w:rsidRPr="00766F3B">
              <w:t>42.5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64" w14:textId="77777777" w:rsidR="002178CE" w:rsidRPr="00766F3B" w:rsidRDefault="002178CE" w:rsidP="00766F3B">
            <w:pPr>
              <w:pStyle w:val="TableCentre"/>
            </w:pPr>
            <w:r w:rsidRPr="00766F3B">
              <w:t>4.6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65" w14:textId="77777777" w:rsidR="002178CE" w:rsidRPr="00766F3B" w:rsidRDefault="002178CE" w:rsidP="00766F3B">
            <w:pPr>
              <w:pStyle w:val="TableCentre"/>
            </w:pPr>
            <w:r w:rsidRPr="00766F3B">
              <w:t>24.4</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66" w14:textId="77777777" w:rsidR="002178CE" w:rsidRPr="00766F3B" w:rsidRDefault="002178CE" w:rsidP="00766F3B">
            <w:pPr>
              <w:pStyle w:val="TableCentre"/>
            </w:pPr>
            <w:r w:rsidRPr="00766F3B">
              <w:t>1.5</w:t>
            </w:r>
          </w:p>
        </w:tc>
      </w:tr>
      <w:tr w:rsidR="002178CE" w14:paraId="2866DC6D"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68" w14:textId="77777777" w:rsidR="002178CE" w:rsidRPr="00766F3B" w:rsidRDefault="002178CE" w:rsidP="00766F3B">
            <w:pPr>
              <w:pStyle w:val="TableText"/>
            </w:pPr>
            <w:r w:rsidRPr="00766F3B">
              <w:t>Asthenia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69" w14:textId="77777777" w:rsidR="002178CE" w:rsidRPr="00766F3B" w:rsidRDefault="002178CE" w:rsidP="00766F3B">
            <w:pPr>
              <w:pStyle w:val="TableCentre"/>
            </w:pPr>
            <w:r w:rsidRPr="00766F3B">
              <w:t>25.3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6A" w14:textId="77777777" w:rsidR="002178CE" w:rsidRPr="00766F3B" w:rsidRDefault="002178CE" w:rsidP="00766F3B">
            <w:pPr>
              <w:pStyle w:val="TableCentre"/>
            </w:pPr>
            <w:r w:rsidRPr="00766F3B">
              <w:t>6.1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6B" w14:textId="77777777" w:rsidR="002178CE" w:rsidRPr="00766F3B" w:rsidRDefault="002178CE" w:rsidP="00766F3B">
            <w:pPr>
              <w:pStyle w:val="TableCentre"/>
            </w:pPr>
            <w:r w:rsidRPr="00766F3B">
              <w:t>13.0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6C" w14:textId="77777777" w:rsidR="002178CE" w:rsidRPr="00766F3B" w:rsidRDefault="002178CE" w:rsidP="00766F3B">
            <w:pPr>
              <w:pStyle w:val="TableCentre"/>
            </w:pPr>
            <w:r w:rsidRPr="00766F3B">
              <w:t>2.3</w:t>
            </w:r>
          </w:p>
        </w:tc>
      </w:tr>
      <w:tr w:rsidR="002178CE" w14:paraId="2866DC7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6E" w14:textId="6443BC18" w:rsidR="002178CE" w:rsidRPr="00766F3B" w:rsidRDefault="00372091" w:rsidP="00766F3B">
            <w:pPr>
              <w:pStyle w:val="TableText"/>
            </w:pPr>
            <w:r w:rsidRPr="00766F3B">
              <w:t>Oe</w:t>
            </w:r>
            <w:r w:rsidR="002178CE" w:rsidRPr="00766F3B">
              <w:t>dema peripheral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6F" w14:textId="77777777" w:rsidR="002178CE" w:rsidRPr="00766F3B" w:rsidRDefault="002178CE" w:rsidP="00766F3B">
            <w:pPr>
              <w:pStyle w:val="TableCentre"/>
            </w:pPr>
            <w:r w:rsidRPr="00766F3B">
              <w:t>20.7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70"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71" w14:textId="77777777" w:rsidR="002178CE" w:rsidRPr="00766F3B" w:rsidRDefault="002178CE" w:rsidP="00766F3B">
            <w:pPr>
              <w:pStyle w:val="TableCentre"/>
            </w:pPr>
            <w:r w:rsidRPr="00766F3B">
              <w:t>7.6</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72" w14:textId="77777777" w:rsidR="002178CE" w:rsidRPr="00766F3B" w:rsidRDefault="002178CE" w:rsidP="00766F3B">
            <w:pPr>
              <w:pStyle w:val="TableCentre"/>
            </w:pPr>
            <w:r w:rsidRPr="00766F3B">
              <w:t>0</w:t>
            </w:r>
          </w:p>
        </w:tc>
      </w:tr>
      <w:tr w:rsidR="002178CE" w14:paraId="2866DC79"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74" w14:textId="77777777" w:rsidR="002178CE" w:rsidRPr="00766F3B" w:rsidRDefault="002178CE" w:rsidP="00766F3B">
            <w:pPr>
              <w:pStyle w:val="TableText"/>
            </w:pPr>
            <w:r w:rsidRPr="00766F3B">
              <w:t>Malaise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75" w14:textId="77777777" w:rsidR="002178CE" w:rsidRPr="00766F3B" w:rsidRDefault="002178CE" w:rsidP="00766F3B">
            <w:pPr>
              <w:pStyle w:val="TableCentre"/>
            </w:pPr>
            <w:r w:rsidRPr="00766F3B">
              <w:t>5.4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76"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77"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78" w14:textId="77777777" w:rsidR="002178CE" w:rsidRPr="00766F3B" w:rsidRDefault="002178CE" w:rsidP="00766F3B">
            <w:pPr>
              <w:pStyle w:val="TableCentre"/>
            </w:pPr>
            <w:r w:rsidRPr="00766F3B">
              <w:t>0</w:t>
            </w:r>
          </w:p>
        </w:tc>
      </w:tr>
      <w:tr w:rsidR="002178CE" w14:paraId="2866DC7B"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C7A" w14:textId="77777777" w:rsidR="002178CE" w:rsidRPr="00766F3B" w:rsidRDefault="002178CE" w:rsidP="00C54A3F">
            <w:pPr>
              <w:pStyle w:val="TableHeading"/>
            </w:pPr>
            <w:r w:rsidRPr="00766F3B">
              <w:t>Hepatobiliary Disorders</w:t>
            </w:r>
          </w:p>
        </w:tc>
      </w:tr>
      <w:tr w:rsidR="002178CE" w14:paraId="2866DC81"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7C" w14:textId="497244B5" w:rsidR="002178CE" w:rsidRPr="00766F3B" w:rsidRDefault="002178CE" w:rsidP="00766F3B">
            <w:pPr>
              <w:pStyle w:val="TableText"/>
            </w:pPr>
            <w:r w:rsidRPr="00766F3B">
              <w:t xml:space="preserve">Hepatocellular damage / </w:t>
            </w:r>
            <w:proofErr w:type="spellStart"/>
            <w:r w:rsidRPr="00766F3B">
              <w:t>hepatitis</w:t>
            </w:r>
            <w:r w:rsidR="00937B65" w:rsidRPr="00766F3B">
              <w:rPr>
                <w:vertAlign w:val="superscript"/>
              </w:rPr>
              <w:t>h</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7D" w14:textId="77777777" w:rsidR="002178CE" w:rsidRPr="00766F3B" w:rsidRDefault="002178CE" w:rsidP="00766F3B">
            <w:pPr>
              <w:pStyle w:val="TableCentre"/>
            </w:pPr>
            <w:r w:rsidRPr="00766F3B">
              <w:t>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7E" w14:textId="77777777" w:rsidR="002178CE" w:rsidRPr="00766F3B" w:rsidRDefault="002178CE" w:rsidP="00766F3B">
            <w:pPr>
              <w:pStyle w:val="TableCentre"/>
            </w:pPr>
            <w:r w:rsidRPr="00766F3B">
              <w:t>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7F"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80" w14:textId="77777777" w:rsidR="002178CE" w:rsidRPr="00766F3B" w:rsidRDefault="002178CE" w:rsidP="00766F3B">
            <w:pPr>
              <w:pStyle w:val="TableCentre"/>
            </w:pPr>
            <w:r w:rsidRPr="00766F3B">
              <w:t>0</w:t>
            </w:r>
          </w:p>
        </w:tc>
      </w:tr>
      <w:tr w:rsidR="002178CE" w14:paraId="2866DC83"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C82" w14:textId="77777777" w:rsidR="002178CE" w:rsidRPr="00766F3B" w:rsidRDefault="002178CE" w:rsidP="00C54A3F">
            <w:pPr>
              <w:pStyle w:val="TableHeading"/>
            </w:pPr>
            <w:r w:rsidRPr="00766F3B">
              <w:t>Infections and Infestations</w:t>
            </w:r>
          </w:p>
        </w:tc>
      </w:tr>
      <w:tr w:rsidR="002178CE" w14:paraId="2866DC89"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84" w14:textId="77777777" w:rsidR="002178CE" w:rsidRPr="00766F3B" w:rsidRDefault="002178CE" w:rsidP="00766F3B">
            <w:pPr>
              <w:pStyle w:val="TableText"/>
            </w:pPr>
            <w:r w:rsidRPr="00766F3B">
              <w:t>Urinary tract infection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85" w14:textId="77777777" w:rsidR="002178CE" w:rsidRPr="00766F3B" w:rsidRDefault="002178CE" w:rsidP="00766F3B">
            <w:pPr>
              <w:pStyle w:val="TableCentre"/>
            </w:pPr>
            <w:r w:rsidRPr="00766F3B">
              <w:t>11.5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86" w14:textId="77777777" w:rsidR="002178CE" w:rsidRPr="00766F3B" w:rsidRDefault="002178CE" w:rsidP="00766F3B">
            <w:pPr>
              <w:pStyle w:val="TableCentre"/>
            </w:pPr>
            <w:r w:rsidRPr="00766F3B">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87" w14:textId="77777777" w:rsidR="002178CE" w:rsidRPr="00766F3B" w:rsidRDefault="002178CE" w:rsidP="00766F3B">
            <w:pPr>
              <w:pStyle w:val="TableCentre"/>
            </w:pPr>
            <w:r w:rsidRPr="00766F3B">
              <w:t>5.3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88" w14:textId="77777777" w:rsidR="002178CE" w:rsidRPr="00766F3B" w:rsidRDefault="002178CE" w:rsidP="00766F3B">
            <w:pPr>
              <w:pStyle w:val="TableCentre"/>
            </w:pPr>
            <w:r w:rsidRPr="00766F3B">
              <w:t>0</w:t>
            </w:r>
          </w:p>
        </w:tc>
      </w:tr>
      <w:tr w:rsidR="002178CE" w14:paraId="2866DC8F"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8A" w14:textId="77777777" w:rsidR="002178CE" w:rsidRPr="00766F3B" w:rsidRDefault="002178CE" w:rsidP="00766F3B">
            <w:pPr>
              <w:pStyle w:val="TableText"/>
            </w:pPr>
            <w:r w:rsidRPr="00766F3B">
              <w:t>Perineal abscess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8B" w14:textId="77777777" w:rsidR="002178CE" w:rsidRPr="00766F3B" w:rsidRDefault="002178CE" w:rsidP="00766F3B">
            <w:pPr>
              <w:pStyle w:val="TableCentre"/>
            </w:pPr>
            <w:r w:rsidRPr="00766F3B">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8C" w14:textId="77777777" w:rsidR="002178CE" w:rsidRPr="00766F3B" w:rsidRDefault="002178CE" w:rsidP="00766F3B">
            <w:pPr>
              <w:pStyle w:val="TableCentre"/>
            </w:pPr>
            <w:r w:rsidRPr="00766F3B">
              <w:t>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8D"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8E" w14:textId="77777777" w:rsidR="002178CE" w:rsidRPr="00766F3B" w:rsidRDefault="002178CE" w:rsidP="00766F3B">
            <w:pPr>
              <w:pStyle w:val="TableCentre"/>
            </w:pPr>
            <w:r w:rsidRPr="00766F3B">
              <w:t>0</w:t>
            </w:r>
          </w:p>
        </w:tc>
      </w:tr>
      <w:tr w:rsidR="002178CE" w14:paraId="2866DC91"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C90" w14:textId="77777777" w:rsidR="002178CE" w:rsidRPr="00971623" w:rsidRDefault="002178CE" w:rsidP="00C54A3F">
            <w:pPr>
              <w:pStyle w:val="TableHeading"/>
            </w:pPr>
            <w:r w:rsidRPr="00766F3B">
              <w:t>Investigations</w:t>
            </w:r>
          </w:p>
        </w:tc>
      </w:tr>
      <w:tr w:rsidR="002178CE" w14:paraId="2866DC97"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92" w14:textId="77777777" w:rsidR="002178CE" w:rsidRPr="00766F3B" w:rsidRDefault="002178CE" w:rsidP="00766F3B">
            <w:pPr>
              <w:pStyle w:val="TableText"/>
            </w:pPr>
            <w:r w:rsidRPr="00766F3B">
              <w:t>Weight decreased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93" w14:textId="77777777" w:rsidR="002178CE" w:rsidRPr="00766F3B" w:rsidRDefault="002178CE" w:rsidP="00766F3B">
            <w:pPr>
              <w:pStyle w:val="TableCentre"/>
            </w:pPr>
            <w:r w:rsidRPr="00766F3B">
              <w:t>51.3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94" w14:textId="77777777" w:rsidR="002178CE" w:rsidRPr="00766F3B" w:rsidRDefault="002178CE" w:rsidP="00766F3B">
            <w:pPr>
              <w:pStyle w:val="TableCentre"/>
            </w:pPr>
            <w:r w:rsidRPr="00766F3B">
              <w:t>13.4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95" w14:textId="77777777" w:rsidR="002178CE" w:rsidRPr="00766F3B" w:rsidRDefault="002178CE" w:rsidP="00766F3B">
            <w:pPr>
              <w:pStyle w:val="TableCentre"/>
            </w:pPr>
            <w:r w:rsidRPr="00766F3B">
              <w:t>14.5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96" w14:textId="77777777" w:rsidR="002178CE" w:rsidRPr="00766F3B" w:rsidRDefault="002178CE" w:rsidP="00766F3B">
            <w:pPr>
              <w:pStyle w:val="TableCentre"/>
            </w:pPr>
            <w:r w:rsidRPr="00766F3B">
              <w:t>0.8</w:t>
            </w:r>
          </w:p>
        </w:tc>
      </w:tr>
      <w:tr w:rsidR="002178CE" w14:paraId="2866DC9D"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98" w14:textId="77777777" w:rsidR="002178CE" w:rsidRPr="00766F3B" w:rsidRDefault="002178CE" w:rsidP="00766F3B">
            <w:pPr>
              <w:pStyle w:val="TableText"/>
            </w:pPr>
            <w:r w:rsidRPr="00766F3B">
              <w:t>Electrocardiogram QT prolonged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99" w14:textId="77777777" w:rsidR="002178CE" w:rsidRPr="00766F3B" w:rsidRDefault="002178CE" w:rsidP="00766F3B">
            <w:pPr>
              <w:pStyle w:val="TableCentre"/>
            </w:pPr>
            <w:r w:rsidRPr="00766F3B">
              <w:t>8.8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9A" w14:textId="77777777" w:rsidR="002178CE" w:rsidRPr="00766F3B" w:rsidRDefault="002178CE" w:rsidP="00766F3B">
            <w:pPr>
              <w:pStyle w:val="TableCentre"/>
            </w:pPr>
            <w:r w:rsidRPr="00766F3B">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9B" w14:textId="77777777" w:rsidR="002178CE" w:rsidRPr="00766F3B" w:rsidRDefault="002178CE" w:rsidP="00766F3B">
            <w:pPr>
              <w:pStyle w:val="TableCentre"/>
            </w:pPr>
            <w:r w:rsidRPr="00766F3B">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9C" w14:textId="77777777" w:rsidR="002178CE" w:rsidRPr="00766F3B" w:rsidRDefault="002178CE" w:rsidP="00766F3B">
            <w:pPr>
              <w:pStyle w:val="TableCentre"/>
            </w:pPr>
            <w:r w:rsidRPr="00766F3B">
              <w:t>0</w:t>
            </w:r>
          </w:p>
        </w:tc>
      </w:tr>
      <w:tr w:rsidR="002178CE" w14:paraId="2866DCA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9E" w14:textId="77777777" w:rsidR="002178CE" w:rsidRPr="00766F3B" w:rsidRDefault="002178CE" w:rsidP="00766F3B">
            <w:pPr>
              <w:pStyle w:val="TableText"/>
            </w:pPr>
            <w:r w:rsidRPr="00766F3B">
              <w:t>Alanine aminotransferase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9F" w14:textId="77777777" w:rsidR="002178CE" w:rsidRPr="00766F3B" w:rsidRDefault="002178CE" w:rsidP="00766F3B">
            <w:pPr>
              <w:pStyle w:val="TableCentre"/>
            </w:pPr>
            <w:r w:rsidRPr="00766F3B">
              <w:t>7.7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A0" w14:textId="77777777" w:rsidR="002178CE" w:rsidRPr="00766F3B" w:rsidRDefault="002178CE" w:rsidP="00766F3B">
            <w:pPr>
              <w:pStyle w:val="TableCentre"/>
            </w:pPr>
            <w:r w:rsidRPr="00766F3B">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A1"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A2" w14:textId="77777777" w:rsidR="002178CE" w:rsidRPr="00766F3B" w:rsidRDefault="002178CE" w:rsidP="00766F3B">
            <w:pPr>
              <w:pStyle w:val="TableCentre"/>
            </w:pPr>
            <w:r w:rsidRPr="00766F3B">
              <w:t>0</w:t>
            </w:r>
          </w:p>
        </w:tc>
      </w:tr>
      <w:tr w:rsidR="002178CE" w14:paraId="2866DCA9"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A4" w14:textId="77777777" w:rsidR="002178CE" w:rsidRPr="00766F3B" w:rsidRDefault="002178CE" w:rsidP="00766F3B">
            <w:pPr>
              <w:pStyle w:val="TableText"/>
            </w:pPr>
            <w:r w:rsidRPr="00766F3B">
              <w:t>Blood creatinine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A5" w14:textId="77777777" w:rsidR="002178CE" w:rsidRPr="00766F3B" w:rsidRDefault="002178CE" w:rsidP="00766F3B">
            <w:pPr>
              <w:pStyle w:val="TableCentre"/>
            </w:pPr>
            <w:r w:rsidRPr="00766F3B">
              <w:t>7.3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A6"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A7" w14:textId="77777777" w:rsidR="002178CE" w:rsidRPr="00766F3B" w:rsidRDefault="002178CE" w:rsidP="00766F3B">
            <w:pPr>
              <w:pStyle w:val="TableCentre"/>
            </w:pPr>
            <w:r w:rsidRPr="00766F3B">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A8" w14:textId="77777777" w:rsidR="002178CE" w:rsidRPr="00766F3B" w:rsidRDefault="002178CE" w:rsidP="00766F3B">
            <w:pPr>
              <w:pStyle w:val="TableCentre"/>
            </w:pPr>
            <w:r w:rsidRPr="00766F3B">
              <w:t>0</w:t>
            </w:r>
          </w:p>
        </w:tc>
      </w:tr>
      <w:tr w:rsidR="002178CE" w14:paraId="2866DCAF"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AA" w14:textId="77777777" w:rsidR="002178CE" w:rsidRPr="00766F3B" w:rsidRDefault="002178CE" w:rsidP="00766F3B">
            <w:pPr>
              <w:pStyle w:val="TableText"/>
            </w:pPr>
            <w:r w:rsidRPr="00766F3B">
              <w:t>Aspartate aminotransferase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AB" w14:textId="77777777" w:rsidR="002178CE" w:rsidRPr="00766F3B" w:rsidRDefault="002178CE" w:rsidP="00766F3B">
            <w:pPr>
              <w:pStyle w:val="TableCentre"/>
            </w:pPr>
            <w:r w:rsidRPr="00766F3B">
              <w:t>6.9</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AC" w14:textId="77777777" w:rsidR="002178CE" w:rsidRPr="00766F3B" w:rsidRDefault="002178CE" w:rsidP="00766F3B">
            <w:pPr>
              <w:pStyle w:val="TableCentre"/>
            </w:pPr>
            <w:r w:rsidRPr="00766F3B">
              <w:t>1.9</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AD" w14:textId="77777777" w:rsidR="002178CE" w:rsidRPr="00766F3B" w:rsidRDefault="002178CE" w:rsidP="00766F3B">
            <w:pPr>
              <w:pStyle w:val="TableCentre"/>
            </w:pPr>
            <w:r w:rsidRPr="00766F3B">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AE" w14:textId="77777777" w:rsidR="002178CE" w:rsidRPr="00766F3B" w:rsidRDefault="002178CE" w:rsidP="00766F3B">
            <w:pPr>
              <w:pStyle w:val="TableCentre"/>
            </w:pPr>
            <w:r w:rsidRPr="00766F3B">
              <w:t>0</w:t>
            </w:r>
          </w:p>
        </w:tc>
      </w:tr>
      <w:tr w:rsidR="002178CE" w14:paraId="2866DCB5"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B0" w14:textId="77777777" w:rsidR="002178CE" w:rsidRPr="00766F3B" w:rsidRDefault="002178CE" w:rsidP="00766F3B">
            <w:pPr>
              <w:pStyle w:val="TableText"/>
            </w:pPr>
            <w:r w:rsidRPr="00766F3B">
              <w:t>Blood thyroid stimulating hormone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B1" w14:textId="77777777" w:rsidR="002178CE" w:rsidRPr="00766F3B" w:rsidRDefault="002178CE" w:rsidP="00766F3B">
            <w:pPr>
              <w:pStyle w:val="TableCentre"/>
            </w:pPr>
            <w:r w:rsidRPr="00766F3B">
              <w:t>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B2"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B3"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B4" w14:textId="77777777" w:rsidR="002178CE" w:rsidRPr="00766F3B" w:rsidRDefault="002178CE" w:rsidP="00766F3B">
            <w:pPr>
              <w:pStyle w:val="TableCentre"/>
            </w:pPr>
            <w:r w:rsidRPr="00766F3B">
              <w:t>0</w:t>
            </w:r>
          </w:p>
        </w:tc>
      </w:tr>
      <w:tr w:rsidR="002178CE" w14:paraId="2866DCBB"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B6" w14:textId="77777777" w:rsidR="002178CE" w:rsidRPr="00766F3B" w:rsidRDefault="002178CE" w:rsidP="00766F3B">
            <w:pPr>
              <w:pStyle w:val="TableText"/>
            </w:pPr>
            <w:r w:rsidRPr="00766F3B">
              <w:t>Blood alkaline phosphatase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B7" w14:textId="77777777" w:rsidR="002178CE" w:rsidRPr="00766F3B" w:rsidRDefault="002178CE" w:rsidP="00766F3B">
            <w:pPr>
              <w:pStyle w:val="TableCentre"/>
            </w:pPr>
            <w:r w:rsidRPr="00766F3B">
              <w:t>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B8" w14:textId="77777777" w:rsidR="002178CE" w:rsidRPr="00766F3B" w:rsidRDefault="002178CE" w:rsidP="00766F3B">
            <w:pPr>
              <w:pStyle w:val="TableCentre"/>
            </w:pPr>
            <w:r w:rsidRPr="00766F3B">
              <w:t>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B9" w14:textId="77777777" w:rsidR="002178CE" w:rsidRPr="00766F3B" w:rsidRDefault="002178CE" w:rsidP="00766F3B">
            <w:pPr>
              <w:pStyle w:val="TableCentre"/>
            </w:pPr>
            <w:r w:rsidRPr="00766F3B">
              <w:t>2.3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BA" w14:textId="77777777" w:rsidR="002178CE" w:rsidRPr="00766F3B" w:rsidRDefault="002178CE" w:rsidP="00766F3B">
            <w:pPr>
              <w:pStyle w:val="TableCentre"/>
            </w:pPr>
            <w:r w:rsidRPr="00766F3B">
              <w:t>0.8</w:t>
            </w:r>
          </w:p>
        </w:tc>
      </w:tr>
      <w:tr w:rsidR="002178CE" w14:paraId="2866DCC1"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BC" w14:textId="77777777" w:rsidR="002178CE" w:rsidRPr="00766F3B" w:rsidRDefault="002178CE" w:rsidP="00766F3B">
            <w:pPr>
              <w:pStyle w:val="TableText"/>
            </w:pPr>
            <w:r w:rsidRPr="00766F3B">
              <w:t>Blood urea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BD" w14:textId="77777777" w:rsidR="002178CE" w:rsidRPr="00766F3B" w:rsidRDefault="002178CE" w:rsidP="00766F3B">
            <w:pPr>
              <w:pStyle w:val="TableCentre"/>
            </w:pPr>
            <w:r w:rsidRPr="00766F3B">
              <w:t>3.1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BE"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BF"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C0" w14:textId="77777777" w:rsidR="002178CE" w:rsidRPr="00766F3B" w:rsidRDefault="002178CE" w:rsidP="00766F3B">
            <w:pPr>
              <w:pStyle w:val="TableCentre"/>
            </w:pPr>
            <w:r w:rsidRPr="00766F3B">
              <w:t>0</w:t>
            </w:r>
          </w:p>
        </w:tc>
      </w:tr>
      <w:tr w:rsidR="002178CE" w14:paraId="2866DCC7"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C2" w14:textId="77777777" w:rsidR="002178CE" w:rsidRPr="00766F3B" w:rsidRDefault="002178CE" w:rsidP="00766F3B">
            <w:pPr>
              <w:pStyle w:val="TableText"/>
            </w:pPr>
            <w:r w:rsidRPr="00766F3B">
              <w:t>Hepatic function abnormal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C3" w14:textId="77777777" w:rsidR="002178CE" w:rsidRPr="00766F3B" w:rsidRDefault="002178CE" w:rsidP="00766F3B">
            <w:pPr>
              <w:pStyle w:val="TableCentre"/>
            </w:pPr>
            <w:r w:rsidRPr="00766F3B">
              <w:t>2.3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C4"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C5"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C6" w14:textId="77777777" w:rsidR="002178CE" w:rsidRPr="00766F3B" w:rsidRDefault="002178CE" w:rsidP="00766F3B">
            <w:pPr>
              <w:pStyle w:val="TableCentre"/>
            </w:pPr>
            <w:r w:rsidRPr="00766F3B">
              <w:t>0</w:t>
            </w:r>
          </w:p>
        </w:tc>
      </w:tr>
      <w:tr w:rsidR="002178CE" w14:paraId="2866DCCD"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C8" w14:textId="77777777" w:rsidR="002178CE" w:rsidRPr="00766F3B" w:rsidRDefault="002178CE" w:rsidP="00766F3B">
            <w:pPr>
              <w:pStyle w:val="TableText"/>
            </w:pPr>
            <w:r w:rsidRPr="00766F3B">
              <w:t>Blood bilirubin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C9" w14:textId="77777777" w:rsidR="002178CE" w:rsidRPr="00766F3B" w:rsidRDefault="002178CE" w:rsidP="00766F3B">
            <w:pPr>
              <w:pStyle w:val="TableCentre"/>
            </w:pPr>
            <w:r w:rsidRPr="00766F3B">
              <w:t>1.9</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CA"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CB"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CC" w14:textId="77777777" w:rsidR="002178CE" w:rsidRPr="00766F3B" w:rsidRDefault="002178CE" w:rsidP="00766F3B">
            <w:pPr>
              <w:pStyle w:val="TableCentre"/>
            </w:pPr>
            <w:r w:rsidRPr="00766F3B">
              <w:t>0</w:t>
            </w:r>
          </w:p>
        </w:tc>
      </w:tr>
      <w:tr w:rsidR="002178CE" w:rsidRPr="00BB6B49" w14:paraId="2866DCD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CE" w14:textId="77777777" w:rsidR="002178CE" w:rsidRPr="00766F3B" w:rsidRDefault="002178CE" w:rsidP="00766F3B">
            <w:pPr>
              <w:pStyle w:val="TableText"/>
            </w:pPr>
            <w:r w:rsidRPr="00766F3B">
              <w:t>Gamma-</w:t>
            </w:r>
            <w:proofErr w:type="spellStart"/>
            <w:r w:rsidRPr="00766F3B">
              <w:t>glutamyltransferase</w:t>
            </w:r>
            <w:proofErr w:type="spellEnd"/>
            <w:r w:rsidRPr="00766F3B">
              <w:t xml:space="preserve">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CF" w14:textId="77777777" w:rsidR="002178CE" w:rsidRPr="00766F3B" w:rsidRDefault="002178CE" w:rsidP="00766F3B">
            <w:pPr>
              <w:pStyle w:val="TableCentre"/>
            </w:pPr>
            <w:r w:rsidRPr="00766F3B">
              <w:t>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D0" w14:textId="77777777" w:rsidR="002178CE" w:rsidRPr="00766F3B" w:rsidRDefault="002178CE" w:rsidP="00766F3B">
            <w:pPr>
              <w:pStyle w:val="TableCentre"/>
            </w:pPr>
            <w:r w:rsidRPr="00766F3B">
              <w:t>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D1" w14:textId="77777777" w:rsidR="002178CE" w:rsidRPr="00766F3B" w:rsidRDefault="002178CE" w:rsidP="00766F3B">
            <w:pPr>
              <w:pStyle w:val="TableCentre"/>
            </w:pPr>
            <w:r w:rsidRPr="00766F3B">
              <w:t>0.8</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D2" w14:textId="77777777" w:rsidR="002178CE" w:rsidRPr="00766F3B" w:rsidRDefault="002178CE" w:rsidP="00766F3B">
            <w:pPr>
              <w:pStyle w:val="TableCentre"/>
            </w:pPr>
            <w:r w:rsidRPr="00766F3B">
              <w:t>0</w:t>
            </w:r>
          </w:p>
        </w:tc>
      </w:tr>
      <w:tr w:rsidR="002178CE" w14:paraId="2866DCD5"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CD4" w14:textId="77777777" w:rsidR="002178CE" w:rsidRPr="00766F3B" w:rsidRDefault="002178CE" w:rsidP="00C54A3F">
            <w:pPr>
              <w:pStyle w:val="TableHeading"/>
            </w:pPr>
            <w:r w:rsidRPr="00766F3B">
              <w:t>Metabolism and Nutrition Disorders</w:t>
            </w:r>
          </w:p>
        </w:tc>
      </w:tr>
      <w:tr w:rsidR="002178CE" w:rsidRPr="001033E5" w14:paraId="2866DCDB"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D6" w14:textId="77777777" w:rsidR="002178CE" w:rsidRPr="00766F3B" w:rsidRDefault="002178CE" w:rsidP="00766F3B">
            <w:pPr>
              <w:pStyle w:val="TableText"/>
            </w:pPr>
            <w:r w:rsidRPr="00766F3B">
              <w:t>Decreased appetite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D7" w14:textId="77777777" w:rsidR="002178CE" w:rsidRPr="00766F3B" w:rsidRDefault="002178CE" w:rsidP="00766F3B">
            <w:pPr>
              <w:pStyle w:val="TableCentre"/>
            </w:pPr>
            <w:r w:rsidRPr="00766F3B">
              <w:t>54.4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D8" w14:textId="77777777" w:rsidR="002178CE" w:rsidRPr="00766F3B" w:rsidRDefault="002178CE" w:rsidP="00766F3B">
            <w:pPr>
              <w:pStyle w:val="TableCentre"/>
            </w:pPr>
            <w:r w:rsidRPr="00766F3B">
              <w:t>6.9</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D9" w14:textId="77777777" w:rsidR="002178CE" w:rsidRPr="00766F3B" w:rsidRDefault="002178CE" w:rsidP="00766F3B">
            <w:pPr>
              <w:pStyle w:val="TableCentre"/>
            </w:pPr>
            <w:r w:rsidRPr="00766F3B">
              <w:t>18.3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DA" w14:textId="77777777" w:rsidR="002178CE" w:rsidRPr="00766F3B" w:rsidRDefault="002178CE" w:rsidP="00766F3B">
            <w:pPr>
              <w:pStyle w:val="TableCentre"/>
            </w:pPr>
            <w:r w:rsidRPr="00766F3B">
              <w:t>0.8</w:t>
            </w:r>
          </w:p>
        </w:tc>
      </w:tr>
      <w:tr w:rsidR="002178CE" w:rsidRPr="001033E5" w14:paraId="2866DCE1"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DC" w14:textId="77777777" w:rsidR="002178CE" w:rsidRPr="00766F3B" w:rsidRDefault="002178CE" w:rsidP="00766F3B">
            <w:pPr>
              <w:pStyle w:val="TableText"/>
            </w:pPr>
            <w:r w:rsidRPr="00766F3B">
              <w:t>Hypokal</w:t>
            </w:r>
            <w:r w:rsidR="00372091" w:rsidRPr="00766F3B">
              <w:t>a</w:t>
            </w:r>
            <w:r w:rsidRPr="00766F3B">
              <w:t>emia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DD" w14:textId="77777777" w:rsidR="002178CE" w:rsidRPr="00766F3B" w:rsidRDefault="002178CE" w:rsidP="00766F3B">
            <w:pPr>
              <w:pStyle w:val="TableCentre"/>
            </w:pPr>
            <w:r w:rsidRPr="00766F3B">
              <w:t>13.8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DE" w14:textId="77777777" w:rsidR="002178CE" w:rsidRPr="00766F3B" w:rsidRDefault="002178CE" w:rsidP="00766F3B">
            <w:pPr>
              <w:pStyle w:val="TableCentre"/>
            </w:pPr>
            <w:r w:rsidRPr="00766F3B">
              <w:t>3.4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DF" w14:textId="77777777" w:rsidR="002178CE" w:rsidRPr="00766F3B" w:rsidRDefault="002178CE" w:rsidP="00766F3B">
            <w:pPr>
              <w:pStyle w:val="TableCentre"/>
            </w:pPr>
            <w:r w:rsidRPr="00766F3B">
              <w:t>3.8</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E0" w14:textId="77777777" w:rsidR="002178CE" w:rsidRPr="00766F3B" w:rsidRDefault="002178CE" w:rsidP="00766F3B">
            <w:pPr>
              <w:pStyle w:val="TableCentre"/>
            </w:pPr>
            <w:r w:rsidRPr="00766F3B">
              <w:t>0</w:t>
            </w:r>
          </w:p>
        </w:tc>
      </w:tr>
      <w:tr w:rsidR="002178CE" w:rsidRPr="001033E5" w14:paraId="2866DCE7"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E2" w14:textId="77777777" w:rsidR="002178CE" w:rsidRPr="00766F3B" w:rsidRDefault="002178CE" w:rsidP="00766F3B">
            <w:pPr>
              <w:pStyle w:val="TableText"/>
            </w:pPr>
            <w:r w:rsidRPr="00766F3B">
              <w:t>Hypocalc</w:t>
            </w:r>
            <w:r w:rsidR="00372091" w:rsidRPr="00766F3B">
              <w:t>a</w:t>
            </w:r>
            <w:r w:rsidRPr="00766F3B">
              <w:t>emia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E3" w14:textId="77777777" w:rsidR="002178CE" w:rsidRPr="00766F3B" w:rsidRDefault="002178CE" w:rsidP="00766F3B">
            <w:pPr>
              <w:pStyle w:val="TableCentre"/>
            </w:pPr>
            <w:r w:rsidRPr="00766F3B">
              <w:t>12.6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E4" w14:textId="77777777" w:rsidR="002178CE" w:rsidRPr="00766F3B" w:rsidRDefault="002178CE" w:rsidP="00766F3B">
            <w:pPr>
              <w:pStyle w:val="TableCentre"/>
            </w:pPr>
            <w:r w:rsidRPr="00766F3B">
              <w:t>5.0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E5"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E6" w14:textId="77777777" w:rsidR="002178CE" w:rsidRPr="00766F3B" w:rsidRDefault="002178CE" w:rsidP="00766F3B">
            <w:pPr>
              <w:pStyle w:val="TableCentre"/>
            </w:pPr>
            <w:r w:rsidRPr="00766F3B">
              <w:t>0</w:t>
            </w:r>
          </w:p>
        </w:tc>
      </w:tr>
      <w:tr w:rsidR="002178CE" w:rsidRPr="001033E5" w14:paraId="2866DCED"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E8" w14:textId="77777777" w:rsidR="002178CE" w:rsidRPr="00766F3B" w:rsidRDefault="002178CE" w:rsidP="00766F3B">
            <w:pPr>
              <w:pStyle w:val="TableText"/>
            </w:pPr>
            <w:proofErr w:type="spellStart"/>
            <w:r w:rsidRPr="00766F3B">
              <w:lastRenderedPageBreak/>
              <w:t>Hypoalbumin</w:t>
            </w:r>
            <w:r w:rsidR="00372091" w:rsidRPr="00766F3B">
              <w:t>a</w:t>
            </w:r>
            <w:r w:rsidRPr="00766F3B">
              <w:t>emia</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E9" w14:textId="77777777" w:rsidR="002178CE" w:rsidRPr="00766F3B" w:rsidRDefault="002178CE" w:rsidP="00766F3B">
            <w:pPr>
              <w:pStyle w:val="TableCentre"/>
            </w:pPr>
            <w:r w:rsidRPr="00766F3B">
              <w:t>9.6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EA"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EB" w14:textId="77777777" w:rsidR="002178CE" w:rsidRPr="00766F3B" w:rsidRDefault="002178CE" w:rsidP="00766F3B">
            <w:pPr>
              <w:pStyle w:val="TableCentre"/>
            </w:pPr>
            <w:r w:rsidRPr="00766F3B">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EC" w14:textId="77777777" w:rsidR="002178CE" w:rsidRPr="00766F3B" w:rsidRDefault="002178CE" w:rsidP="00766F3B">
            <w:pPr>
              <w:pStyle w:val="TableCentre"/>
            </w:pPr>
            <w:r w:rsidRPr="00766F3B">
              <w:t>0</w:t>
            </w:r>
          </w:p>
        </w:tc>
      </w:tr>
      <w:tr w:rsidR="002178CE" w:rsidRPr="001033E5" w14:paraId="2866DCF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EE" w14:textId="77777777" w:rsidR="002178CE" w:rsidRPr="00766F3B" w:rsidRDefault="002178CE" w:rsidP="00766F3B">
            <w:pPr>
              <w:pStyle w:val="TableText"/>
            </w:pPr>
            <w:r w:rsidRPr="00766F3B">
              <w:t>Dehydration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EF" w14:textId="77777777" w:rsidR="002178CE" w:rsidRPr="00766F3B" w:rsidRDefault="002178CE" w:rsidP="00766F3B">
            <w:pPr>
              <w:pStyle w:val="TableCentre"/>
            </w:pPr>
            <w:r w:rsidRPr="00766F3B">
              <w:t>8.8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F0" w14:textId="77777777" w:rsidR="002178CE" w:rsidRPr="00766F3B" w:rsidRDefault="002178CE" w:rsidP="00766F3B">
            <w:pPr>
              <w:pStyle w:val="TableCentre"/>
            </w:pPr>
            <w:r w:rsidRPr="00766F3B">
              <w:t>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F1" w14:textId="77777777" w:rsidR="002178CE" w:rsidRPr="00766F3B" w:rsidRDefault="002178CE" w:rsidP="00766F3B">
            <w:pPr>
              <w:pStyle w:val="TableCentre"/>
            </w:pPr>
            <w:r w:rsidRPr="00766F3B">
              <w:t>2.3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F2" w14:textId="77777777" w:rsidR="002178CE" w:rsidRPr="00766F3B" w:rsidRDefault="002178CE" w:rsidP="00766F3B">
            <w:pPr>
              <w:pStyle w:val="TableCentre"/>
            </w:pPr>
            <w:r w:rsidRPr="00766F3B">
              <w:t>0.8</w:t>
            </w:r>
          </w:p>
        </w:tc>
      </w:tr>
      <w:tr w:rsidR="002178CE" w:rsidRPr="001033E5" w14:paraId="2866DCF9"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F4" w14:textId="61EAEFA2" w:rsidR="002178CE" w:rsidRPr="00766F3B" w:rsidRDefault="002178CE" w:rsidP="00766F3B">
            <w:pPr>
              <w:pStyle w:val="TableText"/>
            </w:pPr>
            <w:proofErr w:type="spellStart"/>
            <w:r w:rsidRPr="00766F3B">
              <w:t>Hypomagnes</w:t>
            </w:r>
            <w:r w:rsidR="0075622C" w:rsidRPr="00766F3B">
              <w:t>a</w:t>
            </w:r>
            <w:r w:rsidRPr="00766F3B">
              <w:t>emia</w:t>
            </w:r>
            <w:r w:rsidR="00937B65" w:rsidRPr="00766F3B">
              <w:rPr>
                <w:vertAlign w:val="superscript"/>
              </w:rPr>
              <w:t>i</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F5" w14:textId="77777777" w:rsidR="002178CE" w:rsidRPr="00766F3B" w:rsidRDefault="002178CE" w:rsidP="00766F3B">
            <w:pPr>
              <w:pStyle w:val="TableCentre"/>
            </w:pPr>
            <w:r w:rsidRPr="00766F3B">
              <w:t>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F6"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F7" w14:textId="77777777" w:rsidR="002178CE" w:rsidRPr="00766F3B" w:rsidRDefault="002178CE" w:rsidP="00766F3B">
            <w:pPr>
              <w:pStyle w:val="TableCentre"/>
            </w:pPr>
            <w:r w:rsidRPr="00766F3B">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F8" w14:textId="77777777" w:rsidR="002178CE" w:rsidRPr="00766F3B" w:rsidRDefault="002178CE" w:rsidP="00766F3B">
            <w:pPr>
              <w:pStyle w:val="TableCentre"/>
            </w:pPr>
            <w:r w:rsidRPr="00766F3B">
              <w:t>0</w:t>
            </w:r>
          </w:p>
        </w:tc>
      </w:tr>
      <w:tr w:rsidR="002178CE" w:rsidRPr="001033E5" w14:paraId="2866DCFF"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CFA" w14:textId="0CF80F91" w:rsidR="002178CE" w:rsidRPr="00766F3B" w:rsidDel="00B17EC9" w:rsidRDefault="0075622C" w:rsidP="00766F3B">
            <w:pPr>
              <w:pStyle w:val="TableText"/>
            </w:pPr>
            <w:proofErr w:type="spellStart"/>
            <w:r w:rsidRPr="00766F3B">
              <w:t>Hypercholesterola</w:t>
            </w:r>
            <w:r w:rsidR="002178CE" w:rsidRPr="00766F3B">
              <w:t>emia</w:t>
            </w:r>
            <w:r w:rsidR="00937B65" w:rsidRPr="00766F3B">
              <w:rPr>
                <w:vertAlign w:val="superscript"/>
              </w:rPr>
              <w:t>j</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FB" w14:textId="77777777" w:rsidR="002178CE" w:rsidRPr="00766F3B" w:rsidDel="00B17EC9" w:rsidRDefault="002178CE" w:rsidP="00766F3B">
            <w:pPr>
              <w:pStyle w:val="TableCentre"/>
            </w:pPr>
            <w:r w:rsidRPr="00766F3B">
              <w:t>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CFC" w14:textId="77777777" w:rsidR="002178CE" w:rsidRPr="00766F3B" w:rsidDel="00B17EC9"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CFD" w14:textId="77777777" w:rsidR="002178CE" w:rsidRPr="00766F3B" w:rsidDel="00B17EC9"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CFE" w14:textId="77777777" w:rsidR="002178CE" w:rsidRPr="00766F3B" w:rsidDel="00B17EC9" w:rsidRDefault="002178CE" w:rsidP="00766F3B">
            <w:pPr>
              <w:pStyle w:val="TableCentre"/>
            </w:pPr>
            <w:r w:rsidRPr="00766F3B">
              <w:t>0</w:t>
            </w:r>
          </w:p>
        </w:tc>
      </w:tr>
      <w:tr w:rsidR="002178CE" w14:paraId="2866DD01"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D00" w14:textId="77777777" w:rsidR="002178CE" w:rsidRPr="00971623" w:rsidRDefault="002178CE" w:rsidP="00C54A3F">
            <w:pPr>
              <w:pStyle w:val="TableHeading"/>
            </w:pPr>
            <w:r w:rsidRPr="00C54A3F">
              <w:t>Musculoskeletal</w:t>
            </w:r>
            <w:r w:rsidRPr="00766F3B">
              <w:t xml:space="preserve"> and Connective Tissue Disorders</w:t>
            </w:r>
          </w:p>
        </w:tc>
      </w:tr>
      <w:tr w:rsidR="002178CE" w14:paraId="2866DD07"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02" w14:textId="77777777" w:rsidR="002178CE" w:rsidRPr="00766F3B" w:rsidRDefault="002178CE" w:rsidP="00766F3B">
            <w:pPr>
              <w:pStyle w:val="TableText"/>
            </w:pPr>
            <w:r w:rsidRPr="00766F3B">
              <w:t>Arthralgia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03" w14:textId="77777777" w:rsidR="002178CE" w:rsidRPr="00766F3B" w:rsidRDefault="002178CE" w:rsidP="00766F3B">
            <w:pPr>
              <w:pStyle w:val="TableCentre"/>
            </w:pPr>
            <w:r w:rsidRPr="00766F3B">
              <w:t>26.1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04"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05" w14:textId="77777777" w:rsidR="002178CE" w:rsidRPr="00766F3B" w:rsidRDefault="002178CE" w:rsidP="00766F3B">
            <w:pPr>
              <w:pStyle w:val="TableCentre"/>
            </w:pPr>
            <w:r w:rsidRPr="00766F3B">
              <w:t>6.9</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06" w14:textId="77777777" w:rsidR="002178CE" w:rsidRPr="00766F3B" w:rsidRDefault="002178CE" w:rsidP="00766F3B">
            <w:pPr>
              <w:pStyle w:val="TableCentre"/>
            </w:pPr>
            <w:r w:rsidRPr="00766F3B">
              <w:t>0.8</w:t>
            </w:r>
          </w:p>
        </w:tc>
      </w:tr>
      <w:tr w:rsidR="002178CE" w14:paraId="2866DD0D"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08" w14:textId="77777777" w:rsidR="002178CE" w:rsidRPr="00766F3B" w:rsidRDefault="002178CE" w:rsidP="00766F3B">
            <w:pPr>
              <w:pStyle w:val="TableText"/>
            </w:pPr>
            <w:r w:rsidRPr="00766F3B">
              <w:t>Myalgia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09" w14:textId="77777777" w:rsidR="002178CE" w:rsidRPr="00766F3B" w:rsidRDefault="002178CE" w:rsidP="00766F3B">
            <w:pPr>
              <w:pStyle w:val="TableCentre"/>
            </w:pPr>
            <w:r w:rsidRPr="00766F3B">
              <w:t>19.2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0A" w14:textId="77777777" w:rsidR="002178CE" w:rsidRPr="00766F3B" w:rsidRDefault="002178CE" w:rsidP="00766F3B">
            <w:pPr>
              <w:pStyle w:val="TableCentre"/>
            </w:pPr>
            <w:r w:rsidRPr="00766F3B">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0B" w14:textId="77777777" w:rsidR="002178CE" w:rsidRPr="00766F3B" w:rsidRDefault="002178CE" w:rsidP="00766F3B">
            <w:pPr>
              <w:pStyle w:val="TableCentre"/>
            </w:pPr>
            <w:r w:rsidRPr="00766F3B">
              <w:t>4.6</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0C" w14:textId="77777777" w:rsidR="002178CE" w:rsidRPr="00766F3B" w:rsidRDefault="002178CE" w:rsidP="00766F3B">
            <w:pPr>
              <w:pStyle w:val="TableCentre"/>
            </w:pPr>
            <w:r w:rsidRPr="00766F3B">
              <w:t>0</w:t>
            </w:r>
          </w:p>
        </w:tc>
      </w:tr>
      <w:tr w:rsidR="002178CE" w14:paraId="2866DD1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0E" w14:textId="77777777" w:rsidR="002178CE" w:rsidRPr="00766F3B" w:rsidRDefault="002178CE" w:rsidP="00766F3B">
            <w:pPr>
              <w:pStyle w:val="TableText"/>
            </w:pPr>
            <w:r w:rsidRPr="00766F3B">
              <w:t>Back pain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0F" w14:textId="77777777" w:rsidR="002178CE" w:rsidRPr="00766F3B" w:rsidRDefault="002178CE" w:rsidP="00766F3B">
            <w:pPr>
              <w:pStyle w:val="TableCentre"/>
            </w:pPr>
            <w:r w:rsidRPr="00766F3B">
              <w:t>17.6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10" w14:textId="77777777" w:rsidR="002178CE" w:rsidRPr="00766F3B" w:rsidRDefault="002178CE" w:rsidP="00766F3B">
            <w:pPr>
              <w:pStyle w:val="TableCentre"/>
            </w:pPr>
            <w:r w:rsidRPr="00766F3B">
              <w:t>1.9</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11" w14:textId="77777777" w:rsidR="002178CE" w:rsidRPr="00766F3B" w:rsidRDefault="002178CE" w:rsidP="00766F3B">
            <w:pPr>
              <w:pStyle w:val="TableCentre"/>
            </w:pPr>
            <w:r w:rsidRPr="00766F3B">
              <w:t>9.2</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12" w14:textId="77777777" w:rsidR="002178CE" w:rsidRPr="00766F3B" w:rsidRDefault="002178CE" w:rsidP="00766F3B">
            <w:pPr>
              <w:pStyle w:val="TableCentre"/>
            </w:pPr>
            <w:r w:rsidRPr="00766F3B">
              <w:t>0</w:t>
            </w:r>
          </w:p>
        </w:tc>
      </w:tr>
      <w:tr w:rsidR="002178CE" w14:paraId="2866DD19"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14" w14:textId="77777777" w:rsidR="002178CE" w:rsidRPr="00766F3B" w:rsidRDefault="002178CE" w:rsidP="00766F3B">
            <w:pPr>
              <w:pStyle w:val="TableText"/>
            </w:pPr>
            <w:r w:rsidRPr="00766F3B">
              <w:t>Musculoskeletal pain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15" w14:textId="77777777" w:rsidR="002178CE" w:rsidRPr="00766F3B" w:rsidRDefault="002178CE" w:rsidP="00766F3B">
            <w:pPr>
              <w:pStyle w:val="TableCentre"/>
            </w:pPr>
            <w:r w:rsidRPr="00766F3B">
              <w:t>16.1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16"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17" w14:textId="77777777" w:rsidR="002178CE" w:rsidRPr="00766F3B" w:rsidRDefault="002178CE" w:rsidP="00766F3B">
            <w:pPr>
              <w:pStyle w:val="TableCentre"/>
            </w:pPr>
            <w:r w:rsidRPr="00766F3B">
              <w:t>8.4</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18" w14:textId="77777777" w:rsidR="002178CE" w:rsidRPr="00766F3B" w:rsidRDefault="002178CE" w:rsidP="00766F3B">
            <w:pPr>
              <w:pStyle w:val="TableCentre"/>
            </w:pPr>
            <w:r w:rsidRPr="00766F3B">
              <w:t>0.8</w:t>
            </w:r>
          </w:p>
        </w:tc>
      </w:tr>
      <w:tr w:rsidR="002178CE" w14:paraId="2866DD1F"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1A" w14:textId="77777777" w:rsidR="002178CE" w:rsidRPr="00766F3B" w:rsidRDefault="002178CE" w:rsidP="00766F3B">
            <w:pPr>
              <w:pStyle w:val="TableText"/>
            </w:pPr>
            <w:r w:rsidRPr="00766F3B">
              <w:t>Pain in extremity</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1B" w14:textId="77777777" w:rsidR="002178CE" w:rsidRPr="00766F3B" w:rsidRDefault="002178CE" w:rsidP="00766F3B">
            <w:pPr>
              <w:pStyle w:val="TableCentre"/>
            </w:pPr>
            <w:r w:rsidRPr="00766F3B">
              <w:t>15.3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1C" w14:textId="77777777" w:rsidR="002178CE" w:rsidRPr="00766F3B" w:rsidRDefault="002178CE" w:rsidP="00766F3B">
            <w:pPr>
              <w:pStyle w:val="TableCentre"/>
            </w:pPr>
            <w:r w:rsidRPr="00766F3B">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1D" w14:textId="77777777" w:rsidR="002178CE" w:rsidRPr="00766F3B" w:rsidRDefault="002178CE" w:rsidP="00766F3B">
            <w:pPr>
              <w:pStyle w:val="TableCentre"/>
            </w:pPr>
            <w:r w:rsidRPr="00766F3B">
              <w:t>6.9</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1E" w14:textId="77777777" w:rsidR="002178CE" w:rsidRPr="00766F3B" w:rsidRDefault="002178CE" w:rsidP="00766F3B">
            <w:pPr>
              <w:pStyle w:val="TableCentre"/>
            </w:pPr>
            <w:r w:rsidRPr="00766F3B">
              <w:t>1.5</w:t>
            </w:r>
          </w:p>
        </w:tc>
      </w:tr>
      <w:tr w:rsidR="002178CE" w14:paraId="2866DD21"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D20" w14:textId="77777777" w:rsidR="002178CE" w:rsidRPr="00971623" w:rsidRDefault="002178CE" w:rsidP="00C54A3F">
            <w:pPr>
              <w:pStyle w:val="TableHeading"/>
            </w:pPr>
            <w:r w:rsidRPr="00766F3B">
              <w:t>Nervous System Disorders</w:t>
            </w:r>
          </w:p>
        </w:tc>
      </w:tr>
      <w:tr w:rsidR="002178CE" w:rsidRPr="00DD253F" w14:paraId="2866DD27"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22" w14:textId="77777777" w:rsidR="002178CE" w:rsidRPr="00766F3B" w:rsidRDefault="002178CE" w:rsidP="00766F3B">
            <w:pPr>
              <w:pStyle w:val="TableText"/>
            </w:pPr>
            <w:r w:rsidRPr="00766F3B">
              <w:t>Headache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23" w14:textId="77777777" w:rsidR="002178CE" w:rsidRPr="00766F3B" w:rsidRDefault="002178CE" w:rsidP="00766F3B">
            <w:pPr>
              <w:pStyle w:val="TableCentre"/>
            </w:pPr>
            <w:r w:rsidRPr="00766F3B">
              <w:t>38.3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24" w14:textId="77777777" w:rsidR="002178CE" w:rsidRPr="00766F3B" w:rsidRDefault="002178CE" w:rsidP="00766F3B">
            <w:pPr>
              <w:pStyle w:val="TableCentre"/>
            </w:pPr>
            <w:r w:rsidRPr="00766F3B">
              <w:t>3.1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25" w14:textId="77777777" w:rsidR="002178CE" w:rsidRPr="00766F3B" w:rsidRDefault="002178CE" w:rsidP="00766F3B">
            <w:pPr>
              <w:pStyle w:val="TableCentre"/>
            </w:pPr>
            <w:r w:rsidRPr="00766F3B">
              <w:t>11.5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26" w14:textId="77777777" w:rsidR="002178CE" w:rsidRPr="00766F3B" w:rsidRDefault="002178CE" w:rsidP="00766F3B">
            <w:pPr>
              <w:pStyle w:val="TableCentre"/>
            </w:pPr>
            <w:r w:rsidRPr="00766F3B">
              <w:t>0.8</w:t>
            </w:r>
          </w:p>
        </w:tc>
      </w:tr>
      <w:tr w:rsidR="002178CE" w:rsidRPr="00DD253F" w14:paraId="2866DD2D"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28" w14:textId="77777777" w:rsidR="002178CE" w:rsidRPr="00766F3B" w:rsidRDefault="002178CE" w:rsidP="00766F3B">
            <w:pPr>
              <w:pStyle w:val="TableText"/>
            </w:pPr>
            <w:proofErr w:type="spellStart"/>
            <w:r w:rsidRPr="00766F3B">
              <w:t>Dysgeusia</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29" w14:textId="77777777" w:rsidR="002178CE" w:rsidRPr="00766F3B" w:rsidRDefault="002178CE" w:rsidP="00766F3B">
            <w:pPr>
              <w:pStyle w:val="TableCentre"/>
            </w:pPr>
            <w:r w:rsidRPr="00766F3B">
              <w:t>18.0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2A"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2B" w14:textId="77777777" w:rsidR="002178CE" w:rsidRPr="00766F3B" w:rsidRDefault="002178CE" w:rsidP="00766F3B">
            <w:pPr>
              <w:pStyle w:val="TableCentre"/>
            </w:pPr>
            <w:r w:rsidRPr="00766F3B">
              <w:t>3.1</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2C" w14:textId="77777777" w:rsidR="002178CE" w:rsidRPr="00766F3B" w:rsidRDefault="002178CE" w:rsidP="00766F3B">
            <w:pPr>
              <w:pStyle w:val="TableCentre"/>
            </w:pPr>
            <w:r w:rsidRPr="00766F3B">
              <w:t>0</w:t>
            </w:r>
          </w:p>
        </w:tc>
      </w:tr>
      <w:tr w:rsidR="002178CE" w:rsidRPr="00DD253F" w14:paraId="2866DD3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2E" w14:textId="77777777" w:rsidR="002178CE" w:rsidRPr="00766F3B" w:rsidRDefault="002178CE" w:rsidP="00766F3B">
            <w:pPr>
              <w:pStyle w:val="TableText"/>
            </w:pPr>
            <w:r w:rsidRPr="00766F3B">
              <w:t>Dizziness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2F" w14:textId="77777777" w:rsidR="002178CE" w:rsidRPr="00766F3B" w:rsidRDefault="002178CE" w:rsidP="00766F3B">
            <w:pPr>
              <w:pStyle w:val="TableCentre"/>
            </w:pPr>
            <w:r w:rsidRPr="00766F3B">
              <w:t>15.3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30"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31" w14:textId="77777777" w:rsidR="002178CE" w:rsidRPr="00766F3B" w:rsidRDefault="002178CE" w:rsidP="00766F3B">
            <w:pPr>
              <w:pStyle w:val="TableCentre"/>
            </w:pPr>
            <w:r w:rsidRPr="00766F3B">
              <w:t>9.2</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32" w14:textId="77777777" w:rsidR="002178CE" w:rsidRPr="00766F3B" w:rsidRDefault="002178CE" w:rsidP="00766F3B">
            <w:pPr>
              <w:pStyle w:val="TableCentre"/>
            </w:pPr>
            <w:r w:rsidRPr="00766F3B">
              <w:t>0</w:t>
            </w:r>
          </w:p>
        </w:tc>
      </w:tr>
      <w:tr w:rsidR="002178CE" w:rsidRPr="00DD253F" w14:paraId="2866DD39"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34" w14:textId="77777777" w:rsidR="002178CE" w:rsidRPr="00766F3B" w:rsidRDefault="002178CE" w:rsidP="00766F3B">
            <w:pPr>
              <w:pStyle w:val="TableText"/>
            </w:pPr>
            <w:proofErr w:type="spellStart"/>
            <w:r w:rsidRPr="00766F3B">
              <w:t>Monoparesis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35" w14:textId="77777777" w:rsidR="002178CE" w:rsidRPr="00766F3B" w:rsidRDefault="002178CE" w:rsidP="00766F3B">
            <w:pPr>
              <w:pStyle w:val="TableCentre"/>
            </w:pPr>
            <w:r w:rsidRPr="00766F3B">
              <w:t>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36" w14:textId="77777777" w:rsidR="002178CE" w:rsidRPr="00766F3B" w:rsidRDefault="002178CE" w:rsidP="00766F3B">
            <w:pPr>
              <w:pStyle w:val="TableCentre"/>
            </w:pPr>
            <w:r w:rsidRPr="00766F3B">
              <w:t>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37"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38" w14:textId="77777777" w:rsidR="002178CE" w:rsidRPr="00766F3B" w:rsidRDefault="002178CE" w:rsidP="00766F3B">
            <w:pPr>
              <w:pStyle w:val="TableCentre"/>
            </w:pPr>
            <w:r w:rsidRPr="00766F3B">
              <w:t>0</w:t>
            </w:r>
          </w:p>
        </w:tc>
      </w:tr>
      <w:tr w:rsidR="002178CE" w:rsidRPr="00DD253F" w14:paraId="2866DD3F"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3A" w14:textId="77777777" w:rsidR="002178CE" w:rsidRPr="00766F3B" w:rsidRDefault="002178CE" w:rsidP="00766F3B">
            <w:pPr>
              <w:pStyle w:val="TableText"/>
            </w:pPr>
            <w:r w:rsidRPr="00766F3B">
              <w:t>Cerebrovascular accident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3B" w14:textId="77777777" w:rsidR="002178CE" w:rsidRPr="00766F3B" w:rsidRDefault="002178CE" w:rsidP="00766F3B">
            <w:pPr>
              <w:pStyle w:val="TableCentre"/>
            </w:pPr>
            <w:r w:rsidRPr="00766F3B">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3C"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3D"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3E" w14:textId="77777777" w:rsidR="002178CE" w:rsidRPr="00766F3B" w:rsidRDefault="002178CE" w:rsidP="00766F3B">
            <w:pPr>
              <w:pStyle w:val="TableCentre"/>
            </w:pPr>
            <w:r w:rsidRPr="00766F3B">
              <w:t>0</w:t>
            </w:r>
          </w:p>
        </w:tc>
      </w:tr>
      <w:tr w:rsidR="002178CE" w:rsidRPr="00DD253F" w14:paraId="2866DD45"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40" w14:textId="427676DA" w:rsidR="002178CE" w:rsidRPr="00766F3B" w:rsidRDefault="002178CE" w:rsidP="00766F3B">
            <w:pPr>
              <w:pStyle w:val="TableText"/>
            </w:pPr>
            <w:r w:rsidRPr="00766F3B">
              <w:t>Transient isch</w:t>
            </w:r>
            <w:r w:rsidR="0064223A">
              <w:t>a</w:t>
            </w:r>
            <w:r w:rsidRPr="00766F3B">
              <w:t>emic attack</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41" w14:textId="77777777" w:rsidR="002178CE" w:rsidRPr="00766F3B" w:rsidRDefault="002178CE" w:rsidP="00766F3B">
            <w:pPr>
              <w:pStyle w:val="TableCentre"/>
            </w:pPr>
            <w:r w:rsidRPr="00766F3B">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42"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43"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44" w14:textId="77777777" w:rsidR="002178CE" w:rsidRPr="00766F3B" w:rsidRDefault="002178CE" w:rsidP="00766F3B">
            <w:pPr>
              <w:pStyle w:val="TableCentre"/>
            </w:pPr>
            <w:r w:rsidRPr="00766F3B">
              <w:t>0</w:t>
            </w:r>
          </w:p>
        </w:tc>
      </w:tr>
      <w:tr w:rsidR="002178CE" w:rsidRPr="00DD253F" w14:paraId="2866DD4B"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46" w14:textId="2379EEDE" w:rsidR="002178CE" w:rsidRPr="00766F3B" w:rsidRDefault="002178CE" w:rsidP="00766F3B">
            <w:pPr>
              <w:pStyle w:val="TableText"/>
            </w:pPr>
            <w:r w:rsidRPr="00766F3B">
              <w:t xml:space="preserve">Reversible posterior </w:t>
            </w:r>
            <w:proofErr w:type="spellStart"/>
            <w:r w:rsidRPr="00766F3B">
              <w:t>leu</w:t>
            </w:r>
            <w:r w:rsidR="00D178F2" w:rsidRPr="00766F3B">
              <w:t>c</w:t>
            </w:r>
            <w:r w:rsidRPr="00766F3B">
              <w:t>oencephalopathy</w:t>
            </w:r>
            <w:proofErr w:type="spellEnd"/>
            <w:r w:rsidRPr="00766F3B">
              <w:t xml:space="preserve"> syndrome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47" w14:textId="77777777" w:rsidR="002178CE" w:rsidRPr="00766F3B" w:rsidRDefault="002178CE" w:rsidP="00766F3B">
            <w:pPr>
              <w:pStyle w:val="TableCentre"/>
            </w:pPr>
            <w:r w:rsidRPr="00766F3B">
              <w:t>0.4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48"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49"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4A" w14:textId="77777777" w:rsidR="002178CE" w:rsidRPr="00766F3B" w:rsidRDefault="002178CE" w:rsidP="00766F3B">
            <w:pPr>
              <w:pStyle w:val="TableCentre"/>
            </w:pPr>
            <w:r w:rsidRPr="00766F3B">
              <w:t>0</w:t>
            </w:r>
          </w:p>
        </w:tc>
      </w:tr>
      <w:tr w:rsidR="002178CE" w14:paraId="2866DD4D"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D4C" w14:textId="77777777" w:rsidR="002178CE" w:rsidRPr="00971623" w:rsidRDefault="002178CE" w:rsidP="00C54A3F">
            <w:pPr>
              <w:pStyle w:val="TableHeading"/>
            </w:pPr>
            <w:r w:rsidRPr="00766F3B">
              <w:t>Psychiatric Disorders</w:t>
            </w:r>
          </w:p>
        </w:tc>
      </w:tr>
      <w:tr w:rsidR="002178CE" w14:paraId="2866DD5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4E" w14:textId="77777777" w:rsidR="002178CE" w:rsidRPr="00766F3B" w:rsidRDefault="002178CE" w:rsidP="00766F3B">
            <w:pPr>
              <w:pStyle w:val="TableText"/>
            </w:pPr>
            <w:r w:rsidRPr="00766F3B">
              <w:t>Insomnia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4F" w14:textId="77777777" w:rsidR="002178CE" w:rsidRPr="00766F3B" w:rsidRDefault="002178CE" w:rsidP="00766F3B">
            <w:pPr>
              <w:pStyle w:val="TableCentre"/>
            </w:pPr>
            <w:r w:rsidRPr="00766F3B">
              <w:t>11.9</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50"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51" w14:textId="77777777" w:rsidR="002178CE" w:rsidRPr="00766F3B" w:rsidRDefault="002178CE" w:rsidP="00766F3B">
            <w:pPr>
              <w:pStyle w:val="TableCentre"/>
            </w:pPr>
            <w:r w:rsidRPr="00766F3B">
              <w:t>3.1</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52" w14:textId="77777777" w:rsidR="002178CE" w:rsidRPr="00766F3B" w:rsidRDefault="002178CE" w:rsidP="00766F3B">
            <w:pPr>
              <w:pStyle w:val="TableCentre"/>
            </w:pPr>
            <w:r w:rsidRPr="00766F3B">
              <w:t>0</w:t>
            </w:r>
          </w:p>
        </w:tc>
      </w:tr>
      <w:tr w:rsidR="002178CE" w14:paraId="2866DD59"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54" w14:textId="77777777" w:rsidR="002178CE" w:rsidRPr="00766F3B" w:rsidRDefault="002178CE" w:rsidP="00C54A3F">
            <w:pPr>
              <w:pStyle w:val="TableHeading"/>
            </w:pPr>
            <w:r w:rsidRPr="00766F3B">
              <w:t>Renal and Urinary Disorders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55" w14:textId="77777777" w:rsidR="002178CE" w:rsidRPr="00766F3B" w:rsidRDefault="002178CE" w:rsidP="00C54A3F">
            <w:pPr>
              <w:pStyle w:val="TableHeading"/>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56" w14:textId="77777777" w:rsidR="002178CE" w:rsidRPr="00766F3B" w:rsidRDefault="002178CE" w:rsidP="00C54A3F">
            <w:pPr>
              <w:pStyle w:val="TableHeading"/>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57" w14:textId="77777777" w:rsidR="002178CE" w:rsidRPr="00766F3B" w:rsidRDefault="002178CE" w:rsidP="00C54A3F">
            <w:pPr>
              <w:pStyle w:val="TableHeading"/>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58" w14:textId="77777777" w:rsidR="002178CE" w:rsidRPr="00766F3B" w:rsidRDefault="002178CE" w:rsidP="00C54A3F">
            <w:pPr>
              <w:pStyle w:val="TableHeading"/>
            </w:pPr>
          </w:p>
        </w:tc>
      </w:tr>
      <w:tr w:rsidR="002178CE" w14:paraId="2866DD5F"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5A" w14:textId="77777777" w:rsidR="002178CE" w:rsidRPr="00766F3B" w:rsidRDefault="002178CE" w:rsidP="00766F3B">
            <w:pPr>
              <w:pStyle w:val="TableText"/>
            </w:pPr>
            <w:r w:rsidRPr="00766F3B">
              <w:t>Proteinuria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5B" w14:textId="77777777" w:rsidR="002178CE" w:rsidRPr="00766F3B" w:rsidRDefault="002178CE" w:rsidP="00766F3B">
            <w:pPr>
              <w:pStyle w:val="TableCentre"/>
            </w:pPr>
            <w:r w:rsidRPr="00766F3B">
              <w:t>33.7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5C" w14:textId="77777777" w:rsidR="002178CE" w:rsidRPr="00766F3B" w:rsidRDefault="002178CE" w:rsidP="00766F3B">
            <w:pPr>
              <w:pStyle w:val="TableCentre"/>
            </w:pPr>
            <w:r w:rsidRPr="00766F3B">
              <w:t>10.7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5D" w14:textId="77777777" w:rsidR="002178CE" w:rsidRPr="00766F3B" w:rsidRDefault="002178CE" w:rsidP="00766F3B">
            <w:pPr>
              <w:pStyle w:val="TableCentre"/>
            </w:pPr>
            <w:r w:rsidRPr="00766F3B">
              <w:t>3.1</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5E" w14:textId="77777777" w:rsidR="002178CE" w:rsidRPr="00766F3B" w:rsidRDefault="002178CE" w:rsidP="00766F3B">
            <w:pPr>
              <w:pStyle w:val="TableCentre"/>
            </w:pPr>
            <w:r w:rsidRPr="00766F3B">
              <w:t>0</w:t>
            </w:r>
          </w:p>
        </w:tc>
      </w:tr>
      <w:tr w:rsidR="002178CE" w14:paraId="2866DD65"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60" w14:textId="3F2ED17D" w:rsidR="002178CE" w:rsidRPr="00766F3B" w:rsidRDefault="002178CE" w:rsidP="00766F3B">
            <w:pPr>
              <w:pStyle w:val="TableText"/>
            </w:pPr>
            <w:r w:rsidRPr="00766F3B">
              <w:t xml:space="preserve">Renal failure </w:t>
            </w:r>
            <w:proofErr w:type="spellStart"/>
            <w:r w:rsidRPr="00766F3B">
              <w:t>events</w:t>
            </w:r>
            <w:r w:rsidR="00937B65" w:rsidRPr="00766F3B">
              <w:rPr>
                <w:vertAlign w:val="superscript"/>
              </w:rPr>
              <w:t>d</w:t>
            </w:r>
            <w:r w:rsidRPr="00766F3B">
              <w:rPr>
                <w:vertAlign w:val="superscript"/>
              </w:rPr>
              <w:t>,</w:t>
            </w:r>
            <w:r w:rsidR="00937B65" w:rsidRPr="00766F3B">
              <w:rPr>
                <w:vertAlign w:val="superscript"/>
              </w:rPr>
              <w:t>k</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61" w14:textId="77777777" w:rsidR="002178CE" w:rsidRPr="00766F3B" w:rsidRDefault="002178CE" w:rsidP="00766F3B">
            <w:pPr>
              <w:pStyle w:val="TableCentre"/>
            </w:pPr>
            <w:r w:rsidRPr="00766F3B">
              <w:t>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62" w14:textId="77777777" w:rsidR="002178CE" w:rsidRPr="00766F3B" w:rsidRDefault="002178CE" w:rsidP="00766F3B">
            <w:pPr>
              <w:pStyle w:val="TableCentre"/>
            </w:pPr>
            <w:r w:rsidRPr="00766F3B">
              <w:t>2.7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63" w14:textId="77777777" w:rsidR="002178CE" w:rsidRPr="00766F3B" w:rsidRDefault="002178CE" w:rsidP="00766F3B">
            <w:pPr>
              <w:pStyle w:val="TableCentre"/>
            </w:pPr>
            <w:r w:rsidRPr="00766F3B">
              <w:t>0.8</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64" w14:textId="77777777" w:rsidR="002178CE" w:rsidRPr="00766F3B" w:rsidRDefault="002178CE" w:rsidP="00766F3B">
            <w:pPr>
              <w:pStyle w:val="TableCentre"/>
            </w:pPr>
            <w:r w:rsidRPr="00766F3B">
              <w:t>0.8</w:t>
            </w:r>
          </w:p>
        </w:tc>
      </w:tr>
      <w:tr w:rsidR="002178CE" w14:paraId="2866DD6B"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66" w14:textId="77777777" w:rsidR="002178CE" w:rsidRPr="00766F3B" w:rsidRDefault="002178CE" w:rsidP="00766F3B">
            <w:pPr>
              <w:pStyle w:val="TableText"/>
            </w:pPr>
            <w:r w:rsidRPr="00766F3B">
              <w:t>Renal impairment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67" w14:textId="77777777" w:rsidR="002178CE" w:rsidRPr="00766F3B" w:rsidRDefault="002178CE" w:rsidP="00766F3B">
            <w:pPr>
              <w:pStyle w:val="TableCentre"/>
            </w:pPr>
            <w:r w:rsidRPr="00766F3B">
              <w:t>1.9</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68"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69"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6A" w14:textId="77777777" w:rsidR="002178CE" w:rsidRPr="00766F3B" w:rsidRDefault="002178CE" w:rsidP="00766F3B">
            <w:pPr>
              <w:pStyle w:val="TableCentre"/>
            </w:pPr>
            <w:r w:rsidRPr="00766F3B">
              <w:t>0</w:t>
            </w:r>
          </w:p>
        </w:tc>
      </w:tr>
      <w:tr w:rsidR="002178CE" w14:paraId="2866DD6D"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D6C" w14:textId="77777777" w:rsidR="002178CE" w:rsidRPr="00971623" w:rsidRDefault="002178CE" w:rsidP="00C54A3F">
            <w:pPr>
              <w:pStyle w:val="TableHeading"/>
            </w:pPr>
            <w:r w:rsidRPr="00766F3B">
              <w:t>Respiratory, Thoracic, and Mediastinal Disorders</w:t>
            </w:r>
          </w:p>
        </w:tc>
      </w:tr>
      <w:tr w:rsidR="002178CE" w14:paraId="2866DD7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6E" w14:textId="77777777" w:rsidR="002178CE" w:rsidRPr="00766F3B" w:rsidRDefault="002178CE" w:rsidP="00766F3B">
            <w:pPr>
              <w:pStyle w:val="TableText"/>
            </w:pPr>
            <w:r w:rsidRPr="00766F3B">
              <w:t>Dysphonia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6F" w14:textId="77777777" w:rsidR="002178CE" w:rsidRPr="00766F3B" w:rsidRDefault="002178CE" w:rsidP="00766F3B">
            <w:pPr>
              <w:pStyle w:val="TableCentre"/>
            </w:pPr>
            <w:r w:rsidRPr="00766F3B">
              <w:t>31.4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70" w14:textId="77777777" w:rsidR="002178CE" w:rsidRPr="00766F3B" w:rsidRDefault="002178CE" w:rsidP="00766F3B">
            <w:pPr>
              <w:pStyle w:val="TableCentre"/>
            </w:pPr>
            <w:r w:rsidRPr="00766F3B">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71" w14:textId="77777777" w:rsidR="002178CE" w:rsidRPr="00766F3B" w:rsidRDefault="002178CE" w:rsidP="00766F3B">
            <w:pPr>
              <w:pStyle w:val="TableCentre"/>
            </w:pPr>
            <w:r w:rsidRPr="00766F3B">
              <w:t>5.3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72" w14:textId="77777777" w:rsidR="002178CE" w:rsidRPr="00766F3B" w:rsidRDefault="002178CE" w:rsidP="00766F3B">
            <w:pPr>
              <w:pStyle w:val="TableCentre"/>
            </w:pPr>
            <w:r w:rsidRPr="00766F3B">
              <w:t>0</w:t>
            </w:r>
          </w:p>
        </w:tc>
      </w:tr>
      <w:tr w:rsidR="002178CE" w14:paraId="2866DD79"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74" w14:textId="77777777" w:rsidR="002178CE" w:rsidRPr="00766F3B" w:rsidRDefault="002178CE" w:rsidP="00766F3B">
            <w:pPr>
              <w:pStyle w:val="TableText"/>
            </w:pPr>
            <w:r w:rsidRPr="00766F3B">
              <w:t>Cough</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75" w14:textId="77777777" w:rsidR="002178CE" w:rsidRPr="00766F3B" w:rsidRDefault="002178CE" w:rsidP="00766F3B">
            <w:pPr>
              <w:pStyle w:val="TableCentre"/>
            </w:pPr>
            <w:r w:rsidRPr="00766F3B">
              <w:t>23.8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76"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77" w14:textId="77777777" w:rsidR="002178CE" w:rsidRPr="00766F3B" w:rsidRDefault="002178CE" w:rsidP="00766F3B">
            <w:pPr>
              <w:pStyle w:val="TableCentre"/>
            </w:pPr>
            <w:r w:rsidRPr="00766F3B">
              <w:t>17.6</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78" w14:textId="77777777" w:rsidR="002178CE" w:rsidRPr="00766F3B" w:rsidRDefault="002178CE" w:rsidP="00766F3B">
            <w:pPr>
              <w:pStyle w:val="TableCentre"/>
            </w:pPr>
            <w:r w:rsidRPr="00766F3B">
              <w:t>0</w:t>
            </w:r>
          </w:p>
        </w:tc>
      </w:tr>
      <w:tr w:rsidR="002178CE" w14:paraId="2866DD7F"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7A" w14:textId="02276E79" w:rsidR="002178CE" w:rsidRPr="00766F3B" w:rsidRDefault="002178CE" w:rsidP="00766F3B">
            <w:pPr>
              <w:pStyle w:val="TableText"/>
            </w:pPr>
            <w:r w:rsidRPr="00766F3B">
              <w:t xml:space="preserve">Pulmonary </w:t>
            </w:r>
            <w:proofErr w:type="spellStart"/>
            <w:r w:rsidRPr="00766F3B">
              <w:t>embolism</w:t>
            </w:r>
            <w:r w:rsidR="00937B65" w:rsidRPr="00766F3B">
              <w:rPr>
                <w:vertAlign w:val="superscript"/>
              </w:rPr>
              <w:t>d</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7B" w14:textId="77777777" w:rsidR="002178CE" w:rsidRPr="00766F3B" w:rsidRDefault="002178CE" w:rsidP="00766F3B">
            <w:pPr>
              <w:pStyle w:val="TableCentre"/>
            </w:pPr>
            <w:r w:rsidRPr="00766F3B">
              <w:t>3.1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7C" w14:textId="77777777" w:rsidR="002178CE" w:rsidRPr="00766F3B" w:rsidRDefault="002178CE" w:rsidP="00766F3B">
            <w:pPr>
              <w:pStyle w:val="TableCentre"/>
            </w:pPr>
            <w:r w:rsidRPr="00766F3B">
              <w:t>3.1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7D" w14:textId="77777777" w:rsidR="002178CE" w:rsidRPr="00766F3B" w:rsidRDefault="002178CE" w:rsidP="00766F3B">
            <w:pPr>
              <w:pStyle w:val="TableCentre"/>
            </w:pPr>
            <w:r w:rsidRPr="00766F3B">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7E" w14:textId="77777777" w:rsidR="002178CE" w:rsidRPr="00766F3B" w:rsidRDefault="002178CE" w:rsidP="00766F3B">
            <w:pPr>
              <w:pStyle w:val="TableCentre"/>
            </w:pPr>
            <w:r w:rsidRPr="00766F3B">
              <w:t>1.5</w:t>
            </w:r>
          </w:p>
        </w:tc>
      </w:tr>
      <w:tr w:rsidR="002178CE" w14:paraId="2866DD81"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14:paraId="2866DD80" w14:textId="77777777" w:rsidR="002178CE" w:rsidRPr="00E07296" w:rsidRDefault="002178CE" w:rsidP="00C54A3F">
            <w:pPr>
              <w:pStyle w:val="TableHeading"/>
            </w:pPr>
            <w:r w:rsidRPr="00766F3B">
              <w:t>Skin and Subcutaneous Tissue Disorders</w:t>
            </w:r>
          </w:p>
        </w:tc>
      </w:tr>
      <w:tr w:rsidR="002178CE" w14:paraId="2866DD87"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82" w14:textId="77777777" w:rsidR="002178CE" w:rsidRPr="00766F3B" w:rsidRDefault="002178CE" w:rsidP="00766F3B">
            <w:pPr>
              <w:pStyle w:val="TableText"/>
            </w:pPr>
            <w:r w:rsidRPr="00766F3B">
              <w:t xml:space="preserve">Palmar-plantar </w:t>
            </w:r>
            <w:proofErr w:type="spellStart"/>
            <w:r w:rsidRPr="00766F3B">
              <w:t>erythrodysaesthesia</w:t>
            </w:r>
            <w:proofErr w:type="spellEnd"/>
            <w:r w:rsidRPr="00766F3B">
              <w:t xml:space="preserve"> syndrome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83" w14:textId="77777777" w:rsidR="002178CE" w:rsidRPr="00766F3B" w:rsidRDefault="002178CE" w:rsidP="00766F3B">
            <w:pPr>
              <w:pStyle w:val="TableCentre"/>
            </w:pPr>
            <w:r w:rsidRPr="00766F3B">
              <w:t>32.2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84" w14:textId="77777777" w:rsidR="002178CE" w:rsidRPr="00766F3B" w:rsidRDefault="002178CE" w:rsidP="00766F3B">
            <w:pPr>
              <w:pStyle w:val="TableCentre"/>
            </w:pPr>
            <w:r w:rsidRPr="00766F3B">
              <w:t>3.4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85" w14:textId="77777777" w:rsidR="002178CE" w:rsidRPr="00766F3B" w:rsidRDefault="002178CE" w:rsidP="00766F3B">
            <w:pPr>
              <w:pStyle w:val="TableCentre"/>
            </w:pPr>
            <w:r w:rsidRPr="00766F3B">
              <w:t>0.8</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86" w14:textId="77777777" w:rsidR="002178CE" w:rsidRPr="00766F3B" w:rsidRDefault="002178CE" w:rsidP="00766F3B">
            <w:pPr>
              <w:pStyle w:val="TableCentre"/>
            </w:pPr>
            <w:r w:rsidRPr="00766F3B">
              <w:t>0</w:t>
            </w:r>
          </w:p>
        </w:tc>
      </w:tr>
      <w:tr w:rsidR="002178CE" w14:paraId="2866DD8D"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88" w14:textId="77777777" w:rsidR="002178CE" w:rsidRPr="00766F3B" w:rsidRDefault="002178CE" w:rsidP="00766F3B">
            <w:pPr>
              <w:pStyle w:val="TableText"/>
            </w:pPr>
            <w:r w:rsidRPr="00766F3B">
              <w:t>Rash</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89" w14:textId="77777777" w:rsidR="002178CE" w:rsidRPr="00766F3B" w:rsidRDefault="002178CE" w:rsidP="00766F3B">
            <w:pPr>
              <w:pStyle w:val="TableCentre"/>
            </w:pPr>
            <w:r w:rsidRPr="00766F3B">
              <w:t>18.8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8A" w14:textId="77777777" w:rsidR="002178CE" w:rsidRPr="00766F3B" w:rsidRDefault="002178CE" w:rsidP="00766F3B">
            <w:pPr>
              <w:pStyle w:val="TableCentre"/>
            </w:pPr>
            <w:r w:rsidRPr="00766F3B">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8B" w14:textId="77777777" w:rsidR="002178CE" w:rsidRPr="00766F3B" w:rsidRDefault="002178CE" w:rsidP="00766F3B">
            <w:pPr>
              <w:pStyle w:val="TableCentre"/>
            </w:pPr>
            <w:r w:rsidRPr="00766F3B">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8C" w14:textId="77777777" w:rsidR="002178CE" w:rsidRPr="00766F3B" w:rsidRDefault="002178CE" w:rsidP="00766F3B">
            <w:pPr>
              <w:pStyle w:val="TableCentre"/>
            </w:pPr>
            <w:r w:rsidRPr="00766F3B">
              <w:t>0</w:t>
            </w:r>
          </w:p>
        </w:tc>
      </w:tr>
      <w:tr w:rsidR="002178CE" w14:paraId="2866DD9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8E" w14:textId="77777777" w:rsidR="002178CE" w:rsidRPr="00766F3B" w:rsidRDefault="002178CE" w:rsidP="00766F3B">
            <w:pPr>
              <w:pStyle w:val="TableText"/>
            </w:pPr>
            <w:r w:rsidRPr="00766F3B">
              <w:t>Alopecia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8F" w14:textId="77777777" w:rsidR="002178CE" w:rsidRPr="00766F3B" w:rsidRDefault="002178CE" w:rsidP="00766F3B">
            <w:pPr>
              <w:pStyle w:val="TableCentre"/>
            </w:pPr>
            <w:r w:rsidRPr="00766F3B">
              <w:t>12.3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90"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91" w14:textId="77777777" w:rsidR="002178CE" w:rsidRPr="00766F3B" w:rsidRDefault="002178CE" w:rsidP="00766F3B">
            <w:pPr>
              <w:pStyle w:val="TableCentre"/>
            </w:pPr>
            <w:r w:rsidRPr="00766F3B">
              <w:t>5.3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92" w14:textId="77777777" w:rsidR="002178CE" w:rsidRPr="00766F3B" w:rsidRDefault="002178CE" w:rsidP="00766F3B">
            <w:pPr>
              <w:pStyle w:val="TableCentre"/>
            </w:pPr>
            <w:r w:rsidRPr="00766F3B">
              <w:t>0</w:t>
            </w:r>
          </w:p>
        </w:tc>
      </w:tr>
      <w:tr w:rsidR="002178CE" w14:paraId="2866DD99"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94" w14:textId="77777777" w:rsidR="002178CE" w:rsidRPr="00766F3B" w:rsidRDefault="002178CE" w:rsidP="00766F3B">
            <w:pPr>
              <w:pStyle w:val="TableText"/>
            </w:pPr>
            <w:r w:rsidRPr="00766F3B">
              <w:t>Hyperkeratosis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95" w14:textId="77777777" w:rsidR="002178CE" w:rsidRPr="00766F3B" w:rsidRDefault="002178CE" w:rsidP="00766F3B">
            <w:pPr>
              <w:pStyle w:val="TableCentre"/>
            </w:pPr>
            <w:r w:rsidRPr="00766F3B">
              <w:t>6.9</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96"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97" w14:textId="77777777" w:rsidR="002178CE" w:rsidRPr="00766F3B" w:rsidRDefault="002178CE" w:rsidP="00766F3B">
            <w:pPr>
              <w:pStyle w:val="TableCentre"/>
            </w:pPr>
            <w:r w:rsidRPr="00766F3B">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98" w14:textId="77777777" w:rsidR="002178CE" w:rsidRPr="00766F3B" w:rsidRDefault="002178CE" w:rsidP="00766F3B">
            <w:pPr>
              <w:pStyle w:val="TableCentre"/>
            </w:pPr>
            <w:r w:rsidRPr="00766F3B">
              <w:t>0</w:t>
            </w:r>
          </w:p>
        </w:tc>
      </w:tr>
      <w:tr w:rsidR="002178CE" w14:paraId="2866DD9F"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9A" w14:textId="77777777" w:rsidR="002178CE" w:rsidRPr="00766F3B" w:rsidRDefault="002178CE" w:rsidP="00766F3B">
            <w:pPr>
              <w:pStyle w:val="TableText"/>
            </w:pPr>
            <w:r w:rsidRPr="00766F3B">
              <w:t>Palmar erythema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9B" w14:textId="77777777" w:rsidR="002178CE" w:rsidRPr="00766F3B" w:rsidRDefault="002178CE" w:rsidP="00766F3B">
            <w:pPr>
              <w:pStyle w:val="TableCentre"/>
            </w:pPr>
            <w:r w:rsidRPr="00766F3B">
              <w:t>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9C" w14:textId="77777777" w:rsidR="002178CE" w:rsidRPr="00766F3B" w:rsidRDefault="002178CE" w:rsidP="00766F3B">
            <w:pPr>
              <w:pStyle w:val="TableCentre"/>
            </w:pPr>
            <w:r w:rsidRPr="00766F3B">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9D" w14:textId="77777777" w:rsidR="002178CE" w:rsidRPr="00766F3B" w:rsidRDefault="002178CE" w:rsidP="00766F3B">
            <w:pPr>
              <w:pStyle w:val="TableCentre"/>
            </w:pPr>
            <w:r w:rsidRPr="00766F3B">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9E" w14:textId="77777777" w:rsidR="002178CE" w:rsidRPr="00766F3B" w:rsidRDefault="002178CE" w:rsidP="00766F3B">
            <w:pPr>
              <w:pStyle w:val="TableCentre"/>
            </w:pPr>
            <w:r w:rsidRPr="00766F3B">
              <w:t>0</w:t>
            </w:r>
          </w:p>
        </w:tc>
      </w:tr>
      <w:tr w:rsidR="002178CE" w14:paraId="2866DDA1" w14:textId="77777777" w:rsidTr="00920D76">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866DDA0" w14:textId="77777777" w:rsidR="002178CE" w:rsidRPr="00E07296" w:rsidRDefault="002178CE" w:rsidP="00C54A3F">
            <w:pPr>
              <w:pStyle w:val="TableHeading"/>
            </w:pPr>
            <w:r w:rsidRPr="00766F3B">
              <w:t>Vascular Disorders</w:t>
            </w:r>
          </w:p>
        </w:tc>
      </w:tr>
      <w:tr w:rsidR="002178CE" w14:paraId="2866DDA7"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A2" w14:textId="32C22853" w:rsidR="002178CE" w:rsidRPr="00766F3B" w:rsidRDefault="00937B65" w:rsidP="00766F3B">
            <w:pPr>
              <w:pStyle w:val="TableText"/>
            </w:pPr>
            <w:r w:rsidRPr="00766F3B">
              <w:t>Haem</w:t>
            </w:r>
            <w:r w:rsidR="002178CE" w:rsidRPr="00766F3B">
              <w:t>orrhage</w:t>
            </w:r>
            <w:r w:rsidRPr="00766F3B">
              <w:rPr>
                <w:vertAlign w:val="superscript"/>
              </w:rPr>
              <w:t>d</w:t>
            </w:r>
            <w:r w:rsidR="002178CE" w:rsidRPr="00766F3B">
              <w:rPr>
                <w:vertAlign w:val="superscript"/>
              </w:rPr>
              <w:t xml:space="preserve">, </w:t>
            </w:r>
            <w:r w:rsidRPr="00766F3B">
              <w:rPr>
                <w:vertAlign w:val="superscript"/>
              </w:rPr>
              <w:t>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A3" w14:textId="77777777" w:rsidR="002178CE" w:rsidRPr="00766F3B" w:rsidRDefault="002178CE" w:rsidP="00766F3B">
            <w:pPr>
              <w:pStyle w:val="TableCentre"/>
            </w:pPr>
            <w:r w:rsidRPr="00766F3B">
              <w:t>34.9</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A4" w14:textId="77777777" w:rsidR="002178CE" w:rsidRPr="00766F3B" w:rsidRDefault="002178CE" w:rsidP="00766F3B">
            <w:pPr>
              <w:pStyle w:val="TableCentre"/>
            </w:pPr>
            <w:r w:rsidRPr="00766F3B">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A5" w14:textId="77777777" w:rsidR="002178CE" w:rsidRPr="00766F3B" w:rsidRDefault="002178CE" w:rsidP="00766F3B">
            <w:pPr>
              <w:pStyle w:val="TableCentre"/>
            </w:pPr>
            <w:r w:rsidRPr="00766F3B">
              <w:t>18.3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A6" w14:textId="77777777" w:rsidR="002178CE" w:rsidRPr="00766F3B" w:rsidRDefault="002178CE" w:rsidP="00766F3B">
            <w:pPr>
              <w:pStyle w:val="TableCentre"/>
            </w:pPr>
            <w:r w:rsidRPr="00766F3B">
              <w:t>3.1</w:t>
            </w:r>
          </w:p>
        </w:tc>
      </w:tr>
      <w:tr w:rsidR="002178CE" w14:paraId="2866DDAD"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A8" w14:textId="5D91C3D4" w:rsidR="002178CE" w:rsidRPr="00766F3B" w:rsidRDefault="002178CE" w:rsidP="00766F3B">
            <w:pPr>
              <w:pStyle w:val="TableText"/>
            </w:pPr>
            <w:proofErr w:type="spellStart"/>
            <w:r w:rsidRPr="00766F3B">
              <w:t>Hypertension</w:t>
            </w:r>
            <w:r w:rsidR="00937B65" w:rsidRPr="00FD34EE">
              <w:rPr>
                <w:vertAlign w:val="superscript"/>
              </w:rPr>
              <w:t>m</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A9" w14:textId="77777777" w:rsidR="002178CE" w:rsidRPr="00766F3B" w:rsidRDefault="002178CE" w:rsidP="00766F3B">
            <w:pPr>
              <w:pStyle w:val="TableCentre"/>
            </w:pPr>
            <w:r w:rsidRPr="00766F3B">
              <w:t>72.8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AA" w14:textId="77777777" w:rsidR="002178CE" w:rsidRPr="00766F3B" w:rsidRDefault="002178CE" w:rsidP="00766F3B">
            <w:pPr>
              <w:pStyle w:val="TableCentre"/>
            </w:pPr>
            <w:r w:rsidRPr="00766F3B">
              <w:t>44.4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AB" w14:textId="77777777" w:rsidR="002178CE" w:rsidRPr="00766F3B" w:rsidRDefault="002178CE" w:rsidP="00766F3B">
            <w:pPr>
              <w:pStyle w:val="TableCentre"/>
            </w:pPr>
            <w:r w:rsidRPr="00766F3B">
              <w:t>16.0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AC" w14:textId="77777777" w:rsidR="002178CE" w:rsidRPr="00766F3B" w:rsidRDefault="002178CE" w:rsidP="00766F3B">
            <w:pPr>
              <w:pStyle w:val="TableCentre"/>
            </w:pPr>
            <w:r w:rsidRPr="00766F3B">
              <w:t>3.8</w:t>
            </w:r>
          </w:p>
        </w:tc>
      </w:tr>
      <w:tr w:rsidR="002178CE" w14:paraId="2866DDB3" w14:textId="77777777" w:rsidTr="00920D76">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14:paraId="2866DDAE" w14:textId="77777777" w:rsidR="002178CE" w:rsidRPr="00766F3B" w:rsidRDefault="002178CE" w:rsidP="00766F3B">
            <w:pPr>
              <w:pStyle w:val="TableText"/>
            </w:pPr>
            <w:r w:rsidRPr="00766F3B">
              <w:t>Hypotension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AF" w14:textId="77777777" w:rsidR="002178CE" w:rsidRPr="00766F3B" w:rsidRDefault="002178CE" w:rsidP="00766F3B">
            <w:pPr>
              <w:pStyle w:val="TableCentre"/>
            </w:pPr>
            <w:r w:rsidRPr="00766F3B">
              <w:t>8.8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66DDB0" w14:textId="77777777" w:rsidR="002178CE" w:rsidRPr="00766F3B" w:rsidRDefault="002178CE" w:rsidP="00766F3B">
            <w:pPr>
              <w:pStyle w:val="TableCentre"/>
            </w:pPr>
            <w:r w:rsidRPr="00766F3B">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66DDB1" w14:textId="77777777" w:rsidR="002178CE" w:rsidRPr="00766F3B" w:rsidRDefault="002178CE" w:rsidP="00766F3B">
            <w:pPr>
              <w:pStyle w:val="TableCentre"/>
            </w:pPr>
            <w:r w:rsidRPr="00766F3B">
              <w:t>2.3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866DDB2" w14:textId="77777777" w:rsidR="002178CE" w:rsidRPr="00766F3B" w:rsidRDefault="002178CE" w:rsidP="00766F3B">
            <w:pPr>
              <w:pStyle w:val="TableCentre"/>
            </w:pPr>
            <w:r w:rsidRPr="00766F3B">
              <w:t>0</w:t>
            </w:r>
          </w:p>
        </w:tc>
      </w:tr>
    </w:tbl>
    <w:p w14:paraId="45691C34" w14:textId="77777777" w:rsidR="006540BC" w:rsidRPr="00505C3C" w:rsidRDefault="006540BC" w:rsidP="006540BC">
      <w:pPr>
        <w:pStyle w:val="TableFootnote"/>
        <w:numPr>
          <w:ilvl w:val="0"/>
          <w:numId w:val="37"/>
        </w:numPr>
      </w:pPr>
      <w:r w:rsidRPr="00505C3C">
        <w:t>Includes the following terms: thrombocytopenia, platelet count decreased</w:t>
      </w:r>
    </w:p>
    <w:p w14:paraId="6C6BCC9B" w14:textId="77777777" w:rsidR="006540BC" w:rsidRPr="00505C3C" w:rsidRDefault="006540BC" w:rsidP="006540BC">
      <w:pPr>
        <w:pStyle w:val="TableFootnote"/>
        <w:numPr>
          <w:ilvl w:val="0"/>
          <w:numId w:val="37"/>
        </w:numPr>
      </w:pPr>
      <w:r w:rsidRPr="00505C3C">
        <w:t xml:space="preserve">Includes the following terms: </w:t>
      </w:r>
      <w:proofErr w:type="spellStart"/>
      <w:r w:rsidRPr="00505C3C">
        <w:t>lymphopenia</w:t>
      </w:r>
      <w:proofErr w:type="spellEnd"/>
      <w:r w:rsidRPr="00505C3C">
        <w:t>, lymphocyte count decreased</w:t>
      </w:r>
    </w:p>
    <w:p w14:paraId="7E954EB7" w14:textId="77777777" w:rsidR="006540BC" w:rsidRPr="00505C3C" w:rsidRDefault="006540BC" w:rsidP="006540BC">
      <w:pPr>
        <w:pStyle w:val="TableFootnote"/>
        <w:numPr>
          <w:ilvl w:val="0"/>
          <w:numId w:val="37"/>
        </w:numPr>
      </w:pPr>
      <w:r w:rsidRPr="00505C3C">
        <w:t>Includes the following terms: acute myocardial infarction, myocardial infarction</w:t>
      </w:r>
    </w:p>
    <w:p w14:paraId="40F9BEC9" w14:textId="77777777" w:rsidR="006540BC" w:rsidRPr="00505C3C" w:rsidRDefault="006540BC" w:rsidP="006540BC">
      <w:pPr>
        <w:pStyle w:val="TableFootnote"/>
        <w:numPr>
          <w:ilvl w:val="0"/>
          <w:numId w:val="37"/>
        </w:numPr>
      </w:pPr>
      <w:r w:rsidRPr="00505C3C">
        <w:t>Includes fatal events and these are counted in all Grade column</w:t>
      </w:r>
    </w:p>
    <w:p w14:paraId="48190C0C" w14:textId="77777777" w:rsidR="006540BC" w:rsidRPr="00505C3C" w:rsidRDefault="006540BC" w:rsidP="006540BC">
      <w:pPr>
        <w:pStyle w:val="TableFootnote"/>
        <w:numPr>
          <w:ilvl w:val="0"/>
          <w:numId w:val="37"/>
        </w:numPr>
      </w:pPr>
      <w:r w:rsidRPr="00505C3C">
        <w:t xml:space="preserve">Includes the following terms: </w:t>
      </w:r>
      <w:proofErr w:type="spellStart"/>
      <w:r w:rsidRPr="00505C3C">
        <w:t>aphthous</w:t>
      </w:r>
      <w:proofErr w:type="spellEnd"/>
      <w:r w:rsidRPr="00505C3C">
        <w:t xml:space="preserve"> stomatitis, stomatitis, glossitis, mouth ulceration, mucosal inflammation </w:t>
      </w:r>
    </w:p>
    <w:p w14:paraId="03EFF8D6" w14:textId="77777777" w:rsidR="006540BC" w:rsidRPr="00505C3C" w:rsidRDefault="006540BC" w:rsidP="006540BC">
      <w:pPr>
        <w:pStyle w:val="TableFootnote"/>
        <w:numPr>
          <w:ilvl w:val="0"/>
          <w:numId w:val="37"/>
        </w:numPr>
      </w:pPr>
      <w:r w:rsidRPr="00505C3C">
        <w:t>Includes the following terms: abdominal discomfort, abdominal pain, abdominal pain lower, abdominal pain upper, abdominal tenderness, epigastric discomfort, gastrointestinal pain</w:t>
      </w:r>
    </w:p>
    <w:p w14:paraId="2829E05E" w14:textId="77777777" w:rsidR="006540BC" w:rsidRPr="00505C3C" w:rsidRDefault="006540BC" w:rsidP="006540BC">
      <w:pPr>
        <w:pStyle w:val="TableFootnote"/>
        <w:numPr>
          <w:ilvl w:val="0"/>
          <w:numId w:val="37"/>
        </w:numPr>
      </w:pPr>
      <w:r w:rsidRPr="00505C3C">
        <w:t xml:space="preserve">Includes the following terms: oral pain, </w:t>
      </w:r>
      <w:proofErr w:type="spellStart"/>
      <w:r w:rsidRPr="00505C3C">
        <w:t>glossodynia</w:t>
      </w:r>
      <w:proofErr w:type="spellEnd"/>
      <w:r w:rsidRPr="00505C3C">
        <w:t>, oropharyngeal pain</w:t>
      </w:r>
    </w:p>
    <w:p w14:paraId="69913995" w14:textId="77777777" w:rsidR="006540BC" w:rsidRPr="00505C3C" w:rsidRDefault="006540BC" w:rsidP="006540BC">
      <w:pPr>
        <w:pStyle w:val="TableFootnote"/>
        <w:numPr>
          <w:ilvl w:val="0"/>
          <w:numId w:val="37"/>
        </w:numPr>
      </w:pPr>
      <w:r w:rsidRPr="00505C3C">
        <w:t xml:space="preserve">Includes the following terms: drug-induced liver injury, </w:t>
      </w:r>
      <w:proofErr w:type="spellStart"/>
      <w:r w:rsidRPr="00505C3C">
        <w:t>cholestatic</w:t>
      </w:r>
      <w:proofErr w:type="spellEnd"/>
      <w:r w:rsidRPr="00505C3C">
        <w:t xml:space="preserve"> liver injury, hepatic steatosis</w:t>
      </w:r>
    </w:p>
    <w:p w14:paraId="035AF541" w14:textId="77777777" w:rsidR="006540BC" w:rsidRPr="00505C3C" w:rsidRDefault="006540BC" w:rsidP="006540BC">
      <w:pPr>
        <w:pStyle w:val="TableFootnote"/>
        <w:numPr>
          <w:ilvl w:val="0"/>
          <w:numId w:val="37"/>
        </w:numPr>
      </w:pPr>
      <w:r w:rsidRPr="00505C3C">
        <w:t>Includes the following terms: hypomagnesaemia, blood magnesium decreased</w:t>
      </w:r>
    </w:p>
    <w:p w14:paraId="537F7636" w14:textId="77777777" w:rsidR="006540BC" w:rsidRPr="00505C3C" w:rsidRDefault="006540BC" w:rsidP="006540BC">
      <w:pPr>
        <w:pStyle w:val="TableFootnote"/>
        <w:numPr>
          <w:ilvl w:val="0"/>
          <w:numId w:val="37"/>
        </w:numPr>
      </w:pPr>
      <w:r w:rsidRPr="00505C3C">
        <w:lastRenderedPageBreak/>
        <w:t xml:space="preserve">Includes the following terms: </w:t>
      </w:r>
      <w:proofErr w:type="spellStart"/>
      <w:r w:rsidRPr="00505C3C">
        <w:t>hypercholesterolaemia</w:t>
      </w:r>
      <w:proofErr w:type="spellEnd"/>
      <w:r w:rsidRPr="00505C3C">
        <w:t xml:space="preserve"> and blood cholesterol increased</w:t>
      </w:r>
    </w:p>
    <w:p w14:paraId="5BE6C6EA" w14:textId="77777777" w:rsidR="006540BC" w:rsidRPr="00505C3C" w:rsidRDefault="006540BC" w:rsidP="006540BC">
      <w:pPr>
        <w:pStyle w:val="TableFootnote"/>
        <w:numPr>
          <w:ilvl w:val="0"/>
          <w:numId w:val="37"/>
        </w:numPr>
      </w:pPr>
      <w:r w:rsidRPr="00505C3C">
        <w:t xml:space="preserve">Includes the following terms: acute </w:t>
      </w:r>
      <w:proofErr w:type="spellStart"/>
      <w:r w:rsidRPr="00505C3C">
        <w:t>prerenal</w:t>
      </w:r>
      <w:proofErr w:type="spellEnd"/>
      <w:r w:rsidRPr="00505C3C">
        <w:t xml:space="preserve"> failure, renal failure, renal failure acute, renal tubular necrosis</w:t>
      </w:r>
    </w:p>
    <w:p w14:paraId="3F69DBEB" w14:textId="77777777" w:rsidR="006540BC" w:rsidRPr="00505C3C" w:rsidRDefault="006540BC" w:rsidP="006540BC">
      <w:pPr>
        <w:pStyle w:val="TableFootnote"/>
        <w:numPr>
          <w:ilvl w:val="0"/>
          <w:numId w:val="37"/>
        </w:numPr>
      </w:pPr>
      <w:r w:rsidRPr="00505C3C">
        <w:t xml:space="preserve">Includes the following terms: epistaxis, haematuria, contusion, gingival bleeding, haematochezia, pulmonary haemorrhage, vaginal haemorrhage, rectal haemorrhage, haematoma, haemorrhoidal haemorrhage, laryngeal haemorrhage, </w:t>
      </w:r>
      <w:proofErr w:type="spellStart"/>
      <w:r w:rsidRPr="00505C3C">
        <w:t>petechiae</w:t>
      </w:r>
      <w:proofErr w:type="spellEnd"/>
      <w:r w:rsidRPr="00505C3C">
        <w:t xml:space="preserve">, intracranial tumour haemorrhage, haemorrhagic stroke, pleural haemorrhage, splenic haemorrhage, blood urine present, conjunctival haemorrhage, eye haemorrhage, </w:t>
      </w:r>
      <w:proofErr w:type="spellStart"/>
      <w:r w:rsidRPr="00505C3C">
        <w:t>gastroduodenitis</w:t>
      </w:r>
      <w:proofErr w:type="spellEnd"/>
      <w:r w:rsidRPr="00505C3C">
        <w:t xml:space="preserve"> haemorrhagic, </w:t>
      </w:r>
      <w:proofErr w:type="spellStart"/>
      <w:r w:rsidRPr="00505C3C">
        <w:t>haematemesis</w:t>
      </w:r>
      <w:proofErr w:type="spellEnd"/>
      <w:r w:rsidRPr="00505C3C">
        <w:t xml:space="preserve">, increased tendency to bruise, </w:t>
      </w:r>
      <w:proofErr w:type="spellStart"/>
      <w:r w:rsidRPr="00505C3C">
        <w:t>proctitis</w:t>
      </w:r>
      <w:proofErr w:type="spellEnd"/>
      <w:r w:rsidRPr="00505C3C">
        <w:t xml:space="preserve"> haemorrhagic, purpura, renal haematoma, skin haemorrhage, splinter haemorrhages</w:t>
      </w:r>
    </w:p>
    <w:p w14:paraId="5B26A933" w14:textId="224C634B" w:rsidR="006540BC" w:rsidRPr="00505C3C" w:rsidRDefault="006540BC" w:rsidP="006540BC">
      <w:pPr>
        <w:pStyle w:val="TableFootnote"/>
        <w:numPr>
          <w:ilvl w:val="0"/>
          <w:numId w:val="37"/>
        </w:numPr>
      </w:pPr>
      <w:r w:rsidRPr="00505C3C">
        <w:t>Includes the following terms: hypertension, hypertensive crisis, blood pressure diastolic increased, blood pressure increased</w:t>
      </w:r>
    </w:p>
    <w:p w14:paraId="7535F9C4" w14:textId="77777777" w:rsidR="006540BC" w:rsidRDefault="006540BC" w:rsidP="006540BC">
      <w:pPr>
        <w:pStyle w:val="TableFootnote"/>
      </w:pPr>
    </w:p>
    <w:p w14:paraId="2866DDC3" w14:textId="32BBD827" w:rsidR="00A57B23" w:rsidRDefault="006540BC" w:rsidP="006540BC">
      <w:pPr>
        <w:pStyle w:val="BodyText"/>
        <w:spacing w:before="120" w:after="120"/>
        <w:rPr>
          <w:lang w:val="en-US"/>
        </w:rPr>
      </w:pPr>
      <w:r w:rsidRPr="00505C3C">
        <w:t>*TEAEs reported at 4 months after the cut-off for the final PFS analysis</w:t>
      </w:r>
    </w:p>
    <w:p w14:paraId="2866DDC4" w14:textId="77777777" w:rsidR="00D178F2" w:rsidRPr="00D178F2" w:rsidRDefault="00D178F2" w:rsidP="00D33B56">
      <w:pPr>
        <w:pStyle w:val="Heading4"/>
      </w:pPr>
      <w:r w:rsidRPr="00D178F2">
        <w:t>Renal Cell Carcinoma</w:t>
      </w:r>
    </w:p>
    <w:p w14:paraId="2866DDC7" w14:textId="140BF712" w:rsidR="00D178F2" w:rsidRPr="00D178F2" w:rsidRDefault="00D178F2" w:rsidP="00920D76">
      <w:pPr>
        <w:pStyle w:val="BodyText"/>
        <w:spacing w:before="120" w:after="60"/>
        <w:rPr>
          <w:szCs w:val="24"/>
          <w:lang w:val="en-US"/>
        </w:rPr>
      </w:pPr>
      <w:r w:rsidRPr="00D178F2">
        <w:rPr>
          <w:szCs w:val="24"/>
          <w:lang w:val="en-US"/>
        </w:rPr>
        <w:t>The most common adverse reactions observed in the LENVIMA in combination with</w:t>
      </w:r>
      <w:r w:rsidR="007B4197">
        <w:rPr>
          <w:szCs w:val="24"/>
          <w:lang w:val="en-US"/>
        </w:rPr>
        <w:t xml:space="preserve"> </w:t>
      </w:r>
      <w:proofErr w:type="spellStart"/>
      <w:r w:rsidRPr="00D178F2">
        <w:rPr>
          <w:szCs w:val="24"/>
          <w:lang w:val="en-US"/>
        </w:rPr>
        <w:t>everolimus</w:t>
      </w:r>
      <w:proofErr w:type="spellEnd"/>
      <w:r w:rsidRPr="00D178F2">
        <w:rPr>
          <w:szCs w:val="24"/>
          <w:lang w:val="en-US"/>
        </w:rPr>
        <w:t xml:space="preserve">-treated group (&gt; 30%) were, in order of decreasing frequency, </w:t>
      </w:r>
      <w:proofErr w:type="spellStart"/>
      <w:r w:rsidRPr="00D178F2">
        <w:rPr>
          <w:szCs w:val="24"/>
          <w:lang w:val="en-US"/>
        </w:rPr>
        <w:t>diarrhoea</w:t>
      </w:r>
      <w:proofErr w:type="spellEnd"/>
      <w:r w:rsidRPr="00D178F2">
        <w:rPr>
          <w:szCs w:val="24"/>
          <w:lang w:val="en-US"/>
        </w:rPr>
        <w:t xml:space="preserve">, fatigue, arthralgia/myalgia, decreased appetite, vomiting, nausea, stomatitis/oral inflammation, hypertension, peripheral </w:t>
      </w:r>
      <w:proofErr w:type="spellStart"/>
      <w:r w:rsidRPr="00D178F2">
        <w:rPr>
          <w:szCs w:val="24"/>
          <w:lang w:val="en-US"/>
        </w:rPr>
        <w:t>oedema</w:t>
      </w:r>
      <w:proofErr w:type="spellEnd"/>
      <w:r w:rsidRPr="00D178F2">
        <w:rPr>
          <w:szCs w:val="24"/>
          <w:lang w:val="en-US"/>
        </w:rPr>
        <w:t xml:space="preserve">, cough, abdominal pain, </w:t>
      </w:r>
      <w:proofErr w:type="spellStart"/>
      <w:r w:rsidRPr="00D178F2">
        <w:rPr>
          <w:szCs w:val="24"/>
          <w:lang w:val="en-US"/>
        </w:rPr>
        <w:t>dyspnoea</w:t>
      </w:r>
      <w:proofErr w:type="spellEnd"/>
      <w:r w:rsidRPr="00D178F2">
        <w:rPr>
          <w:szCs w:val="24"/>
          <w:lang w:val="en-US"/>
        </w:rPr>
        <w:t xml:space="preserve">, rash, weight decreased, </w:t>
      </w:r>
      <w:proofErr w:type="spellStart"/>
      <w:r w:rsidRPr="00D178F2">
        <w:rPr>
          <w:szCs w:val="24"/>
          <w:lang w:val="en-US"/>
        </w:rPr>
        <w:t>haemorrhagic</w:t>
      </w:r>
      <w:proofErr w:type="spellEnd"/>
      <w:r w:rsidRPr="00D178F2">
        <w:rPr>
          <w:szCs w:val="24"/>
          <w:lang w:val="en-US"/>
        </w:rPr>
        <w:t xml:space="preserve"> events, and proteinuria.  The most common serious adverse reactions (</w:t>
      </w:r>
      <w:r w:rsidR="006540BC">
        <w:rPr>
          <w:szCs w:val="24"/>
          <w:lang w:val="en-US"/>
        </w:rPr>
        <w:sym w:font="Symbol" w:char="F0B3"/>
      </w:r>
      <w:r w:rsidRPr="00D178F2">
        <w:rPr>
          <w:szCs w:val="24"/>
          <w:lang w:val="en-US"/>
        </w:rPr>
        <w:t xml:space="preserve"> 5%) were renal failure (11%), dehydration (10%), </w:t>
      </w:r>
      <w:proofErr w:type="spellStart"/>
      <w:r w:rsidRPr="00D178F2">
        <w:rPr>
          <w:szCs w:val="24"/>
          <w:lang w:val="en-US"/>
        </w:rPr>
        <w:t>anaemia</w:t>
      </w:r>
      <w:proofErr w:type="spellEnd"/>
      <w:r w:rsidRPr="00D178F2">
        <w:rPr>
          <w:szCs w:val="24"/>
          <w:lang w:val="en-US"/>
        </w:rPr>
        <w:t xml:space="preserve"> (6%), thrombocytopenia (5%), </w:t>
      </w:r>
      <w:proofErr w:type="spellStart"/>
      <w:r w:rsidRPr="00D178F2">
        <w:rPr>
          <w:szCs w:val="24"/>
          <w:lang w:val="en-US"/>
        </w:rPr>
        <w:t>diarrhoea</w:t>
      </w:r>
      <w:proofErr w:type="spellEnd"/>
      <w:r w:rsidRPr="00D178F2">
        <w:rPr>
          <w:szCs w:val="24"/>
          <w:lang w:val="en-US"/>
        </w:rPr>
        <w:t xml:space="preserve"> (5%), vomiting </w:t>
      </w:r>
      <w:r w:rsidR="00920D76">
        <w:rPr>
          <w:szCs w:val="24"/>
          <w:lang w:val="en-US"/>
        </w:rPr>
        <w:t xml:space="preserve">(5%), and </w:t>
      </w:r>
      <w:proofErr w:type="spellStart"/>
      <w:r w:rsidR="00920D76">
        <w:rPr>
          <w:szCs w:val="24"/>
          <w:lang w:val="en-US"/>
        </w:rPr>
        <w:t>dyspnoea</w:t>
      </w:r>
      <w:proofErr w:type="spellEnd"/>
      <w:r w:rsidR="00920D76">
        <w:rPr>
          <w:szCs w:val="24"/>
          <w:lang w:val="en-US"/>
        </w:rPr>
        <w:t xml:space="preserve"> (5%).</w:t>
      </w:r>
    </w:p>
    <w:p w14:paraId="2866DDC9" w14:textId="1C1A8281" w:rsidR="00D178F2" w:rsidRPr="00D178F2" w:rsidRDefault="00D178F2" w:rsidP="00920D76">
      <w:pPr>
        <w:pStyle w:val="BodyText"/>
        <w:spacing w:before="120" w:after="60"/>
        <w:rPr>
          <w:szCs w:val="24"/>
          <w:lang w:val="en-US"/>
        </w:rPr>
      </w:pPr>
      <w:r w:rsidRPr="00D178F2">
        <w:rPr>
          <w:szCs w:val="24"/>
          <w:lang w:val="en-US"/>
        </w:rPr>
        <w:t>Adverse reactions led to dose reductions or interruption in 89% of patients receiving LENVIMA + </w:t>
      </w:r>
      <w:proofErr w:type="spellStart"/>
      <w:r w:rsidRPr="00D178F2">
        <w:rPr>
          <w:szCs w:val="24"/>
          <w:lang w:val="en-US"/>
        </w:rPr>
        <w:t>everolimus</w:t>
      </w:r>
      <w:proofErr w:type="spellEnd"/>
      <w:r w:rsidRPr="00D178F2">
        <w:rPr>
          <w:szCs w:val="24"/>
          <w:lang w:val="en-US"/>
        </w:rPr>
        <w:t xml:space="preserve"> and 54% in patients receiving </w:t>
      </w:r>
      <w:proofErr w:type="spellStart"/>
      <w:r w:rsidRPr="00D178F2">
        <w:rPr>
          <w:szCs w:val="24"/>
          <w:lang w:val="en-US"/>
        </w:rPr>
        <w:t>everolimus</w:t>
      </w:r>
      <w:proofErr w:type="spellEnd"/>
      <w:r w:rsidRPr="00D178F2">
        <w:rPr>
          <w:szCs w:val="24"/>
          <w:lang w:val="en-US"/>
        </w:rPr>
        <w:t>. The most common adverse reactions (</w:t>
      </w:r>
      <w:r w:rsidR="006540BC">
        <w:rPr>
          <w:szCs w:val="24"/>
          <w:lang w:val="en-US"/>
        </w:rPr>
        <w:sym w:font="Symbol" w:char="F0B3"/>
      </w:r>
      <w:r w:rsidRPr="00D178F2">
        <w:rPr>
          <w:szCs w:val="24"/>
          <w:lang w:val="en-US"/>
        </w:rPr>
        <w:t> 5%) resulting in dose reductions in the LENVIMA + </w:t>
      </w:r>
      <w:proofErr w:type="spellStart"/>
      <w:r w:rsidRPr="00D178F2">
        <w:rPr>
          <w:szCs w:val="24"/>
          <w:lang w:val="en-US"/>
        </w:rPr>
        <w:t>everolimus</w:t>
      </w:r>
      <w:proofErr w:type="spellEnd"/>
      <w:r w:rsidRPr="00D178F2">
        <w:rPr>
          <w:szCs w:val="24"/>
          <w:lang w:val="en-US"/>
        </w:rPr>
        <w:t xml:space="preserve">-treated group were </w:t>
      </w:r>
      <w:proofErr w:type="spellStart"/>
      <w:r w:rsidRPr="00D178F2">
        <w:rPr>
          <w:szCs w:val="24"/>
          <w:lang w:val="en-US"/>
        </w:rPr>
        <w:t>diarrhoea</w:t>
      </w:r>
      <w:proofErr w:type="spellEnd"/>
      <w:r w:rsidRPr="00D178F2">
        <w:rPr>
          <w:szCs w:val="24"/>
          <w:lang w:val="en-US"/>
        </w:rPr>
        <w:t xml:space="preserve"> (21%), fatigue (8%), </w:t>
      </w:r>
      <w:proofErr w:type="spellStart"/>
      <w:r w:rsidRPr="00D178F2">
        <w:rPr>
          <w:szCs w:val="24"/>
          <w:lang w:val="en-US"/>
        </w:rPr>
        <w:t>thrombocytopaenia</w:t>
      </w:r>
      <w:proofErr w:type="spellEnd"/>
      <w:r w:rsidRPr="00D178F2">
        <w:rPr>
          <w:szCs w:val="24"/>
          <w:lang w:val="en-US"/>
        </w:rPr>
        <w:t xml:space="preserve"> (6%), vomiting (6%), nausea (5%), and proteinuria (5%).</w:t>
      </w:r>
    </w:p>
    <w:p w14:paraId="2866DDCB" w14:textId="3749DF0C" w:rsidR="00D178F2" w:rsidRPr="00D178F2" w:rsidRDefault="00D178F2" w:rsidP="00920D76">
      <w:pPr>
        <w:pStyle w:val="BodyText"/>
        <w:spacing w:before="120" w:after="60"/>
        <w:rPr>
          <w:szCs w:val="24"/>
        </w:rPr>
      </w:pPr>
      <w:r w:rsidRPr="00D178F2">
        <w:rPr>
          <w:szCs w:val="24"/>
          <w:lang w:val="en-US"/>
        </w:rPr>
        <w:t>Treatment discontinuation due to an adverse reaction occurred in 29% of patients in the LENVIMA + </w:t>
      </w:r>
      <w:proofErr w:type="spellStart"/>
      <w:r w:rsidRPr="00D178F2">
        <w:rPr>
          <w:szCs w:val="24"/>
          <w:lang w:val="en-US"/>
        </w:rPr>
        <w:t>everolimus</w:t>
      </w:r>
      <w:proofErr w:type="spellEnd"/>
      <w:r w:rsidRPr="00D178F2">
        <w:rPr>
          <w:szCs w:val="24"/>
          <w:lang w:val="en-US"/>
        </w:rPr>
        <w:t xml:space="preserve">-treated group and 12% of patients in the </w:t>
      </w:r>
      <w:proofErr w:type="spellStart"/>
      <w:r w:rsidRPr="00D178F2">
        <w:rPr>
          <w:szCs w:val="24"/>
          <w:lang w:val="en-US"/>
        </w:rPr>
        <w:t>everolimus</w:t>
      </w:r>
      <w:proofErr w:type="spellEnd"/>
      <w:r w:rsidRPr="00D178F2">
        <w:rPr>
          <w:szCs w:val="24"/>
          <w:lang w:val="en-US"/>
        </w:rPr>
        <w:t>-treated group.</w:t>
      </w:r>
    </w:p>
    <w:p w14:paraId="2866DDCC" w14:textId="1D3EAEF8" w:rsidR="00D178F2" w:rsidRPr="00D178F2" w:rsidRDefault="00AD0A0F" w:rsidP="00920D76">
      <w:pPr>
        <w:pStyle w:val="BodyText"/>
        <w:spacing w:before="120" w:after="60"/>
        <w:rPr>
          <w:szCs w:val="24"/>
        </w:rPr>
      </w:pPr>
      <w:r>
        <w:rPr>
          <w:szCs w:val="24"/>
        </w:rPr>
        <w:fldChar w:fldCharType="begin"/>
      </w:r>
      <w:r>
        <w:rPr>
          <w:szCs w:val="24"/>
        </w:rPr>
        <w:instrText xml:space="preserve"> REF _Ref503528380 \h </w:instrText>
      </w:r>
      <w:r w:rsidR="00920D76">
        <w:rPr>
          <w:szCs w:val="24"/>
        </w:rPr>
        <w:instrText xml:space="preserve"> \* MERGEFORMAT </w:instrText>
      </w:r>
      <w:r>
        <w:rPr>
          <w:szCs w:val="24"/>
        </w:rPr>
      </w:r>
      <w:r>
        <w:rPr>
          <w:szCs w:val="24"/>
        </w:rPr>
        <w:fldChar w:fldCharType="separate"/>
      </w:r>
      <w:r w:rsidR="0064223A">
        <w:t>Table </w:t>
      </w:r>
      <w:r w:rsidR="0064223A">
        <w:rPr>
          <w:noProof/>
        </w:rPr>
        <w:t>5</w:t>
      </w:r>
      <w:r>
        <w:rPr>
          <w:szCs w:val="24"/>
        </w:rPr>
        <w:fldChar w:fldCharType="end"/>
      </w:r>
      <w:r w:rsidRPr="00D178F2">
        <w:rPr>
          <w:szCs w:val="24"/>
        </w:rPr>
        <w:t xml:space="preserve"> </w:t>
      </w:r>
      <w:r w:rsidR="00D178F2" w:rsidRPr="00D178F2">
        <w:rPr>
          <w:szCs w:val="24"/>
        </w:rPr>
        <w:t>presents the adverse reactions in &gt; </w:t>
      </w:r>
      <w:proofErr w:type="gramStart"/>
      <w:r w:rsidR="00D178F2" w:rsidRPr="00D178F2">
        <w:rPr>
          <w:szCs w:val="24"/>
        </w:rPr>
        <w:t>15%</w:t>
      </w:r>
      <w:proofErr w:type="gramEnd"/>
      <w:r w:rsidR="00D178F2" w:rsidRPr="00D178F2">
        <w:rPr>
          <w:szCs w:val="24"/>
        </w:rPr>
        <w:t xml:space="preserve"> of patients in the LENVIMA + </w:t>
      </w:r>
      <w:proofErr w:type="spellStart"/>
      <w:r w:rsidR="00D178F2" w:rsidRPr="00D178F2">
        <w:rPr>
          <w:szCs w:val="24"/>
        </w:rPr>
        <w:t>Everolimus</w:t>
      </w:r>
      <w:proofErr w:type="spellEnd"/>
      <w:r w:rsidR="00D178F2" w:rsidRPr="00D178F2">
        <w:rPr>
          <w:szCs w:val="24"/>
        </w:rPr>
        <w:t xml:space="preserve"> arm.</w:t>
      </w:r>
    </w:p>
    <w:p w14:paraId="4F5411CB" w14:textId="298C1F27" w:rsidR="00505C3C" w:rsidRDefault="00505C3C" w:rsidP="00920D76">
      <w:pPr>
        <w:pStyle w:val="Caption"/>
      </w:pPr>
      <w:bookmarkStart w:id="9" w:name="_Ref503528380"/>
      <w:r>
        <w:t>Table </w:t>
      </w:r>
      <w:r w:rsidR="002C196B">
        <w:rPr>
          <w:noProof/>
        </w:rPr>
        <w:fldChar w:fldCharType="begin"/>
      </w:r>
      <w:r w:rsidR="002C196B">
        <w:rPr>
          <w:noProof/>
        </w:rPr>
        <w:instrText xml:space="preserve"> SEQ Table \* ARABIC </w:instrText>
      </w:r>
      <w:r w:rsidR="002C196B">
        <w:rPr>
          <w:noProof/>
        </w:rPr>
        <w:fldChar w:fldCharType="separate"/>
      </w:r>
      <w:r w:rsidR="008D1089">
        <w:rPr>
          <w:noProof/>
        </w:rPr>
        <w:t>5</w:t>
      </w:r>
      <w:r w:rsidR="002C196B">
        <w:rPr>
          <w:noProof/>
        </w:rPr>
        <w:fldChar w:fldCharType="end"/>
      </w:r>
      <w:bookmarkEnd w:id="9"/>
      <w:r w:rsidRPr="00505C3C">
        <w:t xml:space="preserve"> </w:t>
      </w:r>
      <w:r w:rsidRPr="00066BB0">
        <w:tab/>
        <w:t>Grades 1-4 Adverse Reactions in &gt; </w:t>
      </w:r>
      <w:proofErr w:type="gramStart"/>
      <w:r w:rsidRPr="00066BB0">
        <w:t>15%</w:t>
      </w:r>
      <w:proofErr w:type="gramEnd"/>
      <w:r w:rsidRPr="00066BB0">
        <w:t xml:space="preserve"> of Patients in the LENVIMA + </w:t>
      </w:r>
      <w:proofErr w:type="spellStart"/>
      <w:r w:rsidRPr="00066BB0">
        <w:t>Everolimus</w:t>
      </w:r>
      <w:proofErr w:type="spellEnd"/>
      <w:r w:rsidRPr="00066BB0">
        <w:t xml:space="preserve"> Arm</w:t>
      </w:r>
    </w:p>
    <w:tbl>
      <w:tblPr>
        <w:tblStyle w:val="TableGrid"/>
        <w:tblW w:w="9605" w:type="dxa"/>
        <w:tblLayout w:type="fixed"/>
        <w:tblLook w:val="04A0" w:firstRow="1" w:lastRow="0" w:firstColumn="1" w:lastColumn="0" w:noHBand="0" w:noVBand="1"/>
      </w:tblPr>
      <w:tblGrid>
        <w:gridCol w:w="4077"/>
        <w:gridCol w:w="1382"/>
        <w:gridCol w:w="1382"/>
        <w:gridCol w:w="1382"/>
        <w:gridCol w:w="1382"/>
      </w:tblGrid>
      <w:tr w:rsidR="00E02A8F" w14:paraId="421A188E" w14:textId="77777777" w:rsidTr="00797590">
        <w:tc>
          <w:tcPr>
            <w:tcW w:w="4077" w:type="dxa"/>
          </w:tcPr>
          <w:p w14:paraId="7507AF30" w14:textId="77777777" w:rsidR="00E02A8F" w:rsidRDefault="00E02A8F" w:rsidP="00920D76">
            <w:pPr>
              <w:pStyle w:val="TableHeading"/>
            </w:pPr>
          </w:p>
        </w:tc>
        <w:tc>
          <w:tcPr>
            <w:tcW w:w="2764" w:type="dxa"/>
            <w:gridSpan w:val="2"/>
          </w:tcPr>
          <w:p w14:paraId="42D8B1E8" w14:textId="77777777" w:rsidR="00E02A8F" w:rsidRDefault="00E02A8F" w:rsidP="00920D76">
            <w:pPr>
              <w:pStyle w:val="TableHeading"/>
            </w:pPr>
            <w:r>
              <w:t xml:space="preserve">LENVIMA 18 mg + </w:t>
            </w:r>
          </w:p>
          <w:p w14:paraId="0E2DF9A9" w14:textId="77777777" w:rsidR="00E02A8F" w:rsidRDefault="00E02A8F" w:rsidP="00920D76">
            <w:pPr>
              <w:pStyle w:val="TableHeading"/>
            </w:pPr>
            <w:proofErr w:type="spellStart"/>
            <w:r>
              <w:t>Everolimus</w:t>
            </w:r>
            <w:proofErr w:type="spellEnd"/>
            <w:r>
              <w:t xml:space="preserve"> 5 mg </w:t>
            </w:r>
          </w:p>
          <w:p w14:paraId="14CF7CD9" w14:textId="77777777" w:rsidR="00E02A8F" w:rsidRDefault="00E02A8F" w:rsidP="00920D76">
            <w:pPr>
              <w:pStyle w:val="TableHeading"/>
            </w:pPr>
            <w:r>
              <w:t>(N=62)</w:t>
            </w:r>
          </w:p>
        </w:tc>
        <w:tc>
          <w:tcPr>
            <w:tcW w:w="2764" w:type="dxa"/>
            <w:gridSpan w:val="2"/>
          </w:tcPr>
          <w:p w14:paraId="76F54A00" w14:textId="77777777" w:rsidR="00E02A8F" w:rsidRDefault="00E02A8F" w:rsidP="00920D76">
            <w:pPr>
              <w:pStyle w:val="TableHeading"/>
            </w:pPr>
            <w:proofErr w:type="spellStart"/>
            <w:r>
              <w:t>Everolimus</w:t>
            </w:r>
            <w:proofErr w:type="spellEnd"/>
            <w:r>
              <w:t xml:space="preserve"> 10 mg</w:t>
            </w:r>
          </w:p>
          <w:p w14:paraId="3B24D28B" w14:textId="77777777" w:rsidR="00E02A8F" w:rsidRDefault="00E02A8F" w:rsidP="00920D76">
            <w:pPr>
              <w:pStyle w:val="TableHeading"/>
            </w:pPr>
            <w:r>
              <w:t>(N=50)</w:t>
            </w:r>
          </w:p>
          <w:p w14:paraId="0EADF198" w14:textId="77777777" w:rsidR="00E02A8F" w:rsidRDefault="00E02A8F" w:rsidP="00920D76">
            <w:pPr>
              <w:pStyle w:val="TableHeading"/>
            </w:pPr>
          </w:p>
        </w:tc>
      </w:tr>
      <w:tr w:rsidR="00E02A8F" w14:paraId="726FA339" w14:textId="77777777" w:rsidTr="00797590">
        <w:tc>
          <w:tcPr>
            <w:tcW w:w="4077" w:type="dxa"/>
          </w:tcPr>
          <w:p w14:paraId="7E2CCC3C" w14:textId="77777777" w:rsidR="00E02A8F" w:rsidRDefault="00E02A8F" w:rsidP="00920D76">
            <w:pPr>
              <w:pStyle w:val="TableHeading"/>
            </w:pPr>
            <w:r>
              <w:t>System Organ Class Preferred Term</w:t>
            </w:r>
          </w:p>
        </w:tc>
        <w:tc>
          <w:tcPr>
            <w:tcW w:w="1382" w:type="dxa"/>
          </w:tcPr>
          <w:p w14:paraId="17A41309" w14:textId="77777777" w:rsidR="00E02A8F" w:rsidRDefault="00E02A8F" w:rsidP="00920D76">
            <w:pPr>
              <w:pStyle w:val="TableHeading"/>
            </w:pPr>
            <w:r>
              <w:t>Grade 1-4</w:t>
            </w:r>
          </w:p>
          <w:p w14:paraId="0C7AEFB4" w14:textId="77777777" w:rsidR="00E02A8F" w:rsidRDefault="00E02A8F" w:rsidP="00920D76">
            <w:pPr>
              <w:pStyle w:val="TableHeading"/>
            </w:pPr>
            <w:r>
              <w:t>(%)</w:t>
            </w:r>
          </w:p>
        </w:tc>
        <w:tc>
          <w:tcPr>
            <w:tcW w:w="1382" w:type="dxa"/>
          </w:tcPr>
          <w:p w14:paraId="634A7F0A" w14:textId="77777777" w:rsidR="00E02A8F" w:rsidRDefault="00E02A8F" w:rsidP="00920D76">
            <w:pPr>
              <w:pStyle w:val="TableHeading"/>
            </w:pPr>
            <w:r>
              <w:t>Grade 3-4</w:t>
            </w:r>
          </w:p>
          <w:p w14:paraId="3BF89ABE" w14:textId="77777777" w:rsidR="00E02A8F" w:rsidRDefault="00E02A8F" w:rsidP="00920D76">
            <w:pPr>
              <w:pStyle w:val="TableHeading"/>
            </w:pPr>
            <w:r>
              <w:t>(%)</w:t>
            </w:r>
          </w:p>
        </w:tc>
        <w:tc>
          <w:tcPr>
            <w:tcW w:w="1382" w:type="dxa"/>
          </w:tcPr>
          <w:p w14:paraId="4B554B61" w14:textId="77777777" w:rsidR="00E02A8F" w:rsidRDefault="00E02A8F" w:rsidP="00920D76">
            <w:pPr>
              <w:pStyle w:val="TableHeading"/>
            </w:pPr>
            <w:r>
              <w:t>Grade 1-4</w:t>
            </w:r>
          </w:p>
          <w:p w14:paraId="2239B8B5" w14:textId="77777777" w:rsidR="00E02A8F" w:rsidRDefault="00E02A8F" w:rsidP="00920D76">
            <w:pPr>
              <w:pStyle w:val="TableHeading"/>
            </w:pPr>
            <w:r>
              <w:t>(%)</w:t>
            </w:r>
          </w:p>
        </w:tc>
        <w:tc>
          <w:tcPr>
            <w:tcW w:w="1382" w:type="dxa"/>
          </w:tcPr>
          <w:p w14:paraId="1B6FC3E2" w14:textId="77777777" w:rsidR="00E02A8F" w:rsidRDefault="00E02A8F" w:rsidP="00920D76">
            <w:pPr>
              <w:pStyle w:val="TableHeading"/>
            </w:pPr>
            <w:r>
              <w:t>Grade 3-4</w:t>
            </w:r>
          </w:p>
          <w:p w14:paraId="29BA7D8F" w14:textId="77777777" w:rsidR="00E02A8F" w:rsidRDefault="00E02A8F" w:rsidP="00920D76">
            <w:pPr>
              <w:pStyle w:val="TableHeading"/>
            </w:pPr>
            <w:r>
              <w:t>(%)</w:t>
            </w:r>
          </w:p>
        </w:tc>
      </w:tr>
      <w:tr w:rsidR="00E02A8F" w14:paraId="05F89F58" w14:textId="77777777" w:rsidTr="00797590">
        <w:tc>
          <w:tcPr>
            <w:tcW w:w="9605" w:type="dxa"/>
            <w:gridSpan w:val="5"/>
          </w:tcPr>
          <w:p w14:paraId="3FD5BE77" w14:textId="77777777" w:rsidR="00E02A8F" w:rsidRDefault="00E02A8F" w:rsidP="00920D76">
            <w:pPr>
              <w:pStyle w:val="TableHeading"/>
            </w:pPr>
            <w:r>
              <w:t>Endocrine Disorders</w:t>
            </w:r>
          </w:p>
        </w:tc>
      </w:tr>
      <w:tr w:rsidR="00E02A8F" w14:paraId="5113AA36" w14:textId="77777777" w:rsidTr="00797590">
        <w:tc>
          <w:tcPr>
            <w:tcW w:w="4077" w:type="dxa"/>
          </w:tcPr>
          <w:p w14:paraId="2E05AAB8" w14:textId="5616ACA3" w:rsidR="00E02A8F" w:rsidRDefault="00E02A8F" w:rsidP="00920D76">
            <w:pPr>
              <w:pStyle w:val="TableText"/>
              <w:keepNext/>
            </w:pPr>
            <w:r>
              <w:t>Hypothyroidism</w:t>
            </w:r>
          </w:p>
        </w:tc>
        <w:tc>
          <w:tcPr>
            <w:tcW w:w="1382" w:type="dxa"/>
          </w:tcPr>
          <w:p w14:paraId="2A730DB7" w14:textId="77777777" w:rsidR="00E02A8F" w:rsidRDefault="00E02A8F" w:rsidP="00920D76">
            <w:pPr>
              <w:pStyle w:val="TableCentre"/>
              <w:keepNext/>
            </w:pPr>
            <w:r>
              <w:t>24</w:t>
            </w:r>
          </w:p>
        </w:tc>
        <w:tc>
          <w:tcPr>
            <w:tcW w:w="1382" w:type="dxa"/>
          </w:tcPr>
          <w:p w14:paraId="1AE1FA27" w14:textId="77777777" w:rsidR="00E02A8F" w:rsidRDefault="00E02A8F" w:rsidP="00920D76">
            <w:pPr>
              <w:pStyle w:val="TableCentre"/>
              <w:keepNext/>
            </w:pPr>
            <w:r>
              <w:t>0</w:t>
            </w:r>
          </w:p>
        </w:tc>
        <w:tc>
          <w:tcPr>
            <w:tcW w:w="1382" w:type="dxa"/>
          </w:tcPr>
          <w:p w14:paraId="6A466762" w14:textId="77777777" w:rsidR="00E02A8F" w:rsidRDefault="00E02A8F" w:rsidP="00920D76">
            <w:pPr>
              <w:pStyle w:val="TableCentre"/>
              <w:keepNext/>
            </w:pPr>
            <w:r>
              <w:t>2</w:t>
            </w:r>
          </w:p>
        </w:tc>
        <w:tc>
          <w:tcPr>
            <w:tcW w:w="1382" w:type="dxa"/>
          </w:tcPr>
          <w:p w14:paraId="29F903CD" w14:textId="77777777" w:rsidR="00E02A8F" w:rsidRDefault="00E02A8F" w:rsidP="00920D76">
            <w:pPr>
              <w:pStyle w:val="TableCentre"/>
              <w:keepNext/>
            </w:pPr>
            <w:r>
              <w:t>0</w:t>
            </w:r>
          </w:p>
        </w:tc>
      </w:tr>
      <w:tr w:rsidR="00E02A8F" w14:paraId="10418361" w14:textId="77777777" w:rsidTr="00797590">
        <w:tc>
          <w:tcPr>
            <w:tcW w:w="9605" w:type="dxa"/>
            <w:gridSpan w:val="5"/>
          </w:tcPr>
          <w:p w14:paraId="7A75B22E" w14:textId="77777777" w:rsidR="00E02A8F" w:rsidRDefault="00E02A8F" w:rsidP="00920D76">
            <w:pPr>
              <w:pStyle w:val="TableHeading"/>
            </w:pPr>
            <w:r>
              <w:t>Gastrointestinal Disorders</w:t>
            </w:r>
          </w:p>
        </w:tc>
      </w:tr>
      <w:tr w:rsidR="00E02A8F" w14:paraId="7BD4C837" w14:textId="77777777" w:rsidTr="00797590">
        <w:tc>
          <w:tcPr>
            <w:tcW w:w="4077" w:type="dxa"/>
          </w:tcPr>
          <w:p w14:paraId="3C59CCAC" w14:textId="77777777" w:rsidR="00E02A8F" w:rsidRDefault="00E02A8F" w:rsidP="00920D76">
            <w:pPr>
              <w:pStyle w:val="TableText"/>
              <w:keepNext/>
            </w:pPr>
            <w:r>
              <w:t>Constipation</w:t>
            </w:r>
          </w:p>
        </w:tc>
        <w:tc>
          <w:tcPr>
            <w:tcW w:w="1382" w:type="dxa"/>
          </w:tcPr>
          <w:p w14:paraId="5C0DB14F" w14:textId="77777777" w:rsidR="00E02A8F" w:rsidRDefault="00E02A8F" w:rsidP="00920D76">
            <w:pPr>
              <w:pStyle w:val="TableCentre"/>
              <w:keepNext/>
            </w:pPr>
            <w:r>
              <w:t>16</w:t>
            </w:r>
          </w:p>
        </w:tc>
        <w:tc>
          <w:tcPr>
            <w:tcW w:w="1382" w:type="dxa"/>
          </w:tcPr>
          <w:p w14:paraId="145800D7" w14:textId="77777777" w:rsidR="00E02A8F" w:rsidRDefault="00E02A8F" w:rsidP="00920D76">
            <w:pPr>
              <w:pStyle w:val="TableCentre"/>
              <w:keepNext/>
            </w:pPr>
            <w:r>
              <w:t>0</w:t>
            </w:r>
          </w:p>
        </w:tc>
        <w:tc>
          <w:tcPr>
            <w:tcW w:w="1382" w:type="dxa"/>
          </w:tcPr>
          <w:p w14:paraId="0F24E31E" w14:textId="77777777" w:rsidR="00E02A8F" w:rsidRDefault="00E02A8F" w:rsidP="00920D76">
            <w:pPr>
              <w:pStyle w:val="TableCentre"/>
              <w:keepNext/>
            </w:pPr>
            <w:r>
              <w:t>18</w:t>
            </w:r>
          </w:p>
        </w:tc>
        <w:tc>
          <w:tcPr>
            <w:tcW w:w="1382" w:type="dxa"/>
          </w:tcPr>
          <w:p w14:paraId="1529B36B" w14:textId="77777777" w:rsidR="00E02A8F" w:rsidRDefault="00E02A8F" w:rsidP="00920D76">
            <w:pPr>
              <w:pStyle w:val="TableCentre"/>
              <w:keepNext/>
            </w:pPr>
            <w:r>
              <w:t>0</w:t>
            </w:r>
          </w:p>
        </w:tc>
      </w:tr>
      <w:tr w:rsidR="00E02A8F" w14:paraId="5277ED37" w14:textId="77777777" w:rsidTr="00797590">
        <w:tc>
          <w:tcPr>
            <w:tcW w:w="4077" w:type="dxa"/>
          </w:tcPr>
          <w:p w14:paraId="2D11D699" w14:textId="77777777" w:rsidR="00E02A8F" w:rsidRDefault="00E02A8F" w:rsidP="00797590">
            <w:pPr>
              <w:pStyle w:val="TableText"/>
            </w:pPr>
            <w:r>
              <w:t>Diarrhoea</w:t>
            </w:r>
          </w:p>
        </w:tc>
        <w:tc>
          <w:tcPr>
            <w:tcW w:w="1382" w:type="dxa"/>
          </w:tcPr>
          <w:p w14:paraId="206285B9" w14:textId="77777777" w:rsidR="00E02A8F" w:rsidRDefault="00E02A8F" w:rsidP="00797590">
            <w:pPr>
              <w:pStyle w:val="TableCentre"/>
            </w:pPr>
            <w:r>
              <w:t>81</w:t>
            </w:r>
          </w:p>
        </w:tc>
        <w:tc>
          <w:tcPr>
            <w:tcW w:w="1382" w:type="dxa"/>
          </w:tcPr>
          <w:p w14:paraId="7EB0D163" w14:textId="77777777" w:rsidR="00E02A8F" w:rsidRDefault="00E02A8F" w:rsidP="00797590">
            <w:pPr>
              <w:pStyle w:val="TableCentre"/>
            </w:pPr>
            <w:r>
              <w:t>19</w:t>
            </w:r>
          </w:p>
        </w:tc>
        <w:tc>
          <w:tcPr>
            <w:tcW w:w="1382" w:type="dxa"/>
          </w:tcPr>
          <w:p w14:paraId="605DB23B" w14:textId="77777777" w:rsidR="00E02A8F" w:rsidRDefault="00E02A8F" w:rsidP="00797590">
            <w:pPr>
              <w:pStyle w:val="TableCentre"/>
            </w:pPr>
            <w:r>
              <w:t>34</w:t>
            </w:r>
          </w:p>
        </w:tc>
        <w:tc>
          <w:tcPr>
            <w:tcW w:w="1382" w:type="dxa"/>
          </w:tcPr>
          <w:p w14:paraId="058B7799" w14:textId="77777777" w:rsidR="00E02A8F" w:rsidRDefault="00E02A8F" w:rsidP="00797590">
            <w:pPr>
              <w:pStyle w:val="TableCentre"/>
            </w:pPr>
            <w:r>
              <w:t>2</w:t>
            </w:r>
          </w:p>
        </w:tc>
      </w:tr>
      <w:tr w:rsidR="00E02A8F" w14:paraId="7DAE9914" w14:textId="77777777" w:rsidTr="00797590">
        <w:tc>
          <w:tcPr>
            <w:tcW w:w="4077" w:type="dxa"/>
          </w:tcPr>
          <w:p w14:paraId="5DD43F81" w14:textId="77777777" w:rsidR="00E02A8F" w:rsidRDefault="00E02A8F" w:rsidP="00797590">
            <w:pPr>
              <w:pStyle w:val="TableText"/>
            </w:pPr>
            <w:r>
              <w:t>Dyspepsia/Gastro-oesophageal reflux</w:t>
            </w:r>
          </w:p>
        </w:tc>
        <w:tc>
          <w:tcPr>
            <w:tcW w:w="1382" w:type="dxa"/>
          </w:tcPr>
          <w:p w14:paraId="3295209D" w14:textId="77777777" w:rsidR="00E02A8F" w:rsidRDefault="00E02A8F" w:rsidP="00797590">
            <w:pPr>
              <w:pStyle w:val="TableCentre"/>
            </w:pPr>
            <w:r>
              <w:t>21</w:t>
            </w:r>
          </w:p>
        </w:tc>
        <w:tc>
          <w:tcPr>
            <w:tcW w:w="1382" w:type="dxa"/>
          </w:tcPr>
          <w:p w14:paraId="1E10FE54" w14:textId="77777777" w:rsidR="00E02A8F" w:rsidRDefault="00E02A8F" w:rsidP="00797590">
            <w:pPr>
              <w:pStyle w:val="TableCentre"/>
            </w:pPr>
            <w:r>
              <w:t>0</w:t>
            </w:r>
          </w:p>
        </w:tc>
        <w:tc>
          <w:tcPr>
            <w:tcW w:w="1382" w:type="dxa"/>
          </w:tcPr>
          <w:p w14:paraId="0CF9A773" w14:textId="77777777" w:rsidR="00E02A8F" w:rsidRDefault="00E02A8F" w:rsidP="00797590">
            <w:pPr>
              <w:pStyle w:val="TableCentre"/>
            </w:pPr>
            <w:r>
              <w:t>12</w:t>
            </w:r>
          </w:p>
        </w:tc>
        <w:tc>
          <w:tcPr>
            <w:tcW w:w="1382" w:type="dxa"/>
          </w:tcPr>
          <w:p w14:paraId="60998C77" w14:textId="77777777" w:rsidR="00E02A8F" w:rsidRDefault="00E02A8F" w:rsidP="00797590">
            <w:pPr>
              <w:pStyle w:val="TableCentre"/>
            </w:pPr>
            <w:r>
              <w:t>0</w:t>
            </w:r>
          </w:p>
        </w:tc>
      </w:tr>
      <w:tr w:rsidR="00E02A8F" w14:paraId="4A007141" w14:textId="77777777" w:rsidTr="00797590">
        <w:tc>
          <w:tcPr>
            <w:tcW w:w="4077" w:type="dxa"/>
          </w:tcPr>
          <w:p w14:paraId="2E338B07" w14:textId="77777777" w:rsidR="00E02A8F" w:rsidRDefault="00E02A8F" w:rsidP="00797590">
            <w:pPr>
              <w:pStyle w:val="TableText"/>
            </w:pPr>
            <w:r>
              <w:t xml:space="preserve">Abdominal </w:t>
            </w:r>
            <w:proofErr w:type="spellStart"/>
            <w:r>
              <w:t>pain</w:t>
            </w:r>
            <w:r w:rsidRPr="00707F39">
              <w:rPr>
                <w:vertAlign w:val="superscript"/>
              </w:rPr>
              <w:t>a</w:t>
            </w:r>
            <w:proofErr w:type="spellEnd"/>
          </w:p>
        </w:tc>
        <w:tc>
          <w:tcPr>
            <w:tcW w:w="1382" w:type="dxa"/>
          </w:tcPr>
          <w:p w14:paraId="0A6961A4" w14:textId="77777777" w:rsidR="00E02A8F" w:rsidRDefault="00E02A8F" w:rsidP="00797590">
            <w:pPr>
              <w:pStyle w:val="TableCentre"/>
            </w:pPr>
            <w:r>
              <w:t>37</w:t>
            </w:r>
          </w:p>
        </w:tc>
        <w:tc>
          <w:tcPr>
            <w:tcW w:w="1382" w:type="dxa"/>
          </w:tcPr>
          <w:p w14:paraId="07D378BE" w14:textId="77777777" w:rsidR="00E02A8F" w:rsidRDefault="00E02A8F" w:rsidP="00797590">
            <w:pPr>
              <w:pStyle w:val="TableCentre"/>
            </w:pPr>
            <w:r>
              <w:t>3</w:t>
            </w:r>
          </w:p>
        </w:tc>
        <w:tc>
          <w:tcPr>
            <w:tcW w:w="1382" w:type="dxa"/>
          </w:tcPr>
          <w:p w14:paraId="56CBD249" w14:textId="77777777" w:rsidR="00E02A8F" w:rsidRDefault="00E02A8F" w:rsidP="00797590">
            <w:pPr>
              <w:pStyle w:val="TableCentre"/>
            </w:pPr>
            <w:r>
              <w:t>8</w:t>
            </w:r>
          </w:p>
        </w:tc>
        <w:tc>
          <w:tcPr>
            <w:tcW w:w="1382" w:type="dxa"/>
          </w:tcPr>
          <w:p w14:paraId="644F1C60" w14:textId="77777777" w:rsidR="00E02A8F" w:rsidRDefault="00E02A8F" w:rsidP="00797590">
            <w:pPr>
              <w:pStyle w:val="TableCentre"/>
            </w:pPr>
            <w:r>
              <w:t>0</w:t>
            </w:r>
          </w:p>
        </w:tc>
      </w:tr>
      <w:tr w:rsidR="00E02A8F" w14:paraId="45456398" w14:textId="77777777" w:rsidTr="00797590">
        <w:tc>
          <w:tcPr>
            <w:tcW w:w="4077" w:type="dxa"/>
          </w:tcPr>
          <w:p w14:paraId="0E05B76A" w14:textId="77777777" w:rsidR="00E02A8F" w:rsidRDefault="00E02A8F" w:rsidP="00797590">
            <w:pPr>
              <w:pStyle w:val="TableText"/>
            </w:pPr>
            <w:r>
              <w:t>Nausea</w:t>
            </w:r>
            <w:r>
              <w:tab/>
            </w:r>
          </w:p>
        </w:tc>
        <w:tc>
          <w:tcPr>
            <w:tcW w:w="1382" w:type="dxa"/>
          </w:tcPr>
          <w:p w14:paraId="0C5A0719" w14:textId="77777777" w:rsidR="00E02A8F" w:rsidRDefault="00E02A8F" w:rsidP="00797590">
            <w:pPr>
              <w:pStyle w:val="TableCentre"/>
            </w:pPr>
            <w:r>
              <w:t>45</w:t>
            </w:r>
          </w:p>
        </w:tc>
        <w:tc>
          <w:tcPr>
            <w:tcW w:w="1382" w:type="dxa"/>
          </w:tcPr>
          <w:p w14:paraId="74CEF649" w14:textId="77777777" w:rsidR="00E02A8F" w:rsidRDefault="00E02A8F" w:rsidP="00797590">
            <w:pPr>
              <w:pStyle w:val="TableCentre"/>
            </w:pPr>
            <w:r>
              <w:t>5</w:t>
            </w:r>
          </w:p>
        </w:tc>
        <w:tc>
          <w:tcPr>
            <w:tcW w:w="1382" w:type="dxa"/>
          </w:tcPr>
          <w:p w14:paraId="42CB552A" w14:textId="77777777" w:rsidR="00E02A8F" w:rsidRDefault="00E02A8F" w:rsidP="00797590">
            <w:pPr>
              <w:pStyle w:val="TableCentre"/>
            </w:pPr>
            <w:r>
              <w:t>16</w:t>
            </w:r>
          </w:p>
        </w:tc>
        <w:tc>
          <w:tcPr>
            <w:tcW w:w="1382" w:type="dxa"/>
          </w:tcPr>
          <w:p w14:paraId="0D8F15D6" w14:textId="77777777" w:rsidR="00E02A8F" w:rsidRDefault="00E02A8F" w:rsidP="00797590">
            <w:pPr>
              <w:pStyle w:val="TableCentre"/>
            </w:pPr>
            <w:r>
              <w:t>0</w:t>
            </w:r>
          </w:p>
        </w:tc>
      </w:tr>
      <w:tr w:rsidR="00E02A8F" w14:paraId="39E93E4F" w14:textId="77777777" w:rsidTr="00797590">
        <w:tc>
          <w:tcPr>
            <w:tcW w:w="4077" w:type="dxa"/>
          </w:tcPr>
          <w:p w14:paraId="120AA88C" w14:textId="77777777" w:rsidR="00E02A8F" w:rsidRDefault="00E02A8F" w:rsidP="00797590">
            <w:pPr>
              <w:pStyle w:val="TableText"/>
            </w:pPr>
            <w:r>
              <w:t xml:space="preserve">Oral </w:t>
            </w:r>
            <w:proofErr w:type="spellStart"/>
            <w:r>
              <w:t>pain</w:t>
            </w:r>
            <w:r w:rsidRPr="00707F39">
              <w:rPr>
                <w:vertAlign w:val="superscript"/>
              </w:rPr>
              <w:t>b</w:t>
            </w:r>
            <w:proofErr w:type="spellEnd"/>
          </w:p>
        </w:tc>
        <w:tc>
          <w:tcPr>
            <w:tcW w:w="1382" w:type="dxa"/>
          </w:tcPr>
          <w:p w14:paraId="3DF0ACAB" w14:textId="77777777" w:rsidR="00E02A8F" w:rsidRDefault="00E02A8F" w:rsidP="00797590">
            <w:pPr>
              <w:pStyle w:val="TableCentre"/>
            </w:pPr>
            <w:r>
              <w:t>23</w:t>
            </w:r>
          </w:p>
        </w:tc>
        <w:tc>
          <w:tcPr>
            <w:tcW w:w="1382" w:type="dxa"/>
          </w:tcPr>
          <w:p w14:paraId="551D0399" w14:textId="77777777" w:rsidR="00E02A8F" w:rsidRDefault="00E02A8F" w:rsidP="00797590">
            <w:pPr>
              <w:pStyle w:val="TableCentre"/>
            </w:pPr>
            <w:r>
              <w:t>2</w:t>
            </w:r>
          </w:p>
        </w:tc>
        <w:tc>
          <w:tcPr>
            <w:tcW w:w="1382" w:type="dxa"/>
          </w:tcPr>
          <w:p w14:paraId="551FD880" w14:textId="77777777" w:rsidR="00E02A8F" w:rsidRDefault="00E02A8F" w:rsidP="00797590">
            <w:pPr>
              <w:pStyle w:val="TableCentre"/>
            </w:pPr>
            <w:r>
              <w:t>4</w:t>
            </w:r>
          </w:p>
        </w:tc>
        <w:tc>
          <w:tcPr>
            <w:tcW w:w="1382" w:type="dxa"/>
          </w:tcPr>
          <w:p w14:paraId="41C19120" w14:textId="77777777" w:rsidR="00E02A8F" w:rsidRDefault="00E02A8F" w:rsidP="00797590">
            <w:pPr>
              <w:pStyle w:val="TableCentre"/>
            </w:pPr>
            <w:r>
              <w:t>0</w:t>
            </w:r>
          </w:p>
        </w:tc>
      </w:tr>
      <w:tr w:rsidR="00E02A8F" w14:paraId="3DA1DC51" w14:textId="77777777" w:rsidTr="00797590">
        <w:tc>
          <w:tcPr>
            <w:tcW w:w="4077" w:type="dxa"/>
          </w:tcPr>
          <w:p w14:paraId="440833B1" w14:textId="77777777" w:rsidR="00E02A8F" w:rsidRDefault="00E02A8F" w:rsidP="00797590">
            <w:pPr>
              <w:pStyle w:val="TableText"/>
            </w:pPr>
            <w:r>
              <w:t xml:space="preserve">Stomatitis/Oral </w:t>
            </w:r>
            <w:proofErr w:type="spellStart"/>
            <w:r>
              <w:t>inflammation</w:t>
            </w:r>
            <w:r w:rsidRPr="00707F39">
              <w:rPr>
                <w:vertAlign w:val="superscript"/>
              </w:rPr>
              <w:t>c</w:t>
            </w:r>
            <w:proofErr w:type="spellEnd"/>
          </w:p>
        </w:tc>
        <w:tc>
          <w:tcPr>
            <w:tcW w:w="1382" w:type="dxa"/>
          </w:tcPr>
          <w:p w14:paraId="09B3E2B9" w14:textId="77777777" w:rsidR="00E02A8F" w:rsidRDefault="00E02A8F" w:rsidP="00797590">
            <w:pPr>
              <w:pStyle w:val="TableCentre"/>
            </w:pPr>
            <w:r>
              <w:t>44</w:t>
            </w:r>
          </w:p>
        </w:tc>
        <w:tc>
          <w:tcPr>
            <w:tcW w:w="1382" w:type="dxa"/>
          </w:tcPr>
          <w:p w14:paraId="550D8961" w14:textId="77777777" w:rsidR="00E02A8F" w:rsidRDefault="00E02A8F" w:rsidP="00797590">
            <w:pPr>
              <w:pStyle w:val="TableCentre"/>
            </w:pPr>
            <w:r>
              <w:t>2</w:t>
            </w:r>
          </w:p>
        </w:tc>
        <w:tc>
          <w:tcPr>
            <w:tcW w:w="1382" w:type="dxa"/>
          </w:tcPr>
          <w:p w14:paraId="035C3498" w14:textId="77777777" w:rsidR="00E02A8F" w:rsidRDefault="00E02A8F" w:rsidP="00797590">
            <w:pPr>
              <w:pStyle w:val="TableCentre"/>
            </w:pPr>
            <w:r>
              <w:t>50</w:t>
            </w:r>
          </w:p>
        </w:tc>
        <w:tc>
          <w:tcPr>
            <w:tcW w:w="1382" w:type="dxa"/>
          </w:tcPr>
          <w:p w14:paraId="035A6358" w14:textId="77777777" w:rsidR="00E02A8F" w:rsidRDefault="00E02A8F" w:rsidP="00797590">
            <w:pPr>
              <w:pStyle w:val="TableCentre"/>
            </w:pPr>
            <w:r>
              <w:t>4</w:t>
            </w:r>
          </w:p>
        </w:tc>
      </w:tr>
      <w:tr w:rsidR="00E02A8F" w14:paraId="0C5EC151" w14:textId="77777777" w:rsidTr="00797590">
        <w:tc>
          <w:tcPr>
            <w:tcW w:w="4077" w:type="dxa"/>
          </w:tcPr>
          <w:p w14:paraId="058DF5DB" w14:textId="77777777" w:rsidR="00E02A8F" w:rsidRDefault="00E02A8F" w:rsidP="00797590">
            <w:pPr>
              <w:pStyle w:val="TableText"/>
            </w:pPr>
            <w:r>
              <w:t>Vomiting</w:t>
            </w:r>
          </w:p>
        </w:tc>
        <w:tc>
          <w:tcPr>
            <w:tcW w:w="1382" w:type="dxa"/>
          </w:tcPr>
          <w:p w14:paraId="321D91A6" w14:textId="77777777" w:rsidR="00E02A8F" w:rsidRDefault="00E02A8F" w:rsidP="00797590">
            <w:pPr>
              <w:pStyle w:val="TableCentre"/>
            </w:pPr>
            <w:r>
              <w:t>48</w:t>
            </w:r>
          </w:p>
        </w:tc>
        <w:tc>
          <w:tcPr>
            <w:tcW w:w="1382" w:type="dxa"/>
          </w:tcPr>
          <w:p w14:paraId="336964E6" w14:textId="77777777" w:rsidR="00E02A8F" w:rsidRDefault="00E02A8F" w:rsidP="00797590">
            <w:pPr>
              <w:pStyle w:val="TableCentre"/>
            </w:pPr>
            <w:r>
              <w:t>7</w:t>
            </w:r>
          </w:p>
        </w:tc>
        <w:tc>
          <w:tcPr>
            <w:tcW w:w="1382" w:type="dxa"/>
          </w:tcPr>
          <w:p w14:paraId="6D508BFE" w14:textId="77777777" w:rsidR="00E02A8F" w:rsidRDefault="00E02A8F" w:rsidP="00797590">
            <w:pPr>
              <w:pStyle w:val="TableCentre"/>
            </w:pPr>
            <w:r>
              <w:t>12</w:t>
            </w:r>
          </w:p>
        </w:tc>
        <w:tc>
          <w:tcPr>
            <w:tcW w:w="1382" w:type="dxa"/>
          </w:tcPr>
          <w:p w14:paraId="46177134" w14:textId="77777777" w:rsidR="00E02A8F" w:rsidRDefault="00E02A8F" w:rsidP="00797590">
            <w:pPr>
              <w:pStyle w:val="TableCentre"/>
            </w:pPr>
            <w:r>
              <w:t>0</w:t>
            </w:r>
          </w:p>
        </w:tc>
      </w:tr>
      <w:tr w:rsidR="00E02A8F" w14:paraId="502030F5" w14:textId="77777777" w:rsidTr="00797590">
        <w:tc>
          <w:tcPr>
            <w:tcW w:w="9605" w:type="dxa"/>
            <w:gridSpan w:val="5"/>
          </w:tcPr>
          <w:p w14:paraId="2A2B09B5" w14:textId="77777777" w:rsidR="00E02A8F" w:rsidRDefault="00E02A8F" w:rsidP="00797590">
            <w:pPr>
              <w:pStyle w:val="TableHeading"/>
            </w:pPr>
            <w:r w:rsidRPr="0056623B">
              <w:lastRenderedPageBreak/>
              <w:t>General Disorders and Administration Site Conditions</w:t>
            </w:r>
          </w:p>
        </w:tc>
      </w:tr>
      <w:tr w:rsidR="00E02A8F" w14:paraId="5958592E" w14:textId="77777777" w:rsidTr="00797590">
        <w:tc>
          <w:tcPr>
            <w:tcW w:w="4077" w:type="dxa"/>
          </w:tcPr>
          <w:p w14:paraId="7E02F66D" w14:textId="77777777" w:rsidR="00E02A8F" w:rsidRDefault="00E02A8F" w:rsidP="00797590">
            <w:pPr>
              <w:pStyle w:val="TableText"/>
            </w:pPr>
            <w:r>
              <w:t>Fatigue</w:t>
            </w:r>
            <w:r w:rsidRPr="0056623B">
              <w:rPr>
                <w:vertAlign w:val="superscript"/>
              </w:rPr>
              <w:t>d</w:t>
            </w:r>
          </w:p>
        </w:tc>
        <w:tc>
          <w:tcPr>
            <w:tcW w:w="1382" w:type="dxa"/>
          </w:tcPr>
          <w:p w14:paraId="52B4A21E" w14:textId="77777777" w:rsidR="00E02A8F" w:rsidRDefault="00E02A8F" w:rsidP="00797590">
            <w:pPr>
              <w:pStyle w:val="TableCentre"/>
            </w:pPr>
            <w:r>
              <w:t>73</w:t>
            </w:r>
          </w:p>
        </w:tc>
        <w:tc>
          <w:tcPr>
            <w:tcW w:w="1382" w:type="dxa"/>
          </w:tcPr>
          <w:p w14:paraId="76BC2FBD" w14:textId="77777777" w:rsidR="00E02A8F" w:rsidRDefault="00E02A8F" w:rsidP="00797590">
            <w:pPr>
              <w:pStyle w:val="TableCentre"/>
            </w:pPr>
            <w:r>
              <w:t>18</w:t>
            </w:r>
          </w:p>
        </w:tc>
        <w:tc>
          <w:tcPr>
            <w:tcW w:w="1382" w:type="dxa"/>
          </w:tcPr>
          <w:p w14:paraId="2C805382" w14:textId="77777777" w:rsidR="00E02A8F" w:rsidRDefault="00E02A8F" w:rsidP="00797590">
            <w:pPr>
              <w:pStyle w:val="TableCentre"/>
            </w:pPr>
            <w:r>
              <w:t>40</w:t>
            </w:r>
          </w:p>
        </w:tc>
        <w:tc>
          <w:tcPr>
            <w:tcW w:w="1382" w:type="dxa"/>
          </w:tcPr>
          <w:p w14:paraId="521060A4" w14:textId="77777777" w:rsidR="00E02A8F" w:rsidRDefault="00E02A8F" w:rsidP="00797590">
            <w:pPr>
              <w:pStyle w:val="TableCentre"/>
            </w:pPr>
            <w:r>
              <w:t>2</w:t>
            </w:r>
          </w:p>
        </w:tc>
      </w:tr>
      <w:tr w:rsidR="00E02A8F" w14:paraId="1CAA5FF2" w14:textId="77777777" w:rsidTr="00797590">
        <w:tc>
          <w:tcPr>
            <w:tcW w:w="4077" w:type="dxa"/>
          </w:tcPr>
          <w:p w14:paraId="2D621F3D" w14:textId="77777777" w:rsidR="00E02A8F" w:rsidRDefault="00E02A8F" w:rsidP="00797590">
            <w:pPr>
              <w:pStyle w:val="TableText"/>
            </w:pPr>
            <w:r>
              <w:t>Peripheral oedema</w:t>
            </w:r>
          </w:p>
        </w:tc>
        <w:tc>
          <w:tcPr>
            <w:tcW w:w="1382" w:type="dxa"/>
          </w:tcPr>
          <w:p w14:paraId="285545B9" w14:textId="77777777" w:rsidR="00E02A8F" w:rsidRDefault="00E02A8F" w:rsidP="00797590">
            <w:pPr>
              <w:pStyle w:val="TableCentre"/>
            </w:pPr>
            <w:r>
              <w:t>42</w:t>
            </w:r>
          </w:p>
        </w:tc>
        <w:tc>
          <w:tcPr>
            <w:tcW w:w="1382" w:type="dxa"/>
          </w:tcPr>
          <w:p w14:paraId="6A608686" w14:textId="77777777" w:rsidR="00E02A8F" w:rsidRDefault="00E02A8F" w:rsidP="00797590">
            <w:pPr>
              <w:pStyle w:val="TableCentre"/>
            </w:pPr>
            <w:r>
              <w:t>2</w:t>
            </w:r>
          </w:p>
        </w:tc>
        <w:tc>
          <w:tcPr>
            <w:tcW w:w="1382" w:type="dxa"/>
          </w:tcPr>
          <w:p w14:paraId="1415A4FD" w14:textId="77777777" w:rsidR="00E02A8F" w:rsidRDefault="00E02A8F" w:rsidP="00797590">
            <w:pPr>
              <w:pStyle w:val="TableCentre"/>
            </w:pPr>
            <w:r>
              <w:t>20</w:t>
            </w:r>
          </w:p>
        </w:tc>
        <w:tc>
          <w:tcPr>
            <w:tcW w:w="1382" w:type="dxa"/>
          </w:tcPr>
          <w:p w14:paraId="1D673D60" w14:textId="77777777" w:rsidR="00E02A8F" w:rsidRDefault="00E02A8F" w:rsidP="00797590">
            <w:pPr>
              <w:pStyle w:val="TableCentre"/>
            </w:pPr>
            <w:r>
              <w:t>0</w:t>
            </w:r>
          </w:p>
        </w:tc>
      </w:tr>
      <w:tr w:rsidR="00E02A8F" w14:paraId="003A24FD" w14:textId="77777777" w:rsidTr="00797590">
        <w:tc>
          <w:tcPr>
            <w:tcW w:w="4077" w:type="dxa"/>
          </w:tcPr>
          <w:p w14:paraId="4F2F991C" w14:textId="77777777" w:rsidR="00E02A8F" w:rsidRDefault="00E02A8F" w:rsidP="00797590">
            <w:pPr>
              <w:pStyle w:val="TableText"/>
            </w:pPr>
            <w:r>
              <w:t>Pyrexia/Increased body temperature</w:t>
            </w:r>
          </w:p>
        </w:tc>
        <w:tc>
          <w:tcPr>
            <w:tcW w:w="1382" w:type="dxa"/>
          </w:tcPr>
          <w:p w14:paraId="7011AAF9" w14:textId="77777777" w:rsidR="00E02A8F" w:rsidRDefault="00E02A8F" w:rsidP="00797590">
            <w:pPr>
              <w:pStyle w:val="TableCentre"/>
            </w:pPr>
            <w:r>
              <w:t>21</w:t>
            </w:r>
          </w:p>
        </w:tc>
        <w:tc>
          <w:tcPr>
            <w:tcW w:w="1382" w:type="dxa"/>
          </w:tcPr>
          <w:p w14:paraId="70D9108F" w14:textId="77777777" w:rsidR="00E02A8F" w:rsidRDefault="00E02A8F" w:rsidP="00797590">
            <w:pPr>
              <w:pStyle w:val="TableCentre"/>
            </w:pPr>
            <w:r>
              <w:t>2</w:t>
            </w:r>
          </w:p>
        </w:tc>
        <w:tc>
          <w:tcPr>
            <w:tcW w:w="1382" w:type="dxa"/>
          </w:tcPr>
          <w:p w14:paraId="525D32C3" w14:textId="77777777" w:rsidR="00E02A8F" w:rsidRDefault="00E02A8F" w:rsidP="00797590">
            <w:pPr>
              <w:pStyle w:val="TableCentre"/>
            </w:pPr>
            <w:r>
              <w:t>10</w:t>
            </w:r>
          </w:p>
        </w:tc>
        <w:tc>
          <w:tcPr>
            <w:tcW w:w="1382" w:type="dxa"/>
          </w:tcPr>
          <w:p w14:paraId="5C714392" w14:textId="77777777" w:rsidR="00E02A8F" w:rsidRDefault="00E02A8F" w:rsidP="00797590">
            <w:pPr>
              <w:pStyle w:val="TableCentre"/>
            </w:pPr>
            <w:r>
              <w:t>2</w:t>
            </w:r>
          </w:p>
        </w:tc>
      </w:tr>
      <w:tr w:rsidR="00E02A8F" w14:paraId="76A22DA7" w14:textId="77777777" w:rsidTr="00797590">
        <w:tc>
          <w:tcPr>
            <w:tcW w:w="9605" w:type="dxa"/>
            <w:gridSpan w:val="5"/>
          </w:tcPr>
          <w:p w14:paraId="51A9B56E" w14:textId="77777777" w:rsidR="00E02A8F" w:rsidRDefault="00E02A8F" w:rsidP="00797590">
            <w:pPr>
              <w:pStyle w:val="TableHeading"/>
            </w:pPr>
            <w:r>
              <w:t>Investigations</w:t>
            </w:r>
          </w:p>
        </w:tc>
      </w:tr>
      <w:tr w:rsidR="00E02A8F" w14:paraId="1FBAC6C8" w14:textId="77777777" w:rsidTr="00797590">
        <w:tc>
          <w:tcPr>
            <w:tcW w:w="4077" w:type="dxa"/>
          </w:tcPr>
          <w:p w14:paraId="46BE4F16" w14:textId="77777777" w:rsidR="00E02A8F" w:rsidRDefault="00E02A8F" w:rsidP="00797590">
            <w:pPr>
              <w:pStyle w:val="TableText"/>
            </w:pPr>
            <w:r>
              <w:t>Weight decreased</w:t>
            </w:r>
          </w:p>
        </w:tc>
        <w:tc>
          <w:tcPr>
            <w:tcW w:w="1382" w:type="dxa"/>
          </w:tcPr>
          <w:p w14:paraId="0DECDCBB" w14:textId="77777777" w:rsidR="00E02A8F" w:rsidRDefault="00E02A8F" w:rsidP="00797590">
            <w:pPr>
              <w:pStyle w:val="TableCentre"/>
            </w:pPr>
            <w:r>
              <w:t>34</w:t>
            </w:r>
          </w:p>
        </w:tc>
        <w:tc>
          <w:tcPr>
            <w:tcW w:w="1382" w:type="dxa"/>
          </w:tcPr>
          <w:p w14:paraId="52DCAE53" w14:textId="77777777" w:rsidR="00E02A8F" w:rsidRDefault="00E02A8F" w:rsidP="00797590">
            <w:pPr>
              <w:pStyle w:val="TableCentre"/>
            </w:pPr>
            <w:r>
              <w:t>3</w:t>
            </w:r>
          </w:p>
        </w:tc>
        <w:tc>
          <w:tcPr>
            <w:tcW w:w="1382" w:type="dxa"/>
          </w:tcPr>
          <w:p w14:paraId="77188F6C" w14:textId="77777777" w:rsidR="00E02A8F" w:rsidRDefault="00E02A8F" w:rsidP="00797590">
            <w:pPr>
              <w:pStyle w:val="TableCentre"/>
            </w:pPr>
            <w:r>
              <w:t>8</w:t>
            </w:r>
          </w:p>
        </w:tc>
        <w:tc>
          <w:tcPr>
            <w:tcW w:w="1382" w:type="dxa"/>
          </w:tcPr>
          <w:p w14:paraId="04432A4F" w14:textId="77777777" w:rsidR="00E02A8F" w:rsidRDefault="00E02A8F" w:rsidP="00797590">
            <w:pPr>
              <w:pStyle w:val="TableCentre"/>
            </w:pPr>
            <w:r>
              <w:t>0</w:t>
            </w:r>
          </w:p>
        </w:tc>
      </w:tr>
      <w:tr w:rsidR="00E02A8F" w14:paraId="5B014D14" w14:textId="77777777" w:rsidTr="00797590">
        <w:tc>
          <w:tcPr>
            <w:tcW w:w="9605" w:type="dxa"/>
            <w:gridSpan w:val="5"/>
          </w:tcPr>
          <w:p w14:paraId="5B68B554" w14:textId="77777777" w:rsidR="00E02A8F" w:rsidRDefault="00E02A8F" w:rsidP="00797590">
            <w:pPr>
              <w:pStyle w:val="TableHeading"/>
            </w:pPr>
            <w:r>
              <w:t>Metabolism and Nutrition Disorders</w:t>
            </w:r>
          </w:p>
        </w:tc>
      </w:tr>
      <w:tr w:rsidR="00E02A8F" w14:paraId="134F8349" w14:textId="77777777" w:rsidTr="00797590">
        <w:tc>
          <w:tcPr>
            <w:tcW w:w="4077" w:type="dxa"/>
          </w:tcPr>
          <w:p w14:paraId="5BF6D1E1" w14:textId="77777777" w:rsidR="00E02A8F" w:rsidRDefault="00E02A8F" w:rsidP="00797590">
            <w:pPr>
              <w:pStyle w:val="TableText"/>
            </w:pPr>
            <w:r>
              <w:t>Decreased appetite</w:t>
            </w:r>
          </w:p>
        </w:tc>
        <w:tc>
          <w:tcPr>
            <w:tcW w:w="1382" w:type="dxa"/>
          </w:tcPr>
          <w:p w14:paraId="26DE87DF" w14:textId="77777777" w:rsidR="00E02A8F" w:rsidRDefault="00E02A8F" w:rsidP="00797590">
            <w:pPr>
              <w:pStyle w:val="TableCentre"/>
            </w:pPr>
            <w:r>
              <w:t>53</w:t>
            </w:r>
          </w:p>
        </w:tc>
        <w:tc>
          <w:tcPr>
            <w:tcW w:w="1382" w:type="dxa"/>
          </w:tcPr>
          <w:p w14:paraId="420F3567" w14:textId="77777777" w:rsidR="00E02A8F" w:rsidRDefault="00E02A8F" w:rsidP="00797590">
            <w:pPr>
              <w:pStyle w:val="TableCentre"/>
            </w:pPr>
            <w:r>
              <w:t>5</w:t>
            </w:r>
          </w:p>
        </w:tc>
        <w:tc>
          <w:tcPr>
            <w:tcW w:w="1382" w:type="dxa"/>
          </w:tcPr>
          <w:p w14:paraId="5C807D85" w14:textId="77777777" w:rsidR="00E02A8F" w:rsidRDefault="00E02A8F" w:rsidP="00797590">
            <w:pPr>
              <w:pStyle w:val="TableCentre"/>
            </w:pPr>
            <w:r>
              <w:t>18</w:t>
            </w:r>
          </w:p>
        </w:tc>
        <w:tc>
          <w:tcPr>
            <w:tcW w:w="1382" w:type="dxa"/>
          </w:tcPr>
          <w:p w14:paraId="485C2DA2" w14:textId="77777777" w:rsidR="00E02A8F" w:rsidRDefault="00E02A8F" w:rsidP="00797590">
            <w:pPr>
              <w:pStyle w:val="TableCentre"/>
            </w:pPr>
            <w:r>
              <w:t>0</w:t>
            </w:r>
          </w:p>
        </w:tc>
      </w:tr>
      <w:tr w:rsidR="00E02A8F" w14:paraId="0F56B7DB" w14:textId="77777777" w:rsidTr="00797590">
        <w:tc>
          <w:tcPr>
            <w:tcW w:w="9605" w:type="dxa"/>
            <w:gridSpan w:val="5"/>
          </w:tcPr>
          <w:p w14:paraId="6C6C3C6B" w14:textId="77777777" w:rsidR="00E02A8F" w:rsidRDefault="00E02A8F" w:rsidP="00797590">
            <w:pPr>
              <w:pStyle w:val="TableHeading"/>
            </w:pPr>
            <w:r>
              <w:t>Musculoskeletal and Connective Tissue Disorders</w:t>
            </w:r>
          </w:p>
        </w:tc>
      </w:tr>
      <w:tr w:rsidR="00E02A8F" w14:paraId="5615CDD8" w14:textId="77777777" w:rsidTr="00797590">
        <w:tc>
          <w:tcPr>
            <w:tcW w:w="4077" w:type="dxa"/>
          </w:tcPr>
          <w:p w14:paraId="0CD7FE17" w14:textId="77777777" w:rsidR="00E02A8F" w:rsidRDefault="00E02A8F" w:rsidP="00797590">
            <w:pPr>
              <w:pStyle w:val="TableText"/>
            </w:pPr>
            <w:r>
              <w:t>Arthralgia/</w:t>
            </w:r>
            <w:proofErr w:type="spellStart"/>
            <w:r>
              <w:t>Myalgia</w:t>
            </w:r>
            <w:r w:rsidRPr="0056623B">
              <w:rPr>
                <w:vertAlign w:val="superscript"/>
              </w:rPr>
              <w:t>e</w:t>
            </w:r>
            <w:proofErr w:type="spellEnd"/>
          </w:p>
        </w:tc>
        <w:tc>
          <w:tcPr>
            <w:tcW w:w="1382" w:type="dxa"/>
          </w:tcPr>
          <w:p w14:paraId="553B6E4E" w14:textId="77777777" w:rsidR="00E02A8F" w:rsidRDefault="00E02A8F" w:rsidP="00797590">
            <w:pPr>
              <w:pStyle w:val="TableCentre"/>
            </w:pPr>
            <w:r>
              <w:t>55</w:t>
            </w:r>
          </w:p>
        </w:tc>
        <w:tc>
          <w:tcPr>
            <w:tcW w:w="1382" w:type="dxa"/>
          </w:tcPr>
          <w:p w14:paraId="640377C8" w14:textId="77777777" w:rsidR="00E02A8F" w:rsidRDefault="00E02A8F" w:rsidP="00797590">
            <w:pPr>
              <w:pStyle w:val="TableCentre"/>
            </w:pPr>
            <w:r>
              <w:t>5</w:t>
            </w:r>
          </w:p>
        </w:tc>
        <w:tc>
          <w:tcPr>
            <w:tcW w:w="1382" w:type="dxa"/>
          </w:tcPr>
          <w:p w14:paraId="74171E80" w14:textId="77777777" w:rsidR="00E02A8F" w:rsidRDefault="00E02A8F" w:rsidP="00797590">
            <w:pPr>
              <w:pStyle w:val="TableCentre"/>
            </w:pPr>
            <w:r>
              <w:t>32</w:t>
            </w:r>
          </w:p>
        </w:tc>
        <w:tc>
          <w:tcPr>
            <w:tcW w:w="1382" w:type="dxa"/>
          </w:tcPr>
          <w:p w14:paraId="35FA1574" w14:textId="77777777" w:rsidR="00E02A8F" w:rsidRDefault="00E02A8F" w:rsidP="00797590">
            <w:pPr>
              <w:pStyle w:val="TableCentre"/>
            </w:pPr>
            <w:r>
              <w:t>0</w:t>
            </w:r>
          </w:p>
        </w:tc>
      </w:tr>
      <w:tr w:rsidR="00E02A8F" w14:paraId="0B88ED8F" w14:textId="77777777" w:rsidTr="00797590">
        <w:tc>
          <w:tcPr>
            <w:tcW w:w="4077" w:type="dxa"/>
          </w:tcPr>
          <w:p w14:paraId="1D86B4FB" w14:textId="77777777" w:rsidR="00E02A8F" w:rsidRDefault="00E02A8F" w:rsidP="00797590">
            <w:pPr>
              <w:pStyle w:val="TableText"/>
            </w:pPr>
            <w:r>
              <w:t>Musculoskeletal chest pain</w:t>
            </w:r>
          </w:p>
        </w:tc>
        <w:tc>
          <w:tcPr>
            <w:tcW w:w="1382" w:type="dxa"/>
          </w:tcPr>
          <w:p w14:paraId="53D9CF09" w14:textId="77777777" w:rsidR="00E02A8F" w:rsidRDefault="00E02A8F" w:rsidP="00797590">
            <w:pPr>
              <w:pStyle w:val="TableCentre"/>
            </w:pPr>
            <w:r>
              <w:t>18</w:t>
            </w:r>
          </w:p>
        </w:tc>
        <w:tc>
          <w:tcPr>
            <w:tcW w:w="1382" w:type="dxa"/>
          </w:tcPr>
          <w:p w14:paraId="65E85B8B" w14:textId="77777777" w:rsidR="00E02A8F" w:rsidRDefault="00E02A8F" w:rsidP="00797590">
            <w:pPr>
              <w:pStyle w:val="TableCentre"/>
            </w:pPr>
            <w:r>
              <w:t>2</w:t>
            </w:r>
          </w:p>
        </w:tc>
        <w:tc>
          <w:tcPr>
            <w:tcW w:w="1382" w:type="dxa"/>
          </w:tcPr>
          <w:p w14:paraId="1E0CC415" w14:textId="77777777" w:rsidR="00E02A8F" w:rsidRDefault="00E02A8F" w:rsidP="00797590">
            <w:pPr>
              <w:pStyle w:val="TableCentre"/>
            </w:pPr>
            <w:r>
              <w:t>4</w:t>
            </w:r>
          </w:p>
        </w:tc>
        <w:tc>
          <w:tcPr>
            <w:tcW w:w="1382" w:type="dxa"/>
          </w:tcPr>
          <w:p w14:paraId="6ACB1246" w14:textId="77777777" w:rsidR="00E02A8F" w:rsidRDefault="00E02A8F" w:rsidP="00797590">
            <w:pPr>
              <w:pStyle w:val="TableCentre"/>
            </w:pPr>
            <w:r>
              <w:t>0</w:t>
            </w:r>
          </w:p>
        </w:tc>
      </w:tr>
      <w:tr w:rsidR="00E02A8F" w14:paraId="033712FE" w14:textId="77777777" w:rsidTr="00797590">
        <w:tc>
          <w:tcPr>
            <w:tcW w:w="9605" w:type="dxa"/>
            <w:gridSpan w:val="5"/>
          </w:tcPr>
          <w:p w14:paraId="1F0E509B" w14:textId="77777777" w:rsidR="00E02A8F" w:rsidRDefault="00E02A8F" w:rsidP="00797590">
            <w:pPr>
              <w:pStyle w:val="TableHeading"/>
            </w:pPr>
            <w:r>
              <w:t>Nervous System Disorders</w:t>
            </w:r>
          </w:p>
        </w:tc>
      </w:tr>
      <w:tr w:rsidR="00E02A8F" w14:paraId="30FA6AA2" w14:textId="77777777" w:rsidTr="00797590">
        <w:tc>
          <w:tcPr>
            <w:tcW w:w="4077" w:type="dxa"/>
          </w:tcPr>
          <w:p w14:paraId="72E05517" w14:textId="77777777" w:rsidR="00E02A8F" w:rsidRDefault="00E02A8F" w:rsidP="00797590">
            <w:pPr>
              <w:pStyle w:val="TableText"/>
            </w:pPr>
            <w:r>
              <w:t>Headache</w:t>
            </w:r>
          </w:p>
        </w:tc>
        <w:tc>
          <w:tcPr>
            <w:tcW w:w="1382" w:type="dxa"/>
          </w:tcPr>
          <w:p w14:paraId="232D43C1" w14:textId="77777777" w:rsidR="00E02A8F" w:rsidRDefault="00E02A8F" w:rsidP="00797590">
            <w:pPr>
              <w:pStyle w:val="TableCentre"/>
            </w:pPr>
            <w:r>
              <w:t>19</w:t>
            </w:r>
          </w:p>
        </w:tc>
        <w:tc>
          <w:tcPr>
            <w:tcW w:w="1382" w:type="dxa"/>
          </w:tcPr>
          <w:p w14:paraId="1A8CF8D7" w14:textId="77777777" w:rsidR="00E02A8F" w:rsidRDefault="00E02A8F" w:rsidP="00797590">
            <w:pPr>
              <w:pStyle w:val="TableCentre"/>
            </w:pPr>
            <w:r>
              <w:t>2</w:t>
            </w:r>
          </w:p>
        </w:tc>
        <w:tc>
          <w:tcPr>
            <w:tcW w:w="1382" w:type="dxa"/>
          </w:tcPr>
          <w:p w14:paraId="2D330CA6" w14:textId="77777777" w:rsidR="00E02A8F" w:rsidRDefault="00E02A8F" w:rsidP="00797590">
            <w:pPr>
              <w:pStyle w:val="TableCentre"/>
            </w:pPr>
            <w:r>
              <w:t>10</w:t>
            </w:r>
          </w:p>
        </w:tc>
        <w:tc>
          <w:tcPr>
            <w:tcW w:w="1382" w:type="dxa"/>
          </w:tcPr>
          <w:p w14:paraId="1A790D28" w14:textId="77777777" w:rsidR="00E02A8F" w:rsidRDefault="00E02A8F" w:rsidP="00797590">
            <w:pPr>
              <w:pStyle w:val="TableCentre"/>
            </w:pPr>
            <w:r>
              <w:t>2</w:t>
            </w:r>
          </w:p>
        </w:tc>
      </w:tr>
      <w:tr w:rsidR="00E02A8F" w14:paraId="6490F9FD" w14:textId="77777777" w:rsidTr="00797590">
        <w:tc>
          <w:tcPr>
            <w:tcW w:w="9605" w:type="dxa"/>
            <w:gridSpan w:val="5"/>
          </w:tcPr>
          <w:p w14:paraId="11D99E0C" w14:textId="77777777" w:rsidR="00E02A8F" w:rsidRDefault="00E02A8F" w:rsidP="00797590">
            <w:pPr>
              <w:pStyle w:val="TableHeading"/>
            </w:pPr>
            <w:r>
              <w:t>Psychiatric Disorders</w:t>
            </w:r>
          </w:p>
        </w:tc>
      </w:tr>
      <w:tr w:rsidR="00E02A8F" w14:paraId="7DB343B1" w14:textId="77777777" w:rsidTr="00797590">
        <w:tc>
          <w:tcPr>
            <w:tcW w:w="4077" w:type="dxa"/>
          </w:tcPr>
          <w:p w14:paraId="28D351A1" w14:textId="77777777" w:rsidR="00E02A8F" w:rsidRDefault="00E02A8F" w:rsidP="00797590">
            <w:pPr>
              <w:pStyle w:val="TableText"/>
            </w:pPr>
            <w:r>
              <w:t>Insomnia</w:t>
            </w:r>
          </w:p>
        </w:tc>
        <w:tc>
          <w:tcPr>
            <w:tcW w:w="1382" w:type="dxa"/>
          </w:tcPr>
          <w:p w14:paraId="4DEF447C" w14:textId="77777777" w:rsidR="00E02A8F" w:rsidRDefault="00E02A8F" w:rsidP="00797590">
            <w:pPr>
              <w:pStyle w:val="TableCentre"/>
            </w:pPr>
            <w:r>
              <w:t>16</w:t>
            </w:r>
          </w:p>
        </w:tc>
        <w:tc>
          <w:tcPr>
            <w:tcW w:w="1382" w:type="dxa"/>
          </w:tcPr>
          <w:p w14:paraId="6F232F52" w14:textId="77777777" w:rsidR="00E02A8F" w:rsidRDefault="00E02A8F" w:rsidP="00797590">
            <w:pPr>
              <w:pStyle w:val="TableCentre"/>
            </w:pPr>
            <w:r>
              <w:t>2</w:t>
            </w:r>
          </w:p>
        </w:tc>
        <w:tc>
          <w:tcPr>
            <w:tcW w:w="1382" w:type="dxa"/>
          </w:tcPr>
          <w:p w14:paraId="33DB5AAB" w14:textId="77777777" w:rsidR="00E02A8F" w:rsidRDefault="00E02A8F" w:rsidP="00797590">
            <w:pPr>
              <w:pStyle w:val="TableCentre"/>
            </w:pPr>
            <w:r>
              <w:t>2</w:t>
            </w:r>
          </w:p>
        </w:tc>
        <w:tc>
          <w:tcPr>
            <w:tcW w:w="1382" w:type="dxa"/>
          </w:tcPr>
          <w:p w14:paraId="013231F5" w14:textId="77777777" w:rsidR="00E02A8F" w:rsidRDefault="00E02A8F" w:rsidP="00797590">
            <w:pPr>
              <w:pStyle w:val="TableCentre"/>
            </w:pPr>
            <w:r>
              <w:t>0</w:t>
            </w:r>
          </w:p>
        </w:tc>
      </w:tr>
      <w:tr w:rsidR="00E02A8F" w14:paraId="5A1B6317" w14:textId="77777777" w:rsidTr="00797590">
        <w:tc>
          <w:tcPr>
            <w:tcW w:w="9605" w:type="dxa"/>
            <w:gridSpan w:val="5"/>
          </w:tcPr>
          <w:p w14:paraId="6138C646" w14:textId="77777777" w:rsidR="00E02A8F" w:rsidRDefault="00E02A8F" w:rsidP="00797590">
            <w:pPr>
              <w:pStyle w:val="TableHeading"/>
            </w:pPr>
            <w:r>
              <w:t>Renal and Urinary Disorders</w:t>
            </w:r>
          </w:p>
        </w:tc>
      </w:tr>
      <w:tr w:rsidR="00E02A8F" w14:paraId="73E09974" w14:textId="77777777" w:rsidTr="00797590">
        <w:tc>
          <w:tcPr>
            <w:tcW w:w="4077" w:type="dxa"/>
          </w:tcPr>
          <w:p w14:paraId="67B54644" w14:textId="77777777" w:rsidR="00E02A8F" w:rsidRDefault="00E02A8F" w:rsidP="00797590">
            <w:pPr>
              <w:pStyle w:val="TableText"/>
            </w:pPr>
            <w:r>
              <w:t>Proteinuria/Urine protein present</w:t>
            </w:r>
          </w:p>
        </w:tc>
        <w:tc>
          <w:tcPr>
            <w:tcW w:w="1382" w:type="dxa"/>
          </w:tcPr>
          <w:p w14:paraId="30558189" w14:textId="77777777" w:rsidR="00E02A8F" w:rsidRDefault="00E02A8F" w:rsidP="00797590">
            <w:pPr>
              <w:pStyle w:val="TableCentre"/>
            </w:pPr>
            <w:r>
              <w:t>31</w:t>
            </w:r>
          </w:p>
        </w:tc>
        <w:tc>
          <w:tcPr>
            <w:tcW w:w="1382" w:type="dxa"/>
          </w:tcPr>
          <w:p w14:paraId="5B572EA6" w14:textId="77777777" w:rsidR="00E02A8F" w:rsidRDefault="00E02A8F" w:rsidP="00797590">
            <w:pPr>
              <w:pStyle w:val="TableCentre"/>
            </w:pPr>
            <w:r>
              <w:t>8</w:t>
            </w:r>
          </w:p>
        </w:tc>
        <w:tc>
          <w:tcPr>
            <w:tcW w:w="1382" w:type="dxa"/>
          </w:tcPr>
          <w:p w14:paraId="3AA573E4" w14:textId="77777777" w:rsidR="00E02A8F" w:rsidRDefault="00E02A8F" w:rsidP="00797590">
            <w:pPr>
              <w:pStyle w:val="TableCentre"/>
            </w:pPr>
            <w:r>
              <w:t>14</w:t>
            </w:r>
          </w:p>
        </w:tc>
        <w:tc>
          <w:tcPr>
            <w:tcW w:w="1382" w:type="dxa"/>
          </w:tcPr>
          <w:p w14:paraId="785BC6A5" w14:textId="77777777" w:rsidR="00E02A8F" w:rsidRDefault="00E02A8F" w:rsidP="00797590">
            <w:pPr>
              <w:pStyle w:val="TableCentre"/>
            </w:pPr>
            <w:r>
              <w:t>2</w:t>
            </w:r>
          </w:p>
        </w:tc>
      </w:tr>
      <w:tr w:rsidR="00E02A8F" w14:paraId="6FBE7FDC" w14:textId="77777777" w:rsidTr="00797590">
        <w:tc>
          <w:tcPr>
            <w:tcW w:w="4077" w:type="dxa"/>
          </w:tcPr>
          <w:p w14:paraId="0A6BFE8A" w14:textId="77777777" w:rsidR="00E02A8F" w:rsidRDefault="00E02A8F" w:rsidP="00797590">
            <w:pPr>
              <w:pStyle w:val="TableText"/>
            </w:pPr>
            <w:r>
              <w:t xml:space="preserve">Renal failure </w:t>
            </w:r>
            <w:proofErr w:type="spellStart"/>
            <w:r>
              <w:t>event</w:t>
            </w:r>
            <w:r w:rsidRPr="0056623B">
              <w:rPr>
                <w:vertAlign w:val="superscript"/>
              </w:rPr>
              <w:t>f</w:t>
            </w:r>
            <w:proofErr w:type="spellEnd"/>
          </w:p>
        </w:tc>
        <w:tc>
          <w:tcPr>
            <w:tcW w:w="1382" w:type="dxa"/>
          </w:tcPr>
          <w:p w14:paraId="6C10B04C" w14:textId="77777777" w:rsidR="00E02A8F" w:rsidRDefault="00E02A8F" w:rsidP="00797590">
            <w:pPr>
              <w:pStyle w:val="TableCentre"/>
            </w:pPr>
            <w:r>
              <w:t>18</w:t>
            </w:r>
          </w:p>
        </w:tc>
        <w:tc>
          <w:tcPr>
            <w:tcW w:w="1382" w:type="dxa"/>
          </w:tcPr>
          <w:p w14:paraId="57484E57" w14:textId="77777777" w:rsidR="00E02A8F" w:rsidRDefault="00E02A8F" w:rsidP="00797590">
            <w:pPr>
              <w:pStyle w:val="TableCentre"/>
            </w:pPr>
            <w:r>
              <w:t>10</w:t>
            </w:r>
          </w:p>
        </w:tc>
        <w:tc>
          <w:tcPr>
            <w:tcW w:w="1382" w:type="dxa"/>
          </w:tcPr>
          <w:p w14:paraId="0BF24DAE" w14:textId="77777777" w:rsidR="00E02A8F" w:rsidRDefault="00E02A8F" w:rsidP="00797590">
            <w:pPr>
              <w:pStyle w:val="TableCentre"/>
            </w:pPr>
            <w:r>
              <w:t>12</w:t>
            </w:r>
          </w:p>
        </w:tc>
        <w:tc>
          <w:tcPr>
            <w:tcW w:w="1382" w:type="dxa"/>
          </w:tcPr>
          <w:p w14:paraId="699AB92A" w14:textId="77777777" w:rsidR="00E02A8F" w:rsidRDefault="00E02A8F" w:rsidP="00797590">
            <w:pPr>
              <w:pStyle w:val="TableCentre"/>
            </w:pPr>
            <w:r>
              <w:t>2</w:t>
            </w:r>
          </w:p>
        </w:tc>
      </w:tr>
      <w:tr w:rsidR="00E02A8F" w14:paraId="6B153865" w14:textId="77777777" w:rsidTr="00797590">
        <w:tc>
          <w:tcPr>
            <w:tcW w:w="9605" w:type="dxa"/>
            <w:gridSpan w:val="5"/>
          </w:tcPr>
          <w:p w14:paraId="7A3C0192" w14:textId="77777777" w:rsidR="00E02A8F" w:rsidRDefault="00E02A8F" w:rsidP="00797590">
            <w:pPr>
              <w:pStyle w:val="TableHeading"/>
            </w:pPr>
            <w:r>
              <w:t>Respiratory, Thoracic and Mediastinal Disorders</w:t>
            </w:r>
          </w:p>
        </w:tc>
      </w:tr>
      <w:tr w:rsidR="00E02A8F" w14:paraId="70630A87" w14:textId="77777777" w:rsidTr="00797590">
        <w:tc>
          <w:tcPr>
            <w:tcW w:w="4077" w:type="dxa"/>
          </w:tcPr>
          <w:p w14:paraId="28216C5C" w14:textId="77777777" w:rsidR="00E02A8F" w:rsidRDefault="00E02A8F" w:rsidP="00797590">
            <w:pPr>
              <w:pStyle w:val="TableText"/>
            </w:pPr>
            <w:r>
              <w:t>Cough</w:t>
            </w:r>
          </w:p>
        </w:tc>
        <w:tc>
          <w:tcPr>
            <w:tcW w:w="1382" w:type="dxa"/>
          </w:tcPr>
          <w:p w14:paraId="2546CE08" w14:textId="77777777" w:rsidR="00E02A8F" w:rsidRDefault="00E02A8F" w:rsidP="00797590">
            <w:pPr>
              <w:pStyle w:val="TableCentre"/>
            </w:pPr>
            <w:r>
              <w:t>37</w:t>
            </w:r>
          </w:p>
        </w:tc>
        <w:tc>
          <w:tcPr>
            <w:tcW w:w="1382" w:type="dxa"/>
          </w:tcPr>
          <w:p w14:paraId="285ABCC2" w14:textId="77777777" w:rsidR="00E02A8F" w:rsidRDefault="00E02A8F" w:rsidP="00797590">
            <w:pPr>
              <w:pStyle w:val="TableCentre"/>
            </w:pPr>
            <w:r>
              <w:t>0</w:t>
            </w:r>
          </w:p>
        </w:tc>
        <w:tc>
          <w:tcPr>
            <w:tcW w:w="1382" w:type="dxa"/>
          </w:tcPr>
          <w:p w14:paraId="3C082CA1" w14:textId="77777777" w:rsidR="00E02A8F" w:rsidRDefault="00E02A8F" w:rsidP="00797590">
            <w:pPr>
              <w:pStyle w:val="TableCentre"/>
            </w:pPr>
            <w:r>
              <w:t>30</w:t>
            </w:r>
          </w:p>
        </w:tc>
        <w:tc>
          <w:tcPr>
            <w:tcW w:w="1382" w:type="dxa"/>
          </w:tcPr>
          <w:p w14:paraId="20A4E146" w14:textId="77777777" w:rsidR="00E02A8F" w:rsidRDefault="00E02A8F" w:rsidP="00797590">
            <w:pPr>
              <w:pStyle w:val="TableCentre"/>
            </w:pPr>
            <w:r>
              <w:t>0</w:t>
            </w:r>
          </w:p>
        </w:tc>
      </w:tr>
      <w:tr w:rsidR="00E02A8F" w14:paraId="29477EE8" w14:textId="77777777" w:rsidTr="00797590">
        <w:tc>
          <w:tcPr>
            <w:tcW w:w="4077" w:type="dxa"/>
          </w:tcPr>
          <w:p w14:paraId="2297BD8D" w14:textId="77777777" w:rsidR="00E02A8F" w:rsidRDefault="00E02A8F" w:rsidP="00797590">
            <w:pPr>
              <w:pStyle w:val="TableText"/>
            </w:pPr>
            <w:r>
              <w:t>Dysphonia</w:t>
            </w:r>
          </w:p>
        </w:tc>
        <w:tc>
          <w:tcPr>
            <w:tcW w:w="1382" w:type="dxa"/>
          </w:tcPr>
          <w:p w14:paraId="324FA244" w14:textId="77777777" w:rsidR="00E02A8F" w:rsidRDefault="00E02A8F" w:rsidP="00797590">
            <w:pPr>
              <w:pStyle w:val="TableCentre"/>
            </w:pPr>
            <w:r>
              <w:t>18</w:t>
            </w:r>
          </w:p>
        </w:tc>
        <w:tc>
          <w:tcPr>
            <w:tcW w:w="1382" w:type="dxa"/>
          </w:tcPr>
          <w:p w14:paraId="3410CE97" w14:textId="77777777" w:rsidR="00E02A8F" w:rsidRDefault="00E02A8F" w:rsidP="00797590">
            <w:pPr>
              <w:pStyle w:val="TableCentre"/>
            </w:pPr>
            <w:r>
              <w:t>0</w:t>
            </w:r>
          </w:p>
        </w:tc>
        <w:tc>
          <w:tcPr>
            <w:tcW w:w="1382" w:type="dxa"/>
          </w:tcPr>
          <w:p w14:paraId="03D24010" w14:textId="77777777" w:rsidR="00E02A8F" w:rsidRDefault="00E02A8F" w:rsidP="00797590">
            <w:pPr>
              <w:pStyle w:val="TableCentre"/>
            </w:pPr>
            <w:r>
              <w:t>4</w:t>
            </w:r>
          </w:p>
        </w:tc>
        <w:tc>
          <w:tcPr>
            <w:tcW w:w="1382" w:type="dxa"/>
          </w:tcPr>
          <w:p w14:paraId="33F06B0C" w14:textId="77777777" w:rsidR="00E02A8F" w:rsidRDefault="00E02A8F" w:rsidP="00797590">
            <w:pPr>
              <w:pStyle w:val="TableCentre"/>
            </w:pPr>
            <w:r>
              <w:t>0</w:t>
            </w:r>
          </w:p>
        </w:tc>
      </w:tr>
      <w:tr w:rsidR="00E02A8F" w14:paraId="44B86D40" w14:textId="77777777" w:rsidTr="00797590">
        <w:tc>
          <w:tcPr>
            <w:tcW w:w="4077" w:type="dxa"/>
          </w:tcPr>
          <w:p w14:paraId="36DC5210" w14:textId="77777777" w:rsidR="00E02A8F" w:rsidRDefault="00E02A8F" w:rsidP="00797590">
            <w:pPr>
              <w:pStyle w:val="TableText"/>
            </w:pPr>
            <w:r>
              <w:t>Dyspnoea/Exertional dyspnoea</w:t>
            </w:r>
          </w:p>
        </w:tc>
        <w:tc>
          <w:tcPr>
            <w:tcW w:w="1382" w:type="dxa"/>
          </w:tcPr>
          <w:p w14:paraId="3D450A1A" w14:textId="77777777" w:rsidR="00E02A8F" w:rsidRDefault="00E02A8F" w:rsidP="00797590">
            <w:pPr>
              <w:pStyle w:val="TableCentre"/>
            </w:pPr>
            <w:r>
              <w:t>35</w:t>
            </w:r>
          </w:p>
        </w:tc>
        <w:tc>
          <w:tcPr>
            <w:tcW w:w="1382" w:type="dxa"/>
          </w:tcPr>
          <w:p w14:paraId="1CA15C91" w14:textId="77777777" w:rsidR="00E02A8F" w:rsidRDefault="00E02A8F" w:rsidP="00797590">
            <w:pPr>
              <w:pStyle w:val="TableCentre"/>
            </w:pPr>
            <w:r>
              <w:t>5</w:t>
            </w:r>
          </w:p>
        </w:tc>
        <w:tc>
          <w:tcPr>
            <w:tcW w:w="1382" w:type="dxa"/>
          </w:tcPr>
          <w:p w14:paraId="7568E756" w14:textId="77777777" w:rsidR="00E02A8F" w:rsidRDefault="00E02A8F" w:rsidP="00797590">
            <w:pPr>
              <w:pStyle w:val="TableCentre"/>
            </w:pPr>
            <w:r>
              <w:t>28</w:t>
            </w:r>
          </w:p>
        </w:tc>
        <w:tc>
          <w:tcPr>
            <w:tcW w:w="1382" w:type="dxa"/>
          </w:tcPr>
          <w:p w14:paraId="547FC514" w14:textId="77777777" w:rsidR="00E02A8F" w:rsidRDefault="00E02A8F" w:rsidP="00797590">
            <w:pPr>
              <w:pStyle w:val="TableCentre"/>
            </w:pPr>
            <w:r>
              <w:t>8</w:t>
            </w:r>
          </w:p>
        </w:tc>
      </w:tr>
      <w:tr w:rsidR="00E02A8F" w14:paraId="39A82A7B" w14:textId="77777777" w:rsidTr="00797590">
        <w:tc>
          <w:tcPr>
            <w:tcW w:w="9605" w:type="dxa"/>
            <w:gridSpan w:val="5"/>
          </w:tcPr>
          <w:p w14:paraId="72441A0C" w14:textId="77777777" w:rsidR="00E02A8F" w:rsidRDefault="00E02A8F" w:rsidP="00797590">
            <w:pPr>
              <w:pStyle w:val="TableHeading"/>
            </w:pPr>
            <w:r>
              <w:t>Skin and Subcutaneous Tissue Disorders</w:t>
            </w:r>
          </w:p>
        </w:tc>
      </w:tr>
      <w:tr w:rsidR="00E02A8F" w14:paraId="2F933DD2" w14:textId="77777777" w:rsidTr="00797590">
        <w:tc>
          <w:tcPr>
            <w:tcW w:w="4077" w:type="dxa"/>
          </w:tcPr>
          <w:p w14:paraId="03728EB9" w14:textId="77777777" w:rsidR="00E02A8F" w:rsidRDefault="00E02A8F" w:rsidP="00797590">
            <w:pPr>
              <w:pStyle w:val="TableText"/>
            </w:pPr>
            <w:proofErr w:type="spellStart"/>
            <w:r>
              <w:t>Rash</w:t>
            </w:r>
            <w:r w:rsidRPr="0056623B">
              <w:rPr>
                <w:vertAlign w:val="superscript"/>
              </w:rPr>
              <w:t>g</w:t>
            </w:r>
            <w:proofErr w:type="spellEnd"/>
          </w:p>
        </w:tc>
        <w:tc>
          <w:tcPr>
            <w:tcW w:w="1382" w:type="dxa"/>
          </w:tcPr>
          <w:p w14:paraId="5CDA011C" w14:textId="77777777" w:rsidR="00E02A8F" w:rsidRDefault="00E02A8F" w:rsidP="00797590">
            <w:pPr>
              <w:pStyle w:val="TableCentre"/>
            </w:pPr>
            <w:r>
              <w:t>35</w:t>
            </w:r>
          </w:p>
        </w:tc>
        <w:tc>
          <w:tcPr>
            <w:tcW w:w="1382" w:type="dxa"/>
          </w:tcPr>
          <w:p w14:paraId="326967F7" w14:textId="77777777" w:rsidR="00E02A8F" w:rsidRDefault="00E02A8F" w:rsidP="00797590">
            <w:pPr>
              <w:pStyle w:val="TableCentre"/>
            </w:pPr>
            <w:r>
              <w:t>0</w:t>
            </w:r>
          </w:p>
        </w:tc>
        <w:tc>
          <w:tcPr>
            <w:tcW w:w="1382" w:type="dxa"/>
          </w:tcPr>
          <w:p w14:paraId="10C62B93" w14:textId="77777777" w:rsidR="00E02A8F" w:rsidRDefault="00E02A8F" w:rsidP="00797590">
            <w:pPr>
              <w:pStyle w:val="TableCentre"/>
            </w:pPr>
            <w:r>
              <w:t>40</w:t>
            </w:r>
          </w:p>
        </w:tc>
        <w:tc>
          <w:tcPr>
            <w:tcW w:w="1382" w:type="dxa"/>
          </w:tcPr>
          <w:p w14:paraId="1D826CC3" w14:textId="77777777" w:rsidR="00E02A8F" w:rsidRDefault="00E02A8F" w:rsidP="00797590">
            <w:pPr>
              <w:pStyle w:val="TableCentre"/>
            </w:pPr>
            <w:r>
              <w:t>0</w:t>
            </w:r>
          </w:p>
        </w:tc>
      </w:tr>
      <w:tr w:rsidR="00E02A8F" w14:paraId="1F82B818" w14:textId="77777777" w:rsidTr="00797590">
        <w:tc>
          <w:tcPr>
            <w:tcW w:w="9605" w:type="dxa"/>
            <w:gridSpan w:val="5"/>
          </w:tcPr>
          <w:p w14:paraId="3EB777FB" w14:textId="77777777" w:rsidR="00E02A8F" w:rsidRDefault="00E02A8F" w:rsidP="00797590">
            <w:pPr>
              <w:pStyle w:val="TableHeading"/>
            </w:pPr>
            <w:r>
              <w:t>Vascular Disorders</w:t>
            </w:r>
          </w:p>
        </w:tc>
      </w:tr>
      <w:tr w:rsidR="00E02A8F" w14:paraId="26EA1758" w14:textId="77777777" w:rsidTr="00797590">
        <w:tc>
          <w:tcPr>
            <w:tcW w:w="4077" w:type="dxa"/>
          </w:tcPr>
          <w:p w14:paraId="74DD3760" w14:textId="77777777" w:rsidR="00E02A8F" w:rsidRDefault="00E02A8F" w:rsidP="00797590">
            <w:pPr>
              <w:pStyle w:val="TableText"/>
            </w:pPr>
            <w:r>
              <w:t xml:space="preserve">Haemorrhagic </w:t>
            </w:r>
            <w:proofErr w:type="spellStart"/>
            <w:r>
              <w:t>events</w:t>
            </w:r>
            <w:r w:rsidRPr="0056623B">
              <w:rPr>
                <w:vertAlign w:val="superscript"/>
              </w:rPr>
              <w:t>h</w:t>
            </w:r>
            <w:proofErr w:type="spellEnd"/>
          </w:p>
        </w:tc>
        <w:tc>
          <w:tcPr>
            <w:tcW w:w="1382" w:type="dxa"/>
          </w:tcPr>
          <w:p w14:paraId="65A242BA" w14:textId="77777777" w:rsidR="00E02A8F" w:rsidRDefault="00E02A8F" w:rsidP="00797590">
            <w:pPr>
              <w:pStyle w:val="TableCentre"/>
            </w:pPr>
            <w:r>
              <w:t>32</w:t>
            </w:r>
          </w:p>
        </w:tc>
        <w:tc>
          <w:tcPr>
            <w:tcW w:w="1382" w:type="dxa"/>
          </w:tcPr>
          <w:p w14:paraId="1CE6C625" w14:textId="77777777" w:rsidR="00E02A8F" w:rsidRDefault="00E02A8F" w:rsidP="00797590">
            <w:pPr>
              <w:pStyle w:val="TableCentre"/>
            </w:pPr>
            <w:r>
              <w:t>6</w:t>
            </w:r>
          </w:p>
        </w:tc>
        <w:tc>
          <w:tcPr>
            <w:tcW w:w="1382" w:type="dxa"/>
          </w:tcPr>
          <w:p w14:paraId="5C4C347C" w14:textId="77777777" w:rsidR="00E02A8F" w:rsidRDefault="00E02A8F" w:rsidP="00797590">
            <w:pPr>
              <w:pStyle w:val="TableCentre"/>
            </w:pPr>
            <w:r>
              <w:t>26</w:t>
            </w:r>
          </w:p>
        </w:tc>
        <w:tc>
          <w:tcPr>
            <w:tcW w:w="1382" w:type="dxa"/>
          </w:tcPr>
          <w:p w14:paraId="728657FA" w14:textId="77777777" w:rsidR="00E02A8F" w:rsidRDefault="00E02A8F" w:rsidP="00797590">
            <w:pPr>
              <w:pStyle w:val="TableCentre"/>
            </w:pPr>
            <w:r>
              <w:t>2</w:t>
            </w:r>
          </w:p>
        </w:tc>
      </w:tr>
      <w:tr w:rsidR="00E02A8F" w14:paraId="6F32F5CC" w14:textId="77777777" w:rsidTr="00797590">
        <w:tc>
          <w:tcPr>
            <w:tcW w:w="4077" w:type="dxa"/>
          </w:tcPr>
          <w:p w14:paraId="7D8E58AA" w14:textId="77777777" w:rsidR="00E02A8F" w:rsidRDefault="00E02A8F" w:rsidP="00797590">
            <w:pPr>
              <w:pStyle w:val="TableText"/>
            </w:pPr>
            <w:r>
              <w:t>Hypertension/Increased blood pressure</w:t>
            </w:r>
          </w:p>
        </w:tc>
        <w:tc>
          <w:tcPr>
            <w:tcW w:w="1382" w:type="dxa"/>
          </w:tcPr>
          <w:p w14:paraId="58EC7FD2" w14:textId="77777777" w:rsidR="00E02A8F" w:rsidRDefault="00E02A8F" w:rsidP="00797590">
            <w:pPr>
              <w:pStyle w:val="TableCentre"/>
            </w:pPr>
            <w:r>
              <w:t>42</w:t>
            </w:r>
          </w:p>
        </w:tc>
        <w:tc>
          <w:tcPr>
            <w:tcW w:w="1382" w:type="dxa"/>
          </w:tcPr>
          <w:p w14:paraId="03F0841E" w14:textId="77777777" w:rsidR="00E02A8F" w:rsidRDefault="00E02A8F" w:rsidP="00797590">
            <w:pPr>
              <w:pStyle w:val="TableCentre"/>
            </w:pPr>
            <w:r>
              <w:t>13</w:t>
            </w:r>
          </w:p>
        </w:tc>
        <w:tc>
          <w:tcPr>
            <w:tcW w:w="1382" w:type="dxa"/>
          </w:tcPr>
          <w:p w14:paraId="3D092ACC" w14:textId="77777777" w:rsidR="00E02A8F" w:rsidRDefault="00E02A8F" w:rsidP="00797590">
            <w:pPr>
              <w:pStyle w:val="TableCentre"/>
            </w:pPr>
            <w:r>
              <w:t>10</w:t>
            </w:r>
          </w:p>
        </w:tc>
        <w:tc>
          <w:tcPr>
            <w:tcW w:w="1382" w:type="dxa"/>
          </w:tcPr>
          <w:p w14:paraId="23BB9AEB" w14:textId="77777777" w:rsidR="00E02A8F" w:rsidRDefault="00E02A8F" w:rsidP="00797590">
            <w:pPr>
              <w:pStyle w:val="TableCentre"/>
            </w:pPr>
            <w:r>
              <w:t>2</w:t>
            </w:r>
          </w:p>
        </w:tc>
      </w:tr>
    </w:tbl>
    <w:p w14:paraId="2866DE95" w14:textId="451CB00D" w:rsidR="00D178F2" w:rsidRPr="00D178F2" w:rsidRDefault="00D178F2" w:rsidP="0017177B">
      <w:pPr>
        <w:pStyle w:val="TableFootnote"/>
        <w:numPr>
          <w:ilvl w:val="0"/>
          <w:numId w:val="38"/>
        </w:numPr>
        <w:rPr>
          <w:lang w:val="en-US"/>
        </w:rPr>
      </w:pPr>
      <w:r w:rsidRPr="00D178F2">
        <w:rPr>
          <w:lang w:val="en-US"/>
        </w:rPr>
        <w:t xml:space="preserve">Includes abdominal discomfort, gastrointestinal pain, lower abdominal pain, and  upper abdominal pain  </w:t>
      </w:r>
    </w:p>
    <w:p w14:paraId="2866DE96" w14:textId="3B370B9F" w:rsidR="00D178F2" w:rsidRPr="00D178F2" w:rsidRDefault="00D178F2" w:rsidP="0017177B">
      <w:pPr>
        <w:pStyle w:val="TableFootnote"/>
        <w:numPr>
          <w:ilvl w:val="0"/>
          <w:numId w:val="38"/>
        </w:numPr>
        <w:rPr>
          <w:lang w:val="en-US"/>
        </w:rPr>
      </w:pPr>
      <w:r w:rsidRPr="00D178F2">
        <w:rPr>
          <w:lang w:val="en-US"/>
        </w:rPr>
        <w:t xml:space="preserve">Includes gingival pain, </w:t>
      </w:r>
      <w:proofErr w:type="spellStart"/>
      <w:r w:rsidRPr="00D178F2">
        <w:rPr>
          <w:lang w:val="en-US"/>
        </w:rPr>
        <w:t>glossodynia</w:t>
      </w:r>
      <w:proofErr w:type="spellEnd"/>
      <w:r w:rsidRPr="00D178F2">
        <w:rPr>
          <w:lang w:val="en-US"/>
        </w:rPr>
        <w:t>, and oropharyngeal pain</w:t>
      </w:r>
    </w:p>
    <w:p w14:paraId="2866DE97" w14:textId="0C377038" w:rsidR="00D178F2" w:rsidRPr="00D178F2" w:rsidRDefault="00D178F2" w:rsidP="0017177B">
      <w:pPr>
        <w:pStyle w:val="TableFootnote"/>
        <w:numPr>
          <w:ilvl w:val="0"/>
          <w:numId w:val="38"/>
        </w:numPr>
        <w:rPr>
          <w:lang w:val="en-US"/>
        </w:rPr>
      </w:pPr>
      <w:r w:rsidRPr="00D178F2">
        <w:rPr>
          <w:lang w:val="en-US"/>
        </w:rPr>
        <w:t xml:space="preserve">Includes </w:t>
      </w:r>
      <w:proofErr w:type="spellStart"/>
      <w:r w:rsidRPr="00D178F2">
        <w:rPr>
          <w:lang w:val="en-US"/>
        </w:rPr>
        <w:t>aphthous</w:t>
      </w:r>
      <w:proofErr w:type="spellEnd"/>
      <w:r w:rsidRPr="00D178F2">
        <w:rPr>
          <w:lang w:val="en-US"/>
        </w:rPr>
        <w:t xml:space="preserve"> stomatitis, gingival inflammation, glossitis, and mouth ulceration</w:t>
      </w:r>
    </w:p>
    <w:p w14:paraId="2866DE98" w14:textId="46D8DD0F" w:rsidR="00D178F2" w:rsidRPr="00D178F2" w:rsidRDefault="00D178F2" w:rsidP="0017177B">
      <w:pPr>
        <w:pStyle w:val="TableFootnote"/>
        <w:numPr>
          <w:ilvl w:val="0"/>
          <w:numId w:val="38"/>
        </w:numPr>
        <w:rPr>
          <w:lang w:val="en-US"/>
        </w:rPr>
      </w:pPr>
      <w:r w:rsidRPr="00D178F2">
        <w:rPr>
          <w:lang w:val="en-US"/>
        </w:rPr>
        <w:t>Includes asthenia</w:t>
      </w:r>
      <w:r w:rsidR="006540BC">
        <w:rPr>
          <w:lang w:val="en-US"/>
        </w:rPr>
        <w:t>, fatigue, lethargy and malaise</w:t>
      </w:r>
    </w:p>
    <w:p w14:paraId="2866DE99" w14:textId="19B3FBF0" w:rsidR="00D178F2" w:rsidRPr="00D178F2" w:rsidRDefault="00D178F2" w:rsidP="0017177B">
      <w:pPr>
        <w:pStyle w:val="TableFootnote"/>
        <w:numPr>
          <w:ilvl w:val="0"/>
          <w:numId w:val="38"/>
        </w:numPr>
        <w:rPr>
          <w:lang w:val="en-US"/>
        </w:rPr>
      </w:pPr>
      <w:r w:rsidRPr="00D178F2">
        <w:rPr>
          <w:lang w:val="en-US"/>
        </w:rPr>
        <w:t>Includes arthralgia, back pain, extremity pain, musculoskeletal pain, and myalgia</w:t>
      </w:r>
    </w:p>
    <w:p w14:paraId="2866DE9A" w14:textId="5E866F3B" w:rsidR="00D178F2" w:rsidRPr="00D178F2" w:rsidRDefault="00D178F2" w:rsidP="0017177B">
      <w:pPr>
        <w:pStyle w:val="TableFootnote"/>
        <w:numPr>
          <w:ilvl w:val="0"/>
          <w:numId w:val="38"/>
        </w:numPr>
        <w:rPr>
          <w:lang w:val="en-US"/>
        </w:rPr>
      </w:pPr>
      <w:r w:rsidRPr="00D178F2">
        <w:rPr>
          <w:lang w:val="en-US"/>
        </w:rPr>
        <w:t>Includes blood creatinine increased, blood urea increased, creatinine renal clearance decreased, nephropathy toxic, renal failure, renal failu</w:t>
      </w:r>
      <w:r w:rsidR="006540BC">
        <w:rPr>
          <w:lang w:val="en-US"/>
        </w:rPr>
        <w:t>re acute, and renal impairment</w:t>
      </w:r>
    </w:p>
    <w:p w14:paraId="2866DE9B" w14:textId="3166988C" w:rsidR="00D178F2" w:rsidRPr="00D178F2" w:rsidRDefault="00D178F2" w:rsidP="0017177B">
      <w:pPr>
        <w:pStyle w:val="TableFootnote"/>
        <w:numPr>
          <w:ilvl w:val="0"/>
          <w:numId w:val="38"/>
        </w:numPr>
        <w:rPr>
          <w:lang w:val="en-US"/>
        </w:rPr>
      </w:pPr>
      <w:r w:rsidRPr="00D178F2">
        <w:rPr>
          <w:lang w:val="en-US"/>
        </w:rPr>
        <w:t>Includes erythema, erythematous rash</w:t>
      </w:r>
      <w:r w:rsidRPr="00125171">
        <w:t>,</w:t>
      </w:r>
      <w:r w:rsidRPr="00D178F2">
        <w:rPr>
          <w:lang w:val="en-US"/>
        </w:rPr>
        <w:t xml:space="preserve"> genital rash, macular rash, </w:t>
      </w:r>
      <w:proofErr w:type="spellStart"/>
      <w:r w:rsidRPr="00D178F2">
        <w:rPr>
          <w:lang w:val="en-US"/>
        </w:rPr>
        <w:t>maculo-papular</w:t>
      </w:r>
      <w:proofErr w:type="spellEnd"/>
      <w:r w:rsidRPr="00D178F2">
        <w:rPr>
          <w:lang w:val="en-US"/>
        </w:rPr>
        <w:t xml:space="preserve"> rash, , </w:t>
      </w:r>
      <w:proofErr w:type="spellStart"/>
      <w:r w:rsidRPr="00D178F2">
        <w:rPr>
          <w:lang w:val="en-US"/>
        </w:rPr>
        <w:t>papular</w:t>
      </w:r>
      <w:proofErr w:type="spellEnd"/>
      <w:r w:rsidRPr="00D178F2">
        <w:rPr>
          <w:lang w:val="en-US"/>
        </w:rPr>
        <w:t xml:space="preserve"> rash, pruritic rash,</w:t>
      </w:r>
      <w:r w:rsidR="006540BC">
        <w:rPr>
          <w:lang w:val="en-US"/>
        </w:rPr>
        <w:t xml:space="preserve"> pustular rash, and septic rash</w:t>
      </w:r>
    </w:p>
    <w:p w14:paraId="2866DE9C" w14:textId="0E736377" w:rsidR="00D178F2" w:rsidRPr="00D178F2" w:rsidRDefault="00D178F2" w:rsidP="0017177B">
      <w:pPr>
        <w:pStyle w:val="TableFootnote"/>
        <w:numPr>
          <w:ilvl w:val="0"/>
          <w:numId w:val="38"/>
        </w:numPr>
        <w:rPr>
          <w:lang w:val="en-US"/>
        </w:rPr>
      </w:pPr>
      <w:r w:rsidRPr="00D178F2">
        <w:rPr>
          <w:lang w:val="en-US"/>
        </w:rPr>
        <w:t xml:space="preserve">Includes </w:t>
      </w:r>
      <w:proofErr w:type="spellStart"/>
      <w:r w:rsidRPr="00D178F2">
        <w:rPr>
          <w:lang w:val="en-US"/>
        </w:rPr>
        <w:t>haemorrhagic</w:t>
      </w:r>
      <w:proofErr w:type="spellEnd"/>
      <w:r w:rsidRPr="00D178F2">
        <w:rPr>
          <w:lang w:val="en-US"/>
        </w:rPr>
        <w:t xml:space="preserve"> </w:t>
      </w:r>
      <w:proofErr w:type="spellStart"/>
      <w:r w:rsidRPr="00D178F2">
        <w:rPr>
          <w:lang w:val="en-US"/>
        </w:rPr>
        <w:t>diarrh</w:t>
      </w:r>
      <w:r w:rsidR="000A4A02">
        <w:rPr>
          <w:lang w:val="en-US"/>
        </w:rPr>
        <w:t>o</w:t>
      </w:r>
      <w:r w:rsidRPr="00D178F2">
        <w:rPr>
          <w:lang w:val="en-US"/>
        </w:rPr>
        <w:t>ea</w:t>
      </w:r>
      <w:proofErr w:type="spellEnd"/>
      <w:r w:rsidRPr="00D178F2">
        <w:rPr>
          <w:lang w:val="en-US"/>
        </w:rPr>
        <w:t xml:space="preserve">, epistaxis, gastric </w:t>
      </w:r>
      <w:proofErr w:type="spellStart"/>
      <w:r w:rsidRPr="00D178F2">
        <w:rPr>
          <w:lang w:val="en-US"/>
        </w:rPr>
        <w:t>haemorrhage</w:t>
      </w:r>
      <w:proofErr w:type="spellEnd"/>
      <w:r w:rsidRPr="00D178F2">
        <w:rPr>
          <w:lang w:val="en-US"/>
        </w:rPr>
        <w:t xml:space="preserve">, </w:t>
      </w:r>
      <w:proofErr w:type="spellStart"/>
      <w:r w:rsidRPr="00D178F2">
        <w:rPr>
          <w:lang w:val="en-US"/>
        </w:rPr>
        <w:t>haemarthrosis</w:t>
      </w:r>
      <w:proofErr w:type="spellEnd"/>
      <w:r w:rsidRPr="00D178F2">
        <w:rPr>
          <w:lang w:val="en-US"/>
        </w:rPr>
        <w:t xml:space="preserve">, </w:t>
      </w:r>
      <w:proofErr w:type="spellStart"/>
      <w:r w:rsidRPr="00D178F2">
        <w:rPr>
          <w:lang w:val="en-US"/>
        </w:rPr>
        <w:t>haematoma</w:t>
      </w:r>
      <w:proofErr w:type="spellEnd"/>
      <w:r w:rsidRPr="00D178F2">
        <w:rPr>
          <w:lang w:val="en-US"/>
        </w:rPr>
        <w:t xml:space="preserve">, </w:t>
      </w:r>
      <w:proofErr w:type="spellStart"/>
      <w:r w:rsidRPr="00D178F2">
        <w:rPr>
          <w:lang w:val="en-US"/>
        </w:rPr>
        <w:t>haematuria</w:t>
      </w:r>
      <w:proofErr w:type="spellEnd"/>
      <w:r w:rsidRPr="00D178F2">
        <w:rPr>
          <w:lang w:val="en-US"/>
        </w:rPr>
        <w:t xml:space="preserve">, </w:t>
      </w:r>
      <w:proofErr w:type="spellStart"/>
      <w:r w:rsidRPr="00D178F2">
        <w:rPr>
          <w:lang w:val="en-US"/>
        </w:rPr>
        <w:t>haemoptysis</w:t>
      </w:r>
      <w:proofErr w:type="spellEnd"/>
      <w:r w:rsidRPr="00D178F2">
        <w:rPr>
          <w:lang w:val="en-US"/>
        </w:rPr>
        <w:t xml:space="preserve">, lip </w:t>
      </w:r>
      <w:proofErr w:type="spellStart"/>
      <w:r w:rsidRPr="00D178F2">
        <w:rPr>
          <w:lang w:val="en-US"/>
        </w:rPr>
        <w:t>haemorrhage</w:t>
      </w:r>
      <w:proofErr w:type="spellEnd"/>
      <w:r w:rsidRPr="00D178F2">
        <w:rPr>
          <w:lang w:val="en-US"/>
        </w:rPr>
        <w:t xml:space="preserve">, renal </w:t>
      </w:r>
      <w:proofErr w:type="spellStart"/>
      <w:r w:rsidRPr="00D178F2">
        <w:rPr>
          <w:lang w:val="en-US"/>
        </w:rPr>
        <w:t>hae</w:t>
      </w:r>
      <w:r w:rsidR="006540BC">
        <w:rPr>
          <w:lang w:val="en-US"/>
        </w:rPr>
        <w:t>matoma</w:t>
      </w:r>
      <w:proofErr w:type="spellEnd"/>
      <w:r w:rsidR="006540BC">
        <w:rPr>
          <w:lang w:val="en-US"/>
        </w:rPr>
        <w:t xml:space="preserve">, and scrotal </w:t>
      </w:r>
      <w:proofErr w:type="spellStart"/>
      <w:r w:rsidR="006540BC">
        <w:rPr>
          <w:lang w:val="en-US"/>
        </w:rPr>
        <w:t>haematocele</w:t>
      </w:r>
      <w:proofErr w:type="spellEnd"/>
    </w:p>
    <w:p w14:paraId="22E57AF1" w14:textId="1F39FC66" w:rsidR="00505C3C" w:rsidRDefault="00505C3C" w:rsidP="00505C3C">
      <w:pPr>
        <w:pStyle w:val="Caption"/>
      </w:pPr>
      <w:r>
        <w:t>Table </w:t>
      </w:r>
      <w:r w:rsidR="002C196B">
        <w:rPr>
          <w:noProof/>
        </w:rPr>
        <w:fldChar w:fldCharType="begin"/>
      </w:r>
      <w:r w:rsidR="002C196B">
        <w:rPr>
          <w:noProof/>
        </w:rPr>
        <w:instrText xml:space="preserve"> SEQ Table \* ARABIC </w:instrText>
      </w:r>
      <w:r w:rsidR="002C196B">
        <w:rPr>
          <w:noProof/>
        </w:rPr>
        <w:fldChar w:fldCharType="separate"/>
      </w:r>
      <w:r w:rsidR="008D1089">
        <w:rPr>
          <w:noProof/>
        </w:rPr>
        <w:t>6</w:t>
      </w:r>
      <w:r w:rsidR="002C196B">
        <w:rPr>
          <w:noProof/>
        </w:rPr>
        <w:fldChar w:fldCharType="end"/>
      </w:r>
      <w:r>
        <w:tab/>
      </w:r>
      <w:r w:rsidRPr="00D178F2">
        <w:t xml:space="preserve">Grade 3-4 Laboratory Abnormalities in </w:t>
      </w:r>
      <w:r w:rsidR="006540BC">
        <w:sym w:font="Symbol" w:char="F0B3"/>
      </w:r>
      <w:r w:rsidRPr="00D178F2">
        <w:t xml:space="preserve"> 3% of Patients in the LENVIMA + </w:t>
      </w:r>
      <w:proofErr w:type="spellStart"/>
      <w:r w:rsidRPr="00D178F2">
        <w:t>Everolimus</w:t>
      </w:r>
      <w:proofErr w:type="spellEnd"/>
      <w:r w:rsidRPr="00D178F2">
        <w:t xml:space="preserve"> </w:t>
      </w:r>
      <w:proofErr w:type="spellStart"/>
      <w:r w:rsidRPr="00D178F2">
        <w:t>Arm</w:t>
      </w:r>
      <w:r w:rsidRPr="00D178F2">
        <w:rPr>
          <w:vertAlign w:val="superscript"/>
        </w:rPr>
        <w:t>a</w:t>
      </w:r>
      <w:proofErr w:type="gramStart"/>
      <w:r w:rsidRPr="00D178F2">
        <w:rPr>
          <w:vertAlign w:val="superscript"/>
        </w:rPr>
        <w:t>,b</w:t>
      </w:r>
      <w:proofErr w:type="spellEnd"/>
      <w:proofErr w:type="gramEnd"/>
    </w:p>
    <w:tbl>
      <w:tblPr>
        <w:tblW w:w="8897" w:type="dxa"/>
        <w:jc w:val="center"/>
        <w:tblLayout w:type="fixed"/>
        <w:tblLook w:val="0000" w:firstRow="0" w:lastRow="0" w:firstColumn="0" w:lastColumn="0" w:noHBand="0" w:noVBand="0"/>
      </w:tblPr>
      <w:tblGrid>
        <w:gridCol w:w="4499"/>
        <w:gridCol w:w="2212"/>
        <w:gridCol w:w="2186"/>
      </w:tblGrid>
      <w:tr w:rsidR="00D178F2" w:rsidRPr="00D178F2" w14:paraId="2866DEA7" w14:textId="77777777" w:rsidTr="00066BB0">
        <w:trPr>
          <w:trHeight w:val="845"/>
          <w:tblHeader/>
          <w:jc w:val="center"/>
        </w:trPr>
        <w:tc>
          <w:tcPr>
            <w:tcW w:w="4499" w:type="dxa"/>
            <w:vMerge w:val="restart"/>
            <w:tcBorders>
              <w:top w:val="single" w:sz="4" w:space="0" w:color="auto"/>
              <w:left w:val="single" w:sz="4" w:space="0" w:color="auto"/>
              <w:right w:val="single" w:sz="4" w:space="0" w:color="auto"/>
            </w:tcBorders>
            <w:shd w:val="clear" w:color="auto" w:fill="auto"/>
            <w:vAlign w:val="center"/>
          </w:tcPr>
          <w:p w14:paraId="2866DEA0" w14:textId="77777777" w:rsidR="00D178F2" w:rsidRPr="00D178F2" w:rsidRDefault="00D178F2" w:rsidP="00C54A3F">
            <w:pPr>
              <w:pStyle w:val="TableHeading"/>
            </w:pPr>
            <w:r w:rsidRPr="00D178F2">
              <w:t xml:space="preserve">Laboratory Abnormality </w:t>
            </w:r>
          </w:p>
        </w:tc>
        <w:tc>
          <w:tcPr>
            <w:tcW w:w="2212" w:type="dxa"/>
            <w:tcBorders>
              <w:top w:val="single" w:sz="4" w:space="0" w:color="auto"/>
              <w:left w:val="single" w:sz="4" w:space="0" w:color="auto"/>
              <w:bottom w:val="single" w:sz="4" w:space="0" w:color="auto"/>
              <w:right w:val="single" w:sz="4" w:space="0" w:color="auto"/>
            </w:tcBorders>
            <w:vAlign w:val="bottom"/>
          </w:tcPr>
          <w:p w14:paraId="2866DEA1" w14:textId="77777777" w:rsidR="00D178F2" w:rsidRPr="00D178F2" w:rsidRDefault="00D178F2" w:rsidP="00C54A3F">
            <w:pPr>
              <w:pStyle w:val="TableHeading"/>
            </w:pPr>
            <w:r w:rsidRPr="00D178F2">
              <w:t>LENVIMA 18 mg</w:t>
            </w:r>
          </w:p>
          <w:p w14:paraId="2866DEA2" w14:textId="77777777" w:rsidR="00D178F2" w:rsidRPr="00D178F2" w:rsidRDefault="00D178F2" w:rsidP="00C54A3F">
            <w:pPr>
              <w:pStyle w:val="TableHeading"/>
            </w:pPr>
            <w:r w:rsidRPr="00D178F2">
              <w:t xml:space="preserve">+ </w:t>
            </w:r>
            <w:proofErr w:type="spellStart"/>
            <w:r w:rsidRPr="00D178F2">
              <w:t>Everolimus</w:t>
            </w:r>
            <w:proofErr w:type="spellEnd"/>
            <w:r w:rsidRPr="00D178F2">
              <w:t xml:space="preserve"> 5 mg</w:t>
            </w:r>
          </w:p>
          <w:p w14:paraId="2866DEA3" w14:textId="77777777" w:rsidR="00D178F2" w:rsidRPr="00D178F2" w:rsidRDefault="00D178F2" w:rsidP="00C54A3F">
            <w:pPr>
              <w:pStyle w:val="TableHeading"/>
            </w:pPr>
            <w:r w:rsidRPr="00D178F2">
              <w:t>N=62</w:t>
            </w:r>
          </w:p>
        </w:tc>
        <w:tc>
          <w:tcPr>
            <w:tcW w:w="2186" w:type="dxa"/>
            <w:tcBorders>
              <w:top w:val="single" w:sz="4" w:space="0" w:color="auto"/>
              <w:left w:val="single" w:sz="4" w:space="0" w:color="auto"/>
              <w:bottom w:val="single" w:sz="4" w:space="0" w:color="auto"/>
              <w:right w:val="single" w:sz="4" w:space="0" w:color="auto"/>
            </w:tcBorders>
          </w:tcPr>
          <w:p w14:paraId="2866DEA4" w14:textId="77777777" w:rsidR="00D178F2" w:rsidRPr="00D178F2" w:rsidRDefault="00D178F2" w:rsidP="00C54A3F">
            <w:pPr>
              <w:pStyle w:val="TableHeading"/>
            </w:pPr>
            <w:proofErr w:type="spellStart"/>
            <w:r w:rsidRPr="00D178F2">
              <w:t>Everolimus</w:t>
            </w:r>
            <w:proofErr w:type="spellEnd"/>
            <w:r w:rsidRPr="00D178F2">
              <w:t xml:space="preserve"> 10 mg</w:t>
            </w:r>
          </w:p>
          <w:p w14:paraId="2866DEA5" w14:textId="77777777" w:rsidR="00D178F2" w:rsidRPr="00D178F2" w:rsidRDefault="00D178F2" w:rsidP="00C54A3F">
            <w:pPr>
              <w:pStyle w:val="TableHeading"/>
            </w:pPr>
          </w:p>
          <w:p w14:paraId="2866DEA6" w14:textId="77777777" w:rsidR="00D178F2" w:rsidRPr="00D178F2" w:rsidRDefault="00D178F2" w:rsidP="00C54A3F">
            <w:pPr>
              <w:pStyle w:val="TableHeading"/>
            </w:pPr>
            <w:r w:rsidRPr="00D178F2">
              <w:t>N=50</w:t>
            </w:r>
          </w:p>
        </w:tc>
      </w:tr>
      <w:tr w:rsidR="00D178F2" w:rsidRPr="00D178F2" w14:paraId="2866DEAD" w14:textId="77777777" w:rsidTr="00D178F2">
        <w:trPr>
          <w:trHeight w:val="168"/>
          <w:tblHeader/>
          <w:jc w:val="center"/>
        </w:trPr>
        <w:tc>
          <w:tcPr>
            <w:tcW w:w="4499" w:type="dxa"/>
            <w:vMerge/>
            <w:tcBorders>
              <w:left w:val="single" w:sz="4" w:space="0" w:color="auto"/>
              <w:bottom w:val="single" w:sz="4" w:space="0" w:color="auto"/>
              <w:right w:val="single" w:sz="4" w:space="0" w:color="auto"/>
            </w:tcBorders>
            <w:shd w:val="clear" w:color="auto" w:fill="auto"/>
            <w:vAlign w:val="bottom"/>
          </w:tcPr>
          <w:p w14:paraId="2866DEA8" w14:textId="77777777" w:rsidR="00D178F2" w:rsidRPr="00D178F2" w:rsidRDefault="00D178F2" w:rsidP="00C54A3F">
            <w:pPr>
              <w:pStyle w:val="TableHeading"/>
            </w:pPr>
          </w:p>
        </w:tc>
        <w:tc>
          <w:tcPr>
            <w:tcW w:w="2212" w:type="dxa"/>
            <w:tcBorders>
              <w:top w:val="single" w:sz="4" w:space="0" w:color="auto"/>
              <w:left w:val="single" w:sz="4" w:space="0" w:color="auto"/>
              <w:bottom w:val="single" w:sz="4" w:space="0" w:color="auto"/>
              <w:right w:val="single" w:sz="4" w:space="0" w:color="auto"/>
            </w:tcBorders>
            <w:vAlign w:val="bottom"/>
          </w:tcPr>
          <w:p w14:paraId="2866DEA9" w14:textId="77777777" w:rsidR="00D178F2" w:rsidRPr="00D178F2" w:rsidRDefault="00D178F2" w:rsidP="00C54A3F">
            <w:pPr>
              <w:pStyle w:val="TableHeading"/>
            </w:pPr>
            <w:r w:rsidRPr="00D178F2">
              <w:t>Grades 3-4</w:t>
            </w:r>
          </w:p>
          <w:p w14:paraId="2866DEAA" w14:textId="77777777" w:rsidR="00D178F2" w:rsidRPr="00D178F2" w:rsidRDefault="00D178F2" w:rsidP="00C54A3F">
            <w:pPr>
              <w:pStyle w:val="TableHeading"/>
            </w:pPr>
            <w:r w:rsidRPr="00D178F2">
              <w:t>(%)</w:t>
            </w:r>
          </w:p>
        </w:tc>
        <w:tc>
          <w:tcPr>
            <w:tcW w:w="2186" w:type="dxa"/>
            <w:tcBorders>
              <w:top w:val="single" w:sz="4" w:space="0" w:color="auto"/>
              <w:left w:val="single" w:sz="4" w:space="0" w:color="auto"/>
              <w:bottom w:val="single" w:sz="4" w:space="0" w:color="auto"/>
              <w:right w:val="single" w:sz="4" w:space="0" w:color="auto"/>
            </w:tcBorders>
          </w:tcPr>
          <w:p w14:paraId="2866DEAB" w14:textId="77777777" w:rsidR="00D178F2" w:rsidRPr="00D178F2" w:rsidRDefault="00D178F2" w:rsidP="00C54A3F">
            <w:pPr>
              <w:pStyle w:val="TableHeading"/>
            </w:pPr>
            <w:r w:rsidRPr="00D178F2">
              <w:t>Grades 3-4</w:t>
            </w:r>
          </w:p>
          <w:p w14:paraId="2866DEAC" w14:textId="77777777" w:rsidR="00D178F2" w:rsidRPr="00D178F2" w:rsidRDefault="00D178F2" w:rsidP="00C54A3F">
            <w:pPr>
              <w:pStyle w:val="TableHeading"/>
            </w:pPr>
            <w:r w:rsidRPr="00D178F2">
              <w:t>(%)</w:t>
            </w:r>
          </w:p>
        </w:tc>
      </w:tr>
      <w:tr w:rsidR="00D178F2" w:rsidRPr="00D178F2" w14:paraId="2866DEAF" w14:textId="77777777" w:rsidTr="00D178F2">
        <w:trPr>
          <w:jc w:val="center"/>
        </w:trPr>
        <w:tc>
          <w:tcPr>
            <w:tcW w:w="8897" w:type="dxa"/>
            <w:gridSpan w:val="3"/>
            <w:tcBorders>
              <w:top w:val="single" w:sz="4" w:space="0" w:color="auto"/>
              <w:left w:val="single" w:sz="4" w:space="0" w:color="auto"/>
              <w:bottom w:val="single" w:sz="4" w:space="0" w:color="auto"/>
              <w:right w:val="single" w:sz="4" w:space="0" w:color="auto"/>
            </w:tcBorders>
            <w:shd w:val="clear" w:color="auto" w:fill="auto"/>
          </w:tcPr>
          <w:p w14:paraId="2866DEAE" w14:textId="77777777" w:rsidR="00D178F2" w:rsidRPr="00C54A3F" w:rsidRDefault="00D178F2" w:rsidP="00C54A3F">
            <w:pPr>
              <w:pStyle w:val="TableHeading"/>
            </w:pPr>
            <w:r w:rsidRPr="00C54A3F">
              <w:t>Chemistry</w:t>
            </w:r>
          </w:p>
        </w:tc>
      </w:tr>
      <w:tr w:rsidR="00D178F2" w:rsidRPr="00D178F2" w14:paraId="2866DEB3"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B0" w14:textId="4788D6DB" w:rsidR="00D178F2" w:rsidRPr="00D178F2" w:rsidRDefault="00D178F2" w:rsidP="00C54A3F">
            <w:pPr>
              <w:pStyle w:val="TableText"/>
            </w:pPr>
            <w:r w:rsidRPr="00D178F2">
              <w:t>Aspartate aminotransferase (AST) increased</w:t>
            </w:r>
          </w:p>
        </w:tc>
        <w:tc>
          <w:tcPr>
            <w:tcW w:w="2212" w:type="dxa"/>
            <w:tcBorders>
              <w:top w:val="single" w:sz="4" w:space="0" w:color="auto"/>
              <w:left w:val="single" w:sz="4" w:space="0" w:color="auto"/>
              <w:bottom w:val="single" w:sz="4" w:space="0" w:color="auto"/>
              <w:right w:val="single" w:sz="4" w:space="0" w:color="auto"/>
            </w:tcBorders>
          </w:tcPr>
          <w:p w14:paraId="2866DEB1" w14:textId="77777777" w:rsidR="00D178F2" w:rsidRPr="00D178F2" w:rsidRDefault="00D178F2" w:rsidP="00C54A3F">
            <w:pPr>
              <w:pStyle w:val="TableCentre"/>
              <w:rPr>
                <w:lang w:val="en-US"/>
              </w:rPr>
            </w:pPr>
            <w:r w:rsidRPr="00D178F2">
              <w:rPr>
                <w:lang w:val="en-US"/>
              </w:rPr>
              <w:t>3</w:t>
            </w:r>
          </w:p>
        </w:tc>
        <w:tc>
          <w:tcPr>
            <w:tcW w:w="2186" w:type="dxa"/>
            <w:tcBorders>
              <w:top w:val="single" w:sz="4" w:space="0" w:color="auto"/>
              <w:left w:val="single" w:sz="4" w:space="0" w:color="auto"/>
              <w:bottom w:val="single" w:sz="4" w:space="0" w:color="auto"/>
              <w:right w:val="single" w:sz="4" w:space="0" w:color="auto"/>
            </w:tcBorders>
          </w:tcPr>
          <w:p w14:paraId="2866DEB2" w14:textId="77777777" w:rsidR="00D178F2" w:rsidRPr="00D178F2" w:rsidRDefault="00D178F2" w:rsidP="00C54A3F">
            <w:pPr>
              <w:pStyle w:val="TableCentre"/>
              <w:rPr>
                <w:lang w:val="en-US"/>
              </w:rPr>
            </w:pPr>
            <w:r w:rsidRPr="00D178F2">
              <w:rPr>
                <w:lang w:val="en-US"/>
              </w:rPr>
              <w:t>0</w:t>
            </w:r>
          </w:p>
        </w:tc>
      </w:tr>
      <w:tr w:rsidR="00D178F2" w:rsidRPr="00D178F2" w14:paraId="2866DEB7"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B4" w14:textId="77777777" w:rsidR="00D178F2" w:rsidRPr="00D178F2" w:rsidRDefault="00D178F2" w:rsidP="00C54A3F">
            <w:pPr>
              <w:pStyle w:val="TableText"/>
            </w:pPr>
            <w:r w:rsidRPr="00D178F2">
              <w:t>Alanine aminotransferase (ALT) increased</w:t>
            </w:r>
          </w:p>
        </w:tc>
        <w:tc>
          <w:tcPr>
            <w:tcW w:w="2212" w:type="dxa"/>
            <w:tcBorders>
              <w:top w:val="single" w:sz="4" w:space="0" w:color="auto"/>
              <w:left w:val="single" w:sz="4" w:space="0" w:color="auto"/>
              <w:bottom w:val="single" w:sz="4" w:space="0" w:color="auto"/>
              <w:right w:val="single" w:sz="4" w:space="0" w:color="auto"/>
            </w:tcBorders>
          </w:tcPr>
          <w:p w14:paraId="2866DEB5" w14:textId="77777777" w:rsidR="00D178F2" w:rsidRPr="00D178F2" w:rsidRDefault="00D178F2" w:rsidP="00C54A3F">
            <w:pPr>
              <w:pStyle w:val="TableCentre"/>
              <w:rPr>
                <w:lang w:val="en-US"/>
              </w:rPr>
            </w:pPr>
            <w:r w:rsidRPr="00D178F2">
              <w:rPr>
                <w:lang w:val="en-US"/>
              </w:rPr>
              <w:t>3</w:t>
            </w:r>
          </w:p>
        </w:tc>
        <w:tc>
          <w:tcPr>
            <w:tcW w:w="2186" w:type="dxa"/>
            <w:tcBorders>
              <w:top w:val="single" w:sz="4" w:space="0" w:color="auto"/>
              <w:left w:val="single" w:sz="4" w:space="0" w:color="auto"/>
              <w:bottom w:val="single" w:sz="4" w:space="0" w:color="auto"/>
              <w:right w:val="single" w:sz="4" w:space="0" w:color="auto"/>
            </w:tcBorders>
          </w:tcPr>
          <w:p w14:paraId="2866DEB6" w14:textId="77777777" w:rsidR="00D178F2" w:rsidRPr="00D178F2" w:rsidRDefault="00D178F2" w:rsidP="00C54A3F">
            <w:pPr>
              <w:pStyle w:val="TableCentre"/>
              <w:rPr>
                <w:lang w:val="en-US"/>
              </w:rPr>
            </w:pPr>
            <w:r w:rsidRPr="00D178F2">
              <w:rPr>
                <w:lang w:val="en-US"/>
              </w:rPr>
              <w:t>2</w:t>
            </w:r>
          </w:p>
        </w:tc>
      </w:tr>
      <w:tr w:rsidR="00D178F2" w:rsidRPr="00D178F2" w14:paraId="2866DEBB"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B8" w14:textId="77777777" w:rsidR="00D178F2" w:rsidRPr="00D178F2" w:rsidRDefault="00D178F2" w:rsidP="00C54A3F">
            <w:pPr>
              <w:pStyle w:val="TableText"/>
            </w:pPr>
            <w:r w:rsidRPr="00D178F2">
              <w:t>Alkaline phosphatase increased</w:t>
            </w:r>
          </w:p>
        </w:tc>
        <w:tc>
          <w:tcPr>
            <w:tcW w:w="2212" w:type="dxa"/>
            <w:tcBorders>
              <w:top w:val="single" w:sz="4" w:space="0" w:color="auto"/>
              <w:left w:val="single" w:sz="4" w:space="0" w:color="auto"/>
              <w:bottom w:val="single" w:sz="4" w:space="0" w:color="auto"/>
              <w:right w:val="single" w:sz="4" w:space="0" w:color="auto"/>
            </w:tcBorders>
          </w:tcPr>
          <w:p w14:paraId="2866DEB9" w14:textId="77777777" w:rsidR="00D178F2" w:rsidRPr="00D178F2" w:rsidRDefault="00D178F2" w:rsidP="00C54A3F">
            <w:pPr>
              <w:pStyle w:val="TableCentre"/>
              <w:rPr>
                <w:lang w:val="en-US"/>
              </w:rPr>
            </w:pPr>
            <w:r w:rsidRPr="00D178F2">
              <w:rPr>
                <w:lang w:val="en-US"/>
              </w:rPr>
              <w:t>3</w:t>
            </w:r>
          </w:p>
        </w:tc>
        <w:tc>
          <w:tcPr>
            <w:tcW w:w="2186" w:type="dxa"/>
            <w:tcBorders>
              <w:top w:val="single" w:sz="4" w:space="0" w:color="auto"/>
              <w:left w:val="single" w:sz="4" w:space="0" w:color="auto"/>
              <w:bottom w:val="single" w:sz="4" w:space="0" w:color="auto"/>
              <w:right w:val="single" w:sz="4" w:space="0" w:color="auto"/>
            </w:tcBorders>
          </w:tcPr>
          <w:p w14:paraId="2866DEBA" w14:textId="77777777" w:rsidR="00D178F2" w:rsidRPr="00D178F2" w:rsidRDefault="00D178F2" w:rsidP="00C54A3F">
            <w:pPr>
              <w:pStyle w:val="TableCentre"/>
              <w:rPr>
                <w:lang w:val="en-US"/>
              </w:rPr>
            </w:pPr>
            <w:r w:rsidRPr="00D178F2">
              <w:rPr>
                <w:lang w:val="en-US"/>
              </w:rPr>
              <w:t>0</w:t>
            </w:r>
          </w:p>
        </w:tc>
      </w:tr>
      <w:tr w:rsidR="00D178F2" w:rsidRPr="00D178F2" w14:paraId="2866DEBF"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BC" w14:textId="77777777" w:rsidR="00D178F2" w:rsidRPr="00D178F2" w:rsidRDefault="00D178F2" w:rsidP="00C54A3F">
            <w:pPr>
              <w:pStyle w:val="TableText"/>
            </w:pPr>
            <w:r w:rsidRPr="00D178F2">
              <w:t>Hyperkalaemia</w:t>
            </w:r>
          </w:p>
        </w:tc>
        <w:tc>
          <w:tcPr>
            <w:tcW w:w="2212" w:type="dxa"/>
            <w:tcBorders>
              <w:top w:val="single" w:sz="4" w:space="0" w:color="auto"/>
              <w:left w:val="single" w:sz="4" w:space="0" w:color="auto"/>
              <w:bottom w:val="single" w:sz="4" w:space="0" w:color="auto"/>
              <w:right w:val="single" w:sz="4" w:space="0" w:color="auto"/>
            </w:tcBorders>
          </w:tcPr>
          <w:p w14:paraId="2866DEBD" w14:textId="77777777" w:rsidR="00D178F2" w:rsidRPr="00D178F2" w:rsidRDefault="00D178F2" w:rsidP="00C54A3F">
            <w:pPr>
              <w:pStyle w:val="TableCentre"/>
              <w:rPr>
                <w:lang w:val="en-US"/>
              </w:rPr>
            </w:pPr>
            <w:r w:rsidRPr="00D178F2">
              <w:rPr>
                <w:lang w:val="en-US"/>
              </w:rPr>
              <w:t>6</w:t>
            </w:r>
          </w:p>
        </w:tc>
        <w:tc>
          <w:tcPr>
            <w:tcW w:w="2186" w:type="dxa"/>
            <w:tcBorders>
              <w:top w:val="single" w:sz="4" w:space="0" w:color="auto"/>
              <w:left w:val="single" w:sz="4" w:space="0" w:color="auto"/>
              <w:bottom w:val="single" w:sz="4" w:space="0" w:color="auto"/>
              <w:right w:val="single" w:sz="4" w:space="0" w:color="auto"/>
            </w:tcBorders>
          </w:tcPr>
          <w:p w14:paraId="2866DEBE" w14:textId="77777777" w:rsidR="00D178F2" w:rsidRPr="00D178F2" w:rsidRDefault="00D178F2" w:rsidP="00C54A3F">
            <w:pPr>
              <w:pStyle w:val="TableCentre"/>
              <w:rPr>
                <w:lang w:val="en-US"/>
              </w:rPr>
            </w:pPr>
            <w:r w:rsidRPr="00D178F2">
              <w:rPr>
                <w:lang w:val="en-US"/>
              </w:rPr>
              <w:t>2</w:t>
            </w:r>
          </w:p>
        </w:tc>
      </w:tr>
      <w:tr w:rsidR="00D178F2" w:rsidRPr="00D178F2" w14:paraId="2866DEC3"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C0" w14:textId="77777777" w:rsidR="00D178F2" w:rsidRPr="00D178F2" w:rsidRDefault="00D178F2" w:rsidP="00C54A3F">
            <w:pPr>
              <w:pStyle w:val="TableText"/>
            </w:pPr>
            <w:r w:rsidRPr="00D178F2">
              <w:t>Hypokalaemia</w:t>
            </w:r>
          </w:p>
        </w:tc>
        <w:tc>
          <w:tcPr>
            <w:tcW w:w="2212" w:type="dxa"/>
            <w:tcBorders>
              <w:top w:val="single" w:sz="4" w:space="0" w:color="auto"/>
              <w:left w:val="single" w:sz="4" w:space="0" w:color="auto"/>
              <w:bottom w:val="single" w:sz="4" w:space="0" w:color="auto"/>
              <w:right w:val="single" w:sz="4" w:space="0" w:color="auto"/>
            </w:tcBorders>
          </w:tcPr>
          <w:p w14:paraId="2866DEC1" w14:textId="77777777" w:rsidR="00D178F2" w:rsidRPr="00D178F2" w:rsidRDefault="00D178F2" w:rsidP="00C54A3F">
            <w:pPr>
              <w:pStyle w:val="TableCentre"/>
              <w:rPr>
                <w:lang w:val="en-US"/>
              </w:rPr>
            </w:pPr>
            <w:r w:rsidRPr="00D178F2">
              <w:rPr>
                <w:lang w:val="en-US"/>
              </w:rPr>
              <w:t>6</w:t>
            </w:r>
          </w:p>
        </w:tc>
        <w:tc>
          <w:tcPr>
            <w:tcW w:w="2186" w:type="dxa"/>
            <w:tcBorders>
              <w:top w:val="single" w:sz="4" w:space="0" w:color="auto"/>
              <w:left w:val="single" w:sz="4" w:space="0" w:color="auto"/>
              <w:bottom w:val="single" w:sz="4" w:space="0" w:color="auto"/>
              <w:right w:val="single" w:sz="4" w:space="0" w:color="auto"/>
            </w:tcBorders>
          </w:tcPr>
          <w:p w14:paraId="2866DEC2" w14:textId="77777777" w:rsidR="00D178F2" w:rsidRPr="00D178F2" w:rsidRDefault="00D178F2" w:rsidP="00C54A3F">
            <w:pPr>
              <w:pStyle w:val="TableCentre"/>
              <w:rPr>
                <w:lang w:val="en-US"/>
              </w:rPr>
            </w:pPr>
            <w:r w:rsidRPr="00D178F2">
              <w:rPr>
                <w:lang w:val="en-US"/>
              </w:rPr>
              <w:t>2</w:t>
            </w:r>
          </w:p>
        </w:tc>
      </w:tr>
      <w:tr w:rsidR="00D178F2" w:rsidRPr="00D178F2" w14:paraId="2866DEC7"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C4" w14:textId="77777777" w:rsidR="00D178F2" w:rsidRPr="00D178F2" w:rsidRDefault="00D178F2" w:rsidP="00C54A3F">
            <w:pPr>
              <w:pStyle w:val="TableText"/>
            </w:pPr>
            <w:r w:rsidRPr="00D178F2">
              <w:t>Hyponatraemia</w:t>
            </w:r>
          </w:p>
        </w:tc>
        <w:tc>
          <w:tcPr>
            <w:tcW w:w="2212" w:type="dxa"/>
            <w:tcBorders>
              <w:top w:val="single" w:sz="4" w:space="0" w:color="auto"/>
              <w:left w:val="single" w:sz="4" w:space="0" w:color="auto"/>
              <w:bottom w:val="single" w:sz="4" w:space="0" w:color="auto"/>
              <w:right w:val="single" w:sz="4" w:space="0" w:color="auto"/>
            </w:tcBorders>
          </w:tcPr>
          <w:p w14:paraId="2866DEC5" w14:textId="77777777" w:rsidR="00D178F2" w:rsidRPr="00D178F2" w:rsidRDefault="00D178F2" w:rsidP="00C54A3F">
            <w:pPr>
              <w:pStyle w:val="TableCentre"/>
              <w:rPr>
                <w:lang w:val="en-US"/>
              </w:rPr>
            </w:pPr>
            <w:r w:rsidRPr="00D178F2">
              <w:rPr>
                <w:lang w:val="en-US"/>
              </w:rPr>
              <w:t>11</w:t>
            </w:r>
          </w:p>
        </w:tc>
        <w:tc>
          <w:tcPr>
            <w:tcW w:w="2186" w:type="dxa"/>
            <w:tcBorders>
              <w:top w:val="single" w:sz="4" w:space="0" w:color="auto"/>
              <w:left w:val="single" w:sz="4" w:space="0" w:color="auto"/>
              <w:bottom w:val="single" w:sz="4" w:space="0" w:color="auto"/>
              <w:right w:val="single" w:sz="4" w:space="0" w:color="auto"/>
            </w:tcBorders>
          </w:tcPr>
          <w:p w14:paraId="2866DEC6" w14:textId="77777777" w:rsidR="00D178F2" w:rsidRPr="00D178F2" w:rsidRDefault="00D178F2" w:rsidP="00C54A3F">
            <w:pPr>
              <w:pStyle w:val="TableCentre"/>
              <w:rPr>
                <w:lang w:val="en-US"/>
              </w:rPr>
            </w:pPr>
            <w:r w:rsidRPr="00D178F2">
              <w:rPr>
                <w:lang w:val="en-US"/>
              </w:rPr>
              <w:t>6</w:t>
            </w:r>
          </w:p>
        </w:tc>
      </w:tr>
      <w:tr w:rsidR="00D178F2" w:rsidRPr="00D178F2" w14:paraId="2866DECB"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C8" w14:textId="77777777" w:rsidR="00D178F2" w:rsidRPr="00D178F2" w:rsidRDefault="00D178F2" w:rsidP="00C54A3F">
            <w:pPr>
              <w:pStyle w:val="TableText"/>
            </w:pPr>
            <w:r w:rsidRPr="00D178F2">
              <w:t>Hypocalcaemia</w:t>
            </w:r>
          </w:p>
        </w:tc>
        <w:tc>
          <w:tcPr>
            <w:tcW w:w="2212" w:type="dxa"/>
            <w:tcBorders>
              <w:top w:val="single" w:sz="4" w:space="0" w:color="auto"/>
              <w:left w:val="single" w:sz="4" w:space="0" w:color="auto"/>
              <w:bottom w:val="single" w:sz="4" w:space="0" w:color="auto"/>
              <w:right w:val="single" w:sz="4" w:space="0" w:color="auto"/>
            </w:tcBorders>
          </w:tcPr>
          <w:p w14:paraId="2866DEC9" w14:textId="77777777" w:rsidR="00D178F2" w:rsidRPr="00D178F2" w:rsidRDefault="00D178F2" w:rsidP="00C54A3F">
            <w:pPr>
              <w:pStyle w:val="TableCentre"/>
              <w:rPr>
                <w:lang w:val="en-US"/>
              </w:rPr>
            </w:pPr>
            <w:r w:rsidRPr="00D178F2">
              <w:rPr>
                <w:lang w:val="en-US"/>
              </w:rPr>
              <w:t>6</w:t>
            </w:r>
          </w:p>
        </w:tc>
        <w:tc>
          <w:tcPr>
            <w:tcW w:w="2186" w:type="dxa"/>
            <w:tcBorders>
              <w:top w:val="single" w:sz="4" w:space="0" w:color="auto"/>
              <w:left w:val="single" w:sz="4" w:space="0" w:color="auto"/>
              <w:bottom w:val="single" w:sz="4" w:space="0" w:color="auto"/>
              <w:right w:val="single" w:sz="4" w:space="0" w:color="auto"/>
            </w:tcBorders>
          </w:tcPr>
          <w:p w14:paraId="2866DECA" w14:textId="77777777" w:rsidR="00D178F2" w:rsidRPr="00D178F2" w:rsidRDefault="00D178F2" w:rsidP="00C54A3F">
            <w:pPr>
              <w:pStyle w:val="TableCentre"/>
              <w:rPr>
                <w:lang w:val="en-US"/>
              </w:rPr>
            </w:pPr>
            <w:r w:rsidRPr="00D178F2">
              <w:rPr>
                <w:lang w:val="en-US"/>
              </w:rPr>
              <w:t>2</w:t>
            </w:r>
          </w:p>
        </w:tc>
      </w:tr>
      <w:tr w:rsidR="00D178F2" w:rsidRPr="00D178F2" w14:paraId="2866DECF"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CC" w14:textId="77777777" w:rsidR="00D178F2" w:rsidRPr="00D178F2" w:rsidRDefault="00D178F2" w:rsidP="00C54A3F">
            <w:pPr>
              <w:pStyle w:val="TableText"/>
            </w:pPr>
            <w:proofErr w:type="spellStart"/>
            <w:r w:rsidRPr="00D178F2">
              <w:t>Hypophosphataemia</w:t>
            </w:r>
            <w:proofErr w:type="spellEnd"/>
          </w:p>
        </w:tc>
        <w:tc>
          <w:tcPr>
            <w:tcW w:w="2212" w:type="dxa"/>
            <w:tcBorders>
              <w:top w:val="single" w:sz="4" w:space="0" w:color="auto"/>
              <w:left w:val="single" w:sz="4" w:space="0" w:color="auto"/>
              <w:bottom w:val="single" w:sz="4" w:space="0" w:color="auto"/>
              <w:right w:val="single" w:sz="4" w:space="0" w:color="auto"/>
            </w:tcBorders>
          </w:tcPr>
          <w:p w14:paraId="2866DECD" w14:textId="77777777" w:rsidR="00D178F2" w:rsidRPr="00D178F2" w:rsidRDefault="00D178F2" w:rsidP="00C54A3F">
            <w:pPr>
              <w:pStyle w:val="TableCentre"/>
              <w:rPr>
                <w:lang w:val="en-US"/>
              </w:rPr>
            </w:pPr>
            <w:r w:rsidRPr="00D178F2">
              <w:rPr>
                <w:lang w:val="en-US"/>
              </w:rPr>
              <w:t>11</w:t>
            </w:r>
          </w:p>
        </w:tc>
        <w:tc>
          <w:tcPr>
            <w:tcW w:w="2186" w:type="dxa"/>
            <w:tcBorders>
              <w:top w:val="single" w:sz="4" w:space="0" w:color="auto"/>
              <w:left w:val="single" w:sz="4" w:space="0" w:color="auto"/>
              <w:bottom w:val="single" w:sz="4" w:space="0" w:color="auto"/>
              <w:right w:val="single" w:sz="4" w:space="0" w:color="auto"/>
            </w:tcBorders>
          </w:tcPr>
          <w:p w14:paraId="2866DECE" w14:textId="77777777" w:rsidR="00D178F2" w:rsidRPr="00D178F2" w:rsidRDefault="00D178F2" w:rsidP="00C54A3F">
            <w:pPr>
              <w:pStyle w:val="TableCentre"/>
              <w:rPr>
                <w:lang w:val="en-US"/>
              </w:rPr>
            </w:pPr>
            <w:r w:rsidRPr="00D178F2">
              <w:rPr>
                <w:lang w:val="en-US"/>
              </w:rPr>
              <w:t>6</w:t>
            </w:r>
          </w:p>
        </w:tc>
      </w:tr>
      <w:tr w:rsidR="00D178F2" w:rsidRPr="00D178F2" w14:paraId="2866DED3"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D0" w14:textId="77777777" w:rsidR="00D178F2" w:rsidRPr="00D178F2" w:rsidRDefault="00D178F2" w:rsidP="00C54A3F">
            <w:pPr>
              <w:pStyle w:val="TableText"/>
            </w:pPr>
            <w:r w:rsidRPr="00D178F2">
              <w:t>Hyperglycaemia</w:t>
            </w:r>
          </w:p>
        </w:tc>
        <w:tc>
          <w:tcPr>
            <w:tcW w:w="2212" w:type="dxa"/>
            <w:tcBorders>
              <w:top w:val="single" w:sz="4" w:space="0" w:color="auto"/>
              <w:left w:val="single" w:sz="4" w:space="0" w:color="auto"/>
              <w:bottom w:val="single" w:sz="4" w:space="0" w:color="auto"/>
              <w:right w:val="single" w:sz="4" w:space="0" w:color="auto"/>
            </w:tcBorders>
          </w:tcPr>
          <w:p w14:paraId="2866DED1" w14:textId="77777777" w:rsidR="00D178F2" w:rsidRPr="00D178F2" w:rsidRDefault="00D178F2" w:rsidP="00C54A3F">
            <w:pPr>
              <w:pStyle w:val="TableCentre"/>
              <w:rPr>
                <w:lang w:val="en-US"/>
              </w:rPr>
            </w:pPr>
            <w:r w:rsidRPr="00D178F2">
              <w:rPr>
                <w:lang w:val="en-US"/>
              </w:rPr>
              <w:t>3</w:t>
            </w:r>
          </w:p>
        </w:tc>
        <w:tc>
          <w:tcPr>
            <w:tcW w:w="2186" w:type="dxa"/>
            <w:tcBorders>
              <w:top w:val="single" w:sz="4" w:space="0" w:color="auto"/>
              <w:left w:val="single" w:sz="4" w:space="0" w:color="auto"/>
              <w:bottom w:val="single" w:sz="4" w:space="0" w:color="auto"/>
              <w:right w:val="single" w:sz="4" w:space="0" w:color="auto"/>
            </w:tcBorders>
          </w:tcPr>
          <w:p w14:paraId="2866DED2" w14:textId="77777777" w:rsidR="00D178F2" w:rsidRPr="00D178F2" w:rsidRDefault="00D178F2" w:rsidP="00C54A3F">
            <w:pPr>
              <w:pStyle w:val="TableCentre"/>
              <w:rPr>
                <w:lang w:val="en-US"/>
              </w:rPr>
            </w:pPr>
            <w:r w:rsidRPr="00D178F2">
              <w:rPr>
                <w:lang w:val="en-US"/>
              </w:rPr>
              <w:t>16</w:t>
            </w:r>
          </w:p>
        </w:tc>
      </w:tr>
      <w:tr w:rsidR="00D178F2" w:rsidRPr="00D178F2" w14:paraId="2866DED7"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D4" w14:textId="77777777" w:rsidR="00D178F2" w:rsidRPr="00D178F2" w:rsidRDefault="00D178F2" w:rsidP="00C54A3F">
            <w:pPr>
              <w:pStyle w:val="TableText"/>
            </w:pPr>
            <w:proofErr w:type="spellStart"/>
            <w:r w:rsidRPr="00D178F2">
              <w:t>Hypertriglyceridaemia</w:t>
            </w:r>
            <w:proofErr w:type="spellEnd"/>
          </w:p>
        </w:tc>
        <w:tc>
          <w:tcPr>
            <w:tcW w:w="2212" w:type="dxa"/>
            <w:tcBorders>
              <w:top w:val="single" w:sz="4" w:space="0" w:color="auto"/>
              <w:left w:val="single" w:sz="4" w:space="0" w:color="auto"/>
              <w:bottom w:val="single" w:sz="4" w:space="0" w:color="auto"/>
              <w:right w:val="single" w:sz="4" w:space="0" w:color="auto"/>
            </w:tcBorders>
          </w:tcPr>
          <w:p w14:paraId="2866DED5" w14:textId="77777777" w:rsidR="00D178F2" w:rsidRPr="00D178F2" w:rsidRDefault="00D178F2" w:rsidP="00C54A3F">
            <w:pPr>
              <w:pStyle w:val="TableCentre"/>
              <w:rPr>
                <w:lang w:val="en-US"/>
              </w:rPr>
            </w:pPr>
            <w:r w:rsidRPr="00D178F2">
              <w:rPr>
                <w:lang w:val="en-US"/>
              </w:rPr>
              <w:t>18</w:t>
            </w:r>
          </w:p>
        </w:tc>
        <w:tc>
          <w:tcPr>
            <w:tcW w:w="2186" w:type="dxa"/>
            <w:tcBorders>
              <w:top w:val="single" w:sz="4" w:space="0" w:color="auto"/>
              <w:left w:val="single" w:sz="4" w:space="0" w:color="auto"/>
              <w:bottom w:val="single" w:sz="4" w:space="0" w:color="auto"/>
              <w:right w:val="single" w:sz="4" w:space="0" w:color="auto"/>
            </w:tcBorders>
          </w:tcPr>
          <w:p w14:paraId="2866DED6" w14:textId="77777777" w:rsidR="00D178F2" w:rsidRPr="00D178F2" w:rsidRDefault="00D178F2" w:rsidP="00C54A3F">
            <w:pPr>
              <w:pStyle w:val="TableCentre"/>
              <w:rPr>
                <w:lang w:val="en-US"/>
              </w:rPr>
            </w:pPr>
            <w:r w:rsidRPr="00D178F2">
              <w:rPr>
                <w:lang w:val="en-US"/>
              </w:rPr>
              <w:t>18</w:t>
            </w:r>
          </w:p>
        </w:tc>
      </w:tr>
      <w:tr w:rsidR="00D178F2" w:rsidRPr="00D178F2" w14:paraId="2866DEDB"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D8" w14:textId="77777777" w:rsidR="00D178F2" w:rsidRPr="00D178F2" w:rsidRDefault="00D178F2" w:rsidP="00C54A3F">
            <w:pPr>
              <w:pStyle w:val="TableText"/>
            </w:pPr>
            <w:r w:rsidRPr="00D178F2">
              <w:lastRenderedPageBreak/>
              <w:t>Elevated cholesterol</w:t>
            </w:r>
          </w:p>
        </w:tc>
        <w:tc>
          <w:tcPr>
            <w:tcW w:w="2212" w:type="dxa"/>
            <w:tcBorders>
              <w:top w:val="single" w:sz="4" w:space="0" w:color="auto"/>
              <w:left w:val="single" w:sz="4" w:space="0" w:color="auto"/>
              <w:bottom w:val="single" w:sz="4" w:space="0" w:color="auto"/>
              <w:right w:val="single" w:sz="4" w:space="0" w:color="auto"/>
            </w:tcBorders>
          </w:tcPr>
          <w:p w14:paraId="2866DED9" w14:textId="77777777" w:rsidR="00D178F2" w:rsidRPr="00D178F2" w:rsidRDefault="00D178F2" w:rsidP="00C54A3F">
            <w:pPr>
              <w:pStyle w:val="TableCentre"/>
              <w:rPr>
                <w:lang w:val="en-US"/>
              </w:rPr>
            </w:pPr>
            <w:r w:rsidRPr="00D178F2">
              <w:rPr>
                <w:lang w:val="en-US"/>
              </w:rPr>
              <w:t>11</w:t>
            </w:r>
          </w:p>
        </w:tc>
        <w:tc>
          <w:tcPr>
            <w:tcW w:w="2186" w:type="dxa"/>
            <w:tcBorders>
              <w:top w:val="single" w:sz="4" w:space="0" w:color="auto"/>
              <w:left w:val="single" w:sz="4" w:space="0" w:color="auto"/>
              <w:bottom w:val="single" w:sz="4" w:space="0" w:color="auto"/>
              <w:right w:val="single" w:sz="4" w:space="0" w:color="auto"/>
            </w:tcBorders>
          </w:tcPr>
          <w:p w14:paraId="2866DEDA" w14:textId="77777777" w:rsidR="00D178F2" w:rsidRPr="00D178F2" w:rsidRDefault="00D178F2" w:rsidP="00C54A3F">
            <w:pPr>
              <w:pStyle w:val="TableCentre"/>
              <w:rPr>
                <w:lang w:val="en-US"/>
              </w:rPr>
            </w:pPr>
            <w:r w:rsidRPr="00D178F2">
              <w:rPr>
                <w:lang w:val="en-US"/>
              </w:rPr>
              <w:t>0</w:t>
            </w:r>
          </w:p>
        </w:tc>
      </w:tr>
      <w:tr w:rsidR="00D178F2" w:rsidRPr="00D178F2" w14:paraId="2866DEDF"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DC" w14:textId="77777777" w:rsidR="00D178F2" w:rsidRPr="00D178F2" w:rsidRDefault="00D178F2" w:rsidP="00C54A3F">
            <w:pPr>
              <w:pStyle w:val="TableText"/>
            </w:pPr>
            <w:proofErr w:type="spellStart"/>
            <w:r w:rsidRPr="00D178F2">
              <w:t>Creatine</w:t>
            </w:r>
            <w:proofErr w:type="spellEnd"/>
            <w:r w:rsidRPr="00D178F2">
              <w:t xml:space="preserve"> kinase increased</w:t>
            </w:r>
          </w:p>
        </w:tc>
        <w:tc>
          <w:tcPr>
            <w:tcW w:w="2212" w:type="dxa"/>
            <w:tcBorders>
              <w:top w:val="single" w:sz="4" w:space="0" w:color="auto"/>
              <w:left w:val="single" w:sz="4" w:space="0" w:color="auto"/>
              <w:bottom w:val="single" w:sz="4" w:space="0" w:color="auto"/>
              <w:right w:val="single" w:sz="4" w:space="0" w:color="auto"/>
            </w:tcBorders>
          </w:tcPr>
          <w:p w14:paraId="2866DEDD" w14:textId="77777777" w:rsidR="00D178F2" w:rsidRPr="00D178F2" w:rsidDel="0014056B" w:rsidRDefault="00D178F2" w:rsidP="00C54A3F">
            <w:pPr>
              <w:pStyle w:val="TableCentre"/>
              <w:rPr>
                <w:lang w:val="en-US"/>
              </w:rPr>
            </w:pPr>
            <w:r w:rsidRPr="00D178F2">
              <w:rPr>
                <w:lang w:val="en-US"/>
              </w:rPr>
              <w:t>3</w:t>
            </w:r>
          </w:p>
        </w:tc>
        <w:tc>
          <w:tcPr>
            <w:tcW w:w="2186" w:type="dxa"/>
            <w:tcBorders>
              <w:top w:val="single" w:sz="4" w:space="0" w:color="auto"/>
              <w:left w:val="single" w:sz="4" w:space="0" w:color="auto"/>
              <w:bottom w:val="single" w:sz="4" w:space="0" w:color="auto"/>
              <w:right w:val="single" w:sz="4" w:space="0" w:color="auto"/>
            </w:tcBorders>
          </w:tcPr>
          <w:p w14:paraId="2866DEDE" w14:textId="77777777" w:rsidR="00D178F2" w:rsidRPr="00D178F2" w:rsidRDefault="00D178F2" w:rsidP="00C54A3F">
            <w:pPr>
              <w:pStyle w:val="TableCentre"/>
              <w:rPr>
                <w:lang w:val="en-US"/>
              </w:rPr>
            </w:pPr>
            <w:r w:rsidRPr="00D178F2">
              <w:rPr>
                <w:lang w:val="en-US"/>
              </w:rPr>
              <w:t>4</w:t>
            </w:r>
          </w:p>
        </w:tc>
      </w:tr>
      <w:tr w:rsidR="00D178F2" w:rsidRPr="00D178F2" w14:paraId="2866DEE3"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E0" w14:textId="77777777" w:rsidR="00D178F2" w:rsidRPr="00D178F2" w:rsidRDefault="00D178F2" w:rsidP="00C54A3F">
            <w:pPr>
              <w:pStyle w:val="TableText"/>
            </w:pPr>
            <w:r w:rsidRPr="00D178F2">
              <w:t>Lipase increased</w:t>
            </w:r>
          </w:p>
        </w:tc>
        <w:tc>
          <w:tcPr>
            <w:tcW w:w="2212" w:type="dxa"/>
            <w:tcBorders>
              <w:top w:val="single" w:sz="4" w:space="0" w:color="auto"/>
              <w:left w:val="single" w:sz="4" w:space="0" w:color="auto"/>
              <w:bottom w:val="single" w:sz="4" w:space="0" w:color="auto"/>
              <w:right w:val="single" w:sz="4" w:space="0" w:color="auto"/>
            </w:tcBorders>
          </w:tcPr>
          <w:p w14:paraId="2866DEE1" w14:textId="77777777" w:rsidR="00D178F2" w:rsidRPr="00D178F2" w:rsidRDefault="00D178F2" w:rsidP="00C54A3F">
            <w:pPr>
              <w:pStyle w:val="TableCentre"/>
              <w:rPr>
                <w:lang w:val="en-US"/>
              </w:rPr>
            </w:pPr>
            <w:r w:rsidRPr="00D178F2">
              <w:rPr>
                <w:lang w:val="en-US"/>
              </w:rPr>
              <w:t>13</w:t>
            </w:r>
          </w:p>
        </w:tc>
        <w:tc>
          <w:tcPr>
            <w:tcW w:w="2186" w:type="dxa"/>
            <w:tcBorders>
              <w:top w:val="single" w:sz="4" w:space="0" w:color="auto"/>
              <w:left w:val="single" w:sz="4" w:space="0" w:color="auto"/>
              <w:bottom w:val="single" w:sz="4" w:space="0" w:color="auto"/>
              <w:right w:val="single" w:sz="4" w:space="0" w:color="auto"/>
            </w:tcBorders>
          </w:tcPr>
          <w:p w14:paraId="2866DEE2" w14:textId="77777777" w:rsidR="00D178F2" w:rsidRPr="00D178F2" w:rsidRDefault="00D178F2" w:rsidP="00C54A3F">
            <w:pPr>
              <w:pStyle w:val="TableCentre"/>
              <w:rPr>
                <w:lang w:val="en-US"/>
              </w:rPr>
            </w:pPr>
            <w:r w:rsidRPr="00D178F2">
              <w:rPr>
                <w:lang w:val="en-US"/>
              </w:rPr>
              <w:t>12</w:t>
            </w:r>
          </w:p>
        </w:tc>
      </w:tr>
      <w:tr w:rsidR="00D178F2" w:rsidRPr="00D178F2" w14:paraId="2866DEE5" w14:textId="77777777" w:rsidTr="00D178F2">
        <w:trPr>
          <w:jc w:val="center"/>
        </w:trPr>
        <w:tc>
          <w:tcPr>
            <w:tcW w:w="8897" w:type="dxa"/>
            <w:gridSpan w:val="3"/>
            <w:tcBorders>
              <w:top w:val="single" w:sz="4" w:space="0" w:color="auto"/>
              <w:left w:val="single" w:sz="4" w:space="0" w:color="auto"/>
              <w:bottom w:val="single" w:sz="4" w:space="0" w:color="auto"/>
              <w:right w:val="single" w:sz="4" w:space="0" w:color="auto"/>
            </w:tcBorders>
            <w:shd w:val="clear" w:color="auto" w:fill="auto"/>
          </w:tcPr>
          <w:p w14:paraId="2866DEE4" w14:textId="0D5C9109" w:rsidR="00D178F2" w:rsidRPr="00D178F2" w:rsidRDefault="00D178F2" w:rsidP="00C54A3F">
            <w:pPr>
              <w:pStyle w:val="TableHeading"/>
            </w:pPr>
            <w:proofErr w:type="spellStart"/>
            <w:r w:rsidRPr="00D178F2">
              <w:t>H</w:t>
            </w:r>
            <w:r w:rsidR="000A4A02">
              <w:t>a</w:t>
            </w:r>
            <w:r w:rsidRPr="00D178F2">
              <w:t>ematology</w:t>
            </w:r>
            <w:proofErr w:type="spellEnd"/>
          </w:p>
        </w:tc>
      </w:tr>
      <w:tr w:rsidR="00D178F2" w:rsidRPr="00D178F2" w14:paraId="2866DEE9" w14:textId="77777777" w:rsidTr="00214E83">
        <w:trPr>
          <w:trHeight w:val="145"/>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E6" w14:textId="77777777" w:rsidR="00D178F2" w:rsidRPr="00D178F2" w:rsidRDefault="00D178F2" w:rsidP="00214E83">
            <w:pPr>
              <w:pStyle w:val="TableText"/>
            </w:pPr>
            <w:r w:rsidRPr="00D178F2">
              <w:t>Haemoglobin decreased</w:t>
            </w:r>
          </w:p>
        </w:tc>
        <w:tc>
          <w:tcPr>
            <w:tcW w:w="2212" w:type="dxa"/>
            <w:tcBorders>
              <w:top w:val="single" w:sz="4" w:space="0" w:color="auto"/>
              <w:left w:val="single" w:sz="4" w:space="0" w:color="auto"/>
              <w:bottom w:val="single" w:sz="4" w:space="0" w:color="auto"/>
              <w:right w:val="single" w:sz="4" w:space="0" w:color="auto"/>
            </w:tcBorders>
          </w:tcPr>
          <w:p w14:paraId="2866DEE7" w14:textId="77777777" w:rsidR="00D178F2" w:rsidRPr="00D178F2" w:rsidRDefault="00D178F2" w:rsidP="00214E83">
            <w:pPr>
              <w:pStyle w:val="TableCentre"/>
            </w:pPr>
            <w:r w:rsidRPr="00D178F2">
              <w:t>8</w:t>
            </w:r>
          </w:p>
        </w:tc>
        <w:tc>
          <w:tcPr>
            <w:tcW w:w="2186" w:type="dxa"/>
            <w:tcBorders>
              <w:top w:val="single" w:sz="4" w:space="0" w:color="auto"/>
              <w:left w:val="single" w:sz="4" w:space="0" w:color="auto"/>
              <w:bottom w:val="single" w:sz="4" w:space="0" w:color="auto"/>
              <w:right w:val="single" w:sz="4" w:space="0" w:color="auto"/>
            </w:tcBorders>
          </w:tcPr>
          <w:p w14:paraId="2866DEE8" w14:textId="77777777" w:rsidR="00D178F2" w:rsidRPr="00D178F2" w:rsidRDefault="00D178F2" w:rsidP="00214E83">
            <w:pPr>
              <w:pStyle w:val="TableCentre"/>
            </w:pPr>
            <w:r w:rsidRPr="00D178F2">
              <w:t>16</w:t>
            </w:r>
          </w:p>
        </w:tc>
      </w:tr>
      <w:tr w:rsidR="00D178F2" w:rsidRPr="00D178F2" w14:paraId="2866DEED" w14:textId="77777777" w:rsidTr="00214E83">
        <w:trPr>
          <w:trHeight w:val="110"/>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EA" w14:textId="77777777" w:rsidR="00D178F2" w:rsidRPr="00D178F2" w:rsidRDefault="00D178F2" w:rsidP="00214E83">
            <w:pPr>
              <w:pStyle w:val="TableText"/>
            </w:pPr>
            <w:r w:rsidRPr="00D178F2">
              <w:t>Platelet count decreased</w:t>
            </w:r>
          </w:p>
        </w:tc>
        <w:tc>
          <w:tcPr>
            <w:tcW w:w="2212" w:type="dxa"/>
            <w:tcBorders>
              <w:top w:val="single" w:sz="4" w:space="0" w:color="auto"/>
              <w:left w:val="single" w:sz="4" w:space="0" w:color="auto"/>
              <w:bottom w:val="single" w:sz="4" w:space="0" w:color="auto"/>
              <w:right w:val="single" w:sz="4" w:space="0" w:color="auto"/>
            </w:tcBorders>
          </w:tcPr>
          <w:p w14:paraId="2866DEEB" w14:textId="77777777" w:rsidR="00D178F2" w:rsidRPr="00D178F2" w:rsidRDefault="00D178F2" w:rsidP="00214E83">
            <w:pPr>
              <w:pStyle w:val="TableCentre"/>
            </w:pPr>
            <w:r w:rsidRPr="00D178F2">
              <w:t>5</w:t>
            </w:r>
          </w:p>
        </w:tc>
        <w:tc>
          <w:tcPr>
            <w:tcW w:w="2186" w:type="dxa"/>
            <w:tcBorders>
              <w:top w:val="single" w:sz="4" w:space="0" w:color="auto"/>
              <w:left w:val="single" w:sz="4" w:space="0" w:color="auto"/>
              <w:bottom w:val="single" w:sz="4" w:space="0" w:color="auto"/>
              <w:right w:val="single" w:sz="4" w:space="0" w:color="auto"/>
            </w:tcBorders>
          </w:tcPr>
          <w:p w14:paraId="2866DEEC" w14:textId="77777777" w:rsidR="00D178F2" w:rsidRPr="00D178F2" w:rsidRDefault="00D178F2" w:rsidP="00214E83">
            <w:pPr>
              <w:pStyle w:val="TableCentre"/>
            </w:pPr>
            <w:r w:rsidRPr="00D178F2">
              <w:t>0</w:t>
            </w:r>
          </w:p>
        </w:tc>
      </w:tr>
      <w:tr w:rsidR="00D178F2" w:rsidRPr="00D178F2" w14:paraId="2866DEF1" w14:textId="77777777" w:rsidTr="00D178F2">
        <w:trPr>
          <w:jc w:val="center"/>
        </w:trPr>
        <w:tc>
          <w:tcPr>
            <w:tcW w:w="4499" w:type="dxa"/>
            <w:tcBorders>
              <w:top w:val="single" w:sz="4" w:space="0" w:color="auto"/>
              <w:left w:val="single" w:sz="4" w:space="0" w:color="auto"/>
              <w:bottom w:val="single" w:sz="4" w:space="0" w:color="auto"/>
              <w:right w:val="single" w:sz="4" w:space="0" w:color="auto"/>
            </w:tcBorders>
            <w:shd w:val="clear" w:color="auto" w:fill="auto"/>
          </w:tcPr>
          <w:p w14:paraId="2866DEEE" w14:textId="77777777" w:rsidR="00D178F2" w:rsidRPr="00D178F2" w:rsidRDefault="00D178F2" w:rsidP="00214E83">
            <w:pPr>
              <w:pStyle w:val="TableText"/>
            </w:pPr>
            <w:r w:rsidRPr="00D178F2">
              <w:t>Lymphocyte count decreased</w:t>
            </w:r>
          </w:p>
        </w:tc>
        <w:tc>
          <w:tcPr>
            <w:tcW w:w="2212" w:type="dxa"/>
            <w:tcBorders>
              <w:top w:val="single" w:sz="4" w:space="0" w:color="auto"/>
              <w:left w:val="single" w:sz="4" w:space="0" w:color="auto"/>
              <w:bottom w:val="single" w:sz="4" w:space="0" w:color="auto"/>
              <w:right w:val="single" w:sz="4" w:space="0" w:color="auto"/>
            </w:tcBorders>
          </w:tcPr>
          <w:p w14:paraId="2866DEEF" w14:textId="77777777" w:rsidR="00D178F2" w:rsidRPr="00D178F2" w:rsidRDefault="00D178F2" w:rsidP="00214E83">
            <w:pPr>
              <w:pStyle w:val="TableCentre"/>
            </w:pPr>
            <w:r w:rsidRPr="00D178F2">
              <w:t>10</w:t>
            </w:r>
          </w:p>
        </w:tc>
        <w:tc>
          <w:tcPr>
            <w:tcW w:w="2186" w:type="dxa"/>
            <w:tcBorders>
              <w:top w:val="single" w:sz="4" w:space="0" w:color="auto"/>
              <w:left w:val="single" w:sz="4" w:space="0" w:color="auto"/>
              <w:bottom w:val="single" w:sz="4" w:space="0" w:color="auto"/>
              <w:right w:val="single" w:sz="4" w:space="0" w:color="auto"/>
            </w:tcBorders>
          </w:tcPr>
          <w:p w14:paraId="2866DEF0" w14:textId="77777777" w:rsidR="00D178F2" w:rsidRPr="00D178F2" w:rsidRDefault="00D178F2" w:rsidP="00214E83">
            <w:pPr>
              <w:pStyle w:val="TableCentre"/>
            </w:pPr>
            <w:r w:rsidRPr="00D178F2">
              <w:t>20</w:t>
            </w:r>
          </w:p>
        </w:tc>
      </w:tr>
      <w:tr w:rsidR="00D178F2" w:rsidRPr="00D178F2" w14:paraId="2866DEF4" w14:textId="77777777" w:rsidTr="00D178F2">
        <w:trPr>
          <w:jc w:val="center"/>
        </w:trPr>
        <w:tc>
          <w:tcPr>
            <w:tcW w:w="8897" w:type="dxa"/>
            <w:gridSpan w:val="3"/>
            <w:tcBorders>
              <w:top w:val="single" w:sz="4" w:space="0" w:color="auto"/>
            </w:tcBorders>
            <w:shd w:val="clear" w:color="auto" w:fill="auto"/>
          </w:tcPr>
          <w:p w14:paraId="2866DEF2" w14:textId="7598CABA" w:rsidR="00D178F2" w:rsidRPr="00D178F2" w:rsidRDefault="00D178F2" w:rsidP="009D28A7">
            <w:pPr>
              <w:pStyle w:val="TableFootnote"/>
              <w:numPr>
                <w:ilvl w:val="0"/>
                <w:numId w:val="39"/>
              </w:numPr>
              <w:rPr>
                <w:lang w:val="en-US"/>
              </w:rPr>
            </w:pPr>
            <w:r w:rsidRPr="00D178F2">
              <w:rPr>
                <w:lang w:val="en-US"/>
              </w:rPr>
              <w:t>With at least</w:t>
            </w:r>
            <w:r w:rsidR="006540BC">
              <w:rPr>
                <w:lang w:val="en-US"/>
              </w:rPr>
              <w:t xml:space="preserve"> 1 grade increase from baseline</w:t>
            </w:r>
          </w:p>
          <w:p w14:paraId="2866DEF3" w14:textId="46EB2956" w:rsidR="00D178F2" w:rsidRPr="00D178F2" w:rsidRDefault="00D178F2" w:rsidP="009D28A7">
            <w:pPr>
              <w:pStyle w:val="TableFootnote"/>
              <w:numPr>
                <w:ilvl w:val="0"/>
                <w:numId w:val="39"/>
              </w:numPr>
              <w:rPr>
                <w:lang w:val="en-US"/>
              </w:rPr>
            </w:pPr>
            <w:r w:rsidRPr="00D178F2">
              <w:rPr>
                <w:lang w:val="en-US"/>
              </w:rPr>
              <w:t>Subject with at least 1 post baseline laboratory value</w:t>
            </w:r>
          </w:p>
        </w:tc>
      </w:tr>
    </w:tbl>
    <w:p w14:paraId="51AABD0E" w14:textId="77777777" w:rsidR="00B0520F" w:rsidRPr="00B0520F" w:rsidRDefault="00B0520F" w:rsidP="00B0520F">
      <w:pPr>
        <w:pStyle w:val="Heading4"/>
        <w:rPr>
          <w:lang w:val="en-US"/>
        </w:rPr>
      </w:pPr>
      <w:r w:rsidRPr="00B0520F">
        <w:rPr>
          <w:lang w:val="en-US"/>
        </w:rPr>
        <w:t>Hepatocellular Carcinoma</w:t>
      </w:r>
    </w:p>
    <w:p w14:paraId="30A0F779" w14:textId="1EC1A9C2" w:rsidR="00791941" w:rsidRDefault="00791941" w:rsidP="00920D76">
      <w:pPr>
        <w:pStyle w:val="BodyText"/>
        <w:spacing w:before="120" w:after="120" w:line="360" w:lineRule="auto"/>
      </w:pPr>
      <w:r w:rsidRPr="001F4EA0">
        <w:t xml:space="preserve">The safety of LENVIMA was evaluated in REFLECT, which randomized (1:1) patients with </w:t>
      </w:r>
      <w:proofErr w:type="spellStart"/>
      <w:r w:rsidRPr="001F4EA0">
        <w:t>unresectable</w:t>
      </w:r>
      <w:proofErr w:type="spellEnd"/>
      <w:r w:rsidRPr="001F4EA0">
        <w:t xml:space="preserve"> hepatocellular carcinoma (HCC) to LENVIMA (n=476) or </w:t>
      </w:r>
      <w:proofErr w:type="spellStart"/>
      <w:r w:rsidRPr="001F4EA0">
        <w:t>sorafenib</w:t>
      </w:r>
      <w:proofErr w:type="spellEnd"/>
      <w:r w:rsidRPr="001F4EA0">
        <w:t xml:space="preserve"> (n=475) </w:t>
      </w:r>
      <w:r w:rsidR="00B871A6" w:rsidRPr="00000F37">
        <w:t xml:space="preserve">(see Section </w:t>
      </w:r>
      <w:r w:rsidR="00B871A6" w:rsidRPr="00000F37">
        <w:fldChar w:fldCharType="begin"/>
      </w:r>
      <w:r w:rsidR="00B871A6" w:rsidRPr="00000F37">
        <w:instrText xml:space="preserve"> REF _Ref503528653 \r \h </w:instrText>
      </w:r>
      <w:r w:rsidR="00B871A6" w:rsidRPr="00000F37">
        <w:fldChar w:fldCharType="separate"/>
      </w:r>
      <w:r w:rsidR="0064223A">
        <w:t>5.1</w:t>
      </w:r>
      <w:r w:rsidR="00B871A6" w:rsidRPr="00000F37">
        <w:fldChar w:fldCharType="end"/>
      </w:r>
      <w:r w:rsidR="00B871A6" w:rsidRPr="00000F37">
        <w:t xml:space="preserve">, </w:t>
      </w:r>
      <w:proofErr w:type="spellStart"/>
      <w:r w:rsidR="00B871A6" w:rsidRPr="00000F37">
        <w:t>Pharmacodynamic</w:t>
      </w:r>
      <w:proofErr w:type="spellEnd"/>
      <w:r w:rsidR="00B871A6" w:rsidRPr="00000F37">
        <w:t xml:space="preserve"> properties, Clinical trials). </w:t>
      </w:r>
      <w:r w:rsidRPr="001F4EA0">
        <w:t xml:space="preserve">The dose of LENVIMA was 12 mg orally once daily for patients with a baseline body weight of </w:t>
      </w:r>
      <w:r w:rsidR="006540BC">
        <w:sym w:font="Symbol" w:char="F0B3"/>
      </w:r>
      <w:r w:rsidRPr="001F4EA0">
        <w:t xml:space="preserve">60 kg and 8 mg orally once daily for patients with a baseline body weight of &lt;60 kg The dose of </w:t>
      </w:r>
      <w:proofErr w:type="spellStart"/>
      <w:r w:rsidRPr="001F4EA0">
        <w:t>sorafenib</w:t>
      </w:r>
      <w:proofErr w:type="spellEnd"/>
      <w:r w:rsidRPr="001F4EA0">
        <w:t xml:space="preserve"> was 400 mg orally twice daily. Duration of treatment was </w:t>
      </w:r>
      <w:r w:rsidR="006540BC">
        <w:sym w:font="Symbol" w:char="F0B3"/>
      </w:r>
      <w:r w:rsidRPr="001F4EA0">
        <w:t>6 months in</w:t>
      </w:r>
      <w:r w:rsidRPr="001F0C46">
        <w:t xml:space="preserve"> 49% and 32% of patients in the LENVIMA and </w:t>
      </w:r>
      <w:proofErr w:type="spellStart"/>
      <w:r w:rsidRPr="001F0C46">
        <w:t>sorafenib</w:t>
      </w:r>
      <w:proofErr w:type="spellEnd"/>
      <w:r w:rsidRPr="001F0C46">
        <w:t xml:space="preserve"> groups, respectively. Among the 476 patients who received LENVIMA in REFLECT, the median age was 63 years, 85% were men, 28%</w:t>
      </w:r>
      <w:r w:rsidR="00920D76">
        <w:t xml:space="preserve"> were White and 70% were Asian.</w:t>
      </w:r>
    </w:p>
    <w:p w14:paraId="2A429F92" w14:textId="15CFDC9D" w:rsidR="00791941" w:rsidRDefault="00791941" w:rsidP="00920D76">
      <w:pPr>
        <w:pStyle w:val="BodyText"/>
        <w:spacing w:before="120" w:after="120" w:line="360" w:lineRule="auto"/>
      </w:pPr>
      <w:r w:rsidRPr="001F4EA0">
        <w:t>The most common adverse reactions observed in the LENVIMA-treated patients (</w:t>
      </w:r>
      <w:r w:rsidR="006540BC">
        <w:sym w:font="Symbol" w:char="F0B3"/>
      </w:r>
      <w:r w:rsidRPr="001F4EA0">
        <w:t xml:space="preserve">20%) were, in order of decreasing frequency, hypertension, fatigue, </w:t>
      </w:r>
      <w:r w:rsidR="003B4A99" w:rsidRPr="001F4EA0">
        <w:t>diarrhoea</w:t>
      </w:r>
      <w:r w:rsidRPr="001F4EA0">
        <w:t xml:space="preserve">, decreased appetite, arthralgia/myalgia, decreased weight, abdominal pain, palmar-plantar </w:t>
      </w:r>
      <w:proofErr w:type="spellStart"/>
      <w:r w:rsidR="001E4157" w:rsidRPr="00000F37">
        <w:t>erythrodysaesthesia</w:t>
      </w:r>
      <w:proofErr w:type="spellEnd"/>
      <w:r w:rsidRPr="001F4EA0">
        <w:t xml:space="preserve"> syndrome, proteinuria, dysphonia, h</w:t>
      </w:r>
      <w:r w:rsidR="003B4A99">
        <w:t>a</w:t>
      </w:r>
      <w:r w:rsidRPr="001F4EA0">
        <w:t>emorrhagic events, hypothyroidism, and nausea. The most common serious adverse reactions (</w:t>
      </w:r>
      <w:r w:rsidR="006540BC">
        <w:sym w:font="Symbol" w:char="F0B3"/>
      </w:r>
      <w:r w:rsidRPr="001F4EA0">
        <w:t>2%) in LENVIMA-treated patients were hepatic encephalopathy (5%), hepatic failure (3%), ascites (3%), and decreased appetite (2%).</w:t>
      </w:r>
    </w:p>
    <w:p w14:paraId="58F069DF" w14:textId="61A7FFD9" w:rsidR="00791941" w:rsidRDefault="00791941" w:rsidP="00920D76">
      <w:pPr>
        <w:pStyle w:val="BodyText"/>
        <w:spacing w:before="120" w:after="120" w:line="360" w:lineRule="auto"/>
      </w:pPr>
      <w:r w:rsidRPr="001F4EA0">
        <w:t>Adverse reactions led to dose reduction or interruption in 62% of patients receiving LENVIMA. The most common adverse reactions (</w:t>
      </w:r>
      <w:r w:rsidR="006540BC">
        <w:sym w:font="Symbol" w:char="F0B3"/>
      </w:r>
      <w:r w:rsidRPr="001F4EA0">
        <w:t xml:space="preserve">5%) resulting in dose reduction or interruption of LENVIMA were fatigue (9%), decreased appetite (8%), </w:t>
      </w:r>
      <w:r w:rsidR="003B4A99" w:rsidRPr="001F4EA0">
        <w:t>diarrhoea</w:t>
      </w:r>
      <w:r w:rsidRPr="001F4EA0">
        <w:t xml:space="preserve"> (8%), proteinuria (7%), hyperten</w:t>
      </w:r>
      <w:r w:rsidRPr="001F0C46">
        <w:t xml:space="preserve">sion (6%), and palmar-plantar </w:t>
      </w:r>
      <w:proofErr w:type="spellStart"/>
      <w:r w:rsidR="001E4157" w:rsidRPr="00000F37">
        <w:t>erythrodysaesthesia</w:t>
      </w:r>
      <w:proofErr w:type="spellEnd"/>
      <w:r w:rsidRPr="001F4EA0">
        <w:t xml:space="preserve"> syndrome (5%).</w:t>
      </w:r>
    </w:p>
    <w:p w14:paraId="1A1A74F1" w14:textId="0635A7C8" w:rsidR="00791941" w:rsidRDefault="00791941" w:rsidP="00920D76">
      <w:pPr>
        <w:pStyle w:val="BodyText"/>
        <w:spacing w:before="120" w:after="120" w:line="360" w:lineRule="auto"/>
      </w:pPr>
      <w:r w:rsidRPr="001F4EA0">
        <w:t>Treatment discontinuation due to adverse reactions occurred in 20% of patients in the LENVIMA-treated group. The most common adverse reactions (</w:t>
      </w:r>
      <w:r w:rsidR="006540BC">
        <w:sym w:font="Symbol" w:char="F0B3"/>
      </w:r>
      <w:r w:rsidRPr="001F4EA0">
        <w:t xml:space="preserve">1%) resulting in </w:t>
      </w:r>
      <w:r w:rsidRPr="001F4EA0">
        <w:lastRenderedPageBreak/>
        <w:t>discontinua</w:t>
      </w:r>
      <w:r w:rsidRPr="001F0C46">
        <w:t>tion of LENVIMA were fatigue (1%), hepatic encephalopathy (2%), hyperbilirubinemia (1%), and hepatic failure (1%).</w:t>
      </w:r>
    </w:p>
    <w:p w14:paraId="04050EBB" w14:textId="38269FEF" w:rsidR="00791941" w:rsidRPr="001F4EA0" w:rsidRDefault="003B4A99" w:rsidP="00920D76">
      <w:pPr>
        <w:pStyle w:val="BodyText"/>
        <w:spacing w:before="120" w:after="120" w:line="360" w:lineRule="auto"/>
      </w:pPr>
      <w:r>
        <w:fldChar w:fldCharType="begin"/>
      </w:r>
      <w:r>
        <w:instrText xml:space="preserve"> REF _Ref523321645 \h </w:instrText>
      </w:r>
      <w:r w:rsidR="00920D76">
        <w:instrText xml:space="preserve"> \* MERGEFORMAT </w:instrText>
      </w:r>
      <w:r>
        <w:fldChar w:fldCharType="separate"/>
      </w:r>
      <w:r w:rsidR="0064223A">
        <w:t>Table </w:t>
      </w:r>
      <w:r w:rsidR="0064223A">
        <w:rPr>
          <w:noProof/>
        </w:rPr>
        <w:t>7</w:t>
      </w:r>
      <w:r>
        <w:fldChar w:fldCharType="end"/>
      </w:r>
      <w:r w:rsidR="001E4157" w:rsidRPr="00000F37">
        <w:t xml:space="preserve"> </w:t>
      </w:r>
      <w:r w:rsidR="00791941" w:rsidRPr="001F4EA0">
        <w:t xml:space="preserve">summarizes the adverse reactions that occurred in </w:t>
      </w:r>
      <w:r w:rsidR="006540BC">
        <w:sym w:font="Symbol" w:char="F0B3"/>
      </w:r>
      <w:r w:rsidR="00791941" w:rsidRPr="001F4EA0">
        <w:t xml:space="preserve">10% of patients receiving LENVIMA in REFLECT. REFLECT was not designed to demonstrate a statistically significant reduction in adverse reaction rates for LENVIMA, as compared to </w:t>
      </w:r>
      <w:proofErr w:type="spellStart"/>
      <w:r w:rsidR="00791941" w:rsidRPr="001F4EA0">
        <w:t>sorafenib</w:t>
      </w:r>
      <w:proofErr w:type="spellEnd"/>
      <w:r w:rsidR="00791941" w:rsidRPr="001F4EA0">
        <w:t xml:space="preserve">, for any specified adverse reaction listed in </w:t>
      </w:r>
      <w:r>
        <w:fldChar w:fldCharType="begin"/>
      </w:r>
      <w:r>
        <w:instrText xml:space="preserve"> REF _Ref523321645 \h </w:instrText>
      </w:r>
      <w:r>
        <w:fldChar w:fldCharType="separate"/>
      </w:r>
      <w:r w:rsidR="0064223A">
        <w:t>Table </w:t>
      </w:r>
      <w:r w:rsidR="0064223A">
        <w:rPr>
          <w:noProof/>
        </w:rPr>
        <w:t>7</w:t>
      </w:r>
      <w:r>
        <w:fldChar w:fldCharType="end"/>
      </w:r>
      <w:r w:rsidR="00791941" w:rsidRPr="001F4EA0">
        <w:t>.</w:t>
      </w:r>
    </w:p>
    <w:p w14:paraId="49D4CE3B" w14:textId="41B1F246" w:rsidR="003B4A99" w:rsidRDefault="003B4A99" w:rsidP="00E13432">
      <w:pPr>
        <w:pStyle w:val="Caption"/>
      </w:pPr>
      <w:bookmarkStart w:id="10" w:name="_Ref523321645"/>
      <w:r>
        <w:t>Table </w:t>
      </w:r>
      <w:r w:rsidR="002C196B">
        <w:rPr>
          <w:noProof/>
        </w:rPr>
        <w:fldChar w:fldCharType="begin"/>
      </w:r>
      <w:r w:rsidR="002C196B">
        <w:rPr>
          <w:noProof/>
        </w:rPr>
        <w:instrText xml:space="preserve"> SEQ Table \* ARABIC </w:instrText>
      </w:r>
      <w:r w:rsidR="002C196B">
        <w:rPr>
          <w:noProof/>
        </w:rPr>
        <w:fldChar w:fldCharType="separate"/>
      </w:r>
      <w:r w:rsidR="008D1089">
        <w:rPr>
          <w:noProof/>
        </w:rPr>
        <w:t>7</w:t>
      </w:r>
      <w:r w:rsidR="002C196B">
        <w:rPr>
          <w:noProof/>
        </w:rPr>
        <w:fldChar w:fldCharType="end"/>
      </w:r>
      <w:bookmarkEnd w:id="10"/>
      <w:r w:rsidRPr="006E5682">
        <w:tab/>
        <w:t xml:space="preserve">Adverse Reactions Occurring in </w:t>
      </w:r>
      <w:r w:rsidR="006540BC">
        <w:sym w:font="Symbol" w:char="F0B3"/>
      </w:r>
      <w:r w:rsidRPr="006E5682">
        <w:t>10% of Patients in the LENVIMA Arm in REFLECT (HCC)</w:t>
      </w:r>
    </w:p>
    <w:tbl>
      <w:tblPr>
        <w:tblStyle w:val="TableGrid"/>
        <w:tblW w:w="0" w:type="auto"/>
        <w:tblLayout w:type="fixed"/>
        <w:tblLook w:val="04A0" w:firstRow="1" w:lastRow="0" w:firstColumn="1" w:lastColumn="0" w:noHBand="0" w:noVBand="1"/>
      </w:tblPr>
      <w:tblGrid>
        <w:gridCol w:w="3151"/>
        <w:gridCol w:w="1367"/>
        <w:gridCol w:w="1620"/>
        <w:gridCol w:w="1530"/>
        <w:gridCol w:w="1440"/>
      </w:tblGrid>
      <w:tr w:rsidR="0086115F" w:rsidRPr="002F74C6" w14:paraId="72E7BE9A" w14:textId="77777777" w:rsidTr="00C74343">
        <w:trPr>
          <w:tblHeader/>
        </w:trPr>
        <w:tc>
          <w:tcPr>
            <w:tcW w:w="3151" w:type="dxa"/>
            <w:tcBorders>
              <w:top w:val="single" w:sz="4" w:space="0" w:color="auto"/>
            </w:tcBorders>
            <w:hideMark/>
          </w:tcPr>
          <w:p w14:paraId="70E6326A" w14:textId="77777777" w:rsidR="0086115F" w:rsidRPr="002F74C6" w:rsidRDefault="0086115F" w:rsidP="00C74343">
            <w:pPr>
              <w:pStyle w:val="TableHeading"/>
            </w:pPr>
          </w:p>
        </w:tc>
        <w:tc>
          <w:tcPr>
            <w:tcW w:w="2987" w:type="dxa"/>
            <w:gridSpan w:val="2"/>
            <w:tcBorders>
              <w:top w:val="single" w:sz="4" w:space="0" w:color="auto"/>
            </w:tcBorders>
            <w:hideMark/>
          </w:tcPr>
          <w:p w14:paraId="4A28F82E" w14:textId="4368DEAD" w:rsidR="0086115F" w:rsidRPr="002F74C6" w:rsidRDefault="006540BC" w:rsidP="00C74343">
            <w:pPr>
              <w:pStyle w:val="TableHeading"/>
            </w:pPr>
            <w:r>
              <w:t>LENVIMA</w:t>
            </w:r>
          </w:p>
          <w:p w14:paraId="20C5D74D" w14:textId="77777777" w:rsidR="0086115F" w:rsidRPr="002F74C6" w:rsidRDefault="0086115F" w:rsidP="00C74343">
            <w:pPr>
              <w:pStyle w:val="TableHeading"/>
            </w:pPr>
            <w:r w:rsidRPr="002F74C6">
              <w:t>8 mg/12 mg</w:t>
            </w:r>
          </w:p>
          <w:p w14:paraId="60E16F99" w14:textId="77777777" w:rsidR="0086115F" w:rsidRPr="002F74C6" w:rsidRDefault="0086115F" w:rsidP="00C74343">
            <w:pPr>
              <w:pStyle w:val="TableHeading"/>
            </w:pPr>
            <w:r w:rsidRPr="002F74C6">
              <w:t>N=476</w:t>
            </w:r>
          </w:p>
        </w:tc>
        <w:tc>
          <w:tcPr>
            <w:tcW w:w="2970" w:type="dxa"/>
            <w:gridSpan w:val="2"/>
            <w:tcBorders>
              <w:top w:val="single" w:sz="4" w:space="0" w:color="auto"/>
            </w:tcBorders>
            <w:hideMark/>
          </w:tcPr>
          <w:p w14:paraId="43833D7D" w14:textId="7EF857DE" w:rsidR="0086115F" w:rsidRPr="002F74C6" w:rsidRDefault="006540BC" w:rsidP="00C74343">
            <w:pPr>
              <w:pStyle w:val="TableHeading"/>
            </w:pPr>
            <w:proofErr w:type="spellStart"/>
            <w:r>
              <w:t>Sorafenib</w:t>
            </w:r>
            <w:proofErr w:type="spellEnd"/>
          </w:p>
          <w:p w14:paraId="1CDAB662" w14:textId="77777777" w:rsidR="0086115F" w:rsidRPr="002F74C6" w:rsidRDefault="0086115F" w:rsidP="00C74343">
            <w:pPr>
              <w:pStyle w:val="TableHeading"/>
            </w:pPr>
            <w:r w:rsidRPr="002F74C6">
              <w:t>800 mg</w:t>
            </w:r>
          </w:p>
          <w:p w14:paraId="0D939C81" w14:textId="77777777" w:rsidR="0086115F" w:rsidRPr="002F74C6" w:rsidRDefault="0086115F" w:rsidP="00C74343">
            <w:pPr>
              <w:pStyle w:val="TableHeading"/>
            </w:pPr>
            <w:r w:rsidRPr="002F74C6">
              <w:t>N=475</w:t>
            </w:r>
          </w:p>
        </w:tc>
      </w:tr>
      <w:tr w:rsidR="0086115F" w:rsidRPr="002F74C6" w14:paraId="29E6A018" w14:textId="77777777" w:rsidTr="00C74343">
        <w:trPr>
          <w:tblHeader/>
        </w:trPr>
        <w:tc>
          <w:tcPr>
            <w:tcW w:w="3151" w:type="dxa"/>
            <w:hideMark/>
          </w:tcPr>
          <w:p w14:paraId="3F880D8F" w14:textId="77777777" w:rsidR="0086115F" w:rsidRPr="002F74C6" w:rsidRDefault="0086115F" w:rsidP="00C74343">
            <w:pPr>
              <w:pStyle w:val="TableHeading"/>
            </w:pPr>
            <w:r w:rsidRPr="002F74C6">
              <w:t xml:space="preserve">System Organ Class </w:t>
            </w:r>
          </w:p>
          <w:p w14:paraId="617D0B47" w14:textId="77777777" w:rsidR="0086115F" w:rsidRPr="002F74C6" w:rsidRDefault="0086115F" w:rsidP="00C74343">
            <w:pPr>
              <w:pStyle w:val="TableHeading"/>
            </w:pPr>
            <w:r w:rsidRPr="002F74C6">
              <w:t>Preferred Term</w:t>
            </w:r>
          </w:p>
        </w:tc>
        <w:tc>
          <w:tcPr>
            <w:tcW w:w="1367" w:type="dxa"/>
            <w:hideMark/>
          </w:tcPr>
          <w:p w14:paraId="152684F4" w14:textId="77777777" w:rsidR="0086115F" w:rsidRPr="002F74C6" w:rsidRDefault="0086115F" w:rsidP="00C74343">
            <w:pPr>
              <w:pStyle w:val="TableHeading"/>
            </w:pPr>
            <w:r w:rsidRPr="002F74C6">
              <w:t>Grade 1-4</w:t>
            </w:r>
          </w:p>
          <w:p w14:paraId="01C7362C" w14:textId="77777777" w:rsidR="0086115F" w:rsidRPr="002F74C6" w:rsidRDefault="0086115F" w:rsidP="00C74343">
            <w:pPr>
              <w:pStyle w:val="TableHeading"/>
            </w:pPr>
            <w:r w:rsidRPr="002F74C6">
              <w:t>(%)</w:t>
            </w:r>
          </w:p>
        </w:tc>
        <w:tc>
          <w:tcPr>
            <w:tcW w:w="1620" w:type="dxa"/>
            <w:hideMark/>
          </w:tcPr>
          <w:p w14:paraId="5275EBEF" w14:textId="77777777" w:rsidR="0086115F" w:rsidRPr="002F74C6" w:rsidRDefault="0086115F" w:rsidP="00C74343">
            <w:pPr>
              <w:pStyle w:val="TableHeading"/>
            </w:pPr>
            <w:r w:rsidRPr="002F74C6">
              <w:t>Grade 3-4</w:t>
            </w:r>
          </w:p>
          <w:p w14:paraId="10E90147" w14:textId="77777777" w:rsidR="0086115F" w:rsidRPr="002F74C6" w:rsidRDefault="0086115F" w:rsidP="00C74343">
            <w:pPr>
              <w:pStyle w:val="TableHeading"/>
            </w:pPr>
            <w:r w:rsidRPr="002F74C6">
              <w:t>(%)</w:t>
            </w:r>
          </w:p>
        </w:tc>
        <w:tc>
          <w:tcPr>
            <w:tcW w:w="1530" w:type="dxa"/>
            <w:hideMark/>
          </w:tcPr>
          <w:p w14:paraId="55E2B5EB" w14:textId="77777777" w:rsidR="0086115F" w:rsidRPr="002F74C6" w:rsidRDefault="0086115F" w:rsidP="00C74343">
            <w:pPr>
              <w:pStyle w:val="TableHeading"/>
            </w:pPr>
            <w:r w:rsidRPr="002F74C6">
              <w:t>Grade 1-4</w:t>
            </w:r>
          </w:p>
          <w:p w14:paraId="7569C9E4" w14:textId="77777777" w:rsidR="0086115F" w:rsidRPr="002F74C6" w:rsidRDefault="0086115F" w:rsidP="00C74343">
            <w:pPr>
              <w:pStyle w:val="TableHeading"/>
            </w:pPr>
            <w:r w:rsidRPr="002F74C6">
              <w:t>(%)</w:t>
            </w:r>
          </w:p>
        </w:tc>
        <w:tc>
          <w:tcPr>
            <w:tcW w:w="1440" w:type="dxa"/>
            <w:hideMark/>
          </w:tcPr>
          <w:p w14:paraId="767321A4" w14:textId="77777777" w:rsidR="0086115F" w:rsidRPr="002F74C6" w:rsidRDefault="0086115F" w:rsidP="00C74343">
            <w:pPr>
              <w:pStyle w:val="TableHeading"/>
            </w:pPr>
            <w:r w:rsidRPr="002F74C6">
              <w:t>Grade 3-4</w:t>
            </w:r>
          </w:p>
          <w:p w14:paraId="39DE8D7C" w14:textId="77777777" w:rsidR="0086115F" w:rsidRPr="002F74C6" w:rsidRDefault="0086115F" w:rsidP="00C74343">
            <w:pPr>
              <w:pStyle w:val="TableHeading"/>
            </w:pPr>
            <w:r w:rsidRPr="002F74C6">
              <w:t>(%)</w:t>
            </w:r>
          </w:p>
        </w:tc>
      </w:tr>
      <w:tr w:rsidR="0086115F" w:rsidRPr="002F74C6" w14:paraId="6AA2F079" w14:textId="77777777" w:rsidTr="00C74343">
        <w:tc>
          <w:tcPr>
            <w:tcW w:w="9108" w:type="dxa"/>
            <w:gridSpan w:val="5"/>
          </w:tcPr>
          <w:p w14:paraId="0F988E97" w14:textId="77777777" w:rsidR="0086115F" w:rsidRPr="002F74C6" w:rsidRDefault="0086115F" w:rsidP="00C74343">
            <w:pPr>
              <w:pStyle w:val="TableHeading"/>
            </w:pPr>
            <w:r w:rsidRPr="002F74C6">
              <w:t>Endocrine Disorders</w:t>
            </w:r>
          </w:p>
        </w:tc>
      </w:tr>
      <w:tr w:rsidR="0086115F" w:rsidRPr="002F74C6" w14:paraId="5AEF8736" w14:textId="77777777" w:rsidTr="00C74343">
        <w:tc>
          <w:tcPr>
            <w:tcW w:w="3151" w:type="dxa"/>
            <w:hideMark/>
          </w:tcPr>
          <w:p w14:paraId="07F045F3" w14:textId="77777777" w:rsidR="0086115F" w:rsidRPr="00ED2DAB" w:rsidRDefault="0086115F" w:rsidP="00C74343">
            <w:pPr>
              <w:pStyle w:val="TableText"/>
              <w:rPr>
                <w:vertAlign w:val="superscript"/>
              </w:rPr>
            </w:pPr>
            <w:proofErr w:type="spellStart"/>
            <w:r w:rsidRPr="002F74C6">
              <w:t>Hypothyroidism</w:t>
            </w:r>
            <w:r>
              <w:rPr>
                <w:vertAlign w:val="superscript"/>
              </w:rPr>
              <w:t>a</w:t>
            </w:r>
            <w:proofErr w:type="spellEnd"/>
          </w:p>
        </w:tc>
        <w:tc>
          <w:tcPr>
            <w:tcW w:w="1367" w:type="dxa"/>
            <w:hideMark/>
          </w:tcPr>
          <w:p w14:paraId="27B835A6" w14:textId="35BA1A05" w:rsidR="0086115F" w:rsidRPr="002F74C6" w:rsidRDefault="0086115F" w:rsidP="00C74343">
            <w:pPr>
              <w:pStyle w:val="TableCentre"/>
            </w:pPr>
            <w:r>
              <w:t>21</w:t>
            </w:r>
          </w:p>
        </w:tc>
        <w:tc>
          <w:tcPr>
            <w:tcW w:w="1620" w:type="dxa"/>
            <w:hideMark/>
          </w:tcPr>
          <w:p w14:paraId="60EEE7E3" w14:textId="77777777" w:rsidR="0086115F" w:rsidRPr="002F74C6" w:rsidRDefault="0086115F" w:rsidP="00C74343">
            <w:pPr>
              <w:pStyle w:val="TableCentre"/>
            </w:pPr>
            <w:r w:rsidRPr="002F74C6">
              <w:t>0</w:t>
            </w:r>
          </w:p>
        </w:tc>
        <w:tc>
          <w:tcPr>
            <w:tcW w:w="1530" w:type="dxa"/>
            <w:hideMark/>
          </w:tcPr>
          <w:p w14:paraId="4842CD5A" w14:textId="3F84F45A" w:rsidR="0086115F" w:rsidRPr="002F74C6" w:rsidRDefault="0086115F" w:rsidP="00C74343">
            <w:pPr>
              <w:pStyle w:val="TableCentre"/>
            </w:pPr>
            <w:r>
              <w:t>3</w:t>
            </w:r>
          </w:p>
        </w:tc>
        <w:tc>
          <w:tcPr>
            <w:tcW w:w="1440" w:type="dxa"/>
            <w:hideMark/>
          </w:tcPr>
          <w:p w14:paraId="45CCC006" w14:textId="77777777" w:rsidR="0086115F" w:rsidRPr="002F74C6" w:rsidRDefault="0086115F" w:rsidP="00C74343">
            <w:pPr>
              <w:pStyle w:val="TableCentre"/>
            </w:pPr>
            <w:r w:rsidRPr="002F74C6">
              <w:t>0</w:t>
            </w:r>
          </w:p>
        </w:tc>
      </w:tr>
      <w:tr w:rsidR="0086115F" w:rsidRPr="002F74C6" w14:paraId="0486774F" w14:textId="77777777" w:rsidTr="00C74343">
        <w:tc>
          <w:tcPr>
            <w:tcW w:w="9108" w:type="dxa"/>
            <w:gridSpan w:val="5"/>
          </w:tcPr>
          <w:p w14:paraId="32230513" w14:textId="77777777" w:rsidR="0086115F" w:rsidRPr="002F74C6" w:rsidRDefault="0086115F" w:rsidP="00C74343">
            <w:pPr>
              <w:pStyle w:val="TableHeading"/>
            </w:pPr>
            <w:r w:rsidRPr="002F74C6">
              <w:t>Gastrointestinal Disorders</w:t>
            </w:r>
          </w:p>
        </w:tc>
      </w:tr>
      <w:tr w:rsidR="0086115F" w:rsidRPr="002F74C6" w14:paraId="7241AC28" w14:textId="77777777" w:rsidTr="00C74343">
        <w:tc>
          <w:tcPr>
            <w:tcW w:w="3151" w:type="dxa"/>
            <w:hideMark/>
          </w:tcPr>
          <w:p w14:paraId="359BB72A" w14:textId="77777777" w:rsidR="0086115F" w:rsidRPr="002F74C6" w:rsidRDefault="0086115F" w:rsidP="00C74343">
            <w:pPr>
              <w:pStyle w:val="TableText"/>
            </w:pPr>
            <w:r w:rsidRPr="002F74C6">
              <w:t>Diarrhoea</w:t>
            </w:r>
          </w:p>
        </w:tc>
        <w:tc>
          <w:tcPr>
            <w:tcW w:w="1367" w:type="dxa"/>
            <w:hideMark/>
          </w:tcPr>
          <w:p w14:paraId="31CE9934" w14:textId="77777777" w:rsidR="0086115F" w:rsidRPr="002F74C6" w:rsidRDefault="0086115F" w:rsidP="00C74343">
            <w:pPr>
              <w:pStyle w:val="TableCentre"/>
            </w:pPr>
            <w:r w:rsidRPr="002F74C6">
              <w:t>39</w:t>
            </w:r>
          </w:p>
        </w:tc>
        <w:tc>
          <w:tcPr>
            <w:tcW w:w="1620" w:type="dxa"/>
            <w:hideMark/>
          </w:tcPr>
          <w:p w14:paraId="5DD83CA6" w14:textId="77777777" w:rsidR="0086115F" w:rsidRPr="002F74C6" w:rsidRDefault="0086115F" w:rsidP="00C74343">
            <w:pPr>
              <w:pStyle w:val="TableCentre"/>
            </w:pPr>
            <w:r w:rsidRPr="002F74C6">
              <w:t>4</w:t>
            </w:r>
          </w:p>
        </w:tc>
        <w:tc>
          <w:tcPr>
            <w:tcW w:w="1530" w:type="dxa"/>
            <w:hideMark/>
          </w:tcPr>
          <w:p w14:paraId="4B9BA790" w14:textId="77777777" w:rsidR="0086115F" w:rsidRPr="002F74C6" w:rsidRDefault="0086115F" w:rsidP="00C74343">
            <w:pPr>
              <w:pStyle w:val="TableCentre"/>
            </w:pPr>
            <w:r w:rsidRPr="002F74C6">
              <w:t>46</w:t>
            </w:r>
          </w:p>
        </w:tc>
        <w:tc>
          <w:tcPr>
            <w:tcW w:w="1440" w:type="dxa"/>
            <w:hideMark/>
          </w:tcPr>
          <w:p w14:paraId="2D78116F" w14:textId="77777777" w:rsidR="0086115F" w:rsidRPr="002F74C6" w:rsidRDefault="0086115F" w:rsidP="00C74343">
            <w:pPr>
              <w:pStyle w:val="TableCentre"/>
            </w:pPr>
            <w:r w:rsidRPr="002F74C6">
              <w:t>4</w:t>
            </w:r>
          </w:p>
        </w:tc>
      </w:tr>
      <w:tr w:rsidR="0086115F" w:rsidRPr="002F74C6" w14:paraId="43BEB387" w14:textId="77777777" w:rsidTr="00C74343">
        <w:tc>
          <w:tcPr>
            <w:tcW w:w="3151" w:type="dxa"/>
            <w:hideMark/>
          </w:tcPr>
          <w:p w14:paraId="5C767CC1" w14:textId="6A9F05EC" w:rsidR="0086115F" w:rsidRPr="002F74C6" w:rsidRDefault="0086115F" w:rsidP="00C74343">
            <w:pPr>
              <w:pStyle w:val="TableText"/>
            </w:pPr>
            <w:r w:rsidRPr="002F74C6">
              <w:t xml:space="preserve">Abdominal </w:t>
            </w:r>
            <w:proofErr w:type="spellStart"/>
            <w:r w:rsidRPr="002F74C6">
              <w:t>pain</w:t>
            </w:r>
            <w:r>
              <w:rPr>
                <w:vertAlign w:val="superscript"/>
              </w:rPr>
              <w:t>b</w:t>
            </w:r>
            <w:proofErr w:type="spellEnd"/>
          </w:p>
        </w:tc>
        <w:tc>
          <w:tcPr>
            <w:tcW w:w="1367" w:type="dxa"/>
            <w:hideMark/>
          </w:tcPr>
          <w:p w14:paraId="489CEC7A" w14:textId="77777777" w:rsidR="0086115F" w:rsidRPr="002F74C6" w:rsidRDefault="0086115F" w:rsidP="00C74343">
            <w:pPr>
              <w:pStyle w:val="TableCentre"/>
            </w:pPr>
            <w:r w:rsidRPr="002F74C6">
              <w:t>30</w:t>
            </w:r>
          </w:p>
        </w:tc>
        <w:tc>
          <w:tcPr>
            <w:tcW w:w="1620" w:type="dxa"/>
            <w:hideMark/>
          </w:tcPr>
          <w:p w14:paraId="4728E188" w14:textId="77777777" w:rsidR="0086115F" w:rsidRPr="002F74C6" w:rsidRDefault="0086115F" w:rsidP="00C74343">
            <w:pPr>
              <w:pStyle w:val="TableCentre"/>
            </w:pPr>
            <w:r w:rsidRPr="002F74C6">
              <w:t>3</w:t>
            </w:r>
          </w:p>
        </w:tc>
        <w:tc>
          <w:tcPr>
            <w:tcW w:w="1530" w:type="dxa"/>
            <w:hideMark/>
          </w:tcPr>
          <w:p w14:paraId="0660F6C0" w14:textId="77777777" w:rsidR="0086115F" w:rsidRPr="002F74C6" w:rsidRDefault="0086115F" w:rsidP="00C74343">
            <w:pPr>
              <w:pStyle w:val="TableCentre"/>
            </w:pPr>
            <w:r w:rsidRPr="002F74C6">
              <w:t>28</w:t>
            </w:r>
          </w:p>
        </w:tc>
        <w:tc>
          <w:tcPr>
            <w:tcW w:w="1440" w:type="dxa"/>
            <w:hideMark/>
          </w:tcPr>
          <w:p w14:paraId="50E6DD25" w14:textId="77777777" w:rsidR="0086115F" w:rsidRPr="002F74C6" w:rsidRDefault="0086115F" w:rsidP="00C74343">
            <w:pPr>
              <w:pStyle w:val="TableCentre"/>
            </w:pPr>
            <w:r w:rsidRPr="002F74C6">
              <w:t>4</w:t>
            </w:r>
          </w:p>
        </w:tc>
      </w:tr>
      <w:tr w:rsidR="0086115F" w:rsidRPr="002F74C6" w14:paraId="4A211817" w14:textId="77777777" w:rsidTr="00C74343">
        <w:tc>
          <w:tcPr>
            <w:tcW w:w="3151" w:type="dxa"/>
            <w:hideMark/>
          </w:tcPr>
          <w:p w14:paraId="05FA08C7" w14:textId="77777777" w:rsidR="0086115F" w:rsidRPr="002F74C6" w:rsidRDefault="0086115F" w:rsidP="00C74343">
            <w:pPr>
              <w:pStyle w:val="TableText"/>
            </w:pPr>
            <w:r w:rsidRPr="002F74C6">
              <w:t>Nausea</w:t>
            </w:r>
          </w:p>
        </w:tc>
        <w:tc>
          <w:tcPr>
            <w:tcW w:w="1367" w:type="dxa"/>
            <w:hideMark/>
          </w:tcPr>
          <w:p w14:paraId="642F7FC0" w14:textId="77777777" w:rsidR="0086115F" w:rsidRPr="002F74C6" w:rsidRDefault="0086115F" w:rsidP="00C74343">
            <w:pPr>
              <w:pStyle w:val="TableCentre"/>
            </w:pPr>
            <w:r w:rsidRPr="002F74C6">
              <w:t>20</w:t>
            </w:r>
          </w:p>
        </w:tc>
        <w:tc>
          <w:tcPr>
            <w:tcW w:w="1620" w:type="dxa"/>
            <w:hideMark/>
          </w:tcPr>
          <w:p w14:paraId="0D44D134" w14:textId="77777777" w:rsidR="0086115F" w:rsidRPr="002F74C6" w:rsidRDefault="0086115F" w:rsidP="00C74343">
            <w:pPr>
              <w:pStyle w:val="TableCentre"/>
            </w:pPr>
            <w:r w:rsidRPr="002F74C6">
              <w:t>1</w:t>
            </w:r>
          </w:p>
        </w:tc>
        <w:tc>
          <w:tcPr>
            <w:tcW w:w="1530" w:type="dxa"/>
            <w:hideMark/>
          </w:tcPr>
          <w:p w14:paraId="241A7350" w14:textId="77777777" w:rsidR="0086115F" w:rsidRPr="002F74C6" w:rsidRDefault="0086115F" w:rsidP="00C74343">
            <w:pPr>
              <w:pStyle w:val="TableCentre"/>
            </w:pPr>
            <w:r w:rsidRPr="002F74C6">
              <w:t>14</w:t>
            </w:r>
          </w:p>
        </w:tc>
        <w:tc>
          <w:tcPr>
            <w:tcW w:w="1440" w:type="dxa"/>
            <w:hideMark/>
          </w:tcPr>
          <w:p w14:paraId="25C6791D" w14:textId="77777777" w:rsidR="0086115F" w:rsidRPr="002F74C6" w:rsidRDefault="0086115F" w:rsidP="00C74343">
            <w:pPr>
              <w:pStyle w:val="TableCentre"/>
            </w:pPr>
            <w:r w:rsidRPr="002F74C6">
              <w:t>1</w:t>
            </w:r>
          </w:p>
        </w:tc>
      </w:tr>
      <w:tr w:rsidR="0086115F" w:rsidRPr="002F74C6" w14:paraId="3CB12851" w14:textId="77777777" w:rsidTr="00C74343">
        <w:tc>
          <w:tcPr>
            <w:tcW w:w="3151" w:type="dxa"/>
            <w:hideMark/>
          </w:tcPr>
          <w:p w14:paraId="72A5F9ED" w14:textId="77777777" w:rsidR="0086115F" w:rsidRPr="002F74C6" w:rsidRDefault="0086115F" w:rsidP="00C74343">
            <w:pPr>
              <w:pStyle w:val="TableText"/>
            </w:pPr>
            <w:r w:rsidRPr="002F74C6">
              <w:t>Vomiting</w:t>
            </w:r>
          </w:p>
        </w:tc>
        <w:tc>
          <w:tcPr>
            <w:tcW w:w="1367" w:type="dxa"/>
            <w:hideMark/>
          </w:tcPr>
          <w:p w14:paraId="6471F58D" w14:textId="77777777" w:rsidR="0086115F" w:rsidRPr="002F74C6" w:rsidRDefault="0086115F" w:rsidP="00C74343">
            <w:pPr>
              <w:pStyle w:val="TableCentre"/>
            </w:pPr>
            <w:r w:rsidRPr="002F74C6">
              <w:t>16</w:t>
            </w:r>
          </w:p>
        </w:tc>
        <w:tc>
          <w:tcPr>
            <w:tcW w:w="1620" w:type="dxa"/>
            <w:hideMark/>
          </w:tcPr>
          <w:p w14:paraId="02E61731" w14:textId="77777777" w:rsidR="0086115F" w:rsidRPr="002F74C6" w:rsidRDefault="0086115F" w:rsidP="00C74343">
            <w:pPr>
              <w:pStyle w:val="TableCentre"/>
            </w:pPr>
            <w:r w:rsidRPr="002F74C6">
              <w:t>1</w:t>
            </w:r>
          </w:p>
        </w:tc>
        <w:tc>
          <w:tcPr>
            <w:tcW w:w="1530" w:type="dxa"/>
            <w:hideMark/>
          </w:tcPr>
          <w:p w14:paraId="501454AB" w14:textId="77777777" w:rsidR="0086115F" w:rsidRPr="002F74C6" w:rsidRDefault="0086115F" w:rsidP="00C74343">
            <w:pPr>
              <w:pStyle w:val="TableCentre"/>
            </w:pPr>
            <w:r w:rsidRPr="002F74C6">
              <w:t>8</w:t>
            </w:r>
          </w:p>
        </w:tc>
        <w:tc>
          <w:tcPr>
            <w:tcW w:w="1440" w:type="dxa"/>
            <w:hideMark/>
          </w:tcPr>
          <w:p w14:paraId="370101DC" w14:textId="77777777" w:rsidR="0086115F" w:rsidRPr="002F74C6" w:rsidRDefault="0086115F" w:rsidP="00C74343">
            <w:pPr>
              <w:pStyle w:val="TableCentre"/>
            </w:pPr>
            <w:r w:rsidRPr="002F74C6">
              <w:t>1</w:t>
            </w:r>
          </w:p>
        </w:tc>
      </w:tr>
      <w:tr w:rsidR="0086115F" w:rsidRPr="002F74C6" w14:paraId="57083619" w14:textId="77777777" w:rsidTr="00C74343">
        <w:tc>
          <w:tcPr>
            <w:tcW w:w="3151" w:type="dxa"/>
            <w:hideMark/>
          </w:tcPr>
          <w:p w14:paraId="73648BA2" w14:textId="77777777" w:rsidR="0086115F" w:rsidRPr="002F74C6" w:rsidRDefault="0086115F" w:rsidP="00C74343">
            <w:pPr>
              <w:pStyle w:val="TableText"/>
            </w:pPr>
            <w:r w:rsidRPr="002F74C6">
              <w:t>Constipation</w:t>
            </w:r>
          </w:p>
        </w:tc>
        <w:tc>
          <w:tcPr>
            <w:tcW w:w="1367" w:type="dxa"/>
            <w:hideMark/>
          </w:tcPr>
          <w:p w14:paraId="734DA861" w14:textId="77777777" w:rsidR="0086115F" w:rsidRPr="002F74C6" w:rsidRDefault="0086115F" w:rsidP="00C74343">
            <w:pPr>
              <w:pStyle w:val="TableCentre"/>
            </w:pPr>
            <w:r w:rsidRPr="002F74C6">
              <w:t>16</w:t>
            </w:r>
          </w:p>
        </w:tc>
        <w:tc>
          <w:tcPr>
            <w:tcW w:w="1620" w:type="dxa"/>
            <w:hideMark/>
          </w:tcPr>
          <w:p w14:paraId="05418C0D" w14:textId="77777777" w:rsidR="0086115F" w:rsidRPr="002F74C6" w:rsidRDefault="0086115F" w:rsidP="00C74343">
            <w:pPr>
              <w:pStyle w:val="TableCentre"/>
            </w:pPr>
            <w:r w:rsidRPr="002F74C6">
              <w:t>1</w:t>
            </w:r>
          </w:p>
        </w:tc>
        <w:tc>
          <w:tcPr>
            <w:tcW w:w="1530" w:type="dxa"/>
            <w:hideMark/>
          </w:tcPr>
          <w:p w14:paraId="3EA6771C" w14:textId="77777777" w:rsidR="0086115F" w:rsidRPr="002F74C6" w:rsidRDefault="0086115F" w:rsidP="00C74343">
            <w:pPr>
              <w:pStyle w:val="TableCentre"/>
            </w:pPr>
            <w:r w:rsidRPr="002F74C6">
              <w:t>11</w:t>
            </w:r>
          </w:p>
        </w:tc>
        <w:tc>
          <w:tcPr>
            <w:tcW w:w="1440" w:type="dxa"/>
            <w:hideMark/>
          </w:tcPr>
          <w:p w14:paraId="13344358" w14:textId="77777777" w:rsidR="0086115F" w:rsidRPr="002F74C6" w:rsidRDefault="0086115F" w:rsidP="00C74343">
            <w:pPr>
              <w:pStyle w:val="TableCentre"/>
            </w:pPr>
            <w:r w:rsidRPr="002F74C6">
              <w:t>0</w:t>
            </w:r>
          </w:p>
        </w:tc>
      </w:tr>
      <w:tr w:rsidR="0086115F" w:rsidRPr="002F74C6" w14:paraId="30F024A0" w14:textId="77777777" w:rsidTr="00C74343">
        <w:tc>
          <w:tcPr>
            <w:tcW w:w="3151" w:type="dxa"/>
            <w:hideMark/>
          </w:tcPr>
          <w:p w14:paraId="71104096" w14:textId="77777777" w:rsidR="0086115F" w:rsidRPr="00ED2DAB" w:rsidRDefault="0086115F" w:rsidP="00C74343">
            <w:pPr>
              <w:pStyle w:val="TableText"/>
              <w:rPr>
                <w:vertAlign w:val="superscript"/>
              </w:rPr>
            </w:pPr>
            <w:proofErr w:type="spellStart"/>
            <w:r w:rsidRPr="002F74C6">
              <w:t>Ascites</w:t>
            </w:r>
            <w:r>
              <w:rPr>
                <w:vertAlign w:val="superscript"/>
              </w:rPr>
              <w:t>c</w:t>
            </w:r>
            <w:proofErr w:type="spellEnd"/>
          </w:p>
        </w:tc>
        <w:tc>
          <w:tcPr>
            <w:tcW w:w="1367" w:type="dxa"/>
            <w:hideMark/>
          </w:tcPr>
          <w:p w14:paraId="178A9CBA" w14:textId="71B317C8" w:rsidR="0086115F" w:rsidRPr="002F74C6" w:rsidRDefault="0086115F" w:rsidP="00C74343">
            <w:pPr>
              <w:pStyle w:val="TableCentre"/>
            </w:pPr>
            <w:r w:rsidRPr="002F74C6">
              <w:t>1</w:t>
            </w:r>
            <w:r>
              <w:t>5</w:t>
            </w:r>
          </w:p>
        </w:tc>
        <w:tc>
          <w:tcPr>
            <w:tcW w:w="1620" w:type="dxa"/>
            <w:hideMark/>
          </w:tcPr>
          <w:p w14:paraId="3BAB4424" w14:textId="77777777" w:rsidR="0086115F" w:rsidRPr="002F74C6" w:rsidRDefault="0086115F" w:rsidP="00C74343">
            <w:pPr>
              <w:pStyle w:val="TableCentre"/>
            </w:pPr>
            <w:r w:rsidRPr="002F74C6">
              <w:t>4</w:t>
            </w:r>
          </w:p>
        </w:tc>
        <w:tc>
          <w:tcPr>
            <w:tcW w:w="1530" w:type="dxa"/>
            <w:hideMark/>
          </w:tcPr>
          <w:p w14:paraId="3461F83D" w14:textId="7EA446D1" w:rsidR="0086115F" w:rsidRPr="002F74C6" w:rsidRDefault="0086115F" w:rsidP="00C74343">
            <w:pPr>
              <w:pStyle w:val="TableCentre"/>
            </w:pPr>
            <w:r>
              <w:t>11</w:t>
            </w:r>
          </w:p>
        </w:tc>
        <w:tc>
          <w:tcPr>
            <w:tcW w:w="1440" w:type="dxa"/>
            <w:hideMark/>
          </w:tcPr>
          <w:p w14:paraId="2D7D09DD" w14:textId="77777777" w:rsidR="0086115F" w:rsidRPr="002F74C6" w:rsidRDefault="0086115F" w:rsidP="00C74343">
            <w:pPr>
              <w:pStyle w:val="TableCentre"/>
            </w:pPr>
            <w:r w:rsidRPr="002F74C6">
              <w:t>3</w:t>
            </w:r>
          </w:p>
        </w:tc>
      </w:tr>
      <w:tr w:rsidR="0086115F" w:rsidRPr="002F74C6" w14:paraId="1D57F7C2" w14:textId="77777777" w:rsidTr="00C74343">
        <w:tc>
          <w:tcPr>
            <w:tcW w:w="3151" w:type="dxa"/>
            <w:hideMark/>
          </w:tcPr>
          <w:p w14:paraId="07B9D097" w14:textId="7F3DC72B" w:rsidR="0086115F" w:rsidRPr="002F74C6" w:rsidRDefault="0086115F" w:rsidP="00C74343">
            <w:pPr>
              <w:pStyle w:val="TableText"/>
            </w:pPr>
            <w:r w:rsidRPr="002F74C6">
              <w:t xml:space="preserve">Stomatitis/Oral </w:t>
            </w:r>
            <w:proofErr w:type="spellStart"/>
            <w:r w:rsidRPr="002F74C6">
              <w:t>inflammation</w:t>
            </w:r>
            <w:r>
              <w:rPr>
                <w:vertAlign w:val="superscript"/>
              </w:rPr>
              <w:t>d</w:t>
            </w:r>
            <w:proofErr w:type="spellEnd"/>
          </w:p>
        </w:tc>
        <w:tc>
          <w:tcPr>
            <w:tcW w:w="1367" w:type="dxa"/>
            <w:hideMark/>
          </w:tcPr>
          <w:p w14:paraId="7E83E8C0" w14:textId="77777777" w:rsidR="0086115F" w:rsidRPr="002F74C6" w:rsidRDefault="0086115F" w:rsidP="00C74343">
            <w:pPr>
              <w:pStyle w:val="TableCentre"/>
            </w:pPr>
            <w:r w:rsidRPr="002F74C6">
              <w:t>11</w:t>
            </w:r>
          </w:p>
        </w:tc>
        <w:tc>
          <w:tcPr>
            <w:tcW w:w="1620" w:type="dxa"/>
            <w:hideMark/>
          </w:tcPr>
          <w:p w14:paraId="2584FAEC" w14:textId="77777777" w:rsidR="0086115F" w:rsidRPr="002F74C6" w:rsidRDefault="0086115F" w:rsidP="00C74343">
            <w:pPr>
              <w:pStyle w:val="TableCentre"/>
            </w:pPr>
            <w:r w:rsidRPr="002F74C6">
              <w:t>0</w:t>
            </w:r>
            <w:r>
              <w:t>.4</w:t>
            </w:r>
          </w:p>
        </w:tc>
        <w:tc>
          <w:tcPr>
            <w:tcW w:w="1530" w:type="dxa"/>
            <w:hideMark/>
          </w:tcPr>
          <w:p w14:paraId="799AFC3C" w14:textId="77777777" w:rsidR="0086115F" w:rsidRPr="002F74C6" w:rsidRDefault="0086115F" w:rsidP="00C74343">
            <w:pPr>
              <w:pStyle w:val="TableCentre"/>
            </w:pPr>
            <w:r w:rsidRPr="002F74C6">
              <w:t>14</w:t>
            </w:r>
          </w:p>
        </w:tc>
        <w:tc>
          <w:tcPr>
            <w:tcW w:w="1440" w:type="dxa"/>
            <w:hideMark/>
          </w:tcPr>
          <w:p w14:paraId="49CB7518" w14:textId="77777777" w:rsidR="0086115F" w:rsidRPr="002F74C6" w:rsidRDefault="0086115F" w:rsidP="00C74343">
            <w:pPr>
              <w:pStyle w:val="TableCentre"/>
            </w:pPr>
            <w:r w:rsidRPr="002F74C6">
              <w:t>1</w:t>
            </w:r>
          </w:p>
        </w:tc>
      </w:tr>
      <w:tr w:rsidR="0086115F" w:rsidRPr="002F74C6" w14:paraId="70CB8507" w14:textId="77777777" w:rsidTr="00C74343">
        <w:tc>
          <w:tcPr>
            <w:tcW w:w="9108" w:type="dxa"/>
            <w:gridSpan w:val="5"/>
          </w:tcPr>
          <w:p w14:paraId="52C87F61" w14:textId="77777777" w:rsidR="0086115F" w:rsidRPr="002F74C6" w:rsidRDefault="0086115F" w:rsidP="00C74343">
            <w:pPr>
              <w:pStyle w:val="TableHeading"/>
            </w:pPr>
            <w:r w:rsidRPr="002F74C6">
              <w:t>General Disorders and Administration Site Conditions</w:t>
            </w:r>
          </w:p>
        </w:tc>
      </w:tr>
      <w:tr w:rsidR="0086115F" w:rsidRPr="002F74C6" w14:paraId="69E4DE09" w14:textId="77777777" w:rsidTr="00C74343">
        <w:tc>
          <w:tcPr>
            <w:tcW w:w="3151" w:type="dxa"/>
            <w:hideMark/>
          </w:tcPr>
          <w:p w14:paraId="4ABB40BF" w14:textId="000EB795" w:rsidR="0086115F" w:rsidRPr="002F74C6" w:rsidRDefault="0086115F" w:rsidP="00C74343">
            <w:pPr>
              <w:pStyle w:val="TableText"/>
            </w:pPr>
            <w:proofErr w:type="spellStart"/>
            <w:r w:rsidRPr="002F74C6">
              <w:t>Fatigue</w:t>
            </w:r>
            <w:r>
              <w:rPr>
                <w:vertAlign w:val="superscript"/>
              </w:rPr>
              <w:t>e</w:t>
            </w:r>
            <w:proofErr w:type="spellEnd"/>
          </w:p>
        </w:tc>
        <w:tc>
          <w:tcPr>
            <w:tcW w:w="1367" w:type="dxa"/>
            <w:hideMark/>
          </w:tcPr>
          <w:p w14:paraId="0CAFCC1C" w14:textId="4FA58574" w:rsidR="0086115F" w:rsidRPr="002F74C6" w:rsidRDefault="0086115F" w:rsidP="00C74343">
            <w:pPr>
              <w:pStyle w:val="TableCentre"/>
            </w:pPr>
            <w:r w:rsidRPr="002F74C6">
              <w:t>4</w:t>
            </w:r>
            <w:r>
              <w:t>4</w:t>
            </w:r>
          </w:p>
        </w:tc>
        <w:tc>
          <w:tcPr>
            <w:tcW w:w="1620" w:type="dxa"/>
            <w:hideMark/>
          </w:tcPr>
          <w:p w14:paraId="4F361727" w14:textId="77777777" w:rsidR="0086115F" w:rsidRPr="002F74C6" w:rsidRDefault="0086115F" w:rsidP="00C74343">
            <w:pPr>
              <w:pStyle w:val="TableCentre"/>
            </w:pPr>
            <w:r w:rsidRPr="002F74C6">
              <w:t>7</w:t>
            </w:r>
          </w:p>
        </w:tc>
        <w:tc>
          <w:tcPr>
            <w:tcW w:w="1530" w:type="dxa"/>
            <w:hideMark/>
          </w:tcPr>
          <w:p w14:paraId="692309DC" w14:textId="77777777" w:rsidR="0086115F" w:rsidRPr="002F74C6" w:rsidRDefault="0086115F" w:rsidP="00C74343">
            <w:pPr>
              <w:pStyle w:val="TableCentre"/>
            </w:pPr>
            <w:r w:rsidRPr="002F74C6">
              <w:t>36</w:t>
            </w:r>
          </w:p>
        </w:tc>
        <w:tc>
          <w:tcPr>
            <w:tcW w:w="1440" w:type="dxa"/>
            <w:hideMark/>
          </w:tcPr>
          <w:p w14:paraId="003E1CD6" w14:textId="77777777" w:rsidR="0086115F" w:rsidRPr="002F74C6" w:rsidRDefault="0086115F" w:rsidP="00C74343">
            <w:pPr>
              <w:pStyle w:val="TableCentre"/>
            </w:pPr>
            <w:r w:rsidRPr="002F74C6">
              <w:t>6</w:t>
            </w:r>
          </w:p>
        </w:tc>
      </w:tr>
      <w:tr w:rsidR="0086115F" w:rsidRPr="002F74C6" w14:paraId="5D2855E4" w14:textId="77777777" w:rsidTr="00C74343">
        <w:tc>
          <w:tcPr>
            <w:tcW w:w="3151" w:type="dxa"/>
            <w:hideMark/>
          </w:tcPr>
          <w:p w14:paraId="0C26E421" w14:textId="1BFD8112" w:rsidR="0086115F" w:rsidRPr="00ED2DAB" w:rsidRDefault="0086115F" w:rsidP="00C74343">
            <w:pPr>
              <w:pStyle w:val="TableText"/>
              <w:rPr>
                <w:vertAlign w:val="superscript"/>
              </w:rPr>
            </w:pPr>
            <w:proofErr w:type="spellStart"/>
            <w:r w:rsidRPr="002F74C6">
              <w:t>Pyrexia</w:t>
            </w:r>
            <w:r>
              <w:rPr>
                <w:vertAlign w:val="superscript"/>
              </w:rPr>
              <w:t>f</w:t>
            </w:r>
            <w:proofErr w:type="spellEnd"/>
          </w:p>
        </w:tc>
        <w:tc>
          <w:tcPr>
            <w:tcW w:w="1367" w:type="dxa"/>
            <w:hideMark/>
          </w:tcPr>
          <w:p w14:paraId="4B0A7438" w14:textId="77777777" w:rsidR="0086115F" w:rsidRPr="002F74C6" w:rsidRDefault="0086115F" w:rsidP="00C74343">
            <w:pPr>
              <w:pStyle w:val="TableCentre"/>
            </w:pPr>
            <w:r w:rsidRPr="002F74C6">
              <w:t>15</w:t>
            </w:r>
          </w:p>
        </w:tc>
        <w:tc>
          <w:tcPr>
            <w:tcW w:w="1620" w:type="dxa"/>
            <w:hideMark/>
          </w:tcPr>
          <w:p w14:paraId="6B1964F4" w14:textId="77777777" w:rsidR="0086115F" w:rsidRPr="002F74C6" w:rsidRDefault="0086115F" w:rsidP="00C74343">
            <w:pPr>
              <w:pStyle w:val="TableCentre"/>
            </w:pPr>
            <w:r w:rsidRPr="002F74C6">
              <w:t>0</w:t>
            </w:r>
          </w:p>
        </w:tc>
        <w:tc>
          <w:tcPr>
            <w:tcW w:w="1530" w:type="dxa"/>
            <w:hideMark/>
          </w:tcPr>
          <w:p w14:paraId="4842D1F6" w14:textId="77777777" w:rsidR="0086115F" w:rsidRPr="002F74C6" w:rsidRDefault="0086115F" w:rsidP="00C74343">
            <w:pPr>
              <w:pStyle w:val="TableCentre"/>
            </w:pPr>
            <w:r w:rsidRPr="002F74C6">
              <w:t>14</w:t>
            </w:r>
          </w:p>
        </w:tc>
        <w:tc>
          <w:tcPr>
            <w:tcW w:w="1440" w:type="dxa"/>
            <w:hideMark/>
          </w:tcPr>
          <w:p w14:paraId="467DA4CE" w14:textId="77777777" w:rsidR="0086115F" w:rsidRPr="002F74C6" w:rsidRDefault="0086115F" w:rsidP="00C74343">
            <w:pPr>
              <w:pStyle w:val="TableCentre"/>
            </w:pPr>
            <w:r w:rsidRPr="002F74C6">
              <w:t>0</w:t>
            </w:r>
            <w:r>
              <w:t>.2</w:t>
            </w:r>
          </w:p>
        </w:tc>
      </w:tr>
      <w:tr w:rsidR="0086115F" w:rsidRPr="002F74C6" w14:paraId="57E86823" w14:textId="77777777" w:rsidTr="00C74343">
        <w:tc>
          <w:tcPr>
            <w:tcW w:w="3151" w:type="dxa"/>
            <w:hideMark/>
          </w:tcPr>
          <w:p w14:paraId="6F73EA9C" w14:textId="16ACD7B8" w:rsidR="0086115F" w:rsidRPr="002F74C6" w:rsidRDefault="0086115F" w:rsidP="00C74343">
            <w:pPr>
              <w:pStyle w:val="TableText"/>
            </w:pPr>
            <w:r w:rsidRPr="002F74C6">
              <w:t xml:space="preserve">Peripheral </w:t>
            </w:r>
            <w:r w:rsidR="00CA390F">
              <w:t>o</w:t>
            </w:r>
            <w:r w:rsidRPr="002F74C6">
              <w:t>edema</w:t>
            </w:r>
          </w:p>
        </w:tc>
        <w:tc>
          <w:tcPr>
            <w:tcW w:w="1367" w:type="dxa"/>
            <w:hideMark/>
          </w:tcPr>
          <w:p w14:paraId="4CFC5A42" w14:textId="77777777" w:rsidR="0086115F" w:rsidRPr="002F74C6" w:rsidRDefault="0086115F" w:rsidP="00C74343">
            <w:pPr>
              <w:pStyle w:val="TableCentre"/>
            </w:pPr>
            <w:r w:rsidRPr="002F74C6">
              <w:t>14</w:t>
            </w:r>
          </w:p>
        </w:tc>
        <w:tc>
          <w:tcPr>
            <w:tcW w:w="1620" w:type="dxa"/>
            <w:hideMark/>
          </w:tcPr>
          <w:p w14:paraId="081F6BEC" w14:textId="77777777" w:rsidR="0086115F" w:rsidRPr="002F74C6" w:rsidRDefault="0086115F" w:rsidP="00C74343">
            <w:pPr>
              <w:pStyle w:val="TableCentre"/>
            </w:pPr>
            <w:r w:rsidRPr="002F74C6">
              <w:t>1</w:t>
            </w:r>
          </w:p>
        </w:tc>
        <w:tc>
          <w:tcPr>
            <w:tcW w:w="1530" w:type="dxa"/>
            <w:hideMark/>
          </w:tcPr>
          <w:p w14:paraId="387BFD53" w14:textId="77777777" w:rsidR="0086115F" w:rsidRPr="002F74C6" w:rsidRDefault="0086115F" w:rsidP="00C74343">
            <w:pPr>
              <w:pStyle w:val="TableCentre"/>
            </w:pPr>
            <w:r w:rsidRPr="002F74C6">
              <w:t>7</w:t>
            </w:r>
          </w:p>
        </w:tc>
        <w:tc>
          <w:tcPr>
            <w:tcW w:w="1440" w:type="dxa"/>
            <w:hideMark/>
          </w:tcPr>
          <w:p w14:paraId="07B222A9" w14:textId="77777777" w:rsidR="0086115F" w:rsidRPr="002F74C6" w:rsidRDefault="0086115F" w:rsidP="00C74343">
            <w:pPr>
              <w:pStyle w:val="TableCentre"/>
            </w:pPr>
            <w:r w:rsidRPr="002F74C6">
              <w:t>0</w:t>
            </w:r>
            <w:r>
              <w:t>.2</w:t>
            </w:r>
          </w:p>
        </w:tc>
      </w:tr>
      <w:tr w:rsidR="0086115F" w:rsidRPr="002F74C6" w14:paraId="54DC5E5B" w14:textId="77777777" w:rsidTr="00C74343">
        <w:tc>
          <w:tcPr>
            <w:tcW w:w="9108" w:type="dxa"/>
            <w:gridSpan w:val="5"/>
          </w:tcPr>
          <w:p w14:paraId="09EFF024" w14:textId="77777777" w:rsidR="0086115F" w:rsidRPr="002F74C6" w:rsidRDefault="0086115F" w:rsidP="00C74343">
            <w:pPr>
              <w:pStyle w:val="TableHeading"/>
            </w:pPr>
            <w:r w:rsidRPr="002F74C6">
              <w:t>Investigations</w:t>
            </w:r>
          </w:p>
        </w:tc>
      </w:tr>
      <w:tr w:rsidR="0086115F" w:rsidRPr="002F74C6" w14:paraId="32A5EB10" w14:textId="77777777" w:rsidTr="00C74343">
        <w:tc>
          <w:tcPr>
            <w:tcW w:w="3151" w:type="dxa"/>
            <w:hideMark/>
          </w:tcPr>
          <w:p w14:paraId="251CBBA0" w14:textId="77777777" w:rsidR="0086115F" w:rsidRPr="002F74C6" w:rsidRDefault="0086115F" w:rsidP="00C74343">
            <w:pPr>
              <w:pStyle w:val="TableText"/>
            </w:pPr>
            <w:r w:rsidRPr="002F74C6">
              <w:t>Weight decreased</w:t>
            </w:r>
          </w:p>
        </w:tc>
        <w:tc>
          <w:tcPr>
            <w:tcW w:w="1367" w:type="dxa"/>
            <w:hideMark/>
          </w:tcPr>
          <w:p w14:paraId="5A56B88C" w14:textId="77777777" w:rsidR="0086115F" w:rsidRPr="002F74C6" w:rsidRDefault="0086115F" w:rsidP="00C74343">
            <w:pPr>
              <w:pStyle w:val="TableCentre"/>
            </w:pPr>
            <w:r w:rsidRPr="002F74C6">
              <w:t>31</w:t>
            </w:r>
          </w:p>
        </w:tc>
        <w:tc>
          <w:tcPr>
            <w:tcW w:w="1620" w:type="dxa"/>
            <w:hideMark/>
          </w:tcPr>
          <w:p w14:paraId="4BF2C161" w14:textId="77777777" w:rsidR="0086115F" w:rsidRPr="002F74C6" w:rsidRDefault="0086115F" w:rsidP="00C74343">
            <w:pPr>
              <w:pStyle w:val="TableCentre"/>
            </w:pPr>
            <w:r w:rsidRPr="002F74C6">
              <w:t>8</w:t>
            </w:r>
          </w:p>
        </w:tc>
        <w:tc>
          <w:tcPr>
            <w:tcW w:w="1530" w:type="dxa"/>
            <w:hideMark/>
          </w:tcPr>
          <w:p w14:paraId="3AF17D02" w14:textId="77777777" w:rsidR="0086115F" w:rsidRPr="002F74C6" w:rsidRDefault="0086115F" w:rsidP="00C74343">
            <w:pPr>
              <w:pStyle w:val="TableCentre"/>
            </w:pPr>
            <w:r w:rsidRPr="002F74C6">
              <w:t>22</w:t>
            </w:r>
          </w:p>
        </w:tc>
        <w:tc>
          <w:tcPr>
            <w:tcW w:w="1440" w:type="dxa"/>
            <w:hideMark/>
          </w:tcPr>
          <w:p w14:paraId="5D55763D" w14:textId="77777777" w:rsidR="0086115F" w:rsidRPr="002F74C6" w:rsidRDefault="0086115F" w:rsidP="00C74343">
            <w:pPr>
              <w:pStyle w:val="TableCentre"/>
            </w:pPr>
            <w:r w:rsidRPr="002F74C6">
              <w:t>3</w:t>
            </w:r>
          </w:p>
        </w:tc>
      </w:tr>
      <w:tr w:rsidR="0086115F" w:rsidRPr="002F74C6" w14:paraId="46C36CE6" w14:textId="77777777" w:rsidTr="00C74343">
        <w:tc>
          <w:tcPr>
            <w:tcW w:w="9108" w:type="dxa"/>
            <w:gridSpan w:val="5"/>
          </w:tcPr>
          <w:p w14:paraId="223783AE" w14:textId="77777777" w:rsidR="0086115F" w:rsidRPr="002F74C6" w:rsidRDefault="0086115F" w:rsidP="00C74343">
            <w:pPr>
              <w:pStyle w:val="TableHeading"/>
            </w:pPr>
            <w:r w:rsidRPr="002F74C6">
              <w:t>Metabolism and Nutrition Disorders</w:t>
            </w:r>
          </w:p>
        </w:tc>
      </w:tr>
      <w:tr w:rsidR="0086115F" w:rsidRPr="002F74C6" w14:paraId="56EA8DC9" w14:textId="77777777" w:rsidTr="00C74343">
        <w:tc>
          <w:tcPr>
            <w:tcW w:w="3151" w:type="dxa"/>
            <w:hideMark/>
          </w:tcPr>
          <w:p w14:paraId="5235805B" w14:textId="77777777" w:rsidR="0086115F" w:rsidRPr="002F74C6" w:rsidRDefault="0086115F" w:rsidP="00C74343">
            <w:pPr>
              <w:pStyle w:val="TableText"/>
            </w:pPr>
            <w:r w:rsidRPr="002F74C6">
              <w:t>Decreased appetite</w:t>
            </w:r>
          </w:p>
        </w:tc>
        <w:tc>
          <w:tcPr>
            <w:tcW w:w="1367" w:type="dxa"/>
            <w:hideMark/>
          </w:tcPr>
          <w:p w14:paraId="698A03DD" w14:textId="77777777" w:rsidR="0086115F" w:rsidRPr="002F74C6" w:rsidRDefault="0086115F" w:rsidP="00C74343">
            <w:pPr>
              <w:pStyle w:val="TableCentre"/>
            </w:pPr>
            <w:r w:rsidRPr="002F74C6">
              <w:t>34</w:t>
            </w:r>
          </w:p>
        </w:tc>
        <w:tc>
          <w:tcPr>
            <w:tcW w:w="1620" w:type="dxa"/>
            <w:hideMark/>
          </w:tcPr>
          <w:p w14:paraId="6EC32932" w14:textId="77777777" w:rsidR="0086115F" w:rsidRPr="002F74C6" w:rsidRDefault="0086115F" w:rsidP="00C74343">
            <w:pPr>
              <w:pStyle w:val="TableCentre"/>
            </w:pPr>
            <w:r w:rsidRPr="002F74C6">
              <w:t>5</w:t>
            </w:r>
          </w:p>
        </w:tc>
        <w:tc>
          <w:tcPr>
            <w:tcW w:w="1530" w:type="dxa"/>
            <w:hideMark/>
          </w:tcPr>
          <w:p w14:paraId="5010634A" w14:textId="77777777" w:rsidR="0086115F" w:rsidRPr="002F74C6" w:rsidRDefault="0086115F" w:rsidP="00C74343">
            <w:pPr>
              <w:pStyle w:val="TableCentre"/>
            </w:pPr>
            <w:r w:rsidRPr="002F74C6">
              <w:t>27</w:t>
            </w:r>
          </w:p>
        </w:tc>
        <w:tc>
          <w:tcPr>
            <w:tcW w:w="1440" w:type="dxa"/>
            <w:hideMark/>
          </w:tcPr>
          <w:p w14:paraId="1FBDFEF4" w14:textId="77777777" w:rsidR="0086115F" w:rsidRPr="002F74C6" w:rsidRDefault="0086115F" w:rsidP="00C74343">
            <w:pPr>
              <w:pStyle w:val="TableCentre"/>
            </w:pPr>
            <w:r w:rsidRPr="002F74C6">
              <w:t>1</w:t>
            </w:r>
          </w:p>
        </w:tc>
      </w:tr>
      <w:tr w:rsidR="0086115F" w:rsidRPr="002F74C6" w14:paraId="79CF6911" w14:textId="77777777" w:rsidTr="00C74343">
        <w:tc>
          <w:tcPr>
            <w:tcW w:w="9108" w:type="dxa"/>
            <w:gridSpan w:val="5"/>
          </w:tcPr>
          <w:p w14:paraId="7F4E4C3B" w14:textId="77777777" w:rsidR="0086115F" w:rsidRPr="002F74C6" w:rsidRDefault="0086115F" w:rsidP="00C74343">
            <w:pPr>
              <w:pStyle w:val="TableHeading"/>
            </w:pPr>
            <w:r w:rsidRPr="002F74C6">
              <w:t>Musculoskeletal and Connective Tissue Disorders</w:t>
            </w:r>
          </w:p>
        </w:tc>
      </w:tr>
      <w:tr w:rsidR="0086115F" w:rsidRPr="002F74C6" w14:paraId="52EEA4A0" w14:textId="77777777" w:rsidTr="00C74343">
        <w:tc>
          <w:tcPr>
            <w:tcW w:w="3151" w:type="dxa"/>
            <w:hideMark/>
          </w:tcPr>
          <w:p w14:paraId="24FEB820" w14:textId="674D4D0E" w:rsidR="0086115F" w:rsidRPr="002F74C6" w:rsidRDefault="0086115F" w:rsidP="00C74343">
            <w:pPr>
              <w:pStyle w:val="TableText"/>
            </w:pPr>
            <w:r w:rsidRPr="002F74C6">
              <w:t>Arthralgia/</w:t>
            </w:r>
            <w:proofErr w:type="spellStart"/>
            <w:r w:rsidRPr="002F74C6">
              <w:t>Myalgia</w:t>
            </w:r>
            <w:r>
              <w:rPr>
                <w:vertAlign w:val="superscript"/>
              </w:rPr>
              <w:t>g</w:t>
            </w:r>
            <w:proofErr w:type="spellEnd"/>
          </w:p>
        </w:tc>
        <w:tc>
          <w:tcPr>
            <w:tcW w:w="1367" w:type="dxa"/>
            <w:hideMark/>
          </w:tcPr>
          <w:p w14:paraId="5AEA5C58" w14:textId="77777777" w:rsidR="0086115F" w:rsidRPr="002F74C6" w:rsidRDefault="0086115F" w:rsidP="00C74343">
            <w:pPr>
              <w:pStyle w:val="TableCentre"/>
            </w:pPr>
            <w:r w:rsidRPr="002F74C6">
              <w:t>31</w:t>
            </w:r>
          </w:p>
        </w:tc>
        <w:tc>
          <w:tcPr>
            <w:tcW w:w="1620" w:type="dxa"/>
            <w:hideMark/>
          </w:tcPr>
          <w:p w14:paraId="6BE58910" w14:textId="77777777" w:rsidR="0086115F" w:rsidRPr="002F74C6" w:rsidRDefault="0086115F" w:rsidP="00C74343">
            <w:pPr>
              <w:pStyle w:val="TableCentre"/>
            </w:pPr>
            <w:r w:rsidRPr="002F74C6">
              <w:t>1</w:t>
            </w:r>
          </w:p>
        </w:tc>
        <w:tc>
          <w:tcPr>
            <w:tcW w:w="1530" w:type="dxa"/>
            <w:hideMark/>
          </w:tcPr>
          <w:p w14:paraId="5FC816A2" w14:textId="77777777" w:rsidR="0086115F" w:rsidRPr="002F74C6" w:rsidRDefault="0086115F" w:rsidP="00C74343">
            <w:pPr>
              <w:pStyle w:val="TableCentre"/>
            </w:pPr>
            <w:r w:rsidRPr="002F74C6">
              <w:t>20</w:t>
            </w:r>
          </w:p>
        </w:tc>
        <w:tc>
          <w:tcPr>
            <w:tcW w:w="1440" w:type="dxa"/>
            <w:hideMark/>
          </w:tcPr>
          <w:p w14:paraId="1A192D61" w14:textId="77777777" w:rsidR="0086115F" w:rsidRPr="002F74C6" w:rsidRDefault="0086115F" w:rsidP="00C74343">
            <w:pPr>
              <w:pStyle w:val="TableCentre"/>
            </w:pPr>
            <w:r w:rsidRPr="002F74C6">
              <w:t>2</w:t>
            </w:r>
          </w:p>
        </w:tc>
      </w:tr>
      <w:tr w:rsidR="0086115F" w:rsidRPr="002F74C6" w14:paraId="16F584CD" w14:textId="77777777" w:rsidTr="00C74343">
        <w:tc>
          <w:tcPr>
            <w:tcW w:w="9108" w:type="dxa"/>
            <w:gridSpan w:val="5"/>
          </w:tcPr>
          <w:p w14:paraId="282E656B" w14:textId="77777777" w:rsidR="0086115F" w:rsidRPr="002F74C6" w:rsidRDefault="0086115F" w:rsidP="00C74343">
            <w:pPr>
              <w:pStyle w:val="TableHeading"/>
            </w:pPr>
            <w:r w:rsidRPr="002F74C6">
              <w:t>Nervous System Disorders</w:t>
            </w:r>
          </w:p>
        </w:tc>
      </w:tr>
      <w:tr w:rsidR="0086115F" w:rsidRPr="002F74C6" w14:paraId="0A3EF649" w14:textId="77777777" w:rsidTr="00C74343">
        <w:tc>
          <w:tcPr>
            <w:tcW w:w="3151" w:type="dxa"/>
            <w:hideMark/>
          </w:tcPr>
          <w:p w14:paraId="63F47886" w14:textId="77777777" w:rsidR="0086115F" w:rsidRPr="002F74C6" w:rsidRDefault="0086115F" w:rsidP="00C74343">
            <w:pPr>
              <w:pStyle w:val="TableText"/>
            </w:pPr>
            <w:r w:rsidRPr="002F74C6">
              <w:t>Headache</w:t>
            </w:r>
          </w:p>
        </w:tc>
        <w:tc>
          <w:tcPr>
            <w:tcW w:w="1367" w:type="dxa"/>
            <w:hideMark/>
          </w:tcPr>
          <w:p w14:paraId="34C09488" w14:textId="77777777" w:rsidR="0086115F" w:rsidRPr="002F74C6" w:rsidRDefault="0086115F" w:rsidP="00C74343">
            <w:pPr>
              <w:pStyle w:val="TableCentre"/>
            </w:pPr>
            <w:r w:rsidRPr="002F74C6">
              <w:t>10</w:t>
            </w:r>
          </w:p>
        </w:tc>
        <w:tc>
          <w:tcPr>
            <w:tcW w:w="1620" w:type="dxa"/>
            <w:hideMark/>
          </w:tcPr>
          <w:p w14:paraId="5B0EF5CE" w14:textId="77777777" w:rsidR="0086115F" w:rsidRPr="002F74C6" w:rsidRDefault="0086115F" w:rsidP="00C74343">
            <w:pPr>
              <w:pStyle w:val="TableCentre"/>
            </w:pPr>
            <w:r w:rsidRPr="002F74C6">
              <w:t>1</w:t>
            </w:r>
          </w:p>
        </w:tc>
        <w:tc>
          <w:tcPr>
            <w:tcW w:w="1530" w:type="dxa"/>
            <w:hideMark/>
          </w:tcPr>
          <w:p w14:paraId="67F8B5DA" w14:textId="77777777" w:rsidR="0086115F" w:rsidRPr="002F74C6" w:rsidRDefault="0086115F" w:rsidP="00C74343">
            <w:pPr>
              <w:pStyle w:val="TableCentre"/>
            </w:pPr>
            <w:r w:rsidRPr="002F74C6">
              <w:t>8</w:t>
            </w:r>
          </w:p>
        </w:tc>
        <w:tc>
          <w:tcPr>
            <w:tcW w:w="1440" w:type="dxa"/>
            <w:hideMark/>
          </w:tcPr>
          <w:p w14:paraId="4B655A1D" w14:textId="77777777" w:rsidR="0086115F" w:rsidRPr="002F74C6" w:rsidRDefault="0086115F" w:rsidP="00C74343">
            <w:pPr>
              <w:pStyle w:val="TableCentre"/>
            </w:pPr>
            <w:r w:rsidRPr="002F74C6">
              <w:t>0</w:t>
            </w:r>
          </w:p>
        </w:tc>
      </w:tr>
      <w:tr w:rsidR="0086115F" w:rsidRPr="002F74C6" w14:paraId="072D981F" w14:textId="77777777" w:rsidTr="00C74343">
        <w:tc>
          <w:tcPr>
            <w:tcW w:w="9108" w:type="dxa"/>
            <w:gridSpan w:val="5"/>
          </w:tcPr>
          <w:p w14:paraId="2C7B09A4" w14:textId="77777777" w:rsidR="0086115F" w:rsidRPr="002F74C6" w:rsidRDefault="0086115F" w:rsidP="00C74343">
            <w:pPr>
              <w:pStyle w:val="TableHeading"/>
            </w:pPr>
            <w:r w:rsidRPr="002F74C6">
              <w:t>Renal and Urinary Disorders</w:t>
            </w:r>
          </w:p>
        </w:tc>
      </w:tr>
      <w:tr w:rsidR="0086115F" w:rsidRPr="002F74C6" w14:paraId="3463EE7B" w14:textId="77777777" w:rsidTr="00C74343">
        <w:tc>
          <w:tcPr>
            <w:tcW w:w="3151" w:type="dxa"/>
            <w:hideMark/>
          </w:tcPr>
          <w:p w14:paraId="7B3191EF" w14:textId="1B91F0CC" w:rsidR="0086115F" w:rsidRPr="002F74C6" w:rsidRDefault="0086115F" w:rsidP="00C74343">
            <w:pPr>
              <w:pStyle w:val="TableText"/>
            </w:pPr>
            <w:proofErr w:type="spellStart"/>
            <w:r w:rsidRPr="002F74C6">
              <w:t>Proteinuria</w:t>
            </w:r>
            <w:r>
              <w:rPr>
                <w:vertAlign w:val="superscript"/>
              </w:rPr>
              <w:t>h</w:t>
            </w:r>
            <w:proofErr w:type="spellEnd"/>
          </w:p>
        </w:tc>
        <w:tc>
          <w:tcPr>
            <w:tcW w:w="1367" w:type="dxa"/>
            <w:hideMark/>
          </w:tcPr>
          <w:p w14:paraId="37B87243" w14:textId="77777777" w:rsidR="0086115F" w:rsidRPr="002F74C6" w:rsidRDefault="0086115F" w:rsidP="00C74343">
            <w:pPr>
              <w:pStyle w:val="TableCentre"/>
            </w:pPr>
            <w:r w:rsidRPr="002F74C6">
              <w:t>26</w:t>
            </w:r>
          </w:p>
        </w:tc>
        <w:tc>
          <w:tcPr>
            <w:tcW w:w="1620" w:type="dxa"/>
            <w:hideMark/>
          </w:tcPr>
          <w:p w14:paraId="3A045885" w14:textId="77777777" w:rsidR="0086115F" w:rsidRPr="002F74C6" w:rsidRDefault="0086115F" w:rsidP="00C74343">
            <w:pPr>
              <w:pStyle w:val="TableCentre"/>
            </w:pPr>
            <w:r w:rsidRPr="002F74C6">
              <w:t>6</w:t>
            </w:r>
          </w:p>
        </w:tc>
        <w:tc>
          <w:tcPr>
            <w:tcW w:w="1530" w:type="dxa"/>
            <w:hideMark/>
          </w:tcPr>
          <w:p w14:paraId="53C4BA89" w14:textId="77777777" w:rsidR="0086115F" w:rsidRPr="002F74C6" w:rsidRDefault="0086115F" w:rsidP="00C74343">
            <w:pPr>
              <w:pStyle w:val="TableCentre"/>
            </w:pPr>
            <w:r w:rsidRPr="002F74C6">
              <w:t>12</w:t>
            </w:r>
          </w:p>
        </w:tc>
        <w:tc>
          <w:tcPr>
            <w:tcW w:w="1440" w:type="dxa"/>
            <w:hideMark/>
          </w:tcPr>
          <w:p w14:paraId="3D34F9E7" w14:textId="77777777" w:rsidR="0086115F" w:rsidRPr="002F74C6" w:rsidRDefault="0086115F" w:rsidP="00C74343">
            <w:pPr>
              <w:pStyle w:val="TableCentre"/>
            </w:pPr>
            <w:r w:rsidRPr="002F74C6">
              <w:t>2</w:t>
            </w:r>
          </w:p>
        </w:tc>
      </w:tr>
      <w:tr w:rsidR="0086115F" w:rsidRPr="002F74C6" w14:paraId="15262EAF" w14:textId="77777777" w:rsidTr="00C74343">
        <w:tc>
          <w:tcPr>
            <w:tcW w:w="9108" w:type="dxa"/>
            <w:gridSpan w:val="5"/>
          </w:tcPr>
          <w:p w14:paraId="78C0BD2C" w14:textId="77777777" w:rsidR="0086115F" w:rsidRPr="002F74C6" w:rsidRDefault="0086115F" w:rsidP="00C74343">
            <w:pPr>
              <w:pStyle w:val="TableHeading"/>
            </w:pPr>
            <w:r w:rsidRPr="002F74C6">
              <w:t>Respiratory, Thoracic and Mediastinal Disorders</w:t>
            </w:r>
          </w:p>
        </w:tc>
      </w:tr>
      <w:tr w:rsidR="0086115F" w:rsidRPr="002F74C6" w14:paraId="2E70FFC9" w14:textId="77777777" w:rsidTr="00C74343">
        <w:tc>
          <w:tcPr>
            <w:tcW w:w="3151" w:type="dxa"/>
            <w:hideMark/>
          </w:tcPr>
          <w:p w14:paraId="74D9A00D" w14:textId="77777777" w:rsidR="0086115F" w:rsidRPr="002F74C6" w:rsidRDefault="0086115F" w:rsidP="00C74343">
            <w:pPr>
              <w:pStyle w:val="TableText"/>
            </w:pPr>
            <w:r w:rsidRPr="002F74C6">
              <w:t>Dysphonia</w:t>
            </w:r>
          </w:p>
        </w:tc>
        <w:tc>
          <w:tcPr>
            <w:tcW w:w="1367" w:type="dxa"/>
            <w:hideMark/>
          </w:tcPr>
          <w:p w14:paraId="5BDE0091" w14:textId="77777777" w:rsidR="0086115F" w:rsidRPr="002F74C6" w:rsidRDefault="0086115F" w:rsidP="00C74343">
            <w:pPr>
              <w:pStyle w:val="TableCentre"/>
            </w:pPr>
            <w:r w:rsidRPr="002F74C6">
              <w:t>24</w:t>
            </w:r>
          </w:p>
        </w:tc>
        <w:tc>
          <w:tcPr>
            <w:tcW w:w="1620" w:type="dxa"/>
            <w:hideMark/>
          </w:tcPr>
          <w:p w14:paraId="6EC89F74" w14:textId="77777777" w:rsidR="0086115F" w:rsidRPr="002F74C6" w:rsidRDefault="0086115F" w:rsidP="00C74343">
            <w:pPr>
              <w:pStyle w:val="TableCentre"/>
            </w:pPr>
            <w:r w:rsidRPr="002F74C6">
              <w:t>0</w:t>
            </w:r>
            <w:r>
              <w:t>.2</w:t>
            </w:r>
          </w:p>
        </w:tc>
        <w:tc>
          <w:tcPr>
            <w:tcW w:w="1530" w:type="dxa"/>
            <w:hideMark/>
          </w:tcPr>
          <w:p w14:paraId="219A0ABF" w14:textId="77777777" w:rsidR="0086115F" w:rsidRPr="002F74C6" w:rsidRDefault="0086115F" w:rsidP="00C74343">
            <w:pPr>
              <w:pStyle w:val="TableCentre"/>
            </w:pPr>
            <w:r w:rsidRPr="002F74C6">
              <w:t>12</w:t>
            </w:r>
          </w:p>
        </w:tc>
        <w:tc>
          <w:tcPr>
            <w:tcW w:w="1440" w:type="dxa"/>
            <w:hideMark/>
          </w:tcPr>
          <w:p w14:paraId="2D9B008D" w14:textId="77777777" w:rsidR="0086115F" w:rsidRPr="002F74C6" w:rsidRDefault="0086115F" w:rsidP="00C74343">
            <w:pPr>
              <w:pStyle w:val="TableCentre"/>
            </w:pPr>
            <w:r w:rsidRPr="002F74C6">
              <w:t>0</w:t>
            </w:r>
          </w:p>
        </w:tc>
      </w:tr>
      <w:tr w:rsidR="0086115F" w:rsidRPr="002F74C6" w14:paraId="7A288B8B" w14:textId="77777777" w:rsidTr="00C74343">
        <w:tc>
          <w:tcPr>
            <w:tcW w:w="9108" w:type="dxa"/>
            <w:gridSpan w:val="5"/>
          </w:tcPr>
          <w:p w14:paraId="40117E56" w14:textId="77777777" w:rsidR="0086115F" w:rsidRPr="002F74C6" w:rsidRDefault="0086115F" w:rsidP="00C74343">
            <w:pPr>
              <w:pStyle w:val="TableHeading"/>
            </w:pPr>
            <w:r w:rsidRPr="002F74C6">
              <w:t>Skin and Subcutaneous Tissue Disorders</w:t>
            </w:r>
          </w:p>
        </w:tc>
      </w:tr>
      <w:tr w:rsidR="0086115F" w:rsidRPr="002F74C6" w14:paraId="54357C45" w14:textId="77777777" w:rsidTr="00C74343">
        <w:tc>
          <w:tcPr>
            <w:tcW w:w="3151" w:type="dxa"/>
          </w:tcPr>
          <w:p w14:paraId="007E5FB1" w14:textId="77777777" w:rsidR="0086115F" w:rsidRPr="002F74C6" w:rsidRDefault="0086115F" w:rsidP="00C74343">
            <w:pPr>
              <w:pStyle w:val="TableText"/>
            </w:pPr>
            <w:r w:rsidRPr="002F74C6">
              <w:t xml:space="preserve">Palmar-plantar </w:t>
            </w:r>
            <w:proofErr w:type="spellStart"/>
            <w:r w:rsidRPr="002F74C6">
              <w:t>erythrodysaesthesia</w:t>
            </w:r>
            <w:proofErr w:type="spellEnd"/>
            <w:r w:rsidRPr="002F74C6">
              <w:t xml:space="preserve"> syndrome</w:t>
            </w:r>
          </w:p>
        </w:tc>
        <w:tc>
          <w:tcPr>
            <w:tcW w:w="1367" w:type="dxa"/>
          </w:tcPr>
          <w:p w14:paraId="0B29B716" w14:textId="77777777" w:rsidR="0086115F" w:rsidRPr="002F74C6" w:rsidRDefault="0086115F" w:rsidP="00C74343">
            <w:pPr>
              <w:pStyle w:val="TableCentre"/>
            </w:pPr>
            <w:r w:rsidRPr="002F74C6">
              <w:t>27</w:t>
            </w:r>
          </w:p>
        </w:tc>
        <w:tc>
          <w:tcPr>
            <w:tcW w:w="1620" w:type="dxa"/>
          </w:tcPr>
          <w:p w14:paraId="5A6179CB" w14:textId="77777777" w:rsidR="0086115F" w:rsidRPr="002F74C6" w:rsidRDefault="0086115F" w:rsidP="00C74343">
            <w:pPr>
              <w:pStyle w:val="TableCentre"/>
            </w:pPr>
            <w:r w:rsidRPr="002F74C6">
              <w:t>3</w:t>
            </w:r>
          </w:p>
        </w:tc>
        <w:tc>
          <w:tcPr>
            <w:tcW w:w="1530" w:type="dxa"/>
          </w:tcPr>
          <w:p w14:paraId="688A4BEE" w14:textId="77777777" w:rsidR="0086115F" w:rsidRPr="002F74C6" w:rsidRDefault="0086115F" w:rsidP="00C74343">
            <w:pPr>
              <w:pStyle w:val="TableCentre"/>
            </w:pPr>
            <w:r w:rsidRPr="002F74C6">
              <w:t>52</w:t>
            </w:r>
          </w:p>
        </w:tc>
        <w:tc>
          <w:tcPr>
            <w:tcW w:w="1440" w:type="dxa"/>
          </w:tcPr>
          <w:p w14:paraId="1C8FD044" w14:textId="77777777" w:rsidR="0086115F" w:rsidRPr="002F74C6" w:rsidRDefault="0086115F" w:rsidP="00C74343">
            <w:pPr>
              <w:pStyle w:val="TableCentre"/>
            </w:pPr>
            <w:r w:rsidRPr="002F74C6">
              <w:t>11</w:t>
            </w:r>
          </w:p>
        </w:tc>
      </w:tr>
      <w:tr w:rsidR="0086115F" w:rsidRPr="002F74C6" w14:paraId="4417D16B" w14:textId="77777777" w:rsidTr="00C74343">
        <w:tc>
          <w:tcPr>
            <w:tcW w:w="3151" w:type="dxa"/>
            <w:hideMark/>
          </w:tcPr>
          <w:p w14:paraId="22ED4C6B" w14:textId="48CF8C5D" w:rsidR="0086115F" w:rsidRPr="002F74C6" w:rsidRDefault="0086115F" w:rsidP="00C74343">
            <w:pPr>
              <w:pStyle w:val="TableText"/>
            </w:pPr>
            <w:proofErr w:type="spellStart"/>
            <w:r w:rsidRPr="002F74C6">
              <w:t>Rash</w:t>
            </w:r>
            <w:r>
              <w:rPr>
                <w:vertAlign w:val="superscript"/>
              </w:rPr>
              <w:t>i</w:t>
            </w:r>
            <w:proofErr w:type="spellEnd"/>
          </w:p>
        </w:tc>
        <w:tc>
          <w:tcPr>
            <w:tcW w:w="1367" w:type="dxa"/>
            <w:hideMark/>
          </w:tcPr>
          <w:p w14:paraId="04996730" w14:textId="77777777" w:rsidR="0086115F" w:rsidRPr="002F74C6" w:rsidRDefault="0086115F" w:rsidP="00C74343">
            <w:pPr>
              <w:pStyle w:val="TableCentre"/>
            </w:pPr>
            <w:r w:rsidRPr="002F74C6">
              <w:t>14</w:t>
            </w:r>
          </w:p>
        </w:tc>
        <w:tc>
          <w:tcPr>
            <w:tcW w:w="1620" w:type="dxa"/>
            <w:hideMark/>
          </w:tcPr>
          <w:p w14:paraId="0C184667" w14:textId="77777777" w:rsidR="0086115F" w:rsidRPr="002F74C6" w:rsidRDefault="0086115F" w:rsidP="00C74343">
            <w:pPr>
              <w:pStyle w:val="TableCentre"/>
            </w:pPr>
            <w:r w:rsidRPr="002F74C6">
              <w:t>0</w:t>
            </w:r>
          </w:p>
        </w:tc>
        <w:tc>
          <w:tcPr>
            <w:tcW w:w="1530" w:type="dxa"/>
            <w:hideMark/>
          </w:tcPr>
          <w:p w14:paraId="1A51861B" w14:textId="77777777" w:rsidR="0086115F" w:rsidRPr="002F74C6" w:rsidRDefault="0086115F" w:rsidP="00C74343">
            <w:pPr>
              <w:pStyle w:val="TableCentre"/>
            </w:pPr>
            <w:r w:rsidRPr="002F74C6">
              <w:t>24</w:t>
            </w:r>
          </w:p>
        </w:tc>
        <w:tc>
          <w:tcPr>
            <w:tcW w:w="1440" w:type="dxa"/>
            <w:hideMark/>
          </w:tcPr>
          <w:p w14:paraId="4492857C" w14:textId="77777777" w:rsidR="0086115F" w:rsidRPr="002F74C6" w:rsidRDefault="0086115F" w:rsidP="00C74343">
            <w:pPr>
              <w:pStyle w:val="TableCentre"/>
            </w:pPr>
            <w:r w:rsidRPr="002F74C6">
              <w:t>2</w:t>
            </w:r>
          </w:p>
        </w:tc>
      </w:tr>
      <w:tr w:rsidR="0086115F" w:rsidRPr="002F74C6" w14:paraId="3ADE9785" w14:textId="77777777" w:rsidTr="00C74343">
        <w:tc>
          <w:tcPr>
            <w:tcW w:w="9108" w:type="dxa"/>
            <w:gridSpan w:val="5"/>
          </w:tcPr>
          <w:p w14:paraId="60C9DADF" w14:textId="77777777" w:rsidR="0086115F" w:rsidRPr="002F74C6" w:rsidRDefault="0086115F" w:rsidP="00C74343">
            <w:pPr>
              <w:pStyle w:val="TableHeading"/>
            </w:pPr>
            <w:r w:rsidRPr="002F74C6">
              <w:t>Vascular Disorders</w:t>
            </w:r>
          </w:p>
        </w:tc>
      </w:tr>
      <w:tr w:rsidR="0086115F" w:rsidRPr="002F74C6" w14:paraId="42B706E1" w14:textId="77777777" w:rsidTr="00C74343">
        <w:tc>
          <w:tcPr>
            <w:tcW w:w="3151" w:type="dxa"/>
          </w:tcPr>
          <w:p w14:paraId="0867A27C" w14:textId="5D48A5D9" w:rsidR="0086115F" w:rsidRPr="002F74C6" w:rsidRDefault="0086115F" w:rsidP="00C74343">
            <w:pPr>
              <w:pStyle w:val="TableText"/>
            </w:pPr>
            <w:proofErr w:type="spellStart"/>
            <w:r w:rsidRPr="002F74C6">
              <w:t>Hypertension</w:t>
            </w:r>
            <w:r>
              <w:rPr>
                <w:vertAlign w:val="superscript"/>
              </w:rPr>
              <w:t>j</w:t>
            </w:r>
            <w:proofErr w:type="spellEnd"/>
          </w:p>
        </w:tc>
        <w:tc>
          <w:tcPr>
            <w:tcW w:w="1367" w:type="dxa"/>
          </w:tcPr>
          <w:p w14:paraId="0AD1285F" w14:textId="77777777" w:rsidR="0086115F" w:rsidRPr="002F74C6" w:rsidRDefault="0086115F" w:rsidP="00C74343">
            <w:pPr>
              <w:pStyle w:val="TableCentre"/>
            </w:pPr>
            <w:r w:rsidRPr="002F74C6">
              <w:t>45</w:t>
            </w:r>
          </w:p>
        </w:tc>
        <w:tc>
          <w:tcPr>
            <w:tcW w:w="1620" w:type="dxa"/>
          </w:tcPr>
          <w:p w14:paraId="15067644" w14:textId="77777777" w:rsidR="0086115F" w:rsidRPr="002F74C6" w:rsidRDefault="0086115F" w:rsidP="00C74343">
            <w:pPr>
              <w:pStyle w:val="TableCentre"/>
            </w:pPr>
            <w:r w:rsidRPr="002F74C6">
              <w:t>24</w:t>
            </w:r>
          </w:p>
        </w:tc>
        <w:tc>
          <w:tcPr>
            <w:tcW w:w="1530" w:type="dxa"/>
          </w:tcPr>
          <w:p w14:paraId="33F3D98F" w14:textId="77777777" w:rsidR="0086115F" w:rsidRPr="002F74C6" w:rsidRDefault="0086115F" w:rsidP="00C74343">
            <w:pPr>
              <w:pStyle w:val="TableCentre"/>
            </w:pPr>
            <w:r w:rsidRPr="002F74C6">
              <w:t>31</w:t>
            </w:r>
          </w:p>
        </w:tc>
        <w:tc>
          <w:tcPr>
            <w:tcW w:w="1440" w:type="dxa"/>
          </w:tcPr>
          <w:p w14:paraId="2CEE0809" w14:textId="77777777" w:rsidR="0086115F" w:rsidRPr="002F74C6" w:rsidRDefault="0086115F" w:rsidP="00C74343">
            <w:pPr>
              <w:pStyle w:val="TableCentre"/>
            </w:pPr>
            <w:r w:rsidRPr="002F74C6">
              <w:t>15</w:t>
            </w:r>
          </w:p>
        </w:tc>
      </w:tr>
      <w:tr w:rsidR="0086115F" w:rsidRPr="002F74C6" w14:paraId="49D5C0B6" w14:textId="77777777" w:rsidTr="00C74343">
        <w:tc>
          <w:tcPr>
            <w:tcW w:w="3151" w:type="dxa"/>
            <w:tcBorders>
              <w:bottom w:val="single" w:sz="4" w:space="0" w:color="auto"/>
            </w:tcBorders>
            <w:hideMark/>
          </w:tcPr>
          <w:p w14:paraId="028FB5C4" w14:textId="470F5C69" w:rsidR="0086115F" w:rsidRPr="002F74C6" w:rsidRDefault="0086115F" w:rsidP="00C74343">
            <w:pPr>
              <w:pStyle w:val="TableText"/>
            </w:pPr>
            <w:r w:rsidRPr="002F74C6">
              <w:t xml:space="preserve">Haemorrhagic </w:t>
            </w:r>
            <w:proofErr w:type="spellStart"/>
            <w:r w:rsidRPr="002F74C6">
              <w:t>events</w:t>
            </w:r>
            <w:r>
              <w:rPr>
                <w:vertAlign w:val="superscript"/>
              </w:rPr>
              <w:t>k</w:t>
            </w:r>
            <w:proofErr w:type="spellEnd"/>
          </w:p>
        </w:tc>
        <w:tc>
          <w:tcPr>
            <w:tcW w:w="1367" w:type="dxa"/>
            <w:tcBorders>
              <w:bottom w:val="single" w:sz="4" w:space="0" w:color="auto"/>
            </w:tcBorders>
            <w:hideMark/>
          </w:tcPr>
          <w:p w14:paraId="5E3CD361" w14:textId="77777777" w:rsidR="0086115F" w:rsidRPr="002F74C6" w:rsidRDefault="0086115F" w:rsidP="00C74343">
            <w:pPr>
              <w:pStyle w:val="TableCentre"/>
            </w:pPr>
            <w:r w:rsidRPr="002F74C6">
              <w:t>23</w:t>
            </w:r>
          </w:p>
        </w:tc>
        <w:tc>
          <w:tcPr>
            <w:tcW w:w="1620" w:type="dxa"/>
            <w:tcBorders>
              <w:bottom w:val="single" w:sz="4" w:space="0" w:color="auto"/>
            </w:tcBorders>
            <w:hideMark/>
          </w:tcPr>
          <w:p w14:paraId="5E860C67" w14:textId="77777777" w:rsidR="0086115F" w:rsidRPr="002F74C6" w:rsidRDefault="0086115F" w:rsidP="00C74343">
            <w:pPr>
              <w:pStyle w:val="TableCentre"/>
            </w:pPr>
            <w:r w:rsidRPr="002F74C6">
              <w:t>4</w:t>
            </w:r>
          </w:p>
        </w:tc>
        <w:tc>
          <w:tcPr>
            <w:tcW w:w="1530" w:type="dxa"/>
            <w:tcBorders>
              <w:bottom w:val="single" w:sz="4" w:space="0" w:color="auto"/>
            </w:tcBorders>
            <w:hideMark/>
          </w:tcPr>
          <w:p w14:paraId="5796A5EE" w14:textId="77777777" w:rsidR="0086115F" w:rsidRPr="002F74C6" w:rsidRDefault="0086115F" w:rsidP="00C74343">
            <w:pPr>
              <w:pStyle w:val="TableCentre"/>
            </w:pPr>
            <w:r w:rsidRPr="002F74C6">
              <w:t>15</w:t>
            </w:r>
          </w:p>
        </w:tc>
        <w:tc>
          <w:tcPr>
            <w:tcW w:w="1440" w:type="dxa"/>
            <w:tcBorders>
              <w:bottom w:val="single" w:sz="4" w:space="0" w:color="auto"/>
            </w:tcBorders>
            <w:hideMark/>
          </w:tcPr>
          <w:p w14:paraId="4968857C" w14:textId="77777777" w:rsidR="0086115F" w:rsidRPr="002F74C6" w:rsidRDefault="0086115F" w:rsidP="00C74343">
            <w:pPr>
              <w:pStyle w:val="TableCentre"/>
            </w:pPr>
            <w:r w:rsidRPr="002F74C6">
              <w:t>4</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6"/>
        <w:gridCol w:w="2057"/>
        <w:gridCol w:w="2076"/>
      </w:tblGrid>
      <w:tr w:rsidR="009868CF" w:rsidRPr="00B56940" w14:paraId="3A0E8224" w14:textId="77777777" w:rsidTr="007F5F59">
        <w:trPr>
          <w:cantSplit/>
          <w:tblHeader/>
        </w:trPr>
        <w:tc>
          <w:tcPr>
            <w:tcW w:w="8999" w:type="dxa"/>
            <w:gridSpan w:val="3"/>
            <w:tcBorders>
              <w:top w:val="nil"/>
              <w:left w:val="nil"/>
              <w:right w:val="nil"/>
            </w:tcBorders>
            <w:shd w:val="clear" w:color="auto" w:fill="FFFFFF"/>
            <w:vAlign w:val="bottom"/>
          </w:tcPr>
          <w:p w14:paraId="227D4F32" w14:textId="77777777" w:rsidR="006540BC" w:rsidRDefault="006540BC" w:rsidP="006540BC">
            <w:pPr>
              <w:pStyle w:val="TableFootnote-list"/>
              <w:numPr>
                <w:ilvl w:val="0"/>
                <w:numId w:val="27"/>
              </w:numPr>
            </w:pPr>
            <w:r w:rsidRPr="00095A29">
              <w:lastRenderedPageBreak/>
              <w:t>Includes hypothyroidism, blood thyroid stimulating hormone increased.</w:t>
            </w:r>
          </w:p>
          <w:p w14:paraId="3C54090E" w14:textId="77777777" w:rsidR="006540BC" w:rsidRPr="002F74C6" w:rsidRDefault="006540BC" w:rsidP="006540BC">
            <w:pPr>
              <w:pStyle w:val="TableFootnote-list"/>
              <w:numPr>
                <w:ilvl w:val="0"/>
                <w:numId w:val="27"/>
              </w:numPr>
            </w:pPr>
            <w:r w:rsidRPr="002F74C6">
              <w:t xml:space="preserve">Includes abdominal discomfort, abdominal pain, abdominal tenderness, epigastric discomfort, gastrointestinal pain, lower abdominal pain, and upper abdominal pain </w:t>
            </w:r>
          </w:p>
          <w:p w14:paraId="7EEC3A65" w14:textId="77777777" w:rsidR="006540BC" w:rsidRDefault="006540BC" w:rsidP="006540BC">
            <w:pPr>
              <w:pStyle w:val="TableFootnote-list"/>
            </w:pPr>
            <w:r w:rsidRPr="00B97549">
              <w:t>Includes ascites and malignant ascites</w:t>
            </w:r>
          </w:p>
          <w:p w14:paraId="47892C80" w14:textId="77777777" w:rsidR="006540BC" w:rsidRPr="00ED2DAB" w:rsidRDefault="006540BC" w:rsidP="006540BC">
            <w:pPr>
              <w:pStyle w:val="TableFootnote-list"/>
            </w:pPr>
            <w:r w:rsidRPr="002F74C6">
              <w:t xml:space="preserve">Includes </w:t>
            </w:r>
            <w:proofErr w:type="spellStart"/>
            <w:r w:rsidRPr="002F74C6">
              <w:t>aphthous</w:t>
            </w:r>
            <w:proofErr w:type="spellEnd"/>
            <w:r w:rsidRPr="002F74C6">
              <w:t xml:space="preserve"> ulcer, gingival erosion, gingival ulceration, glossitis, mouth ulceration, oral mucosal blistering, and stomatitis</w:t>
            </w:r>
          </w:p>
          <w:p w14:paraId="747D156B" w14:textId="77777777" w:rsidR="006540BC" w:rsidRDefault="006540BC" w:rsidP="006540BC">
            <w:pPr>
              <w:pStyle w:val="TableFootnote-list"/>
            </w:pPr>
            <w:r w:rsidRPr="002F74C6">
              <w:t>Includes asthenia, fatigue, lethargy and malaise</w:t>
            </w:r>
          </w:p>
          <w:p w14:paraId="7DABB1CA" w14:textId="77777777" w:rsidR="006540BC" w:rsidRPr="002F74C6" w:rsidRDefault="006540BC" w:rsidP="006540BC">
            <w:pPr>
              <w:pStyle w:val="TableFootnote-list"/>
            </w:pPr>
            <w:r w:rsidRPr="00ED2DAB">
              <w:t>Includes increased body temperature, pyrexia</w:t>
            </w:r>
          </w:p>
          <w:p w14:paraId="3ED07F67" w14:textId="77777777" w:rsidR="006540BC" w:rsidRPr="002F74C6" w:rsidRDefault="006540BC" w:rsidP="006540BC">
            <w:pPr>
              <w:pStyle w:val="TableFootnote-list"/>
            </w:pPr>
            <w:r w:rsidRPr="002F74C6">
              <w:t>Includes arthralgia, back pain, extremity pain, musculoskeletal chest pain, musculoskeletal discomfort, musculoskeletal pain, and myalgia</w:t>
            </w:r>
          </w:p>
          <w:p w14:paraId="5FB47758" w14:textId="77777777" w:rsidR="006540BC" w:rsidRPr="002F74C6" w:rsidRDefault="006540BC" w:rsidP="006540BC">
            <w:pPr>
              <w:pStyle w:val="TableFootnote-list"/>
            </w:pPr>
            <w:r w:rsidRPr="002F74C6">
              <w:t xml:space="preserve">Includes proteinuria, increased urine protein, and increased urine protein/creatinine ratio </w:t>
            </w:r>
          </w:p>
          <w:p w14:paraId="29535E83" w14:textId="77777777" w:rsidR="006540BC" w:rsidRPr="002F74C6" w:rsidRDefault="006540BC" w:rsidP="006540BC">
            <w:pPr>
              <w:pStyle w:val="TableFootnote-list"/>
            </w:pPr>
            <w:r w:rsidRPr="002F74C6">
              <w:t xml:space="preserve">Includes erythema, erythematous rash, </w:t>
            </w:r>
            <w:proofErr w:type="spellStart"/>
            <w:r w:rsidRPr="002F74C6">
              <w:t>exfoliative</w:t>
            </w:r>
            <w:proofErr w:type="spellEnd"/>
            <w:r w:rsidRPr="002F74C6">
              <w:t xml:space="preserve"> rash, genital rash, macular rash, </w:t>
            </w:r>
            <w:proofErr w:type="spellStart"/>
            <w:r w:rsidRPr="002F74C6">
              <w:t>maculo-papular</w:t>
            </w:r>
            <w:proofErr w:type="spellEnd"/>
            <w:r w:rsidRPr="002F74C6">
              <w:t xml:space="preserve"> rash, </w:t>
            </w:r>
            <w:proofErr w:type="spellStart"/>
            <w:r w:rsidRPr="002F74C6">
              <w:t>papular</w:t>
            </w:r>
            <w:proofErr w:type="spellEnd"/>
            <w:r w:rsidRPr="002F74C6">
              <w:t xml:space="preserve"> rash, pruritic rash, pustular rash and rash</w:t>
            </w:r>
          </w:p>
          <w:p w14:paraId="7D84E59C" w14:textId="77777777" w:rsidR="006540BC" w:rsidRDefault="006540BC" w:rsidP="006540BC">
            <w:pPr>
              <w:pStyle w:val="TableFootnote-list"/>
            </w:pPr>
            <w:r w:rsidRPr="002F74C6">
              <w:t>Includes increased diastolic blood pressure, increased blood pressure, hypertension and orthostatic hypertension</w:t>
            </w:r>
          </w:p>
          <w:p w14:paraId="62BC569E" w14:textId="3B9C7D6F" w:rsidR="00B842B4" w:rsidRDefault="006540BC" w:rsidP="006540BC">
            <w:pPr>
              <w:pStyle w:val="TableFootnote-list"/>
            </w:pPr>
            <w:r w:rsidRPr="002F74C6">
              <w:t xml:space="preserve">Includes all </w:t>
            </w:r>
            <w:proofErr w:type="spellStart"/>
            <w:r w:rsidRPr="002F74C6">
              <w:t>haemorrhage</w:t>
            </w:r>
            <w:proofErr w:type="spellEnd"/>
            <w:r w:rsidRPr="002F74C6">
              <w:t xml:space="preserve"> terms. </w:t>
            </w:r>
            <w:proofErr w:type="spellStart"/>
            <w:r w:rsidRPr="002F74C6">
              <w:t>Haemorrhage</w:t>
            </w:r>
            <w:proofErr w:type="spellEnd"/>
            <w:r w:rsidRPr="002F74C6">
              <w:t xml:space="preserve"> terms that occurred in 5 or more subjects in either treatment group include: epistaxis, </w:t>
            </w:r>
            <w:proofErr w:type="spellStart"/>
            <w:r w:rsidRPr="002F74C6">
              <w:t>haematuria</w:t>
            </w:r>
            <w:proofErr w:type="spellEnd"/>
            <w:r w:rsidRPr="002F74C6">
              <w:t xml:space="preserve">, gingival bleeding, </w:t>
            </w:r>
            <w:proofErr w:type="spellStart"/>
            <w:r w:rsidRPr="002F74C6">
              <w:t>haemoptysis</w:t>
            </w:r>
            <w:proofErr w:type="spellEnd"/>
            <w:r w:rsidRPr="002F74C6">
              <w:t xml:space="preserve">, esophageal varices </w:t>
            </w:r>
            <w:proofErr w:type="spellStart"/>
            <w:r w:rsidRPr="002F74C6">
              <w:t>haemorrhage</w:t>
            </w:r>
            <w:proofErr w:type="spellEnd"/>
            <w:r w:rsidRPr="002F74C6">
              <w:t xml:space="preserve">, </w:t>
            </w:r>
            <w:proofErr w:type="spellStart"/>
            <w:r w:rsidRPr="002F74C6">
              <w:t>haemorrhoidal</w:t>
            </w:r>
            <w:proofErr w:type="spellEnd"/>
            <w:r w:rsidRPr="002F74C6">
              <w:t xml:space="preserve"> </w:t>
            </w:r>
            <w:proofErr w:type="spellStart"/>
            <w:r w:rsidRPr="002F74C6">
              <w:t>haemorrhage</w:t>
            </w:r>
            <w:proofErr w:type="spellEnd"/>
            <w:r w:rsidRPr="002F74C6">
              <w:t xml:space="preserve">, mouth </w:t>
            </w:r>
            <w:proofErr w:type="spellStart"/>
            <w:r w:rsidRPr="002F74C6">
              <w:t>haemorrhage</w:t>
            </w:r>
            <w:proofErr w:type="spellEnd"/>
            <w:r w:rsidRPr="002F74C6">
              <w:t xml:space="preserve">, rectal </w:t>
            </w:r>
            <w:proofErr w:type="spellStart"/>
            <w:r w:rsidRPr="002F74C6">
              <w:t>haemorrhage</w:t>
            </w:r>
            <w:proofErr w:type="spellEnd"/>
            <w:r w:rsidRPr="002F74C6">
              <w:t xml:space="preserve"> and </w:t>
            </w:r>
            <w:proofErr w:type="spellStart"/>
            <w:r w:rsidRPr="002F74C6">
              <w:t>uppergastrointestinal</w:t>
            </w:r>
            <w:proofErr w:type="spellEnd"/>
            <w:r w:rsidRPr="002F74C6">
              <w:t xml:space="preserve"> </w:t>
            </w:r>
            <w:proofErr w:type="spellStart"/>
            <w:r w:rsidRPr="002F74C6">
              <w:t>haemorrhage</w:t>
            </w:r>
            <w:proofErr w:type="spellEnd"/>
          </w:p>
          <w:p w14:paraId="7B5B26DC" w14:textId="77777777" w:rsidR="006540BC" w:rsidRDefault="006540BC" w:rsidP="00B842B4">
            <w:pPr>
              <w:pStyle w:val="BodyText"/>
            </w:pPr>
          </w:p>
          <w:p w14:paraId="7D8D8AB0" w14:textId="44605F5D" w:rsidR="009868CF" w:rsidRPr="00B56940" w:rsidRDefault="0086115F" w:rsidP="006540BC">
            <w:pPr>
              <w:pStyle w:val="Caption"/>
            </w:pPr>
            <w:r w:rsidRPr="00B56940">
              <w:t>Table </w:t>
            </w:r>
            <w:r w:rsidR="002C196B">
              <w:rPr>
                <w:noProof/>
              </w:rPr>
              <w:fldChar w:fldCharType="begin"/>
            </w:r>
            <w:r w:rsidR="002C196B">
              <w:rPr>
                <w:noProof/>
              </w:rPr>
              <w:instrText xml:space="preserve"> SEQ Table \* ARABIC </w:instrText>
            </w:r>
            <w:r w:rsidR="002C196B">
              <w:rPr>
                <w:noProof/>
              </w:rPr>
              <w:fldChar w:fldCharType="separate"/>
            </w:r>
            <w:r w:rsidR="008D1089">
              <w:rPr>
                <w:noProof/>
              </w:rPr>
              <w:t>8</w:t>
            </w:r>
            <w:r w:rsidR="002C196B">
              <w:rPr>
                <w:noProof/>
              </w:rPr>
              <w:fldChar w:fldCharType="end"/>
            </w:r>
            <w:r w:rsidRPr="00B56940">
              <w:tab/>
              <w:t>Grade 3-4 Laboratory Abnormalities</w:t>
            </w:r>
            <w:r>
              <w:t xml:space="preserve"> Occurring</w:t>
            </w:r>
            <w:r w:rsidRPr="00B56940">
              <w:t xml:space="preserve"> in </w:t>
            </w:r>
            <w:r w:rsidR="006540BC">
              <w:sym w:font="Symbol" w:char="F0B3"/>
            </w:r>
            <w:r w:rsidRPr="00B56940">
              <w:t xml:space="preserve">2% of Patients in the LENVIMA </w:t>
            </w:r>
            <w:proofErr w:type="spellStart"/>
            <w:r w:rsidRPr="002845C6">
              <w:t>Arm</w:t>
            </w:r>
            <w:r w:rsidRPr="002845C6">
              <w:rPr>
                <w:vertAlign w:val="superscript"/>
              </w:rPr>
              <w:t>a,b</w:t>
            </w:r>
            <w:proofErr w:type="spellEnd"/>
            <w:r w:rsidRPr="002845C6">
              <w:t xml:space="preserve"> in REFLECT (HCC)</w:t>
            </w:r>
          </w:p>
        </w:tc>
      </w:tr>
      <w:tr w:rsidR="009868CF" w:rsidRPr="00B56940" w14:paraId="16555A5E" w14:textId="77777777" w:rsidTr="007F5F59">
        <w:trPr>
          <w:cantSplit/>
          <w:tblHeader/>
        </w:trPr>
        <w:tc>
          <w:tcPr>
            <w:tcW w:w="4866" w:type="dxa"/>
            <w:shd w:val="clear" w:color="auto" w:fill="FFFFFF"/>
            <w:vAlign w:val="bottom"/>
          </w:tcPr>
          <w:p w14:paraId="59A370D3" w14:textId="77777777" w:rsidR="009868CF" w:rsidRPr="00B56940" w:rsidRDefault="009868CF" w:rsidP="009868CF">
            <w:pPr>
              <w:pStyle w:val="TableHeading"/>
            </w:pPr>
            <w:r w:rsidRPr="00B56940">
              <w:t xml:space="preserve">Laboratory Abnormality </w:t>
            </w:r>
          </w:p>
        </w:tc>
        <w:tc>
          <w:tcPr>
            <w:tcW w:w="2057" w:type="dxa"/>
            <w:shd w:val="clear" w:color="auto" w:fill="FFFFFF"/>
            <w:vAlign w:val="bottom"/>
          </w:tcPr>
          <w:p w14:paraId="6E2C2F02" w14:textId="77777777" w:rsidR="009868CF" w:rsidRPr="00B56940" w:rsidRDefault="009868CF" w:rsidP="009868CF">
            <w:pPr>
              <w:pStyle w:val="TableHeading"/>
            </w:pPr>
            <w:proofErr w:type="gramStart"/>
            <w:r w:rsidRPr="00B56940">
              <w:t>LENVIMA</w:t>
            </w:r>
            <w:proofErr w:type="gramEnd"/>
            <w:r w:rsidRPr="00B56940">
              <w:br/>
              <w:t>(N=476)</w:t>
            </w:r>
            <w:r w:rsidRPr="00B56940">
              <w:br/>
              <w:t>(%)</w:t>
            </w:r>
          </w:p>
        </w:tc>
        <w:tc>
          <w:tcPr>
            <w:tcW w:w="2076" w:type="dxa"/>
            <w:shd w:val="clear" w:color="auto" w:fill="FFFFFF"/>
            <w:vAlign w:val="bottom"/>
          </w:tcPr>
          <w:p w14:paraId="30145032" w14:textId="77777777" w:rsidR="009868CF" w:rsidRPr="00B56940" w:rsidRDefault="009868CF" w:rsidP="009868CF">
            <w:pPr>
              <w:pStyle w:val="TableHeading"/>
            </w:pPr>
            <w:proofErr w:type="spellStart"/>
            <w:proofErr w:type="gramStart"/>
            <w:r w:rsidRPr="00B56940">
              <w:t>Sorafenib</w:t>
            </w:r>
            <w:proofErr w:type="spellEnd"/>
            <w:proofErr w:type="gramEnd"/>
            <w:r w:rsidRPr="00B56940">
              <w:br/>
              <w:t>(N=475)</w:t>
            </w:r>
            <w:r w:rsidRPr="00B56940">
              <w:br/>
              <w:t>(%)</w:t>
            </w:r>
          </w:p>
        </w:tc>
      </w:tr>
      <w:tr w:rsidR="009868CF" w:rsidRPr="00B56940" w14:paraId="245BAA8F" w14:textId="77777777" w:rsidTr="007F5F59">
        <w:trPr>
          <w:cantSplit/>
        </w:trPr>
        <w:tc>
          <w:tcPr>
            <w:tcW w:w="8999" w:type="dxa"/>
            <w:gridSpan w:val="3"/>
            <w:shd w:val="clear" w:color="auto" w:fill="FFFFFF"/>
          </w:tcPr>
          <w:p w14:paraId="63789792" w14:textId="77777777" w:rsidR="009868CF" w:rsidRPr="00B56940" w:rsidRDefault="009868CF" w:rsidP="009868CF">
            <w:pPr>
              <w:pStyle w:val="TableHeading"/>
            </w:pPr>
            <w:r w:rsidRPr="00B56940">
              <w:t>Chemistry</w:t>
            </w:r>
          </w:p>
        </w:tc>
      </w:tr>
      <w:tr w:rsidR="009868CF" w:rsidRPr="00B56940" w14:paraId="1272441B" w14:textId="77777777" w:rsidTr="007F5F59">
        <w:trPr>
          <w:cantSplit/>
        </w:trPr>
        <w:tc>
          <w:tcPr>
            <w:tcW w:w="4866" w:type="dxa"/>
            <w:shd w:val="clear" w:color="auto" w:fill="FFFFFF"/>
          </w:tcPr>
          <w:p w14:paraId="6BAB06B7" w14:textId="77777777" w:rsidR="009868CF" w:rsidRPr="00B56940" w:rsidRDefault="009868CF" w:rsidP="009868CF">
            <w:pPr>
              <w:pStyle w:val="TableText"/>
            </w:pPr>
            <w:r w:rsidRPr="00B56940">
              <w:t>Alanine aminotransferase (ALT) increased</w:t>
            </w:r>
          </w:p>
        </w:tc>
        <w:tc>
          <w:tcPr>
            <w:tcW w:w="2057" w:type="dxa"/>
            <w:shd w:val="clear" w:color="auto" w:fill="FFFFFF"/>
          </w:tcPr>
          <w:p w14:paraId="1B2D815C" w14:textId="77777777" w:rsidR="009868CF" w:rsidRPr="00B56940" w:rsidRDefault="009868CF" w:rsidP="009868CF">
            <w:pPr>
              <w:pStyle w:val="TableCentre"/>
            </w:pPr>
            <w:r w:rsidRPr="00B56940">
              <w:t>8</w:t>
            </w:r>
          </w:p>
        </w:tc>
        <w:tc>
          <w:tcPr>
            <w:tcW w:w="2076" w:type="dxa"/>
            <w:shd w:val="clear" w:color="auto" w:fill="FFFFFF"/>
          </w:tcPr>
          <w:p w14:paraId="3BC86909" w14:textId="77777777" w:rsidR="009868CF" w:rsidRPr="00B56940" w:rsidRDefault="009868CF" w:rsidP="009868CF">
            <w:pPr>
              <w:pStyle w:val="TableCentre"/>
            </w:pPr>
            <w:r w:rsidRPr="00B56940">
              <w:t>9</w:t>
            </w:r>
          </w:p>
        </w:tc>
      </w:tr>
      <w:tr w:rsidR="009868CF" w:rsidRPr="00B56940" w14:paraId="78E0E209" w14:textId="77777777" w:rsidTr="007F5F59">
        <w:trPr>
          <w:cantSplit/>
        </w:trPr>
        <w:tc>
          <w:tcPr>
            <w:tcW w:w="4866" w:type="dxa"/>
            <w:shd w:val="clear" w:color="auto" w:fill="FFFFFF"/>
          </w:tcPr>
          <w:p w14:paraId="44AB7E60" w14:textId="77777777" w:rsidR="009868CF" w:rsidRPr="00B56940" w:rsidRDefault="009868CF" w:rsidP="009868CF">
            <w:pPr>
              <w:pStyle w:val="TableText"/>
            </w:pPr>
            <w:r w:rsidRPr="00B56940">
              <w:t>Albumin decreased</w:t>
            </w:r>
          </w:p>
        </w:tc>
        <w:tc>
          <w:tcPr>
            <w:tcW w:w="2057" w:type="dxa"/>
            <w:shd w:val="clear" w:color="auto" w:fill="FFFFFF"/>
          </w:tcPr>
          <w:p w14:paraId="021BF60E" w14:textId="77777777" w:rsidR="009868CF" w:rsidRPr="00B56940" w:rsidRDefault="009868CF" w:rsidP="009868CF">
            <w:pPr>
              <w:pStyle w:val="TableCentre"/>
            </w:pPr>
            <w:r w:rsidRPr="00B56940">
              <w:t>3</w:t>
            </w:r>
          </w:p>
        </w:tc>
        <w:tc>
          <w:tcPr>
            <w:tcW w:w="2076" w:type="dxa"/>
            <w:shd w:val="clear" w:color="auto" w:fill="FFFFFF"/>
          </w:tcPr>
          <w:p w14:paraId="05BB2E03" w14:textId="77777777" w:rsidR="009868CF" w:rsidRPr="00B56940" w:rsidRDefault="009868CF" w:rsidP="009868CF">
            <w:pPr>
              <w:pStyle w:val="TableCentre"/>
            </w:pPr>
            <w:r w:rsidRPr="00B56940">
              <w:t>1</w:t>
            </w:r>
          </w:p>
        </w:tc>
      </w:tr>
      <w:tr w:rsidR="009868CF" w:rsidRPr="00B56940" w14:paraId="16C65766" w14:textId="77777777" w:rsidTr="007F5F59">
        <w:trPr>
          <w:cantSplit/>
        </w:trPr>
        <w:tc>
          <w:tcPr>
            <w:tcW w:w="4866" w:type="dxa"/>
            <w:shd w:val="clear" w:color="auto" w:fill="FFFFFF"/>
          </w:tcPr>
          <w:p w14:paraId="664C65E7" w14:textId="77777777" w:rsidR="009868CF" w:rsidRPr="00B56940" w:rsidRDefault="009868CF" w:rsidP="009868CF">
            <w:pPr>
              <w:pStyle w:val="TableText"/>
            </w:pPr>
            <w:r w:rsidRPr="00B56940">
              <w:t>Alkaline phosphatase increased</w:t>
            </w:r>
          </w:p>
        </w:tc>
        <w:tc>
          <w:tcPr>
            <w:tcW w:w="2057" w:type="dxa"/>
            <w:shd w:val="clear" w:color="auto" w:fill="FFFFFF"/>
          </w:tcPr>
          <w:p w14:paraId="1BEE4409" w14:textId="77777777" w:rsidR="009868CF" w:rsidRPr="00B56940" w:rsidRDefault="009868CF" w:rsidP="009868CF">
            <w:pPr>
              <w:pStyle w:val="TableCentre"/>
            </w:pPr>
            <w:r w:rsidRPr="00B56940">
              <w:t>7</w:t>
            </w:r>
          </w:p>
        </w:tc>
        <w:tc>
          <w:tcPr>
            <w:tcW w:w="2076" w:type="dxa"/>
            <w:shd w:val="clear" w:color="auto" w:fill="FFFFFF"/>
          </w:tcPr>
          <w:p w14:paraId="1EB4BD13" w14:textId="77777777" w:rsidR="009868CF" w:rsidRPr="00B56940" w:rsidRDefault="009868CF" w:rsidP="009868CF">
            <w:pPr>
              <w:pStyle w:val="TableCentre"/>
            </w:pPr>
            <w:r w:rsidRPr="00B56940">
              <w:t>5</w:t>
            </w:r>
          </w:p>
        </w:tc>
      </w:tr>
      <w:tr w:rsidR="009868CF" w:rsidRPr="00B56940" w14:paraId="2D7DDB6A" w14:textId="77777777" w:rsidTr="007F5F59">
        <w:trPr>
          <w:cantSplit/>
        </w:trPr>
        <w:tc>
          <w:tcPr>
            <w:tcW w:w="4866" w:type="dxa"/>
            <w:shd w:val="clear" w:color="auto" w:fill="FFFFFF"/>
          </w:tcPr>
          <w:p w14:paraId="5213A132" w14:textId="77777777" w:rsidR="009868CF" w:rsidRPr="00B56940" w:rsidRDefault="009868CF" w:rsidP="009868CF">
            <w:pPr>
              <w:pStyle w:val="TableText"/>
            </w:pPr>
            <w:r w:rsidRPr="00B56940">
              <w:t>Aspartate aminotransferase (AST) increased</w:t>
            </w:r>
          </w:p>
        </w:tc>
        <w:tc>
          <w:tcPr>
            <w:tcW w:w="2057" w:type="dxa"/>
            <w:shd w:val="clear" w:color="auto" w:fill="FFFFFF"/>
          </w:tcPr>
          <w:p w14:paraId="561BDD65" w14:textId="77777777" w:rsidR="009868CF" w:rsidRPr="00B56940" w:rsidRDefault="009868CF" w:rsidP="009868CF">
            <w:pPr>
              <w:pStyle w:val="TableCentre"/>
            </w:pPr>
            <w:r w:rsidRPr="00B56940">
              <w:t>12</w:t>
            </w:r>
          </w:p>
        </w:tc>
        <w:tc>
          <w:tcPr>
            <w:tcW w:w="2076" w:type="dxa"/>
            <w:shd w:val="clear" w:color="auto" w:fill="FFFFFF"/>
          </w:tcPr>
          <w:p w14:paraId="06094A8E" w14:textId="77777777" w:rsidR="009868CF" w:rsidRPr="00B56940" w:rsidRDefault="009868CF" w:rsidP="009868CF">
            <w:pPr>
              <w:pStyle w:val="TableCentre"/>
            </w:pPr>
            <w:r w:rsidRPr="00B56940">
              <w:t>18</w:t>
            </w:r>
          </w:p>
        </w:tc>
      </w:tr>
      <w:tr w:rsidR="009868CF" w:rsidRPr="00B56940" w14:paraId="0034B6A6" w14:textId="77777777" w:rsidTr="007F5F59">
        <w:trPr>
          <w:cantSplit/>
        </w:trPr>
        <w:tc>
          <w:tcPr>
            <w:tcW w:w="4866" w:type="dxa"/>
            <w:shd w:val="clear" w:color="auto" w:fill="FFFFFF"/>
          </w:tcPr>
          <w:p w14:paraId="50574354" w14:textId="77777777" w:rsidR="009868CF" w:rsidRPr="00B56940" w:rsidRDefault="009868CF" w:rsidP="009868CF">
            <w:pPr>
              <w:pStyle w:val="TableText"/>
            </w:pPr>
            <w:r w:rsidRPr="00B56940">
              <w:t>Bilirubin increased</w:t>
            </w:r>
          </w:p>
        </w:tc>
        <w:tc>
          <w:tcPr>
            <w:tcW w:w="2057" w:type="dxa"/>
            <w:shd w:val="clear" w:color="auto" w:fill="FFFFFF"/>
          </w:tcPr>
          <w:p w14:paraId="3EBED4D8" w14:textId="77777777" w:rsidR="009868CF" w:rsidRPr="00B56940" w:rsidRDefault="009868CF" w:rsidP="009868CF">
            <w:pPr>
              <w:pStyle w:val="TableCentre"/>
            </w:pPr>
            <w:r w:rsidRPr="00B56940">
              <w:t>13</w:t>
            </w:r>
          </w:p>
        </w:tc>
        <w:tc>
          <w:tcPr>
            <w:tcW w:w="2076" w:type="dxa"/>
            <w:shd w:val="clear" w:color="auto" w:fill="FFFFFF"/>
          </w:tcPr>
          <w:p w14:paraId="39F82874" w14:textId="1B296C6F" w:rsidR="009868CF" w:rsidRPr="00B56940" w:rsidRDefault="00CD7D11" w:rsidP="009868CF">
            <w:pPr>
              <w:pStyle w:val="TableCentre"/>
            </w:pPr>
            <w:r>
              <w:t>10</w:t>
            </w:r>
          </w:p>
        </w:tc>
      </w:tr>
      <w:tr w:rsidR="009868CF" w:rsidRPr="00B56940" w14:paraId="7173F49F" w14:textId="77777777" w:rsidTr="007F5F59">
        <w:trPr>
          <w:cantSplit/>
        </w:trPr>
        <w:tc>
          <w:tcPr>
            <w:tcW w:w="4866" w:type="dxa"/>
            <w:shd w:val="clear" w:color="auto" w:fill="FFFFFF"/>
          </w:tcPr>
          <w:p w14:paraId="014F9CE1" w14:textId="77777777" w:rsidR="009868CF" w:rsidRPr="00B56940" w:rsidRDefault="009868CF" w:rsidP="009868CF">
            <w:pPr>
              <w:pStyle w:val="TableText"/>
            </w:pPr>
            <w:r w:rsidRPr="00B56940">
              <w:t>Creatinine increased</w:t>
            </w:r>
          </w:p>
        </w:tc>
        <w:tc>
          <w:tcPr>
            <w:tcW w:w="2057" w:type="dxa"/>
            <w:shd w:val="clear" w:color="auto" w:fill="FFFFFF"/>
          </w:tcPr>
          <w:p w14:paraId="66421B69" w14:textId="77777777" w:rsidR="009868CF" w:rsidRPr="00B56940" w:rsidRDefault="009868CF" w:rsidP="009868CF">
            <w:pPr>
              <w:pStyle w:val="TableCentre"/>
            </w:pPr>
            <w:r w:rsidRPr="00B56940">
              <w:t>2</w:t>
            </w:r>
          </w:p>
        </w:tc>
        <w:tc>
          <w:tcPr>
            <w:tcW w:w="2076" w:type="dxa"/>
            <w:shd w:val="clear" w:color="auto" w:fill="FFFFFF"/>
          </w:tcPr>
          <w:p w14:paraId="112271C9" w14:textId="77777777" w:rsidR="009868CF" w:rsidRPr="00B56940" w:rsidRDefault="009868CF" w:rsidP="009868CF">
            <w:pPr>
              <w:pStyle w:val="TableCentre"/>
            </w:pPr>
            <w:r w:rsidRPr="00B56940">
              <w:t>2</w:t>
            </w:r>
          </w:p>
        </w:tc>
      </w:tr>
      <w:tr w:rsidR="009868CF" w:rsidRPr="00B56940" w14:paraId="43671C70" w14:textId="77777777" w:rsidTr="007F5F59">
        <w:trPr>
          <w:cantSplit/>
        </w:trPr>
        <w:tc>
          <w:tcPr>
            <w:tcW w:w="4866" w:type="dxa"/>
            <w:shd w:val="clear" w:color="auto" w:fill="FFFFFF"/>
          </w:tcPr>
          <w:p w14:paraId="087C7858" w14:textId="77777777" w:rsidR="009868CF" w:rsidRPr="00B56940" w:rsidRDefault="009868CF" w:rsidP="009868CF">
            <w:pPr>
              <w:pStyle w:val="TableText"/>
            </w:pPr>
            <w:r w:rsidRPr="00B56940">
              <w:t>GGT increased</w:t>
            </w:r>
          </w:p>
        </w:tc>
        <w:tc>
          <w:tcPr>
            <w:tcW w:w="2057" w:type="dxa"/>
            <w:shd w:val="clear" w:color="auto" w:fill="FFFFFF"/>
          </w:tcPr>
          <w:p w14:paraId="2A216FC2" w14:textId="1F3192DA" w:rsidR="009868CF" w:rsidRPr="00B56940" w:rsidRDefault="00CD7D11" w:rsidP="00CD7D11">
            <w:pPr>
              <w:pStyle w:val="TableCentre"/>
            </w:pPr>
            <w:r w:rsidRPr="00B56940">
              <w:t>1</w:t>
            </w:r>
            <w:r>
              <w:t>7</w:t>
            </w:r>
          </w:p>
        </w:tc>
        <w:tc>
          <w:tcPr>
            <w:tcW w:w="2076" w:type="dxa"/>
            <w:shd w:val="clear" w:color="auto" w:fill="FFFFFF"/>
          </w:tcPr>
          <w:p w14:paraId="5FC92A42" w14:textId="77777777" w:rsidR="009868CF" w:rsidRPr="00B56940" w:rsidRDefault="009868CF" w:rsidP="009868CF">
            <w:pPr>
              <w:pStyle w:val="TableCentre"/>
            </w:pPr>
            <w:r w:rsidRPr="00B56940">
              <w:t>20</w:t>
            </w:r>
          </w:p>
        </w:tc>
      </w:tr>
      <w:tr w:rsidR="009868CF" w:rsidRPr="00B56940" w14:paraId="76F99E48" w14:textId="77777777" w:rsidTr="007F5F59">
        <w:trPr>
          <w:cantSplit/>
        </w:trPr>
        <w:tc>
          <w:tcPr>
            <w:tcW w:w="4866" w:type="dxa"/>
            <w:shd w:val="clear" w:color="auto" w:fill="FFFFFF"/>
          </w:tcPr>
          <w:p w14:paraId="65BAD531" w14:textId="29B71936" w:rsidR="009868CF" w:rsidRPr="00B56940" w:rsidRDefault="009868CF" w:rsidP="009868CF">
            <w:pPr>
              <w:pStyle w:val="TableText"/>
            </w:pPr>
            <w:r w:rsidRPr="00B56940">
              <w:t>Hyperkal</w:t>
            </w:r>
            <w:r w:rsidR="00C11A24">
              <w:t>a</w:t>
            </w:r>
            <w:r w:rsidRPr="00B56940">
              <w:t>emia</w:t>
            </w:r>
          </w:p>
        </w:tc>
        <w:tc>
          <w:tcPr>
            <w:tcW w:w="2057" w:type="dxa"/>
            <w:shd w:val="clear" w:color="auto" w:fill="FFFFFF"/>
          </w:tcPr>
          <w:p w14:paraId="4B91B734" w14:textId="77777777" w:rsidR="009868CF" w:rsidRPr="00B56940" w:rsidRDefault="009868CF" w:rsidP="009868CF">
            <w:pPr>
              <w:pStyle w:val="TableCentre"/>
            </w:pPr>
            <w:r w:rsidRPr="00B56940">
              <w:t>3</w:t>
            </w:r>
          </w:p>
        </w:tc>
        <w:tc>
          <w:tcPr>
            <w:tcW w:w="2076" w:type="dxa"/>
            <w:shd w:val="clear" w:color="auto" w:fill="FFFFFF"/>
          </w:tcPr>
          <w:p w14:paraId="302E3024" w14:textId="77777777" w:rsidR="009868CF" w:rsidRPr="00B56940" w:rsidRDefault="009868CF" w:rsidP="009868CF">
            <w:pPr>
              <w:pStyle w:val="TableCentre"/>
            </w:pPr>
            <w:r w:rsidRPr="00B56940">
              <w:t>2</w:t>
            </w:r>
          </w:p>
        </w:tc>
      </w:tr>
      <w:tr w:rsidR="009868CF" w:rsidRPr="00B56940" w14:paraId="52F1E5A3" w14:textId="77777777" w:rsidTr="007F5F59">
        <w:trPr>
          <w:cantSplit/>
        </w:trPr>
        <w:tc>
          <w:tcPr>
            <w:tcW w:w="4866" w:type="dxa"/>
            <w:shd w:val="clear" w:color="auto" w:fill="FFFFFF"/>
          </w:tcPr>
          <w:p w14:paraId="613A1BC0" w14:textId="3B1309A4" w:rsidR="009868CF" w:rsidRPr="00B56940" w:rsidRDefault="009868CF" w:rsidP="009868CF">
            <w:pPr>
              <w:pStyle w:val="TableText"/>
            </w:pPr>
            <w:r w:rsidRPr="00B56940">
              <w:t>Hypokal</w:t>
            </w:r>
            <w:r w:rsidR="00C11A24">
              <w:t>a</w:t>
            </w:r>
            <w:r w:rsidRPr="00B56940">
              <w:t>emia</w:t>
            </w:r>
          </w:p>
        </w:tc>
        <w:tc>
          <w:tcPr>
            <w:tcW w:w="2057" w:type="dxa"/>
            <w:shd w:val="clear" w:color="auto" w:fill="FFFFFF"/>
          </w:tcPr>
          <w:p w14:paraId="0D478EA9" w14:textId="77777777" w:rsidR="009868CF" w:rsidRPr="00B56940" w:rsidRDefault="009868CF" w:rsidP="009868CF">
            <w:pPr>
              <w:pStyle w:val="TableCentre"/>
            </w:pPr>
            <w:r w:rsidRPr="00B56940">
              <w:t>3</w:t>
            </w:r>
          </w:p>
        </w:tc>
        <w:tc>
          <w:tcPr>
            <w:tcW w:w="2076" w:type="dxa"/>
            <w:shd w:val="clear" w:color="auto" w:fill="FFFFFF"/>
          </w:tcPr>
          <w:p w14:paraId="0D38B12E" w14:textId="77777777" w:rsidR="009868CF" w:rsidRPr="00B56940" w:rsidRDefault="009868CF" w:rsidP="009868CF">
            <w:pPr>
              <w:pStyle w:val="TableCentre"/>
            </w:pPr>
            <w:r w:rsidRPr="00B56940">
              <w:t>4</w:t>
            </w:r>
          </w:p>
        </w:tc>
      </w:tr>
      <w:tr w:rsidR="009868CF" w:rsidRPr="00B56940" w14:paraId="10CBC71A" w14:textId="77777777" w:rsidTr="007F5F59">
        <w:trPr>
          <w:cantSplit/>
        </w:trPr>
        <w:tc>
          <w:tcPr>
            <w:tcW w:w="4866" w:type="dxa"/>
            <w:shd w:val="clear" w:color="auto" w:fill="FFFFFF"/>
          </w:tcPr>
          <w:p w14:paraId="25037356" w14:textId="21FFD50F" w:rsidR="009868CF" w:rsidRPr="00B56940" w:rsidRDefault="009868CF" w:rsidP="009868CF">
            <w:pPr>
              <w:pStyle w:val="TableText"/>
            </w:pPr>
            <w:r w:rsidRPr="00B56940">
              <w:t>Hyponatr</w:t>
            </w:r>
            <w:r w:rsidR="00C11A24">
              <w:t>a</w:t>
            </w:r>
            <w:r w:rsidRPr="00B56940">
              <w:t>emia</w:t>
            </w:r>
          </w:p>
        </w:tc>
        <w:tc>
          <w:tcPr>
            <w:tcW w:w="2057" w:type="dxa"/>
            <w:shd w:val="clear" w:color="auto" w:fill="FFFFFF"/>
          </w:tcPr>
          <w:p w14:paraId="106C6AE9" w14:textId="77777777" w:rsidR="009868CF" w:rsidRPr="00B56940" w:rsidRDefault="009868CF" w:rsidP="009868CF">
            <w:pPr>
              <w:pStyle w:val="TableCentre"/>
            </w:pPr>
            <w:r w:rsidRPr="00B56940">
              <w:t>15</w:t>
            </w:r>
          </w:p>
        </w:tc>
        <w:tc>
          <w:tcPr>
            <w:tcW w:w="2076" w:type="dxa"/>
            <w:shd w:val="clear" w:color="auto" w:fill="FFFFFF"/>
          </w:tcPr>
          <w:p w14:paraId="2A4E16C2" w14:textId="77777777" w:rsidR="009868CF" w:rsidRPr="00B56940" w:rsidRDefault="009868CF" w:rsidP="009868CF">
            <w:pPr>
              <w:pStyle w:val="TableCentre"/>
            </w:pPr>
            <w:r w:rsidRPr="00B56940">
              <w:t>9</w:t>
            </w:r>
          </w:p>
        </w:tc>
      </w:tr>
      <w:tr w:rsidR="009868CF" w:rsidRPr="00B56940" w14:paraId="416CAA45" w14:textId="77777777" w:rsidTr="007F5F59">
        <w:trPr>
          <w:cantSplit/>
        </w:trPr>
        <w:tc>
          <w:tcPr>
            <w:tcW w:w="4866" w:type="dxa"/>
            <w:shd w:val="clear" w:color="auto" w:fill="FFFFFF"/>
          </w:tcPr>
          <w:p w14:paraId="74A1F3E1" w14:textId="77777777" w:rsidR="009868CF" w:rsidRPr="00B56940" w:rsidRDefault="009868CF" w:rsidP="009868CF">
            <w:pPr>
              <w:pStyle w:val="TableText"/>
            </w:pPr>
            <w:r w:rsidRPr="00B56940">
              <w:t>Lipase increased</w:t>
            </w:r>
          </w:p>
        </w:tc>
        <w:tc>
          <w:tcPr>
            <w:tcW w:w="2057" w:type="dxa"/>
            <w:shd w:val="clear" w:color="auto" w:fill="FFFFFF"/>
          </w:tcPr>
          <w:p w14:paraId="0415EADD" w14:textId="4BDB7555" w:rsidR="009868CF" w:rsidRPr="00B56940" w:rsidRDefault="00CD7D11" w:rsidP="009868CF">
            <w:pPr>
              <w:pStyle w:val="TableCentre"/>
            </w:pPr>
            <w:r>
              <w:t>6</w:t>
            </w:r>
          </w:p>
        </w:tc>
        <w:tc>
          <w:tcPr>
            <w:tcW w:w="2076" w:type="dxa"/>
            <w:shd w:val="clear" w:color="auto" w:fill="FFFFFF"/>
          </w:tcPr>
          <w:p w14:paraId="57DFD7F5" w14:textId="3D312A4D" w:rsidR="009868CF" w:rsidRPr="00B56940" w:rsidRDefault="00CD7D11" w:rsidP="009868CF">
            <w:pPr>
              <w:pStyle w:val="TableCentre"/>
            </w:pPr>
            <w:r>
              <w:t>17</w:t>
            </w:r>
          </w:p>
        </w:tc>
      </w:tr>
      <w:tr w:rsidR="009868CF" w:rsidRPr="00B56940" w14:paraId="516741C3" w14:textId="77777777" w:rsidTr="007F5F59">
        <w:trPr>
          <w:cantSplit/>
        </w:trPr>
        <w:tc>
          <w:tcPr>
            <w:tcW w:w="8999" w:type="dxa"/>
            <w:gridSpan w:val="3"/>
            <w:shd w:val="clear" w:color="auto" w:fill="FFFFFF"/>
          </w:tcPr>
          <w:p w14:paraId="00CCF1DC" w14:textId="77777777" w:rsidR="009868CF" w:rsidRPr="00B56940" w:rsidRDefault="009868CF" w:rsidP="009868CF">
            <w:pPr>
              <w:pStyle w:val="TableHeading"/>
            </w:pPr>
            <w:proofErr w:type="spellStart"/>
            <w:r w:rsidRPr="00B56940">
              <w:t>Haematology</w:t>
            </w:r>
            <w:proofErr w:type="spellEnd"/>
          </w:p>
        </w:tc>
      </w:tr>
      <w:tr w:rsidR="009868CF" w:rsidRPr="00B56940" w14:paraId="11A8E1D6" w14:textId="77777777" w:rsidTr="007F5F59">
        <w:trPr>
          <w:cantSplit/>
        </w:trPr>
        <w:tc>
          <w:tcPr>
            <w:tcW w:w="4866" w:type="dxa"/>
            <w:shd w:val="clear" w:color="auto" w:fill="FFFFFF"/>
          </w:tcPr>
          <w:p w14:paraId="0152C291" w14:textId="77777777" w:rsidR="009868CF" w:rsidRPr="00B56940" w:rsidRDefault="009868CF" w:rsidP="009868CF">
            <w:pPr>
              <w:pStyle w:val="TableText"/>
            </w:pPr>
            <w:r w:rsidRPr="00B56940">
              <w:t>Haemoglobin decreased</w:t>
            </w:r>
          </w:p>
        </w:tc>
        <w:tc>
          <w:tcPr>
            <w:tcW w:w="2057" w:type="dxa"/>
            <w:shd w:val="clear" w:color="auto" w:fill="FFFFFF"/>
          </w:tcPr>
          <w:p w14:paraId="5EFEE2C1" w14:textId="77777777" w:rsidR="009868CF" w:rsidRPr="00B56940" w:rsidRDefault="009868CF" w:rsidP="009868CF">
            <w:pPr>
              <w:pStyle w:val="TableCentre"/>
            </w:pPr>
            <w:r w:rsidRPr="00B56940">
              <w:t>4</w:t>
            </w:r>
          </w:p>
        </w:tc>
        <w:tc>
          <w:tcPr>
            <w:tcW w:w="2076" w:type="dxa"/>
            <w:shd w:val="clear" w:color="auto" w:fill="FFFFFF"/>
          </w:tcPr>
          <w:p w14:paraId="734DFB26" w14:textId="77777777" w:rsidR="009868CF" w:rsidRPr="00B56940" w:rsidRDefault="009868CF" w:rsidP="009868CF">
            <w:pPr>
              <w:pStyle w:val="TableCentre"/>
            </w:pPr>
            <w:r w:rsidRPr="00B56940">
              <w:t>5</w:t>
            </w:r>
          </w:p>
        </w:tc>
      </w:tr>
      <w:tr w:rsidR="009868CF" w:rsidRPr="00B56940" w14:paraId="17E51064" w14:textId="77777777" w:rsidTr="007F5F59">
        <w:trPr>
          <w:cantSplit/>
        </w:trPr>
        <w:tc>
          <w:tcPr>
            <w:tcW w:w="4866" w:type="dxa"/>
            <w:shd w:val="clear" w:color="auto" w:fill="FFFFFF"/>
          </w:tcPr>
          <w:p w14:paraId="16EC79FB" w14:textId="77777777" w:rsidR="009868CF" w:rsidRPr="00B56940" w:rsidRDefault="009868CF" w:rsidP="009868CF">
            <w:pPr>
              <w:pStyle w:val="TableText"/>
            </w:pPr>
            <w:r w:rsidRPr="00B56940">
              <w:t>Lymphocyte count decreased</w:t>
            </w:r>
          </w:p>
        </w:tc>
        <w:tc>
          <w:tcPr>
            <w:tcW w:w="2057" w:type="dxa"/>
            <w:shd w:val="clear" w:color="auto" w:fill="FFFFFF"/>
          </w:tcPr>
          <w:p w14:paraId="09103E3F" w14:textId="77777777" w:rsidR="009868CF" w:rsidRPr="00B56940" w:rsidRDefault="009868CF" w:rsidP="009868CF">
            <w:pPr>
              <w:pStyle w:val="TableCentre"/>
            </w:pPr>
            <w:r w:rsidRPr="00B56940">
              <w:t>8</w:t>
            </w:r>
          </w:p>
        </w:tc>
        <w:tc>
          <w:tcPr>
            <w:tcW w:w="2076" w:type="dxa"/>
            <w:shd w:val="clear" w:color="auto" w:fill="FFFFFF"/>
          </w:tcPr>
          <w:p w14:paraId="4F30A2DE" w14:textId="77777777" w:rsidR="009868CF" w:rsidRPr="00B56940" w:rsidRDefault="009868CF" w:rsidP="009868CF">
            <w:pPr>
              <w:pStyle w:val="TableCentre"/>
            </w:pPr>
            <w:r w:rsidRPr="00B56940">
              <w:t>9</w:t>
            </w:r>
          </w:p>
        </w:tc>
      </w:tr>
      <w:tr w:rsidR="009868CF" w:rsidRPr="00B56940" w14:paraId="0AC9D676" w14:textId="77777777" w:rsidTr="007F5F59">
        <w:trPr>
          <w:cantSplit/>
        </w:trPr>
        <w:tc>
          <w:tcPr>
            <w:tcW w:w="4866" w:type="dxa"/>
            <w:shd w:val="clear" w:color="auto" w:fill="FFFFFF"/>
          </w:tcPr>
          <w:p w14:paraId="49B29BD4" w14:textId="77777777" w:rsidR="009868CF" w:rsidRPr="00B56940" w:rsidRDefault="009868CF" w:rsidP="009868CF">
            <w:pPr>
              <w:pStyle w:val="TableText"/>
            </w:pPr>
            <w:r w:rsidRPr="00B56940">
              <w:t>Neutrophil count decreased</w:t>
            </w:r>
          </w:p>
        </w:tc>
        <w:tc>
          <w:tcPr>
            <w:tcW w:w="2057" w:type="dxa"/>
            <w:shd w:val="clear" w:color="auto" w:fill="FFFFFF"/>
          </w:tcPr>
          <w:p w14:paraId="6410E323" w14:textId="77777777" w:rsidR="009868CF" w:rsidRPr="00B56940" w:rsidRDefault="009868CF" w:rsidP="009868CF">
            <w:pPr>
              <w:pStyle w:val="TableCentre"/>
            </w:pPr>
            <w:r w:rsidRPr="00B56940">
              <w:t>7</w:t>
            </w:r>
          </w:p>
        </w:tc>
        <w:tc>
          <w:tcPr>
            <w:tcW w:w="2076" w:type="dxa"/>
            <w:shd w:val="clear" w:color="auto" w:fill="FFFFFF"/>
          </w:tcPr>
          <w:p w14:paraId="76E6AEB9" w14:textId="77777777" w:rsidR="009868CF" w:rsidRPr="00B56940" w:rsidRDefault="009868CF" w:rsidP="009868CF">
            <w:pPr>
              <w:pStyle w:val="TableCentre"/>
            </w:pPr>
            <w:r w:rsidRPr="00B56940">
              <w:t>3</w:t>
            </w:r>
          </w:p>
        </w:tc>
      </w:tr>
      <w:tr w:rsidR="009868CF" w:rsidRPr="00B56940" w14:paraId="08EBDC8C" w14:textId="77777777" w:rsidTr="00E13432">
        <w:trPr>
          <w:cantSplit/>
        </w:trPr>
        <w:tc>
          <w:tcPr>
            <w:tcW w:w="4866" w:type="dxa"/>
            <w:tcBorders>
              <w:bottom w:val="single" w:sz="4" w:space="0" w:color="auto"/>
            </w:tcBorders>
            <w:shd w:val="clear" w:color="auto" w:fill="FFFFFF"/>
          </w:tcPr>
          <w:p w14:paraId="7C352BE1" w14:textId="77777777" w:rsidR="009868CF" w:rsidRPr="00B56940" w:rsidRDefault="009868CF" w:rsidP="009868CF">
            <w:pPr>
              <w:pStyle w:val="TableText"/>
            </w:pPr>
            <w:r w:rsidRPr="00B56940">
              <w:t>Platelet count decreased</w:t>
            </w:r>
          </w:p>
        </w:tc>
        <w:tc>
          <w:tcPr>
            <w:tcW w:w="2057" w:type="dxa"/>
            <w:tcBorders>
              <w:bottom w:val="single" w:sz="4" w:space="0" w:color="auto"/>
            </w:tcBorders>
            <w:shd w:val="clear" w:color="auto" w:fill="FFFFFF"/>
          </w:tcPr>
          <w:p w14:paraId="1EE14DBA" w14:textId="77777777" w:rsidR="009868CF" w:rsidRPr="00B56940" w:rsidRDefault="009868CF" w:rsidP="009868CF">
            <w:pPr>
              <w:pStyle w:val="TableCentre"/>
            </w:pPr>
            <w:r w:rsidRPr="00B56940">
              <w:t>10</w:t>
            </w:r>
          </w:p>
        </w:tc>
        <w:tc>
          <w:tcPr>
            <w:tcW w:w="2076" w:type="dxa"/>
            <w:tcBorders>
              <w:bottom w:val="single" w:sz="4" w:space="0" w:color="auto"/>
            </w:tcBorders>
            <w:shd w:val="clear" w:color="auto" w:fill="FFFFFF"/>
          </w:tcPr>
          <w:p w14:paraId="446F9D21" w14:textId="77777777" w:rsidR="009868CF" w:rsidRPr="00B56940" w:rsidRDefault="009868CF" w:rsidP="009868CF">
            <w:pPr>
              <w:pStyle w:val="TableCentre"/>
            </w:pPr>
            <w:r w:rsidRPr="00B56940">
              <w:t>8</w:t>
            </w:r>
          </w:p>
        </w:tc>
      </w:tr>
      <w:tr w:rsidR="003B4A99" w:rsidRPr="00B56940" w14:paraId="4B50B661" w14:textId="77777777" w:rsidTr="00E13432">
        <w:trPr>
          <w:cantSplit/>
        </w:trPr>
        <w:tc>
          <w:tcPr>
            <w:tcW w:w="8999" w:type="dxa"/>
            <w:gridSpan w:val="3"/>
            <w:tcBorders>
              <w:top w:val="single" w:sz="4" w:space="0" w:color="auto"/>
              <w:left w:val="nil"/>
              <w:bottom w:val="nil"/>
              <w:right w:val="nil"/>
            </w:tcBorders>
            <w:shd w:val="clear" w:color="auto" w:fill="FFFFFF"/>
          </w:tcPr>
          <w:p w14:paraId="00D0F1CA" w14:textId="26BDBF5F" w:rsidR="003B4A99" w:rsidRDefault="003B4A99" w:rsidP="00E13432">
            <w:pPr>
              <w:pStyle w:val="TableFootnote-list"/>
              <w:numPr>
                <w:ilvl w:val="0"/>
                <w:numId w:val="36"/>
              </w:numPr>
            </w:pPr>
            <w:r>
              <w:t>With at least 1 grade increase from baseline</w:t>
            </w:r>
          </w:p>
          <w:p w14:paraId="40FD2A68" w14:textId="21CD80E0" w:rsidR="003B4A99" w:rsidRPr="00B56940" w:rsidRDefault="003B4A99" w:rsidP="00E13432">
            <w:pPr>
              <w:pStyle w:val="TableFootnote-list"/>
            </w:pPr>
            <w:r>
              <w:t xml:space="preserve">Laboratory Abnormality percentage is based on the number of patients who had both baseline and at least one post baseline laboratory measurement for each parameter. LENVIMA (n=278 to 470) and </w:t>
            </w:r>
            <w:proofErr w:type="spellStart"/>
            <w:r>
              <w:t>sorafenib</w:t>
            </w:r>
            <w:proofErr w:type="spellEnd"/>
            <w:r>
              <w:t xml:space="preserve"> (n=260 to 473)</w:t>
            </w:r>
          </w:p>
        </w:tc>
      </w:tr>
    </w:tbl>
    <w:p w14:paraId="624B8BFD" w14:textId="6560CC5F" w:rsidR="00CE179F" w:rsidRPr="002F4C2C" w:rsidRDefault="00CE179F" w:rsidP="00B842B4">
      <w:pPr>
        <w:pStyle w:val="Heading4"/>
      </w:pPr>
      <w:r>
        <w:t>Endometrial Carcinoma</w:t>
      </w:r>
    </w:p>
    <w:p w14:paraId="03621BF0" w14:textId="572102A3" w:rsidR="00CE179F" w:rsidRDefault="00CE179F" w:rsidP="00920D76">
      <w:pPr>
        <w:pStyle w:val="BodyText"/>
        <w:spacing w:before="120" w:after="60"/>
      </w:pPr>
      <w:r w:rsidRPr="00EB2937">
        <w:t xml:space="preserve">The </w:t>
      </w:r>
      <w:r>
        <w:t>safety of LENVIMA (20 mg orally once daily) in comb</w:t>
      </w:r>
      <w:r w:rsidR="005C4363">
        <w:t xml:space="preserve">ination with </w:t>
      </w:r>
      <w:proofErr w:type="spellStart"/>
      <w:r w:rsidR="005C4363">
        <w:t>pembrolizumab</w:t>
      </w:r>
      <w:proofErr w:type="spellEnd"/>
      <w:r w:rsidR="005C4363">
        <w:t xml:space="preserve"> (200 </w:t>
      </w:r>
      <w:r>
        <w:t>mg intravenously every 3 weeks) was evaluated in Study 111,</w:t>
      </w:r>
      <w:r w:rsidR="007A1797">
        <w:t xml:space="preserve"> a single</w:t>
      </w:r>
      <w:r w:rsidR="00F961D5">
        <w:t>-arm,</w:t>
      </w:r>
      <w:r>
        <w:t xml:space="preserve">  multicentr</w:t>
      </w:r>
      <w:r w:rsidR="006D00A1">
        <w:t>e</w:t>
      </w:r>
      <w:r>
        <w:t xml:space="preserve">, open-label trial in 94 patients </w:t>
      </w:r>
      <w:r w:rsidRPr="003306B1">
        <w:t>with endometrial carcinoma whose tumo</w:t>
      </w:r>
      <w:r w:rsidR="00F42290">
        <w:t>u</w:t>
      </w:r>
      <w:r w:rsidRPr="003306B1">
        <w:t>rs</w:t>
      </w:r>
      <w:r w:rsidR="00F961D5" w:rsidRPr="003306B1">
        <w:t xml:space="preserve"> had progressed following one line of systemic therapy and</w:t>
      </w:r>
      <w:r w:rsidRPr="003306B1">
        <w:t xml:space="preserve"> were not MSI-H or </w:t>
      </w:r>
      <w:proofErr w:type="spellStart"/>
      <w:r w:rsidRPr="003306B1">
        <w:t>dMMR</w:t>
      </w:r>
      <w:proofErr w:type="spellEnd"/>
      <w:r w:rsidRPr="003306B1">
        <w:t xml:space="preserve"> </w:t>
      </w:r>
      <w:r w:rsidR="00166E40" w:rsidRPr="00000F37">
        <w:t xml:space="preserve">(see Section </w:t>
      </w:r>
      <w:r w:rsidR="00166E40" w:rsidRPr="00000F37">
        <w:fldChar w:fldCharType="begin"/>
      </w:r>
      <w:r w:rsidR="00166E40" w:rsidRPr="00000F37">
        <w:instrText xml:space="preserve"> REF _Ref503528653 \r \h </w:instrText>
      </w:r>
      <w:r w:rsidR="00B722A3">
        <w:instrText xml:space="preserve"> \* MERGEFORMAT </w:instrText>
      </w:r>
      <w:r w:rsidR="00166E40" w:rsidRPr="00000F37">
        <w:fldChar w:fldCharType="separate"/>
      </w:r>
      <w:r w:rsidR="0064223A">
        <w:t>5.1</w:t>
      </w:r>
      <w:r w:rsidR="00166E40" w:rsidRPr="00000F37">
        <w:fldChar w:fldCharType="end"/>
      </w:r>
      <w:r w:rsidR="00166E40" w:rsidRPr="00000F37">
        <w:t xml:space="preserve">, </w:t>
      </w:r>
      <w:proofErr w:type="spellStart"/>
      <w:r w:rsidR="00166E40" w:rsidRPr="00000F37">
        <w:t>Pharmacodynamic</w:t>
      </w:r>
      <w:proofErr w:type="spellEnd"/>
      <w:r w:rsidR="00166E40" w:rsidRPr="00000F37">
        <w:t xml:space="preserve"> properties, Clinical trials)</w:t>
      </w:r>
      <w:r w:rsidR="00440571" w:rsidRPr="003306B1">
        <w:t>.</w:t>
      </w:r>
      <w:r w:rsidRPr="003306B1">
        <w:t xml:space="preserve"> The median duration of study treatment was 7 months (range: 0.03 to 37.8 months).</w:t>
      </w:r>
      <w:r w:rsidRPr="00EB2937">
        <w:t xml:space="preserve"> </w:t>
      </w:r>
      <w:proofErr w:type="spellStart"/>
      <w:r>
        <w:t>Pembrolizumab</w:t>
      </w:r>
      <w:proofErr w:type="spellEnd"/>
      <w:r>
        <w:t xml:space="preserve"> </w:t>
      </w:r>
      <w:proofErr w:type="gramStart"/>
      <w:r>
        <w:t>was continued</w:t>
      </w:r>
      <w:proofErr w:type="gramEnd"/>
      <w:r>
        <w:t xml:space="preserve"> for a </w:t>
      </w:r>
      <w:r>
        <w:lastRenderedPageBreak/>
        <w:t>maximum of 24 months; however, treatment with LENVIMA could be continued beyond 24 months.</w:t>
      </w:r>
    </w:p>
    <w:p w14:paraId="5A837291" w14:textId="47C44E06" w:rsidR="00B722A3" w:rsidRDefault="00F961D5" w:rsidP="00920D76">
      <w:pPr>
        <w:pStyle w:val="BodyText"/>
        <w:spacing w:before="120" w:after="60"/>
      </w:pPr>
      <w:r w:rsidRPr="003306B1">
        <w:t xml:space="preserve">Fatal adverse reactions occurred in 3% of patients </w:t>
      </w:r>
      <w:r w:rsidR="00AE2521">
        <w:t>treated with</w:t>
      </w:r>
      <w:r w:rsidRPr="003306B1">
        <w:t xml:space="preserve"> LENVIMA and </w:t>
      </w:r>
      <w:proofErr w:type="spellStart"/>
      <w:r w:rsidRPr="003306B1">
        <w:t>pembrolizumab</w:t>
      </w:r>
      <w:proofErr w:type="spellEnd"/>
      <w:r w:rsidRPr="003306B1">
        <w:t>, including gastrointestinal perforation, RPLS with intraventricular h</w:t>
      </w:r>
      <w:r w:rsidR="000A4A02">
        <w:t>a</w:t>
      </w:r>
      <w:r w:rsidRPr="003306B1">
        <w:t>emorrhage, and intracranial h</w:t>
      </w:r>
      <w:r w:rsidR="000A4A02">
        <w:t>a</w:t>
      </w:r>
      <w:r w:rsidRPr="003306B1">
        <w:t>emorrhage.</w:t>
      </w:r>
    </w:p>
    <w:p w14:paraId="3015CECE" w14:textId="70BBF99D" w:rsidR="00F961D5" w:rsidRDefault="00F961D5" w:rsidP="00920D76">
      <w:pPr>
        <w:pStyle w:val="BodyText"/>
        <w:spacing w:before="120" w:after="60"/>
      </w:pPr>
      <w:r w:rsidRPr="003306B1">
        <w:t>Serious adverse reactions occurred in 52% of patients receiv</w:t>
      </w:r>
      <w:r w:rsidR="00920D76">
        <w:t xml:space="preserve">ing LENVIMA and </w:t>
      </w:r>
      <w:proofErr w:type="spellStart"/>
      <w:r w:rsidR="00920D76">
        <w:t>pembrolizumab</w:t>
      </w:r>
      <w:proofErr w:type="spellEnd"/>
      <w:r w:rsidR="00920D76">
        <w:t xml:space="preserve">. </w:t>
      </w:r>
      <w:r w:rsidRPr="003306B1">
        <w:t xml:space="preserve">Serious adverse reactions in </w:t>
      </w:r>
      <w:r w:rsidR="006540BC">
        <w:sym w:font="Symbol" w:char="F0B3"/>
      </w:r>
      <w:r w:rsidRPr="003306B1">
        <w:t>3% of patients were hypertension (9%), abdominal pain (6%), musculoskeletal pain (5%), h</w:t>
      </w:r>
      <w:r w:rsidR="001D5CB8">
        <w:t>a</w:t>
      </w:r>
      <w:r w:rsidRPr="003306B1">
        <w:t xml:space="preserve">emorrhage (4%), fatigue (4%), nausea (4%), </w:t>
      </w:r>
      <w:proofErr w:type="spellStart"/>
      <w:r w:rsidRPr="003306B1">
        <w:t>confusional</w:t>
      </w:r>
      <w:proofErr w:type="spellEnd"/>
      <w:r w:rsidRPr="003306B1">
        <w:t xml:space="preserve"> state (4%), pleural effusion (4%), adrenal insufficiency (3%), colitis (3%), dyspn</w:t>
      </w:r>
      <w:r w:rsidR="001D5CB8">
        <w:t>o</w:t>
      </w:r>
      <w:r w:rsidRPr="003306B1">
        <w:t>ea (3%),</w:t>
      </w:r>
      <w:r w:rsidR="00C80DDB">
        <w:t xml:space="preserve"> </w:t>
      </w:r>
      <w:r w:rsidRPr="003306B1">
        <w:t>and pyrexia (3%)</w:t>
      </w:r>
      <w:r w:rsidRPr="003306B1" w:rsidDel="000C224E">
        <w:t>.</w:t>
      </w:r>
    </w:p>
    <w:p w14:paraId="4FAB877B" w14:textId="591FD542" w:rsidR="00F961D5" w:rsidRDefault="00F961D5" w:rsidP="00920D76">
      <w:pPr>
        <w:pStyle w:val="BodyText"/>
        <w:spacing w:before="120" w:after="60"/>
      </w:pPr>
      <w:r w:rsidRPr="003306B1">
        <w:t>Permanent discontinuation due to adverse reaction (Grade 1-4) occurred in 21% of patients who recei</w:t>
      </w:r>
      <w:r w:rsidR="00920D76">
        <w:t xml:space="preserve">ved LENVIMA and </w:t>
      </w:r>
      <w:proofErr w:type="spellStart"/>
      <w:r w:rsidR="00920D76">
        <w:t>pembrolizumab</w:t>
      </w:r>
      <w:proofErr w:type="spellEnd"/>
      <w:r w:rsidR="00920D76">
        <w:t xml:space="preserve">. </w:t>
      </w:r>
      <w:r w:rsidRPr="003306B1">
        <w:t>The most common adverse reactions (&gt;2%) resulting in discontinuation of LENVIMA were gastrointestinal perforation or fistula (2%), muscular weakness (2%), and pancreatitis (2%).</w:t>
      </w:r>
    </w:p>
    <w:p w14:paraId="027960F0" w14:textId="29F09641" w:rsidR="00F961D5" w:rsidRDefault="00F961D5" w:rsidP="00920D76">
      <w:pPr>
        <w:pStyle w:val="BodyText"/>
        <w:spacing w:before="120" w:after="60"/>
      </w:pPr>
      <w:r w:rsidRPr="003306B1">
        <w:t>Adverse reactions led to dose reduction or interruption in 88% of patients receiving LENVIMA. The most common adverse reactions (</w:t>
      </w:r>
      <w:r w:rsidR="006540BC">
        <w:sym w:font="Symbol" w:char="F0B3"/>
      </w:r>
      <w:r w:rsidRPr="003306B1">
        <w:t>5%) resulting in dose reduction or interruption of LENVIMA were fatigue (32%), hypertension (26%), diarrh</w:t>
      </w:r>
      <w:r w:rsidR="001D5CB8">
        <w:t>o</w:t>
      </w:r>
      <w:r w:rsidR="006540BC">
        <w:t xml:space="preserve">ea (18%), nausea (13%), </w:t>
      </w:r>
      <w:r w:rsidRPr="003306B1">
        <w:t xml:space="preserve">palmar-plantar </w:t>
      </w:r>
      <w:proofErr w:type="spellStart"/>
      <w:r w:rsidRPr="003306B1">
        <w:t>erythrodys</w:t>
      </w:r>
      <w:r w:rsidR="00CA390F">
        <w:t>a</w:t>
      </w:r>
      <w:r w:rsidRPr="003306B1">
        <w:t>esthesia</w:t>
      </w:r>
      <w:proofErr w:type="spellEnd"/>
      <w:r w:rsidRPr="003306B1">
        <w:t xml:space="preserve"> (13%), vomiting (13%), decreased appetite (12%), musculoskeletal pain (11%), stomatitis (9%), abdominal pain (7%), h</w:t>
      </w:r>
      <w:r w:rsidR="001D5CB8">
        <w:t>a</w:t>
      </w:r>
      <w:r w:rsidRPr="003306B1">
        <w:t>emorrhages (7%), renal impairment (6%), decreased weight (6%), rash (5%), headache (5%), increased lipase (5%), and proteinuria (5%).</w:t>
      </w:r>
    </w:p>
    <w:p w14:paraId="6C46A56E" w14:textId="7808580E" w:rsidR="002D69A1" w:rsidRDefault="00B722A3" w:rsidP="00920D76">
      <w:pPr>
        <w:pStyle w:val="BodyText"/>
        <w:spacing w:before="120" w:after="60"/>
      </w:pPr>
      <w:r>
        <w:fldChar w:fldCharType="begin"/>
      </w:r>
      <w:r>
        <w:instrText xml:space="preserve"> REF _Ref17525303 \h </w:instrText>
      </w:r>
      <w:r w:rsidR="00920D76">
        <w:instrText xml:space="preserve"> \* MERGEFORMAT </w:instrText>
      </w:r>
      <w:r>
        <w:fldChar w:fldCharType="separate"/>
      </w:r>
      <w:r w:rsidR="0064223A">
        <w:t>Table </w:t>
      </w:r>
      <w:r w:rsidR="0064223A">
        <w:rPr>
          <w:noProof/>
        </w:rPr>
        <w:t>9</w:t>
      </w:r>
      <w:r>
        <w:fldChar w:fldCharType="end"/>
      </w:r>
      <w:r>
        <w:t xml:space="preserve"> </w:t>
      </w:r>
      <w:r w:rsidR="002D69A1" w:rsidRPr="00EB2937">
        <w:t xml:space="preserve">presents the adverse reactions </w:t>
      </w:r>
      <w:r w:rsidR="002D69A1">
        <w:t xml:space="preserve">in </w:t>
      </w:r>
      <w:r w:rsidR="006540BC">
        <w:sym w:font="Symbol" w:char="F0B3"/>
      </w:r>
      <w:r w:rsidR="002D69A1">
        <w:t>20</w:t>
      </w:r>
      <w:r w:rsidR="002D69A1" w:rsidRPr="00390807">
        <w:t>%</w:t>
      </w:r>
      <w:r w:rsidR="002D69A1">
        <w:t xml:space="preserve"> of patients with LENVIMA in combination with </w:t>
      </w:r>
      <w:proofErr w:type="spellStart"/>
      <w:r w:rsidR="002D69A1">
        <w:t>pembrolizumab</w:t>
      </w:r>
      <w:proofErr w:type="spellEnd"/>
      <w:r w:rsidR="002D69A1" w:rsidRPr="00EB2937">
        <w:t>.</w:t>
      </w:r>
    </w:p>
    <w:tbl>
      <w:tblPr>
        <w:tblStyle w:val="TableGrid3"/>
        <w:tblW w:w="9039" w:type="dxa"/>
        <w:tblLayout w:type="fixed"/>
        <w:tblLook w:val="04A0" w:firstRow="1" w:lastRow="0" w:firstColumn="1" w:lastColumn="0" w:noHBand="0" w:noVBand="1"/>
      </w:tblPr>
      <w:tblGrid>
        <w:gridCol w:w="5529"/>
        <w:gridCol w:w="1800"/>
        <w:gridCol w:w="1710"/>
      </w:tblGrid>
      <w:tr w:rsidR="002D69A1" w:rsidRPr="002D69A1" w14:paraId="21C7EFD5" w14:textId="77777777" w:rsidTr="0066629F">
        <w:trPr>
          <w:trHeight w:val="600"/>
          <w:tblHeader/>
        </w:trPr>
        <w:tc>
          <w:tcPr>
            <w:tcW w:w="9039" w:type="dxa"/>
            <w:gridSpan w:val="3"/>
            <w:tcBorders>
              <w:top w:val="nil"/>
              <w:left w:val="nil"/>
              <w:bottom w:val="single" w:sz="4" w:space="0" w:color="auto"/>
              <w:right w:val="nil"/>
            </w:tcBorders>
          </w:tcPr>
          <w:p w14:paraId="21A3BE4A" w14:textId="4A9643CA" w:rsidR="002D69A1" w:rsidRPr="002D69A1" w:rsidRDefault="00B722A3" w:rsidP="006540BC">
            <w:pPr>
              <w:pStyle w:val="Caption"/>
            </w:pPr>
            <w:bookmarkStart w:id="11" w:name="_Ref17525303"/>
            <w:r>
              <w:t>Table </w:t>
            </w:r>
            <w:r>
              <w:fldChar w:fldCharType="begin"/>
            </w:r>
            <w:r>
              <w:instrText xml:space="preserve"> SEQ Table \* ARABIC </w:instrText>
            </w:r>
            <w:r>
              <w:fldChar w:fldCharType="separate"/>
            </w:r>
            <w:r w:rsidR="008D1089">
              <w:rPr>
                <w:noProof/>
              </w:rPr>
              <w:t>9</w:t>
            </w:r>
            <w:r>
              <w:fldChar w:fldCharType="end"/>
            </w:r>
            <w:bookmarkEnd w:id="11"/>
            <w:r>
              <w:tab/>
            </w:r>
            <w:r w:rsidR="002D69A1" w:rsidRPr="002D69A1">
              <w:t xml:space="preserve">Adverse Reactions in </w:t>
            </w:r>
            <w:r w:rsidR="006540BC" w:rsidRPr="006540BC">
              <w:sym w:font="Symbol" w:char="F0B3"/>
            </w:r>
            <w:r w:rsidR="002D69A1" w:rsidRPr="002D69A1">
              <w:t xml:space="preserve">20% of Patients on LENVIMA plus </w:t>
            </w:r>
            <w:proofErr w:type="spellStart"/>
            <w:r w:rsidR="002D69A1" w:rsidRPr="002D69A1">
              <w:t>Pembrolizumab</w:t>
            </w:r>
            <w:proofErr w:type="spellEnd"/>
            <w:r w:rsidR="002D69A1" w:rsidRPr="002D69A1">
              <w:t xml:space="preserve"> in Study 111 </w:t>
            </w:r>
          </w:p>
        </w:tc>
      </w:tr>
      <w:tr w:rsidR="002D69A1" w:rsidRPr="002D69A1" w14:paraId="22A92EE2" w14:textId="77777777" w:rsidTr="0066629F">
        <w:trPr>
          <w:trHeight w:val="600"/>
          <w:tblHeader/>
        </w:trPr>
        <w:tc>
          <w:tcPr>
            <w:tcW w:w="5529" w:type="dxa"/>
            <w:tcBorders>
              <w:top w:val="single" w:sz="4" w:space="0" w:color="auto"/>
            </w:tcBorders>
            <w:hideMark/>
          </w:tcPr>
          <w:p w14:paraId="0E4874C8" w14:textId="77777777" w:rsidR="002D69A1" w:rsidRPr="002D69A1" w:rsidRDefault="002D69A1" w:rsidP="003306B1">
            <w:pPr>
              <w:pStyle w:val="TableHeading"/>
            </w:pPr>
          </w:p>
        </w:tc>
        <w:tc>
          <w:tcPr>
            <w:tcW w:w="3510" w:type="dxa"/>
            <w:gridSpan w:val="2"/>
            <w:tcBorders>
              <w:top w:val="single" w:sz="4" w:space="0" w:color="auto"/>
            </w:tcBorders>
            <w:hideMark/>
          </w:tcPr>
          <w:p w14:paraId="0CB4CB31" w14:textId="106A2CBA" w:rsidR="002D69A1" w:rsidRPr="002D69A1" w:rsidRDefault="002D69A1" w:rsidP="003306B1">
            <w:pPr>
              <w:pStyle w:val="TableHeading"/>
              <w:jc w:val="center"/>
            </w:pPr>
            <w:r w:rsidRPr="002D69A1">
              <w:t>LENVIMA 20 mg in combination with</w:t>
            </w:r>
          </w:p>
          <w:p w14:paraId="0EE3C290" w14:textId="544288FA" w:rsidR="002D69A1" w:rsidRPr="002D69A1" w:rsidRDefault="002D69A1" w:rsidP="003306B1">
            <w:pPr>
              <w:pStyle w:val="TableHeading"/>
              <w:jc w:val="center"/>
            </w:pPr>
            <w:proofErr w:type="spellStart"/>
            <w:r w:rsidRPr="002D69A1">
              <w:t>Pembrolizumab</w:t>
            </w:r>
            <w:proofErr w:type="spellEnd"/>
            <w:r w:rsidRPr="002D69A1">
              <w:t xml:space="preserve"> 200 mg</w:t>
            </w:r>
          </w:p>
          <w:p w14:paraId="52ABC4C9" w14:textId="77777777" w:rsidR="002D69A1" w:rsidRPr="002D69A1" w:rsidRDefault="002D69A1" w:rsidP="003306B1">
            <w:pPr>
              <w:pStyle w:val="TableHeading"/>
              <w:jc w:val="center"/>
            </w:pPr>
            <w:r w:rsidRPr="002D69A1">
              <w:t>N=94</w:t>
            </w:r>
          </w:p>
        </w:tc>
      </w:tr>
      <w:tr w:rsidR="002D69A1" w:rsidRPr="002D69A1" w14:paraId="1C476DE7" w14:textId="77777777" w:rsidTr="0066629F">
        <w:trPr>
          <w:trHeight w:val="288"/>
          <w:tblHeader/>
        </w:trPr>
        <w:tc>
          <w:tcPr>
            <w:tcW w:w="5529" w:type="dxa"/>
            <w:hideMark/>
          </w:tcPr>
          <w:p w14:paraId="4F78621A" w14:textId="77777777" w:rsidR="002D69A1" w:rsidRPr="002D69A1" w:rsidRDefault="002D69A1" w:rsidP="003306B1">
            <w:pPr>
              <w:pStyle w:val="TableHeading"/>
            </w:pPr>
            <w:r w:rsidRPr="002D69A1">
              <w:t>Adverse Reactions</w:t>
            </w:r>
          </w:p>
        </w:tc>
        <w:tc>
          <w:tcPr>
            <w:tcW w:w="1800" w:type="dxa"/>
            <w:hideMark/>
          </w:tcPr>
          <w:p w14:paraId="58585CA8" w14:textId="77777777" w:rsidR="002D69A1" w:rsidRPr="002D69A1" w:rsidRDefault="002D69A1" w:rsidP="003306B1">
            <w:pPr>
              <w:pStyle w:val="TableHeading"/>
              <w:jc w:val="center"/>
            </w:pPr>
            <w:r w:rsidRPr="002D69A1">
              <w:t>All Grades</w:t>
            </w:r>
          </w:p>
          <w:p w14:paraId="50E7715F" w14:textId="77777777" w:rsidR="002D69A1" w:rsidRPr="002D69A1" w:rsidRDefault="002D69A1" w:rsidP="003306B1">
            <w:pPr>
              <w:pStyle w:val="TableHeading"/>
              <w:jc w:val="center"/>
            </w:pPr>
            <w:r w:rsidRPr="002D69A1">
              <w:t>(%)</w:t>
            </w:r>
          </w:p>
        </w:tc>
        <w:tc>
          <w:tcPr>
            <w:tcW w:w="1710" w:type="dxa"/>
            <w:hideMark/>
          </w:tcPr>
          <w:p w14:paraId="59F52945" w14:textId="77777777" w:rsidR="002D69A1" w:rsidRPr="002D69A1" w:rsidRDefault="002D69A1" w:rsidP="003306B1">
            <w:pPr>
              <w:pStyle w:val="TableHeading"/>
              <w:jc w:val="center"/>
            </w:pPr>
            <w:r w:rsidRPr="002D69A1">
              <w:t>Grade 3-4</w:t>
            </w:r>
          </w:p>
          <w:p w14:paraId="2D3D1B27" w14:textId="77777777" w:rsidR="002D69A1" w:rsidRPr="002D69A1" w:rsidRDefault="002D69A1" w:rsidP="003306B1">
            <w:pPr>
              <w:pStyle w:val="TableHeading"/>
              <w:jc w:val="center"/>
            </w:pPr>
            <w:r w:rsidRPr="002D69A1">
              <w:t>(%)</w:t>
            </w:r>
          </w:p>
        </w:tc>
      </w:tr>
      <w:tr w:rsidR="002D69A1" w:rsidRPr="002D69A1" w14:paraId="4691D753" w14:textId="77777777" w:rsidTr="0066629F">
        <w:trPr>
          <w:trHeight w:val="288"/>
        </w:trPr>
        <w:tc>
          <w:tcPr>
            <w:tcW w:w="9039" w:type="dxa"/>
            <w:gridSpan w:val="3"/>
          </w:tcPr>
          <w:p w14:paraId="7B4FFC60" w14:textId="77777777" w:rsidR="002D69A1" w:rsidRPr="002D69A1" w:rsidRDefault="002D69A1" w:rsidP="003306B1">
            <w:pPr>
              <w:pStyle w:val="TableHeading"/>
            </w:pPr>
            <w:r w:rsidRPr="002D69A1">
              <w:t>General</w:t>
            </w:r>
          </w:p>
        </w:tc>
      </w:tr>
      <w:tr w:rsidR="002D69A1" w:rsidRPr="002D69A1" w14:paraId="12977A77" w14:textId="77777777" w:rsidTr="0066629F">
        <w:trPr>
          <w:trHeight w:val="288"/>
        </w:trPr>
        <w:tc>
          <w:tcPr>
            <w:tcW w:w="5529" w:type="dxa"/>
            <w:hideMark/>
          </w:tcPr>
          <w:p w14:paraId="63FE6D15" w14:textId="77777777" w:rsidR="002D69A1" w:rsidRPr="002D69A1" w:rsidRDefault="002D69A1" w:rsidP="003306B1">
            <w:pPr>
              <w:pStyle w:val="TableText"/>
            </w:pPr>
            <w:proofErr w:type="spellStart"/>
            <w:r w:rsidRPr="002D69A1">
              <w:t>Fatigue</w:t>
            </w:r>
            <w:r w:rsidRPr="002D69A1">
              <w:rPr>
                <w:vertAlign w:val="superscript"/>
              </w:rPr>
              <w:t>a</w:t>
            </w:r>
            <w:proofErr w:type="spellEnd"/>
          </w:p>
        </w:tc>
        <w:tc>
          <w:tcPr>
            <w:tcW w:w="1800" w:type="dxa"/>
            <w:hideMark/>
          </w:tcPr>
          <w:p w14:paraId="32ABA7FB" w14:textId="77777777" w:rsidR="002D69A1" w:rsidRPr="002D69A1" w:rsidRDefault="002D69A1" w:rsidP="003306B1">
            <w:pPr>
              <w:pStyle w:val="TableCentre"/>
            </w:pPr>
            <w:r w:rsidRPr="002D69A1">
              <w:t>65</w:t>
            </w:r>
          </w:p>
        </w:tc>
        <w:tc>
          <w:tcPr>
            <w:tcW w:w="1710" w:type="dxa"/>
            <w:hideMark/>
          </w:tcPr>
          <w:p w14:paraId="7E580A7E" w14:textId="77777777" w:rsidR="002D69A1" w:rsidRPr="002D69A1" w:rsidRDefault="002D69A1" w:rsidP="003306B1">
            <w:pPr>
              <w:pStyle w:val="TableCentre"/>
            </w:pPr>
            <w:r w:rsidRPr="002D69A1">
              <w:t>17</w:t>
            </w:r>
          </w:p>
        </w:tc>
      </w:tr>
      <w:tr w:rsidR="002D69A1" w:rsidRPr="002D69A1" w14:paraId="6FD2360C" w14:textId="77777777" w:rsidTr="0066629F">
        <w:trPr>
          <w:trHeight w:val="288"/>
        </w:trPr>
        <w:tc>
          <w:tcPr>
            <w:tcW w:w="9039" w:type="dxa"/>
            <w:gridSpan w:val="3"/>
          </w:tcPr>
          <w:p w14:paraId="5841CFEA" w14:textId="77777777" w:rsidR="002D69A1" w:rsidRPr="002D69A1" w:rsidRDefault="002D69A1" w:rsidP="003306B1">
            <w:pPr>
              <w:pStyle w:val="TableHeading"/>
            </w:pPr>
            <w:r w:rsidRPr="002D69A1">
              <w:t>Musculoskeletal and Connective Tissue</w:t>
            </w:r>
          </w:p>
        </w:tc>
      </w:tr>
      <w:tr w:rsidR="002D69A1" w:rsidRPr="002D69A1" w14:paraId="3FBA01CE" w14:textId="77777777" w:rsidTr="0066629F">
        <w:trPr>
          <w:trHeight w:val="288"/>
        </w:trPr>
        <w:tc>
          <w:tcPr>
            <w:tcW w:w="5529" w:type="dxa"/>
          </w:tcPr>
          <w:p w14:paraId="6E7055BB" w14:textId="77777777" w:rsidR="002D69A1" w:rsidRPr="002D69A1" w:rsidRDefault="002D69A1" w:rsidP="003306B1">
            <w:pPr>
              <w:pStyle w:val="TableText"/>
            </w:pPr>
            <w:r w:rsidRPr="002D69A1">
              <w:t xml:space="preserve">Musculoskeletal </w:t>
            </w:r>
            <w:proofErr w:type="spellStart"/>
            <w:r w:rsidRPr="002D69A1">
              <w:t>pain</w:t>
            </w:r>
            <w:r w:rsidRPr="002D69A1">
              <w:rPr>
                <w:color w:val="000000"/>
                <w:vertAlign w:val="superscript"/>
              </w:rPr>
              <w:t>b</w:t>
            </w:r>
            <w:proofErr w:type="spellEnd"/>
          </w:p>
        </w:tc>
        <w:tc>
          <w:tcPr>
            <w:tcW w:w="1800" w:type="dxa"/>
          </w:tcPr>
          <w:p w14:paraId="6695CC03" w14:textId="77777777" w:rsidR="002D69A1" w:rsidRPr="002D69A1" w:rsidRDefault="002D69A1" w:rsidP="003306B1">
            <w:pPr>
              <w:pStyle w:val="TableCentre"/>
            </w:pPr>
            <w:r w:rsidRPr="002D69A1">
              <w:t>65</w:t>
            </w:r>
          </w:p>
        </w:tc>
        <w:tc>
          <w:tcPr>
            <w:tcW w:w="1710" w:type="dxa"/>
          </w:tcPr>
          <w:p w14:paraId="1BC06A48" w14:textId="77777777" w:rsidR="002D69A1" w:rsidRPr="002D69A1" w:rsidRDefault="002D69A1" w:rsidP="003306B1">
            <w:pPr>
              <w:pStyle w:val="TableCentre"/>
            </w:pPr>
            <w:r w:rsidRPr="002D69A1">
              <w:t>3</w:t>
            </w:r>
          </w:p>
        </w:tc>
      </w:tr>
      <w:tr w:rsidR="002D69A1" w:rsidRPr="002D69A1" w14:paraId="1270DBE7" w14:textId="77777777" w:rsidTr="0066629F">
        <w:trPr>
          <w:trHeight w:val="288"/>
        </w:trPr>
        <w:tc>
          <w:tcPr>
            <w:tcW w:w="9039" w:type="dxa"/>
            <w:gridSpan w:val="3"/>
          </w:tcPr>
          <w:p w14:paraId="5DE417C5" w14:textId="77777777" w:rsidR="002D69A1" w:rsidRPr="002D69A1" w:rsidRDefault="002D69A1" w:rsidP="003306B1">
            <w:pPr>
              <w:pStyle w:val="TableHeading"/>
            </w:pPr>
            <w:r w:rsidRPr="002D69A1">
              <w:t xml:space="preserve">Vascular </w:t>
            </w:r>
          </w:p>
        </w:tc>
      </w:tr>
      <w:tr w:rsidR="002D69A1" w:rsidRPr="002D69A1" w14:paraId="5D34638B" w14:textId="77777777" w:rsidTr="0066629F">
        <w:trPr>
          <w:trHeight w:val="288"/>
        </w:trPr>
        <w:tc>
          <w:tcPr>
            <w:tcW w:w="5529" w:type="dxa"/>
          </w:tcPr>
          <w:p w14:paraId="0EB0DFA6" w14:textId="77777777" w:rsidR="002D69A1" w:rsidRPr="002D69A1" w:rsidRDefault="002D69A1" w:rsidP="003306B1">
            <w:pPr>
              <w:pStyle w:val="TableText"/>
            </w:pPr>
            <w:proofErr w:type="spellStart"/>
            <w:r w:rsidRPr="002D69A1">
              <w:t>Hypertension</w:t>
            </w:r>
            <w:r w:rsidRPr="002D69A1">
              <w:rPr>
                <w:color w:val="000000"/>
                <w:vertAlign w:val="superscript"/>
              </w:rPr>
              <w:t>c</w:t>
            </w:r>
            <w:proofErr w:type="spellEnd"/>
          </w:p>
        </w:tc>
        <w:tc>
          <w:tcPr>
            <w:tcW w:w="1800" w:type="dxa"/>
          </w:tcPr>
          <w:p w14:paraId="328095A8" w14:textId="77777777" w:rsidR="002D69A1" w:rsidRPr="002D69A1" w:rsidRDefault="002D69A1" w:rsidP="003306B1">
            <w:pPr>
              <w:pStyle w:val="TableCentre"/>
            </w:pPr>
            <w:r w:rsidRPr="002D69A1">
              <w:t>65</w:t>
            </w:r>
          </w:p>
        </w:tc>
        <w:tc>
          <w:tcPr>
            <w:tcW w:w="1710" w:type="dxa"/>
          </w:tcPr>
          <w:p w14:paraId="09FA2A46" w14:textId="77777777" w:rsidR="002D69A1" w:rsidRPr="002D69A1" w:rsidRDefault="002D69A1" w:rsidP="003306B1">
            <w:pPr>
              <w:pStyle w:val="TableCentre"/>
            </w:pPr>
            <w:r w:rsidRPr="002D69A1">
              <w:t>38</w:t>
            </w:r>
          </w:p>
        </w:tc>
      </w:tr>
      <w:tr w:rsidR="002D69A1" w:rsidRPr="002D69A1" w14:paraId="1494FF77" w14:textId="77777777" w:rsidTr="0066629F">
        <w:trPr>
          <w:trHeight w:val="288"/>
        </w:trPr>
        <w:tc>
          <w:tcPr>
            <w:tcW w:w="5529" w:type="dxa"/>
          </w:tcPr>
          <w:p w14:paraId="3DDBBA77" w14:textId="0A2EAB74" w:rsidR="002D69A1" w:rsidRPr="002D69A1" w:rsidRDefault="002D69A1" w:rsidP="003306B1">
            <w:pPr>
              <w:pStyle w:val="TableText"/>
              <w:rPr>
                <w:color w:val="000000"/>
              </w:rPr>
            </w:pPr>
            <w:proofErr w:type="spellStart"/>
            <w:r w:rsidRPr="002D69A1">
              <w:t>H</w:t>
            </w:r>
            <w:r w:rsidR="001D5CB8">
              <w:t>a</w:t>
            </w:r>
            <w:r w:rsidRPr="002D69A1">
              <w:t>emorrhagic</w:t>
            </w:r>
            <w:proofErr w:type="spellEnd"/>
            <w:r w:rsidRPr="002D69A1">
              <w:t xml:space="preserve"> </w:t>
            </w:r>
            <w:proofErr w:type="spellStart"/>
            <w:r w:rsidRPr="002D69A1">
              <w:t>events</w:t>
            </w:r>
            <w:r w:rsidRPr="002D69A1">
              <w:rPr>
                <w:color w:val="000000"/>
                <w:vertAlign w:val="superscript"/>
              </w:rPr>
              <w:t>d</w:t>
            </w:r>
            <w:proofErr w:type="spellEnd"/>
          </w:p>
        </w:tc>
        <w:tc>
          <w:tcPr>
            <w:tcW w:w="1800" w:type="dxa"/>
          </w:tcPr>
          <w:p w14:paraId="318D4172" w14:textId="77777777" w:rsidR="002D69A1" w:rsidRPr="002D69A1" w:rsidRDefault="002D69A1" w:rsidP="003306B1">
            <w:pPr>
              <w:pStyle w:val="TableCentre"/>
            </w:pPr>
            <w:r w:rsidRPr="002D69A1">
              <w:t>28</w:t>
            </w:r>
          </w:p>
        </w:tc>
        <w:tc>
          <w:tcPr>
            <w:tcW w:w="1710" w:type="dxa"/>
          </w:tcPr>
          <w:p w14:paraId="13148091" w14:textId="77777777" w:rsidR="002D69A1" w:rsidRPr="002D69A1" w:rsidRDefault="002D69A1" w:rsidP="003306B1">
            <w:pPr>
              <w:pStyle w:val="TableCentre"/>
            </w:pPr>
            <w:r w:rsidRPr="002D69A1">
              <w:t>4</w:t>
            </w:r>
          </w:p>
        </w:tc>
      </w:tr>
      <w:tr w:rsidR="002D69A1" w:rsidRPr="002D69A1" w14:paraId="6638E13C" w14:textId="77777777" w:rsidTr="0066629F">
        <w:trPr>
          <w:trHeight w:val="288"/>
        </w:trPr>
        <w:tc>
          <w:tcPr>
            <w:tcW w:w="9039" w:type="dxa"/>
            <w:gridSpan w:val="3"/>
          </w:tcPr>
          <w:p w14:paraId="331921F7" w14:textId="77777777" w:rsidR="002D69A1" w:rsidRPr="002D69A1" w:rsidRDefault="002D69A1" w:rsidP="003306B1">
            <w:pPr>
              <w:pStyle w:val="TableHeading"/>
            </w:pPr>
            <w:r w:rsidRPr="002D69A1">
              <w:t>Gastrointestinal</w:t>
            </w:r>
          </w:p>
        </w:tc>
      </w:tr>
      <w:tr w:rsidR="002D69A1" w:rsidRPr="002D69A1" w14:paraId="0DDA5DBD" w14:textId="77777777" w:rsidTr="0066629F">
        <w:trPr>
          <w:trHeight w:val="288"/>
        </w:trPr>
        <w:tc>
          <w:tcPr>
            <w:tcW w:w="5529" w:type="dxa"/>
          </w:tcPr>
          <w:p w14:paraId="2F25B934" w14:textId="0E8999F3" w:rsidR="002D69A1" w:rsidRPr="002D69A1" w:rsidRDefault="002D69A1" w:rsidP="003306B1">
            <w:pPr>
              <w:pStyle w:val="TableText"/>
            </w:pPr>
            <w:proofErr w:type="spellStart"/>
            <w:r w:rsidRPr="002D69A1">
              <w:t>Diarrh</w:t>
            </w:r>
            <w:r w:rsidR="001D5CB8">
              <w:t>o</w:t>
            </w:r>
            <w:r w:rsidRPr="002D69A1">
              <w:t>ea</w:t>
            </w:r>
            <w:r w:rsidRPr="002D69A1">
              <w:rPr>
                <w:color w:val="000000"/>
                <w:vertAlign w:val="superscript"/>
              </w:rPr>
              <w:t>e</w:t>
            </w:r>
            <w:proofErr w:type="spellEnd"/>
          </w:p>
        </w:tc>
        <w:tc>
          <w:tcPr>
            <w:tcW w:w="1800" w:type="dxa"/>
          </w:tcPr>
          <w:p w14:paraId="553EC3C6" w14:textId="77777777" w:rsidR="002D69A1" w:rsidRPr="002D69A1" w:rsidRDefault="002D69A1" w:rsidP="003306B1">
            <w:pPr>
              <w:pStyle w:val="TableCentre"/>
            </w:pPr>
            <w:r w:rsidRPr="002D69A1">
              <w:t>64</w:t>
            </w:r>
          </w:p>
        </w:tc>
        <w:tc>
          <w:tcPr>
            <w:tcW w:w="1710" w:type="dxa"/>
          </w:tcPr>
          <w:p w14:paraId="63E9727F" w14:textId="77777777" w:rsidR="002D69A1" w:rsidRPr="002D69A1" w:rsidRDefault="002D69A1" w:rsidP="003306B1">
            <w:pPr>
              <w:pStyle w:val="TableCentre"/>
            </w:pPr>
            <w:r w:rsidRPr="002D69A1">
              <w:t>4</w:t>
            </w:r>
          </w:p>
        </w:tc>
      </w:tr>
      <w:tr w:rsidR="002D69A1" w:rsidRPr="002D69A1" w14:paraId="53454E40" w14:textId="77777777" w:rsidTr="0066629F">
        <w:trPr>
          <w:trHeight w:val="288"/>
        </w:trPr>
        <w:tc>
          <w:tcPr>
            <w:tcW w:w="5529" w:type="dxa"/>
          </w:tcPr>
          <w:p w14:paraId="0D4AC8D8" w14:textId="77777777" w:rsidR="002D69A1" w:rsidRPr="002D69A1" w:rsidRDefault="002D69A1" w:rsidP="003306B1">
            <w:pPr>
              <w:pStyle w:val="TableText"/>
            </w:pPr>
            <w:r w:rsidRPr="002D69A1">
              <w:t>Nausea</w:t>
            </w:r>
          </w:p>
        </w:tc>
        <w:tc>
          <w:tcPr>
            <w:tcW w:w="1800" w:type="dxa"/>
          </w:tcPr>
          <w:p w14:paraId="0907CE41" w14:textId="77777777" w:rsidR="002D69A1" w:rsidRPr="002D69A1" w:rsidRDefault="002D69A1" w:rsidP="003306B1">
            <w:pPr>
              <w:pStyle w:val="TableCentre"/>
            </w:pPr>
            <w:r w:rsidRPr="002D69A1">
              <w:t>48</w:t>
            </w:r>
          </w:p>
        </w:tc>
        <w:tc>
          <w:tcPr>
            <w:tcW w:w="1710" w:type="dxa"/>
          </w:tcPr>
          <w:p w14:paraId="0B80478B" w14:textId="77777777" w:rsidR="002D69A1" w:rsidRPr="002D69A1" w:rsidRDefault="002D69A1" w:rsidP="003306B1">
            <w:pPr>
              <w:pStyle w:val="TableCentre"/>
            </w:pPr>
            <w:r w:rsidRPr="002D69A1">
              <w:t>5</w:t>
            </w:r>
          </w:p>
        </w:tc>
      </w:tr>
      <w:tr w:rsidR="002D69A1" w:rsidRPr="002D69A1" w14:paraId="125A3ABD" w14:textId="77777777" w:rsidTr="0066629F">
        <w:trPr>
          <w:trHeight w:val="288"/>
        </w:trPr>
        <w:tc>
          <w:tcPr>
            <w:tcW w:w="5529" w:type="dxa"/>
          </w:tcPr>
          <w:p w14:paraId="24D7D447" w14:textId="77777777" w:rsidR="002D69A1" w:rsidRPr="002D69A1" w:rsidRDefault="002D69A1" w:rsidP="003306B1">
            <w:pPr>
              <w:pStyle w:val="TableText"/>
            </w:pPr>
            <w:proofErr w:type="spellStart"/>
            <w:r w:rsidRPr="002D69A1">
              <w:lastRenderedPageBreak/>
              <w:t>Stomatitis</w:t>
            </w:r>
            <w:r w:rsidRPr="002D69A1">
              <w:rPr>
                <w:color w:val="000000"/>
                <w:vertAlign w:val="superscript"/>
              </w:rPr>
              <w:t>f</w:t>
            </w:r>
            <w:proofErr w:type="spellEnd"/>
          </w:p>
        </w:tc>
        <w:tc>
          <w:tcPr>
            <w:tcW w:w="1800" w:type="dxa"/>
          </w:tcPr>
          <w:p w14:paraId="06F77845" w14:textId="77777777" w:rsidR="002D69A1" w:rsidRPr="002D69A1" w:rsidRDefault="002D69A1" w:rsidP="003306B1">
            <w:pPr>
              <w:pStyle w:val="TableCentre"/>
            </w:pPr>
            <w:r w:rsidRPr="002D69A1">
              <w:t>43</w:t>
            </w:r>
          </w:p>
        </w:tc>
        <w:tc>
          <w:tcPr>
            <w:tcW w:w="1710" w:type="dxa"/>
          </w:tcPr>
          <w:p w14:paraId="5ECDA5B0" w14:textId="77777777" w:rsidR="002D69A1" w:rsidRPr="002D69A1" w:rsidRDefault="002D69A1" w:rsidP="003306B1">
            <w:pPr>
              <w:pStyle w:val="TableCentre"/>
            </w:pPr>
            <w:r w:rsidRPr="002D69A1">
              <w:t>0</w:t>
            </w:r>
          </w:p>
        </w:tc>
      </w:tr>
      <w:tr w:rsidR="002D69A1" w:rsidRPr="002D69A1" w14:paraId="4B5A7DC2" w14:textId="77777777" w:rsidTr="0066629F">
        <w:trPr>
          <w:trHeight w:val="288"/>
        </w:trPr>
        <w:tc>
          <w:tcPr>
            <w:tcW w:w="5529" w:type="dxa"/>
          </w:tcPr>
          <w:p w14:paraId="2A8C2A6C" w14:textId="77777777" w:rsidR="002D69A1" w:rsidRPr="002D69A1" w:rsidRDefault="002D69A1" w:rsidP="003306B1">
            <w:pPr>
              <w:pStyle w:val="TableText"/>
            </w:pPr>
            <w:r w:rsidRPr="002D69A1">
              <w:t>Vomiting</w:t>
            </w:r>
          </w:p>
        </w:tc>
        <w:tc>
          <w:tcPr>
            <w:tcW w:w="1800" w:type="dxa"/>
          </w:tcPr>
          <w:p w14:paraId="5E4428D4" w14:textId="77777777" w:rsidR="002D69A1" w:rsidRPr="002D69A1" w:rsidRDefault="002D69A1" w:rsidP="003306B1">
            <w:pPr>
              <w:pStyle w:val="TableCentre"/>
            </w:pPr>
            <w:r w:rsidRPr="002D69A1">
              <w:t>39</w:t>
            </w:r>
          </w:p>
        </w:tc>
        <w:tc>
          <w:tcPr>
            <w:tcW w:w="1710" w:type="dxa"/>
          </w:tcPr>
          <w:p w14:paraId="77DF44AC" w14:textId="77777777" w:rsidR="002D69A1" w:rsidRPr="002D69A1" w:rsidRDefault="002D69A1" w:rsidP="003306B1">
            <w:pPr>
              <w:pStyle w:val="TableCentre"/>
            </w:pPr>
            <w:r w:rsidRPr="002D69A1">
              <w:t>0</w:t>
            </w:r>
          </w:p>
        </w:tc>
      </w:tr>
      <w:tr w:rsidR="002D69A1" w:rsidRPr="002D69A1" w14:paraId="4A51C697" w14:textId="77777777" w:rsidTr="0066629F">
        <w:trPr>
          <w:trHeight w:val="288"/>
        </w:trPr>
        <w:tc>
          <w:tcPr>
            <w:tcW w:w="5529" w:type="dxa"/>
          </w:tcPr>
          <w:p w14:paraId="69975E4E" w14:textId="77777777" w:rsidR="002D69A1" w:rsidRPr="002D69A1" w:rsidRDefault="002D69A1" w:rsidP="003306B1">
            <w:pPr>
              <w:pStyle w:val="TableText"/>
            </w:pPr>
            <w:r w:rsidRPr="002D69A1">
              <w:t xml:space="preserve">Abdominal </w:t>
            </w:r>
            <w:proofErr w:type="spellStart"/>
            <w:r w:rsidRPr="002D69A1">
              <w:t>pain</w:t>
            </w:r>
            <w:r w:rsidRPr="002D69A1">
              <w:rPr>
                <w:color w:val="000000"/>
                <w:vertAlign w:val="superscript"/>
              </w:rPr>
              <w:t>g</w:t>
            </w:r>
            <w:proofErr w:type="spellEnd"/>
          </w:p>
        </w:tc>
        <w:tc>
          <w:tcPr>
            <w:tcW w:w="1800" w:type="dxa"/>
          </w:tcPr>
          <w:p w14:paraId="6F09C693" w14:textId="77777777" w:rsidR="002D69A1" w:rsidRPr="002D69A1" w:rsidRDefault="002D69A1" w:rsidP="003306B1">
            <w:pPr>
              <w:pStyle w:val="TableCentre"/>
            </w:pPr>
            <w:r w:rsidRPr="002D69A1">
              <w:t>33</w:t>
            </w:r>
          </w:p>
        </w:tc>
        <w:tc>
          <w:tcPr>
            <w:tcW w:w="1710" w:type="dxa"/>
          </w:tcPr>
          <w:p w14:paraId="6513F959" w14:textId="77777777" w:rsidR="002D69A1" w:rsidRPr="002D69A1" w:rsidRDefault="002D69A1" w:rsidP="003306B1">
            <w:pPr>
              <w:pStyle w:val="TableCentre"/>
            </w:pPr>
            <w:r w:rsidRPr="002D69A1">
              <w:t>6</w:t>
            </w:r>
          </w:p>
        </w:tc>
      </w:tr>
      <w:tr w:rsidR="002D69A1" w:rsidRPr="002D69A1" w14:paraId="0E281232" w14:textId="77777777" w:rsidTr="0066629F">
        <w:trPr>
          <w:trHeight w:val="288"/>
        </w:trPr>
        <w:tc>
          <w:tcPr>
            <w:tcW w:w="5529" w:type="dxa"/>
          </w:tcPr>
          <w:p w14:paraId="3E3C60FA" w14:textId="77777777" w:rsidR="002D69A1" w:rsidRPr="002D69A1" w:rsidRDefault="002D69A1" w:rsidP="003306B1">
            <w:pPr>
              <w:pStyle w:val="TableText"/>
            </w:pPr>
            <w:r w:rsidRPr="002D69A1">
              <w:t>Constipation</w:t>
            </w:r>
          </w:p>
        </w:tc>
        <w:tc>
          <w:tcPr>
            <w:tcW w:w="1800" w:type="dxa"/>
          </w:tcPr>
          <w:p w14:paraId="2D6133A8" w14:textId="77777777" w:rsidR="002D69A1" w:rsidRPr="002D69A1" w:rsidRDefault="002D69A1" w:rsidP="003306B1">
            <w:pPr>
              <w:pStyle w:val="TableCentre"/>
            </w:pPr>
            <w:r w:rsidRPr="002D69A1">
              <w:t>32</w:t>
            </w:r>
          </w:p>
        </w:tc>
        <w:tc>
          <w:tcPr>
            <w:tcW w:w="1710" w:type="dxa"/>
          </w:tcPr>
          <w:p w14:paraId="05078FE6" w14:textId="77777777" w:rsidR="002D69A1" w:rsidRPr="002D69A1" w:rsidRDefault="002D69A1" w:rsidP="003306B1">
            <w:pPr>
              <w:pStyle w:val="TableCentre"/>
            </w:pPr>
            <w:r w:rsidRPr="002D69A1">
              <w:t>0</w:t>
            </w:r>
          </w:p>
        </w:tc>
      </w:tr>
      <w:tr w:rsidR="002D69A1" w:rsidRPr="002D69A1" w14:paraId="1202AE6F" w14:textId="77777777" w:rsidTr="0066629F">
        <w:trPr>
          <w:trHeight w:val="288"/>
        </w:trPr>
        <w:tc>
          <w:tcPr>
            <w:tcW w:w="9039" w:type="dxa"/>
            <w:gridSpan w:val="3"/>
          </w:tcPr>
          <w:p w14:paraId="324EBF03" w14:textId="77777777" w:rsidR="002D69A1" w:rsidRPr="002D69A1" w:rsidRDefault="002D69A1" w:rsidP="003306B1">
            <w:pPr>
              <w:pStyle w:val="TableHeading"/>
            </w:pPr>
            <w:r w:rsidRPr="002D69A1">
              <w:t>Metabolism</w:t>
            </w:r>
          </w:p>
        </w:tc>
      </w:tr>
      <w:tr w:rsidR="002D69A1" w:rsidRPr="002D69A1" w14:paraId="297DDEA0" w14:textId="77777777" w:rsidTr="0066629F">
        <w:trPr>
          <w:trHeight w:val="288"/>
        </w:trPr>
        <w:tc>
          <w:tcPr>
            <w:tcW w:w="5529" w:type="dxa"/>
          </w:tcPr>
          <w:p w14:paraId="0BEA91B9" w14:textId="77777777" w:rsidR="002D69A1" w:rsidRPr="002D69A1" w:rsidRDefault="002D69A1" w:rsidP="003306B1">
            <w:pPr>
              <w:pStyle w:val="TableText"/>
            </w:pPr>
            <w:r w:rsidRPr="002D69A1">
              <w:t xml:space="preserve">Decreased </w:t>
            </w:r>
            <w:proofErr w:type="spellStart"/>
            <w:r w:rsidRPr="002D69A1">
              <w:t>appetite</w:t>
            </w:r>
            <w:r w:rsidRPr="002D69A1">
              <w:rPr>
                <w:color w:val="000000"/>
                <w:vertAlign w:val="superscript"/>
              </w:rPr>
              <w:t>h</w:t>
            </w:r>
            <w:proofErr w:type="spellEnd"/>
          </w:p>
        </w:tc>
        <w:tc>
          <w:tcPr>
            <w:tcW w:w="1800" w:type="dxa"/>
          </w:tcPr>
          <w:p w14:paraId="40E51EEE" w14:textId="77777777" w:rsidR="002D69A1" w:rsidRPr="002D69A1" w:rsidRDefault="002D69A1" w:rsidP="003306B1">
            <w:pPr>
              <w:pStyle w:val="TableCentre"/>
            </w:pPr>
            <w:r w:rsidRPr="002D69A1">
              <w:t>52</w:t>
            </w:r>
          </w:p>
        </w:tc>
        <w:tc>
          <w:tcPr>
            <w:tcW w:w="1710" w:type="dxa"/>
          </w:tcPr>
          <w:p w14:paraId="30E05732" w14:textId="77777777" w:rsidR="002D69A1" w:rsidRPr="002D69A1" w:rsidRDefault="002D69A1" w:rsidP="003306B1">
            <w:pPr>
              <w:pStyle w:val="TableCentre"/>
            </w:pPr>
            <w:r w:rsidRPr="002D69A1">
              <w:t>0</w:t>
            </w:r>
          </w:p>
        </w:tc>
      </w:tr>
      <w:tr w:rsidR="002D69A1" w:rsidRPr="002D69A1" w14:paraId="1AA84526" w14:textId="77777777" w:rsidTr="0066629F">
        <w:trPr>
          <w:trHeight w:val="288"/>
        </w:trPr>
        <w:tc>
          <w:tcPr>
            <w:tcW w:w="5529" w:type="dxa"/>
          </w:tcPr>
          <w:p w14:paraId="5CD26236" w14:textId="77777777" w:rsidR="002D69A1" w:rsidRPr="002D69A1" w:rsidRDefault="002D69A1" w:rsidP="003306B1">
            <w:pPr>
              <w:pStyle w:val="TableText"/>
            </w:pPr>
            <w:r w:rsidRPr="002D69A1">
              <w:t>Hypomagnesaemia</w:t>
            </w:r>
          </w:p>
        </w:tc>
        <w:tc>
          <w:tcPr>
            <w:tcW w:w="1800" w:type="dxa"/>
          </w:tcPr>
          <w:p w14:paraId="0E0E9367" w14:textId="77777777" w:rsidR="002D69A1" w:rsidRPr="002D69A1" w:rsidRDefault="002D69A1" w:rsidP="003306B1">
            <w:pPr>
              <w:pStyle w:val="TableCentre"/>
            </w:pPr>
            <w:r w:rsidRPr="002D69A1">
              <w:t>27</w:t>
            </w:r>
          </w:p>
        </w:tc>
        <w:tc>
          <w:tcPr>
            <w:tcW w:w="1710" w:type="dxa"/>
          </w:tcPr>
          <w:p w14:paraId="60398B77" w14:textId="77777777" w:rsidR="002D69A1" w:rsidRPr="002D69A1" w:rsidRDefault="002D69A1" w:rsidP="003306B1">
            <w:pPr>
              <w:pStyle w:val="TableCentre"/>
            </w:pPr>
            <w:r w:rsidRPr="002D69A1">
              <w:t>3</w:t>
            </w:r>
          </w:p>
        </w:tc>
      </w:tr>
      <w:tr w:rsidR="002D69A1" w:rsidRPr="002D69A1" w14:paraId="54096954" w14:textId="77777777" w:rsidTr="0066629F">
        <w:trPr>
          <w:trHeight w:val="288"/>
        </w:trPr>
        <w:tc>
          <w:tcPr>
            <w:tcW w:w="9039" w:type="dxa"/>
            <w:gridSpan w:val="3"/>
          </w:tcPr>
          <w:p w14:paraId="44719261" w14:textId="77777777" w:rsidR="002D69A1" w:rsidRPr="002D69A1" w:rsidRDefault="002D69A1" w:rsidP="003306B1">
            <w:pPr>
              <w:pStyle w:val="TableHeading"/>
            </w:pPr>
            <w:r w:rsidRPr="002D69A1">
              <w:t>Endocrine</w:t>
            </w:r>
          </w:p>
        </w:tc>
      </w:tr>
      <w:tr w:rsidR="002D69A1" w:rsidRPr="002D69A1" w14:paraId="47FF5794" w14:textId="77777777" w:rsidTr="0066629F">
        <w:trPr>
          <w:trHeight w:val="288"/>
        </w:trPr>
        <w:tc>
          <w:tcPr>
            <w:tcW w:w="5529" w:type="dxa"/>
          </w:tcPr>
          <w:p w14:paraId="081AB068" w14:textId="77777777" w:rsidR="002D69A1" w:rsidRPr="002D69A1" w:rsidRDefault="002D69A1" w:rsidP="003306B1">
            <w:pPr>
              <w:pStyle w:val="TableText"/>
            </w:pPr>
            <w:proofErr w:type="spellStart"/>
            <w:r w:rsidRPr="002D69A1">
              <w:t>Hypothyroidism</w:t>
            </w:r>
            <w:r w:rsidRPr="002D69A1">
              <w:rPr>
                <w:color w:val="000000"/>
                <w:vertAlign w:val="superscript"/>
              </w:rPr>
              <w:t>i</w:t>
            </w:r>
            <w:proofErr w:type="spellEnd"/>
          </w:p>
        </w:tc>
        <w:tc>
          <w:tcPr>
            <w:tcW w:w="1800" w:type="dxa"/>
          </w:tcPr>
          <w:p w14:paraId="02EE470C" w14:textId="77777777" w:rsidR="002D69A1" w:rsidRPr="002D69A1" w:rsidRDefault="002D69A1" w:rsidP="003306B1">
            <w:pPr>
              <w:pStyle w:val="TableCentre"/>
            </w:pPr>
            <w:r w:rsidRPr="002D69A1">
              <w:t>51</w:t>
            </w:r>
          </w:p>
        </w:tc>
        <w:tc>
          <w:tcPr>
            <w:tcW w:w="1710" w:type="dxa"/>
          </w:tcPr>
          <w:p w14:paraId="0A2852DB" w14:textId="77777777" w:rsidR="002D69A1" w:rsidRPr="002D69A1" w:rsidRDefault="002D69A1" w:rsidP="003306B1">
            <w:pPr>
              <w:pStyle w:val="TableCentre"/>
            </w:pPr>
            <w:r w:rsidRPr="002D69A1">
              <w:t>1</w:t>
            </w:r>
          </w:p>
        </w:tc>
      </w:tr>
      <w:tr w:rsidR="002D69A1" w:rsidRPr="002D69A1" w14:paraId="1E2783C3" w14:textId="77777777" w:rsidTr="0066629F">
        <w:trPr>
          <w:trHeight w:val="288"/>
        </w:trPr>
        <w:tc>
          <w:tcPr>
            <w:tcW w:w="9039" w:type="dxa"/>
            <w:gridSpan w:val="3"/>
          </w:tcPr>
          <w:p w14:paraId="29CFA632" w14:textId="77777777" w:rsidR="002D69A1" w:rsidRPr="002D69A1" w:rsidRDefault="002D69A1" w:rsidP="003306B1">
            <w:pPr>
              <w:pStyle w:val="TableHeading"/>
            </w:pPr>
            <w:r w:rsidRPr="002D69A1">
              <w:t>Investigations</w:t>
            </w:r>
          </w:p>
        </w:tc>
      </w:tr>
      <w:tr w:rsidR="002D69A1" w:rsidRPr="002D69A1" w14:paraId="35FCC4E2" w14:textId="77777777" w:rsidTr="0066629F">
        <w:trPr>
          <w:trHeight w:val="288"/>
        </w:trPr>
        <w:tc>
          <w:tcPr>
            <w:tcW w:w="5529" w:type="dxa"/>
          </w:tcPr>
          <w:p w14:paraId="6CF6A122" w14:textId="77777777" w:rsidR="002D69A1" w:rsidRPr="002D69A1" w:rsidRDefault="002D69A1" w:rsidP="003306B1">
            <w:pPr>
              <w:pStyle w:val="TableText"/>
              <w:rPr>
                <w:vertAlign w:val="superscript"/>
              </w:rPr>
            </w:pPr>
            <w:r w:rsidRPr="002D69A1">
              <w:t>Decreased weight</w:t>
            </w:r>
          </w:p>
        </w:tc>
        <w:tc>
          <w:tcPr>
            <w:tcW w:w="1800" w:type="dxa"/>
          </w:tcPr>
          <w:p w14:paraId="4C9098A0" w14:textId="77777777" w:rsidR="002D69A1" w:rsidRPr="002D69A1" w:rsidRDefault="002D69A1" w:rsidP="003306B1">
            <w:pPr>
              <w:pStyle w:val="TableCentre"/>
            </w:pPr>
            <w:r w:rsidRPr="002D69A1">
              <w:t>36</w:t>
            </w:r>
          </w:p>
        </w:tc>
        <w:tc>
          <w:tcPr>
            <w:tcW w:w="1710" w:type="dxa"/>
          </w:tcPr>
          <w:p w14:paraId="623C14F4" w14:textId="77777777" w:rsidR="002D69A1" w:rsidRPr="002D69A1" w:rsidRDefault="002D69A1" w:rsidP="003306B1">
            <w:pPr>
              <w:pStyle w:val="TableCentre"/>
            </w:pPr>
            <w:r w:rsidRPr="002D69A1">
              <w:t>3</w:t>
            </w:r>
          </w:p>
        </w:tc>
      </w:tr>
      <w:tr w:rsidR="002D69A1" w:rsidRPr="002D69A1" w14:paraId="270D07C2" w14:textId="77777777" w:rsidTr="0066629F">
        <w:trPr>
          <w:trHeight w:val="288"/>
        </w:trPr>
        <w:tc>
          <w:tcPr>
            <w:tcW w:w="9039" w:type="dxa"/>
            <w:gridSpan w:val="3"/>
          </w:tcPr>
          <w:p w14:paraId="3D19EFB0" w14:textId="77777777" w:rsidR="002D69A1" w:rsidRPr="002D69A1" w:rsidRDefault="002D69A1" w:rsidP="003306B1">
            <w:pPr>
              <w:pStyle w:val="TableHeading"/>
            </w:pPr>
            <w:r w:rsidRPr="002D69A1">
              <w:t>Nervous System</w:t>
            </w:r>
          </w:p>
        </w:tc>
      </w:tr>
      <w:tr w:rsidR="002D69A1" w:rsidRPr="002D69A1" w14:paraId="2A677071" w14:textId="77777777" w:rsidTr="0066629F">
        <w:trPr>
          <w:trHeight w:val="288"/>
        </w:trPr>
        <w:tc>
          <w:tcPr>
            <w:tcW w:w="5529" w:type="dxa"/>
          </w:tcPr>
          <w:p w14:paraId="39EF68A1" w14:textId="77777777" w:rsidR="002D69A1" w:rsidRPr="002D69A1" w:rsidRDefault="002D69A1" w:rsidP="003306B1">
            <w:pPr>
              <w:pStyle w:val="TableText"/>
            </w:pPr>
            <w:r w:rsidRPr="002D69A1">
              <w:t>Headache</w:t>
            </w:r>
          </w:p>
        </w:tc>
        <w:tc>
          <w:tcPr>
            <w:tcW w:w="1800" w:type="dxa"/>
          </w:tcPr>
          <w:p w14:paraId="308DC972" w14:textId="77777777" w:rsidR="002D69A1" w:rsidRPr="002D69A1" w:rsidRDefault="002D69A1" w:rsidP="003306B1">
            <w:pPr>
              <w:pStyle w:val="TableCentre"/>
            </w:pPr>
            <w:r w:rsidRPr="002D69A1">
              <w:t>33</w:t>
            </w:r>
          </w:p>
        </w:tc>
        <w:tc>
          <w:tcPr>
            <w:tcW w:w="1710" w:type="dxa"/>
          </w:tcPr>
          <w:p w14:paraId="4A75F5E7" w14:textId="77777777" w:rsidR="002D69A1" w:rsidRPr="002D69A1" w:rsidRDefault="002D69A1" w:rsidP="003306B1">
            <w:pPr>
              <w:pStyle w:val="TableCentre"/>
            </w:pPr>
            <w:r w:rsidRPr="002D69A1">
              <w:t>1</w:t>
            </w:r>
          </w:p>
        </w:tc>
      </w:tr>
      <w:tr w:rsidR="002D69A1" w:rsidRPr="002D69A1" w14:paraId="176FAD55" w14:textId="77777777" w:rsidTr="0066629F">
        <w:trPr>
          <w:trHeight w:val="288"/>
        </w:trPr>
        <w:tc>
          <w:tcPr>
            <w:tcW w:w="9039" w:type="dxa"/>
            <w:gridSpan w:val="3"/>
          </w:tcPr>
          <w:p w14:paraId="5D516A81" w14:textId="77777777" w:rsidR="002D69A1" w:rsidRPr="002D69A1" w:rsidRDefault="002D69A1" w:rsidP="003306B1">
            <w:pPr>
              <w:pStyle w:val="TableHeading"/>
            </w:pPr>
            <w:r w:rsidRPr="002D69A1">
              <w:t>Infections</w:t>
            </w:r>
          </w:p>
        </w:tc>
      </w:tr>
      <w:tr w:rsidR="002D69A1" w:rsidRPr="002D69A1" w14:paraId="58D6220C" w14:textId="77777777" w:rsidTr="0066629F">
        <w:trPr>
          <w:trHeight w:val="288"/>
        </w:trPr>
        <w:tc>
          <w:tcPr>
            <w:tcW w:w="5529" w:type="dxa"/>
          </w:tcPr>
          <w:p w14:paraId="325960E2" w14:textId="77777777" w:rsidR="002D69A1" w:rsidRPr="002D69A1" w:rsidRDefault="002D69A1" w:rsidP="003306B1">
            <w:pPr>
              <w:pStyle w:val="TableText"/>
              <w:rPr>
                <w:highlight w:val="yellow"/>
              </w:rPr>
            </w:pPr>
            <w:r w:rsidRPr="002D69A1">
              <w:t xml:space="preserve">Urinary tract </w:t>
            </w:r>
            <w:proofErr w:type="spellStart"/>
            <w:r w:rsidRPr="002D69A1">
              <w:t>infection</w:t>
            </w:r>
            <w:r w:rsidRPr="002D69A1">
              <w:rPr>
                <w:color w:val="000000"/>
                <w:vertAlign w:val="superscript"/>
              </w:rPr>
              <w:t>j</w:t>
            </w:r>
            <w:proofErr w:type="spellEnd"/>
          </w:p>
        </w:tc>
        <w:tc>
          <w:tcPr>
            <w:tcW w:w="1800" w:type="dxa"/>
          </w:tcPr>
          <w:p w14:paraId="29E69120" w14:textId="77777777" w:rsidR="002D69A1" w:rsidRPr="002D69A1" w:rsidRDefault="002D69A1" w:rsidP="003306B1">
            <w:pPr>
              <w:pStyle w:val="TableCentre"/>
            </w:pPr>
            <w:r w:rsidRPr="002D69A1">
              <w:t>31</w:t>
            </w:r>
          </w:p>
        </w:tc>
        <w:tc>
          <w:tcPr>
            <w:tcW w:w="1710" w:type="dxa"/>
          </w:tcPr>
          <w:p w14:paraId="0D5A35FF" w14:textId="77777777" w:rsidR="002D69A1" w:rsidRPr="002D69A1" w:rsidRDefault="002D69A1" w:rsidP="003306B1">
            <w:pPr>
              <w:pStyle w:val="TableCentre"/>
            </w:pPr>
            <w:r w:rsidRPr="002D69A1">
              <w:t>4</w:t>
            </w:r>
          </w:p>
        </w:tc>
      </w:tr>
      <w:tr w:rsidR="002D69A1" w:rsidRPr="002D69A1" w14:paraId="502BC2DF" w14:textId="77777777" w:rsidTr="0066629F">
        <w:trPr>
          <w:trHeight w:val="288"/>
        </w:trPr>
        <w:tc>
          <w:tcPr>
            <w:tcW w:w="9039" w:type="dxa"/>
            <w:gridSpan w:val="3"/>
          </w:tcPr>
          <w:p w14:paraId="29E4F8DB" w14:textId="77777777" w:rsidR="002D69A1" w:rsidRPr="002D69A1" w:rsidRDefault="002D69A1" w:rsidP="003306B1">
            <w:pPr>
              <w:pStyle w:val="TableHeading"/>
            </w:pPr>
            <w:r w:rsidRPr="002D69A1">
              <w:t>Respiratory, Thoracic and Mediastinal</w:t>
            </w:r>
          </w:p>
        </w:tc>
      </w:tr>
      <w:tr w:rsidR="002D69A1" w:rsidRPr="002D69A1" w14:paraId="3106FB64" w14:textId="77777777" w:rsidTr="0066629F">
        <w:trPr>
          <w:trHeight w:val="288"/>
        </w:trPr>
        <w:tc>
          <w:tcPr>
            <w:tcW w:w="5529" w:type="dxa"/>
          </w:tcPr>
          <w:p w14:paraId="39DFD2A2" w14:textId="77777777" w:rsidR="002D69A1" w:rsidRPr="002D69A1" w:rsidRDefault="002D69A1" w:rsidP="003306B1">
            <w:pPr>
              <w:pStyle w:val="TableText"/>
            </w:pPr>
            <w:r w:rsidRPr="002D69A1">
              <w:t>Dysphonia</w:t>
            </w:r>
          </w:p>
        </w:tc>
        <w:tc>
          <w:tcPr>
            <w:tcW w:w="1800" w:type="dxa"/>
          </w:tcPr>
          <w:p w14:paraId="5AA060B9" w14:textId="77777777" w:rsidR="002D69A1" w:rsidRPr="002D69A1" w:rsidRDefault="002D69A1" w:rsidP="003306B1">
            <w:pPr>
              <w:pStyle w:val="TableCentre"/>
            </w:pPr>
            <w:r w:rsidRPr="002D69A1">
              <w:t>29</w:t>
            </w:r>
          </w:p>
        </w:tc>
        <w:tc>
          <w:tcPr>
            <w:tcW w:w="1710" w:type="dxa"/>
          </w:tcPr>
          <w:p w14:paraId="55AB8B2C" w14:textId="77777777" w:rsidR="002D69A1" w:rsidRPr="002D69A1" w:rsidRDefault="002D69A1" w:rsidP="003306B1">
            <w:pPr>
              <w:pStyle w:val="TableCentre"/>
            </w:pPr>
            <w:r w:rsidRPr="002D69A1">
              <w:t>0</w:t>
            </w:r>
          </w:p>
        </w:tc>
      </w:tr>
      <w:tr w:rsidR="002D69A1" w:rsidRPr="002D69A1" w14:paraId="64602ECD" w14:textId="77777777" w:rsidTr="0066629F">
        <w:trPr>
          <w:trHeight w:val="288"/>
        </w:trPr>
        <w:tc>
          <w:tcPr>
            <w:tcW w:w="5529" w:type="dxa"/>
          </w:tcPr>
          <w:p w14:paraId="73E6EE16" w14:textId="1EF2B3F7" w:rsidR="002D69A1" w:rsidRPr="002D69A1" w:rsidRDefault="002D69A1" w:rsidP="003306B1">
            <w:pPr>
              <w:pStyle w:val="TableText"/>
            </w:pPr>
            <w:proofErr w:type="spellStart"/>
            <w:r w:rsidRPr="002D69A1">
              <w:t>Dyspn</w:t>
            </w:r>
            <w:r w:rsidR="001D5CB8">
              <w:t>o</w:t>
            </w:r>
            <w:r w:rsidRPr="002D69A1">
              <w:t>ea</w:t>
            </w:r>
            <w:r w:rsidRPr="002D69A1">
              <w:rPr>
                <w:color w:val="000000"/>
                <w:vertAlign w:val="superscript"/>
              </w:rPr>
              <w:t>k</w:t>
            </w:r>
            <w:proofErr w:type="spellEnd"/>
          </w:p>
        </w:tc>
        <w:tc>
          <w:tcPr>
            <w:tcW w:w="1800" w:type="dxa"/>
          </w:tcPr>
          <w:p w14:paraId="7D48BC1F" w14:textId="77777777" w:rsidR="002D69A1" w:rsidRPr="002D69A1" w:rsidRDefault="002D69A1" w:rsidP="003306B1">
            <w:pPr>
              <w:pStyle w:val="TableCentre"/>
            </w:pPr>
            <w:r w:rsidRPr="002D69A1">
              <w:t>24</w:t>
            </w:r>
          </w:p>
        </w:tc>
        <w:tc>
          <w:tcPr>
            <w:tcW w:w="1710" w:type="dxa"/>
          </w:tcPr>
          <w:p w14:paraId="6A65F475" w14:textId="77777777" w:rsidR="002D69A1" w:rsidRPr="002D69A1" w:rsidRDefault="002D69A1" w:rsidP="003306B1">
            <w:pPr>
              <w:pStyle w:val="TableCentre"/>
            </w:pPr>
            <w:r w:rsidRPr="002D69A1">
              <w:t>2</w:t>
            </w:r>
          </w:p>
        </w:tc>
      </w:tr>
      <w:tr w:rsidR="002D69A1" w:rsidRPr="002D69A1" w14:paraId="678D2FCC" w14:textId="77777777" w:rsidTr="0066629F">
        <w:trPr>
          <w:trHeight w:val="288"/>
        </w:trPr>
        <w:tc>
          <w:tcPr>
            <w:tcW w:w="5529" w:type="dxa"/>
          </w:tcPr>
          <w:p w14:paraId="58F069CE" w14:textId="77777777" w:rsidR="002D69A1" w:rsidRPr="002D69A1" w:rsidRDefault="002D69A1" w:rsidP="003306B1">
            <w:pPr>
              <w:pStyle w:val="TableText"/>
            </w:pPr>
            <w:r w:rsidRPr="002D69A1">
              <w:t>Cough</w:t>
            </w:r>
          </w:p>
        </w:tc>
        <w:tc>
          <w:tcPr>
            <w:tcW w:w="1800" w:type="dxa"/>
          </w:tcPr>
          <w:p w14:paraId="1A17DCEE" w14:textId="77777777" w:rsidR="002D69A1" w:rsidRPr="002D69A1" w:rsidRDefault="002D69A1" w:rsidP="003306B1">
            <w:pPr>
              <w:pStyle w:val="TableCentre"/>
            </w:pPr>
            <w:r w:rsidRPr="002D69A1">
              <w:t>21</w:t>
            </w:r>
          </w:p>
        </w:tc>
        <w:tc>
          <w:tcPr>
            <w:tcW w:w="1710" w:type="dxa"/>
          </w:tcPr>
          <w:p w14:paraId="208348D1" w14:textId="77777777" w:rsidR="002D69A1" w:rsidRPr="002D69A1" w:rsidRDefault="002D69A1" w:rsidP="003306B1">
            <w:pPr>
              <w:pStyle w:val="TableCentre"/>
            </w:pPr>
            <w:r w:rsidRPr="002D69A1">
              <w:t>0</w:t>
            </w:r>
          </w:p>
        </w:tc>
      </w:tr>
      <w:tr w:rsidR="002D69A1" w:rsidRPr="002D69A1" w14:paraId="09D87A40" w14:textId="77777777" w:rsidTr="0066629F">
        <w:trPr>
          <w:trHeight w:val="288"/>
        </w:trPr>
        <w:tc>
          <w:tcPr>
            <w:tcW w:w="9039" w:type="dxa"/>
            <w:gridSpan w:val="3"/>
          </w:tcPr>
          <w:p w14:paraId="2E6F95F4" w14:textId="77777777" w:rsidR="002D69A1" w:rsidRPr="002D69A1" w:rsidRDefault="002D69A1" w:rsidP="003306B1">
            <w:pPr>
              <w:pStyle w:val="TableHeading"/>
            </w:pPr>
            <w:r w:rsidRPr="002D69A1">
              <w:t>Skin and Subcutaneous Tissue</w:t>
            </w:r>
          </w:p>
        </w:tc>
      </w:tr>
      <w:tr w:rsidR="002D69A1" w:rsidRPr="002D69A1" w14:paraId="0A9B2C40" w14:textId="77777777" w:rsidTr="0066629F">
        <w:trPr>
          <w:trHeight w:val="288"/>
        </w:trPr>
        <w:tc>
          <w:tcPr>
            <w:tcW w:w="5529" w:type="dxa"/>
          </w:tcPr>
          <w:p w14:paraId="50D69D1A" w14:textId="77777777" w:rsidR="002D69A1" w:rsidRPr="002D69A1" w:rsidRDefault="002D69A1" w:rsidP="003306B1">
            <w:pPr>
              <w:pStyle w:val="TableText"/>
            </w:pPr>
            <w:r w:rsidRPr="002D69A1">
              <w:t xml:space="preserve">Palmar-plantar </w:t>
            </w:r>
            <w:proofErr w:type="spellStart"/>
            <w:r w:rsidRPr="002D69A1">
              <w:t>erythrodysaesthesia</w:t>
            </w:r>
            <w:proofErr w:type="spellEnd"/>
            <w:r w:rsidRPr="002D69A1">
              <w:t xml:space="preserve"> syndrome</w:t>
            </w:r>
          </w:p>
        </w:tc>
        <w:tc>
          <w:tcPr>
            <w:tcW w:w="1800" w:type="dxa"/>
          </w:tcPr>
          <w:p w14:paraId="5455BC98" w14:textId="77777777" w:rsidR="002D69A1" w:rsidRPr="002D69A1" w:rsidRDefault="002D69A1" w:rsidP="003306B1">
            <w:pPr>
              <w:pStyle w:val="TableCentre"/>
            </w:pPr>
            <w:r w:rsidRPr="002D69A1">
              <w:t>26</w:t>
            </w:r>
          </w:p>
        </w:tc>
        <w:tc>
          <w:tcPr>
            <w:tcW w:w="1710" w:type="dxa"/>
          </w:tcPr>
          <w:p w14:paraId="7830FE5D" w14:textId="77777777" w:rsidR="002D69A1" w:rsidRPr="002D69A1" w:rsidRDefault="002D69A1" w:rsidP="003306B1">
            <w:pPr>
              <w:pStyle w:val="TableCentre"/>
            </w:pPr>
            <w:r w:rsidRPr="002D69A1">
              <w:t>3</w:t>
            </w:r>
          </w:p>
        </w:tc>
      </w:tr>
      <w:tr w:rsidR="002D69A1" w:rsidRPr="002D69A1" w14:paraId="57831F8E" w14:textId="77777777" w:rsidTr="0066629F">
        <w:trPr>
          <w:trHeight w:val="288"/>
        </w:trPr>
        <w:tc>
          <w:tcPr>
            <w:tcW w:w="5529" w:type="dxa"/>
            <w:tcBorders>
              <w:bottom w:val="single" w:sz="4" w:space="0" w:color="auto"/>
            </w:tcBorders>
          </w:tcPr>
          <w:p w14:paraId="7DFD4D77" w14:textId="77777777" w:rsidR="002D69A1" w:rsidRPr="002D69A1" w:rsidRDefault="002D69A1" w:rsidP="003306B1">
            <w:pPr>
              <w:pStyle w:val="TableText"/>
            </w:pPr>
            <w:proofErr w:type="spellStart"/>
            <w:r w:rsidRPr="002D69A1">
              <w:t>Rash</w:t>
            </w:r>
            <w:r w:rsidRPr="002D69A1">
              <w:rPr>
                <w:color w:val="000000"/>
                <w:vertAlign w:val="superscript"/>
              </w:rPr>
              <w:t>l</w:t>
            </w:r>
            <w:proofErr w:type="spellEnd"/>
          </w:p>
        </w:tc>
        <w:tc>
          <w:tcPr>
            <w:tcW w:w="1800" w:type="dxa"/>
            <w:tcBorders>
              <w:bottom w:val="single" w:sz="4" w:space="0" w:color="auto"/>
            </w:tcBorders>
          </w:tcPr>
          <w:p w14:paraId="7991D39A" w14:textId="77777777" w:rsidR="002D69A1" w:rsidRPr="002D69A1" w:rsidRDefault="002D69A1" w:rsidP="003306B1">
            <w:pPr>
              <w:pStyle w:val="TableCentre"/>
            </w:pPr>
            <w:r w:rsidRPr="002D69A1">
              <w:t>21</w:t>
            </w:r>
          </w:p>
        </w:tc>
        <w:tc>
          <w:tcPr>
            <w:tcW w:w="1710" w:type="dxa"/>
            <w:tcBorders>
              <w:bottom w:val="single" w:sz="4" w:space="0" w:color="auto"/>
            </w:tcBorders>
          </w:tcPr>
          <w:p w14:paraId="6A6FA112" w14:textId="77777777" w:rsidR="002D69A1" w:rsidRPr="002D69A1" w:rsidRDefault="002D69A1" w:rsidP="003306B1">
            <w:pPr>
              <w:pStyle w:val="TableCentre"/>
            </w:pPr>
            <w:r w:rsidRPr="002D69A1">
              <w:t>3</w:t>
            </w:r>
          </w:p>
        </w:tc>
      </w:tr>
    </w:tbl>
    <w:p w14:paraId="5BA88795" w14:textId="1BACF8B3" w:rsidR="006B3991" w:rsidRPr="006B3991" w:rsidRDefault="006B3991" w:rsidP="006B3991">
      <w:pPr>
        <w:pStyle w:val="BodyText"/>
        <w:ind w:left="284" w:hanging="284"/>
        <w:rPr>
          <w:rFonts w:ascii="Arial" w:hAnsi="Arial" w:cs="Arial"/>
          <w:sz w:val="20"/>
          <w:szCs w:val="20"/>
        </w:rPr>
      </w:pPr>
      <w:proofErr w:type="spellStart"/>
      <w:proofErr w:type="gramStart"/>
      <w:r w:rsidRPr="006B3991">
        <w:rPr>
          <w:rFonts w:ascii="Arial" w:hAnsi="Arial" w:cs="Arial"/>
          <w:sz w:val="20"/>
          <w:szCs w:val="20"/>
        </w:rPr>
        <w:t>a</w:t>
      </w:r>
      <w:proofErr w:type="spellEnd"/>
      <w:proofErr w:type="gramEnd"/>
      <w:r w:rsidRPr="006B3991">
        <w:rPr>
          <w:rFonts w:ascii="Arial" w:hAnsi="Arial" w:cs="Arial"/>
          <w:sz w:val="20"/>
          <w:szCs w:val="20"/>
        </w:rPr>
        <w:tab/>
        <w:t>Includes</w:t>
      </w:r>
      <w:r>
        <w:rPr>
          <w:rFonts w:ascii="Arial" w:hAnsi="Arial" w:cs="Arial"/>
          <w:sz w:val="20"/>
          <w:szCs w:val="20"/>
        </w:rPr>
        <w:t xml:space="preserve"> asthenia, fatigue, and malaise</w:t>
      </w:r>
    </w:p>
    <w:p w14:paraId="6B6648B3" w14:textId="505832B2" w:rsidR="006B3991" w:rsidRPr="006B3991" w:rsidRDefault="006B3991" w:rsidP="006B3991">
      <w:pPr>
        <w:pStyle w:val="BodyText"/>
        <w:ind w:left="284" w:hanging="284"/>
        <w:rPr>
          <w:rFonts w:ascii="Arial" w:hAnsi="Arial" w:cs="Arial"/>
          <w:sz w:val="20"/>
          <w:szCs w:val="20"/>
        </w:rPr>
      </w:pPr>
      <w:r w:rsidRPr="006B3991">
        <w:rPr>
          <w:rFonts w:ascii="Arial" w:hAnsi="Arial" w:cs="Arial"/>
          <w:sz w:val="20"/>
          <w:szCs w:val="20"/>
        </w:rPr>
        <w:t>b</w:t>
      </w:r>
      <w:r w:rsidRPr="006B3991">
        <w:rPr>
          <w:rFonts w:ascii="Arial" w:hAnsi="Arial" w:cs="Arial"/>
          <w:sz w:val="20"/>
          <w:szCs w:val="20"/>
        </w:rPr>
        <w:tab/>
        <w:t>Includes arthralgia, arthritis, back pain, breast pain, musculoskeletal chest pain, musculoskeletal pain, musculoskeletal stiffness, myalgia, neck pain, non-cardia</w:t>
      </w:r>
      <w:r>
        <w:rPr>
          <w:rFonts w:ascii="Arial" w:hAnsi="Arial" w:cs="Arial"/>
          <w:sz w:val="20"/>
          <w:szCs w:val="20"/>
        </w:rPr>
        <w:t>c chest pain, pain in extremity</w:t>
      </w:r>
    </w:p>
    <w:p w14:paraId="4DFFF89B" w14:textId="77777777" w:rsidR="006B3991" w:rsidRPr="006B3991" w:rsidRDefault="006B3991" w:rsidP="006B3991">
      <w:pPr>
        <w:pStyle w:val="BodyText"/>
        <w:ind w:left="284" w:hanging="284"/>
        <w:rPr>
          <w:rFonts w:ascii="Arial" w:hAnsi="Arial" w:cs="Arial"/>
          <w:sz w:val="20"/>
          <w:szCs w:val="20"/>
        </w:rPr>
      </w:pPr>
      <w:proofErr w:type="gramStart"/>
      <w:r w:rsidRPr="006B3991">
        <w:rPr>
          <w:rFonts w:ascii="Arial" w:hAnsi="Arial" w:cs="Arial"/>
          <w:sz w:val="20"/>
          <w:szCs w:val="20"/>
        </w:rPr>
        <w:t>c</w:t>
      </w:r>
      <w:proofErr w:type="gramEnd"/>
      <w:r w:rsidRPr="006B3991">
        <w:rPr>
          <w:rFonts w:ascii="Arial" w:hAnsi="Arial" w:cs="Arial"/>
          <w:sz w:val="20"/>
          <w:szCs w:val="20"/>
        </w:rPr>
        <w:tab/>
        <w:t>Includes essential hypertension, hypertension, and hypertensive encephalopathy</w:t>
      </w:r>
    </w:p>
    <w:p w14:paraId="14AFE307" w14:textId="3E542D70" w:rsidR="006B3991" w:rsidRPr="006B3991" w:rsidRDefault="006B3991" w:rsidP="006B3991">
      <w:pPr>
        <w:pStyle w:val="BodyText"/>
        <w:ind w:left="284" w:hanging="284"/>
        <w:rPr>
          <w:rFonts w:ascii="Arial" w:hAnsi="Arial" w:cs="Arial"/>
          <w:sz w:val="20"/>
          <w:szCs w:val="20"/>
        </w:rPr>
      </w:pPr>
      <w:r w:rsidRPr="006B3991">
        <w:rPr>
          <w:rFonts w:ascii="Arial" w:hAnsi="Arial" w:cs="Arial"/>
          <w:sz w:val="20"/>
          <w:szCs w:val="20"/>
        </w:rPr>
        <w:t>d</w:t>
      </w:r>
      <w:r w:rsidRPr="006B3991">
        <w:rPr>
          <w:rFonts w:ascii="Arial" w:hAnsi="Arial" w:cs="Arial"/>
          <w:sz w:val="20"/>
          <w:szCs w:val="20"/>
        </w:rPr>
        <w:tab/>
        <w:t xml:space="preserve">Includes catheter site bruise, contusion, epistaxis, gastrointestinal haemorrhage, </w:t>
      </w:r>
      <w:proofErr w:type="spellStart"/>
      <w:r w:rsidRPr="006B3991">
        <w:rPr>
          <w:rFonts w:ascii="Arial" w:hAnsi="Arial" w:cs="Arial"/>
          <w:sz w:val="20"/>
          <w:szCs w:val="20"/>
        </w:rPr>
        <w:t>haematemesis</w:t>
      </w:r>
      <w:proofErr w:type="spellEnd"/>
      <w:r w:rsidRPr="006B3991">
        <w:rPr>
          <w:rFonts w:ascii="Arial" w:hAnsi="Arial" w:cs="Arial"/>
          <w:sz w:val="20"/>
          <w:szCs w:val="20"/>
        </w:rPr>
        <w:t>, haematuria, haemorrhage intracranial, injection site haemorrhage, intraventricular haemorrhage,</w:t>
      </w:r>
      <w:r>
        <w:rPr>
          <w:rFonts w:ascii="Arial" w:hAnsi="Arial" w:cs="Arial"/>
          <w:sz w:val="20"/>
          <w:szCs w:val="20"/>
        </w:rPr>
        <w:t xml:space="preserve"> </w:t>
      </w:r>
      <w:r w:rsidRPr="006B3991">
        <w:rPr>
          <w:rFonts w:ascii="Arial" w:hAnsi="Arial" w:cs="Arial"/>
          <w:sz w:val="20"/>
          <w:szCs w:val="20"/>
        </w:rPr>
        <w:t xml:space="preserve">large intestinal haemorrhage, </w:t>
      </w:r>
      <w:proofErr w:type="spellStart"/>
      <w:r w:rsidRPr="006B3991">
        <w:rPr>
          <w:rFonts w:ascii="Arial" w:hAnsi="Arial" w:cs="Arial"/>
          <w:sz w:val="20"/>
          <w:szCs w:val="20"/>
        </w:rPr>
        <w:t>metrorrhagia</w:t>
      </w:r>
      <w:proofErr w:type="spellEnd"/>
      <w:r w:rsidRPr="006B3991">
        <w:rPr>
          <w:rFonts w:ascii="Arial" w:hAnsi="Arial" w:cs="Arial"/>
          <w:sz w:val="20"/>
          <w:szCs w:val="20"/>
        </w:rPr>
        <w:t>, mouth haemorrhage, uterine haemorrhage, and vaginal haemorrhage</w:t>
      </w:r>
    </w:p>
    <w:p w14:paraId="3AA544CE" w14:textId="77777777" w:rsidR="006B3991" w:rsidRPr="006B3991" w:rsidRDefault="006B3991" w:rsidP="006B3991">
      <w:pPr>
        <w:pStyle w:val="BodyText"/>
        <w:ind w:left="284" w:hanging="284"/>
        <w:rPr>
          <w:rFonts w:ascii="Arial" w:hAnsi="Arial" w:cs="Arial"/>
          <w:sz w:val="20"/>
          <w:szCs w:val="20"/>
        </w:rPr>
      </w:pPr>
      <w:proofErr w:type="gramStart"/>
      <w:r w:rsidRPr="006B3991">
        <w:rPr>
          <w:rFonts w:ascii="Arial" w:hAnsi="Arial" w:cs="Arial"/>
          <w:sz w:val="20"/>
          <w:szCs w:val="20"/>
        </w:rPr>
        <w:t>e</w:t>
      </w:r>
      <w:proofErr w:type="gramEnd"/>
      <w:r w:rsidRPr="006B3991">
        <w:rPr>
          <w:rFonts w:ascii="Arial" w:hAnsi="Arial" w:cs="Arial"/>
          <w:sz w:val="20"/>
          <w:szCs w:val="20"/>
        </w:rPr>
        <w:tab/>
        <w:t>Includes diarrhoea, gastroenteritis, gastrointestinal viral infection, and viral diarrhoea</w:t>
      </w:r>
    </w:p>
    <w:p w14:paraId="714D74B1" w14:textId="77777777" w:rsidR="006B3991" w:rsidRPr="006B3991" w:rsidRDefault="006B3991" w:rsidP="006B3991">
      <w:pPr>
        <w:pStyle w:val="BodyText"/>
        <w:ind w:left="284" w:hanging="284"/>
        <w:rPr>
          <w:rFonts w:ascii="Arial" w:hAnsi="Arial" w:cs="Arial"/>
          <w:sz w:val="20"/>
          <w:szCs w:val="20"/>
        </w:rPr>
      </w:pPr>
      <w:proofErr w:type="gramStart"/>
      <w:r w:rsidRPr="006B3991">
        <w:rPr>
          <w:rFonts w:ascii="Arial" w:hAnsi="Arial" w:cs="Arial"/>
          <w:sz w:val="20"/>
          <w:szCs w:val="20"/>
        </w:rPr>
        <w:t>f</w:t>
      </w:r>
      <w:proofErr w:type="gramEnd"/>
      <w:r w:rsidRPr="006B3991">
        <w:rPr>
          <w:rFonts w:ascii="Arial" w:hAnsi="Arial" w:cs="Arial"/>
          <w:sz w:val="20"/>
          <w:szCs w:val="20"/>
        </w:rPr>
        <w:tab/>
        <w:t>Includes glossitis, mouth ulceration, oral discomfort, oral mucosal blistering, oropharyngeal pain, and stomatitis</w:t>
      </w:r>
    </w:p>
    <w:p w14:paraId="43828CAF" w14:textId="77777777" w:rsidR="006B3991" w:rsidRPr="006B3991" w:rsidRDefault="006B3991" w:rsidP="006B3991">
      <w:pPr>
        <w:pStyle w:val="BodyText"/>
        <w:ind w:left="284" w:hanging="284"/>
        <w:rPr>
          <w:rFonts w:ascii="Arial" w:hAnsi="Arial" w:cs="Arial"/>
          <w:sz w:val="20"/>
          <w:szCs w:val="20"/>
        </w:rPr>
      </w:pPr>
      <w:proofErr w:type="gramStart"/>
      <w:r w:rsidRPr="006B3991">
        <w:rPr>
          <w:rFonts w:ascii="Arial" w:hAnsi="Arial" w:cs="Arial"/>
          <w:sz w:val="20"/>
          <w:szCs w:val="20"/>
        </w:rPr>
        <w:t>g</w:t>
      </w:r>
      <w:proofErr w:type="gramEnd"/>
      <w:r w:rsidRPr="006B3991">
        <w:rPr>
          <w:rFonts w:ascii="Arial" w:hAnsi="Arial" w:cs="Arial"/>
          <w:sz w:val="20"/>
          <w:szCs w:val="20"/>
        </w:rPr>
        <w:tab/>
        <w:t>Includes abdominal discomfort, abdominal pain, lower abdominal pain, and upper abdominal pain</w:t>
      </w:r>
    </w:p>
    <w:p w14:paraId="025BDC16" w14:textId="77777777" w:rsidR="006B3991" w:rsidRPr="006B3991" w:rsidRDefault="006B3991" w:rsidP="006B3991">
      <w:pPr>
        <w:pStyle w:val="BodyText"/>
        <w:ind w:left="284" w:hanging="284"/>
        <w:rPr>
          <w:rFonts w:ascii="Arial" w:hAnsi="Arial" w:cs="Arial"/>
          <w:sz w:val="20"/>
          <w:szCs w:val="20"/>
        </w:rPr>
      </w:pPr>
      <w:proofErr w:type="gramStart"/>
      <w:r w:rsidRPr="006B3991">
        <w:rPr>
          <w:rFonts w:ascii="Arial" w:hAnsi="Arial" w:cs="Arial"/>
          <w:sz w:val="20"/>
          <w:szCs w:val="20"/>
        </w:rPr>
        <w:t>h</w:t>
      </w:r>
      <w:proofErr w:type="gramEnd"/>
      <w:r w:rsidRPr="006B3991">
        <w:rPr>
          <w:rFonts w:ascii="Arial" w:hAnsi="Arial" w:cs="Arial"/>
          <w:sz w:val="20"/>
          <w:szCs w:val="20"/>
        </w:rPr>
        <w:tab/>
        <w:t>Includes decreased appetite and early satiety</w:t>
      </w:r>
    </w:p>
    <w:p w14:paraId="1916E88C" w14:textId="77777777" w:rsidR="006B3991" w:rsidRPr="006B3991" w:rsidRDefault="006B3991" w:rsidP="006B3991">
      <w:pPr>
        <w:pStyle w:val="BodyText"/>
        <w:ind w:left="284" w:hanging="284"/>
        <w:rPr>
          <w:rFonts w:ascii="Arial" w:hAnsi="Arial" w:cs="Arial"/>
          <w:sz w:val="20"/>
          <w:szCs w:val="20"/>
        </w:rPr>
      </w:pPr>
      <w:proofErr w:type="spellStart"/>
      <w:proofErr w:type="gramStart"/>
      <w:r w:rsidRPr="006B3991">
        <w:rPr>
          <w:rFonts w:ascii="Arial" w:hAnsi="Arial" w:cs="Arial"/>
          <w:sz w:val="20"/>
          <w:szCs w:val="20"/>
        </w:rPr>
        <w:t>i</w:t>
      </w:r>
      <w:proofErr w:type="spellEnd"/>
      <w:proofErr w:type="gramEnd"/>
      <w:r w:rsidRPr="006B3991">
        <w:rPr>
          <w:rFonts w:ascii="Arial" w:hAnsi="Arial" w:cs="Arial"/>
          <w:sz w:val="20"/>
          <w:szCs w:val="20"/>
        </w:rPr>
        <w:tab/>
        <w:t>Includes increased blood thyroid stimulating hormone and hypothyroidism</w:t>
      </w:r>
    </w:p>
    <w:p w14:paraId="1EE41150" w14:textId="77777777" w:rsidR="006B3991" w:rsidRPr="006B3991" w:rsidRDefault="006B3991" w:rsidP="006B3991">
      <w:pPr>
        <w:pStyle w:val="BodyText"/>
        <w:ind w:left="284" w:hanging="284"/>
        <w:rPr>
          <w:rFonts w:ascii="Arial" w:hAnsi="Arial" w:cs="Arial"/>
          <w:sz w:val="20"/>
          <w:szCs w:val="20"/>
        </w:rPr>
      </w:pPr>
      <w:proofErr w:type="gramStart"/>
      <w:r w:rsidRPr="006B3991">
        <w:rPr>
          <w:rFonts w:ascii="Arial" w:hAnsi="Arial" w:cs="Arial"/>
          <w:sz w:val="20"/>
          <w:szCs w:val="20"/>
        </w:rPr>
        <w:t>j</w:t>
      </w:r>
      <w:proofErr w:type="gramEnd"/>
      <w:r w:rsidRPr="006B3991">
        <w:rPr>
          <w:rFonts w:ascii="Arial" w:hAnsi="Arial" w:cs="Arial"/>
          <w:sz w:val="20"/>
          <w:szCs w:val="20"/>
        </w:rPr>
        <w:tab/>
        <w:t>Includes cystitis and urinary tract infection</w:t>
      </w:r>
    </w:p>
    <w:p w14:paraId="2E78FB5C" w14:textId="77777777" w:rsidR="006B3991" w:rsidRPr="006B3991" w:rsidRDefault="006B3991" w:rsidP="006B3991">
      <w:pPr>
        <w:pStyle w:val="BodyText"/>
        <w:ind w:left="284" w:hanging="284"/>
        <w:rPr>
          <w:rFonts w:ascii="Arial" w:hAnsi="Arial" w:cs="Arial"/>
          <w:sz w:val="20"/>
          <w:szCs w:val="20"/>
        </w:rPr>
      </w:pPr>
      <w:proofErr w:type="gramStart"/>
      <w:r w:rsidRPr="006B3991">
        <w:rPr>
          <w:rFonts w:ascii="Arial" w:hAnsi="Arial" w:cs="Arial"/>
          <w:sz w:val="20"/>
          <w:szCs w:val="20"/>
        </w:rPr>
        <w:t>k</w:t>
      </w:r>
      <w:proofErr w:type="gramEnd"/>
      <w:r w:rsidRPr="006B3991">
        <w:rPr>
          <w:rFonts w:ascii="Arial" w:hAnsi="Arial" w:cs="Arial"/>
          <w:sz w:val="20"/>
          <w:szCs w:val="20"/>
        </w:rPr>
        <w:tab/>
        <w:t xml:space="preserve">Includes dyspnoea and exertional dyspnoea </w:t>
      </w:r>
    </w:p>
    <w:p w14:paraId="1FEC6FEB" w14:textId="724FD555" w:rsidR="00F961D5" w:rsidRPr="006B3991" w:rsidRDefault="006B3991" w:rsidP="006B3991">
      <w:pPr>
        <w:pStyle w:val="BodyText"/>
        <w:ind w:left="284" w:hanging="284"/>
        <w:rPr>
          <w:rFonts w:ascii="Arial" w:hAnsi="Arial" w:cs="Arial"/>
          <w:sz w:val="20"/>
          <w:szCs w:val="20"/>
        </w:rPr>
      </w:pPr>
      <w:proofErr w:type="gramStart"/>
      <w:r w:rsidRPr="006B3991">
        <w:rPr>
          <w:rFonts w:ascii="Arial" w:hAnsi="Arial" w:cs="Arial"/>
          <w:sz w:val="20"/>
          <w:szCs w:val="20"/>
        </w:rPr>
        <w:t>l</w:t>
      </w:r>
      <w:proofErr w:type="gramEnd"/>
      <w:r w:rsidRPr="006B3991">
        <w:rPr>
          <w:rFonts w:ascii="Arial" w:hAnsi="Arial" w:cs="Arial"/>
          <w:sz w:val="20"/>
          <w:szCs w:val="20"/>
        </w:rPr>
        <w:tab/>
        <w:t xml:space="preserve">Includes rash, rash generalized, rash macular, and rash </w:t>
      </w:r>
      <w:proofErr w:type="spellStart"/>
      <w:r w:rsidRPr="006B3991">
        <w:rPr>
          <w:rFonts w:ascii="Arial" w:hAnsi="Arial" w:cs="Arial"/>
          <w:sz w:val="20"/>
          <w:szCs w:val="20"/>
        </w:rPr>
        <w:t>maculo-papular</w:t>
      </w:r>
      <w:proofErr w:type="spellEnd"/>
    </w:p>
    <w:p w14:paraId="46974AD5" w14:textId="52AD7EFF" w:rsidR="002D69A1" w:rsidRPr="00A023B7" w:rsidRDefault="003306B1" w:rsidP="006B3991">
      <w:pPr>
        <w:pStyle w:val="BodyText"/>
        <w:spacing w:before="120" w:after="60"/>
      </w:pPr>
      <w:r>
        <w:lastRenderedPageBreak/>
        <w:fldChar w:fldCharType="begin"/>
      </w:r>
      <w:r>
        <w:instrText xml:space="preserve"> REF _Ref17525600 \h </w:instrText>
      </w:r>
      <w:r>
        <w:fldChar w:fldCharType="separate"/>
      </w:r>
      <w:r w:rsidR="0064223A" w:rsidRPr="003306B1">
        <w:t>Table</w:t>
      </w:r>
      <w:r w:rsidR="0064223A">
        <w:t> </w:t>
      </w:r>
      <w:r w:rsidR="0064223A">
        <w:rPr>
          <w:noProof/>
        </w:rPr>
        <w:t>10</w:t>
      </w:r>
      <w:r>
        <w:fldChar w:fldCharType="end"/>
      </w:r>
      <w:r>
        <w:t xml:space="preserve"> </w:t>
      </w:r>
      <w:r w:rsidR="002D69A1">
        <w:t xml:space="preserve">presents, Laboratory abnormalities in </w:t>
      </w:r>
      <w:r w:rsidR="006540BC">
        <w:sym w:font="Symbol" w:char="F0B3"/>
      </w:r>
      <w:r w:rsidR="002D69A1">
        <w:t xml:space="preserve">20% (All Grades) or </w:t>
      </w:r>
      <w:r w:rsidR="006540BC">
        <w:sym w:font="Symbol" w:char="F0B3"/>
      </w:r>
      <w:r w:rsidR="002D69A1">
        <w:t xml:space="preserve">3% (Grades 3-4) of patients with LENVIMA in </w:t>
      </w:r>
      <w:r w:rsidR="006B3991">
        <w:t xml:space="preserve">combination with </w:t>
      </w:r>
      <w:proofErr w:type="spellStart"/>
      <w:r w:rsidR="006B3991">
        <w:t>pembrolizumab</w:t>
      </w:r>
      <w:proofErr w:type="spellEnd"/>
      <w:r w:rsidR="006B3991">
        <w:t>.</w:t>
      </w:r>
    </w:p>
    <w:tbl>
      <w:tblPr>
        <w:tblW w:w="0" w:type="auto"/>
        <w:jc w:val="center"/>
        <w:tblLayout w:type="fixed"/>
        <w:tblCellMar>
          <w:left w:w="0" w:type="dxa"/>
          <w:right w:w="0" w:type="dxa"/>
        </w:tblCellMar>
        <w:tblLook w:val="0000" w:firstRow="0" w:lastRow="0" w:firstColumn="0" w:lastColumn="0" w:noHBand="0" w:noVBand="0"/>
      </w:tblPr>
      <w:tblGrid>
        <w:gridCol w:w="3748"/>
        <w:gridCol w:w="2618"/>
        <w:gridCol w:w="2618"/>
      </w:tblGrid>
      <w:tr w:rsidR="002D69A1" w:rsidRPr="003306B1" w14:paraId="7D37783E" w14:textId="77777777" w:rsidTr="003306B1">
        <w:trPr>
          <w:cantSplit/>
          <w:tblHeader/>
          <w:jc w:val="center"/>
        </w:trPr>
        <w:tc>
          <w:tcPr>
            <w:tcW w:w="8984" w:type="dxa"/>
            <w:gridSpan w:val="3"/>
            <w:tcBorders>
              <w:bottom w:val="single" w:sz="4" w:space="0" w:color="auto"/>
            </w:tcBorders>
            <w:shd w:val="clear" w:color="auto" w:fill="FFFFFF"/>
            <w:vAlign w:val="bottom"/>
          </w:tcPr>
          <w:p w14:paraId="42D4EA90" w14:textId="04C0B73D" w:rsidR="002D69A1" w:rsidRPr="003306B1" w:rsidRDefault="003306B1" w:rsidP="006540BC">
            <w:pPr>
              <w:pStyle w:val="Caption"/>
            </w:pPr>
            <w:bookmarkStart w:id="12" w:name="_Ref17525600"/>
            <w:r w:rsidRPr="003306B1">
              <w:t>Table</w:t>
            </w:r>
            <w:r>
              <w:t> </w:t>
            </w:r>
            <w:r w:rsidR="003A6DD2">
              <w:fldChar w:fldCharType="begin"/>
            </w:r>
            <w:r w:rsidR="003A6DD2">
              <w:instrText xml:space="preserve"> SEQ Tab</w:instrText>
            </w:r>
            <w:r w:rsidR="003A6DD2">
              <w:instrText xml:space="preserve">le \* ARABIC </w:instrText>
            </w:r>
            <w:r w:rsidR="003A6DD2">
              <w:fldChar w:fldCharType="separate"/>
            </w:r>
            <w:r w:rsidR="008D1089">
              <w:rPr>
                <w:noProof/>
              </w:rPr>
              <w:t>10</w:t>
            </w:r>
            <w:r w:rsidR="003A6DD2">
              <w:rPr>
                <w:noProof/>
              </w:rPr>
              <w:fldChar w:fldCharType="end"/>
            </w:r>
            <w:bookmarkEnd w:id="12"/>
            <w:r>
              <w:tab/>
            </w:r>
            <w:r w:rsidR="002D69A1" w:rsidRPr="003306B1">
              <w:t xml:space="preserve">Laboratory Abnormalities in </w:t>
            </w:r>
            <w:r w:rsidR="006540BC">
              <w:sym w:font="Symbol" w:char="F0B3"/>
            </w:r>
            <w:r w:rsidR="002D69A1" w:rsidRPr="003306B1">
              <w:t xml:space="preserve">20% (All Grades) or </w:t>
            </w:r>
            <w:r w:rsidR="006540BC">
              <w:sym w:font="Symbol" w:char="F0B3"/>
            </w:r>
            <w:r w:rsidR="002D69A1" w:rsidRPr="003306B1">
              <w:t xml:space="preserve">3% (Grades 3-4) of Patients on LENVIMA plus </w:t>
            </w:r>
            <w:proofErr w:type="spellStart"/>
            <w:r w:rsidR="002D69A1" w:rsidRPr="003306B1">
              <w:t>Pembrolizumab</w:t>
            </w:r>
            <w:proofErr w:type="spellEnd"/>
            <w:r w:rsidR="002D69A1" w:rsidRPr="003306B1">
              <w:t xml:space="preserve"> in Study 111</w:t>
            </w:r>
          </w:p>
        </w:tc>
      </w:tr>
      <w:tr w:rsidR="002D69A1" w:rsidRPr="002D69A1" w14:paraId="403D7A01" w14:textId="77777777" w:rsidTr="003306B1">
        <w:trPr>
          <w:cantSplit/>
          <w:tblHeader/>
          <w:jc w:val="center"/>
        </w:trPr>
        <w:tc>
          <w:tcPr>
            <w:tcW w:w="3748" w:type="dxa"/>
            <w:tcBorders>
              <w:top w:val="single" w:sz="4" w:space="0" w:color="auto"/>
              <w:left w:val="single" w:sz="4" w:space="0" w:color="000000"/>
              <w:bottom w:val="single" w:sz="4" w:space="0" w:color="000000"/>
              <w:right w:val="nil"/>
            </w:tcBorders>
            <w:shd w:val="clear" w:color="auto" w:fill="FFFFFF"/>
            <w:vAlign w:val="bottom"/>
          </w:tcPr>
          <w:p w14:paraId="540CCBDF" w14:textId="77777777" w:rsidR="002D69A1" w:rsidRPr="002D69A1" w:rsidRDefault="002D69A1" w:rsidP="003306B1">
            <w:pPr>
              <w:pStyle w:val="TableHeading"/>
              <w:rPr>
                <w:rFonts w:eastAsiaTheme="minorEastAsia"/>
              </w:rPr>
            </w:pPr>
          </w:p>
        </w:tc>
        <w:tc>
          <w:tcPr>
            <w:tcW w:w="5236" w:type="dxa"/>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09F612D7" w14:textId="77777777" w:rsidR="002D69A1" w:rsidRPr="002D69A1" w:rsidRDefault="002D69A1" w:rsidP="003306B1">
            <w:pPr>
              <w:pStyle w:val="TableHeading"/>
              <w:jc w:val="center"/>
              <w:rPr>
                <w:rFonts w:eastAsiaTheme="minorEastAsia"/>
              </w:rPr>
            </w:pPr>
            <w:r w:rsidRPr="002D69A1">
              <w:rPr>
                <w:rFonts w:eastAsiaTheme="minorEastAsia"/>
              </w:rPr>
              <w:t>LENVIMA 20 mg plus</w:t>
            </w:r>
            <w:r w:rsidRPr="002D69A1">
              <w:rPr>
                <w:rFonts w:eastAsiaTheme="minorEastAsia"/>
              </w:rPr>
              <w:br/>
            </w:r>
            <w:proofErr w:type="spellStart"/>
            <w:r w:rsidRPr="002D69A1">
              <w:rPr>
                <w:rFonts w:eastAsiaTheme="minorEastAsia"/>
              </w:rPr>
              <w:t>Pembrolizumab</w:t>
            </w:r>
            <w:proofErr w:type="spellEnd"/>
            <w:r w:rsidRPr="002D69A1">
              <w:rPr>
                <w:rFonts w:eastAsiaTheme="minorEastAsia"/>
              </w:rPr>
              <w:t xml:space="preserve"> 200 mg</w:t>
            </w:r>
          </w:p>
        </w:tc>
      </w:tr>
      <w:tr w:rsidR="002D69A1" w:rsidRPr="002D69A1" w14:paraId="4901E31D" w14:textId="77777777" w:rsidTr="00B722A3">
        <w:trPr>
          <w:cantSplit/>
          <w:tblHeader/>
          <w:jc w:val="center"/>
        </w:trPr>
        <w:tc>
          <w:tcPr>
            <w:tcW w:w="3748" w:type="dxa"/>
            <w:tcBorders>
              <w:top w:val="nil"/>
              <w:left w:val="single" w:sz="4" w:space="0" w:color="000000"/>
              <w:bottom w:val="single" w:sz="4" w:space="0" w:color="000000"/>
              <w:right w:val="nil"/>
            </w:tcBorders>
            <w:shd w:val="clear" w:color="auto" w:fill="FFFFFF"/>
            <w:vAlign w:val="bottom"/>
          </w:tcPr>
          <w:p w14:paraId="117E3F2C" w14:textId="77777777" w:rsidR="002D69A1" w:rsidRPr="002D69A1" w:rsidRDefault="002D69A1" w:rsidP="003306B1">
            <w:pPr>
              <w:pStyle w:val="TableHeading"/>
              <w:rPr>
                <w:rFonts w:eastAsiaTheme="minorEastAsia"/>
              </w:rPr>
            </w:pPr>
            <w:r w:rsidRPr="002D69A1">
              <w:rPr>
                <w:rFonts w:eastAsiaTheme="minorEastAsia"/>
              </w:rPr>
              <w:t xml:space="preserve">Laboratory </w:t>
            </w:r>
            <w:proofErr w:type="spellStart"/>
            <w:r w:rsidRPr="002D69A1">
              <w:rPr>
                <w:rFonts w:eastAsiaTheme="minorEastAsia"/>
              </w:rPr>
              <w:t>Abnormality</w:t>
            </w:r>
            <w:r w:rsidRPr="002D69A1">
              <w:rPr>
                <w:rFonts w:eastAsiaTheme="minorEastAsia"/>
                <w:vertAlign w:val="superscript"/>
              </w:rPr>
              <w:t>a</w:t>
            </w:r>
            <w:proofErr w:type="spellEnd"/>
          </w:p>
        </w:tc>
        <w:tc>
          <w:tcPr>
            <w:tcW w:w="2618" w:type="dxa"/>
            <w:tcBorders>
              <w:top w:val="nil"/>
              <w:left w:val="single" w:sz="4" w:space="0" w:color="000000"/>
              <w:bottom w:val="single" w:sz="4" w:space="0" w:color="000000"/>
              <w:right w:val="nil"/>
            </w:tcBorders>
            <w:shd w:val="clear" w:color="auto" w:fill="FFFFFF"/>
            <w:vAlign w:val="bottom"/>
          </w:tcPr>
          <w:p w14:paraId="334A476A" w14:textId="77777777" w:rsidR="002D69A1" w:rsidRPr="002D69A1" w:rsidRDefault="002D69A1" w:rsidP="003306B1">
            <w:pPr>
              <w:pStyle w:val="TableHeading"/>
              <w:jc w:val="center"/>
              <w:rPr>
                <w:rFonts w:eastAsiaTheme="minorEastAsia"/>
              </w:rPr>
            </w:pPr>
            <w:r w:rsidRPr="002D69A1">
              <w:rPr>
                <w:rFonts w:eastAsiaTheme="minorEastAsia"/>
              </w:rPr>
              <w:t>All Grades</w:t>
            </w:r>
            <w:r w:rsidRPr="002D69A1">
              <w:rPr>
                <w:rFonts w:eastAsiaTheme="minorEastAsia"/>
              </w:rPr>
              <w:br/>
              <w:t>%</w:t>
            </w:r>
            <w:r w:rsidRPr="002D69A1">
              <w:rPr>
                <w:rFonts w:eastAsiaTheme="minorEastAsia"/>
                <w:vertAlign w:val="superscript"/>
              </w:rPr>
              <w:t>b</w:t>
            </w:r>
          </w:p>
        </w:tc>
        <w:tc>
          <w:tcPr>
            <w:tcW w:w="2618" w:type="dxa"/>
            <w:tcBorders>
              <w:top w:val="nil"/>
              <w:left w:val="single" w:sz="4" w:space="0" w:color="000000"/>
              <w:bottom w:val="single" w:sz="4" w:space="0" w:color="000000"/>
              <w:right w:val="single" w:sz="4" w:space="0" w:color="000000"/>
            </w:tcBorders>
            <w:shd w:val="clear" w:color="auto" w:fill="FFFFFF"/>
            <w:vAlign w:val="bottom"/>
          </w:tcPr>
          <w:p w14:paraId="43A26B79" w14:textId="77777777" w:rsidR="002D69A1" w:rsidRPr="002D69A1" w:rsidRDefault="002D69A1" w:rsidP="003306B1">
            <w:pPr>
              <w:pStyle w:val="TableHeading"/>
              <w:jc w:val="center"/>
              <w:rPr>
                <w:rFonts w:eastAsiaTheme="minorEastAsia"/>
              </w:rPr>
            </w:pPr>
            <w:r w:rsidRPr="002D69A1">
              <w:rPr>
                <w:rFonts w:eastAsiaTheme="minorEastAsia"/>
              </w:rPr>
              <w:t>Grade 3-4</w:t>
            </w:r>
            <w:r w:rsidRPr="002D69A1">
              <w:rPr>
                <w:rFonts w:eastAsiaTheme="minorEastAsia"/>
              </w:rPr>
              <w:br/>
              <w:t>%</w:t>
            </w:r>
            <w:r w:rsidRPr="002D69A1">
              <w:rPr>
                <w:rFonts w:eastAsiaTheme="minorEastAsia"/>
                <w:vertAlign w:val="superscript"/>
              </w:rPr>
              <w:t>b</w:t>
            </w:r>
          </w:p>
        </w:tc>
      </w:tr>
      <w:tr w:rsidR="002D69A1" w:rsidRPr="002D69A1" w14:paraId="118DDCEA" w14:textId="77777777" w:rsidTr="00B722A3">
        <w:trPr>
          <w:cantSplit/>
          <w:jc w:val="center"/>
        </w:trPr>
        <w:tc>
          <w:tcPr>
            <w:tcW w:w="8984" w:type="dxa"/>
            <w:gridSpan w:val="3"/>
            <w:tcBorders>
              <w:top w:val="nil"/>
              <w:left w:val="single" w:sz="4" w:space="0" w:color="000000"/>
              <w:bottom w:val="single" w:sz="4" w:space="0" w:color="000000"/>
              <w:right w:val="single" w:sz="4" w:space="0" w:color="000000"/>
            </w:tcBorders>
            <w:shd w:val="clear" w:color="auto" w:fill="FFFFFF"/>
          </w:tcPr>
          <w:p w14:paraId="6872A76D" w14:textId="77777777" w:rsidR="002D69A1" w:rsidRPr="002D69A1" w:rsidRDefault="002D69A1" w:rsidP="003306B1">
            <w:pPr>
              <w:pStyle w:val="TableHeading"/>
              <w:rPr>
                <w:rFonts w:eastAsiaTheme="minorEastAsia"/>
              </w:rPr>
            </w:pPr>
            <w:r w:rsidRPr="002D69A1">
              <w:rPr>
                <w:rFonts w:eastAsiaTheme="minorEastAsia"/>
              </w:rPr>
              <w:t>Chemistry</w:t>
            </w:r>
          </w:p>
        </w:tc>
      </w:tr>
      <w:tr w:rsidR="002D69A1" w:rsidRPr="002D69A1" w14:paraId="68C2774F"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0A60A818" w14:textId="77777777" w:rsidR="002D69A1" w:rsidRPr="002D69A1" w:rsidRDefault="002D69A1" w:rsidP="003306B1">
            <w:pPr>
              <w:pStyle w:val="TableText"/>
              <w:rPr>
                <w:lang w:val="en-US"/>
              </w:rPr>
            </w:pPr>
            <w:r w:rsidRPr="002D69A1">
              <w:rPr>
                <w:lang w:val="en-US"/>
              </w:rPr>
              <w:t>Increased creatinine</w:t>
            </w:r>
          </w:p>
        </w:tc>
        <w:tc>
          <w:tcPr>
            <w:tcW w:w="2618" w:type="dxa"/>
            <w:tcBorders>
              <w:top w:val="nil"/>
              <w:left w:val="single" w:sz="4" w:space="0" w:color="000000"/>
              <w:bottom w:val="single" w:sz="4" w:space="0" w:color="000000"/>
              <w:right w:val="nil"/>
            </w:tcBorders>
            <w:shd w:val="clear" w:color="auto" w:fill="FFFFFF"/>
          </w:tcPr>
          <w:p w14:paraId="391D6534" w14:textId="77777777" w:rsidR="002D69A1" w:rsidRPr="002D69A1" w:rsidRDefault="002D69A1" w:rsidP="003306B1">
            <w:pPr>
              <w:pStyle w:val="TableCentre"/>
              <w:rPr>
                <w:lang w:val="en-US"/>
              </w:rPr>
            </w:pPr>
            <w:r w:rsidRPr="002D69A1">
              <w:rPr>
                <w:lang w:val="en-US"/>
              </w:rPr>
              <w:t>80</w:t>
            </w:r>
          </w:p>
        </w:tc>
        <w:tc>
          <w:tcPr>
            <w:tcW w:w="2618" w:type="dxa"/>
            <w:tcBorders>
              <w:top w:val="nil"/>
              <w:left w:val="single" w:sz="4" w:space="0" w:color="000000"/>
              <w:bottom w:val="single" w:sz="4" w:space="0" w:color="000000"/>
              <w:right w:val="single" w:sz="4" w:space="0" w:color="000000"/>
            </w:tcBorders>
            <w:shd w:val="clear" w:color="auto" w:fill="FFFFFF"/>
          </w:tcPr>
          <w:p w14:paraId="37C0567B" w14:textId="77777777" w:rsidR="002D69A1" w:rsidRPr="002D69A1" w:rsidRDefault="002D69A1" w:rsidP="003306B1">
            <w:pPr>
              <w:pStyle w:val="TableCentre"/>
              <w:rPr>
                <w:lang w:val="en-US"/>
              </w:rPr>
            </w:pPr>
            <w:r w:rsidRPr="002D69A1">
              <w:rPr>
                <w:lang w:val="en-US"/>
              </w:rPr>
              <w:t>7</w:t>
            </w:r>
          </w:p>
        </w:tc>
      </w:tr>
      <w:tr w:rsidR="002D69A1" w:rsidRPr="002D69A1" w14:paraId="4D794431"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07680E9C" w14:textId="77777777" w:rsidR="002D69A1" w:rsidRPr="002D69A1" w:rsidRDefault="002D69A1" w:rsidP="003306B1">
            <w:pPr>
              <w:pStyle w:val="TableText"/>
              <w:rPr>
                <w:lang w:val="en-US"/>
              </w:rPr>
            </w:pPr>
            <w:r w:rsidRPr="002D69A1">
              <w:rPr>
                <w:lang w:val="en-US"/>
              </w:rPr>
              <w:t>Hypertriglyceridemia</w:t>
            </w:r>
          </w:p>
        </w:tc>
        <w:tc>
          <w:tcPr>
            <w:tcW w:w="2618" w:type="dxa"/>
            <w:tcBorders>
              <w:top w:val="nil"/>
              <w:left w:val="single" w:sz="4" w:space="0" w:color="000000"/>
              <w:bottom w:val="single" w:sz="4" w:space="0" w:color="000000"/>
              <w:right w:val="nil"/>
            </w:tcBorders>
            <w:shd w:val="clear" w:color="auto" w:fill="FFFFFF"/>
          </w:tcPr>
          <w:p w14:paraId="3E052248" w14:textId="77777777" w:rsidR="002D69A1" w:rsidRPr="002D69A1" w:rsidRDefault="002D69A1" w:rsidP="003306B1">
            <w:pPr>
              <w:pStyle w:val="TableCentre"/>
              <w:rPr>
                <w:lang w:val="en-US"/>
              </w:rPr>
            </w:pPr>
            <w:r w:rsidRPr="002D69A1">
              <w:rPr>
                <w:lang w:val="en-US"/>
              </w:rPr>
              <w:t>58</w:t>
            </w:r>
          </w:p>
        </w:tc>
        <w:tc>
          <w:tcPr>
            <w:tcW w:w="2618" w:type="dxa"/>
            <w:tcBorders>
              <w:top w:val="nil"/>
              <w:left w:val="single" w:sz="4" w:space="0" w:color="000000"/>
              <w:bottom w:val="single" w:sz="4" w:space="0" w:color="000000"/>
              <w:right w:val="single" w:sz="4" w:space="0" w:color="000000"/>
            </w:tcBorders>
            <w:shd w:val="clear" w:color="auto" w:fill="FFFFFF"/>
          </w:tcPr>
          <w:p w14:paraId="6600F30E" w14:textId="77777777" w:rsidR="002D69A1" w:rsidRPr="002D69A1" w:rsidRDefault="002D69A1" w:rsidP="003306B1">
            <w:pPr>
              <w:pStyle w:val="TableCentre"/>
              <w:rPr>
                <w:lang w:val="en-US"/>
              </w:rPr>
            </w:pPr>
            <w:r w:rsidRPr="002D69A1">
              <w:rPr>
                <w:lang w:val="en-US"/>
              </w:rPr>
              <w:t>4</w:t>
            </w:r>
          </w:p>
        </w:tc>
      </w:tr>
      <w:tr w:rsidR="002D69A1" w:rsidRPr="002D69A1" w14:paraId="1ECE35BE"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4039D90D" w14:textId="1589073E" w:rsidR="002D69A1" w:rsidRPr="002D69A1" w:rsidRDefault="002D69A1" w:rsidP="003306B1">
            <w:pPr>
              <w:pStyle w:val="TableText"/>
              <w:rPr>
                <w:lang w:val="en-US"/>
              </w:rPr>
            </w:pPr>
            <w:proofErr w:type="spellStart"/>
            <w:r w:rsidRPr="002D69A1">
              <w:rPr>
                <w:lang w:val="en-US"/>
              </w:rPr>
              <w:t>Hyperglyc</w:t>
            </w:r>
            <w:r w:rsidR="00C11A24">
              <w:rPr>
                <w:lang w:val="en-US"/>
              </w:rPr>
              <w:t>a</w:t>
            </w:r>
            <w:r w:rsidRPr="002D69A1">
              <w:rPr>
                <w:lang w:val="en-US"/>
              </w:rPr>
              <w:t>emia</w:t>
            </w:r>
            <w:proofErr w:type="spellEnd"/>
            <w:r w:rsidRPr="002D69A1">
              <w:rPr>
                <w:lang w:val="en-US"/>
              </w:rPr>
              <w:t xml:space="preserve"> </w:t>
            </w:r>
          </w:p>
        </w:tc>
        <w:tc>
          <w:tcPr>
            <w:tcW w:w="2618" w:type="dxa"/>
            <w:tcBorders>
              <w:top w:val="nil"/>
              <w:left w:val="single" w:sz="4" w:space="0" w:color="000000"/>
              <w:bottom w:val="single" w:sz="4" w:space="0" w:color="000000"/>
              <w:right w:val="nil"/>
            </w:tcBorders>
            <w:shd w:val="clear" w:color="auto" w:fill="FFFFFF"/>
          </w:tcPr>
          <w:p w14:paraId="0648ABFB" w14:textId="77777777" w:rsidR="002D69A1" w:rsidRPr="002D69A1" w:rsidRDefault="002D69A1" w:rsidP="003306B1">
            <w:pPr>
              <w:pStyle w:val="TableCentre"/>
              <w:rPr>
                <w:lang w:val="en-US"/>
              </w:rPr>
            </w:pPr>
            <w:r w:rsidRPr="002D69A1">
              <w:rPr>
                <w:lang w:val="en-US"/>
              </w:rPr>
              <w:t>53</w:t>
            </w:r>
          </w:p>
        </w:tc>
        <w:tc>
          <w:tcPr>
            <w:tcW w:w="2618" w:type="dxa"/>
            <w:tcBorders>
              <w:top w:val="nil"/>
              <w:left w:val="single" w:sz="4" w:space="0" w:color="000000"/>
              <w:bottom w:val="single" w:sz="4" w:space="0" w:color="000000"/>
              <w:right w:val="single" w:sz="4" w:space="0" w:color="000000"/>
            </w:tcBorders>
            <w:shd w:val="clear" w:color="auto" w:fill="FFFFFF"/>
          </w:tcPr>
          <w:p w14:paraId="2CFA7102" w14:textId="77777777" w:rsidR="002D69A1" w:rsidRPr="002D69A1" w:rsidRDefault="002D69A1" w:rsidP="003306B1">
            <w:pPr>
              <w:pStyle w:val="TableCentre"/>
              <w:rPr>
                <w:lang w:val="en-US"/>
              </w:rPr>
            </w:pPr>
            <w:r w:rsidRPr="002D69A1">
              <w:rPr>
                <w:lang w:val="en-US"/>
              </w:rPr>
              <w:t>1</w:t>
            </w:r>
          </w:p>
        </w:tc>
      </w:tr>
      <w:tr w:rsidR="002D69A1" w:rsidRPr="002D69A1" w14:paraId="504424C7"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67F06F98" w14:textId="41C7FAD6" w:rsidR="002D69A1" w:rsidRPr="002D69A1" w:rsidRDefault="002D69A1" w:rsidP="003306B1">
            <w:pPr>
              <w:pStyle w:val="TableText"/>
              <w:rPr>
                <w:lang w:val="en-US"/>
              </w:rPr>
            </w:pPr>
            <w:proofErr w:type="spellStart"/>
            <w:r w:rsidRPr="002D69A1">
              <w:rPr>
                <w:lang w:val="en-US"/>
              </w:rPr>
              <w:t>Hypercholester</w:t>
            </w:r>
            <w:r w:rsidR="00C11A24">
              <w:rPr>
                <w:lang w:val="en-US"/>
              </w:rPr>
              <w:t>a</w:t>
            </w:r>
            <w:r w:rsidRPr="002D69A1">
              <w:rPr>
                <w:lang w:val="en-US"/>
              </w:rPr>
              <w:t>emia</w:t>
            </w:r>
            <w:proofErr w:type="spellEnd"/>
          </w:p>
        </w:tc>
        <w:tc>
          <w:tcPr>
            <w:tcW w:w="2618" w:type="dxa"/>
            <w:tcBorders>
              <w:top w:val="nil"/>
              <w:left w:val="single" w:sz="4" w:space="0" w:color="000000"/>
              <w:bottom w:val="single" w:sz="4" w:space="0" w:color="000000"/>
              <w:right w:val="nil"/>
            </w:tcBorders>
            <w:shd w:val="clear" w:color="auto" w:fill="FFFFFF"/>
          </w:tcPr>
          <w:p w14:paraId="0DF6158E" w14:textId="77777777" w:rsidR="002D69A1" w:rsidRPr="002D69A1" w:rsidRDefault="002D69A1" w:rsidP="003306B1">
            <w:pPr>
              <w:pStyle w:val="TableCentre"/>
              <w:rPr>
                <w:lang w:val="en-US"/>
              </w:rPr>
            </w:pPr>
            <w:r w:rsidRPr="002D69A1">
              <w:rPr>
                <w:lang w:val="en-US"/>
              </w:rPr>
              <w:t>49</w:t>
            </w:r>
          </w:p>
        </w:tc>
        <w:tc>
          <w:tcPr>
            <w:tcW w:w="2618" w:type="dxa"/>
            <w:tcBorders>
              <w:top w:val="nil"/>
              <w:left w:val="single" w:sz="4" w:space="0" w:color="000000"/>
              <w:bottom w:val="single" w:sz="4" w:space="0" w:color="000000"/>
              <w:right w:val="single" w:sz="4" w:space="0" w:color="000000"/>
            </w:tcBorders>
            <w:shd w:val="clear" w:color="auto" w:fill="FFFFFF"/>
          </w:tcPr>
          <w:p w14:paraId="34A59B50" w14:textId="77777777" w:rsidR="002D69A1" w:rsidRPr="002D69A1" w:rsidRDefault="002D69A1" w:rsidP="003306B1">
            <w:pPr>
              <w:pStyle w:val="TableCentre"/>
              <w:rPr>
                <w:lang w:val="en-US"/>
              </w:rPr>
            </w:pPr>
            <w:r w:rsidRPr="002D69A1">
              <w:rPr>
                <w:lang w:val="en-US"/>
              </w:rPr>
              <w:t>6</w:t>
            </w:r>
          </w:p>
        </w:tc>
      </w:tr>
      <w:tr w:rsidR="002D69A1" w:rsidRPr="002D69A1" w14:paraId="082A92D5"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6143C287" w14:textId="726A25B4" w:rsidR="002D69A1" w:rsidRPr="002D69A1" w:rsidRDefault="002D69A1" w:rsidP="003306B1">
            <w:pPr>
              <w:pStyle w:val="TableText"/>
              <w:rPr>
                <w:lang w:val="en-US"/>
              </w:rPr>
            </w:pPr>
            <w:proofErr w:type="spellStart"/>
            <w:r w:rsidRPr="002D69A1">
              <w:rPr>
                <w:lang w:val="en-US"/>
              </w:rPr>
              <w:t>Hypoalbumin</w:t>
            </w:r>
            <w:r w:rsidR="00C11A24">
              <w:rPr>
                <w:lang w:val="en-US"/>
              </w:rPr>
              <w:t>a</w:t>
            </w:r>
            <w:r w:rsidRPr="002D69A1">
              <w:rPr>
                <w:lang w:val="en-US"/>
              </w:rPr>
              <w:t>emia</w:t>
            </w:r>
            <w:proofErr w:type="spellEnd"/>
          </w:p>
        </w:tc>
        <w:tc>
          <w:tcPr>
            <w:tcW w:w="2618" w:type="dxa"/>
            <w:tcBorders>
              <w:top w:val="nil"/>
              <w:left w:val="single" w:sz="4" w:space="0" w:color="000000"/>
              <w:bottom w:val="single" w:sz="4" w:space="0" w:color="000000"/>
              <w:right w:val="nil"/>
            </w:tcBorders>
            <w:shd w:val="clear" w:color="auto" w:fill="FFFFFF"/>
          </w:tcPr>
          <w:p w14:paraId="7F8AA5E2" w14:textId="77777777" w:rsidR="002D69A1" w:rsidRPr="002D69A1" w:rsidRDefault="002D69A1" w:rsidP="003306B1">
            <w:pPr>
              <w:pStyle w:val="TableCentre"/>
              <w:rPr>
                <w:lang w:val="en-US"/>
              </w:rPr>
            </w:pPr>
            <w:r w:rsidRPr="002D69A1">
              <w:rPr>
                <w:lang w:val="en-US"/>
              </w:rPr>
              <w:t>48</w:t>
            </w:r>
          </w:p>
        </w:tc>
        <w:tc>
          <w:tcPr>
            <w:tcW w:w="2618" w:type="dxa"/>
            <w:tcBorders>
              <w:top w:val="nil"/>
              <w:left w:val="single" w:sz="4" w:space="0" w:color="000000"/>
              <w:bottom w:val="single" w:sz="4" w:space="0" w:color="000000"/>
              <w:right w:val="single" w:sz="4" w:space="0" w:color="000000"/>
            </w:tcBorders>
            <w:shd w:val="clear" w:color="auto" w:fill="FFFFFF"/>
          </w:tcPr>
          <w:p w14:paraId="050ABE13" w14:textId="77777777" w:rsidR="002D69A1" w:rsidRPr="002D69A1" w:rsidRDefault="002D69A1" w:rsidP="003306B1">
            <w:pPr>
              <w:pStyle w:val="TableCentre"/>
              <w:rPr>
                <w:lang w:val="en-US"/>
              </w:rPr>
            </w:pPr>
            <w:r w:rsidRPr="002D69A1">
              <w:rPr>
                <w:lang w:val="en-US"/>
              </w:rPr>
              <w:t>0</w:t>
            </w:r>
          </w:p>
        </w:tc>
      </w:tr>
      <w:tr w:rsidR="002D69A1" w:rsidRPr="002D69A1" w14:paraId="285FE31B"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644FA422" w14:textId="707EC3F7" w:rsidR="002D69A1" w:rsidRPr="002D69A1" w:rsidRDefault="002D69A1" w:rsidP="003306B1">
            <w:pPr>
              <w:pStyle w:val="TableText"/>
              <w:rPr>
                <w:lang w:val="en-US"/>
              </w:rPr>
            </w:pPr>
            <w:r w:rsidRPr="002D69A1">
              <w:rPr>
                <w:lang w:val="en-US"/>
              </w:rPr>
              <w:t>Hypomagnes</w:t>
            </w:r>
            <w:r w:rsidR="00C11A24">
              <w:rPr>
                <w:lang w:val="en-US"/>
              </w:rPr>
              <w:t>a</w:t>
            </w:r>
            <w:r w:rsidRPr="002D69A1">
              <w:rPr>
                <w:lang w:val="en-US"/>
              </w:rPr>
              <w:t>emia</w:t>
            </w:r>
          </w:p>
        </w:tc>
        <w:tc>
          <w:tcPr>
            <w:tcW w:w="2618" w:type="dxa"/>
            <w:tcBorders>
              <w:top w:val="nil"/>
              <w:left w:val="single" w:sz="4" w:space="0" w:color="000000"/>
              <w:bottom w:val="single" w:sz="4" w:space="0" w:color="000000"/>
              <w:right w:val="nil"/>
            </w:tcBorders>
            <w:shd w:val="clear" w:color="auto" w:fill="FFFFFF"/>
          </w:tcPr>
          <w:p w14:paraId="5E589360" w14:textId="77777777" w:rsidR="002D69A1" w:rsidRPr="002D69A1" w:rsidRDefault="002D69A1" w:rsidP="003306B1">
            <w:pPr>
              <w:pStyle w:val="TableCentre"/>
              <w:rPr>
                <w:lang w:val="en-US"/>
              </w:rPr>
            </w:pPr>
            <w:r w:rsidRPr="002D69A1">
              <w:rPr>
                <w:lang w:val="en-US"/>
              </w:rPr>
              <w:t>47</w:t>
            </w:r>
          </w:p>
        </w:tc>
        <w:tc>
          <w:tcPr>
            <w:tcW w:w="2618" w:type="dxa"/>
            <w:tcBorders>
              <w:top w:val="nil"/>
              <w:left w:val="single" w:sz="4" w:space="0" w:color="000000"/>
              <w:bottom w:val="single" w:sz="4" w:space="0" w:color="000000"/>
              <w:right w:val="single" w:sz="4" w:space="0" w:color="000000"/>
            </w:tcBorders>
            <w:shd w:val="clear" w:color="auto" w:fill="FFFFFF"/>
          </w:tcPr>
          <w:p w14:paraId="071AC0B7" w14:textId="77777777" w:rsidR="002D69A1" w:rsidRPr="002D69A1" w:rsidRDefault="002D69A1" w:rsidP="003306B1">
            <w:pPr>
              <w:pStyle w:val="TableCentre"/>
              <w:rPr>
                <w:lang w:val="en-US"/>
              </w:rPr>
            </w:pPr>
            <w:r w:rsidRPr="002D69A1">
              <w:rPr>
                <w:lang w:val="en-US"/>
              </w:rPr>
              <w:t>2</w:t>
            </w:r>
          </w:p>
        </w:tc>
      </w:tr>
      <w:tr w:rsidR="002D69A1" w:rsidRPr="002D69A1" w14:paraId="313919AE"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01984640" w14:textId="77777777" w:rsidR="002D69A1" w:rsidRPr="002D69A1" w:rsidRDefault="002D69A1" w:rsidP="003306B1">
            <w:pPr>
              <w:pStyle w:val="TableText"/>
              <w:rPr>
                <w:lang w:val="en-US"/>
              </w:rPr>
            </w:pPr>
            <w:r w:rsidRPr="002D69A1">
              <w:rPr>
                <w:lang w:val="en-US"/>
              </w:rPr>
              <w:t>Increased aspartate aminotransferase</w:t>
            </w:r>
          </w:p>
        </w:tc>
        <w:tc>
          <w:tcPr>
            <w:tcW w:w="2618" w:type="dxa"/>
            <w:tcBorders>
              <w:top w:val="nil"/>
              <w:left w:val="single" w:sz="4" w:space="0" w:color="000000"/>
              <w:bottom w:val="single" w:sz="4" w:space="0" w:color="000000"/>
              <w:right w:val="nil"/>
            </w:tcBorders>
            <w:shd w:val="clear" w:color="auto" w:fill="FFFFFF"/>
          </w:tcPr>
          <w:p w14:paraId="49CBA4A5" w14:textId="77777777" w:rsidR="002D69A1" w:rsidRPr="002D69A1" w:rsidRDefault="002D69A1" w:rsidP="003306B1">
            <w:pPr>
              <w:pStyle w:val="TableCentre"/>
              <w:rPr>
                <w:lang w:val="en-US"/>
              </w:rPr>
            </w:pPr>
            <w:r w:rsidRPr="002D69A1">
              <w:rPr>
                <w:lang w:val="en-US"/>
              </w:rPr>
              <w:t>43</w:t>
            </w:r>
          </w:p>
        </w:tc>
        <w:tc>
          <w:tcPr>
            <w:tcW w:w="2618" w:type="dxa"/>
            <w:tcBorders>
              <w:top w:val="nil"/>
              <w:left w:val="single" w:sz="4" w:space="0" w:color="000000"/>
              <w:bottom w:val="single" w:sz="4" w:space="0" w:color="000000"/>
              <w:right w:val="single" w:sz="4" w:space="0" w:color="000000"/>
            </w:tcBorders>
            <w:shd w:val="clear" w:color="auto" w:fill="FFFFFF"/>
          </w:tcPr>
          <w:p w14:paraId="24782BE8" w14:textId="77777777" w:rsidR="002D69A1" w:rsidRPr="002D69A1" w:rsidRDefault="002D69A1" w:rsidP="003306B1">
            <w:pPr>
              <w:pStyle w:val="TableCentre"/>
              <w:rPr>
                <w:lang w:val="en-US"/>
              </w:rPr>
            </w:pPr>
            <w:r w:rsidRPr="002D69A1">
              <w:rPr>
                <w:lang w:val="en-US"/>
              </w:rPr>
              <w:t>4</w:t>
            </w:r>
          </w:p>
        </w:tc>
      </w:tr>
      <w:tr w:rsidR="002D69A1" w:rsidRPr="002D69A1" w14:paraId="33D8C079"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769AFD1A" w14:textId="4C34A689" w:rsidR="002D69A1" w:rsidRPr="002D69A1" w:rsidRDefault="002D69A1" w:rsidP="003306B1">
            <w:pPr>
              <w:pStyle w:val="TableText"/>
              <w:rPr>
                <w:lang w:val="en-US"/>
              </w:rPr>
            </w:pPr>
            <w:proofErr w:type="spellStart"/>
            <w:r w:rsidRPr="002D69A1">
              <w:rPr>
                <w:lang w:val="en-US"/>
              </w:rPr>
              <w:t>Hyponatr</w:t>
            </w:r>
            <w:r w:rsidR="00C11A24">
              <w:rPr>
                <w:lang w:val="en-US"/>
              </w:rPr>
              <w:t>a</w:t>
            </w:r>
            <w:r w:rsidRPr="002D69A1">
              <w:rPr>
                <w:lang w:val="en-US"/>
              </w:rPr>
              <w:t>emia</w:t>
            </w:r>
            <w:proofErr w:type="spellEnd"/>
          </w:p>
        </w:tc>
        <w:tc>
          <w:tcPr>
            <w:tcW w:w="2618" w:type="dxa"/>
            <w:tcBorders>
              <w:top w:val="nil"/>
              <w:left w:val="single" w:sz="4" w:space="0" w:color="000000"/>
              <w:bottom w:val="single" w:sz="4" w:space="0" w:color="000000"/>
              <w:right w:val="nil"/>
            </w:tcBorders>
            <w:shd w:val="clear" w:color="auto" w:fill="FFFFFF"/>
          </w:tcPr>
          <w:p w14:paraId="32ECC6EE" w14:textId="77777777" w:rsidR="002D69A1" w:rsidRPr="002D69A1" w:rsidRDefault="002D69A1" w:rsidP="003306B1">
            <w:pPr>
              <w:pStyle w:val="TableCentre"/>
              <w:rPr>
                <w:lang w:val="en-US"/>
              </w:rPr>
            </w:pPr>
            <w:r w:rsidRPr="002D69A1">
              <w:rPr>
                <w:lang w:val="en-US"/>
              </w:rPr>
              <w:t>42</w:t>
            </w:r>
          </w:p>
        </w:tc>
        <w:tc>
          <w:tcPr>
            <w:tcW w:w="2618" w:type="dxa"/>
            <w:tcBorders>
              <w:top w:val="nil"/>
              <w:left w:val="single" w:sz="4" w:space="0" w:color="000000"/>
              <w:bottom w:val="single" w:sz="4" w:space="0" w:color="000000"/>
              <w:right w:val="single" w:sz="4" w:space="0" w:color="000000"/>
            </w:tcBorders>
            <w:shd w:val="clear" w:color="auto" w:fill="FFFFFF"/>
          </w:tcPr>
          <w:p w14:paraId="4098754C" w14:textId="77777777" w:rsidR="002D69A1" w:rsidRPr="002D69A1" w:rsidRDefault="002D69A1" w:rsidP="003306B1">
            <w:pPr>
              <w:pStyle w:val="TableCentre"/>
              <w:rPr>
                <w:lang w:val="en-US"/>
              </w:rPr>
            </w:pPr>
            <w:r w:rsidRPr="002D69A1">
              <w:rPr>
                <w:lang w:val="en-US"/>
              </w:rPr>
              <w:t>13</w:t>
            </w:r>
          </w:p>
        </w:tc>
      </w:tr>
      <w:tr w:rsidR="002D69A1" w:rsidRPr="002D69A1" w14:paraId="2BBEC68D"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1D5CAFF6" w14:textId="77777777" w:rsidR="002D69A1" w:rsidRPr="002D69A1" w:rsidRDefault="002D69A1" w:rsidP="003306B1">
            <w:pPr>
              <w:pStyle w:val="TableText"/>
              <w:rPr>
                <w:lang w:val="en-US"/>
              </w:rPr>
            </w:pPr>
            <w:r w:rsidRPr="002D69A1">
              <w:rPr>
                <w:lang w:val="en-US"/>
              </w:rPr>
              <w:t>Increased lipase</w:t>
            </w:r>
          </w:p>
        </w:tc>
        <w:tc>
          <w:tcPr>
            <w:tcW w:w="2618" w:type="dxa"/>
            <w:tcBorders>
              <w:top w:val="nil"/>
              <w:left w:val="single" w:sz="4" w:space="0" w:color="000000"/>
              <w:bottom w:val="single" w:sz="4" w:space="0" w:color="000000"/>
              <w:right w:val="nil"/>
            </w:tcBorders>
            <w:shd w:val="clear" w:color="auto" w:fill="FFFFFF"/>
          </w:tcPr>
          <w:p w14:paraId="07D72738" w14:textId="77777777" w:rsidR="002D69A1" w:rsidRPr="002D69A1" w:rsidRDefault="002D69A1" w:rsidP="003306B1">
            <w:pPr>
              <w:pStyle w:val="TableCentre"/>
              <w:rPr>
                <w:lang w:val="en-US"/>
              </w:rPr>
            </w:pPr>
            <w:r w:rsidRPr="002D69A1">
              <w:rPr>
                <w:lang w:val="en-US"/>
              </w:rPr>
              <w:t>42</w:t>
            </w:r>
          </w:p>
        </w:tc>
        <w:tc>
          <w:tcPr>
            <w:tcW w:w="2618" w:type="dxa"/>
            <w:tcBorders>
              <w:top w:val="nil"/>
              <w:left w:val="single" w:sz="4" w:space="0" w:color="000000"/>
              <w:bottom w:val="single" w:sz="4" w:space="0" w:color="000000"/>
              <w:right w:val="single" w:sz="4" w:space="0" w:color="000000"/>
            </w:tcBorders>
            <w:shd w:val="clear" w:color="auto" w:fill="FFFFFF"/>
          </w:tcPr>
          <w:p w14:paraId="64084152" w14:textId="77777777" w:rsidR="002D69A1" w:rsidRPr="002D69A1" w:rsidRDefault="002D69A1" w:rsidP="003306B1">
            <w:pPr>
              <w:pStyle w:val="TableCentre"/>
              <w:rPr>
                <w:lang w:val="en-US"/>
              </w:rPr>
            </w:pPr>
            <w:r w:rsidRPr="002D69A1">
              <w:rPr>
                <w:lang w:val="en-US"/>
              </w:rPr>
              <w:t>18</w:t>
            </w:r>
          </w:p>
        </w:tc>
      </w:tr>
      <w:tr w:rsidR="002D69A1" w:rsidRPr="002D69A1" w14:paraId="1ED2CF4B"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50D3C7F1" w14:textId="77777777" w:rsidR="002D69A1" w:rsidRPr="002D69A1" w:rsidRDefault="002D69A1" w:rsidP="003306B1">
            <w:pPr>
              <w:pStyle w:val="TableText"/>
              <w:rPr>
                <w:lang w:val="en-US"/>
              </w:rPr>
            </w:pPr>
            <w:r w:rsidRPr="002D69A1">
              <w:rPr>
                <w:lang w:val="en-US"/>
              </w:rPr>
              <w:t>Increased alanine aminotransferase</w:t>
            </w:r>
          </w:p>
        </w:tc>
        <w:tc>
          <w:tcPr>
            <w:tcW w:w="2618" w:type="dxa"/>
            <w:tcBorders>
              <w:top w:val="nil"/>
              <w:left w:val="single" w:sz="4" w:space="0" w:color="000000"/>
              <w:bottom w:val="single" w:sz="4" w:space="0" w:color="000000"/>
              <w:right w:val="nil"/>
            </w:tcBorders>
            <w:shd w:val="clear" w:color="auto" w:fill="FFFFFF"/>
          </w:tcPr>
          <w:p w14:paraId="67AA55A5" w14:textId="77777777" w:rsidR="002D69A1" w:rsidRPr="002D69A1" w:rsidRDefault="002D69A1" w:rsidP="003306B1">
            <w:pPr>
              <w:pStyle w:val="TableCentre"/>
              <w:rPr>
                <w:lang w:val="en-US"/>
              </w:rPr>
            </w:pPr>
            <w:r w:rsidRPr="002D69A1">
              <w:rPr>
                <w:lang w:val="en-US"/>
              </w:rPr>
              <w:t>35</w:t>
            </w:r>
          </w:p>
        </w:tc>
        <w:tc>
          <w:tcPr>
            <w:tcW w:w="2618" w:type="dxa"/>
            <w:tcBorders>
              <w:top w:val="nil"/>
              <w:left w:val="single" w:sz="4" w:space="0" w:color="000000"/>
              <w:bottom w:val="single" w:sz="4" w:space="0" w:color="000000"/>
              <w:right w:val="single" w:sz="4" w:space="0" w:color="000000"/>
            </w:tcBorders>
            <w:shd w:val="clear" w:color="auto" w:fill="FFFFFF"/>
          </w:tcPr>
          <w:p w14:paraId="0CA486C4" w14:textId="77777777" w:rsidR="002D69A1" w:rsidRPr="002D69A1" w:rsidRDefault="002D69A1" w:rsidP="003306B1">
            <w:pPr>
              <w:pStyle w:val="TableCentre"/>
              <w:rPr>
                <w:lang w:val="en-US"/>
              </w:rPr>
            </w:pPr>
            <w:r w:rsidRPr="002D69A1">
              <w:rPr>
                <w:lang w:val="en-US"/>
              </w:rPr>
              <w:t>3</w:t>
            </w:r>
          </w:p>
        </w:tc>
      </w:tr>
      <w:tr w:rsidR="002D69A1" w:rsidRPr="002D69A1" w14:paraId="5F2DABB5"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18672BAB" w14:textId="77777777" w:rsidR="002D69A1" w:rsidRPr="002D69A1" w:rsidRDefault="002D69A1" w:rsidP="003306B1">
            <w:pPr>
              <w:pStyle w:val="TableText"/>
              <w:rPr>
                <w:lang w:val="en-US"/>
              </w:rPr>
            </w:pPr>
            <w:r w:rsidRPr="002D69A1">
              <w:rPr>
                <w:lang w:val="en-US"/>
              </w:rPr>
              <w:t>Increased alkaline phosphatase</w:t>
            </w:r>
          </w:p>
        </w:tc>
        <w:tc>
          <w:tcPr>
            <w:tcW w:w="2618" w:type="dxa"/>
            <w:tcBorders>
              <w:top w:val="nil"/>
              <w:left w:val="single" w:sz="4" w:space="0" w:color="000000"/>
              <w:bottom w:val="single" w:sz="4" w:space="0" w:color="000000"/>
              <w:right w:val="nil"/>
            </w:tcBorders>
            <w:shd w:val="clear" w:color="auto" w:fill="FFFFFF"/>
          </w:tcPr>
          <w:p w14:paraId="4902F42C" w14:textId="77777777" w:rsidR="002D69A1" w:rsidRPr="002D69A1" w:rsidRDefault="002D69A1" w:rsidP="003306B1">
            <w:pPr>
              <w:pStyle w:val="TableCentre"/>
              <w:rPr>
                <w:lang w:val="en-US"/>
              </w:rPr>
            </w:pPr>
            <w:r w:rsidRPr="002D69A1">
              <w:rPr>
                <w:lang w:val="en-US"/>
              </w:rPr>
              <w:t>32</w:t>
            </w:r>
          </w:p>
        </w:tc>
        <w:tc>
          <w:tcPr>
            <w:tcW w:w="2618" w:type="dxa"/>
            <w:tcBorders>
              <w:top w:val="nil"/>
              <w:left w:val="single" w:sz="4" w:space="0" w:color="000000"/>
              <w:bottom w:val="single" w:sz="4" w:space="0" w:color="000000"/>
              <w:right w:val="single" w:sz="4" w:space="0" w:color="000000"/>
            </w:tcBorders>
            <w:shd w:val="clear" w:color="auto" w:fill="FFFFFF"/>
          </w:tcPr>
          <w:p w14:paraId="115E068B" w14:textId="77777777" w:rsidR="002D69A1" w:rsidRPr="002D69A1" w:rsidRDefault="002D69A1" w:rsidP="003306B1">
            <w:pPr>
              <w:pStyle w:val="TableCentre"/>
              <w:rPr>
                <w:lang w:val="en-US"/>
              </w:rPr>
            </w:pPr>
            <w:r w:rsidRPr="002D69A1">
              <w:rPr>
                <w:lang w:val="en-US"/>
              </w:rPr>
              <w:t>1</w:t>
            </w:r>
          </w:p>
        </w:tc>
      </w:tr>
      <w:tr w:rsidR="002D69A1" w:rsidRPr="002D69A1" w14:paraId="4069CC81"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762114D8" w14:textId="0BE2B50F" w:rsidR="002D69A1" w:rsidRPr="002D69A1" w:rsidRDefault="002D69A1" w:rsidP="003306B1">
            <w:pPr>
              <w:pStyle w:val="TableText"/>
              <w:rPr>
                <w:lang w:val="en-US"/>
              </w:rPr>
            </w:pPr>
            <w:proofErr w:type="spellStart"/>
            <w:r w:rsidRPr="002D69A1">
              <w:rPr>
                <w:lang w:val="en-US"/>
              </w:rPr>
              <w:t>Hypokal</w:t>
            </w:r>
            <w:r w:rsidR="00C11A24">
              <w:rPr>
                <w:lang w:val="en-US"/>
              </w:rPr>
              <w:t>a</w:t>
            </w:r>
            <w:r w:rsidRPr="002D69A1">
              <w:rPr>
                <w:lang w:val="en-US"/>
              </w:rPr>
              <w:t>emia</w:t>
            </w:r>
            <w:proofErr w:type="spellEnd"/>
          </w:p>
        </w:tc>
        <w:tc>
          <w:tcPr>
            <w:tcW w:w="2618" w:type="dxa"/>
            <w:tcBorders>
              <w:top w:val="nil"/>
              <w:left w:val="single" w:sz="4" w:space="0" w:color="000000"/>
              <w:bottom w:val="single" w:sz="4" w:space="0" w:color="000000"/>
              <w:right w:val="nil"/>
            </w:tcBorders>
            <w:shd w:val="clear" w:color="auto" w:fill="FFFFFF"/>
          </w:tcPr>
          <w:p w14:paraId="6E29975B" w14:textId="77777777" w:rsidR="002D69A1" w:rsidRPr="002D69A1" w:rsidRDefault="002D69A1" w:rsidP="003306B1">
            <w:pPr>
              <w:pStyle w:val="TableCentre"/>
              <w:rPr>
                <w:lang w:val="en-US"/>
              </w:rPr>
            </w:pPr>
            <w:r w:rsidRPr="002D69A1">
              <w:rPr>
                <w:lang w:val="en-US"/>
              </w:rPr>
              <w:t>27</w:t>
            </w:r>
          </w:p>
        </w:tc>
        <w:tc>
          <w:tcPr>
            <w:tcW w:w="2618" w:type="dxa"/>
            <w:tcBorders>
              <w:top w:val="nil"/>
              <w:left w:val="single" w:sz="4" w:space="0" w:color="000000"/>
              <w:bottom w:val="single" w:sz="4" w:space="0" w:color="000000"/>
              <w:right w:val="single" w:sz="4" w:space="0" w:color="000000"/>
            </w:tcBorders>
            <w:shd w:val="clear" w:color="auto" w:fill="FFFFFF"/>
          </w:tcPr>
          <w:p w14:paraId="4CA065AF" w14:textId="77777777" w:rsidR="002D69A1" w:rsidRPr="002D69A1" w:rsidRDefault="002D69A1" w:rsidP="003306B1">
            <w:pPr>
              <w:pStyle w:val="TableCentre"/>
              <w:rPr>
                <w:lang w:val="en-US"/>
              </w:rPr>
            </w:pPr>
            <w:r w:rsidRPr="002D69A1">
              <w:rPr>
                <w:lang w:val="en-US"/>
              </w:rPr>
              <w:t>5</w:t>
            </w:r>
          </w:p>
        </w:tc>
      </w:tr>
      <w:tr w:rsidR="002D69A1" w:rsidRPr="002D69A1" w14:paraId="42CF2B17"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35D75A37" w14:textId="77777777" w:rsidR="002D69A1" w:rsidRPr="002D69A1" w:rsidRDefault="002D69A1" w:rsidP="003306B1">
            <w:pPr>
              <w:pStyle w:val="TableText"/>
              <w:rPr>
                <w:lang w:val="en-US"/>
              </w:rPr>
            </w:pPr>
            <w:r w:rsidRPr="002D69A1">
              <w:rPr>
                <w:lang w:val="en-US"/>
              </w:rPr>
              <w:t xml:space="preserve">Increased amylase </w:t>
            </w:r>
          </w:p>
        </w:tc>
        <w:tc>
          <w:tcPr>
            <w:tcW w:w="2618" w:type="dxa"/>
            <w:tcBorders>
              <w:top w:val="nil"/>
              <w:left w:val="single" w:sz="4" w:space="0" w:color="000000"/>
              <w:bottom w:val="single" w:sz="4" w:space="0" w:color="000000"/>
              <w:right w:val="nil"/>
            </w:tcBorders>
            <w:shd w:val="clear" w:color="auto" w:fill="FFFFFF"/>
          </w:tcPr>
          <w:p w14:paraId="21ACB24B" w14:textId="77777777" w:rsidR="002D69A1" w:rsidRPr="002D69A1" w:rsidRDefault="002D69A1" w:rsidP="003306B1">
            <w:pPr>
              <w:pStyle w:val="TableCentre"/>
              <w:rPr>
                <w:lang w:val="en-US"/>
              </w:rPr>
            </w:pPr>
            <w:r w:rsidRPr="002D69A1">
              <w:rPr>
                <w:lang w:val="en-US"/>
              </w:rPr>
              <w:t>19</w:t>
            </w:r>
          </w:p>
        </w:tc>
        <w:tc>
          <w:tcPr>
            <w:tcW w:w="2618" w:type="dxa"/>
            <w:tcBorders>
              <w:top w:val="nil"/>
              <w:left w:val="single" w:sz="4" w:space="0" w:color="000000"/>
              <w:bottom w:val="single" w:sz="4" w:space="0" w:color="000000"/>
              <w:right w:val="single" w:sz="4" w:space="0" w:color="000000"/>
            </w:tcBorders>
            <w:shd w:val="clear" w:color="auto" w:fill="FFFFFF"/>
          </w:tcPr>
          <w:p w14:paraId="7940B791" w14:textId="77777777" w:rsidR="002D69A1" w:rsidRPr="002D69A1" w:rsidRDefault="002D69A1" w:rsidP="003306B1">
            <w:pPr>
              <w:pStyle w:val="TableCentre"/>
              <w:rPr>
                <w:lang w:val="en-US"/>
              </w:rPr>
            </w:pPr>
            <w:r w:rsidRPr="002D69A1">
              <w:rPr>
                <w:lang w:val="en-US"/>
              </w:rPr>
              <w:t>6</w:t>
            </w:r>
          </w:p>
        </w:tc>
      </w:tr>
      <w:tr w:rsidR="002D69A1" w:rsidRPr="002D69A1" w14:paraId="179FFD76"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20B4DD1C" w14:textId="11AC3A14" w:rsidR="002D69A1" w:rsidRPr="002D69A1" w:rsidRDefault="002D69A1" w:rsidP="003306B1">
            <w:pPr>
              <w:pStyle w:val="TableText"/>
              <w:rPr>
                <w:lang w:val="en-US"/>
              </w:rPr>
            </w:pPr>
            <w:r w:rsidRPr="002D69A1">
              <w:rPr>
                <w:lang w:val="en-US"/>
              </w:rPr>
              <w:t>Hypocalc</w:t>
            </w:r>
            <w:r w:rsidR="00C11A24">
              <w:rPr>
                <w:lang w:val="en-US"/>
              </w:rPr>
              <w:t>a</w:t>
            </w:r>
            <w:r w:rsidRPr="002D69A1">
              <w:rPr>
                <w:lang w:val="en-US"/>
              </w:rPr>
              <w:t>emia</w:t>
            </w:r>
          </w:p>
        </w:tc>
        <w:tc>
          <w:tcPr>
            <w:tcW w:w="2618" w:type="dxa"/>
            <w:tcBorders>
              <w:top w:val="nil"/>
              <w:left w:val="single" w:sz="4" w:space="0" w:color="000000"/>
              <w:bottom w:val="single" w:sz="4" w:space="0" w:color="000000"/>
              <w:right w:val="nil"/>
            </w:tcBorders>
            <w:shd w:val="clear" w:color="auto" w:fill="FFFFFF"/>
          </w:tcPr>
          <w:p w14:paraId="55934726" w14:textId="77777777" w:rsidR="002D69A1" w:rsidRPr="002D69A1" w:rsidRDefault="002D69A1" w:rsidP="003306B1">
            <w:pPr>
              <w:pStyle w:val="TableCentre"/>
              <w:rPr>
                <w:lang w:val="en-US"/>
              </w:rPr>
            </w:pPr>
            <w:r w:rsidRPr="002D69A1">
              <w:rPr>
                <w:lang w:val="en-US"/>
              </w:rPr>
              <w:t>14</w:t>
            </w:r>
          </w:p>
        </w:tc>
        <w:tc>
          <w:tcPr>
            <w:tcW w:w="2618" w:type="dxa"/>
            <w:tcBorders>
              <w:top w:val="nil"/>
              <w:left w:val="single" w:sz="4" w:space="0" w:color="000000"/>
              <w:bottom w:val="single" w:sz="4" w:space="0" w:color="000000"/>
              <w:right w:val="single" w:sz="4" w:space="0" w:color="000000"/>
            </w:tcBorders>
            <w:shd w:val="clear" w:color="auto" w:fill="FFFFFF"/>
          </w:tcPr>
          <w:p w14:paraId="0E1D5DB1" w14:textId="77777777" w:rsidR="002D69A1" w:rsidRPr="002D69A1" w:rsidRDefault="002D69A1" w:rsidP="003306B1">
            <w:pPr>
              <w:pStyle w:val="TableCentre"/>
              <w:rPr>
                <w:lang w:val="en-US"/>
              </w:rPr>
            </w:pPr>
            <w:r w:rsidRPr="002D69A1">
              <w:rPr>
                <w:lang w:val="en-US"/>
              </w:rPr>
              <w:t>3</w:t>
            </w:r>
          </w:p>
        </w:tc>
      </w:tr>
      <w:tr w:rsidR="002D69A1" w:rsidRPr="002D69A1" w14:paraId="58DEA8B4"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6FCB4725" w14:textId="53783D6D" w:rsidR="002D69A1" w:rsidRPr="002D69A1" w:rsidRDefault="002D69A1" w:rsidP="003306B1">
            <w:pPr>
              <w:pStyle w:val="TableText"/>
              <w:rPr>
                <w:lang w:val="en-US"/>
              </w:rPr>
            </w:pPr>
            <w:proofErr w:type="spellStart"/>
            <w:r w:rsidRPr="002D69A1">
              <w:rPr>
                <w:lang w:val="en-US"/>
              </w:rPr>
              <w:t>Hypermagnes</w:t>
            </w:r>
            <w:r w:rsidR="00C11A24">
              <w:rPr>
                <w:lang w:val="en-US"/>
              </w:rPr>
              <w:t>a</w:t>
            </w:r>
            <w:r w:rsidRPr="002D69A1">
              <w:rPr>
                <w:lang w:val="en-US"/>
              </w:rPr>
              <w:t>emia</w:t>
            </w:r>
            <w:proofErr w:type="spellEnd"/>
          </w:p>
        </w:tc>
        <w:tc>
          <w:tcPr>
            <w:tcW w:w="2618" w:type="dxa"/>
            <w:tcBorders>
              <w:top w:val="nil"/>
              <w:left w:val="single" w:sz="4" w:space="0" w:color="000000"/>
              <w:bottom w:val="single" w:sz="4" w:space="0" w:color="000000"/>
              <w:right w:val="nil"/>
            </w:tcBorders>
            <w:shd w:val="clear" w:color="auto" w:fill="FFFFFF"/>
          </w:tcPr>
          <w:p w14:paraId="647547E2" w14:textId="77777777" w:rsidR="002D69A1" w:rsidRPr="002D69A1" w:rsidRDefault="002D69A1" w:rsidP="003306B1">
            <w:pPr>
              <w:pStyle w:val="TableCentre"/>
              <w:rPr>
                <w:lang w:val="en-US"/>
              </w:rPr>
            </w:pPr>
            <w:r w:rsidRPr="002D69A1">
              <w:rPr>
                <w:lang w:val="en-US"/>
              </w:rPr>
              <w:t>4</w:t>
            </w:r>
          </w:p>
        </w:tc>
        <w:tc>
          <w:tcPr>
            <w:tcW w:w="2618" w:type="dxa"/>
            <w:tcBorders>
              <w:top w:val="nil"/>
              <w:left w:val="single" w:sz="4" w:space="0" w:color="000000"/>
              <w:bottom w:val="single" w:sz="4" w:space="0" w:color="000000"/>
              <w:right w:val="single" w:sz="4" w:space="0" w:color="000000"/>
            </w:tcBorders>
            <w:shd w:val="clear" w:color="auto" w:fill="FFFFFF"/>
          </w:tcPr>
          <w:p w14:paraId="0253833F" w14:textId="77777777" w:rsidR="002D69A1" w:rsidRPr="002D69A1" w:rsidRDefault="002D69A1" w:rsidP="003306B1">
            <w:pPr>
              <w:pStyle w:val="TableCentre"/>
              <w:rPr>
                <w:lang w:val="en-US"/>
              </w:rPr>
            </w:pPr>
            <w:r w:rsidRPr="002D69A1">
              <w:rPr>
                <w:lang w:val="en-US"/>
              </w:rPr>
              <w:t>3</w:t>
            </w:r>
          </w:p>
        </w:tc>
      </w:tr>
      <w:tr w:rsidR="002D69A1" w:rsidRPr="002D69A1" w14:paraId="65EF6A1F" w14:textId="77777777" w:rsidTr="00B722A3">
        <w:trPr>
          <w:cantSplit/>
          <w:jc w:val="center"/>
        </w:trPr>
        <w:tc>
          <w:tcPr>
            <w:tcW w:w="8984" w:type="dxa"/>
            <w:gridSpan w:val="3"/>
            <w:tcBorders>
              <w:top w:val="nil"/>
              <w:left w:val="single" w:sz="4" w:space="0" w:color="000000"/>
              <w:bottom w:val="single" w:sz="4" w:space="0" w:color="000000"/>
              <w:right w:val="single" w:sz="4" w:space="0" w:color="000000"/>
            </w:tcBorders>
            <w:shd w:val="clear" w:color="auto" w:fill="FFFFFF"/>
          </w:tcPr>
          <w:p w14:paraId="70FAF0A9" w14:textId="6566A40A" w:rsidR="002D69A1" w:rsidRPr="002D69A1" w:rsidRDefault="002D69A1" w:rsidP="003306B1">
            <w:pPr>
              <w:pStyle w:val="TableHeading"/>
              <w:rPr>
                <w:rFonts w:eastAsiaTheme="minorEastAsia"/>
              </w:rPr>
            </w:pPr>
            <w:proofErr w:type="spellStart"/>
            <w:r w:rsidRPr="002D69A1">
              <w:rPr>
                <w:rFonts w:eastAsiaTheme="minorEastAsia"/>
              </w:rPr>
              <w:t>H</w:t>
            </w:r>
            <w:r w:rsidR="000A4A02">
              <w:rPr>
                <w:rFonts w:eastAsiaTheme="minorEastAsia"/>
              </w:rPr>
              <w:t>a</w:t>
            </w:r>
            <w:r w:rsidRPr="002D69A1">
              <w:rPr>
                <w:rFonts w:eastAsiaTheme="minorEastAsia"/>
              </w:rPr>
              <w:t>ematology</w:t>
            </w:r>
            <w:proofErr w:type="spellEnd"/>
          </w:p>
        </w:tc>
      </w:tr>
      <w:tr w:rsidR="002D69A1" w:rsidRPr="002D69A1" w14:paraId="041F945B"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2CC7024D" w14:textId="23524483" w:rsidR="002D69A1" w:rsidRPr="002D69A1" w:rsidRDefault="002D69A1" w:rsidP="003306B1">
            <w:pPr>
              <w:pStyle w:val="TableText"/>
              <w:rPr>
                <w:lang w:val="en-US"/>
              </w:rPr>
            </w:pPr>
            <w:proofErr w:type="spellStart"/>
            <w:r w:rsidRPr="002D69A1">
              <w:rPr>
                <w:lang w:val="en-US"/>
              </w:rPr>
              <w:t>Thrombocytop</w:t>
            </w:r>
            <w:r w:rsidR="00C11A24">
              <w:rPr>
                <w:lang w:val="en-US"/>
              </w:rPr>
              <w:t>a</w:t>
            </w:r>
            <w:r w:rsidRPr="002D69A1">
              <w:rPr>
                <w:lang w:val="en-US"/>
              </w:rPr>
              <w:t>enia</w:t>
            </w:r>
            <w:proofErr w:type="spellEnd"/>
          </w:p>
        </w:tc>
        <w:tc>
          <w:tcPr>
            <w:tcW w:w="2618" w:type="dxa"/>
            <w:tcBorders>
              <w:top w:val="nil"/>
              <w:left w:val="single" w:sz="4" w:space="0" w:color="000000"/>
              <w:bottom w:val="single" w:sz="4" w:space="0" w:color="000000"/>
              <w:right w:val="nil"/>
            </w:tcBorders>
            <w:shd w:val="clear" w:color="auto" w:fill="FFFFFF"/>
          </w:tcPr>
          <w:p w14:paraId="69B0120C" w14:textId="77777777" w:rsidR="002D69A1" w:rsidRPr="002D69A1" w:rsidRDefault="002D69A1" w:rsidP="003306B1">
            <w:pPr>
              <w:pStyle w:val="TableCentre"/>
              <w:rPr>
                <w:lang w:val="en-US"/>
              </w:rPr>
            </w:pPr>
            <w:r w:rsidRPr="002D69A1">
              <w:rPr>
                <w:lang w:val="en-US"/>
              </w:rPr>
              <w:t>48</w:t>
            </w:r>
          </w:p>
        </w:tc>
        <w:tc>
          <w:tcPr>
            <w:tcW w:w="2618" w:type="dxa"/>
            <w:tcBorders>
              <w:top w:val="nil"/>
              <w:left w:val="single" w:sz="4" w:space="0" w:color="000000"/>
              <w:bottom w:val="single" w:sz="4" w:space="0" w:color="000000"/>
              <w:right w:val="single" w:sz="4" w:space="0" w:color="000000"/>
            </w:tcBorders>
            <w:shd w:val="clear" w:color="auto" w:fill="FFFFFF"/>
          </w:tcPr>
          <w:p w14:paraId="22B13A8A" w14:textId="77777777" w:rsidR="002D69A1" w:rsidRPr="002D69A1" w:rsidRDefault="002D69A1" w:rsidP="003306B1">
            <w:pPr>
              <w:pStyle w:val="TableCentre"/>
              <w:rPr>
                <w:lang w:val="en-US"/>
              </w:rPr>
            </w:pPr>
            <w:r w:rsidRPr="002D69A1">
              <w:rPr>
                <w:lang w:val="en-US"/>
              </w:rPr>
              <w:t>0</w:t>
            </w:r>
          </w:p>
        </w:tc>
      </w:tr>
      <w:tr w:rsidR="002D69A1" w:rsidRPr="002D69A1" w14:paraId="5795194F"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4A8B20D4" w14:textId="3B152AAB" w:rsidR="002D69A1" w:rsidRPr="002D69A1" w:rsidRDefault="002D69A1" w:rsidP="003306B1">
            <w:pPr>
              <w:pStyle w:val="TableText"/>
              <w:rPr>
                <w:lang w:val="en-US"/>
              </w:rPr>
            </w:pPr>
            <w:proofErr w:type="spellStart"/>
            <w:r w:rsidRPr="002D69A1">
              <w:rPr>
                <w:lang w:val="en-US"/>
              </w:rPr>
              <w:t>Leukop</w:t>
            </w:r>
            <w:r w:rsidR="00C11A24">
              <w:rPr>
                <w:lang w:val="en-US"/>
              </w:rPr>
              <w:t>a</w:t>
            </w:r>
            <w:r w:rsidRPr="002D69A1">
              <w:rPr>
                <w:lang w:val="en-US"/>
              </w:rPr>
              <w:t>enia</w:t>
            </w:r>
            <w:proofErr w:type="spellEnd"/>
          </w:p>
        </w:tc>
        <w:tc>
          <w:tcPr>
            <w:tcW w:w="2618" w:type="dxa"/>
            <w:tcBorders>
              <w:top w:val="nil"/>
              <w:left w:val="single" w:sz="4" w:space="0" w:color="000000"/>
              <w:bottom w:val="single" w:sz="4" w:space="0" w:color="000000"/>
              <w:right w:val="nil"/>
            </w:tcBorders>
            <w:shd w:val="clear" w:color="auto" w:fill="FFFFFF"/>
          </w:tcPr>
          <w:p w14:paraId="56774094" w14:textId="77777777" w:rsidR="002D69A1" w:rsidRPr="002D69A1" w:rsidRDefault="002D69A1" w:rsidP="003306B1">
            <w:pPr>
              <w:pStyle w:val="TableCentre"/>
              <w:rPr>
                <w:lang w:val="en-US"/>
              </w:rPr>
            </w:pPr>
            <w:r w:rsidRPr="002D69A1">
              <w:rPr>
                <w:lang w:val="en-US"/>
              </w:rPr>
              <w:t>38</w:t>
            </w:r>
          </w:p>
        </w:tc>
        <w:tc>
          <w:tcPr>
            <w:tcW w:w="2618" w:type="dxa"/>
            <w:tcBorders>
              <w:top w:val="nil"/>
              <w:left w:val="single" w:sz="4" w:space="0" w:color="000000"/>
              <w:bottom w:val="single" w:sz="4" w:space="0" w:color="000000"/>
              <w:right w:val="single" w:sz="4" w:space="0" w:color="000000"/>
            </w:tcBorders>
            <w:shd w:val="clear" w:color="auto" w:fill="FFFFFF"/>
          </w:tcPr>
          <w:p w14:paraId="37F54642" w14:textId="77777777" w:rsidR="002D69A1" w:rsidRPr="002D69A1" w:rsidRDefault="002D69A1" w:rsidP="003306B1">
            <w:pPr>
              <w:pStyle w:val="TableCentre"/>
              <w:rPr>
                <w:lang w:val="en-US"/>
              </w:rPr>
            </w:pPr>
            <w:r w:rsidRPr="002D69A1">
              <w:rPr>
                <w:lang w:val="en-US"/>
              </w:rPr>
              <w:t>2</w:t>
            </w:r>
          </w:p>
        </w:tc>
      </w:tr>
      <w:tr w:rsidR="002D69A1" w:rsidRPr="002D69A1" w14:paraId="3B2E5F2F"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0DF8C28B" w14:textId="234F985C" w:rsidR="002D69A1" w:rsidRPr="002D69A1" w:rsidRDefault="002D69A1" w:rsidP="003306B1">
            <w:pPr>
              <w:pStyle w:val="TableText"/>
              <w:rPr>
                <w:lang w:val="en-US"/>
              </w:rPr>
            </w:pPr>
            <w:proofErr w:type="spellStart"/>
            <w:r w:rsidRPr="002D69A1">
              <w:rPr>
                <w:lang w:val="en-US"/>
              </w:rPr>
              <w:t>Lymphop</w:t>
            </w:r>
            <w:r w:rsidR="00C11A24">
              <w:rPr>
                <w:lang w:val="en-US"/>
              </w:rPr>
              <w:t>a</w:t>
            </w:r>
            <w:r w:rsidRPr="002D69A1">
              <w:rPr>
                <w:lang w:val="en-US"/>
              </w:rPr>
              <w:t>enia</w:t>
            </w:r>
            <w:proofErr w:type="spellEnd"/>
          </w:p>
        </w:tc>
        <w:tc>
          <w:tcPr>
            <w:tcW w:w="2618" w:type="dxa"/>
            <w:tcBorders>
              <w:top w:val="nil"/>
              <w:left w:val="single" w:sz="4" w:space="0" w:color="000000"/>
              <w:bottom w:val="single" w:sz="4" w:space="0" w:color="000000"/>
              <w:right w:val="nil"/>
            </w:tcBorders>
            <w:shd w:val="clear" w:color="auto" w:fill="FFFFFF"/>
          </w:tcPr>
          <w:p w14:paraId="1B4C15FB" w14:textId="77777777" w:rsidR="002D69A1" w:rsidRPr="002D69A1" w:rsidRDefault="002D69A1" w:rsidP="003306B1">
            <w:pPr>
              <w:pStyle w:val="TableCentre"/>
              <w:rPr>
                <w:lang w:val="en-US"/>
              </w:rPr>
            </w:pPr>
            <w:r w:rsidRPr="002D69A1">
              <w:rPr>
                <w:lang w:val="en-US"/>
              </w:rPr>
              <w:t>36</w:t>
            </w:r>
          </w:p>
        </w:tc>
        <w:tc>
          <w:tcPr>
            <w:tcW w:w="2618" w:type="dxa"/>
            <w:tcBorders>
              <w:top w:val="nil"/>
              <w:left w:val="single" w:sz="4" w:space="0" w:color="000000"/>
              <w:bottom w:val="single" w:sz="4" w:space="0" w:color="000000"/>
              <w:right w:val="single" w:sz="4" w:space="0" w:color="000000"/>
            </w:tcBorders>
            <w:shd w:val="clear" w:color="auto" w:fill="FFFFFF"/>
          </w:tcPr>
          <w:p w14:paraId="50F3FC99" w14:textId="77777777" w:rsidR="002D69A1" w:rsidRPr="002D69A1" w:rsidRDefault="002D69A1" w:rsidP="003306B1">
            <w:pPr>
              <w:pStyle w:val="TableCentre"/>
              <w:rPr>
                <w:lang w:val="en-US"/>
              </w:rPr>
            </w:pPr>
            <w:r w:rsidRPr="002D69A1">
              <w:rPr>
                <w:lang w:val="en-US"/>
              </w:rPr>
              <w:t>7</w:t>
            </w:r>
          </w:p>
        </w:tc>
      </w:tr>
      <w:tr w:rsidR="002D69A1" w:rsidRPr="002D69A1" w14:paraId="68E0B29E"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7D067399" w14:textId="14A4A110" w:rsidR="002D69A1" w:rsidRPr="002D69A1" w:rsidRDefault="002D69A1" w:rsidP="003306B1">
            <w:pPr>
              <w:pStyle w:val="TableText"/>
              <w:rPr>
                <w:lang w:val="en-US"/>
              </w:rPr>
            </w:pPr>
            <w:proofErr w:type="spellStart"/>
            <w:r w:rsidRPr="002D69A1">
              <w:rPr>
                <w:lang w:val="en-US"/>
              </w:rPr>
              <w:t>An</w:t>
            </w:r>
            <w:r w:rsidR="00C11A24">
              <w:rPr>
                <w:lang w:val="en-US"/>
              </w:rPr>
              <w:t>a</w:t>
            </w:r>
            <w:r w:rsidRPr="002D69A1">
              <w:rPr>
                <w:lang w:val="en-US"/>
              </w:rPr>
              <w:t>emia</w:t>
            </w:r>
            <w:proofErr w:type="spellEnd"/>
          </w:p>
        </w:tc>
        <w:tc>
          <w:tcPr>
            <w:tcW w:w="2618" w:type="dxa"/>
            <w:tcBorders>
              <w:top w:val="nil"/>
              <w:left w:val="single" w:sz="4" w:space="0" w:color="000000"/>
              <w:bottom w:val="single" w:sz="4" w:space="0" w:color="000000"/>
              <w:right w:val="nil"/>
            </w:tcBorders>
            <w:shd w:val="clear" w:color="auto" w:fill="FFFFFF"/>
          </w:tcPr>
          <w:p w14:paraId="7B8DB980" w14:textId="77777777" w:rsidR="002D69A1" w:rsidRPr="002D69A1" w:rsidRDefault="002D69A1" w:rsidP="003306B1">
            <w:pPr>
              <w:pStyle w:val="TableCentre"/>
              <w:rPr>
                <w:lang w:val="en-US"/>
              </w:rPr>
            </w:pPr>
            <w:r w:rsidRPr="002D69A1">
              <w:rPr>
                <w:lang w:val="en-US"/>
              </w:rPr>
              <w:t>35</w:t>
            </w:r>
          </w:p>
        </w:tc>
        <w:tc>
          <w:tcPr>
            <w:tcW w:w="2618" w:type="dxa"/>
            <w:tcBorders>
              <w:top w:val="nil"/>
              <w:left w:val="single" w:sz="4" w:space="0" w:color="000000"/>
              <w:bottom w:val="single" w:sz="4" w:space="0" w:color="000000"/>
              <w:right w:val="single" w:sz="4" w:space="0" w:color="000000"/>
            </w:tcBorders>
            <w:shd w:val="clear" w:color="auto" w:fill="FFFFFF"/>
          </w:tcPr>
          <w:p w14:paraId="07126CB3" w14:textId="77777777" w:rsidR="002D69A1" w:rsidRPr="002D69A1" w:rsidRDefault="002D69A1" w:rsidP="003306B1">
            <w:pPr>
              <w:pStyle w:val="TableCentre"/>
              <w:rPr>
                <w:lang w:val="en-US"/>
              </w:rPr>
            </w:pPr>
            <w:r w:rsidRPr="002D69A1">
              <w:rPr>
                <w:lang w:val="en-US"/>
              </w:rPr>
              <w:t>1</w:t>
            </w:r>
          </w:p>
        </w:tc>
      </w:tr>
      <w:tr w:rsidR="002D69A1" w:rsidRPr="002D69A1" w14:paraId="5982A6C9" w14:textId="77777777" w:rsidTr="00B722A3">
        <w:trPr>
          <w:cantSplit/>
          <w:jc w:val="center"/>
        </w:trPr>
        <w:tc>
          <w:tcPr>
            <w:tcW w:w="3748" w:type="dxa"/>
            <w:tcBorders>
              <w:top w:val="nil"/>
              <w:left w:val="single" w:sz="4" w:space="0" w:color="000000"/>
              <w:bottom w:val="single" w:sz="4" w:space="0" w:color="000000"/>
              <w:right w:val="nil"/>
            </w:tcBorders>
            <w:shd w:val="clear" w:color="auto" w:fill="FFFFFF"/>
          </w:tcPr>
          <w:p w14:paraId="0F313BF5" w14:textId="77777777" w:rsidR="002D69A1" w:rsidRPr="002D69A1" w:rsidRDefault="002D69A1" w:rsidP="003306B1">
            <w:pPr>
              <w:pStyle w:val="TableText"/>
              <w:rPr>
                <w:lang w:val="en-US"/>
              </w:rPr>
            </w:pPr>
            <w:r w:rsidRPr="002D69A1">
              <w:rPr>
                <w:lang w:val="en-US"/>
              </w:rPr>
              <w:t xml:space="preserve">Increased INR </w:t>
            </w:r>
          </w:p>
        </w:tc>
        <w:tc>
          <w:tcPr>
            <w:tcW w:w="2618" w:type="dxa"/>
            <w:tcBorders>
              <w:top w:val="nil"/>
              <w:left w:val="single" w:sz="4" w:space="0" w:color="000000"/>
              <w:bottom w:val="single" w:sz="4" w:space="0" w:color="000000"/>
              <w:right w:val="nil"/>
            </w:tcBorders>
            <w:shd w:val="clear" w:color="auto" w:fill="FFFFFF"/>
          </w:tcPr>
          <w:p w14:paraId="6ED5D056" w14:textId="77777777" w:rsidR="002D69A1" w:rsidRPr="002D69A1" w:rsidRDefault="002D69A1" w:rsidP="003306B1">
            <w:pPr>
              <w:pStyle w:val="TableCentre"/>
              <w:rPr>
                <w:lang w:val="en-US"/>
              </w:rPr>
            </w:pPr>
            <w:r w:rsidRPr="002D69A1">
              <w:rPr>
                <w:lang w:val="en-US"/>
              </w:rPr>
              <w:t>21</w:t>
            </w:r>
          </w:p>
        </w:tc>
        <w:tc>
          <w:tcPr>
            <w:tcW w:w="2618" w:type="dxa"/>
            <w:tcBorders>
              <w:top w:val="nil"/>
              <w:left w:val="single" w:sz="4" w:space="0" w:color="000000"/>
              <w:bottom w:val="single" w:sz="4" w:space="0" w:color="000000"/>
              <w:right w:val="single" w:sz="4" w:space="0" w:color="000000"/>
            </w:tcBorders>
            <w:shd w:val="clear" w:color="auto" w:fill="FFFFFF"/>
          </w:tcPr>
          <w:p w14:paraId="1BA66523" w14:textId="77777777" w:rsidR="002D69A1" w:rsidRPr="002D69A1" w:rsidRDefault="002D69A1" w:rsidP="003306B1">
            <w:pPr>
              <w:pStyle w:val="TableCentre"/>
              <w:rPr>
                <w:lang w:val="en-US"/>
              </w:rPr>
            </w:pPr>
            <w:r w:rsidRPr="002D69A1">
              <w:rPr>
                <w:lang w:val="en-US"/>
              </w:rPr>
              <w:t>3</w:t>
            </w:r>
          </w:p>
        </w:tc>
      </w:tr>
      <w:tr w:rsidR="002D69A1" w:rsidRPr="002D69A1" w14:paraId="186CA26B" w14:textId="77777777" w:rsidTr="003306B1">
        <w:trPr>
          <w:cantSplit/>
          <w:jc w:val="center"/>
        </w:trPr>
        <w:tc>
          <w:tcPr>
            <w:tcW w:w="3748" w:type="dxa"/>
            <w:tcBorders>
              <w:top w:val="nil"/>
              <w:left w:val="single" w:sz="4" w:space="0" w:color="000000"/>
              <w:bottom w:val="single" w:sz="4" w:space="0" w:color="auto"/>
              <w:right w:val="nil"/>
            </w:tcBorders>
            <w:shd w:val="clear" w:color="auto" w:fill="FFFFFF"/>
          </w:tcPr>
          <w:p w14:paraId="04455A45" w14:textId="5C0C3F22" w:rsidR="002D69A1" w:rsidRPr="002D69A1" w:rsidRDefault="002D69A1" w:rsidP="003306B1">
            <w:pPr>
              <w:pStyle w:val="TableText"/>
              <w:rPr>
                <w:lang w:val="en-US"/>
              </w:rPr>
            </w:pPr>
            <w:proofErr w:type="spellStart"/>
            <w:r w:rsidRPr="002D69A1">
              <w:rPr>
                <w:lang w:val="en-US"/>
              </w:rPr>
              <w:t>Neutrop</w:t>
            </w:r>
            <w:r w:rsidR="00C11A24">
              <w:rPr>
                <w:lang w:val="en-US"/>
              </w:rPr>
              <w:t>a</w:t>
            </w:r>
            <w:r w:rsidRPr="002D69A1">
              <w:rPr>
                <w:lang w:val="en-US"/>
              </w:rPr>
              <w:t>enia</w:t>
            </w:r>
            <w:proofErr w:type="spellEnd"/>
          </w:p>
        </w:tc>
        <w:tc>
          <w:tcPr>
            <w:tcW w:w="2618" w:type="dxa"/>
            <w:tcBorders>
              <w:top w:val="nil"/>
              <w:left w:val="single" w:sz="4" w:space="0" w:color="000000"/>
              <w:bottom w:val="single" w:sz="4" w:space="0" w:color="auto"/>
              <w:right w:val="nil"/>
            </w:tcBorders>
            <w:shd w:val="clear" w:color="auto" w:fill="FFFFFF"/>
          </w:tcPr>
          <w:p w14:paraId="73A4B618" w14:textId="77777777" w:rsidR="002D69A1" w:rsidRPr="002D69A1" w:rsidRDefault="002D69A1" w:rsidP="003306B1">
            <w:pPr>
              <w:pStyle w:val="TableCentre"/>
              <w:rPr>
                <w:lang w:val="en-US"/>
              </w:rPr>
            </w:pPr>
            <w:r w:rsidRPr="002D69A1">
              <w:rPr>
                <w:lang w:val="en-US"/>
              </w:rPr>
              <w:t>12</w:t>
            </w:r>
          </w:p>
        </w:tc>
        <w:tc>
          <w:tcPr>
            <w:tcW w:w="2618" w:type="dxa"/>
            <w:tcBorders>
              <w:top w:val="nil"/>
              <w:left w:val="single" w:sz="4" w:space="0" w:color="000000"/>
              <w:bottom w:val="single" w:sz="4" w:space="0" w:color="auto"/>
              <w:right w:val="single" w:sz="4" w:space="0" w:color="000000"/>
            </w:tcBorders>
            <w:shd w:val="clear" w:color="auto" w:fill="FFFFFF"/>
          </w:tcPr>
          <w:p w14:paraId="10EABD4B" w14:textId="77777777" w:rsidR="002D69A1" w:rsidRPr="002D69A1" w:rsidRDefault="002D69A1" w:rsidP="003306B1">
            <w:pPr>
              <w:pStyle w:val="TableCentre"/>
              <w:rPr>
                <w:lang w:val="en-US"/>
              </w:rPr>
            </w:pPr>
            <w:r w:rsidRPr="002D69A1">
              <w:rPr>
                <w:lang w:val="en-US"/>
              </w:rPr>
              <w:t>3</w:t>
            </w:r>
          </w:p>
        </w:tc>
      </w:tr>
      <w:tr w:rsidR="002D69A1" w:rsidRPr="002D69A1" w14:paraId="06741BBD" w14:textId="77777777" w:rsidTr="003306B1">
        <w:trPr>
          <w:cantSplit/>
          <w:jc w:val="center"/>
        </w:trPr>
        <w:tc>
          <w:tcPr>
            <w:tcW w:w="8984" w:type="dxa"/>
            <w:gridSpan w:val="3"/>
            <w:tcBorders>
              <w:top w:val="single" w:sz="4" w:space="0" w:color="auto"/>
            </w:tcBorders>
            <w:shd w:val="clear" w:color="auto" w:fill="FFFFFF"/>
          </w:tcPr>
          <w:p w14:paraId="6BF0B22E" w14:textId="320BBF7B" w:rsidR="003306B1" w:rsidRDefault="002D69A1" w:rsidP="003306B1">
            <w:pPr>
              <w:pStyle w:val="TableFootnote-list"/>
              <w:numPr>
                <w:ilvl w:val="0"/>
                <w:numId w:val="45"/>
              </w:numPr>
            </w:pPr>
            <w:r w:rsidRPr="002D69A1">
              <w:t xml:space="preserve">With at least 1 grade increase from baseline </w:t>
            </w:r>
          </w:p>
          <w:p w14:paraId="7685CF71" w14:textId="53BFEDB2" w:rsidR="002D69A1" w:rsidRPr="002D69A1" w:rsidRDefault="002D69A1" w:rsidP="003306B1">
            <w:pPr>
              <w:pStyle w:val="TableFootnote-list"/>
              <w:rPr>
                <w:rFonts w:ascii="Times New Roman" w:eastAsiaTheme="minorEastAsia" w:hAnsi="Times New Roman" w:cs="Times New Roman"/>
                <w:color w:val="000000"/>
                <w:szCs w:val="18"/>
              </w:rPr>
            </w:pPr>
            <w:r w:rsidRPr="002D69A1">
              <w:t xml:space="preserve">Laboratory abnormality percentage is based on the number of patients who had both baseline and at least one </w:t>
            </w:r>
            <w:r w:rsidRPr="003306B1">
              <w:t>post</w:t>
            </w:r>
            <w:r w:rsidR="003306B1" w:rsidRPr="003306B1">
              <w:t xml:space="preserve"> </w:t>
            </w:r>
            <w:r w:rsidRPr="003306B1">
              <w:t>baseline laboratory measurement for each parameter (range: 71 to 92 patients)</w:t>
            </w:r>
          </w:p>
        </w:tc>
      </w:tr>
    </w:tbl>
    <w:p w14:paraId="2866DEF7" w14:textId="77777777" w:rsidR="00AA00DF" w:rsidRPr="00AA00DF" w:rsidRDefault="00AA00DF" w:rsidP="00FC4217">
      <w:pPr>
        <w:pStyle w:val="Heading3"/>
        <w:rPr>
          <w:lang w:val="en-US"/>
        </w:rPr>
      </w:pPr>
      <w:r w:rsidRPr="00AA00DF">
        <w:rPr>
          <w:lang w:val="en-US"/>
        </w:rPr>
        <w:t>Post-marketing adverse drug reactions</w:t>
      </w:r>
    </w:p>
    <w:p w14:paraId="2866DEF9" w14:textId="77777777" w:rsidR="00AA00DF" w:rsidRPr="00AA00DF" w:rsidRDefault="00AA00DF" w:rsidP="006B3991">
      <w:pPr>
        <w:pStyle w:val="BodyText"/>
        <w:spacing w:before="120" w:after="60"/>
        <w:rPr>
          <w:lang w:val="en-US"/>
        </w:rPr>
      </w:pPr>
      <w:r w:rsidRPr="00AA00DF">
        <w:rPr>
          <w:lang w:val="en-US"/>
        </w:rPr>
        <w:t xml:space="preserve">The following adverse reactions </w:t>
      </w:r>
      <w:proofErr w:type="gramStart"/>
      <w:r w:rsidRPr="00AA00DF">
        <w:rPr>
          <w:lang w:val="en-US"/>
        </w:rPr>
        <w:t>have been identified</w:t>
      </w:r>
      <w:proofErr w:type="gramEnd"/>
      <w:r w:rsidRPr="00AA00DF">
        <w:rPr>
          <w:lang w:val="en-US"/>
        </w:rPr>
        <w:t xml:space="preserve"> during post approval use of LENVIMA.  Because these reactions </w:t>
      </w:r>
      <w:proofErr w:type="gramStart"/>
      <w:r w:rsidRPr="00AA00DF">
        <w:rPr>
          <w:lang w:val="en-US"/>
        </w:rPr>
        <w:t>are reported</w:t>
      </w:r>
      <w:proofErr w:type="gramEnd"/>
      <w:r w:rsidRPr="00AA00DF">
        <w:rPr>
          <w:lang w:val="en-US"/>
        </w:rPr>
        <w:t xml:space="preserve"> voluntarily from a population of uncertain size, it is not always possible to reliably estimate their frequency or establish a causal relationship to drug exposure.</w:t>
      </w:r>
    </w:p>
    <w:p w14:paraId="2866DEFB" w14:textId="77777777" w:rsidR="00AA00DF" w:rsidRPr="00AA00DF" w:rsidRDefault="00AA00DF" w:rsidP="00FC4217">
      <w:pPr>
        <w:pStyle w:val="BodyText"/>
        <w:rPr>
          <w:iCs/>
          <w:szCs w:val="24"/>
          <w:lang w:val="en-US"/>
        </w:rPr>
      </w:pPr>
      <w:r w:rsidRPr="00AA00DF">
        <w:rPr>
          <w:b/>
          <w:iCs/>
          <w:szCs w:val="24"/>
          <w:lang w:val="en-US"/>
        </w:rPr>
        <w:t>Gastrointestinal Disorders</w:t>
      </w:r>
      <w:r w:rsidRPr="00AA00DF">
        <w:rPr>
          <w:iCs/>
          <w:szCs w:val="24"/>
          <w:lang w:val="en-US"/>
        </w:rPr>
        <w:t>: amylase increased, lipase increased, pancreatitis</w:t>
      </w:r>
    </w:p>
    <w:p w14:paraId="2866DEFC" w14:textId="77777777" w:rsidR="00AA00DF" w:rsidRDefault="00AA00DF" w:rsidP="00FC4217">
      <w:pPr>
        <w:pStyle w:val="BodyText"/>
        <w:rPr>
          <w:iCs/>
          <w:szCs w:val="24"/>
          <w:lang w:val="en-US"/>
        </w:rPr>
      </w:pPr>
      <w:r w:rsidRPr="00AA00DF">
        <w:rPr>
          <w:b/>
          <w:iCs/>
          <w:szCs w:val="24"/>
          <w:lang w:val="en-US"/>
        </w:rPr>
        <w:t>Hepatobiliary Disorders:</w:t>
      </w:r>
      <w:r w:rsidRPr="00AA00DF">
        <w:rPr>
          <w:iCs/>
          <w:szCs w:val="24"/>
          <w:lang w:val="en-US"/>
        </w:rPr>
        <w:t xml:space="preserve"> </w:t>
      </w:r>
      <w:proofErr w:type="spellStart"/>
      <w:r w:rsidRPr="00AA00DF">
        <w:rPr>
          <w:iCs/>
          <w:szCs w:val="24"/>
          <w:lang w:val="en-US"/>
        </w:rPr>
        <w:t>cholecystitis</w:t>
      </w:r>
      <w:proofErr w:type="spellEnd"/>
    </w:p>
    <w:p w14:paraId="2094A62D" w14:textId="212AFA22" w:rsidR="007214A4" w:rsidRDefault="007214A4" w:rsidP="00FC4217">
      <w:pPr>
        <w:pStyle w:val="BodyText"/>
        <w:rPr>
          <w:iCs/>
          <w:szCs w:val="24"/>
          <w:lang w:val="en-US"/>
        </w:rPr>
      </w:pPr>
      <w:r w:rsidRPr="007214A4">
        <w:rPr>
          <w:b/>
          <w:iCs/>
          <w:szCs w:val="24"/>
          <w:lang w:val="en-US"/>
        </w:rPr>
        <w:t xml:space="preserve">General Disorders and Administration Site Conditions: </w:t>
      </w:r>
      <w:r>
        <w:rPr>
          <w:iCs/>
          <w:szCs w:val="24"/>
          <w:lang w:val="en-US"/>
        </w:rPr>
        <w:t>impaired healing</w:t>
      </w:r>
    </w:p>
    <w:p w14:paraId="20248798" w14:textId="77777777" w:rsidR="00596AB0" w:rsidRDefault="00596AB0" w:rsidP="00596AB0">
      <w:pPr>
        <w:pStyle w:val="BodyText"/>
        <w:rPr>
          <w:b/>
          <w:iCs/>
          <w:szCs w:val="24"/>
          <w:lang w:val="en-US"/>
        </w:rPr>
      </w:pPr>
      <w:r w:rsidRPr="006E0E3E">
        <w:rPr>
          <w:b/>
          <w:iCs/>
          <w:szCs w:val="24"/>
          <w:lang w:val="en-US"/>
        </w:rPr>
        <w:t>Renal and</w:t>
      </w:r>
      <w:r>
        <w:rPr>
          <w:b/>
          <w:iCs/>
          <w:szCs w:val="24"/>
          <w:lang w:val="en-US"/>
        </w:rPr>
        <w:t xml:space="preserve"> </w:t>
      </w:r>
      <w:r w:rsidRPr="006E0E3E">
        <w:rPr>
          <w:b/>
          <w:iCs/>
          <w:szCs w:val="24"/>
          <w:lang w:val="en-US"/>
        </w:rPr>
        <w:t>urinary</w:t>
      </w:r>
      <w:r>
        <w:rPr>
          <w:b/>
          <w:iCs/>
          <w:szCs w:val="24"/>
          <w:lang w:val="en-US"/>
        </w:rPr>
        <w:t xml:space="preserve"> </w:t>
      </w:r>
      <w:r w:rsidRPr="006E0E3E">
        <w:rPr>
          <w:b/>
          <w:iCs/>
          <w:szCs w:val="24"/>
          <w:lang w:val="en-US"/>
        </w:rPr>
        <w:t>disorders</w:t>
      </w:r>
      <w:r>
        <w:rPr>
          <w:b/>
          <w:iCs/>
          <w:szCs w:val="24"/>
          <w:lang w:val="en-US"/>
        </w:rPr>
        <w:t xml:space="preserve">: </w:t>
      </w:r>
      <w:r>
        <w:rPr>
          <w:iCs/>
          <w:szCs w:val="24"/>
          <w:lang w:val="en-US"/>
        </w:rPr>
        <w:t>n</w:t>
      </w:r>
      <w:r w:rsidRPr="00FC4864">
        <w:rPr>
          <w:iCs/>
          <w:szCs w:val="24"/>
          <w:lang w:val="en-US"/>
        </w:rPr>
        <w:t>ephrotic syndrome</w:t>
      </w:r>
    </w:p>
    <w:p w14:paraId="08CA9DC2" w14:textId="4B0B566F" w:rsidR="00596AB0" w:rsidRPr="00596AB0" w:rsidRDefault="00596AB0" w:rsidP="00FC4217">
      <w:pPr>
        <w:pStyle w:val="BodyText"/>
        <w:rPr>
          <w:b/>
          <w:iCs/>
          <w:szCs w:val="24"/>
          <w:lang w:val="en-US"/>
        </w:rPr>
      </w:pPr>
      <w:r w:rsidRPr="006E0E3E">
        <w:rPr>
          <w:b/>
          <w:iCs/>
          <w:szCs w:val="24"/>
          <w:lang w:val="en-US"/>
        </w:rPr>
        <w:t>Respiratory,</w:t>
      </w:r>
      <w:r>
        <w:rPr>
          <w:b/>
          <w:iCs/>
          <w:szCs w:val="24"/>
          <w:lang w:val="en-US"/>
        </w:rPr>
        <w:t xml:space="preserve"> </w:t>
      </w:r>
      <w:r w:rsidRPr="006E0E3E">
        <w:rPr>
          <w:b/>
          <w:iCs/>
          <w:szCs w:val="24"/>
          <w:lang w:val="en-US"/>
        </w:rPr>
        <w:t>thoracic and</w:t>
      </w:r>
      <w:r>
        <w:rPr>
          <w:b/>
          <w:iCs/>
          <w:szCs w:val="24"/>
          <w:lang w:val="en-US"/>
        </w:rPr>
        <w:t xml:space="preserve"> </w:t>
      </w:r>
      <w:r w:rsidRPr="006E0E3E">
        <w:rPr>
          <w:b/>
          <w:iCs/>
          <w:szCs w:val="24"/>
          <w:lang w:val="en-US"/>
        </w:rPr>
        <w:t>mediastinal</w:t>
      </w:r>
      <w:r>
        <w:rPr>
          <w:b/>
          <w:iCs/>
          <w:szCs w:val="24"/>
          <w:lang w:val="en-US"/>
        </w:rPr>
        <w:t xml:space="preserve"> </w:t>
      </w:r>
      <w:r w:rsidRPr="006E0E3E">
        <w:rPr>
          <w:b/>
          <w:iCs/>
          <w:szCs w:val="24"/>
          <w:lang w:val="en-US"/>
        </w:rPr>
        <w:t>disorders</w:t>
      </w:r>
      <w:r>
        <w:rPr>
          <w:b/>
          <w:iCs/>
          <w:szCs w:val="24"/>
          <w:lang w:val="en-US"/>
        </w:rPr>
        <w:t xml:space="preserve">: </w:t>
      </w:r>
      <w:r>
        <w:rPr>
          <w:iCs/>
          <w:szCs w:val="24"/>
          <w:lang w:val="en-US"/>
        </w:rPr>
        <w:t>p</w:t>
      </w:r>
      <w:r w:rsidRPr="006E0E3E">
        <w:rPr>
          <w:iCs/>
          <w:szCs w:val="24"/>
          <w:lang w:val="en-US"/>
        </w:rPr>
        <w:t>neumothorax</w:t>
      </w:r>
    </w:p>
    <w:p w14:paraId="01217502" w14:textId="62617951" w:rsidR="007214A4" w:rsidRPr="00AA00DF" w:rsidRDefault="007214A4" w:rsidP="00FC4217">
      <w:pPr>
        <w:pStyle w:val="BodyText"/>
        <w:rPr>
          <w:iCs/>
          <w:szCs w:val="24"/>
          <w:lang w:val="en-US"/>
        </w:rPr>
      </w:pPr>
      <w:r w:rsidRPr="007214A4">
        <w:rPr>
          <w:b/>
          <w:iCs/>
          <w:szCs w:val="24"/>
          <w:lang w:val="en-US"/>
        </w:rPr>
        <w:t>Vascular Disorders:</w:t>
      </w:r>
      <w:r>
        <w:rPr>
          <w:iCs/>
          <w:szCs w:val="24"/>
          <w:lang w:val="en-US"/>
        </w:rPr>
        <w:t xml:space="preserve"> aortic dissection</w:t>
      </w:r>
    </w:p>
    <w:p w14:paraId="2866DEFE" w14:textId="4E740366" w:rsidR="00240ADF" w:rsidRPr="0075622C" w:rsidRDefault="00240ADF" w:rsidP="00FC4217">
      <w:pPr>
        <w:pStyle w:val="Heading3"/>
        <w:rPr>
          <w:lang w:val="en-US"/>
        </w:rPr>
      </w:pPr>
      <w:r w:rsidRPr="0075622C">
        <w:rPr>
          <w:lang w:val="en-US"/>
        </w:rPr>
        <w:lastRenderedPageBreak/>
        <w:t xml:space="preserve">Selected </w:t>
      </w:r>
      <w:r w:rsidR="00E35D44">
        <w:rPr>
          <w:lang w:val="en-US"/>
        </w:rPr>
        <w:t>a</w:t>
      </w:r>
      <w:r w:rsidRPr="0075622C">
        <w:rPr>
          <w:lang w:val="en-US"/>
        </w:rPr>
        <w:t xml:space="preserve">dverse </w:t>
      </w:r>
      <w:r w:rsidR="00E35D44">
        <w:rPr>
          <w:lang w:val="en-US"/>
        </w:rPr>
        <w:t>r</w:t>
      </w:r>
      <w:r w:rsidR="00AA031C" w:rsidRPr="0075622C">
        <w:rPr>
          <w:lang w:val="en-US"/>
        </w:rPr>
        <w:t>eactions</w:t>
      </w:r>
      <w:r w:rsidR="0075622C">
        <w:rPr>
          <w:lang w:val="en-US"/>
        </w:rPr>
        <w:t xml:space="preserve"> in DTC</w:t>
      </w:r>
      <w:r w:rsidR="009868CF">
        <w:rPr>
          <w:lang w:val="en-US"/>
        </w:rPr>
        <w:t>,</w:t>
      </w:r>
      <w:r w:rsidR="0075622C">
        <w:rPr>
          <w:lang w:val="en-US"/>
        </w:rPr>
        <w:t xml:space="preserve"> RCC</w:t>
      </w:r>
      <w:r w:rsidR="009868CF">
        <w:rPr>
          <w:lang w:val="en-US"/>
        </w:rPr>
        <w:t xml:space="preserve"> and HCC</w:t>
      </w:r>
    </w:p>
    <w:p w14:paraId="2866DEFF" w14:textId="77777777" w:rsidR="00E00B24" w:rsidRPr="00BE78D8" w:rsidRDefault="00A57B23" w:rsidP="00FC4217">
      <w:pPr>
        <w:pStyle w:val="Heading4"/>
        <w:rPr>
          <w:lang w:val="en-US"/>
        </w:rPr>
      </w:pPr>
      <w:r w:rsidRPr="00BE78D8">
        <w:rPr>
          <w:lang w:val="en-US"/>
        </w:rPr>
        <w:t xml:space="preserve">Hypertension </w:t>
      </w:r>
    </w:p>
    <w:p w14:paraId="2866DF00" w14:textId="4F3CCC3A" w:rsidR="00A57B23" w:rsidRDefault="00A57B23" w:rsidP="006B3991">
      <w:pPr>
        <w:pStyle w:val="BodyText"/>
        <w:spacing w:before="120" w:after="60"/>
        <w:rPr>
          <w:lang w:val="en-US"/>
        </w:rPr>
      </w:pPr>
      <w:r w:rsidRPr="00BE78D8">
        <w:rPr>
          <w:lang w:val="en-US"/>
        </w:rPr>
        <w:t xml:space="preserve">In the pivotal </w:t>
      </w:r>
      <w:r w:rsidR="0075622C">
        <w:rPr>
          <w:lang w:val="en-US"/>
        </w:rPr>
        <w:t xml:space="preserve">DTC </w:t>
      </w:r>
      <w:r w:rsidRPr="00BE78D8">
        <w:rPr>
          <w:lang w:val="en-US"/>
        </w:rPr>
        <w:t>Phase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BE78D8">
        <w:rPr>
          <w:lang w:val="en-US"/>
        </w:rPr>
        <w:t xml:space="preserve">), hypertension (including hypertension, hypertensive crisis, blood pressure diastolic increased, and blood pressure increased) was reported in 72.8% of </w:t>
      </w:r>
      <w:r w:rsidR="0075622C">
        <w:rPr>
          <w:lang w:val="en-US"/>
        </w:rPr>
        <w:t>LENVIMA</w:t>
      </w:r>
      <w:r w:rsidR="002178CE">
        <w:rPr>
          <w:lang w:val="en-US"/>
        </w:rPr>
        <w:t>-</w:t>
      </w:r>
      <w:r w:rsidRPr="00BE78D8">
        <w:rPr>
          <w:lang w:val="en-US"/>
        </w:rPr>
        <w:t xml:space="preserve">treated patients and 16.0% of patients in the placebo-treated group. The median time to onset in </w:t>
      </w:r>
      <w:r w:rsidR="0075622C">
        <w:rPr>
          <w:lang w:val="en-US"/>
        </w:rPr>
        <w:t>LENVIMA</w:t>
      </w:r>
      <w:r w:rsidR="002178CE">
        <w:rPr>
          <w:lang w:val="en-US"/>
        </w:rPr>
        <w:t>-</w:t>
      </w:r>
      <w:r w:rsidRPr="00BE78D8">
        <w:rPr>
          <w:lang w:val="en-US"/>
        </w:rPr>
        <w:t xml:space="preserve">treated patients was 16 days. Events of Grade 3 or higher (including </w:t>
      </w:r>
      <w:proofErr w:type="gramStart"/>
      <w:r w:rsidRPr="00BE78D8">
        <w:rPr>
          <w:lang w:val="en-US"/>
        </w:rPr>
        <w:t>1</w:t>
      </w:r>
      <w:proofErr w:type="gramEnd"/>
      <w:r w:rsidRPr="00BE78D8">
        <w:rPr>
          <w:lang w:val="en-US"/>
        </w:rPr>
        <w:t xml:space="preserve"> event of Grade 4) occurred in 44.4% of </w:t>
      </w:r>
      <w:r w:rsidR="0075622C">
        <w:rPr>
          <w:lang w:val="en-US"/>
        </w:rPr>
        <w:t>LENVIMA</w:t>
      </w:r>
      <w:r w:rsidRPr="00BE78D8">
        <w:rPr>
          <w:lang w:val="en-US"/>
        </w:rPr>
        <w:t>-treated patients compared with 3.8% of placebo-treated patients. The majority of cases recovered or resolved following dose interruption or reduction, which occurred in 13.0% and 13.4% of patients, respectively. In 1.1% of patients, hypertension led to permanent treatment discontinuation.</w:t>
      </w:r>
    </w:p>
    <w:p w14:paraId="2866DF02" w14:textId="15269EE3" w:rsidR="0075622C" w:rsidRPr="00307212" w:rsidRDefault="0075622C" w:rsidP="006B3991">
      <w:pPr>
        <w:pStyle w:val="BodyText"/>
        <w:spacing w:before="120" w:after="60"/>
        <w:rPr>
          <w:iCs/>
        </w:rPr>
      </w:pPr>
      <w:r w:rsidRPr="00307212">
        <w:rPr>
          <w:iCs/>
        </w:rPr>
        <w:t>In the RCC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307212">
        <w:rPr>
          <w:iCs/>
        </w:rPr>
        <w:t>)</w:t>
      </w:r>
      <w:r>
        <w:rPr>
          <w:iCs/>
        </w:rPr>
        <w:t xml:space="preserve"> Phase 1b plus Phase 2 population</w:t>
      </w:r>
      <w:r w:rsidRPr="00307212">
        <w:rPr>
          <w:iCs/>
        </w:rPr>
        <w:t xml:space="preserve">, hypertension was reported in 41.9% of patients in the </w:t>
      </w:r>
      <w:r>
        <w:rPr>
          <w:iCs/>
        </w:rPr>
        <w:t>LENVIMA</w:t>
      </w:r>
      <w:r w:rsidRPr="00307212">
        <w:rPr>
          <w:iCs/>
        </w:rPr>
        <w:t xml:space="preserve"> plus</w:t>
      </w:r>
      <w:r w:rsidRPr="003E683F">
        <w:rPr>
          <w:iCs/>
        </w:rPr>
        <w:t xml:space="preserve"> </w:t>
      </w:r>
      <w:proofErr w:type="spellStart"/>
      <w:r w:rsidRPr="00307212">
        <w:rPr>
          <w:iCs/>
        </w:rPr>
        <w:t>everolimus</w:t>
      </w:r>
      <w:proofErr w:type="spellEnd"/>
      <w:r w:rsidRPr="00307212">
        <w:rPr>
          <w:iCs/>
        </w:rPr>
        <w:t>-treated group (the incidence of Grade 3 or Grade 4 hypertension was 12.9%)</w:t>
      </w:r>
      <w:r>
        <w:rPr>
          <w:iCs/>
        </w:rPr>
        <w:t xml:space="preserve"> </w:t>
      </w:r>
      <w:r w:rsidRPr="00307212">
        <w:rPr>
          <w:iCs/>
        </w:rPr>
        <w:t>and 10.0% of</w:t>
      </w:r>
      <w:r w:rsidRPr="003E683F">
        <w:rPr>
          <w:iCs/>
        </w:rPr>
        <w:t xml:space="preserve"> </w:t>
      </w:r>
      <w:r w:rsidRPr="00307212">
        <w:rPr>
          <w:iCs/>
        </w:rPr>
        <w:t xml:space="preserve">patients in the </w:t>
      </w:r>
      <w:proofErr w:type="spellStart"/>
      <w:r w:rsidRPr="00307212">
        <w:rPr>
          <w:iCs/>
        </w:rPr>
        <w:t>everolimus</w:t>
      </w:r>
      <w:proofErr w:type="spellEnd"/>
      <w:r w:rsidRPr="00307212">
        <w:rPr>
          <w:iCs/>
        </w:rPr>
        <w:t>-treated group (the incidence of Grade 3 or Grade 4 hypertension was 2.0%). The</w:t>
      </w:r>
      <w:r w:rsidRPr="003E683F">
        <w:rPr>
          <w:iCs/>
        </w:rPr>
        <w:t xml:space="preserve"> </w:t>
      </w:r>
      <w:r w:rsidRPr="00307212">
        <w:rPr>
          <w:iCs/>
        </w:rPr>
        <w:t xml:space="preserve">median time to onset was 4.9 weeks (any grade) and 6.9 weeks (Grade </w:t>
      </w:r>
      <w:r w:rsidR="006540BC">
        <w:rPr>
          <w:iCs/>
        </w:rPr>
        <w:sym w:font="Symbol" w:char="F0B3"/>
      </w:r>
      <w:r>
        <w:rPr>
          <w:iCs/>
        </w:rPr>
        <w:t xml:space="preserve"> </w:t>
      </w:r>
      <w:r w:rsidRPr="00307212">
        <w:rPr>
          <w:iCs/>
        </w:rPr>
        <w:t xml:space="preserve">3) in the </w:t>
      </w:r>
      <w:r>
        <w:rPr>
          <w:iCs/>
        </w:rPr>
        <w:t>LENVIMA</w:t>
      </w:r>
      <w:r w:rsidRPr="00307212">
        <w:rPr>
          <w:iCs/>
        </w:rPr>
        <w:t xml:space="preserve"> plus</w:t>
      </w:r>
      <w:r w:rsidRPr="003E683F">
        <w:rPr>
          <w:iCs/>
        </w:rPr>
        <w:t xml:space="preserve"> </w:t>
      </w:r>
      <w:proofErr w:type="spellStart"/>
      <w:r w:rsidR="006540BC">
        <w:rPr>
          <w:iCs/>
        </w:rPr>
        <w:t>everolimus</w:t>
      </w:r>
      <w:proofErr w:type="spellEnd"/>
      <w:r w:rsidR="006540BC">
        <w:rPr>
          <w:iCs/>
        </w:rPr>
        <w:t>-treated group.</w:t>
      </w:r>
    </w:p>
    <w:p w14:paraId="2866DF03" w14:textId="4B9D8E5B" w:rsidR="00E00B24" w:rsidRDefault="009868CF" w:rsidP="006B3991">
      <w:pPr>
        <w:pStyle w:val="BodyText"/>
        <w:spacing w:before="120" w:after="60"/>
        <w:rPr>
          <w:iCs/>
          <w:lang w:val="en-US"/>
        </w:rPr>
      </w:pPr>
      <w:r w:rsidRPr="009868CF">
        <w:rPr>
          <w:iCs/>
          <w:lang w:val="en-US"/>
        </w:rPr>
        <w:t xml:space="preserve">In the Phase 3 HCC trial (see </w:t>
      </w:r>
      <w:r>
        <w:rPr>
          <w:lang w:val="en-US"/>
        </w:rPr>
        <w:t xml:space="preserve">Section </w:t>
      </w:r>
      <w:r>
        <w:rPr>
          <w:lang w:val="en-US"/>
        </w:rPr>
        <w:fldChar w:fldCharType="begin"/>
      </w:r>
      <w:r>
        <w:rPr>
          <w:lang w:val="en-US"/>
        </w:rPr>
        <w:instrText xml:space="preserve"> REF _Ref503528653 \r \h </w:instrText>
      </w:r>
      <w:r w:rsidR="006B3991">
        <w:rPr>
          <w:lang w:val="en-US"/>
        </w:rPr>
        <w:instrText xml:space="preserve"> \* MERGEFORMAT </w:instrText>
      </w:r>
      <w:r>
        <w:rPr>
          <w:lang w:val="en-US"/>
        </w:rPr>
      </w:r>
      <w:r>
        <w:rPr>
          <w:lang w:val="en-US"/>
        </w:rPr>
        <w:fldChar w:fldCharType="separate"/>
      </w:r>
      <w:r w:rsidR="0064223A">
        <w:rPr>
          <w:lang w:val="en-US"/>
        </w:rPr>
        <w:t>5.1</w:t>
      </w:r>
      <w:r>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Pr>
          <w:lang w:val="en-US"/>
        </w:rPr>
        <w:t xml:space="preserve">, </w:t>
      </w:r>
      <w:r w:rsidR="00B662F4">
        <w:rPr>
          <w:lang w:val="en-US"/>
        </w:rPr>
        <w:t>Clinical trials</w:t>
      </w:r>
      <w:r w:rsidRPr="009868CF">
        <w:rPr>
          <w:iCs/>
          <w:lang w:val="en-US"/>
        </w:rPr>
        <w:t>), hypertension (including hypertension, blood pressure increased, blood pressure diastolic increased and orthostatic hypertension) was reported in 44.5% of LENVIMA-treated patients</w:t>
      </w:r>
      <w:r w:rsidR="005D0A4C">
        <w:rPr>
          <w:iCs/>
          <w:lang w:val="en-US"/>
        </w:rPr>
        <w:t xml:space="preserve"> compared with</w:t>
      </w:r>
      <w:r w:rsidR="00856450">
        <w:rPr>
          <w:iCs/>
          <w:lang w:val="en-US"/>
        </w:rPr>
        <w:t xml:space="preserve"> 30.9</w:t>
      </w:r>
      <w:r w:rsidR="005D0A4C">
        <w:rPr>
          <w:iCs/>
          <w:lang w:val="en-US"/>
        </w:rPr>
        <w:t>%</w:t>
      </w:r>
      <w:r w:rsidR="00856450">
        <w:rPr>
          <w:iCs/>
          <w:lang w:val="en-US"/>
        </w:rPr>
        <w:t xml:space="preserve"> of patients in the </w:t>
      </w:r>
      <w:proofErr w:type="spellStart"/>
      <w:r w:rsidR="00856450">
        <w:rPr>
          <w:iCs/>
          <w:lang w:val="en-US"/>
        </w:rPr>
        <w:t>sorafenib</w:t>
      </w:r>
      <w:proofErr w:type="spellEnd"/>
      <w:r w:rsidR="00856450">
        <w:rPr>
          <w:iCs/>
          <w:lang w:val="en-US"/>
        </w:rPr>
        <w:t>-treated group</w:t>
      </w:r>
      <w:r w:rsidRPr="009868CF">
        <w:rPr>
          <w:iCs/>
          <w:lang w:val="en-US"/>
        </w:rPr>
        <w:t xml:space="preserve"> and Grade 3 hypertension occurred in 23.5%</w:t>
      </w:r>
      <w:r w:rsidR="00856450">
        <w:rPr>
          <w:iCs/>
          <w:lang w:val="en-US"/>
        </w:rPr>
        <w:t xml:space="preserve"> (14.5% in the </w:t>
      </w:r>
      <w:proofErr w:type="spellStart"/>
      <w:r w:rsidR="00856450">
        <w:rPr>
          <w:iCs/>
          <w:lang w:val="en-US"/>
        </w:rPr>
        <w:t>sorafenib</w:t>
      </w:r>
      <w:proofErr w:type="spellEnd"/>
      <w:r w:rsidR="00856450">
        <w:rPr>
          <w:iCs/>
          <w:lang w:val="en-US"/>
        </w:rPr>
        <w:t xml:space="preserve">-treated group). </w:t>
      </w:r>
      <w:r w:rsidRPr="009868CF">
        <w:rPr>
          <w:iCs/>
          <w:lang w:val="en-US"/>
        </w:rPr>
        <w:t>The median time to onset was 26 days. The majority of cases recovered following dose interruption or reduction, which occurred in 3.6% and 3.4% of patients respectively. One subject (0.2%) discontinued LENVIMA due to hypertension.</w:t>
      </w:r>
    </w:p>
    <w:p w14:paraId="2866DF04" w14:textId="429F5E5A" w:rsidR="00A57B23" w:rsidRPr="00BE78D8" w:rsidRDefault="006540BC" w:rsidP="00FC4217">
      <w:pPr>
        <w:pStyle w:val="Heading4"/>
        <w:rPr>
          <w:lang w:val="en-US"/>
        </w:rPr>
      </w:pPr>
      <w:r>
        <w:rPr>
          <w:lang w:val="en-US"/>
        </w:rPr>
        <w:t>Proteinuria</w:t>
      </w:r>
    </w:p>
    <w:p w14:paraId="2866DF05" w14:textId="42B2F7F5" w:rsidR="00A57B23" w:rsidRPr="00BE78D8" w:rsidRDefault="00A57B23" w:rsidP="006B3991">
      <w:pPr>
        <w:pStyle w:val="BodyText"/>
        <w:spacing w:before="120" w:after="60"/>
        <w:rPr>
          <w:lang w:val="en-US"/>
        </w:rPr>
      </w:pPr>
      <w:r w:rsidRPr="00BE78D8">
        <w:rPr>
          <w:lang w:val="en-US"/>
        </w:rPr>
        <w:t xml:space="preserve">In the pivotal </w:t>
      </w:r>
      <w:r w:rsidR="0075622C">
        <w:rPr>
          <w:lang w:val="en-US"/>
        </w:rPr>
        <w:t xml:space="preserve">DTC </w:t>
      </w:r>
      <w:r w:rsidRPr="00BE78D8">
        <w:rPr>
          <w:lang w:val="en-US"/>
        </w:rPr>
        <w:t>Phase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BE78D8">
        <w:rPr>
          <w:lang w:val="en-US"/>
        </w:rPr>
        <w:t xml:space="preserve">), proteinuria </w:t>
      </w:r>
      <w:proofErr w:type="gramStart"/>
      <w:r w:rsidRPr="00BE78D8">
        <w:rPr>
          <w:lang w:val="en-US"/>
        </w:rPr>
        <w:t>was reported</w:t>
      </w:r>
      <w:proofErr w:type="gramEnd"/>
      <w:r w:rsidR="00E00B24" w:rsidRPr="00BE78D8">
        <w:rPr>
          <w:lang w:val="en-US"/>
        </w:rPr>
        <w:t xml:space="preserve"> in 33.7% of </w:t>
      </w:r>
      <w:r w:rsidR="0075622C">
        <w:rPr>
          <w:lang w:val="en-US"/>
        </w:rPr>
        <w:t>LENVIMA</w:t>
      </w:r>
      <w:r w:rsidR="00E00B24" w:rsidRPr="00BE78D8">
        <w:rPr>
          <w:lang w:val="en-US"/>
        </w:rPr>
        <w:t xml:space="preserve"> treated </w:t>
      </w:r>
      <w:r w:rsidRPr="00BE78D8">
        <w:rPr>
          <w:lang w:val="en-US"/>
        </w:rPr>
        <w:t>patients and 3.1% of patients in the placebo-treated group. The medi</w:t>
      </w:r>
      <w:r w:rsidR="00E00B24" w:rsidRPr="00BE78D8">
        <w:rPr>
          <w:lang w:val="en-US"/>
        </w:rPr>
        <w:t xml:space="preserve">an time to onset was 6.7 weeks. </w:t>
      </w:r>
      <w:r w:rsidRPr="00BE78D8">
        <w:rPr>
          <w:lang w:val="en-US"/>
        </w:rPr>
        <w:t xml:space="preserve">Grade 3 events occurred in 10.7% of </w:t>
      </w:r>
      <w:r w:rsidR="0075622C">
        <w:rPr>
          <w:lang w:val="en-US"/>
        </w:rPr>
        <w:t>LENVIMA</w:t>
      </w:r>
      <w:r w:rsidRPr="00BE78D8">
        <w:rPr>
          <w:lang w:val="en-US"/>
        </w:rPr>
        <w:t>-treated patients and no placebo-treated patients. The</w:t>
      </w:r>
      <w:r w:rsidR="00E00B24" w:rsidRPr="00BE78D8">
        <w:rPr>
          <w:lang w:val="en-US"/>
        </w:rPr>
        <w:t xml:space="preserve"> </w:t>
      </w:r>
      <w:r w:rsidRPr="00BE78D8">
        <w:rPr>
          <w:lang w:val="en-US"/>
        </w:rPr>
        <w:t>majority of cases had an outcome of recovered or resolved following dose i</w:t>
      </w:r>
      <w:r w:rsidR="00E00B24" w:rsidRPr="00BE78D8">
        <w:rPr>
          <w:lang w:val="en-US"/>
        </w:rPr>
        <w:t xml:space="preserve">nterruption or reduction, which </w:t>
      </w:r>
      <w:r w:rsidRPr="00BE78D8">
        <w:rPr>
          <w:lang w:val="en-US"/>
        </w:rPr>
        <w:t>occurred in 16.9% and 10.7% of patients, respectively. Protein</w:t>
      </w:r>
      <w:r w:rsidR="00E00B24" w:rsidRPr="00BE78D8">
        <w:rPr>
          <w:lang w:val="en-US"/>
        </w:rPr>
        <w:t xml:space="preserve">uria led to permanent treatment </w:t>
      </w:r>
      <w:r w:rsidRPr="00BE78D8">
        <w:rPr>
          <w:lang w:val="en-US"/>
        </w:rPr>
        <w:t>discontinuation in 0.8% of patients.</w:t>
      </w:r>
    </w:p>
    <w:p w14:paraId="2866DF07" w14:textId="553E9AF1" w:rsidR="0075622C" w:rsidRDefault="0075622C" w:rsidP="006B3991">
      <w:pPr>
        <w:pStyle w:val="BodyText"/>
        <w:spacing w:before="120" w:after="60"/>
      </w:pPr>
      <w:r w:rsidRPr="003E683F">
        <w:t>In the RCC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3E683F">
        <w:t>)</w:t>
      </w:r>
      <w:r>
        <w:t xml:space="preserve"> </w:t>
      </w:r>
      <w:r w:rsidRPr="009B2C65">
        <w:rPr>
          <w:iCs/>
        </w:rPr>
        <w:t>Phase 1b plus Phase 2 population</w:t>
      </w:r>
      <w:r w:rsidRPr="003E683F">
        <w:t xml:space="preserve">, proteinuria was reported in 30.6% of patients in the </w:t>
      </w:r>
      <w:r>
        <w:t>LENVIMA</w:t>
      </w:r>
      <w:r w:rsidRPr="003E683F">
        <w:t xml:space="preserve"> plus </w:t>
      </w:r>
      <w:proofErr w:type="spellStart"/>
      <w:r w:rsidRPr="003E683F">
        <w:t>everolimus</w:t>
      </w:r>
      <w:proofErr w:type="spellEnd"/>
      <w:r w:rsidRPr="003E683F">
        <w:t xml:space="preserve">-treated group (8.1% were Grade </w:t>
      </w:r>
      <w:r w:rsidR="006540BC">
        <w:sym w:font="Symbol" w:char="F0B3"/>
      </w:r>
      <w:r>
        <w:t xml:space="preserve"> </w:t>
      </w:r>
      <w:r w:rsidRPr="003E683F">
        <w:t xml:space="preserve">3) and 14.0% of patients in the </w:t>
      </w:r>
      <w:proofErr w:type="spellStart"/>
      <w:r w:rsidRPr="003E683F">
        <w:t>everolimus</w:t>
      </w:r>
      <w:proofErr w:type="spellEnd"/>
      <w:r w:rsidRPr="003E683F">
        <w:t xml:space="preserve">-treated group (2.0% were Grade 3 or greater). The median time to onset of proteinuria was 6.1 weeks (any grade) and 20.1 weeks (Grade </w:t>
      </w:r>
      <w:r w:rsidR="006540BC">
        <w:sym w:font="Symbol" w:char="F0B3"/>
      </w:r>
      <w:r>
        <w:t xml:space="preserve"> </w:t>
      </w:r>
      <w:r w:rsidRPr="003E683F">
        <w:t xml:space="preserve">3) in the </w:t>
      </w:r>
      <w:r>
        <w:t>LENVIMA</w:t>
      </w:r>
      <w:r w:rsidRPr="003E683F">
        <w:t xml:space="preserve"> plus </w:t>
      </w:r>
      <w:proofErr w:type="spellStart"/>
      <w:r w:rsidRPr="003E683F">
        <w:t>everolimus</w:t>
      </w:r>
      <w:proofErr w:type="spellEnd"/>
      <w:r w:rsidRPr="003E683F">
        <w:t>-treated group. Proteinuria led to permanent treatment discontinuation in 4.8% of patients.</w:t>
      </w:r>
    </w:p>
    <w:p w14:paraId="2793DAAB" w14:textId="6382FDAA" w:rsidR="009868CF" w:rsidRPr="003E683F" w:rsidRDefault="009868CF" w:rsidP="006B3991">
      <w:pPr>
        <w:pStyle w:val="BodyText"/>
        <w:spacing w:before="120" w:after="60"/>
      </w:pPr>
      <w:r w:rsidRPr="009868CF">
        <w:lastRenderedPageBreak/>
        <w:t xml:space="preserve">In the Phase 3 HCC trial (see </w:t>
      </w:r>
      <w:r>
        <w:rPr>
          <w:lang w:val="en-US"/>
        </w:rPr>
        <w:t xml:space="preserve">Section </w:t>
      </w:r>
      <w:r>
        <w:rPr>
          <w:lang w:val="en-US"/>
        </w:rPr>
        <w:fldChar w:fldCharType="begin"/>
      </w:r>
      <w:r>
        <w:rPr>
          <w:lang w:val="en-US"/>
        </w:rPr>
        <w:instrText xml:space="preserve"> REF _Ref503528653 \r \h </w:instrText>
      </w:r>
      <w:r w:rsidR="006B3991">
        <w:rPr>
          <w:lang w:val="en-US"/>
        </w:rPr>
        <w:instrText xml:space="preserve"> \* MERGEFORMAT </w:instrText>
      </w:r>
      <w:r>
        <w:rPr>
          <w:lang w:val="en-US"/>
        </w:rPr>
      </w:r>
      <w:r>
        <w:rPr>
          <w:lang w:val="en-US"/>
        </w:rPr>
        <w:fldChar w:fldCharType="separate"/>
      </w:r>
      <w:r w:rsidR="0064223A">
        <w:rPr>
          <w:lang w:val="en-US"/>
        </w:rPr>
        <w:t>5.1</w:t>
      </w:r>
      <w:r>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Pr>
          <w:lang w:val="en-US"/>
        </w:rPr>
        <w:t xml:space="preserve">, </w:t>
      </w:r>
      <w:r w:rsidR="00B662F4">
        <w:t xml:space="preserve">Clinical </w:t>
      </w:r>
      <w:r w:rsidR="00B662F4" w:rsidRPr="00021384">
        <w:t>trials</w:t>
      </w:r>
      <w:r w:rsidRPr="009868CF">
        <w:t xml:space="preserve">), proteinuria </w:t>
      </w:r>
      <w:proofErr w:type="gramStart"/>
      <w:r w:rsidRPr="009868CF">
        <w:t>was reported</w:t>
      </w:r>
      <w:proofErr w:type="gramEnd"/>
      <w:r w:rsidRPr="009868CF">
        <w:t xml:space="preserve"> in 26.3% of LENVIMA-treated patients</w:t>
      </w:r>
      <w:r w:rsidR="00EE3D8E">
        <w:t xml:space="preserve"> compared with 12.2% of patients in the </w:t>
      </w:r>
      <w:proofErr w:type="spellStart"/>
      <w:r w:rsidR="00EE3D8E">
        <w:rPr>
          <w:iCs/>
          <w:lang w:val="en-US"/>
        </w:rPr>
        <w:t>sorafenib</w:t>
      </w:r>
      <w:proofErr w:type="spellEnd"/>
      <w:r w:rsidR="00EE3D8E">
        <w:rPr>
          <w:iCs/>
          <w:lang w:val="en-US"/>
        </w:rPr>
        <w:t>-treated group</w:t>
      </w:r>
      <w:r w:rsidRPr="009868CF">
        <w:t xml:space="preserve"> and Grade 3 reactions occurred in 5.9%</w:t>
      </w:r>
      <w:r w:rsidR="00EE3D8E">
        <w:t xml:space="preserve"> (1.7% in the </w:t>
      </w:r>
      <w:proofErr w:type="spellStart"/>
      <w:r w:rsidR="00EE3D8E">
        <w:rPr>
          <w:iCs/>
          <w:lang w:val="en-US"/>
        </w:rPr>
        <w:t>sorafenib</w:t>
      </w:r>
      <w:proofErr w:type="spellEnd"/>
      <w:r w:rsidR="00EE3D8E">
        <w:rPr>
          <w:iCs/>
          <w:lang w:val="en-US"/>
        </w:rPr>
        <w:t>-treated group)</w:t>
      </w:r>
      <w:r w:rsidRPr="009868CF">
        <w:t>. The median time to onset was 6.1 weeks. The majority of cases recovered following dose interruption or reduction, which occurred in 6.9% and 2.5% of patients respectively. Proteinuria led to permanent treatment discontinuation in 0.6% of patients.</w:t>
      </w:r>
    </w:p>
    <w:p w14:paraId="2866DF09" w14:textId="77777777" w:rsidR="0075622C" w:rsidRPr="005D3D5D" w:rsidRDefault="0075622C" w:rsidP="00FC4217">
      <w:pPr>
        <w:pStyle w:val="Heading4"/>
      </w:pPr>
      <w:r w:rsidRPr="005D3D5D">
        <w:t>Renal failure and impairment</w:t>
      </w:r>
    </w:p>
    <w:p w14:paraId="2866DF0A" w14:textId="55362AB5" w:rsidR="0075622C" w:rsidRDefault="0075622C" w:rsidP="006B3991">
      <w:pPr>
        <w:pStyle w:val="BodyText"/>
        <w:spacing w:before="120" w:after="60"/>
      </w:pPr>
      <w:r w:rsidRPr="00D8363E">
        <w:t xml:space="preserve">In the </w:t>
      </w:r>
      <w:r>
        <w:t xml:space="preserve">pivotal DTC </w:t>
      </w:r>
      <w:r w:rsidRPr="00D8363E">
        <w:t>Phase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D8363E">
        <w:t>), 5.0% of patients developed renal failure and 1.9% developed renal</w:t>
      </w:r>
      <w:r>
        <w:t xml:space="preserve"> </w:t>
      </w:r>
      <w:r w:rsidRPr="00D8363E">
        <w:t>impairment</w:t>
      </w:r>
      <w:r>
        <w:t>, (3.1% of patients had a Grade </w:t>
      </w:r>
      <w:r w:rsidR="006540BC">
        <w:sym w:font="Symbol" w:char="F0B3"/>
      </w:r>
      <w:r>
        <w:t> </w:t>
      </w:r>
      <w:r w:rsidRPr="00D8363E">
        <w:t>3 event of renal failure or impairment). In the placebo group</w:t>
      </w:r>
      <w:r>
        <w:t xml:space="preserve"> </w:t>
      </w:r>
      <w:r w:rsidRPr="00D8363E">
        <w:t>0.8% of patients developed renal failure or im</w:t>
      </w:r>
      <w:r w:rsidR="006B3991">
        <w:t xml:space="preserve">pairment (0.8% were Grade </w:t>
      </w:r>
      <w:r w:rsidR="006540BC">
        <w:sym w:font="Symbol" w:char="F0B3"/>
      </w:r>
      <w:r w:rsidR="006B3991">
        <w:t xml:space="preserve"> 3).</w:t>
      </w:r>
    </w:p>
    <w:p w14:paraId="2866DF0C" w14:textId="3AD9D8AC" w:rsidR="0075622C" w:rsidRPr="00324AFD" w:rsidRDefault="0075622C" w:rsidP="006B3991">
      <w:pPr>
        <w:pStyle w:val="BodyText"/>
        <w:spacing w:before="120" w:after="60"/>
      </w:pPr>
      <w:r w:rsidRPr="005D3D5D">
        <w:t>In the RCC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5D3D5D">
        <w:t>)</w:t>
      </w:r>
      <w:r>
        <w:t xml:space="preserve"> </w:t>
      </w:r>
      <w:r w:rsidRPr="005D3D5D">
        <w:t xml:space="preserve">Phase 1b plus Phase 2 population, 8.1% of patients in the </w:t>
      </w:r>
      <w:r>
        <w:t>LENVIMA</w:t>
      </w:r>
      <w:r w:rsidRPr="005D3D5D">
        <w:t xml:space="preserve"> plus </w:t>
      </w:r>
      <w:proofErr w:type="spellStart"/>
      <w:r w:rsidRPr="005D3D5D">
        <w:t>everolimus</w:t>
      </w:r>
      <w:proofErr w:type="spellEnd"/>
      <w:r w:rsidRPr="005D3D5D">
        <w:t xml:space="preserve"> treated group</w:t>
      </w:r>
      <w:r>
        <w:t xml:space="preserve"> </w:t>
      </w:r>
      <w:r w:rsidRPr="005D3D5D">
        <w:t xml:space="preserve">developed renal failure </w:t>
      </w:r>
      <w:r>
        <w:t xml:space="preserve">and 3.2% developed renal </w:t>
      </w:r>
      <w:r w:rsidRPr="005D3D5D">
        <w:t xml:space="preserve">impairment </w:t>
      </w:r>
      <w:r>
        <w:t>(9.7</w:t>
      </w:r>
      <w:r w:rsidRPr="005D3D5D">
        <w:t xml:space="preserve">% </w:t>
      </w:r>
      <w:r>
        <w:t>of patients had a Grade 3 event of renal failure of impairment)</w:t>
      </w:r>
      <w:r w:rsidRPr="005D3D5D">
        <w:t xml:space="preserve">. In the </w:t>
      </w:r>
      <w:proofErr w:type="spellStart"/>
      <w:r w:rsidRPr="005D3D5D">
        <w:t>everolimus</w:t>
      </w:r>
      <w:proofErr w:type="spellEnd"/>
      <w:r w:rsidRPr="005D3D5D">
        <w:t xml:space="preserve"> monotherapy group 2.0% of patients developed renal failure (2.0% were</w:t>
      </w:r>
      <w:r>
        <w:t xml:space="preserve"> </w:t>
      </w:r>
      <w:r w:rsidRPr="005D3D5D">
        <w:t>Grade 3).</w:t>
      </w:r>
    </w:p>
    <w:p w14:paraId="2866DF0D" w14:textId="68EB40EF" w:rsidR="00385FF1" w:rsidRPr="00324AFD" w:rsidRDefault="008214DD" w:rsidP="006B3991">
      <w:pPr>
        <w:pStyle w:val="BodyText"/>
        <w:spacing w:before="120" w:after="60"/>
      </w:pPr>
      <w:r w:rsidRPr="008214DD">
        <w:t xml:space="preserve">In the Phase 3 HCC trial (see </w:t>
      </w:r>
      <w:r w:rsidR="00C77CF2">
        <w:rPr>
          <w:lang w:val="en-US"/>
        </w:rPr>
        <w:t xml:space="preserve">Section </w:t>
      </w:r>
      <w:r w:rsidR="00C77CF2">
        <w:rPr>
          <w:lang w:val="en-US"/>
        </w:rPr>
        <w:fldChar w:fldCharType="begin"/>
      </w:r>
      <w:r w:rsidR="00C77CF2">
        <w:rPr>
          <w:lang w:val="en-US"/>
        </w:rPr>
        <w:instrText xml:space="preserve"> REF _Ref503528653 \r \h </w:instrText>
      </w:r>
      <w:r w:rsidR="006B3991">
        <w:rPr>
          <w:lang w:val="en-US"/>
        </w:rPr>
        <w:instrText xml:space="preserve"> \* MERGEFORMAT </w:instrText>
      </w:r>
      <w:r w:rsidR="00C77CF2">
        <w:rPr>
          <w:lang w:val="en-US"/>
        </w:rPr>
      </w:r>
      <w:r w:rsidR="00C77CF2">
        <w:rPr>
          <w:lang w:val="en-US"/>
        </w:rPr>
        <w:fldChar w:fldCharType="separate"/>
      </w:r>
      <w:r w:rsidR="0064223A">
        <w:rPr>
          <w:lang w:val="en-US"/>
        </w:rPr>
        <w:t>5.1</w:t>
      </w:r>
      <w:r w:rsidR="00C77CF2">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C77CF2">
        <w:rPr>
          <w:lang w:val="en-US"/>
        </w:rPr>
        <w:t xml:space="preserve">, </w:t>
      </w:r>
      <w:r w:rsidR="00B662F4">
        <w:t>Clinical trials</w:t>
      </w:r>
      <w:r w:rsidRPr="008214DD">
        <w:t>), 7.1% of LENVIMA-treated patients developed a renal failure/impairment event</w:t>
      </w:r>
      <w:r w:rsidR="009C559F">
        <w:t xml:space="preserve"> compared with 4.0% in the </w:t>
      </w:r>
      <w:proofErr w:type="spellStart"/>
      <w:r w:rsidR="009C559F">
        <w:t>sorafenib</w:t>
      </w:r>
      <w:proofErr w:type="spellEnd"/>
      <w:r w:rsidR="009C559F">
        <w:t>-treated group</w:t>
      </w:r>
      <w:r w:rsidRPr="008214DD">
        <w:t>. Grade 3 or greater reactions occurred in 1.9% of LENVIMA-treated patients</w:t>
      </w:r>
      <w:r w:rsidR="007F4E5B">
        <w:t xml:space="preserve"> and in 1.3% of </w:t>
      </w:r>
      <w:proofErr w:type="spellStart"/>
      <w:r w:rsidR="007F4E5B">
        <w:t>sorafenib</w:t>
      </w:r>
      <w:proofErr w:type="spellEnd"/>
      <w:r w:rsidR="007F4E5B">
        <w:t>-treated patients</w:t>
      </w:r>
    </w:p>
    <w:p w14:paraId="2866DF0E" w14:textId="77777777" w:rsidR="00385FF1" w:rsidRPr="00D8363E" w:rsidRDefault="00385FF1" w:rsidP="00FC4217">
      <w:pPr>
        <w:pStyle w:val="Heading4"/>
      </w:pPr>
      <w:r w:rsidRPr="00D8363E">
        <w:t xml:space="preserve">Cardiac </w:t>
      </w:r>
      <w:r>
        <w:t>dysfunction</w:t>
      </w:r>
    </w:p>
    <w:p w14:paraId="2866DF0F" w14:textId="0D90B2C7" w:rsidR="00385FF1" w:rsidRDefault="00385FF1" w:rsidP="006B3991">
      <w:pPr>
        <w:pStyle w:val="BodyText"/>
        <w:spacing w:before="120" w:after="120"/>
      </w:pPr>
      <w:r w:rsidRPr="00D8363E">
        <w:t>In the pivotal DTC Phase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D8363E">
        <w:t>), decreased ejection fraction/cardiac failure was reported in 6.5% of</w:t>
      </w:r>
      <w:r>
        <w:t xml:space="preserve"> </w:t>
      </w:r>
      <w:r w:rsidRPr="00D8363E">
        <w:t xml:space="preserve">patients (1.5% were Grade </w:t>
      </w:r>
      <w:r w:rsidR="006540BC">
        <w:sym w:font="Symbol" w:char="F0B3"/>
      </w:r>
      <w:r w:rsidRPr="00D8363E">
        <w:t xml:space="preserve"> 3) in the </w:t>
      </w:r>
      <w:r>
        <w:t>LENVIMA</w:t>
      </w:r>
      <w:r w:rsidRPr="00D8363E">
        <w:t xml:space="preserve"> treated group, and 2.3% in the placebo group (none were</w:t>
      </w:r>
      <w:r>
        <w:t xml:space="preserve"> </w:t>
      </w:r>
      <w:r w:rsidRPr="00D8363E">
        <w:t xml:space="preserve">Grade </w:t>
      </w:r>
      <w:r w:rsidR="006540BC">
        <w:sym w:font="Symbol" w:char="F0B3"/>
      </w:r>
      <w:r w:rsidRPr="00D8363E">
        <w:t xml:space="preserve"> 3).</w:t>
      </w:r>
    </w:p>
    <w:p w14:paraId="2866DF11" w14:textId="22386A23" w:rsidR="00385FF1" w:rsidRDefault="00385FF1" w:rsidP="006B3991">
      <w:pPr>
        <w:pStyle w:val="BodyText"/>
        <w:spacing w:before="120" w:after="120"/>
      </w:pPr>
      <w:r w:rsidRPr="00D8363E">
        <w:t>In the RCC study</w:t>
      </w:r>
      <w:r>
        <w:t xml:space="preserve"> </w:t>
      </w:r>
      <w:r w:rsidRPr="00D8363E">
        <w:t>(</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D8363E">
        <w:t>) Phase 1b plus Phase 2 population, decreased ejection fraction/cardiac failure was reported in 4.8% of</w:t>
      </w:r>
      <w:r>
        <w:t xml:space="preserve"> </w:t>
      </w:r>
      <w:r w:rsidRPr="00D8363E">
        <w:t xml:space="preserve">patients (3.2% were Grade </w:t>
      </w:r>
      <w:r w:rsidR="006540BC">
        <w:sym w:font="Symbol" w:char="F0B3"/>
      </w:r>
      <w:r w:rsidRPr="00D8363E">
        <w:t xml:space="preserve"> 3) in the </w:t>
      </w:r>
      <w:r>
        <w:t>LENVIMA</w:t>
      </w:r>
      <w:r w:rsidRPr="00D8363E">
        <w:t xml:space="preserve"> plus </w:t>
      </w:r>
      <w:proofErr w:type="spellStart"/>
      <w:r w:rsidRPr="00D8363E">
        <w:t>everolimus</w:t>
      </w:r>
      <w:proofErr w:type="spellEnd"/>
      <w:r w:rsidRPr="00D8363E">
        <w:t xml:space="preserve"> treated group, and 4.0% in the </w:t>
      </w:r>
      <w:proofErr w:type="spellStart"/>
      <w:r w:rsidRPr="00D8363E">
        <w:t>everolimus</w:t>
      </w:r>
      <w:proofErr w:type="spellEnd"/>
      <w:r>
        <w:t xml:space="preserve"> </w:t>
      </w:r>
      <w:r w:rsidRPr="00D8363E">
        <w:t xml:space="preserve">group (2.0% were Grade </w:t>
      </w:r>
      <w:r w:rsidR="006540BC">
        <w:sym w:font="Symbol" w:char="F0B3"/>
      </w:r>
      <w:r w:rsidRPr="00D8363E">
        <w:t xml:space="preserve"> 3). The median time to onset of decreased ejection fraction and cardiac failure</w:t>
      </w:r>
      <w:r>
        <w:t xml:space="preserve"> </w:t>
      </w:r>
      <w:r w:rsidRPr="00D8363E">
        <w:t xml:space="preserve">was 15.7 weeks (any grade) and 32.8 weeks (Grade </w:t>
      </w:r>
      <w:r w:rsidR="006540BC">
        <w:sym w:font="Symbol" w:char="F0B3"/>
      </w:r>
      <w:r w:rsidRPr="00D8363E">
        <w:t xml:space="preserve"> 3) in the </w:t>
      </w:r>
      <w:r>
        <w:t>LENVIMA</w:t>
      </w:r>
      <w:r w:rsidRPr="00D8363E">
        <w:t xml:space="preserve"> plus </w:t>
      </w:r>
      <w:proofErr w:type="spellStart"/>
      <w:r w:rsidRPr="00D8363E">
        <w:t>everolimus</w:t>
      </w:r>
      <w:proofErr w:type="spellEnd"/>
      <w:r w:rsidRPr="00D8363E">
        <w:t>-treated group.</w:t>
      </w:r>
    </w:p>
    <w:p w14:paraId="5C379017" w14:textId="10F6E5F2" w:rsidR="008214DD" w:rsidRDefault="008214DD" w:rsidP="006B3991">
      <w:pPr>
        <w:pStyle w:val="BodyText"/>
        <w:spacing w:before="120" w:after="60"/>
      </w:pPr>
      <w:r w:rsidRPr="008214DD">
        <w:t xml:space="preserve">In the Phase 3 HCC trial (see </w:t>
      </w:r>
      <w:r w:rsidR="00C77CF2">
        <w:rPr>
          <w:lang w:val="en-US"/>
        </w:rPr>
        <w:t xml:space="preserve">Section </w:t>
      </w:r>
      <w:r w:rsidR="00C77CF2">
        <w:rPr>
          <w:lang w:val="en-US"/>
        </w:rPr>
        <w:fldChar w:fldCharType="begin"/>
      </w:r>
      <w:r w:rsidR="00C77CF2">
        <w:rPr>
          <w:lang w:val="en-US"/>
        </w:rPr>
        <w:instrText xml:space="preserve"> REF _Ref503528653 \r \h </w:instrText>
      </w:r>
      <w:r w:rsidR="00C77CF2">
        <w:rPr>
          <w:lang w:val="en-US"/>
        </w:rPr>
      </w:r>
      <w:r w:rsidR="00C77CF2">
        <w:rPr>
          <w:lang w:val="en-US"/>
        </w:rPr>
        <w:fldChar w:fldCharType="separate"/>
      </w:r>
      <w:r w:rsidR="0064223A">
        <w:rPr>
          <w:lang w:val="en-US"/>
        </w:rPr>
        <w:t>5.1</w:t>
      </w:r>
      <w:r w:rsidR="00C77CF2">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C77CF2">
        <w:rPr>
          <w:lang w:val="en-US"/>
        </w:rPr>
        <w:t xml:space="preserve">, </w:t>
      </w:r>
      <w:r w:rsidR="00B662F4">
        <w:t>Clinical trials</w:t>
      </w:r>
      <w:r w:rsidRPr="008214DD">
        <w:t xml:space="preserve">), cardiac dysfunction (including congestive cardiac failure, cardiogenic shock, and cardiopulmonary failure) </w:t>
      </w:r>
      <w:proofErr w:type="gramStart"/>
      <w:r w:rsidRPr="008214DD">
        <w:t>was reported</w:t>
      </w:r>
      <w:proofErr w:type="gramEnd"/>
      <w:r w:rsidRPr="008214DD">
        <w:t xml:space="preserve"> in 0.6% of patients in the LENVIMA-treated group</w:t>
      </w:r>
      <w:r w:rsidR="00416BE7">
        <w:t xml:space="preserve"> compared with 0.2% of patients in the </w:t>
      </w:r>
      <w:proofErr w:type="spellStart"/>
      <w:r w:rsidR="00416BE7">
        <w:t>sorafenib</w:t>
      </w:r>
      <w:proofErr w:type="spellEnd"/>
      <w:r w:rsidR="00416BE7">
        <w:t>-treated group.</w:t>
      </w:r>
      <w:r w:rsidR="00180A50">
        <w:t xml:space="preserve"> </w:t>
      </w:r>
      <w:r w:rsidR="00D04D14" w:rsidRPr="008214DD">
        <w:t>0.4%</w:t>
      </w:r>
      <w:r w:rsidR="00D04D14">
        <w:t xml:space="preserve"> in the LENVIMA-treated group</w:t>
      </w:r>
      <w:r w:rsidR="00D04D14" w:rsidRPr="008214DD">
        <w:t xml:space="preserve"> </w:t>
      </w:r>
      <w:r w:rsidR="000143EB">
        <w:t>experienced</w:t>
      </w:r>
      <w:r w:rsidR="00D04D14" w:rsidRPr="008214DD">
        <w:t xml:space="preserve"> </w:t>
      </w:r>
      <w:r w:rsidR="000143EB">
        <w:t xml:space="preserve">events of </w:t>
      </w:r>
      <w:r w:rsidR="00D04D14" w:rsidRPr="008214DD">
        <w:t xml:space="preserve">Grade </w:t>
      </w:r>
      <w:r w:rsidR="006540BC">
        <w:sym w:font="Symbol" w:char="F0B3"/>
      </w:r>
      <w:r w:rsidR="00D04D14" w:rsidRPr="008214DD">
        <w:t xml:space="preserve"> 3</w:t>
      </w:r>
      <w:r w:rsidR="00D04D14">
        <w:t xml:space="preserve"> compared to none in the </w:t>
      </w:r>
      <w:proofErr w:type="spellStart"/>
      <w:r w:rsidR="00D04D14">
        <w:t>sorafenib</w:t>
      </w:r>
      <w:proofErr w:type="spellEnd"/>
      <w:r w:rsidR="00D04D14">
        <w:t>-treated group.</w:t>
      </w:r>
      <w:r w:rsidR="00D04D14" w:rsidRPr="008214DD">
        <w:t xml:space="preserve"> </w:t>
      </w:r>
      <w:r w:rsidR="00021384">
        <w:t>There were no events of</w:t>
      </w:r>
      <w:r w:rsidR="003D4E22">
        <w:t xml:space="preserve"> decreased</w:t>
      </w:r>
      <w:r w:rsidR="00021384">
        <w:t xml:space="preserve"> ejection fraction in the LENVIMA arm.</w:t>
      </w:r>
    </w:p>
    <w:p w14:paraId="2866DF13" w14:textId="77777777" w:rsidR="00385FF1" w:rsidRPr="00D8363E" w:rsidRDefault="00385FF1" w:rsidP="00FC4217">
      <w:pPr>
        <w:pStyle w:val="Heading4"/>
      </w:pPr>
      <w:r w:rsidRPr="00D8363E">
        <w:lastRenderedPageBreak/>
        <w:t xml:space="preserve">Posterior reversible encephalopathy syndrome (PRES) / Reversible posterior </w:t>
      </w:r>
      <w:proofErr w:type="spellStart"/>
      <w:r w:rsidRPr="00D8363E">
        <w:t>leuc</w:t>
      </w:r>
      <w:r>
        <w:t>oencephalopathy</w:t>
      </w:r>
      <w:proofErr w:type="spellEnd"/>
      <w:r>
        <w:t xml:space="preserve"> syndrome (RPLS)</w:t>
      </w:r>
    </w:p>
    <w:p w14:paraId="2866DF14" w14:textId="6D7BF22B" w:rsidR="00385FF1" w:rsidRDefault="00385FF1" w:rsidP="006B3991">
      <w:pPr>
        <w:pStyle w:val="BodyText"/>
        <w:spacing w:before="120" w:after="60"/>
      </w:pPr>
      <w:r w:rsidRPr="00D8363E">
        <w:t>In the pivotal DTC Phase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D8363E">
        <w:t xml:space="preserve">), there was </w:t>
      </w:r>
      <w:proofErr w:type="gramStart"/>
      <w:r w:rsidRPr="00D8363E">
        <w:t>1</w:t>
      </w:r>
      <w:proofErr w:type="gramEnd"/>
      <w:r w:rsidRPr="00D8363E">
        <w:t xml:space="preserve"> event of PRES (Grade 2) in the </w:t>
      </w:r>
      <w:r>
        <w:t>LENVIMA</w:t>
      </w:r>
      <w:r w:rsidRPr="00D8363E">
        <w:t>-treated group</w:t>
      </w:r>
      <w:r>
        <w:t xml:space="preserve"> </w:t>
      </w:r>
      <w:r w:rsidRPr="00D8363E">
        <w:t>and no reports in the placebo group.</w:t>
      </w:r>
    </w:p>
    <w:p w14:paraId="2866DF16" w14:textId="730C8053" w:rsidR="00385FF1" w:rsidRDefault="00385FF1" w:rsidP="006B3991">
      <w:pPr>
        <w:pStyle w:val="BodyText"/>
        <w:spacing w:before="120" w:after="60"/>
      </w:pPr>
      <w:r w:rsidRPr="00D8363E">
        <w:t>In the RCC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D8363E">
        <w:t xml:space="preserve">) Phase 1b plus Phase 2 </w:t>
      </w:r>
      <w:proofErr w:type="gramStart"/>
      <w:r w:rsidRPr="00D8363E">
        <w:t>population,</w:t>
      </w:r>
      <w:proofErr w:type="gramEnd"/>
      <w:r w:rsidRPr="00D8363E">
        <w:t xml:space="preserve"> there was 1 event of PRES (Grade 3) in the </w:t>
      </w:r>
      <w:r>
        <w:t>LENVIMA</w:t>
      </w:r>
      <w:r w:rsidRPr="00D8363E">
        <w:t>-treated group, occurring after 18.4 weeks of treatment. There were no reports in the</w:t>
      </w:r>
      <w:r>
        <w:t xml:space="preserve"> LENVIMA</w:t>
      </w:r>
      <w:r w:rsidRPr="00D8363E">
        <w:t xml:space="preserve"> plus </w:t>
      </w:r>
      <w:proofErr w:type="spellStart"/>
      <w:r w:rsidRPr="00D8363E">
        <w:t>everolimus</w:t>
      </w:r>
      <w:proofErr w:type="spellEnd"/>
      <w:r w:rsidRPr="00D8363E">
        <w:t xml:space="preserve"> or </w:t>
      </w:r>
      <w:proofErr w:type="spellStart"/>
      <w:r w:rsidRPr="00D8363E">
        <w:t>everolimus</w:t>
      </w:r>
      <w:proofErr w:type="spellEnd"/>
      <w:r w:rsidRPr="00D8363E">
        <w:t xml:space="preserve"> monotherapy groups.</w:t>
      </w:r>
    </w:p>
    <w:p w14:paraId="2ABEFEEB" w14:textId="41A3D754" w:rsidR="008214DD" w:rsidRDefault="008214DD" w:rsidP="006B3991">
      <w:pPr>
        <w:pStyle w:val="BodyText"/>
        <w:spacing w:before="120" w:after="60"/>
      </w:pPr>
      <w:r>
        <w:t xml:space="preserve">In the Phase 3 HCC trial (see </w:t>
      </w:r>
      <w:r w:rsidR="00C77CF2">
        <w:rPr>
          <w:lang w:val="en-US"/>
        </w:rPr>
        <w:t xml:space="preserve">Section </w:t>
      </w:r>
      <w:r w:rsidR="00C77CF2">
        <w:rPr>
          <w:lang w:val="en-US"/>
        </w:rPr>
        <w:fldChar w:fldCharType="begin"/>
      </w:r>
      <w:r w:rsidR="00C77CF2">
        <w:rPr>
          <w:lang w:val="en-US"/>
        </w:rPr>
        <w:instrText xml:space="preserve"> REF _Ref503528653 \r \h </w:instrText>
      </w:r>
      <w:r w:rsidR="006B3991">
        <w:rPr>
          <w:lang w:val="en-US"/>
        </w:rPr>
        <w:instrText xml:space="preserve"> \* MERGEFORMAT </w:instrText>
      </w:r>
      <w:r w:rsidR="00C77CF2">
        <w:rPr>
          <w:lang w:val="en-US"/>
        </w:rPr>
      </w:r>
      <w:r w:rsidR="00C77CF2">
        <w:rPr>
          <w:lang w:val="en-US"/>
        </w:rPr>
        <w:fldChar w:fldCharType="separate"/>
      </w:r>
      <w:r w:rsidR="0064223A">
        <w:rPr>
          <w:lang w:val="en-US"/>
        </w:rPr>
        <w:t>5.1</w:t>
      </w:r>
      <w:r w:rsidR="00C77CF2">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C77CF2">
        <w:rPr>
          <w:lang w:val="en-US"/>
        </w:rPr>
        <w:t xml:space="preserve">, </w:t>
      </w:r>
      <w:r w:rsidR="00B662F4">
        <w:t>Clinical trials</w:t>
      </w:r>
      <w:r>
        <w:t xml:space="preserve">), there was </w:t>
      </w:r>
      <w:proofErr w:type="gramStart"/>
      <w:r>
        <w:t>1</w:t>
      </w:r>
      <w:proofErr w:type="gramEnd"/>
      <w:r>
        <w:t xml:space="preserve"> event of PRES (Grade 2) in the LENVIMA treated group</w:t>
      </w:r>
      <w:r w:rsidR="00854273">
        <w:t xml:space="preserve"> and no events in the </w:t>
      </w:r>
      <w:proofErr w:type="spellStart"/>
      <w:r w:rsidR="00854273">
        <w:t>sorafenib</w:t>
      </w:r>
      <w:proofErr w:type="spellEnd"/>
      <w:r w:rsidR="00854273">
        <w:t>-treated group.</w:t>
      </w:r>
    </w:p>
    <w:p w14:paraId="2866DF18" w14:textId="6501B14A" w:rsidR="00385FF1" w:rsidRPr="00D8363E" w:rsidRDefault="00385FF1" w:rsidP="006B3991">
      <w:pPr>
        <w:pStyle w:val="BodyText"/>
        <w:spacing w:before="120" w:after="60"/>
      </w:pPr>
      <w:r>
        <w:t>Amongst 1,</w:t>
      </w:r>
      <w:r w:rsidR="008214DD">
        <w:t>823</w:t>
      </w:r>
      <w:r w:rsidRPr="00D8363E">
        <w:t xml:space="preserve"> patients treated with</w:t>
      </w:r>
      <w:r>
        <w:t xml:space="preserve"> LENVIMA</w:t>
      </w:r>
      <w:r w:rsidR="008214DD">
        <w:t xml:space="preserve"> monotherapy in clinical trials</w:t>
      </w:r>
      <w:r w:rsidRPr="00D8363E">
        <w:t xml:space="preserve">, there were </w:t>
      </w:r>
      <w:proofErr w:type="gramStart"/>
      <w:r w:rsidR="008214DD">
        <w:t>5</w:t>
      </w:r>
      <w:proofErr w:type="gramEnd"/>
      <w:r w:rsidRPr="00D8363E">
        <w:t xml:space="preserve"> cases (0.3%) of PRES (0.</w:t>
      </w:r>
      <w:r w:rsidR="008214DD">
        <w:t>2</w:t>
      </w:r>
      <w:r w:rsidRPr="00D8363E">
        <w:t>% were Grade 3 or 4), all of which resolved after treatment and/or dose interruption, or permanent discontinuation.</w:t>
      </w:r>
    </w:p>
    <w:p w14:paraId="2866DF1A" w14:textId="2F2D72CD" w:rsidR="00A57B23" w:rsidRPr="00BE78D8" w:rsidRDefault="00A57B23" w:rsidP="00FC4217">
      <w:pPr>
        <w:pStyle w:val="Heading4"/>
        <w:rPr>
          <w:lang w:val="en-US"/>
        </w:rPr>
      </w:pPr>
      <w:r w:rsidRPr="00BE78D8">
        <w:rPr>
          <w:lang w:val="en-US"/>
        </w:rPr>
        <w:t>Hepat</w:t>
      </w:r>
      <w:r w:rsidR="006B3991">
        <w:rPr>
          <w:lang w:val="en-US"/>
        </w:rPr>
        <w:t>otoxicity</w:t>
      </w:r>
    </w:p>
    <w:p w14:paraId="2866DF1B" w14:textId="4FF5EF7A" w:rsidR="00A57B23" w:rsidRPr="00BE78D8" w:rsidRDefault="00A57B23" w:rsidP="006B3991">
      <w:pPr>
        <w:pStyle w:val="BodyText"/>
        <w:spacing w:before="120" w:after="60"/>
        <w:rPr>
          <w:lang w:val="en-US"/>
        </w:rPr>
      </w:pPr>
      <w:r w:rsidRPr="00BE78D8">
        <w:rPr>
          <w:lang w:val="en-US"/>
        </w:rPr>
        <w:t xml:space="preserve">In the pivotal </w:t>
      </w:r>
      <w:r w:rsidR="00385FF1">
        <w:rPr>
          <w:lang w:val="en-US"/>
        </w:rPr>
        <w:t xml:space="preserve">DTC </w:t>
      </w:r>
      <w:r w:rsidRPr="00BE78D8">
        <w:rPr>
          <w:lang w:val="en-US"/>
        </w:rPr>
        <w:t>Phase</w:t>
      </w:r>
      <w:r w:rsidR="000E1EA1">
        <w:rPr>
          <w:lang w:val="en-US"/>
        </w:rPr>
        <w:t xml:space="preserv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BE78D8">
        <w:rPr>
          <w:lang w:val="en-US"/>
        </w:rPr>
        <w:t>), the most commonly</w:t>
      </w:r>
      <w:r w:rsidR="00E00B24" w:rsidRPr="00BE78D8">
        <w:rPr>
          <w:lang w:val="en-US"/>
        </w:rPr>
        <w:t xml:space="preserve"> reported liver-related adverse </w:t>
      </w:r>
      <w:r w:rsidRPr="00BE78D8">
        <w:rPr>
          <w:lang w:val="en-US"/>
        </w:rPr>
        <w:t xml:space="preserve">reactions were </w:t>
      </w:r>
      <w:proofErr w:type="spellStart"/>
      <w:r w:rsidRPr="00BE78D8">
        <w:rPr>
          <w:lang w:val="en-US"/>
        </w:rPr>
        <w:t>hypoalbuminaemia</w:t>
      </w:r>
      <w:proofErr w:type="spellEnd"/>
      <w:r w:rsidRPr="00BE78D8">
        <w:rPr>
          <w:lang w:val="en-US"/>
        </w:rPr>
        <w:t xml:space="preserve"> (9.6% </w:t>
      </w:r>
      <w:r w:rsidR="0075622C">
        <w:rPr>
          <w:lang w:val="en-US"/>
        </w:rPr>
        <w:t>LENVIMA</w:t>
      </w:r>
      <w:r w:rsidRPr="00BE78D8">
        <w:rPr>
          <w:lang w:val="en-US"/>
        </w:rPr>
        <w:t xml:space="preserve"> vs. 1.5% placebo) and ele</w:t>
      </w:r>
      <w:r w:rsidR="00E00B24" w:rsidRPr="00BE78D8">
        <w:rPr>
          <w:lang w:val="en-US"/>
        </w:rPr>
        <w:t xml:space="preserve">vations of liver enzyme levels, </w:t>
      </w:r>
      <w:r w:rsidRPr="00BE78D8">
        <w:rPr>
          <w:lang w:val="en-US"/>
        </w:rPr>
        <w:t xml:space="preserve">including increases in alanine aminotransferase (7.7% </w:t>
      </w:r>
      <w:r w:rsidR="0075622C">
        <w:rPr>
          <w:lang w:val="en-US"/>
        </w:rPr>
        <w:t>LENVIMA</w:t>
      </w:r>
      <w:r w:rsidRPr="00BE78D8">
        <w:rPr>
          <w:lang w:val="en-US"/>
        </w:rPr>
        <w:t xml:space="preserve"> vs. 0 place</w:t>
      </w:r>
      <w:r w:rsidR="00E00B24" w:rsidRPr="00BE78D8">
        <w:rPr>
          <w:lang w:val="en-US"/>
        </w:rPr>
        <w:t xml:space="preserve">bo), aspartate aminotransferase </w:t>
      </w:r>
      <w:r w:rsidRPr="00BE78D8">
        <w:rPr>
          <w:lang w:val="en-US"/>
        </w:rPr>
        <w:t xml:space="preserve">(6.9% </w:t>
      </w:r>
      <w:r w:rsidR="0075622C">
        <w:rPr>
          <w:lang w:val="en-US"/>
        </w:rPr>
        <w:t>LENVIMA</w:t>
      </w:r>
      <w:r w:rsidRPr="00BE78D8">
        <w:rPr>
          <w:lang w:val="en-US"/>
        </w:rPr>
        <w:t xml:space="preserve"> vs. 1.5% placebo), and blood bilirubin (1.9% </w:t>
      </w:r>
      <w:r w:rsidR="0075622C">
        <w:rPr>
          <w:lang w:val="en-US"/>
        </w:rPr>
        <w:t>LENVIMA</w:t>
      </w:r>
      <w:r w:rsidRPr="00BE78D8">
        <w:rPr>
          <w:lang w:val="en-US"/>
        </w:rPr>
        <w:t xml:space="preserve"> vs. 0 plac</w:t>
      </w:r>
      <w:r w:rsidR="00E00B24" w:rsidRPr="00BE78D8">
        <w:rPr>
          <w:lang w:val="en-US"/>
        </w:rPr>
        <w:t xml:space="preserve">ebo). The median time to </w:t>
      </w:r>
      <w:r w:rsidRPr="00BE78D8">
        <w:rPr>
          <w:lang w:val="en-US"/>
        </w:rPr>
        <w:t xml:space="preserve">onset of liver events in </w:t>
      </w:r>
      <w:r w:rsidR="0075622C">
        <w:rPr>
          <w:lang w:val="en-US"/>
        </w:rPr>
        <w:t>LENVIMA</w:t>
      </w:r>
      <w:r w:rsidRPr="00BE78D8">
        <w:rPr>
          <w:lang w:val="en-US"/>
        </w:rPr>
        <w:t>-treated patients was 12.1 weeks. Liver-rela</w:t>
      </w:r>
      <w:r w:rsidR="000E1EA1">
        <w:rPr>
          <w:lang w:val="en-US"/>
        </w:rPr>
        <w:t xml:space="preserve">ted events of Grade 3 or higher </w:t>
      </w:r>
      <w:r w:rsidRPr="00BE78D8">
        <w:rPr>
          <w:lang w:val="en-US"/>
        </w:rPr>
        <w:t xml:space="preserve">(including </w:t>
      </w:r>
      <w:proofErr w:type="gramStart"/>
      <w:r w:rsidRPr="00BE78D8">
        <w:rPr>
          <w:lang w:val="en-US"/>
        </w:rPr>
        <w:t>1</w:t>
      </w:r>
      <w:proofErr w:type="gramEnd"/>
      <w:r w:rsidRPr="00BE78D8">
        <w:rPr>
          <w:lang w:val="en-US"/>
        </w:rPr>
        <w:t xml:space="preserve"> Grade 5 event of hepatic failure) occurred in 5.4% of </w:t>
      </w:r>
      <w:r w:rsidR="0075622C">
        <w:rPr>
          <w:lang w:val="en-US"/>
        </w:rPr>
        <w:t>LENVIMA</w:t>
      </w:r>
      <w:r w:rsidR="00E00B24" w:rsidRPr="00BE78D8">
        <w:rPr>
          <w:lang w:val="en-US"/>
        </w:rPr>
        <w:t xml:space="preserve">-treated patients compared with </w:t>
      </w:r>
      <w:r w:rsidRPr="00BE78D8">
        <w:rPr>
          <w:lang w:val="en-US"/>
        </w:rPr>
        <w:t>0.8% in placebo-treated patients. Liver-related events led to dose interruptions and reductions in 4.6% and</w:t>
      </w:r>
      <w:r w:rsidR="000E1EA1">
        <w:rPr>
          <w:lang w:val="en-US"/>
        </w:rPr>
        <w:t xml:space="preserve"> </w:t>
      </w:r>
      <w:r w:rsidRPr="00BE78D8">
        <w:rPr>
          <w:lang w:val="en-US"/>
        </w:rPr>
        <w:t>2.7% of patients, respectively, and to per</w:t>
      </w:r>
      <w:r w:rsidR="00324AFD">
        <w:rPr>
          <w:lang w:val="en-US"/>
        </w:rPr>
        <w:t>manent discontinuation in 0.4%.</w:t>
      </w:r>
    </w:p>
    <w:p w14:paraId="2866DF1D" w14:textId="3D6BB010" w:rsidR="00385FF1" w:rsidRPr="00385FF1" w:rsidRDefault="00385FF1" w:rsidP="006B3991">
      <w:pPr>
        <w:pStyle w:val="BodyText"/>
        <w:spacing w:before="120" w:after="60"/>
      </w:pPr>
      <w:r w:rsidRPr="00385FF1">
        <w:t>In the RCC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385FF1">
        <w:t xml:space="preserve">) </w:t>
      </w:r>
      <w:r w:rsidRPr="00385FF1">
        <w:rPr>
          <w:iCs/>
        </w:rPr>
        <w:t>Phase 1b plus Phase 2 population</w:t>
      </w:r>
      <w:r w:rsidRPr="00385FF1">
        <w:t xml:space="preserve">, the most commonly reported liver-related adverse reactions in the LENVIMA plus </w:t>
      </w:r>
      <w:proofErr w:type="spellStart"/>
      <w:r w:rsidRPr="00385FF1">
        <w:t>everolimus</w:t>
      </w:r>
      <w:proofErr w:type="spellEnd"/>
      <w:r w:rsidRPr="00385FF1">
        <w:t xml:space="preserve">-treated group were elevations of liver enzyme levels, including increases in alanine aminotransferase (9.7%), aspartate aminotransferase (4.8%), alkaline phosphatase (4.8%), and blood bilirubin (3.2%). The median time to onset of liver events was 6.7 weeks (any grade) and 14.2 weeks (Grade </w:t>
      </w:r>
      <w:r w:rsidR="006540BC">
        <w:sym w:font="Symbol" w:char="F0B3"/>
      </w:r>
      <w:r w:rsidRPr="00385FF1">
        <w:t xml:space="preserve">3) in the LENVIMA plus </w:t>
      </w:r>
      <w:proofErr w:type="spellStart"/>
      <w:r w:rsidRPr="00385FF1">
        <w:t>everolimus</w:t>
      </w:r>
      <w:proofErr w:type="spellEnd"/>
      <w:r w:rsidRPr="00385FF1">
        <w:t xml:space="preserve">-treated group. Grade 3 liver-related reactions occurred in 3.2% of LENVIMA plus </w:t>
      </w:r>
      <w:proofErr w:type="spellStart"/>
      <w:r w:rsidRPr="00385FF1">
        <w:t>everolimus</w:t>
      </w:r>
      <w:proofErr w:type="spellEnd"/>
      <w:r w:rsidRPr="00385FF1">
        <w:t>-treated patients. Liver-related reactions led to dose interruptions and reductions in 1.6% and 1.6% of patients, respectively, and to permanent discontinuation in 3.2% of patients.</w:t>
      </w:r>
    </w:p>
    <w:p w14:paraId="6DB4EA8A" w14:textId="21CB895E" w:rsidR="00EE5A78" w:rsidRDefault="008214DD" w:rsidP="006B3991">
      <w:pPr>
        <w:pStyle w:val="BodyText"/>
        <w:spacing w:before="120" w:after="120"/>
      </w:pPr>
      <w:r>
        <w:t xml:space="preserve">In the Phase 3 HCC trial (see </w:t>
      </w:r>
      <w:r w:rsidR="00C77CF2">
        <w:rPr>
          <w:lang w:val="en-US"/>
        </w:rPr>
        <w:t xml:space="preserve">Section </w:t>
      </w:r>
      <w:r w:rsidR="00C77CF2">
        <w:rPr>
          <w:lang w:val="en-US"/>
        </w:rPr>
        <w:fldChar w:fldCharType="begin"/>
      </w:r>
      <w:r w:rsidR="00C77CF2">
        <w:rPr>
          <w:lang w:val="en-US"/>
        </w:rPr>
        <w:instrText xml:space="preserve"> REF _Ref503528653 \r \h </w:instrText>
      </w:r>
      <w:r w:rsidR="00C77CF2">
        <w:rPr>
          <w:lang w:val="en-US"/>
        </w:rPr>
      </w:r>
      <w:r w:rsidR="00C77CF2">
        <w:rPr>
          <w:lang w:val="en-US"/>
        </w:rPr>
        <w:fldChar w:fldCharType="separate"/>
      </w:r>
      <w:r w:rsidR="0064223A">
        <w:rPr>
          <w:lang w:val="en-US"/>
        </w:rPr>
        <w:t>5.1</w:t>
      </w:r>
      <w:r w:rsidR="00C77CF2">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C77CF2">
        <w:rPr>
          <w:lang w:val="en-US"/>
        </w:rPr>
        <w:t xml:space="preserve">, </w:t>
      </w:r>
      <w:r w:rsidR="00B662F4">
        <w:t>Clinical trials</w:t>
      </w:r>
      <w:r>
        <w:t>)</w:t>
      </w:r>
      <w:r w:rsidR="00F510A8">
        <w:t xml:space="preserve"> hepatotoxicity events </w:t>
      </w:r>
      <w:proofErr w:type="gramStart"/>
      <w:r w:rsidR="00F510A8">
        <w:t>were reported</w:t>
      </w:r>
      <w:proofErr w:type="gramEnd"/>
      <w:r w:rsidR="00F510A8">
        <w:t xml:space="preserve"> in 47.7% of LENVIMA-treated patients compared to 41.7% of </w:t>
      </w:r>
      <w:proofErr w:type="spellStart"/>
      <w:r w:rsidR="00F510A8">
        <w:t>sorafenib</w:t>
      </w:r>
      <w:proofErr w:type="spellEnd"/>
      <w:r w:rsidR="00F510A8">
        <w:t>-treated patients. T</w:t>
      </w:r>
      <w:r>
        <w:t>he most commonly reported hepatotoxicity adverse reactions</w:t>
      </w:r>
      <w:r w:rsidR="00DA1C19">
        <w:t xml:space="preserve"> in the LENVIMA-treated patients</w:t>
      </w:r>
      <w:r>
        <w:t xml:space="preserve"> were blood bilirubin increased (14.9%), aspartate </w:t>
      </w:r>
      <w:r>
        <w:lastRenderedPageBreak/>
        <w:t xml:space="preserve">aminotransferase increased (13.7%), alanine aminotransferase increased (11.1%), </w:t>
      </w:r>
      <w:proofErr w:type="spellStart"/>
      <w:r>
        <w:t>hypoalbuminaemia</w:t>
      </w:r>
      <w:proofErr w:type="spellEnd"/>
      <w:r>
        <w:t xml:space="preserve"> (9.2%), hepatic encephalopathy (8.0%), gamma-</w:t>
      </w:r>
      <w:proofErr w:type="spellStart"/>
      <w:r>
        <w:t>glutamyltransferase</w:t>
      </w:r>
      <w:proofErr w:type="spellEnd"/>
      <w:r>
        <w:t xml:space="preserve"> increased (7.8%) and blood alkaline phosphatase increased (6.7%). The median time to onset of hepatotoxicity adverse reactions was 6.4 weeks. </w:t>
      </w:r>
    </w:p>
    <w:p w14:paraId="68841D4A" w14:textId="6153039D" w:rsidR="00F307BD" w:rsidRDefault="008214DD" w:rsidP="006B3991">
      <w:pPr>
        <w:pStyle w:val="BodyText"/>
        <w:spacing w:before="120" w:after="120"/>
      </w:pPr>
      <w:r>
        <w:t xml:space="preserve">Hepatotoxicity reactions of </w:t>
      </w:r>
      <w:r w:rsidR="006540BC">
        <w:sym w:font="Symbol" w:char="F0B3"/>
      </w:r>
      <w:r>
        <w:t xml:space="preserve"> Grade 3 occurred in 26.1% of LENVIMA-treated patients</w:t>
      </w:r>
      <w:r w:rsidR="00704A05">
        <w:t xml:space="preserve"> and 23.4% of </w:t>
      </w:r>
      <w:proofErr w:type="spellStart"/>
      <w:r w:rsidR="00704A05">
        <w:t>sorafenib</w:t>
      </w:r>
      <w:proofErr w:type="spellEnd"/>
      <w:r w:rsidR="00704A05">
        <w:t>-treated patients</w:t>
      </w:r>
      <w:r>
        <w:t xml:space="preserve">. </w:t>
      </w:r>
      <w:r w:rsidR="00DA1C19">
        <w:t xml:space="preserve">In LENVIMA-treated </w:t>
      </w:r>
      <w:proofErr w:type="gramStart"/>
      <w:r w:rsidR="00DA1C19">
        <w:t>patients</w:t>
      </w:r>
      <w:proofErr w:type="gramEnd"/>
      <w:r w:rsidR="00DA1C19">
        <w:t xml:space="preserve"> </w:t>
      </w:r>
      <w:r>
        <w:t>Hepatic failure</w:t>
      </w:r>
      <w:r w:rsidR="00DA1C19">
        <w:t xml:space="preserve"> (HF)</w:t>
      </w:r>
      <w:r>
        <w:t xml:space="preserve"> (including fatal events) occurred in 3.2% of patients (all were </w:t>
      </w:r>
      <w:r w:rsidR="006540BC">
        <w:sym w:font="Symbol" w:char="F0B3"/>
      </w:r>
      <w:r>
        <w:t xml:space="preserve"> Grade 3). Hepatic encephalopathy</w:t>
      </w:r>
      <w:r w:rsidR="00DA1C19">
        <w:t xml:space="preserve"> (HE)</w:t>
      </w:r>
      <w:r>
        <w:t xml:space="preserve"> (including fatal events) occurred in 8.0% of patients (4.8% were </w:t>
      </w:r>
      <w:r w:rsidR="006540BC">
        <w:sym w:font="Symbol" w:char="F0B3"/>
      </w:r>
      <w:r>
        <w:t xml:space="preserve"> Grade 3). Hepatotoxicity adverse reactions led to dose interruptions and reductions in 12.2% and 7.4% of LENVIMA-treated patients respectively, and to permanent discontinuation in 5.5%.</w:t>
      </w:r>
      <w:r w:rsidR="00F307BD">
        <w:t xml:space="preserve"> </w:t>
      </w:r>
      <w:r w:rsidR="00DA1C19" w:rsidRPr="00DA1C19">
        <w:t xml:space="preserve">The events of </w:t>
      </w:r>
      <w:r w:rsidR="00DA1C19">
        <w:t>HF</w:t>
      </w:r>
      <w:r w:rsidR="00DA1C19" w:rsidRPr="00DA1C19">
        <w:t xml:space="preserve"> and </w:t>
      </w:r>
      <w:r w:rsidR="00DA1C19">
        <w:t xml:space="preserve">HE </w:t>
      </w:r>
      <w:r w:rsidR="00DA1C19" w:rsidRPr="00DA1C19">
        <w:t xml:space="preserve">were reported at a higher frequency in LENVIMA-treated HCC patients (3.6% and 8.0% for HF and HE, respectively) in comparison to </w:t>
      </w:r>
      <w:proofErr w:type="spellStart"/>
      <w:r w:rsidR="00DA1C19" w:rsidRPr="00DA1C19">
        <w:t>sorafenib</w:t>
      </w:r>
      <w:proofErr w:type="spellEnd"/>
      <w:r w:rsidR="00DA1C19" w:rsidRPr="00DA1C19">
        <w:t>-treated HCC patients (2.5% and 1.9% for HF and HE, respectively).</w:t>
      </w:r>
    </w:p>
    <w:p w14:paraId="2866DF20" w14:textId="3EB70044" w:rsidR="00385FF1" w:rsidRDefault="008214DD" w:rsidP="006B3991">
      <w:pPr>
        <w:pStyle w:val="BodyText"/>
        <w:spacing w:before="120" w:after="120"/>
      </w:pPr>
      <w:r>
        <w:t>Across clinical studies in which 1327 patients received LENVIMA monotherapy in indications other than HCC, hepatic failure (including fatal events) was reported in 4 patients (0.3%), liver injury in 2 patients (0.2%), acute hepatitis in 2 patients (0.2%), and hepatocellular injury in 1 patient (0.1%).</w:t>
      </w:r>
    </w:p>
    <w:p w14:paraId="2866DF21" w14:textId="77777777" w:rsidR="00385FF1" w:rsidRPr="00385FF1" w:rsidRDefault="00385FF1" w:rsidP="00FC4217">
      <w:pPr>
        <w:pStyle w:val="Heading4"/>
      </w:pPr>
      <w:r w:rsidRPr="00385FF1">
        <w:t>Arterial thromboembolisms</w:t>
      </w:r>
    </w:p>
    <w:p w14:paraId="2866DF22" w14:textId="72E87EF1" w:rsidR="00385FF1" w:rsidRPr="00385FF1" w:rsidRDefault="00385FF1" w:rsidP="006B3991">
      <w:pPr>
        <w:pStyle w:val="BodyText"/>
        <w:spacing w:before="120" w:after="60"/>
      </w:pPr>
      <w:r w:rsidRPr="00385FF1">
        <w:t>In the pivotal DTC Phase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385FF1">
        <w:t xml:space="preserve">), arterial thromboembolic events </w:t>
      </w:r>
      <w:proofErr w:type="gramStart"/>
      <w:r w:rsidRPr="00385FF1">
        <w:t>were reported</w:t>
      </w:r>
      <w:proofErr w:type="gramEnd"/>
      <w:r w:rsidRPr="00385FF1">
        <w:t xml:space="preserve"> in 5.4% of LENVIMA-treated patients and 2.3% of patients in the placebo group.</w:t>
      </w:r>
    </w:p>
    <w:p w14:paraId="67F18DFB" w14:textId="2D8A337F" w:rsidR="008214DD" w:rsidRDefault="00385FF1" w:rsidP="006B3991">
      <w:pPr>
        <w:pStyle w:val="BodyText"/>
        <w:spacing w:before="120" w:after="60"/>
      </w:pPr>
      <w:r w:rsidRPr="00385FF1">
        <w:t xml:space="preserve">In the </w:t>
      </w:r>
      <w:proofErr w:type="gramStart"/>
      <w:r w:rsidRPr="00385FF1">
        <w:t>RCC</w:t>
      </w:r>
      <w:proofErr w:type="gramEnd"/>
      <w:r w:rsidRPr="00385FF1">
        <w:t xml:space="preserve">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385FF1">
        <w:t xml:space="preserve">) Phase 1b plus Phase 2 population, 1.6% of patients in the LENVIMA plus </w:t>
      </w:r>
      <w:proofErr w:type="spellStart"/>
      <w:r w:rsidRPr="00385FF1">
        <w:t>everolimus</w:t>
      </w:r>
      <w:proofErr w:type="spellEnd"/>
      <w:r w:rsidRPr="00385FF1">
        <w:t xml:space="preserve">-treated group reported arterial thromboembolic events. The time to onset was 69.6 weeks. In the </w:t>
      </w:r>
      <w:proofErr w:type="spellStart"/>
      <w:r w:rsidRPr="00385FF1">
        <w:t>everolimus</w:t>
      </w:r>
      <w:proofErr w:type="spellEnd"/>
      <w:r w:rsidRPr="00385FF1">
        <w:t xml:space="preserve"> group, 6.0% of patients reported an arterial thromboembolism (4.0% were Grade </w:t>
      </w:r>
      <w:r w:rsidR="006540BC">
        <w:sym w:font="Symbol" w:char="F0B3"/>
      </w:r>
      <w:r w:rsidRPr="00385FF1">
        <w:t xml:space="preserve"> 3).</w:t>
      </w:r>
    </w:p>
    <w:p w14:paraId="4AAD4A47" w14:textId="733256E8" w:rsidR="008214DD" w:rsidRPr="008214DD" w:rsidRDefault="008214DD" w:rsidP="006B3991">
      <w:pPr>
        <w:pStyle w:val="BodyText"/>
        <w:spacing w:before="120" w:after="60"/>
      </w:pPr>
      <w:r w:rsidRPr="008214DD">
        <w:t xml:space="preserve">In the Phase 3 HCC trial (see </w:t>
      </w:r>
      <w:r w:rsidR="00C77CF2">
        <w:rPr>
          <w:lang w:val="en-US"/>
        </w:rPr>
        <w:t xml:space="preserve">Section </w:t>
      </w:r>
      <w:r w:rsidR="00C77CF2">
        <w:rPr>
          <w:lang w:val="en-US"/>
        </w:rPr>
        <w:fldChar w:fldCharType="begin"/>
      </w:r>
      <w:r w:rsidR="00C77CF2">
        <w:rPr>
          <w:lang w:val="en-US"/>
        </w:rPr>
        <w:instrText xml:space="preserve"> REF _Ref503528653 \r \h </w:instrText>
      </w:r>
      <w:r w:rsidR="006B3991">
        <w:rPr>
          <w:lang w:val="en-US"/>
        </w:rPr>
        <w:instrText xml:space="preserve"> \* MERGEFORMAT </w:instrText>
      </w:r>
      <w:r w:rsidR="00C77CF2">
        <w:rPr>
          <w:lang w:val="en-US"/>
        </w:rPr>
      </w:r>
      <w:r w:rsidR="00C77CF2">
        <w:rPr>
          <w:lang w:val="en-US"/>
        </w:rPr>
        <w:fldChar w:fldCharType="separate"/>
      </w:r>
      <w:r w:rsidR="0064223A">
        <w:rPr>
          <w:lang w:val="en-US"/>
        </w:rPr>
        <w:t>5.1</w:t>
      </w:r>
      <w:r w:rsidR="00C77CF2">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C77CF2">
        <w:rPr>
          <w:lang w:val="en-US"/>
        </w:rPr>
        <w:t xml:space="preserve">, </w:t>
      </w:r>
      <w:r w:rsidR="00B662F4">
        <w:t>Clinical trials</w:t>
      </w:r>
      <w:r w:rsidRPr="008214DD">
        <w:t xml:space="preserve">), arterial thromboembolic events </w:t>
      </w:r>
      <w:proofErr w:type="gramStart"/>
      <w:r w:rsidRPr="008214DD">
        <w:t>were reported</w:t>
      </w:r>
      <w:proofErr w:type="gramEnd"/>
      <w:r w:rsidRPr="008214DD">
        <w:t xml:space="preserve"> in 2.3% of patients treated with LENVIMA</w:t>
      </w:r>
      <w:r w:rsidR="00C25CBC">
        <w:t xml:space="preserve"> as compared to 1.7% in </w:t>
      </w:r>
      <w:proofErr w:type="spellStart"/>
      <w:r w:rsidR="00C25CBC">
        <w:t>sorafenib</w:t>
      </w:r>
      <w:proofErr w:type="spellEnd"/>
      <w:r w:rsidR="00C25CBC">
        <w:t>-treated patients</w:t>
      </w:r>
      <w:r w:rsidRPr="008214DD">
        <w:t>.</w:t>
      </w:r>
    </w:p>
    <w:p w14:paraId="2866DF26" w14:textId="7241B949" w:rsidR="00385FF1" w:rsidRPr="00385FF1" w:rsidRDefault="00385FF1" w:rsidP="006B3991">
      <w:pPr>
        <w:pStyle w:val="BodyText"/>
        <w:spacing w:before="120" w:after="60"/>
      </w:pPr>
      <w:r w:rsidRPr="00385FF1">
        <w:t>Amongst 1,</w:t>
      </w:r>
      <w:r w:rsidR="008214DD">
        <w:t>823</w:t>
      </w:r>
      <w:r w:rsidRPr="00385FF1">
        <w:t xml:space="preserve"> patients treated with LENVIMA</w:t>
      </w:r>
      <w:r w:rsidR="008214DD">
        <w:t xml:space="preserve"> monotherapy in clinical trials</w:t>
      </w:r>
      <w:r w:rsidRPr="00385FF1">
        <w:t xml:space="preserve">, there were </w:t>
      </w:r>
      <w:r w:rsidR="008214DD">
        <w:t>10</w:t>
      </w:r>
      <w:r w:rsidRPr="00385FF1">
        <w:t xml:space="preserve"> cases (0.</w:t>
      </w:r>
      <w:r w:rsidR="008214DD">
        <w:t>5</w:t>
      </w:r>
      <w:r w:rsidRPr="00385FF1">
        <w:t>%) of arterial thromboembolisms (</w:t>
      </w:r>
      <w:r w:rsidR="008214DD">
        <w:t>5</w:t>
      </w:r>
      <w:r w:rsidRPr="00385FF1">
        <w:t xml:space="preserve"> cases of myocardial infarction and </w:t>
      </w:r>
      <w:r w:rsidR="008214DD">
        <w:t>5</w:t>
      </w:r>
      <w:r w:rsidRPr="00385FF1">
        <w:t xml:space="preserve"> cases of cerebrovascular accident) with a fatal outcome.</w:t>
      </w:r>
    </w:p>
    <w:p w14:paraId="2866DF28" w14:textId="77777777" w:rsidR="00A57B23" w:rsidRPr="00FC4217" w:rsidRDefault="00A57B23" w:rsidP="00FC4217">
      <w:pPr>
        <w:pStyle w:val="Heading4"/>
      </w:pPr>
      <w:r w:rsidRPr="00FC4217">
        <w:t>Haemo</w:t>
      </w:r>
      <w:r w:rsidR="00E00B24" w:rsidRPr="00FC4217">
        <w:t>rrhagic events</w:t>
      </w:r>
      <w:r w:rsidR="00385FF1" w:rsidRPr="00FC4217">
        <w:t xml:space="preserve"> and thrombocytopenia</w:t>
      </w:r>
    </w:p>
    <w:p w14:paraId="2866DF29" w14:textId="701BEB4A" w:rsidR="00385FF1" w:rsidRPr="00FC4217" w:rsidRDefault="00A57B23" w:rsidP="006B3991">
      <w:pPr>
        <w:pStyle w:val="BodyText"/>
        <w:spacing w:before="120" w:after="120"/>
        <w:rPr>
          <w:lang w:val="en-US"/>
        </w:rPr>
      </w:pPr>
      <w:r w:rsidRPr="00FC4217">
        <w:rPr>
          <w:lang w:val="en-US"/>
        </w:rPr>
        <w:t xml:space="preserve">In the pivotal </w:t>
      </w:r>
      <w:r w:rsidR="00385FF1" w:rsidRPr="00FC4217">
        <w:rPr>
          <w:lang w:val="en-US"/>
        </w:rPr>
        <w:t xml:space="preserve">DTC </w:t>
      </w:r>
      <w:r w:rsidRPr="00FC4217">
        <w:rPr>
          <w:lang w:val="en-US"/>
        </w:rPr>
        <w:t>Phase</w:t>
      </w:r>
      <w:r w:rsidR="000E1EA1" w:rsidRPr="00FC4217">
        <w:rPr>
          <w:lang w:val="en-US"/>
        </w:rPr>
        <w:t xml:space="preserv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FC4217">
        <w:rPr>
          <w:lang w:val="en-US"/>
        </w:rPr>
        <w:t xml:space="preserve">), </w:t>
      </w:r>
      <w:proofErr w:type="spellStart"/>
      <w:r w:rsidRPr="00FC4217">
        <w:rPr>
          <w:lang w:val="en-US"/>
        </w:rPr>
        <w:t>haemorrhagic</w:t>
      </w:r>
      <w:proofErr w:type="spellEnd"/>
      <w:r w:rsidRPr="00FC4217">
        <w:rPr>
          <w:lang w:val="en-US"/>
        </w:rPr>
        <w:t xml:space="preserve"> events </w:t>
      </w:r>
      <w:proofErr w:type="gramStart"/>
      <w:r w:rsidRPr="00FC4217">
        <w:rPr>
          <w:lang w:val="en-US"/>
        </w:rPr>
        <w:t>were reported</w:t>
      </w:r>
      <w:proofErr w:type="gramEnd"/>
      <w:r w:rsidRPr="00FC4217">
        <w:rPr>
          <w:lang w:val="en-US"/>
        </w:rPr>
        <w:t xml:space="preserve"> in 34.9% of</w:t>
      </w:r>
      <w:r w:rsidR="00E00B24" w:rsidRPr="00FC4217">
        <w:rPr>
          <w:lang w:val="en-US"/>
        </w:rPr>
        <w:t xml:space="preserve"> </w:t>
      </w:r>
      <w:r w:rsidR="0075622C" w:rsidRPr="00FC4217">
        <w:rPr>
          <w:lang w:val="en-US"/>
        </w:rPr>
        <w:t>LENVIMA</w:t>
      </w:r>
      <w:r w:rsidRPr="00FC4217">
        <w:rPr>
          <w:lang w:val="en-US"/>
        </w:rPr>
        <w:t>-treated patients versus 18.3% of placebo-treated patients. Events that occurre</w:t>
      </w:r>
      <w:r w:rsidR="00E00B24" w:rsidRPr="00FC4217">
        <w:rPr>
          <w:lang w:val="en-US"/>
        </w:rPr>
        <w:t xml:space="preserve">d at an incidence of </w:t>
      </w:r>
      <w:r w:rsidR="006540BC">
        <w:rPr>
          <w:lang w:val="en-US"/>
        </w:rPr>
        <w:sym w:font="Symbol" w:char="F0B3"/>
      </w:r>
      <w:r w:rsidR="001D6874" w:rsidRPr="00FC4217">
        <w:rPr>
          <w:lang w:val="en-US"/>
        </w:rPr>
        <w:t> </w:t>
      </w:r>
      <w:r w:rsidRPr="00FC4217">
        <w:rPr>
          <w:lang w:val="en-US"/>
        </w:rPr>
        <w:t xml:space="preserve">0.75% above placebo </w:t>
      </w:r>
      <w:proofErr w:type="gramStart"/>
      <w:r w:rsidRPr="00FC4217">
        <w:rPr>
          <w:lang w:val="en-US"/>
        </w:rPr>
        <w:t>were:</w:t>
      </w:r>
      <w:proofErr w:type="gramEnd"/>
      <w:r w:rsidRPr="00FC4217">
        <w:rPr>
          <w:lang w:val="en-US"/>
        </w:rPr>
        <w:t xml:space="preserve"> epistaxis (11.9%), </w:t>
      </w:r>
      <w:proofErr w:type="spellStart"/>
      <w:r w:rsidRPr="00FC4217">
        <w:rPr>
          <w:lang w:val="en-US"/>
        </w:rPr>
        <w:t>haematuria</w:t>
      </w:r>
      <w:proofErr w:type="spellEnd"/>
      <w:r w:rsidRPr="00FC4217">
        <w:rPr>
          <w:lang w:val="en-US"/>
        </w:rPr>
        <w:t xml:space="preserve"> (6.5%), contusion (4.6%), gingival bleeding</w:t>
      </w:r>
      <w:r w:rsidR="00E00B24" w:rsidRPr="00FC4217">
        <w:rPr>
          <w:lang w:val="en-US"/>
        </w:rPr>
        <w:t xml:space="preserve"> (2.3%), </w:t>
      </w:r>
      <w:proofErr w:type="spellStart"/>
      <w:r w:rsidR="00E00B24" w:rsidRPr="00FC4217">
        <w:rPr>
          <w:lang w:val="en-US"/>
        </w:rPr>
        <w:t>haematochezia</w:t>
      </w:r>
      <w:proofErr w:type="spellEnd"/>
      <w:r w:rsidR="00E00B24" w:rsidRPr="00FC4217">
        <w:rPr>
          <w:lang w:val="en-US"/>
        </w:rPr>
        <w:t xml:space="preserve"> (2.3%), rectal </w:t>
      </w:r>
      <w:proofErr w:type="spellStart"/>
      <w:r w:rsidR="00E00B24" w:rsidRPr="00FC4217">
        <w:rPr>
          <w:lang w:val="en-US"/>
        </w:rPr>
        <w:t>haemorrhage</w:t>
      </w:r>
      <w:proofErr w:type="spellEnd"/>
      <w:r w:rsidR="00E00B24" w:rsidRPr="00FC4217">
        <w:rPr>
          <w:lang w:val="en-US"/>
        </w:rPr>
        <w:t xml:space="preserve"> (1.5%), </w:t>
      </w:r>
      <w:proofErr w:type="spellStart"/>
      <w:r w:rsidR="00E00B24" w:rsidRPr="00FC4217">
        <w:rPr>
          <w:lang w:val="en-US"/>
        </w:rPr>
        <w:t>haematoma</w:t>
      </w:r>
      <w:proofErr w:type="spellEnd"/>
      <w:r w:rsidR="00E00B24" w:rsidRPr="00FC4217">
        <w:rPr>
          <w:lang w:val="en-US"/>
        </w:rPr>
        <w:t xml:space="preserve"> (1.1%), </w:t>
      </w:r>
      <w:proofErr w:type="spellStart"/>
      <w:r w:rsidR="00E00B24" w:rsidRPr="00FC4217">
        <w:rPr>
          <w:lang w:val="en-US"/>
        </w:rPr>
        <w:t>haemorrhoidal</w:t>
      </w:r>
      <w:proofErr w:type="spellEnd"/>
      <w:r w:rsidR="00E00B24" w:rsidRPr="00FC4217">
        <w:rPr>
          <w:lang w:val="en-US"/>
        </w:rPr>
        <w:t xml:space="preserve"> </w:t>
      </w:r>
      <w:proofErr w:type="spellStart"/>
      <w:r w:rsidR="00E00B24" w:rsidRPr="00FC4217">
        <w:rPr>
          <w:lang w:val="en-US"/>
        </w:rPr>
        <w:t>haemorrhage</w:t>
      </w:r>
      <w:proofErr w:type="spellEnd"/>
      <w:r w:rsidR="00E00B24" w:rsidRPr="00FC4217">
        <w:rPr>
          <w:lang w:val="en-US"/>
        </w:rPr>
        <w:t xml:space="preserve"> (1.1%), laryngeal </w:t>
      </w:r>
      <w:proofErr w:type="spellStart"/>
      <w:r w:rsidR="00E00B24" w:rsidRPr="00FC4217">
        <w:rPr>
          <w:lang w:val="en-US"/>
        </w:rPr>
        <w:t>haemorrhage</w:t>
      </w:r>
      <w:proofErr w:type="spellEnd"/>
      <w:r w:rsidR="00E00B24" w:rsidRPr="00FC4217">
        <w:rPr>
          <w:lang w:val="en-US"/>
        </w:rPr>
        <w:t xml:space="preserve"> (1.1%), </w:t>
      </w:r>
      <w:proofErr w:type="spellStart"/>
      <w:r w:rsidR="00E00B24" w:rsidRPr="00FC4217">
        <w:rPr>
          <w:lang w:val="en-US"/>
        </w:rPr>
        <w:t>petechiae</w:t>
      </w:r>
      <w:proofErr w:type="spellEnd"/>
      <w:r w:rsidR="00E00B24" w:rsidRPr="00FC4217">
        <w:rPr>
          <w:lang w:val="en-US"/>
        </w:rPr>
        <w:t xml:space="preserve"> (1.1%), and </w:t>
      </w:r>
      <w:r w:rsidR="00E00B24" w:rsidRPr="00FC4217">
        <w:rPr>
          <w:lang w:val="en-US"/>
        </w:rPr>
        <w:lastRenderedPageBreak/>
        <w:t xml:space="preserve">intracranial </w:t>
      </w:r>
      <w:proofErr w:type="spellStart"/>
      <w:r w:rsidR="00E00B24" w:rsidRPr="00FC4217">
        <w:rPr>
          <w:lang w:val="en-US"/>
        </w:rPr>
        <w:t>tumour</w:t>
      </w:r>
      <w:proofErr w:type="spellEnd"/>
      <w:r w:rsidR="00E00B24" w:rsidRPr="00FC4217">
        <w:rPr>
          <w:lang w:val="en-US"/>
        </w:rPr>
        <w:t xml:space="preserve"> </w:t>
      </w:r>
      <w:proofErr w:type="spellStart"/>
      <w:r w:rsidR="00E00B24" w:rsidRPr="00FC4217">
        <w:rPr>
          <w:lang w:val="en-US"/>
        </w:rPr>
        <w:t>haemorrhage</w:t>
      </w:r>
      <w:proofErr w:type="spellEnd"/>
      <w:r w:rsidR="00E00B24" w:rsidRPr="00FC4217">
        <w:rPr>
          <w:lang w:val="en-US"/>
        </w:rPr>
        <w:t xml:space="preserve"> (0.8%). </w:t>
      </w:r>
      <w:r w:rsidR="00385FF1" w:rsidRPr="00FC4217">
        <w:rPr>
          <w:lang w:val="en-US"/>
        </w:rPr>
        <w:t xml:space="preserve">When adjusted to account for the 4-fold greater duration of exposure in the LENVIMA versus the placebo arm, the following reactions occurred less frequently on LENVIMA than placebo: </w:t>
      </w:r>
      <w:proofErr w:type="spellStart"/>
      <w:r w:rsidR="00385FF1" w:rsidRPr="00FC4217">
        <w:rPr>
          <w:lang w:val="en-US"/>
        </w:rPr>
        <w:t>haemoptysis</w:t>
      </w:r>
      <w:proofErr w:type="spellEnd"/>
      <w:r w:rsidR="00385FF1" w:rsidRPr="00FC4217">
        <w:rPr>
          <w:lang w:val="en-US"/>
        </w:rPr>
        <w:t xml:space="preserve"> (0.05 episodes/subject-year on LENVIMA vs. 0.21 episodes/subject-year on placebo) and pulmonary </w:t>
      </w:r>
      <w:proofErr w:type="spellStart"/>
      <w:r w:rsidR="00385FF1" w:rsidRPr="00FC4217">
        <w:rPr>
          <w:lang w:val="en-US"/>
        </w:rPr>
        <w:t>haemorrhage</w:t>
      </w:r>
      <w:proofErr w:type="spellEnd"/>
      <w:r w:rsidR="00385FF1" w:rsidRPr="00FC4217">
        <w:rPr>
          <w:lang w:val="en-US"/>
        </w:rPr>
        <w:t xml:space="preserve"> (0.02 episodes/subject year on LENVIMA vs. 0.09 episodes/subject-year on placebo).</w:t>
      </w:r>
    </w:p>
    <w:p w14:paraId="2866DF2B" w14:textId="35BB2CE3" w:rsidR="00E00B24" w:rsidRPr="00FC4217" w:rsidRDefault="00E00B24" w:rsidP="006B3991">
      <w:pPr>
        <w:pStyle w:val="BodyText"/>
        <w:spacing w:before="120" w:after="120"/>
        <w:rPr>
          <w:lang w:val="en-US"/>
        </w:rPr>
      </w:pPr>
      <w:r w:rsidRPr="00FC4217">
        <w:rPr>
          <w:lang w:val="en-US"/>
        </w:rPr>
        <w:t xml:space="preserve">The median time to first onset in </w:t>
      </w:r>
      <w:r w:rsidR="0075622C" w:rsidRPr="00FC4217">
        <w:rPr>
          <w:lang w:val="en-US"/>
        </w:rPr>
        <w:t>LENVIMA</w:t>
      </w:r>
      <w:r w:rsidRPr="00FC4217">
        <w:rPr>
          <w:lang w:val="en-US"/>
        </w:rPr>
        <w:t xml:space="preserve">-treated patients was 10.1 weeks. No differences between </w:t>
      </w:r>
      <w:r w:rsidR="0075622C" w:rsidRPr="00FC4217">
        <w:rPr>
          <w:lang w:val="en-US"/>
        </w:rPr>
        <w:t>LENVIMA</w:t>
      </w:r>
      <w:r w:rsidR="008B1A90" w:rsidRPr="00FC4217">
        <w:rPr>
          <w:lang w:val="en-US"/>
        </w:rPr>
        <w:t xml:space="preserve"> </w:t>
      </w:r>
      <w:r w:rsidRPr="00FC4217">
        <w:rPr>
          <w:lang w:val="en-US"/>
        </w:rPr>
        <w:t>and</w:t>
      </w:r>
      <w:r w:rsidR="000E1EA1" w:rsidRPr="00FC4217">
        <w:rPr>
          <w:lang w:val="en-US"/>
        </w:rPr>
        <w:t xml:space="preserve"> </w:t>
      </w:r>
      <w:r w:rsidRPr="00FC4217">
        <w:rPr>
          <w:lang w:val="en-US"/>
        </w:rPr>
        <w:t xml:space="preserve">placebo-treated patients were observed in the incidences of serious adverse events (3.4% vs. 3.8%), events leading to premature discontinuation (1.1% vs. 1.5%), or events leading to dose interruption (3.4% vs. 3.8%) or reduction (0.4% vs. 0). </w:t>
      </w:r>
    </w:p>
    <w:p w14:paraId="2866DF2D" w14:textId="09A830E5" w:rsidR="00385FF1" w:rsidRPr="00FC4217" w:rsidRDefault="00385FF1" w:rsidP="006B3991">
      <w:pPr>
        <w:pStyle w:val="BodyText"/>
        <w:spacing w:before="120" w:after="120"/>
        <w:rPr>
          <w:lang w:val="en-US"/>
        </w:rPr>
      </w:pPr>
      <w:r w:rsidRPr="00FC4217">
        <w:rPr>
          <w:lang w:val="en-US"/>
        </w:rPr>
        <w:t xml:space="preserve">Thrombocytopenia or platelet count decreased </w:t>
      </w:r>
      <w:proofErr w:type="gramStart"/>
      <w:r w:rsidRPr="00FC4217">
        <w:rPr>
          <w:lang w:val="en-US"/>
        </w:rPr>
        <w:t>was reported</w:t>
      </w:r>
      <w:proofErr w:type="gramEnd"/>
      <w:r w:rsidRPr="00FC4217">
        <w:rPr>
          <w:lang w:val="en-US"/>
        </w:rPr>
        <w:t xml:space="preserve"> in 15.3% of LENVIMA-treated patients (1.9% were Grade </w:t>
      </w:r>
      <w:r w:rsidR="006540BC">
        <w:rPr>
          <w:lang w:val="en-US"/>
        </w:rPr>
        <w:sym w:font="Symbol" w:char="F0B3"/>
      </w:r>
      <w:r w:rsidRPr="00FC4217">
        <w:rPr>
          <w:lang w:val="en-US"/>
        </w:rPr>
        <w:t> 3) versus 2.3% in the placebo arm (none were Grade </w:t>
      </w:r>
      <w:r w:rsidR="006540BC">
        <w:rPr>
          <w:lang w:val="en-US"/>
        </w:rPr>
        <w:sym w:font="Symbol" w:char="F0B3"/>
      </w:r>
      <w:r w:rsidRPr="00FC4217">
        <w:rPr>
          <w:lang w:val="en-US"/>
        </w:rPr>
        <w:t xml:space="preserve"> 3). There were no Grade 4 TEAEs. The incidence of serious thrombocytopenia was 0.8%. Most reactions resolved following supportive treatment, although 5.0% of patients had events of thrombocytopenia that required dose interruption, and 1.9% required dose reduction. No patients discontinued treatment </w:t>
      </w:r>
      <w:proofErr w:type="gramStart"/>
      <w:r w:rsidRPr="00FC4217">
        <w:rPr>
          <w:lang w:val="en-US"/>
        </w:rPr>
        <w:t>as a result</w:t>
      </w:r>
      <w:proofErr w:type="gramEnd"/>
      <w:r w:rsidRPr="00FC4217">
        <w:rPr>
          <w:lang w:val="en-US"/>
        </w:rPr>
        <w:t xml:space="preserve"> of thro</w:t>
      </w:r>
      <w:r w:rsidR="006540BC">
        <w:rPr>
          <w:lang w:val="en-US"/>
        </w:rPr>
        <w:t>mbocytopenia.</w:t>
      </w:r>
    </w:p>
    <w:p w14:paraId="2866DF2F" w14:textId="4BAF4862" w:rsidR="00385FF1" w:rsidRPr="00FC4217" w:rsidRDefault="00385FF1" w:rsidP="006B3991">
      <w:pPr>
        <w:pStyle w:val="BodyText"/>
        <w:spacing w:before="120" w:after="120"/>
        <w:rPr>
          <w:lang w:val="en-US"/>
        </w:rPr>
      </w:pPr>
      <w:r w:rsidRPr="00FC4217">
        <w:rPr>
          <w:lang w:val="en-US"/>
        </w:rPr>
        <w:t>In the RCC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FC4217">
        <w:rPr>
          <w:lang w:val="en-US"/>
        </w:rPr>
        <w:t xml:space="preserve">) Phase 1b plus Phase 2 population, </w:t>
      </w:r>
      <w:proofErr w:type="spellStart"/>
      <w:r w:rsidRPr="00FC4217">
        <w:rPr>
          <w:lang w:val="en-US"/>
        </w:rPr>
        <w:t>haemorrhage</w:t>
      </w:r>
      <w:proofErr w:type="spellEnd"/>
      <w:r w:rsidRPr="00FC4217">
        <w:rPr>
          <w:lang w:val="en-US"/>
        </w:rPr>
        <w:t xml:space="preserve"> was reported in 38.7% (8.1% were Grade 3 or greater) of patients in the LENVIMA plus </w:t>
      </w:r>
      <w:proofErr w:type="spellStart"/>
      <w:r w:rsidRPr="00FC4217">
        <w:rPr>
          <w:lang w:val="en-US"/>
        </w:rPr>
        <w:t>everolimus</w:t>
      </w:r>
      <w:proofErr w:type="spellEnd"/>
      <w:r w:rsidRPr="00FC4217">
        <w:rPr>
          <w:lang w:val="en-US"/>
        </w:rPr>
        <w:t xml:space="preserve">-treated group. Reactions that occurred at an incidence of </w:t>
      </w:r>
      <w:r w:rsidR="006540BC">
        <w:rPr>
          <w:lang w:val="en-US"/>
        </w:rPr>
        <w:sym w:font="Symbol" w:char="F0B3"/>
      </w:r>
      <w:r w:rsidRPr="00FC4217">
        <w:rPr>
          <w:lang w:val="en-US"/>
        </w:rPr>
        <w:t xml:space="preserve"> 2.0% </w:t>
      </w:r>
      <w:proofErr w:type="gramStart"/>
      <w:r w:rsidRPr="00FC4217">
        <w:rPr>
          <w:lang w:val="en-US"/>
        </w:rPr>
        <w:t>were:</w:t>
      </w:r>
      <w:proofErr w:type="gramEnd"/>
      <w:r w:rsidRPr="00FC4217">
        <w:rPr>
          <w:lang w:val="en-US"/>
        </w:rPr>
        <w:t xml:space="preserve"> epistaxis (22.6%), </w:t>
      </w:r>
      <w:proofErr w:type="spellStart"/>
      <w:r w:rsidRPr="00FC4217">
        <w:rPr>
          <w:lang w:val="en-US"/>
        </w:rPr>
        <w:t>haematuria</w:t>
      </w:r>
      <w:proofErr w:type="spellEnd"/>
      <w:r w:rsidRPr="00FC4217">
        <w:rPr>
          <w:lang w:val="en-US"/>
        </w:rPr>
        <w:t xml:space="preserve"> (4.8%), </w:t>
      </w:r>
      <w:proofErr w:type="spellStart"/>
      <w:r w:rsidRPr="00FC4217">
        <w:rPr>
          <w:lang w:val="en-US"/>
        </w:rPr>
        <w:t>haematoma</w:t>
      </w:r>
      <w:proofErr w:type="spellEnd"/>
      <w:r w:rsidRPr="00FC4217">
        <w:rPr>
          <w:lang w:val="en-US"/>
        </w:rPr>
        <w:t xml:space="preserve"> (3.2%), and gastric </w:t>
      </w:r>
      <w:proofErr w:type="spellStart"/>
      <w:r w:rsidRPr="00FC4217">
        <w:rPr>
          <w:lang w:val="en-US"/>
        </w:rPr>
        <w:t>haemorrhage</w:t>
      </w:r>
      <w:proofErr w:type="spellEnd"/>
      <w:r w:rsidRPr="00FC4217">
        <w:rPr>
          <w:lang w:val="en-US"/>
        </w:rPr>
        <w:t xml:space="preserve"> (3.2%). The median time to first onset was 10.2 weeks (any grade) and 7.6 weeks (Grade </w:t>
      </w:r>
      <w:r w:rsidR="006540BC">
        <w:rPr>
          <w:lang w:val="en-US"/>
        </w:rPr>
        <w:sym w:font="Symbol" w:char="F0B3"/>
      </w:r>
      <w:r w:rsidRPr="00FC4217">
        <w:rPr>
          <w:lang w:val="en-US"/>
        </w:rPr>
        <w:t xml:space="preserve"> 3) in the LENVIMA plus </w:t>
      </w:r>
      <w:proofErr w:type="spellStart"/>
      <w:r w:rsidRPr="00FC4217">
        <w:rPr>
          <w:lang w:val="en-US"/>
        </w:rPr>
        <w:t>everolimus</w:t>
      </w:r>
      <w:proofErr w:type="spellEnd"/>
      <w:r w:rsidRPr="00FC4217">
        <w:rPr>
          <w:lang w:val="en-US"/>
        </w:rPr>
        <w:t xml:space="preserve">-treated group. The incidence of serious </w:t>
      </w:r>
      <w:proofErr w:type="spellStart"/>
      <w:r w:rsidRPr="00FC4217">
        <w:rPr>
          <w:lang w:val="en-US"/>
        </w:rPr>
        <w:t>haemorrhage</w:t>
      </w:r>
      <w:proofErr w:type="spellEnd"/>
      <w:r w:rsidRPr="00FC4217">
        <w:rPr>
          <w:lang w:val="en-US"/>
        </w:rPr>
        <w:t xml:space="preserve"> was 4.8% (cerebral </w:t>
      </w:r>
      <w:proofErr w:type="spellStart"/>
      <w:r w:rsidRPr="00FC4217">
        <w:rPr>
          <w:lang w:val="en-US"/>
        </w:rPr>
        <w:t>haemorrhage</w:t>
      </w:r>
      <w:proofErr w:type="spellEnd"/>
      <w:r w:rsidRPr="00FC4217">
        <w:rPr>
          <w:lang w:val="en-US"/>
        </w:rPr>
        <w:t xml:space="preserve">, gastric </w:t>
      </w:r>
      <w:proofErr w:type="spellStart"/>
      <w:r w:rsidRPr="00FC4217">
        <w:rPr>
          <w:lang w:val="en-US"/>
        </w:rPr>
        <w:t>haemorrhage</w:t>
      </w:r>
      <w:proofErr w:type="spellEnd"/>
      <w:r w:rsidRPr="00FC4217">
        <w:rPr>
          <w:lang w:val="en-US"/>
        </w:rPr>
        <w:t xml:space="preserve"> and </w:t>
      </w:r>
      <w:proofErr w:type="spellStart"/>
      <w:r w:rsidRPr="00FC4217">
        <w:rPr>
          <w:lang w:val="en-US"/>
        </w:rPr>
        <w:t>haemarthrosis</w:t>
      </w:r>
      <w:proofErr w:type="spellEnd"/>
      <w:r w:rsidRPr="00FC4217">
        <w:rPr>
          <w:lang w:val="en-US"/>
        </w:rPr>
        <w:t xml:space="preserve">). Discontinuation due to </w:t>
      </w:r>
      <w:proofErr w:type="spellStart"/>
      <w:r w:rsidRPr="00FC4217">
        <w:rPr>
          <w:lang w:val="en-US"/>
        </w:rPr>
        <w:t>haemorrhagic</w:t>
      </w:r>
      <w:proofErr w:type="spellEnd"/>
      <w:r w:rsidRPr="00FC4217">
        <w:rPr>
          <w:lang w:val="en-US"/>
        </w:rPr>
        <w:t xml:space="preserve"> events occurred in 3.2% of patients in the LENVIMA plus </w:t>
      </w:r>
      <w:proofErr w:type="spellStart"/>
      <w:r w:rsidRPr="00FC4217">
        <w:rPr>
          <w:lang w:val="en-US"/>
        </w:rPr>
        <w:t>everolimus</w:t>
      </w:r>
      <w:proofErr w:type="spellEnd"/>
      <w:r w:rsidRPr="00FC4217">
        <w:rPr>
          <w:lang w:val="en-US"/>
        </w:rPr>
        <w:t xml:space="preserve">-treated group. There was one case of fatal cerebral </w:t>
      </w:r>
      <w:proofErr w:type="spellStart"/>
      <w:r w:rsidRPr="00FC4217">
        <w:rPr>
          <w:lang w:val="en-US"/>
        </w:rPr>
        <w:t>haemorrhage</w:t>
      </w:r>
      <w:proofErr w:type="spellEnd"/>
      <w:r w:rsidRPr="00FC4217">
        <w:rPr>
          <w:lang w:val="en-US"/>
        </w:rPr>
        <w:t xml:space="preserve"> in the LENVIMA plus </w:t>
      </w:r>
      <w:proofErr w:type="spellStart"/>
      <w:r w:rsidRPr="00FC4217">
        <w:rPr>
          <w:lang w:val="en-US"/>
        </w:rPr>
        <w:t>everolimus</w:t>
      </w:r>
      <w:proofErr w:type="spellEnd"/>
      <w:r w:rsidRPr="00FC4217">
        <w:rPr>
          <w:lang w:val="en-US"/>
        </w:rPr>
        <w:t xml:space="preserve">-treated group and one case of fatal intracranial </w:t>
      </w:r>
      <w:proofErr w:type="spellStart"/>
      <w:r w:rsidRPr="00FC4217">
        <w:rPr>
          <w:lang w:val="en-US"/>
        </w:rPr>
        <w:t>haemorrhage</w:t>
      </w:r>
      <w:proofErr w:type="spellEnd"/>
      <w:r w:rsidRPr="00FC4217">
        <w:rPr>
          <w:lang w:val="en-US"/>
        </w:rPr>
        <w:t xml:space="preserve"> in the LENVIMA-treated group.</w:t>
      </w:r>
    </w:p>
    <w:p w14:paraId="2866DF31" w14:textId="474DDEB3" w:rsidR="00385FF1" w:rsidRPr="00FC4217" w:rsidRDefault="00385FF1" w:rsidP="006B3991">
      <w:pPr>
        <w:pStyle w:val="BodyText"/>
        <w:spacing w:before="120" w:after="120"/>
        <w:rPr>
          <w:lang w:val="en-US"/>
        </w:rPr>
      </w:pPr>
      <w:r w:rsidRPr="00FC4217">
        <w:rPr>
          <w:lang w:val="en-US"/>
        </w:rPr>
        <w:t xml:space="preserve">Thrombocytopenia or platelet count decreased </w:t>
      </w:r>
      <w:proofErr w:type="gramStart"/>
      <w:r w:rsidRPr="00FC4217">
        <w:rPr>
          <w:lang w:val="en-US"/>
        </w:rPr>
        <w:t>was reported</w:t>
      </w:r>
      <w:proofErr w:type="gramEnd"/>
      <w:r w:rsidRPr="00FC4217">
        <w:rPr>
          <w:lang w:val="en-US"/>
        </w:rPr>
        <w:t xml:space="preserve"> in 14.5% of patients in the LENVIMA plus </w:t>
      </w:r>
      <w:proofErr w:type="spellStart"/>
      <w:r w:rsidRPr="00FC4217">
        <w:rPr>
          <w:lang w:val="en-US"/>
        </w:rPr>
        <w:t>everolimus</w:t>
      </w:r>
      <w:proofErr w:type="spellEnd"/>
      <w:r w:rsidRPr="00FC4217">
        <w:rPr>
          <w:lang w:val="en-US"/>
        </w:rPr>
        <w:noBreakHyphen/>
        <w:t>treated group (4.8% were Grade </w:t>
      </w:r>
      <w:r w:rsidR="006540BC">
        <w:rPr>
          <w:lang w:val="en-US"/>
        </w:rPr>
        <w:sym w:font="Symbol" w:char="F0B3"/>
      </w:r>
      <w:r w:rsidRPr="00FC4217">
        <w:rPr>
          <w:lang w:val="en-US"/>
        </w:rPr>
        <w:t xml:space="preserve"> 3) and 10.0% of patients in the </w:t>
      </w:r>
      <w:proofErr w:type="spellStart"/>
      <w:r w:rsidRPr="00FC4217">
        <w:rPr>
          <w:lang w:val="en-US"/>
        </w:rPr>
        <w:t>everolimus</w:t>
      </w:r>
      <w:proofErr w:type="spellEnd"/>
      <w:r w:rsidRPr="00FC4217">
        <w:rPr>
          <w:lang w:val="en-US"/>
        </w:rPr>
        <w:noBreakHyphen/>
        <w:t>treated group (none were Grade </w:t>
      </w:r>
      <w:r w:rsidR="006540BC">
        <w:rPr>
          <w:lang w:val="en-US"/>
        </w:rPr>
        <w:sym w:font="Symbol" w:char="F0B3"/>
      </w:r>
      <w:r w:rsidRPr="00FC4217">
        <w:rPr>
          <w:lang w:val="en-US"/>
        </w:rPr>
        <w:t> 3). There was one Grade 4 TEAE. The incidence of serious thrombocytopenia was 4.8%. Dose reduction or interruption due to thrombocytopenia occurred in 9.7% of patients and 3.2% of patients discontinued treatment due to thrombocytopenia.</w:t>
      </w:r>
    </w:p>
    <w:p w14:paraId="13C02AEE" w14:textId="27945A32" w:rsidR="008214DD" w:rsidRPr="008214DD" w:rsidRDefault="008214DD" w:rsidP="006B3991">
      <w:pPr>
        <w:pStyle w:val="BodyText"/>
        <w:spacing w:before="120" w:after="120"/>
        <w:rPr>
          <w:lang w:val="en-US"/>
        </w:rPr>
      </w:pPr>
      <w:r w:rsidRPr="008214DD">
        <w:rPr>
          <w:lang w:val="en-US"/>
        </w:rPr>
        <w:t xml:space="preserve">In the Phase 3 HCC trial (see </w:t>
      </w:r>
      <w:r w:rsidR="00C77CF2">
        <w:rPr>
          <w:lang w:val="en-US"/>
        </w:rPr>
        <w:t xml:space="preserve">Section </w:t>
      </w:r>
      <w:r w:rsidR="00C77CF2">
        <w:rPr>
          <w:lang w:val="en-US"/>
        </w:rPr>
        <w:fldChar w:fldCharType="begin"/>
      </w:r>
      <w:r w:rsidR="00C77CF2">
        <w:rPr>
          <w:lang w:val="en-US"/>
        </w:rPr>
        <w:instrText xml:space="preserve"> REF _Ref503528653 \r \h </w:instrText>
      </w:r>
      <w:r w:rsidR="006B3991">
        <w:rPr>
          <w:lang w:val="en-US"/>
        </w:rPr>
        <w:instrText xml:space="preserve"> \* MERGEFORMAT </w:instrText>
      </w:r>
      <w:r w:rsidR="00C77CF2">
        <w:rPr>
          <w:lang w:val="en-US"/>
        </w:rPr>
      </w:r>
      <w:r w:rsidR="00C77CF2">
        <w:rPr>
          <w:lang w:val="en-US"/>
        </w:rPr>
        <w:fldChar w:fldCharType="separate"/>
      </w:r>
      <w:r w:rsidR="0064223A">
        <w:rPr>
          <w:lang w:val="en-US"/>
        </w:rPr>
        <w:t>5.1</w:t>
      </w:r>
      <w:r w:rsidR="00C77CF2">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C77CF2">
        <w:rPr>
          <w:lang w:val="en-US"/>
        </w:rPr>
        <w:t xml:space="preserve">, </w:t>
      </w:r>
      <w:r w:rsidR="00B662F4">
        <w:rPr>
          <w:lang w:val="en-US"/>
        </w:rPr>
        <w:t>Clinical trials</w:t>
      </w:r>
      <w:r w:rsidRPr="008214DD">
        <w:rPr>
          <w:lang w:val="en-US"/>
        </w:rPr>
        <w:t xml:space="preserve">), </w:t>
      </w:r>
      <w:proofErr w:type="spellStart"/>
      <w:r w:rsidRPr="008214DD">
        <w:rPr>
          <w:lang w:val="en-US"/>
        </w:rPr>
        <w:t>haemorrhage</w:t>
      </w:r>
      <w:proofErr w:type="spellEnd"/>
      <w:r w:rsidRPr="008214DD">
        <w:rPr>
          <w:lang w:val="en-US"/>
        </w:rPr>
        <w:t xml:space="preserve"> </w:t>
      </w:r>
      <w:proofErr w:type="gramStart"/>
      <w:r w:rsidRPr="008214DD">
        <w:rPr>
          <w:lang w:val="en-US"/>
        </w:rPr>
        <w:t>was reported</w:t>
      </w:r>
      <w:proofErr w:type="gramEnd"/>
      <w:r w:rsidRPr="008214DD">
        <w:rPr>
          <w:lang w:val="en-US"/>
        </w:rPr>
        <w:t xml:space="preserve"> in 24.6% of </w:t>
      </w:r>
      <w:r w:rsidR="00395238">
        <w:rPr>
          <w:lang w:val="en-US"/>
        </w:rPr>
        <w:t xml:space="preserve">LENVIMA-treated </w:t>
      </w:r>
      <w:r w:rsidRPr="008214DD">
        <w:rPr>
          <w:lang w:val="en-US"/>
        </w:rPr>
        <w:t>patients</w:t>
      </w:r>
      <w:r w:rsidR="00395238">
        <w:rPr>
          <w:lang w:val="en-US"/>
        </w:rPr>
        <w:t xml:space="preserve"> as compared to 16</w:t>
      </w:r>
      <w:r w:rsidR="004C4540">
        <w:rPr>
          <w:lang w:val="en-US"/>
        </w:rPr>
        <w:t>.0</w:t>
      </w:r>
      <w:r w:rsidR="00395238">
        <w:rPr>
          <w:lang w:val="en-US"/>
        </w:rPr>
        <w:t xml:space="preserve">% of </w:t>
      </w:r>
      <w:proofErr w:type="spellStart"/>
      <w:r w:rsidR="00395238">
        <w:rPr>
          <w:lang w:val="en-US"/>
        </w:rPr>
        <w:t>sorafenib</w:t>
      </w:r>
      <w:proofErr w:type="spellEnd"/>
      <w:r w:rsidR="00395238">
        <w:rPr>
          <w:lang w:val="en-US"/>
        </w:rPr>
        <w:t>-treated patients</w:t>
      </w:r>
      <w:r w:rsidR="00291F6E">
        <w:rPr>
          <w:lang w:val="en-US"/>
        </w:rPr>
        <w:t>.</w:t>
      </w:r>
      <w:r w:rsidRPr="008214DD">
        <w:rPr>
          <w:lang w:val="en-US"/>
        </w:rPr>
        <w:t xml:space="preserve"> 5.0</w:t>
      </w:r>
      <w:proofErr w:type="gramStart"/>
      <w:r w:rsidRPr="008214DD">
        <w:rPr>
          <w:lang w:val="en-US"/>
        </w:rPr>
        <w:t xml:space="preserve">% </w:t>
      </w:r>
      <w:r w:rsidR="00291F6E">
        <w:rPr>
          <w:lang w:val="en-US"/>
        </w:rPr>
        <w:t xml:space="preserve"> of</w:t>
      </w:r>
      <w:proofErr w:type="gramEnd"/>
      <w:r w:rsidR="00291F6E">
        <w:rPr>
          <w:lang w:val="en-US"/>
        </w:rPr>
        <w:t xml:space="preserve"> LENVIMA-treated patients experienced</w:t>
      </w:r>
      <w:r w:rsidRPr="008214DD">
        <w:rPr>
          <w:lang w:val="en-US"/>
        </w:rPr>
        <w:t xml:space="preserve"> Grade </w:t>
      </w:r>
      <w:r w:rsidR="006540BC">
        <w:rPr>
          <w:lang w:val="en-US"/>
        </w:rPr>
        <w:sym w:font="Symbol" w:char="F0B3"/>
      </w:r>
      <w:r w:rsidRPr="008214DD">
        <w:rPr>
          <w:lang w:val="en-US"/>
        </w:rPr>
        <w:t xml:space="preserve"> 3</w:t>
      </w:r>
      <w:r w:rsidR="00291F6E">
        <w:rPr>
          <w:lang w:val="en-US"/>
        </w:rPr>
        <w:t xml:space="preserve"> events as compared to 4.6% of </w:t>
      </w:r>
      <w:proofErr w:type="spellStart"/>
      <w:r w:rsidR="00291F6E">
        <w:rPr>
          <w:lang w:val="en-US"/>
        </w:rPr>
        <w:t>sorafenib</w:t>
      </w:r>
      <w:proofErr w:type="spellEnd"/>
      <w:r w:rsidR="00291F6E">
        <w:rPr>
          <w:lang w:val="en-US"/>
        </w:rPr>
        <w:t>-treated patients</w:t>
      </w:r>
      <w:r w:rsidRPr="008214DD">
        <w:rPr>
          <w:lang w:val="en-US"/>
        </w:rPr>
        <w:t>. Grade 3 reactions occurred in 3.4%</w:t>
      </w:r>
      <w:proofErr w:type="gramStart"/>
      <w:r w:rsidRPr="008214DD">
        <w:rPr>
          <w:lang w:val="en-US"/>
        </w:rPr>
        <w:t>,</w:t>
      </w:r>
      <w:proofErr w:type="gramEnd"/>
      <w:r w:rsidRPr="008214DD">
        <w:rPr>
          <w:lang w:val="en-US"/>
        </w:rPr>
        <w:t xml:space="preserve"> Grade 4 reactions in 0.2% and 7 patients (1.5%) had a grade 5 reaction including cerebral </w:t>
      </w:r>
      <w:proofErr w:type="spellStart"/>
      <w:r w:rsidRPr="008214DD">
        <w:rPr>
          <w:lang w:val="en-US"/>
        </w:rPr>
        <w:t>haemorrhage</w:t>
      </w:r>
      <w:proofErr w:type="spellEnd"/>
      <w:r w:rsidRPr="008214DD">
        <w:rPr>
          <w:lang w:val="en-US"/>
        </w:rPr>
        <w:t xml:space="preserve">, upper gastrointestinal </w:t>
      </w:r>
      <w:proofErr w:type="spellStart"/>
      <w:r w:rsidRPr="008214DD">
        <w:rPr>
          <w:lang w:val="en-US"/>
        </w:rPr>
        <w:t>haemorrhage</w:t>
      </w:r>
      <w:proofErr w:type="spellEnd"/>
      <w:r w:rsidRPr="008214DD">
        <w:rPr>
          <w:lang w:val="en-US"/>
        </w:rPr>
        <w:t xml:space="preserve">, intestinal </w:t>
      </w:r>
      <w:proofErr w:type="spellStart"/>
      <w:r w:rsidRPr="008214DD">
        <w:rPr>
          <w:lang w:val="en-US"/>
        </w:rPr>
        <w:t>haemorrhage</w:t>
      </w:r>
      <w:proofErr w:type="spellEnd"/>
      <w:r w:rsidRPr="008214DD">
        <w:rPr>
          <w:lang w:val="en-US"/>
        </w:rPr>
        <w:t xml:space="preserve"> and </w:t>
      </w:r>
      <w:proofErr w:type="spellStart"/>
      <w:r w:rsidRPr="008214DD">
        <w:rPr>
          <w:lang w:val="en-US"/>
        </w:rPr>
        <w:t>tumour</w:t>
      </w:r>
      <w:proofErr w:type="spellEnd"/>
      <w:r w:rsidRPr="008214DD">
        <w:rPr>
          <w:lang w:val="en-US"/>
        </w:rPr>
        <w:t xml:space="preserve"> </w:t>
      </w:r>
      <w:proofErr w:type="spellStart"/>
      <w:r w:rsidRPr="008214DD">
        <w:rPr>
          <w:lang w:val="en-US"/>
        </w:rPr>
        <w:t>haemorrhage</w:t>
      </w:r>
      <w:proofErr w:type="spellEnd"/>
      <w:r w:rsidRPr="008214DD">
        <w:rPr>
          <w:lang w:val="en-US"/>
        </w:rPr>
        <w:t xml:space="preserve">. The median time to first onset was 11.9 weeks. A </w:t>
      </w:r>
      <w:proofErr w:type="spellStart"/>
      <w:r w:rsidRPr="008214DD">
        <w:rPr>
          <w:lang w:val="en-US"/>
        </w:rPr>
        <w:t>haemorrhage</w:t>
      </w:r>
      <w:proofErr w:type="spellEnd"/>
      <w:r w:rsidRPr="008214DD">
        <w:rPr>
          <w:lang w:val="en-US"/>
        </w:rPr>
        <w:t xml:space="preserve"> event led to </w:t>
      </w:r>
      <w:r w:rsidRPr="008214DD">
        <w:rPr>
          <w:lang w:val="en-US"/>
        </w:rPr>
        <w:lastRenderedPageBreak/>
        <w:t>dose interruption or reduction in 3.2% and 0.8% patients respectively and to treatment discontinuation in 1.7% of patients.</w:t>
      </w:r>
    </w:p>
    <w:p w14:paraId="6402C2DC" w14:textId="77663913" w:rsidR="008214DD" w:rsidRPr="008214DD" w:rsidRDefault="008214DD" w:rsidP="006B3991">
      <w:pPr>
        <w:pStyle w:val="BodyText"/>
        <w:spacing w:before="120" w:after="60"/>
        <w:rPr>
          <w:lang w:val="en-US"/>
        </w:rPr>
      </w:pPr>
      <w:r w:rsidRPr="008214DD">
        <w:rPr>
          <w:lang w:val="en-US"/>
        </w:rPr>
        <w:t xml:space="preserve">Thrombocytopenia or platelet count decreased </w:t>
      </w:r>
      <w:proofErr w:type="gramStart"/>
      <w:r w:rsidRPr="008214DD">
        <w:rPr>
          <w:lang w:val="en-US"/>
        </w:rPr>
        <w:t>was reported</w:t>
      </w:r>
      <w:proofErr w:type="gramEnd"/>
      <w:r w:rsidRPr="008214DD">
        <w:rPr>
          <w:lang w:val="en-US"/>
        </w:rPr>
        <w:t xml:space="preserve"> in 25.0% of</w:t>
      </w:r>
      <w:r w:rsidR="003F2762">
        <w:rPr>
          <w:lang w:val="en-US"/>
        </w:rPr>
        <w:t xml:space="preserve"> LENVIMA-treated</w:t>
      </w:r>
      <w:r w:rsidRPr="008214DD">
        <w:rPr>
          <w:lang w:val="en-US"/>
        </w:rPr>
        <w:t xml:space="preserve"> patients </w:t>
      </w:r>
      <w:r w:rsidR="003F2762">
        <w:rPr>
          <w:lang w:val="en-US"/>
        </w:rPr>
        <w:t xml:space="preserve">as compared to 18.1% of </w:t>
      </w:r>
      <w:proofErr w:type="spellStart"/>
      <w:r w:rsidR="003F2762">
        <w:rPr>
          <w:lang w:val="en-US"/>
        </w:rPr>
        <w:t>sorafenib</w:t>
      </w:r>
      <w:proofErr w:type="spellEnd"/>
      <w:r w:rsidR="003F2762">
        <w:rPr>
          <w:lang w:val="en-US"/>
        </w:rPr>
        <w:t xml:space="preserve">-treated patients. Of the LENVIMA-treated patients, </w:t>
      </w:r>
      <w:r w:rsidRPr="008214DD">
        <w:rPr>
          <w:lang w:val="en-US"/>
        </w:rPr>
        <w:t xml:space="preserve">7.4% </w:t>
      </w:r>
      <w:r w:rsidR="003F2762">
        <w:rPr>
          <w:lang w:val="en-US"/>
        </w:rPr>
        <w:t>experienced</w:t>
      </w:r>
      <w:r w:rsidRPr="008214DD">
        <w:rPr>
          <w:lang w:val="en-US"/>
        </w:rPr>
        <w:t xml:space="preserve"> Grade </w:t>
      </w:r>
      <w:r w:rsidR="006540BC">
        <w:rPr>
          <w:lang w:val="en-US"/>
        </w:rPr>
        <w:sym w:font="Symbol" w:char="F0B3"/>
      </w:r>
      <w:r w:rsidRPr="008214DD">
        <w:rPr>
          <w:lang w:val="en-US"/>
        </w:rPr>
        <w:t xml:space="preserve"> 3</w:t>
      </w:r>
      <w:r w:rsidR="003F2762">
        <w:rPr>
          <w:lang w:val="en-US"/>
        </w:rPr>
        <w:t xml:space="preserve"> </w:t>
      </w:r>
      <w:r w:rsidR="001A62E8">
        <w:rPr>
          <w:lang w:val="en-US"/>
        </w:rPr>
        <w:t>reactions</w:t>
      </w:r>
      <w:r w:rsidR="003F2762">
        <w:rPr>
          <w:lang w:val="en-US"/>
        </w:rPr>
        <w:t xml:space="preserve"> compared to 4.6% of </w:t>
      </w:r>
      <w:proofErr w:type="spellStart"/>
      <w:r w:rsidR="003F2762">
        <w:rPr>
          <w:lang w:val="en-US"/>
        </w:rPr>
        <w:t>sorafenib</w:t>
      </w:r>
      <w:proofErr w:type="spellEnd"/>
      <w:r w:rsidR="003F2762">
        <w:rPr>
          <w:lang w:val="en-US"/>
        </w:rPr>
        <w:t>-treated patients</w:t>
      </w:r>
      <w:r w:rsidRPr="008214DD">
        <w:rPr>
          <w:lang w:val="en-US"/>
        </w:rPr>
        <w:t xml:space="preserve">. There was one Grade 4 TEAE and no serious events. Dose reduction or interruption due to thrombocytopenia or platelet count decreased occurred in 1.3% and 4.6% of patients respectively and there were no discontinuations. </w:t>
      </w:r>
    </w:p>
    <w:p w14:paraId="2866DF33" w14:textId="1CA48512" w:rsidR="00385FF1" w:rsidRPr="00FC4217" w:rsidRDefault="00A13AA7" w:rsidP="006B3991">
      <w:pPr>
        <w:pStyle w:val="BodyText"/>
        <w:spacing w:before="120" w:after="60"/>
        <w:rPr>
          <w:lang w:val="en-US"/>
        </w:rPr>
      </w:pPr>
      <w:proofErr w:type="gramStart"/>
      <w:r w:rsidRPr="00385FF1">
        <w:t>Amongst 1,</w:t>
      </w:r>
      <w:r>
        <w:t>823</w:t>
      </w:r>
      <w:r w:rsidRPr="00385FF1">
        <w:t xml:space="preserve"> patients treated with LENVIMA</w:t>
      </w:r>
      <w:r>
        <w:t xml:space="preserve"> monotherapy in clinical trials</w:t>
      </w:r>
      <w:r w:rsidRPr="00385FF1">
        <w:t xml:space="preserve">, </w:t>
      </w:r>
      <w:r>
        <w:t>30% of patients experienced ha</w:t>
      </w:r>
      <w:r w:rsidR="00D12D60">
        <w:t xml:space="preserve">emorrhagic events (3.9% were </w:t>
      </w:r>
      <w:r w:rsidR="00D12D60" w:rsidRPr="008214DD">
        <w:rPr>
          <w:lang w:val="en-US"/>
        </w:rPr>
        <w:t xml:space="preserve">Grade </w:t>
      </w:r>
      <w:r w:rsidR="006540BC">
        <w:rPr>
          <w:lang w:val="en-US"/>
        </w:rPr>
        <w:sym w:font="Symbol" w:char="F0B3"/>
      </w:r>
      <w:r w:rsidR="00D12D60" w:rsidRPr="008214DD">
        <w:rPr>
          <w:lang w:val="en-US"/>
        </w:rPr>
        <w:t xml:space="preserve"> 3</w:t>
      </w:r>
      <w:r w:rsidR="00D12D60">
        <w:rPr>
          <w:lang w:val="en-US"/>
        </w:rPr>
        <w:t>)</w:t>
      </w:r>
      <w:r w:rsidR="00385FF1" w:rsidRPr="00FC4217">
        <w:rPr>
          <w:lang w:val="en-US"/>
        </w:rPr>
        <w:t xml:space="preserve">, </w:t>
      </w:r>
      <w:r w:rsidR="00D12D60">
        <w:rPr>
          <w:lang w:val="en-US"/>
        </w:rPr>
        <w:t>4</w:t>
      </w:r>
      <w:r w:rsidR="00D12D60" w:rsidRPr="00FC4217">
        <w:rPr>
          <w:lang w:val="en-US"/>
        </w:rPr>
        <w:t xml:space="preserve"> </w:t>
      </w:r>
      <w:r w:rsidR="00385FF1" w:rsidRPr="00FC4217">
        <w:rPr>
          <w:lang w:val="en-US"/>
        </w:rPr>
        <w:t>patients (0.</w:t>
      </w:r>
      <w:r w:rsidR="00D12D60">
        <w:rPr>
          <w:lang w:val="en-US"/>
        </w:rPr>
        <w:t>2</w:t>
      </w:r>
      <w:r w:rsidR="00D12D60" w:rsidRPr="00FC4217" w:rsidDel="00D12D60">
        <w:rPr>
          <w:lang w:val="en-US"/>
        </w:rPr>
        <w:t xml:space="preserve"> </w:t>
      </w:r>
      <w:r w:rsidR="00385FF1" w:rsidRPr="00FC4217">
        <w:rPr>
          <w:lang w:val="en-US"/>
        </w:rPr>
        <w:t xml:space="preserve">%) had a Grade 4 </w:t>
      </w:r>
      <w:proofErr w:type="spellStart"/>
      <w:r w:rsidR="00385FF1" w:rsidRPr="00FC4217">
        <w:rPr>
          <w:lang w:val="en-US"/>
        </w:rPr>
        <w:t>haemorrhage</w:t>
      </w:r>
      <w:proofErr w:type="spellEnd"/>
      <w:r w:rsidR="00385FF1" w:rsidRPr="00FC4217">
        <w:rPr>
          <w:lang w:val="en-US"/>
        </w:rPr>
        <w:t xml:space="preserve"> and </w:t>
      </w:r>
      <w:r w:rsidR="00D12D60">
        <w:rPr>
          <w:lang w:val="en-US"/>
        </w:rPr>
        <w:t>15</w:t>
      </w:r>
      <w:r w:rsidR="00385FF1" w:rsidRPr="00FC4217">
        <w:rPr>
          <w:lang w:val="en-US"/>
        </w:rPr>
        <w:t xml:space="preserve"> patients (0.</w:t>
      </w:r>
      <w:r w:rsidR="00D12D60" w:rsidRPr="00FC4217" w:rsidDel="00D12D60">
        <w:rPr>
          <w:lang w:val="en-US"/>
        </w:rPr>
        <w:t xml:space="preserve"> </w:t>
      </w:r>
      <w:r w:rsidR="00D12D60">
        <w:rPr>
          <w:lang w:val="en-US"/>
        </w:rPr>
        <w:t>8</w:t>
      </w:r>
      <w:r w:rsidR="00385FF1" w:rsidRPr="00FC4217">
        <w:rPr>
          <w:lang w:val="en-US"/>
        </w:rPr>
        <w:t xml:space="preserve">%) had a Grade 5 reaction including arterial </w:t>
      </w:r>
      <w:proofErr w:type="spellStart"/>
      <w:r w:rsidR="00385FF1" w:rsidRPr="00FC4217">
        <w:rPr>
          <w:lang w:val="en-US"/>
        </w:rPr>
        <w:t>haemorrhage</w:t>
      </w:r>
      <w:proofErr w:type="spellEnd"/>
      <w:r w:rsidR="00385FF1" w:rsidRPr="00FC4217">
        <w:rPr>
          <w:lang w:val="en-US"/>
        </w:rPr>
        <w:t xml:space="preserve">, </w:t>
      </w:r>
      <w:r w:rsidR="00625726">
        <w:rPr>
          <w:lang w:val="en-US"/>
        </w:rPr>
        <w:t xml:space="preserve">cerebral </w:t>
      </w:r>
      <w:proofErr w:type="spellStart"/>
      <w:r w:rsidR="00625726">
        <w:rPr>
          <w:lang w:val="en-US"/>
        </w:rPr>
        <w:t>haemorrhage</w:t>
      </w:r>
      <w:proofErr w:type="spellEnd"/>
      <w:r w:rsidR="00625726">
        <w:rPr>
          <w:lang w:val="en-US"/>
        </w:rPr>
        <w:t xml:space="preserve">, </w:t>
      </w:r>
      <w:proofErr w:type="spellStart"/>
      <w:r w:rsidR="00385FF1" w:rsidRPr="00FC4217">
        <w:rPr>
          <w:lang w:val="en-US"/>
        </w:rPr>
        <w:t>haemorrhagic</w:t>
      </w:r>
      <w:proofErr w:type="spellEnd"/>
      <w:r w:rsidR="00385FF1" w:rsidRPr="00FC4217">
        <w:rPr>
          <w:lang w:val="en-US"/>
        </w:rPr>
        <w:t xml:space="preserve"> stroke, </w:t>
      </w:r>
      <w:r w:rsidR="008214DD">
        <w:rPr>
          <w:lang w:val="en-US"/>
        </w:rPr>
        <w:t xml:space="preserve">intracranial </w:t>
      </w:r>
      <w:proofErr w:type="spellStart"/>
      <w:r w:rsidR="008214DD">
        <w:rPr>
          <w:lang w:val="en-US"/>
        </w:rPr>
        <w:t>haemorrhage</w:t>
      </w:r>
      <w:proofErr w:type="spellEnd"/>
      <w:r w:rsidR="008214DD">
        <w:rPr>
          <w:lang w:val="en-US"/>
        </w:rPr>
        <w:t xml:space="preserve">, </w:t>
      </w:r>
      <w:r w:rsidR="00385FF1" w:rsidRPr="00FC4217">
        <w:rPr>
          <w:lang w:val="en-US"/>
        </w:rPr>
        <w:t xml:space="preserve">intracranial </w:t>
      </w:r>
      <w:proofErr w:type="spellStart"/>
      <w:r w:rsidR="00385FF1" w:rsidRPr="00FC4217">
        <w:rPr>
          <w:lang w:val="en-US"/>
        </w:rPr>
        <w:t>tumour</w:t>
      </w:r>
      <w:proofErr w:type="spellEnd"/>
      <w:r w:rsidR="00385FF1" w:rsidRPr="00FC4217">
        <w:rPr>
          <w:lang w:val="en-US"/>
        </w:rPr>
        <w:t xml:space="preserve"> </w:t>
      </w:r>
      <w:proofErr w:type="spellStart"/>
      <w:r w:rsidR="00385FF1" w:rsidRPr="00FC4217">
        <w:rPr>
          <w:lang w:val="en-US"/>
        </w:rPr>
        <w:t>haemorrhage</w:t>
      </w:r>
      <w:proofErr w:type="spellEnd"/>
      <w:r w:rsidR="00385FF1" w:rsidRPr="00FC4217">
        <w:rPr>
          <w:lang w:val="en-US"/>
        </w:rPr>
        <w:t>,</w:t>
      </w:r>
      <w:r w:rsidR="00625726">
        <w:rPr>
          <w:lang w:val="en-US"/>
        </w:rPr>
        <w:t xml:space="preserve"> intestinal </w:t>
      </w:r>
      <w:proofErr w:type="spellStart"/>
      <w:r w:rsidR="00625726">
        <w:rPr>
          <w:lang w:val="en-US"/>
        </w:rPr>
        <w:t>haemorrhage</w:t>
      </w:r>
      <w:proofErr w:type="spellEnd"/>
      <w:r w:rsidR="00625726">
        <w:rPr>
          <w:lang w:val="en-US"/>
        </w:rPr>
        <w:t xml:space="preserve">, </w:t>
      </w:r>
      <w:r w:rsidR="00385FF1" w:rsidRPr="00FC4217">
        <w:rPr>
          <w:lang w:val="en-US"/>
        </w:rPr>
        <w:t xml:space="preserve"> </w:t>
      </w:r>
      <w:proofErr w:type="spellStart"/>
      <w:r w:rsidR="008214DD">
        <w:rPr>
          <w:lang w:val="en-US"/>
        </w:rPr>
        <w:t>haematemesis</w:t>
      </w:r>
      <w:proofErr w:type="spellEnd"/>
      <w:r w:rsidR="008214DD">
        <w:rPr>
          <w:lang w:val="en-US"/>
        </w:rPr>
        <w:t xml:space="preserve">, </w:t>
      </w:r>
      <w:proofErr w:type="spellStart"/>
      <w:r w:rsidR="008214DD">
        <w:rPr>
          <w:lang w:val="en-US"/>
        </w:rPr>
        <w:t>melaena</w:t>
      </w:r>
      <w:proofErr w:type="spellEnd"/>
      <w:r w:rsidR="008214DD">
        <w:rPr>
          <w:lang w:val="en-US"/>
        </w:rPr>
        <w:t xml:space="preserve">, </w:t>
      </w:r>
      <w:proofErr w:type="spellStart"/>
      <w:r w:rsidR="00385FF1" w:rsidRPr="00FC4217">
        <w:rPr>
          <w:lang w:val="en-US"/>
        </w:rPr>
        <w:t>haem</w:t>
      </w:r>
      <w:r w:rsidR="00324AFD">
        <w:rPr>
          <w:lang w:val="en-US"/>
        </w:rPr>
        <w:t>optysis</w:t>
      </w:r>
      <w:proofErr w:type="spellEnd"/>
      <w:r w:rsidR="00625726">
        <w:rPr>
          <w:lang w:val="en-US"/>
        </w:rPr>
        <w:t xml:space="preserve">, upper gastrointestinal </w:t>
      </w:r>
      <w:proofErr w:type="spellStart"/>
      <w:r w:rsidR="00625726">
        <w:rPr>
          <w:lang w:val="en-US"/>
        </w:rPr>
        <w:t>haemorrhage</w:t>
      </w:r>
      <w:proofErr w:type="spellEnd"/>
      <w:r w:rsidR="00625726">
        <w:rPr>
          <w:lang w:val="en-US"/>
        </w:rPr>
        <w:t xml:space="preserve">, </w:t>
      </w:r>
      <w:r w:rsidR="00324AFD">
        <w:rPr>
          <w:lang w:val="en-US"/>
        </w:rPr>
        <w:t xml:space="preserve"> and </w:t>
      </w:r>
      <w:proofErr w:type="spellStart"/>
      <w:r w:rsidR="00324AFD">
        <w:rPr>
          <w:lang w:val="en-US"/>
        </w:rPr>
        <w:t>tumour</w:t>
      </w:r>
      <w:proofErr w:type="spellEnd"/>
      <w:r w:rsidR="00324AFD">
        <w:rPr>
          <w:lang w:val="en-US"/>
        </w:rPr>
        <w:t xml:space="preserve"> </w:t>
      </w:r>
      <w:proofErr w:type="spellStart"/>
      <w:r w:rsidR="00324AFD">
        <w:rPr>
          <w:lang w:val="en-US"/>
        </w:rPr>
        <w:t>haemorrhage</w:t>
      </w:r>
      <w:proofErr w:type="spellEnd"/>
      <w:r w:rsidR="00324AFD">
        <w:rPr>
          <w:lang w:val="en-US"/>
        </w:rPr>
        <w:t>.</w:t>
      </w:r>
      <w:proofErr w:type="gramEnd"/>
    </w:p>
    <w:p w14:paraId="2866DF36" w14:textId="77777777" w:rsidR="00E00B24" w:rsidRPr="00FC4217" w:rsidRDefault="00E00B24" w:rsidP="00FC4217">
      <w:pPr>
        <w:pStyle w:val="Heading4"/>
      </w:pPr>
      <w:r w:rsidRPr="00FC4217">
        <w:t>Hypocalcaemia</w:t>
      </w:r>
    </w:p>
    <w:p w14:paraId="2866DF37" w14:textId="701C8335" w:rsidR="00A57B23" w:rsidRPr="00FC4217" w:rsidRDefault="00E00B24" w:rsidP="006B3991">
      <w:pPr>
        <w:pStyle w:val="BodyText"/>
        <w:spacing w:before="120" w:after="60"/>
        <w:rPr>
          <w:lang w:val="en-US"/>
        </w:rPr>
      </w:pPr>
      <w:r w:rsidRPr="00FC4217">
        <w:rPr>
          <w:lang w:val="en-US"/>
        </w:rPr>
        <w:t xml:space="preserve">In the pivotal </w:t>
      </w:r>
      <w:r w:rsidR="00385FF1" w:rsidRPr="00FC4217">
        <w:rPr>
          <w:lang w:val="en-US"/>
        </w:rPr>
        <w:t xml:space="preserve">DTC </w:t>
      </w:r>
      <w:r w:rsidRPr="00FC4217">
        <w:rPr>
          <w:lang w:val="en-US"/>
        </w:rPr>
        <w:t>Phase</w:t>
      </w:r>
      <w:r w:rsidR="00352697" w:rsidRPr="00FC4217">
        <w:rPr>
          <w:lang w:val="en-US"/>
        </w:rPr>
        <w:t xml:space="preserv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FC4217">
        <w:rPr>
          <w:lang w:val="en-US"/>
        </w:rPr>
        <w:t xml:space="preserve">), hypocalcaemia </w:t>
      </w:r>
      <w:proofErr w:type="gramStart"/>
      <w:r w:rsidRPr="00FC4217">
        <w:rPr>
          <w:lang w:val="en-US"/>
        </w:rPr>
        <w:t>was reported</w:t>
      </w:r>
      <w:proofErr w:type="gramEnd"/>
      <w:r w:rsidRPr="00FC4217">
        <w:rPr>
          <w:lang w:val="en-US"/>
        </w:rPr>
        <w:t xml:space="preserve"> in 12.6% of </w:t>
      </w:r>
      <w:r w:rsidR="0075622C" w:rsidRPr="00FC4217">
        <w:rPr>
          <w:lang w:val="en-US"/>
        </w:rPr>
        <w:t>LENVIMA</w:t>
      </w:r>
      <w:r w:rsidR="007C36D5" w:rsidRPr="00FC4217">
        <w:rPr>
          <w:lang w:val="en-US"/>
        </w:rPr>
        <w:t xml:space="preserve"> </w:t>
      </w:r>
      <w:r w:rsidRPr="00FC4217">
        <w:rPr>
          <w:lang w:val="en-US"/>
        </w:rPr>
        <w:t xml:space="preserve">treated patients vs. no events in the placebo arm. The median time to first onset in </w:t>
      </w:r>
      <w:r w:rsidR="0075622C" w:rsidRPr="00FC4217">
        <w:rPr>
          <w:lang w:val="en-US"/>
        </w:rPr>
        <w:t>LENVIMA</w:t>
      </w:r>
      <w:r w:rsidRPr="00FC4217">
        <w:rPr>
          <w:lang w:val="en-US"/>
        </w:rPr>
        <w:t xml:space="preserve">-treated patients was 11.1 weeks. Events of Grade 3 or </w:t>
      </w:r>
      <w:proofErr w:type="gramStart"/>
      <w:r w:rsidRPr="00FC4217">
        <w:rPr>
          <w:lang w:val="en-US"/>
        </w:rPr>
        <w:t>4</w:t>
      </w:r>
      <w:proofErr w:type="gramEnd"/>
      <w:r w:rsidRPr="00FC4217">
        <w:rPr>
          <w:lang w:val="en-US"/>
        </w:rPr>
        <w:t xml:space="preserve"> severity occurred in 5.0% of </w:t>
      </w:r>
      <w:r w:rsidR="0075622C" w:rsidRPr="00FC4217">
        <w:rPr>
          <w:lang w:val="en-US"/>
        </w:rPr>
        <w:t>LENVIMA</w:t>
      </w:r>
      <w:r w:rsidRPr="00FC4217">
        <w:rPr>
          <w:lang w:val="en-US"/>
        </w:rPr>
        <w:t>-treated vs 0 placebo-treated patients. Most events resolved following supportive treatment, without dose interruption or reduction, which occurred in 1.5% and 1.1% of patients, respectively; 1 patient with Grade 4 hypocalcaemia discontinued treatment permanently.</w:t>
      </w:r>
    </w:p>
    <w:p w14:paraId="2866DF39" w14:textId="60981DCB" w:rsidR="00385FF1" w:rsidRPr="00FC4217" w:rsidRDefault="00385FF1" w:rsidP="006B3991">
      <w:pPr>
        <w:pStyle w:val="BodyText"/>
        <w:spacing w:before="120" w:after="60"/>
        <w:rPr>
          <w:lang w:val="en-US"/>
        </w:rPr>
      </w:pPr>
      <w:r w:rsidRPr="00FC4217">
        <w:rPr>
          <w:lang w:val="en-US"/>
        </w:rPr>
        <w:t xml:space="preserve">In the </w:t>
      </w:r>
      <w:proofErr w:type="gramStart"/>
      <w:r w:rsidRPr="00FC4217">
        <w:rPr>
          <w:lang w:val="en-US"/>
        </w:rPr>
        <w:t>RCC</w:t>
      </w:r>
      <w:proofErr w:type="gramEnd"/>
      <w:r w:rsidRPr="00FC4217">
        <w:rPr>
          <w:lang w:val="en-US"/>
        </w:rPr>
        <w:t xml:space="preserve">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FC4217">
        <w:rPr>
          <w:lang w:val="en-US"/>
        </w:rPr>
        <w:t xml:space="preserve">) Phase 1b plus Phase 2 population, hypocalcaemia was reported in 8.1% of patients in the LENVIMA plus </w:t>
      </w:r>
      <w:proofErr w:type="spellStart"/>
      <w:r w:rsidRPr="00FC4217">
        <w:rPr>
          <w:lang w:val="en-US"/>
        </w:rPr>
        <w:t>everolimus</w:t>
      </w:r>
      <w:proofErr w:type="spellEnd"/>
      <w:r w:rsidRPr="00FC4217">
        <w:rPr>
          <w:lang w:val="en-US"/>
        </w:rPr>
        <w:t xml:space="preserve">-treated group (3.2% were Grade </w:t>
      </w:r>
      <w:r w:rsidR="006540BC">
        <w:rPr>
          <w:lang w:val="en-US"/>
        </w:rPr>
        <w:sym w:font="Symbol" w:char="F0B3"/>
      </w:r>
      <w:r w:rsidRPr="00FC4217">
        <w:rPr>
          <w:lang w:val="en-US"/>
        </w:rPr>
        <w:t xml:space="preserve"> 3) and 4.0% of patients in the </w:t>
      </w:r>
      <w:proofErr w:type="spellStart"/>
      <w:r w:rsidRPr="00FC4217">
        <w:rPr>
          <w:lang w:val="en-US"/>
        </w:rPr>
        <w:t>everolimus</w:t>
      </w:r>
      <w:proofErr w:type="spellEnd"/>
      <w:r w:rsidRPr="00FC4217">
        <w:rPr>
          <w:lang w:val="en-US"/>
        </w:rPr>
        <w:t xml:space="preserve">-treated group (none were Grade </w:t>
      </w:r>
      <w:r w:rsidR="006540BC">
        <w:rPr>
          <w:lang w:val="en-US"/>
        </w:rPr>
        <w:sym w:font="Symbol" w:char="F0B3"/>
      </w:r>
      <w:r w:rsidRPr="00FC4217">
        <w:rPr>
          <w:lang w:val="en-US"/>
        </w:rPr>
        <w:t xml:space="preserve"> 3). The median time to onset of hypocalcaemia was 28.3 weeks (any grade) and 45.9 weeks (Grade </w:t>
      </w:r>
      <w:r w:rsidR="006540BC">
        <w:rPr>
          <w:lang w:val="en-US"/>
        </w:rPr>
        <w:sym w:font="Symbol" w:char="F0B3"/>
      </w:r>
      <w:r w:rsidRPr="00FC4217">
        <w:rPr>
          <w:lang w:val="en-US"/>
        </w:rPr>
        <w:t xml:space="preserve"> 3) in the LENVIMA plus </w:t>
      </w:r>
      <w:proofErr w:type="spellStart"/>
      <w:r w:rsidRPr="00FC4217">
        <w:rPr>
          <w:lang w:val="en-US"/>
        </w:rPr>
        <w:t>everolimus</w:t>
      </w:r>
      <w:proofErr w:type="spellEnd"/>
      <w:r w:rsidRPr="00FC4217">
        <w:rPr>
          <w:lang w:val="en-US"/>
        </w:rPr>
        <w:t>-treated group. There was one Grade 4 TEAE. No events of hypocalcaemia required dose reduction or interruption, and no patients discontinued treatment due to hypocalcaemia.</w:t>
      </w:r>
    </w:p>
    <w:p w14:paraId="2C2EA542" w14:textId="36E6D90B" w:rsidR="008214DD" w:rsidRPr="008214DD" w:rsidRDefault="008214DD" w:rsidP="006B3991">
      <w:pPr>
        <w:pStyle w:val="BodyText"/>
        <w:spacing w:before="120" w:after="60"/>
        <w:rPr>
          <w:lang w:val="en-US"/>
        </w:rPr>
      </w:pPr>
      <w:r w:rsidRPr="008214DD">
        <w:rPr>
          <w:lang w:val="en-US"/>
        </w:rPr>
        <w:t xml:space="preserve">In the Phase 3 HCC trial (see </w:t>
      </w:r>
      <w:r w:rsidR="00C77CF2">
        <w:rPr>
          <w:lang w:val="en-US"/>
        </w:rPr>
        <w:t xml:space="preserve">Section </w:t>
      </w:r>
      <w:r w:rsidR="00C77CF2">
        <w:rPr>
          <w:lang w:val="en-US"/>
        </w:rPr>
        <w:fldChar w:fldCharType="begin"/>
      </w:r>
      <w:r w:rsidR="00C77CF2">
        <w:rPr>
          <w:lang w:val="en-US"/>
        </w:rPr>
        <w:instrText xml:space="preserve"> REF _Ref503528653 \r \h </w:instrText>
      </w:r>
      <w:r w:rsidR="006B3991">
        <w:rPr>
          <w:lang w:val="en-US"/>
        </w:rPr>
        <w:instrText xml:space="preserve"> \* MERGEFORMAT </w:instrText>
      </w:r>
      <w:r w:rsidR="00C77CF2">
        <w:rPr>
          <w:lang w:val="en-US"/>
        </w:rPr>
      </w:r>
      <w:r w:rsidR="00C77CF2">
        <w:rPr>
          <w:lang w:val="en-US"/>
        </w:rPr>
        <w:fldChar w:fldCharType="separate"/>
      </w:r>
      <w:r w:rsidR="0064223A">
        <w:rPr>
          <w:lang w:val="en-US"/>
        </w:rPr>
        <w:t>5.1</w:t>
      </w:r>
      <w:r w:rsidR="00C77CF2">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C77CF2">
        <w:rPr>
          <w:lang w:val="en-US"/>
        </w:rPr>
        <w:t xml:space="preserve">, </w:t>
      </w:r>
      <w:r w:rsidR="00B662F4">
        <w:rPr>
          <w:lang w:val="en-US"/>
        </w:rPr>
        <w:t>Clinical trials</w:t>
      </w:r>
      <w:r w:rsidRPr="008214DD">
        <w:rPr>
          <w:lang w:val="en-US"/>
        </w:rPr>
        <w:t>), was reported in 1.1% of patients</w:t>
      </w:r>
      <w:r w:rsidR="009D2F0B">
        <w:rPr>
          <w:lang w:val="en-US"/>
        </w:rPr>
        <w:t xml:space="preserve"> compared with 1.7% of </w:t>
      </w:r>
      <w:proofErr w:type="spellStart"/>
      <w:r w:rsidR="009D2F0B">
        <w:rPr>
          <w:lang w:val="en-US"/>
        </w:rPr>
        <w:t>sorafenib</w:t>
      </w:r>
      <w:proofErr w:type="spellEnd"/>
      <w:r w:rsidR="009D2F0B">
        <w:rPr>
          <w:lang w:val="en-US"/>
        </w:rPr>
        <w:t xml:space="preserve">-treated </w:t>
      </w:r>
      <w:proofErr w:type="gramStart"/>
      <w:r w:rsidR="009D2F0B">
        <w:rPr>
          <w:lang w:val="en-US"/>
        </w:rPr>
        <w:t>patients</w:t>
      </w:r>
      <w:r w:rsidR="00514B04">
        <w:rPr>
          <w:lang w:val="en-US"/>
        </w:rPr>
        <w:t>.</w:t>
      </w:r>
      <w:r w:rsidR="00B229B7">
        <w:rPr>
          <w:lang w:val="en-US"/>
        </w:rPr>
        <w:t>0.4%</w:t>
      </w:r>
      <w:proofErr w:type="gramEnd"/>
      <w:r w:rsidR="00B229B7">
        <w:rPr>
          <w:lang w:val="en-US"/>
        </w:rPr>
        <w:t xml:space="preserve"> of patients treated with LENVIMA experienced </w:t>
      </w:r>
      <w:r w:rsidR="006604B7">
        <w:rPr>
          <w:lang w:val="en-US"/>
        </w:rPr>
        <w:t>G</w:t>
      </w:r>
      <w:r w:rsidRPr="008214DD">
        <w:rPr>
          <w:lang w:val="en-US"/>
        </w:rPr>
        <w:t>rade</w:t>
      </w:r>
      <w:r w:rsidR="006604B7">
        <w:rPr>
          <w:lang w:val="en-US"/>
        </w:rPr>
        <w:t xml:space="preserve"> </w:t>
      </w:r>
      <w:r w:rsidR="006540BC">
        <w:rPr>
          <w:lang w:val="en-US"/>
        </w:rPr>
        <w:sym w:font="Symbol" w:char="F0B3"/>
      </w:r>
      <w:r w:rsidRPr="008214DD">
        <w:rPr>
          <w:lang w:val="en-US"/>
        </w:rPr>
        <w:t xml:space="preserve"> 3 reactions</w:t>
      </w:r>
      <w:r w:rsidR="00B229B7">
        <w:rPr>
          <w:lang w:val="en-US"/>
        </w:rPr>
        <w:t xml:space="preserve"> and this figure was 0.2% in </w:t>
      </w:r>
      <w:proofErr w:type="spellStart"/>
      <w:r w:rsidR="00B229B7">
        <w:rPr>
          <w:lang w:val="en-US"/>
        </w:rPr>
        <w:t>sorafenib</w:t>
      </w:r>
      <w:proofErr w:type="spellEnd"/>
      <w:r w:rsidR="00B229B7">
        <w:rPr>
          <w:lang w:val="en-US"/>
        </w:rPr>
        <w:t xml:space="preserve">-treated patients. </w:t>
      </w:r>
      <w:r w:rsidRPr="008214DD">
        <w:rPr>
          <w:lang w:val="en-US"/>
        </w:rPr>
        <w:t xml:space="preserve"> LENVIMA dose interruption due to hypocalcaemia occurred in one subject (0.2%) and there were no dose reductions or discontinuations.</w:t>
      </w:r>
    </w:p>
    <w:p w14:paraId="2866DF3B" w14:textId="77777777" w:rsidR="00385FF1" w:rsidRPr="00FC4217" w:rsidRDefault="00385FF1" w:rsidP="00FC4217">
      <w:pPr>
        <w:pStyle w:val="Heading4"/>
      </w:pPr>
      <w:r w:rsidRPr="00FC4217">
        <w:t xml:space="preserve">Gastrointestinal perforation and fistula formation </w:t>
      </w:r>
    </w:p>
    <w:p w14:paraId="2866DF3C" w14:textId="182B5EC6" w:rsidR="00385FF1" w:rsidRPr="00FC4217" w:rsidRDefault="00385FF1" w:rsidP="006B3991">
      <w:pPr>
        <w:pStyle w:val="BodyText"/>
        <w:spacing w:before="120" w:after="60"/>
        <w:rPr>
          <w:lang w:val="en-US"/>
        </w:rPr>
      </w:pPr>
      <w:r w:rsidRPr="00FC4217">
        <w:rPr>
          <w:lang w:val="en-US"/>
        </w:rPr>
        <w:t>In the pivotal DTC Phase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FC4217">
        <w:rPr>
          <w:lang w:val="en-US"/>
        </w:rPr>
        <w:t xml:space="preserve">), events of gastrointestinal perforation or fistula </w:t>
      </w:r>
      <w:proofErr w:type="gramStart"/>
      <w:r w:rsidRPr="00FC4217">
        <w:rPr>
          <w:lang w:val="en-US"/>
        </w:rPr>
        <w:t>were reported</w:t>
      </w:r>
      <w:proofErr w:type="gramEnd"/>
      <w:r w:rsidRPr="00FC4217">
        <w:rPr>
          <w:lang w:val="en-US"/>
        </w:rPr>
        <w:t xml:space="preserve"> in 1.9% of LENVIMA treated patients and 0.8% of patients in the placebo group.</w:t>
      </w:r>
    </w:p>
    <w:p w14:paraId="2866DF3E" w14:textId="793611EB" w:rsidR="00385FF1" w:rsidRPr="00FC4217" w:rsidRDefault="00385FF1" w:rsidP="006B3991">
      <w:pPr>
        <w:pStyle w:val="BodyText"/>
        <w:spacing w:before="120" w:after="60"/>
        <w:rPr>
          <w:lang w:val="en-US"/>
        </w:rPr>
      </w:pPr>
      <w:r w:rsidRPr="00FC4217">
        <w:rPr>
          <w:lang w:val="en-US"/>
        </w:rPr>
        <w:lastRenderedPageBreak/>
        <w:t>In the RCC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FC4217">
        <w:rPr>
          <w:lang w:val="en-US"/>
        </w:rPr>
        <w:t xml:space="preserve">) Phase 1b plus Phase 2 population, 1.6% of cases of perforated appendicitis (of Grade 3) occurred in the LENVIMA plus </w:t>
      </w:r>
      <w:proofErr w:type="spellStart"/>
      <w:r w:rsidRPr="00FC4217">
        <w:rPr>
          <w:lang w:val="en-US"/>
        </w:rPr>
        <w:t>everolimus</w:t>
      </w:r>
      <w:proofErr w:type="spellEnd"/>
      <w:r w:rsidRPr="00FC4217">
        <w:rPr>
          <w:lang w:val="en-US"/>
        </w:rPr>
        <w:t xml:space="preserve">-treated group; there were no reports in the LENVIMA or </w:t>
      </w:r>
      <w:proofErr w:type="spellStart"/>
      <w:r w:rsidRPr="00FC4217">
        <w:rPr>
          <w:lang w:val="en-US"/>
        </w:rPr>
        <w:t>everolimus</w:t>
      </w:r>
      <w:proofErr w:type="spellEnd"/>
      <w:r w:rsidRPr="00FC4217">
        <w:rPr>
          <w:lang w:val="en-US"/>
        </w:rPr>
        <w:t xml:space="preserve"> groups.</w:t>
      </w:r>
    </w:p>
    <w:p w14:paraId="31BF5E46" w14:textId="7253DC3C" w:rsidR="008214DD" w:rsidRPr="008214DD" w:rsidRDefault="008214DD" w:rsidP="006B3991">
      <w:pPr>
        <w:pStyle w:val="BodyText"/>
        <w:spacing w:before="120" w:after="60"/>
        <w:rPr>
          <w:lang w:val="en-US"/>
        </w:rPr>
      </w:pPr>
      <w:r w:rsidRPr="008214DD">
        <w:rPr>
          <w:lang w:val="en-US"/>
        </w:rPr>
        <w:t xml:space="preserve">In the Phase 3 HCC trial (see </w:t>
      </w:r>
      <w:r w:rsidR="00C77CF2">
        <w:rPr>
          <w:lang w:val="en-US"/>
        </w:rPr>
        <w:t xml:space="preserve">Section </w:t>
      </w:r>
      <w:r w:rsidR="00C77CF2">
        <w:rPr>
          <w:lang w:val="en-US"/>
        </w:rPr>
        <w:fldChar w:fldCharType="begin"/>
      </w:r>
      <w:r w:rsidR="00C77CF2">
        <w:rPr>
          <w:lang w:val="en-US"/>
        </w:rPr>
        <w:instrText xml:space="preserve"> REF _Ref503528653 \r \h </w:instrText>
      </w:r>
      <w:r w:rsidR="006B3991">
        <w:rPr>
          <w:lang w:val="en-US"/>
        </w:rPr>
        <w:instrText xml:space="preserve"> \* MERGEFORMAT </w:instrText>
      </w:r>
      <w:r w:rsidR="00C77CF2">
        <w:rPr>
          <w:lang w:val="en-US"/>
        </w:rPr>
      </w:r>
      <w:r w:rsidR="00C77CF2">
        <w:rPr>
          <w:lang w:val="en-US"/>
        </w:rPr>
        <w:fldChar w:fldCharType="separate"/>
      </w:r>
      <w:r w:rsidR="0064223A">
        <w:rPr>
          <w:lang w:val="en-US"/>
        </w:rPr>
        <w:t>5.1</w:t>
      </w:r>
      <w:r w:rsidR="00C77CF2">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C77CF2">
        <w:rPr>
          <w:lang w:val="en-US"/>
        </w:rPr>
        <w:t xml:space="preserve">, </w:t>
      </w:r>
      <w:r w:rsidR="00B662F4">
        <w:rPr>
          <w:lang w:val="en-US"/>
        </w:rPr>
        <w:t>Clinical trials</w:t>
      </w:r>
      <w:r w:rsidRPr="008214DD">
        <w:rPr>
          <w:lang w:val="en-US"/>
        </w:rPr>
        <w:t xml:space="preserve">), events of gastrointestinal perforation or fistula </w:t>
      </w:r>
      <w:proofErr w:type="gramStart"/>
      <w:r w:rsidRPr="008214DD">
        <w:rPr>
          <w:lang w:val="en-US"/>
        </w:rPr>
        <w:t>were reported</w:t>
      </w:r>
      <w:proofErr w:type="gramEnd"/>
      <w:r w:rsidRPr="008214DD">
        <w:rPr>
          <w:lang w:val="en-US"/>
        </w:rPr>
        <w:t xml:space="preserve"> in 1.9% of LENVIMA-treated patients</w:t>
      </w:r>
      <w:r w:rsidR="002B1714">
        <w:rPr>
          <w:lang w:val="en-US"/>
        </w:rPr>
        <w:t xml:space="preserve"> and in 1.1</w:t>
      </w:r>
      <w:r w:rsidR="006540BC">
        <w:rPr>
          <w:lang w:val="en-US"/>
        </w:rPr>
        <w:t xml:space="preserve">% of </w:t>
      </w:r>
      <w:proofErr w:type="spellStart"/>
      <w:r w:rsidR="006540BC">
        <w:rPr>
          <w:lang w:val="en-US"/>
        </w:rPr>
        <w:t>sorafenib</w:t>
      </w:r>
      <w:proofErr w:type="spellEnd"/>
      <w:r w:rsidR="006540BC">
        <w:rPr>
          <w:lang w:val="en-US"/>
        </w:rPr>
        <w:t>-treated patients.</w:t>
      </w:r>
    </w:p>
    <w:p w14:paraId="2866DF40" w14:textId="221D4D65" w:rsidR="00385FF1" w:rsidRPr="00FC4217" w:rsidRDefault="00385FF1" w:rsidP="00FC4217">
      <w:pPr>
        <w:pStyle w:val="Heading4"/>
        <w:rPr>
          <w:lang w:val="en-US"/>
        </w:rPr>
      </w:pPr>
      <w:r w:rsidRPr="00FC4217">
        <w:rPr>
          <w:lang w:val="en-US"/>
        </w:rPr>
        <w:t>Non-Gastrointestinal fistulae (</w:t>
      </w:r>
      <w:r w:rsidR="00505C3C" w:rsidRPr="009D7EAE">
        <w:t xml:space="preserve">See </w:t>
      </w:r>
      <w:r w:rsidR="00505C3C">
        <w:t xml:space="preserve">Section </w:t>
      </w:r>
      <w:r w:rsidR="00505C3C">
        <w:fldChar w:fldCharType="begin"/>
      </w:r>
      <w:r w:rsidR="00505C3C">
        <w:instrText xml:space="preserve"> REF _Ref503187146 \r \h </w:instrText>
      </w:r>
      <w:r w:rsidR="00505C3C">
        <w:fldChar w:fldCharType="separate"/>
      </w:r>
      <w:r w:rsidR="0064223A">
        <w:t>4.4</w:t>
      </w:r>
      <w:r w:rsidR="00505C3C">
        <w:fldChar w:fldCharType="end"/>
      </w:r>
      <w:r w:rsidR="008B3996">
        <w:t xml:space="preserve"> Special warnings and precautions for use</w:t>
      </w:r>
      <w:r w:rsidRPr="00FC4217">
        <w:rPr>
          <w:lang w:val="en-US"/>
        </w:rPr>
        <w:t>)</w:t>
      </w:r>
    </w:p>
    <w:p w14:paraId="2866DF41" w14:textId="77777777" w:rsidR="00385FF1" w:rsidRPr="00FC4217" w:rsidRDefault="00385FF1" w:rsidP="006B3991">
      <w:pPr>
        <w:pStyle w:val="BodyText"/>
        <w:spacing w:before="120" w:after="60"/>
        <w:rPr>
          <w:lang w:val="en-US"/>
        </w:rPr>
      </w:pPr>
      <w:r w:rsidRPr="00FC4217">
        <w:rPr>
          <w:lang w:val="en-US"/>
        </w:rPr>
        <w:t xml:space="preserve">LENVIMA use has been associated with cases of fistulae including reactions resulting in death. Reports of fistulae that involve areas of the body other than stomach or intestines </w:t>
      </w:r>
      <w:proofErr w:type="gramStart"/>
      <w:r w:rsidRPr="00FC4217">
        <w:rPr>
          <w:lang w:val="en-US"/>
        </w:rPr>
        <w:t>were observed</w:t>
      </w:r>
      <w:proofErr w:type="gramEnd"/>
      <w:r w:rsidRPr="00FC4217">
        <w:rPr>
          <w:lang w:val="en-US"/>
        </w:rPr>
        <w:t xml:space="preserve"> across various indications. Reactions </w:t>
      </w:r>
      <w:proofErr w:type="gramStart"/>
      <w:r w:rsidRPr="00FC4217">
        <w:rPr>
          <w:lang w:val="en-US"/>
        </w:rPr>
        <w:t>were reported</w:t>
      </w:r>
      <w:proofErr w:type="gramEnd"/>
      <w:r w:rsidRPr="00FC4217">
        <w:rPr>
          <w:lang w:val="en-US"/>
        </w:rPr>
        <w:t xml:space="preserve"> at various time points during treatment ranging from two weeks to greater than 1 year from initiation of LENVIMA, with a median latency of about 3 months.</w:t>
      </w:r>
    </w:p>
    <w:p w14:paraId="2866DF43" w14:textId="77777777" w:rsidR="00385FF1" w:rsidRPr="00FC4217" w:rsidRDefault="00385FF1" w:rsidP="00FC4217">
      <w:pPr>
        <w:pStyle w:val="Heading4"/>
      </w:pPr>
      <w:r w:rsidRPr="00FC4217">
        <w:t xml:space="preserve">QT interval prolongation </w:t>
      </w:r>
    </w:p>
    <w:p w14:paraId="2866DF44" w14:textId="754FA4F6" w:rsidR="00385FF1" w:rsidRPr="00FC4217" w:rsidRDefault="00385FF1" w:rsidP="006B3991">
      <w:pPr>
        <w:pStyle w:val="BodyText"/>
        <w:spacing w:before="120" w:after="60"/>
        <w:rPr>
          <w:lang w:val="en-US"/>
        </w:rPr>
      </w:pPr>
      <w:r w:rsidRPr="00FC4217">
        <w:rPr>
          <w:lang w:val="en-US"/>
        </w:rPr>
        <w:t>In the pivotal DTC Phase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FC4217">
        <w:rPr>
          <w:lang w:val="en-US"/>
        </w:rPr>
        <w:t>), QT/</w:t>
      </w:r>
      <w:proofErr w:type="spellStart"/>
      <w:r w:rsidRPr="00FC4217">
        <w:rPr>
          <w:lang w:val="en-US"/>
        </w:rPr>
        <w:t>QTc</w:t>
      </w:r>
      <w:proofErr w:type="spellEnd"/>
      <w:r w:rsidRPr="00FC4217">
        <w:rPr>
          <w:lang w:val="en-US"/>
        </w:rPr>
        <w:t xml:space="preserve"> interval prolongation </w:t>
      </w:r>
      <w:proofErr w:type="gramStart"/>
      <w:r w:rsidRPr="00FC4217">
        <w:rPr>
          <w:lang w:val="en-US"/>
        </w:rPr>
        <w:t>was reported</w:t>
      </w:r>
      <w:proofErr w:type="gramEnd"/>
      <w:r w:rsidRPr="00FC4217">
        <w:rPr>
          <w:lang w:val="en-US"/>
        </w:rPr>
        <w:t xml:space="preserve"> in 8.8% of LENVIMA treated patients and 1.5% of patients in the placebo group. The incidence of QT interval prolongation of greater than 500 </w:t>
      </w:r>
      <w:proofErr w:type="spellStart"/>
      <w:r w:rsidRPr="00FC4217">
        <w:rPr>
          <w:lang w:val="en-US"/>
        </w:rPr>
        <w:t>ms</w:t>
      </w:r>
      <w:proofErr w:type="spellEnd"/>
      <w:r w:rsidRPr="00FC4217">
        <w:rPr>
          <w:lang w:val="en-US"/>
        </w:rPr>
        <w:t xml:space="preserve"> was 2% in the LENVIMA-treated patients compared to no reports in the placebo group.</w:t>
      </w:r>
    </w:p>
    <w:p w14:paraId="2866DF46" w14:textId="29C64A7C" w:rsidR="00385FF1" w:rsidRPr="00FC4217" w:rsidRDefault="00385FF1" w:rsidP="006B3991">
      <w:pPr>
        <w:pStyle w:val="BodyText"/>
        <w:spacing w:before="120" w:after="60"/>
        <w:rPr>
          <w:lang w:val="en-US"/>
        </w:rPr>
      </w:pPr>
      <w:r w:rsidRPr="00FC4217">
        <w:rPr>
          <w:lang w:val="en-US"/>
        </w:rPr>
        <w:t xml:space="preserve">In the </w:t>
      </w:r>
      <w:proofErr w:type="gramStart"/>
      <w:r w:rsidRPr="00FC4217">
        <w:rPr>
          <w:lang w:val="en-US"/>
        </w:rPr>
        <w:t>RCC</w:t>
      </w:r>
      <w:proofErr w:type="gramEnd"/>
      <w:r w:rsidRPr="00FC4217">
        <w:rPr>
          <w:lang w:val="en-US"/>
        </w:rPr>
        <w:t xml:space="preserve">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FC4217">
        <w:rPr>
          <w:lang w:val="en-US"/>
        </w:rPr>
        <w:t xml:space="preserve">) Phase 1b plus Phase 2 population, </w:t>
      </w:r>
      <w:proofErr w:type="spellStart"/>
      <w:r w:rsidRPr="00FC4217">
        <w:rPr>
          <w:lang w:val="en-US"/>
        </w:rPr>
        <w:t>QTc</w:t>
      </w:r>
      <w:proofErr w:type="spellEnd"/>
      <w:r w:rsidRPr="00FC4217">
        <w:rPr>
          <w:lang w:val="en-US"/>
        </w:rPr>
        <w:t xml:space="preserve"> interval increases greater than 60 </w:t>
      </w:r>
      <w:proofErr w:type="spellStart"/>
      <w:r w:rsidRPr="00FC4217">
        <w:rPr>
          <w:lang w:val="en-US"/>
        </w:rPr>
        <w:t>ms</w:t>
      </w:r>
      <w:proofErr w:type="spellEnd"/>
      <w:r w:rsidRPr="00FC4217">
        <w:rPr>
          <w:lang w:val="en-US"/>
        </w:rPr>
        <w:t xml:space="preserve"> were reported in 11% of patients in the LENVIMA plus </w:t>
      </w:r>
      <w:proofErr w:type="spellStart"/>
      <w:r w:rsidRPr="00FC4217">
        <w:rPr>
          <w:lang w:val="en-US"/>
        </w:rPr>
        <w:t>everolimus</w:t>
      </w:r>
      <w:proofErr w:type="spellEnd"/>
      <w:r w:rsidRPr="00FC4217">
        <w:rPr>
          <w:lang w:val="en-US"/>
        </w:rPr>
        <w:t xml:space="preserve">-treated group. The incidence of </w:t>
      </w:r>
      <w:proofErr w:type="spellStart"/>
      <w:r w:rsidRPr="00FC4217">
        <w:rPr>
          <w:lang w:val="en-US"/>
        </w:rPr>
        <w:t>QTc</w:t>
      </w:r>
      <w:proofErr w:type="spellEnd"/>
      <w:r w:rsidRPr="00FC4217">
        <w:rPr>
          <w:lang w:val="en-US"/>
        </w:rPr>
        <w:t xml:space="preserve"> interval greater than 500 </w:t>
      </w:r>
      <w:proofErr w:type="spellStart"/>
      <w:r w:rsidRPr="00FC4217">
        <w:rPr>
          <w:lang w:val="en-US"/>
        </w:rPr>
        <w:t>ms</w:t>
      </w:r>
      <w:proofErr w:type="spellEnd"/>
      <w:r w:rsidRPr="00FC4217">
        <w:rPr>
          <w:lang w:val="en-US"/>
        </w:rPr>
        <w:t xml:space="preserve"> was 6% in the LENVIMA plus </w:t>
      </w:r>
      <w:proofErr w:type="spellStart"/>
      <w:r w:rsidRPr="00FC4217">
        <w:rPr>
          <w:lang w:val="en-US"/>
        </w:rPr>
        <w:t>everolimus</w:t>
      </w:r>
      <w:proofErr w:type="spellEnd"/>
      <w:r w:rsidRPr="00FC4217">
        <w:rPr>
          <w:lang w:val="en-US"/>
        </w:rPr>
        <w:t xml:space="preserve">-treated group. No reports of </w:t>
      </w:r>
      <w:proofErr w:type="spellStart"/>
      <w:r w:rsidRPr="00FC4217">
        <w:rPr>
          <w:lang w:val="en-US"/>
        </w:rPr>
        <w:t>QTc</w:t>
      </w:r>
      <w:proofErr w:type="spellEnd"/>
      <w:r w:rsidRPr="00FC4217">
        <w:rPr>
          <w:lang w:val="en-US"/>
        </w:rPr>
        <w:t xml:space="preserve"> interval prolongation greater than 500 </w:t>
      </w:r>
      <w:proofErr w:type="spellStart"/>
      <w:r w:rsidRPr="00FC4217">
        <w:rPr>
          <w:lang w:val="en-US"/>
        </w:rPr>
        <w:t>ms</w:t>
      </w:r>
      <w:proofErr w:type="spellEnd"/>
      <w:r w:rsidRPr="00FC4217">
        <w:rPr>
          <w:lang w:val="en-US"/>
        </w:rPr>
        <w:t xml:space="preserve"> or increases greater than 60 </w:t>
      </w:r>
      <w:proofErr w:type="spellStart"/>
      <w:r w:rsidRPr="00FC4217">
        <w:rPr>
          <w:lang w:val="en-US"/>
        </w:rPr>
        <w:t>ms</w:t>
      </w:r>
      <w:proofErr w:type="spellEnd"/>
      <w:r w:rsidRPr="00FC4217">
        <w:rPr>
          <w:lang w:val="en-US"/>
        </w:rPr>
        <w:t xml:space="preserve"> occurred in the </w:t>
      </w:r>
      <w:proofErr w:type="spellStart"/>
      <w:r w:rsidRPr="00FC4217">
        <w:rPr>
          <w:lang w:val="en-US"/>
        </w:rPr>
        <w:t>everolimus</w:t>
      </w:r>
      <w:proofErr w:type="spellEnd"/>
      <w:r w:rsidRPr="00FC4217">
        <w:rPr>
          <w:lang w:val="en-US"/>
        </w:rPr>
        <w:t>-treated group.</w:t>
      </w:r>
    </w:p>
    <w:p w14:paraId="2866DF47" w14:textId="37244C3E" w:rsidR="00385FF1" w:rsidRDefault="008214DD" w:rsidP="006B3991">
      <w:pPr>
        <w:pStyle w:val="BodyText"/>
        <w:spacing w:before="120" w:after="60"/>
        <w:rPr>
          <w:lang w:val="en-US"/>
        </w:rPr>
      </w:pPr>
      <w:r w:rsidRPr="008214DD">
        <w:rPr>
          <w:lang w:val="en-US"/>
        </w:rPr>
        <w:t xml:space="preserve">In the Phase 3 HCC trial (see </w:t>
      </w:r>
      <w:r w:rsidR="00C77CF2">
        <w:rPr>
          <w:lang w:val="en-US"/>
        </w:rPr>
        <w:t xml:space="preserve">Section </w:t>
      </w:r>
      <w:r w:rsidR="00C77CF2">
        <w:rPr>
          <w:lang w:val="en-US"/>
        </w:rPr>
        <w:fldChar w:fldCharType="begin"/>
      </w:r>
      <w:r w:rsidR="00C77CF2">
        <w:rPr>
          <w:lang w:val="en-US"/>
        </w:rPr>
        <w:instrText xml:space="preserve"> REF _Ref503528653 \r \h </w:instrText>
      </w:r>
      <w:r w:rsidR="006B3991">
        <w:rPr>
          <w:lang w:val="en-US"/>
        </w:rPr>
        <w:instrText xml:space="preserve"> \* MERGEFORMAT </w:instrText>
      </w:r>
      <w:r w:rsidR="00C77CF2">
        <w:rPr>
          <w:lang w:val="en-US"/>
        </w:rPr>
      </w:r>
      <w:r w:rsidR="00C77CF2">
        <w:rPr>
          <w:lang w:val="en-US"/>
        </w:rPr>
        <w:fldChar w:fldCharType="separate"/>
      </w:r>
      <w:r w:rsidR="0064223A">
        <w:rPr>
          <w:lang w:val="en-US"/>
        </w:rPr>
        <w:t>5.1</w:t>
      </w:r>
      <w:r w:rsidR="00C77CF2">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C77CF2">
        <w:rPr>
          <w:lang w:val="en-US"/>
        </w:rPr>
        <w:t xml:space="preserve">, </w:t>
      </w:r>
      <w:r w:rsidR="00B662F4">
        <w:rPr>
          <w:lang w:val="en-US"/>
        </w:rPr>
        <w:t>Clinical trials</w:t>
      </w:r>
      <w:r w:rsidRPr="008214DD">
        <w:rPr>
          <w:lang w:val="en-US"/>
        </w:rPr>
        <w:t>), QT/</w:t>
      </w:r>
      <w:proofErr w:type="spellStart"/>
      <w:r w:rsidRPr="008214DD">
        <w:rPr>
          <w:lang w:val="en-US"/>
        </w:rPr>
        <w:t>QTc</w:t>
      </w:r>
      <w:proofErr w:type="spellEnd"/>
      <w:r w:rsidRPr="008214DD">
        <w:rPr>
          <w:lang w:val="en-US"/>
        </w:rPr>
        <w:t xml:space="preserve"> interval prolongation </w:t>
      </w:r>
      <w:proofErr w:type="gramStart"/>
      <w:r w:rsidRPr="008214DD">
        <w:rPr>
          <w:lang w:val="en-US"/>
        </w:rPr>
        <w:t>was reported</w:t>
      </w:r>
      <w:proofErr w:type="gramEnd"/>
      <w:r w:rsidRPr="008214DD">
        <w:rPr>
          <w:lang w:val="en-US"/>
        </w:rPr>
        <w:t xml:space="preserve"> in 6.9% of LENVIMA-treated patients</w:t>
      </w:r>
      <w:r w:rsidR="00B46D53">
        <w:rPr>
          <w:lang w:val="en-US"/>
        </w:rPr>
        <w:t xml:space="preserve"> and 5.1% of </w:t>
      </w:r>
      <w:proofErr w:type="spellStart"/>
      <w:r w:rsidR="00B46D53">
        <w:rPr>
          <w:lang w:val="en-US"/>
        </w:rPr>
        <w:t>sorafenib</w:t>
      </w:r>
      <w:proofErr w:type="spellEnd"/>
      <w:r w:rsidR="00B46D53">
        <w:rPr>
          <w:lang w:val="en-US"/>
        </w:rPr>
        <w:t>-treated patients</w:t>
      </w:r>
      <w:r w:rsidRPr="008214DD">
        <w:rPr>
          <w:lang w:val="en-US"/>
        </w:rPr>
        <w:t xml:space="preserve">. The incidence of </w:t>
      </w:r>
      <w:proofErr w:type="spellStart"/>
      <w:r w:rsidRPr="008214DD">
        <w:rPr>
          <w:lang w:val="en-US"/>
        </w:rPr>
        <w:t>QTcF</w:t>
      </w:r>
      <w:proofErr w:type="spellEnd"/>
      <w:r w:rsidRPr="008214DD">
        <w:rPr>
          <w:lang w:val="en-US"/>
        </w:rPr>
        <w:t xml:space="preserve"> interval prolongation of greater than 500ms was 2.4%.</w:t>
      </w:r>
    </w:p>
    <w:p w14:paraId="2866DF48" w14:textId="660ACBFF" w:rsidR="00385FF1" w:rsidRPr="00FC4217" w:rsidRDefault="00385FF1" w:rsidP="00FC4217">
      <w:pPr>
        <w:pStyle w:val="Heading4"/>
      </w:pPr>
      <w:r w:rsidRPr="00FC4217">
        <w:t>Blood thyroid stimulating hormone increased (</w:t>
      </w:r>
      <w:r w:rsidR="00505C3C" w:rsidRPr="009D7EAE">
        <w:t xml:space="preserve">See </w:t>
      </w:r>
      <w:r w:rsidR="00505C3C">
        <w:t xml:space="preserve">Section </w:t>
      </w:r>
      <w:r w:rsidR="00505C3C">
        <w:fldChar w:fldCharType="begin"/>
      </w:r>
      <w:r w:rsidR="00505C3C">
        <w:instrText xml:space="preserve"> REF _Ref503187146 \r \h </w:instrText>
      </w:r>
      <w:r w:rsidR="00505C3C">
        <w:fldChar w:fldCharType="separate"/>
      </w:r>
      <w:r w:rsidR="0064223A">
        <w:t>4.4</w:t>
      </w:r>
      <w:r w:rsidR="00505C3C">
        <w:fldChar w:fldCharType="end"/>
      </w:r>
      <w:r w:rsidR="008B3996">
        <w:t xml:space="preserve"> Special warnings and precautions for use,</w:t>
      </w:r>
      <w:r w:rsidRPr="00FC4217">
        <w:t xml:space="preserve"> Impairment of thyroid stimulating hormone suppression / Thyroid dysfunction)</w:t>
      </w:r>
    </w:p>
    <w:p w14:paraId="2866DF49" w14:textId="7AA0E594" w:rsidR="00385FF1" w:rsidRPr="00505C3C" w:rsidRDefault="00385FF1" w:rsidP="006B3991">
      <w:pPr>
        <w:pStyle w:val="BodyText"/>
        <w:spacing w:before="120" w:after="60"/>
        <w:rPr>
          <w:lang w:val="en-US"/>
        </w:rPr>
      </w:pPr>
      <w:r w:rsidRPr="00505C3C">
        <w:rPr>
          <w:lang w:val="en-US"/>
        </w:rPr>
        <w:t>In the pivotal DTC Phase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505C3C">
        <w:rPr>
          <w:lang w:val="en-US"/>
        </w:rPr>
        <w:t xml:space="preserve">), 88% of all patients had a baseline TSH level less than or equal to 0.5 </w:t>
      </w:r>
      <w:proofErr w:type="spellStart"/>
      <w:r w:rsidRPr="00505C3C">
        <w:rPr>
          <w:lang w:val="en-US"/>
        </w:rPr>
        <w:t>mU</w:t>
      </w:r>
      <w:proofErr w:type="spellEnd"/>
      <w:r w:rsidRPr="00505C3C">
        <w:rPr>
          <w:lang w:val="en-US"/>
        </w:rPr>
        <w:t xml:space="preserve">/L. In those patients with a normal TSH at baseline, elevation of TSH level above 0.5 </w:t>
      </w:r>
      <w:proofErr w:type="spellStart"/>
      <w:r w:rsidRPr="00505C3C">
        <w:rPr>
          <w:lang w:val="en-US"/>
        </w:rPr>
        <w:t>mU</w:t>
      </w:r>
      <w:proofErr w:type="spellEnd"/>
      <w:r w:rsidRPr="00505C3C">
        <w:rPr>
          <w:lang w:val="en-US"/>
        </w:rPr>
        <w:t xml:space="preserve">/L </w:t>
      </w:r>
      <w:proofErr w:type="gramStart"/>
      <w:r w:rsidRPr="00505C3C">
        <w:rPr>
          <w:lang w:val="en-US"/>
        </w:rPr>
        <w:t>was observed</w:t>
      </w:r>
      <w:proofErr w:type="gramEnd"/>
      <w:r w:rsidRPr="00505C3C">
        <w:rPr>
          <w:lang w:val="en-US"/>
        </w:rPr>
        <w:t xml:space="preserve"> post baseline in 57% of LENVIMA-treated patients as compared with 1</w:t>
      </w:r>
      <w:r w:rsidR="006B3991">
        <w:rPr>
          <w:lang w:val="en-US"/>
        </w:rPr>
        <w:t>4% of placebo-treated patients.</w:t>
      </w:r>
    </w:p>
    <w:p w14:paraId="2866DF4B" w14:textId="365ED13C" w:rsidR="00385FF1" w:rsidRPr="00505C3C" w:rsidRDefault="00385FF1" w:rsidP="006B3991">
      <w:pPr>
        <w:pStyle w:val="BodyText"/>
        <w:spacing w:before="120" w:after="60"/>
        <w:rPr>
          <w:lang w:val="en-US"/>
        </w:rPr>
      </w:pPr>
      <w:r w:rsidRPr="00505C3C">
        <w:rPr>
          <w:lang w:val="en-US"/>
        </w:rPr>
        <w:lastRenderedPageBreak/>
        <w:t>In the RCC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505C3C">
        <w:rPr>
          <w:lang w:val="en-US"/>
        </w:rPr>
        <w:t xml:space="preserve">) Phase 1b plus Phase 2 </w:t>
      </w:r>
      <w:proofErr w:type="gramStart"/>
      <w:r w:rsidRPr="00505C3C">
        <w:rPr>
          <w:lang w:val="en-US"/>
        </w:rPr>
        <w:t>population,</w:t>
      </w:r>
      <w:proofErr w:type="gramEnd"/>
      <w:r w:rsidRPr="00505C3C">
        <w:rPr>
          <w:lang w:val="en-US"/>
        </w:rPr>
        <w:t xml:space="preserve"> hypothyroidism occurred in 24% of patients in the LENVIMA plus </w:t>
      </w:r>
      <w:proofErr w:type="spellStart"/>
      <w:r w:rsidRPr="00505C3C">
        <w:rPr>
          <w:lang w:val="en-US"/>
        </w:rPr>
        <w:t>everolimus</w:t>
      </w:r>
      <w:proofErr w:type="spellEnd"/>
      <w:r w:rsidRPr="00505C3C">
        <w:rPr>
          <w:lang w:val="en-US"/>
        </w:rPr>
        <w:t xml:space="preserve">-treated group and 2% of patients in the </w:t>
      </w:r>
      <w:proofErr w:type="spellStart"/>
      <w:r w:rsidRPr="00505C3C">
        <w:rPr>
          <w:lang w:val="en-US"/>
        </w:rPr>
        <w:t>everolimus</w:t>
      </w:r>
      <w:proofErr w:type="spellEnd"/>
      <w:r w:rsidRPr="00505C3C">
        <w:rPr>
          <w:lang w:val="en-US"/>
        </w:rPr>
        <w:t xml:space="preserve">-treated group. All events of hypothyroidism in the LENVIMA plus </w:t>
      </w:r>
      <w:proofErr w:type="spellStart"/>
      <w:r w:rsidRPr="00505C3C">
        <w:rPr>
          <w:lang w:val="en-US"/>
        </w:rPr>
        <w:t>everolimus</w:t>
      </w:r>
      <w:proofErr w:type="spellEnd"/>
      <w:r w:rsidRPr="00505C3C">
        <w:rPr>
          <w:lang w:val="en-US"/>
        </w:rPr>
        <w:t xml:space="preserve">-treated group were of Grade 1 or </w:t>
      </w:r>
      <w:proofErr w:type="gramStart"/>
      <w:r w:rsidRPr="00505C3C">
        <w:rPr>
          <w:lang w:val="en-US"/>
        </w:rPr>
        <w:t>2</w:t>
      </w:r>
      <w:proofErr w:type="gramEnd"/>
      <w:r w:rsidRPr="00505C3C">
        <w:rPr>
          <w:lang w:val="en-US"/>
        </w:rPr>
        <w:t xml:space="preserve">. In patients with a normal TSH at baseline, an elevation of TSH level </w:t>
      </w:r>
      <w:proofErr w:type="gramStart"/>
      <w:r w:rsidRPr="00505C3C">
        <w:rPr>
          <w:lang w:val="en-US"/>
        </w:rPr>
        <w:t>was observed</w:t>
      </w:r>
      <w:proofErr w:type="gramEnd"/>
      <w:r w:rsidRPr="00505C3C">
        <w:rPr>
          <w:lang w:val="en-US"/>
        </w:rPr>
        <w:t xml:space="preserve"> post baseline in 60.5% of LENVIMA plus </w:t>
      </w:r>
      <w:proofErr w:type="spellStart"/>
      <w:r w:rsidRPr="00505C3C">
        <w:rPr>
          <w:lang w:val="en-US"/>
        </w:rPr>
        <w:t>everolimus</w:t>
      </w:r>
      <w:proofErr w:type="spellEnd"/>
      <w:r w:rsidRPr="00505C3C">
        <w:rPr>
          <w:lang w:val="en-US"/>
        </w:rPr>
        <w:t xml:space="preserve">-treated patients as compared with none in patients receiving </w:t>
      </w:r>
      <w:proofErr w:type="spellStart"/>
      <w:r w:rsidRPr="00505C3C">
        <w:rPr>
          <w:lang w:val="en-US"/>
        </w:rPr>
        <w:t>everolimus</w:t>
      </w:r>
      <w:proofErr w:type="spellEnd"/>
      <w:r w:rsidRPr="00505C3C">
        <w:rPr>
          <w:lang w:val="en-US"/>
        </w:rPr>
        <w:t xml:space="preserve"> alone.</w:t>
      </w:r>
    </w:p>
    <w:p w14:paraId="19569670" w14:textId="0B49D568" w:rsidR="008214DD" w:rsidRDefault="008214DD" w:rsidP="006B3991">
      <w:pPr>
        <w:pStyle w:val="BodyText"/>
        <w:spacing w:before="120" w:after="60"/>
        <w:rPr>
          <w:lang w:val="en-US"/>
        </w:rPr>
      </w:pPr>
      <w:r w:rsidRPr="008214DD">
        <w:rPr>
          <w:lang w:val="en-US"/>
        </w:rPr>
        <w:t xml:space="preserve">In the Phase 3 HCC trial (see </w:t>
      </w:r>
      <w:r w:rsidR="00C77CF2">
        <w:rPr>
          <w:lang w:val="en-US"/>
        </w:rPr>
        <w:t xml:space="preserve">Section </w:t>
      </w:r>
      <w:r w:rsidR="00C77CF2">
        <w:rPr>
          <w:lang w:val="en-US"/>
        </w:rPr>
        <w:fldChar w:fldCharType="begin"/>
      </w:r>
      <w:r w:rsidR="00C77CF2">
        <w:rPr>
          <w:lang w:val="en-US"/>
        </w:rPr>
        <w:instrText xml:space="preserve"> REF _Ref503528653 \r \h </w:instrText>
      </w:r>
      <w:r w:rsidR="006B3991">
        <w:rPr>
          <w:lang w:val="en-US"/>
        </w:rPr>
        <w:instrText xml:space="preserve"> \* MERGEFORMAT </w:instrText>
      </w:r>
      <w:r w:rsidR="00C77CF2">
        <w:rPr>
          <w:lang w:val="en-US"/>
        </w:rPr>
      </w:r>
      <w:r w:rsidR="00C77CF2">
        <w:rPr>
          <w:lang w:val="en-US"/>
        </w:rPr>
        <w:fldChar w:fldCharType="separate"/>
      </w:r>
      <w:r w:rsidR="0064223A">
        <w:rPr>
          <w:lang w:val="en-US"/>
        </w:rPr>
        <w:t>5.1</w:t>
      </w:r>
      <w:r w:rsidR="00C77CF2">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C77CF2">
        <w:rPr>
          <w:lang w:val="en-US"/>
        </w:rPr>
        <w:t xml:space="preserve">, </w:t>
      </w:r>
      <w:r w:rsidR="00B662F4">
        <w:rPr>
          <w:lang w:val="en-US"/>
        </w:rPr>
        <w:t>Clinical trials</w:t>
      </w:r>
      <w:r w:rsidRPr="008214DD">
        <w:rPr>
          <w:lang w:val="en-US"/>
        </w:rPr>
        <w:t xml:space="preserve">), </w:t>
      </w:r>
      <w:r w:rsidR="00A908AD">
        <w:rPr>
          <w:lang w:val="en-US"/>
        </w:rPr>
        <w:t>10.4</w:t>
      </w:r>
      <w:r w:rsidRPr="008214DD">
        <w:rPr>
          <w:lang w:val="en-US"/>
        </w:rPr>
        <w:t xml:space="preserve">% of patients had a baseline TSH level </w:t>
      </w:r>
      <w:r w:rsidR="00A908AD">
        <w:rPr>
          <w:lang w:val="en-US"/>
        </w:rPr>
        <w:t>over</w:t>
      </w:r>
      <w:r w:rsidRPr="008214DD">
        <w:rPr>
          <w:lang w:val="en-US"/>
        </w:rPr>
        <w:t xml:space="preserve"> the upper limit of normal. Elevation of TSH above the upper limit of normal </w:t>
      </w:r>
      <w:proofErr w:type="gramStart"/>
      <w:r w:rsidRPr="008214DD">
        <w:rPr>
          <w:lang w:val="en-US"/>
        </w:rPr>
        <w:t>was observed</w:t>
      </w:r>
      <w:proofErr w:type="gramEnd"/>
      <w:r w:rsidRPr="008214DD">
        <w:rPr>
          <w:lang w:val="en-US"/>
        </w:rPr>
        <w:t xml:space="preserve"> post baseline in 69.6% of LENVIMA-treated patients.</w:t>
      </w:r>
      <w:r w:rsidR="00A908AD">
        <w:rPr>
          <w:lang w:val="en-US"/>
        </w:rPr>
        <w:t xml:space="preserve"> On the </w:t>
      </w:r>
      <w:proofErr w:type="spellStart"/>
      <w:r w:rsidR="00A908AD">
        <w:rPr>
          <w:lang w:val="en-US"/>
        </w:rPr>
        <w:t>sorafenib</w:t>
      </w:r>
      <w:proofErr w:type="spellEnd"/>
      <w:r w:rsidR="00A908AD">
        <w:rPr>
          <w:lang w:val="en-US"/>
        </w:rPr>
        <w:t xml:space="preserve"> arm, 9.9% of patients had a baseline TSH level over the upper limit of normal and post baseline, </w:t>
      </w:r>
      <w:proofErr w:type="gramStart"/>
      <w:r w:rsidR="00A908AD">
        <w:rPr>
          <w:lang w:val="en-US"/>
        </w:rPr>
        <w:t>was observed</w:t>
      </w:r>
      <w:proofErr w:type="gramEnd"/>
      <w:r w:rsidR="00A908AD">
        <w:rPr>
          <w:lang w:val="en-US"/>
        </w:rPr>
        <w:t xml:space="preserve"> to be above the upper limit o</w:t>
      </w:r>
      <w:r w:rsidR="006B3991">
        <w:rPr>
          <w:lang w:val="en-US"/>
        </w:rPr>
        <w:t>f normal in 32.2% of patients.</w:t>
      </w:r>
    </w:p>
    <w:p w14:paraId="2866DF4D" w14:textId="77777777" w:rsidR="00385FF1" w:rsidRPr="00FC4217" w:rsidRDefault="00385FF1" w:rsidP="00FC4217">
      <w:pPr>
        <w:pStyle w:val="Heading4"/>
      </w:pPr>
      <w:r w:rsidRPr="00FC4217">
        <w:t>Dyslipidaemia</w:t>
      </w:r>
    </w:p>
    <w:p w14:paraId="2866DF4E" w14:textId="016F6D93" w:rsidR="00385FF1" w:rsidRPr="00505C3C" w:rsidRDefault="00385FF1" w:rsidP="006B3991">
      <w:pPr>
        <w:pStyle w:val="BodyText"/>
        <w:spacing w:before="120" w:after="60"/>
        <w:rPr>
          <w:lang w:val="en-US"/>
        </w:rPr>
      </w:pPr>
      <w:r w:rsidRPr="00505C3C">
        <w:rPr>
          <w:lang w:val="en-US"/>
        </w:rPr>
        <w:t>In the pivotal DTC Phase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505C3C">
        <w:rPr>
          <w:lang w:val="en-US"/>
        </w:rPr>
        <w:t xml:space="preserve">), </w:t>
      </w:r>
      <w:proofErr w:type="spellStart"/>
      <w:r w:rsidRPr="00505C3C">
        <w:rPr>
          <w:lang w:val="en-US"/>
        </w:rPr>
        <w:t>hypercholesterolaemia</w:t>
      </w:r>
      <w:proofErr w:type="spellEnd"/>
      <w:r w:rsidRPr="00505C3C">
        <w:rPr>
          <w:lang w:val="en-US"/>
        </w:rPr>
        <w:t xml:space="preserve"> or blood cholesterol increased were reported in 5.0% of LENVIMA treated patients (0.4% were Grade </w:t>
      </w:r>
      <w:r w:rsidR="006540BC">
        <w:rPr>
          <w:lang w:val="en-US"/>
        </w:rPr>
        <w:sym w:font="Symbol" w:char="F0B3"/>
      </w:r>
      <w:r w:rsidRPr="00505C3C">
        <w:rPr>
          <w:lang w:val="en-US"/>
        </w:rPr>
        <w:t xml:space="preserve"> 3) vs. no events in the placebo arm. </w:t>
      </w:r>
      <w:proofErr w:type="spellStart"/>
      <w:r w:rsidRPr="00505C3C">
        <w:rPr>
          <w:lang w:val="en-US"/>
        </w:rPr>
        <w:t>Hypertriglyceridaemia</w:t>
      </w:r>
      <w:proofErr w:type="spellEnd"/>
      <w:r w:rsidRPr="00505C3C">
        <w:rPr>
          <w:lang w:val="en-US"/>
        </w:rPr>
        <w:t xml:space="preserve"> or blood triglycerides increased were reported in 2.7% of LENVIMA treated patients (0.8% were Grade </w:t>
      </w:r>
      <w:r w:rsidR="006540BC">
        <w:rPr>
          <w:lang w:val="en-US"/>
        </w:rPr>
        <w:sym w:font="Symbol" w:char="F0B3"/>
      </w:r>
      <w:r w:rsidRPr="00505C3C">
        <w:rPr>
          <w:lang w:val="en-US"/>
        </w:rPr>
        <w:t xml:space="preserve"> 3) vs. no events in the placebo arm. Most events resolved following supportive treatment, without dose interruption or reduction, which occurred in 0.4% and 0.4% of patients, respectively. No patients discontinued treatment </w:t>
      </w:r>
      <w:proofErr w:type="gramStart"/>
      <w:r w:rsidRPr="00505C3C">
        <w:rPr>
          <w:lang w:val="en-US"/>
        </w:rPr>
        <w:t>as a result</w:t>
      </w:r>
      <w:proofErr w:type="gramEnd"/>
      <w:r w:rsidRPr="00505C3C">
        <w:rPr>
          <w:lang w:val="en-US"/>
        </w:rPr>
        <w:t xml:space="preserve"> of </w:t>
      </w:r>
      <w:proofErr w:type="spellStart"/>
      <w:r w:rsidRPr="00505C3C">
        <w:rPr>
          <w:lang w:val="en-US"/>
        </w:rPr>
        <w:t>dyslipidaemia</w:t>
      </w:r>
      <w:proofErr w:type="spellEnd"/>
      <w:r w:rsidRPr="00505C3C">
        <w:rPr>
          <w:lang w:val="en-US"/>
        </w:rPr>
        <w:t>.</w:t>
      </w:r>
    </w:p>
    <w:p w14:paraId="2866DF50" w14:textId="65E88FD9" w:rsidR="00385FF1" w:rsidRPr="00505C3C" w:rsidRDefault="00385FF1" w:rsidP="006B3991">
      <w:pPr>
        <w:pStyle w:val="BodyText"/>
        <w:spacing w:before="120" w:after="60"/>
        <w:rPr>
          <w:lang w:val="en-US"/>
        </w:rPr>
      </w:pPr>
      <w:r w:rsidRPr="00505C3C">
        <w:rPr>
          <w:lang w:val="en-US"/>
        </w:rPr>
        <w:t xml:space="preserve">In the </w:t>
      </w:r>
      <w:proofErr w:type="gramStart"/>
      <w:r w:rsidRPr="00505C3C">
        <w:rPr>
          <w:lang w:val="en-US"/>
        </w:rPr>
        <w:t>RCC</w:t>
      </w:r>
      <w:proofErr w:type="gramEnd"/>
      <w:r w:rsidRPr="00505C3C">
        <w:rPr>
          <w:lang w:val="en-US"/>
        </w:rPr>
        <w:t xml:space="preserve">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6B3991">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505C3C">
        <w:rPr>
          <w:lang w:val="en-US"/>
        </w:rPr>
        <w:t xml:space="preserve">) Phase 1b plus Phase 2 population, </w:t>
      </w:r>
      <w:proofErr w:type="spellStart"/>
      <w:r w:rsidRPr="00505C3C">
        <w:rPr>
          <w:lang w:val="en-US"/>
        </w:rPr>
        <w:t>dyslipidaemia</w:t>
      </w:r>
      <w:proofErr w:type="spellEnd"/>
      <w:r w:rsidRPr="00505C3C">
        <w:rPr>
          <w:lang w:val="en-US"/>
        </w:rPr>
        <w:t xml:space="preserve"> was reported in 50.0% of patients in the LENVIMA plus </w:t>
      </w:r>
      <w:proofErr w:type="spellStart"/>
      <w:r w:rsidRPr="00505C3C">
        <w:rPr>
          <w:lang w:val="en-US"/>
        </w:rPr>
        <w:t>everolimus</w:t>
      </w:r>
      <w:proofErr w:type="spellEnd"/>
      <w:r w:rsidRPr="00505C3C">
        <w:rPr>
          <w:lang w:val="en-US"/>
        </w:rPr>
        <w:t xml:space="preserve">-treated group (17.7% were Grade </w:t>
      </w:r>
      <w:r w:rsidR="006540BC">
        <w:rPr>
          <w:lang w:val="en-US"/>
        </w:rPr>
        <w:sym w:font="Symbol" w:char="F0B3"/>
      </w:r>
      <w:r w:rsidRPr="00505C3C">
        <w:rPr>
          <w:lang w:val="en-US"/>
        </w:rPr>
        <w:t xml:space="preserve"> 3) and 34.0% of patients in the </w:t>
      </w:r>
      <w:proofErr w:type="spellStart"/>
      <w:r w:rsidRPr="00505C3C">
        <w:rPr>
          <w:lang w:val="en-US"/>
        </w:rPr>
        <w:t>everolimus</w:t>
      </w:r>
      <w:proofErr w:type="spellEnd"/>
      <w:r w:rsidRPr="00505C3C">
        <w:rPr>
          <w:lang w:val="en-US"/>
        </w:rPr>
        <w:t>-treate</w:t>
      </w:r>
      <w:r w:rsidR="006B3991">
        <w:rPr>
          <w:lang w:val="en-US"/>
        </w:rPr>
        <w:t xml:space="preserve">d group (8.0% were Grade </w:t>
      </w:r>
      <w:r w:rsidR="006540BC">
        <w:rPr>
          <w:lang w:val="en-US"/>
        </w:rPr>
        <w:sym w:font="Symbol" w:char="F0B3"/>
      </w:r>
      <w:r w:rsidR="006B3991">
        <w:rPr>
          <w:lang w:val="en-US"/>
        </w:rPr>
        <w:t xml:space="preserve"> 3). </w:t>
      </w:r>
      <w:r w:rsidRPr="00505C3C">
        <w:rPr>
          <w:lang w:val="en-US"/>
        </w:rPr>
        <w:t xml:space="preserve">Reactions that occurred at an incidence of </w:t>
      </w:r>
      <w:r w:rsidR="006540BC">
        <w:rPr>
          <w:lang w:val="en-US"/>
        </w:rPr>
        <w:sym w:font="Symbol" w:char="F0B3"/>
      </w:r>
      <w:r w:rsidRPr="00505C3C">
        <w:rPr>
          <w:lang w:val="en-US"/>
        </w:rPr>
        <w:t xml:space="preserve"> 30.0% </w:t>
      </w:r>
      <w:proofErr w:type="gramStart"/>
      <w:r w:rsidRPr="00505C3C">
        <w:rPr>
          <w:lang w:val="en-US"/>
        </w:rPr>
        <w:t>were:</w:t>
      </w:r>
      <w:proofErr w:type="gramEnd"/>
      <w:r w:rsidRPr="00505C3C">
        <w:rPr>
          <w:lang w:val="en-US"/>
        </w:rPr>
        <w:t xml:space="preserve"> </w:t>
      </w:r>
      <w:proofErr w:type="spellStart"/>
      <w:r w:rsidRPr="00505C3C">
        <w:rPr>
          <w:lang w:val="en-US"/>
        </w:rPr>
        <w:t>hypertriglyceridaemia</w:t>
      </w:r>
      <w:proofErr w:type="spellEnd"/>
      <w:r w:rsidRPr="00505C3C">
        <w:rPr>
          <w:lang w:val="en-US"/>
        </w:rPr>
        <w:t xml:space="preserve"> (40.3%), and </w:t>
      </w:r>
      <w:proofErr w:type="spellStart"/>
      <w:r w:rsidRPr="00505C3C">
        <w:rPr>
          <w:lang w:val="en-US"/>
        </w:rPr>
        <w:t>hypercholesterolaemia</w:t>
      </w:r>
      <w:proofErr w:type="spellEnd"/>
      <w:r w:rsidRPr="00505C3C">
        <w:rPr>
          <w:lang w:val="en-US"/>
        </w:rPr>
        <w:t xml:space="preserve"> (30.6%). The median time to onset of </w:t>
      </w:r>
      <w:proofErr w:type="spellStart"/>
      <w:r w:rsidRPr="00505C3C">
        <w:rPr>
          <w:lang w:val="en-US"/>
        </w:rPr>
        <w:t>dyslipidaemia</w:t>
      </w:r>
      <w:proofErr w:type="spellEnd"/>
      <w:r w:rsidRPr="00505C3C">
        <w:rPr>
          <w:lang w:val="en-US"/>
        </w:rPr>
        <w:t xml:space="preserve"> was 4.1 weeks (any grade) and 6.1 weeks (Grade </w:t>
      </w:r>
      <w:r w:rsidR="006540BC">
        <w:rPr>
          <w:lang w:val="en-US"/>
        </w:rPr>
        <w:sym w:font="Symbol" w:char="F0B3"/>
      </w:r>
      <w:r w:rsidRPr="00505C3C">
        <w:rPr>
          <w:lang w:val="en-US"/>
        </w:rPr>
        <w:t xml:space="preserve"> 3) in the LENVIMA </w:t>
      </w:r>
      <w:r w:rsidR="006B3991">
        <w:rPr>
          <w:lang w:val="en-US"/>
        </w:rPr>
        <w:t xml:space="preserve">plus </w:t>
      </w:r>
      <w:proofErr w:type="spellStart"/>
      <w:r w:rsidR="006B3991">
        <w:rPr>
          <w:lang w:val="en-US"/>
        </w:rPr>
        <w:t>everolimus</w:t>
      </w:r>
      <w:proofErr w:type="spellEnd"/>
      <w:r w:rsidR="006B3991">
        <w:rPr>
          <w:lang w:val="en-US"/>
        </w:rPr>
        <w:t xml:space="preserve">-treated group. </w:t>
      </w:r>
      <w:r w:rsidRPr="00505C3C">
        <w:rPr>
          <w:lang w:val="en-US"/>
        </w:rPr>
        <w:t xml:space="preserve">The incidence of serious </w:t>
      </w:r>
      <w:proofErr w:type="spellStart"/>
      <w:r w:rsidRPr="00505C3C">
        <w:rPr>
          <w:lang w:val="en-US"/>
        </w:rPr>
        <w:t>dyslipidaemia</w:t>
      </w:r>
      <w:proofErr w:type="spellEnd"/>
      <w:r w:rsidRPr="00505C3C">
        <w:rPr>
          <w:lang w:val="en-US"/>
        </w:rPr>
        <w:t xml:space="preserve"> was 1.6%. Most reactions resolved following supportive treatment, although 8.1% of patients had events of </w:t>
      </w:r>
      <w:proofErr w:type="spellStart"/>
      <w:r w:rsidRPr="00505C3C">
        <w:rPr>
          <w:lang w:val="en-US"/>
        </w:rPr>
        <w:t>dyslipidaemia</w:t>
      </w:r>
      <w:proofErr w:type="spellEnd"/>
      <w:r w:rsidRPr="00505C3C">
        <w:rPr>
          <w:lang w:val="en-US"/>
        </w:rPr>
        <w:t xml:space="preserve"> that required dose interruption, and 3.2% required dose reduction. No patients discontinued treatmen</w:t>
      </w:r>
      <w:r w:rsidR="006B3991">
        <w:rPr>
          <w:lang w:val="en-US"/>
        </w:rPr>
        <w:t xml:space="preserve">t </w:t>
      </w:r>
      <w:proofErr w:type="gramStart"/>
      <w:r w:rsidR="006B3991">
        <w:rPr>
          <w:lang w:val="en-US"/>
        </w:rPr>
        <w:t>as a result</w:t>
      </w:r>
      <w:proofErr w:type="gramEnd"/>
      <w:r w:rsidR="006B3991">
        <w:rPr>
          <w:lang w:val="en-US"/>
        </w:rPr>
        <w:t xml:space="preserve"> of </w:t>
      </w:r>
      <w:proofErr w:type="spellStart"/>
      <w:r w:rsidR="006B3991">
        <w:rPr>
          <w:lang w:val="en-US"/>
        </w:rPr>
        <w:t>dyslipidaemia</w:t>
      </w:r>
      <w:proofErr w:type="spellEnd"/>
      <w:r w:rsidR="006B3991">
        <w:rPr>
          <w:lang w:val="en-US"/>
        </w:rPr>
        <w:t>.</w:t>
      </w:r>
    </w:p>
    <w:p w14:paraId="4DE0F44A" w14:textId="493F41DB" w:rsidR="008214DD" w:rsidRDefault="008214DD" w:rsidP="006B3991">
      <w:pPr>
        <w:pStyle w:val="BodyText"/>
        <w:spacing w:before="120" w:after="60"/>
        <w:rPr>
          <w:lang w:val="en-US"/>
        </w:rPr>
      </w:pPr>
      <w:r w:rsidRPr="008214DD">
        <w:rPr>
          <w:lang w:val="en-US"/>
        </w:rPr>
        <w:t xml:space="preserve">In the HCC Phase 3 study (see </w:t>
      </w:r>
      <w:r w:rsidR="00C77CF2">
        <w:rPr>
          <w:lang w:val="en-US"/>
        </w:rPr>
        <w:t xml:space="preserve">Section </w:t>
      </w:r>
      <w:r w:rsidR="00C77CF2">
        <w:rPr>
          <w:lang w:val="en-US"/>
        </w:rPr>
        <w:fldChar w:fldCharType="begin"/>
      </w:r>
      <w:r w:rsidR="00C77CF2">
        <w:rPr>
          <w:lang w:val="en-US"/>
        </w:rPr>
        <w:instrText xml:space="preserve"> REF _Ref503528653 \r \h </w:instrText>
      </w:r>
      <w:r w:rsidR="006B3991">
        <w:rPr>
          <w:lang w:val="en-US"/>
        </w:rPr>
        <w:instrText xml:space="preserve"> \* MERGEFORMAT </w:instrText>
      </w:r>
      <w:r w:rsidR="00C77CF2">
        <w:rPr>
          <w:lang w:val="en-US"/>
        </w:rPr>
      </w:r>
      <w:r w:rsidR="00C77CF2">
        <w:rPr>
          <w:lang w:val="en-US"/>
        </w:rPr>
        <w:fldChar w:fldCharType="separate"/>
      </w:r>
      <w:r w:rsidR="0064223A">
        <w:rPr>
          <w:lang w:val="en-US"/>
        </w:rPr>
        <w:t>5.1</w:t>
      </w:r>
      <w:r w:rsidR="00C77CF2">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C77CF2">
        <w:rPr>
          <w:lang w:val="en-US"/>
        </w:rPr>
        <w:t xml:space="preserve">, </w:t>
      </w:r>
      <w:r w:rsidR="00B662F4">
        <w:rPr>
          <w:lang w:val="en-US"/>
        </w:rPr>
        <w:t>Clinical trials</w:t>
      </w:r>
      <w:r w:rsidRPr="008214DD">
        <w:rPr>
          <w:lang w:val="en-US"/>
        </w:rPr>
        <w:t xml:space="preserve">), </w:t>
      </w:r>
      <w:r w:rsidR="00BD5D53">
        <w:rPr>
          <w:lang w:val="en-US"/>
        </w:rPr>
        <w:t xml:space="preserve">there were no events of </w:t>
      </w:r>
      <w:proofErr w:type="spellStart"/>
      <w:r w:rsidRPr="008214DD">
        <w:rPr>
          <w:lang w:val="en-US"/>
        </w:rPr>
        <w:t>hypercholesterolaemia</w:t>
      </w:r>
      <w:proofErr w:type="spellEnd"/>
      <w:r w:rsidR="00BD5D53">
        <w:rPr>
          <w:lang w:val="en-US"/>
        </w:rPr>
        <w:t xml:space="preserve"> on the LENVIMA arm vs. a frequency of 1.3% reported in </w:t>
      </w:r>
      <w:proofErr w:type="spellStart"/>
      <w:r w:rsidR="00BD5D53">
        <w:rPr>
          <w:lang w:val="en-US"/>
        </w:rPr>
        <w:t>sorafenib</w:t>
      </w:r>
      <w:proofErr w:type="spellEnd"/>
      <w:r w:rsidR="00BD5D53">
        <w:rPr>
          <w:lang w:val="en-US"/>
        </w:rPr>
        <w:t>-treated patients. Events of b</w:t>
      </w:r>
      <w:r w:rsidRPr="008214DD">
        <w:rPr>
          <w:lang w:val="en-US"/>
        </w:rPr>
        <w:t xml:space="preserve">lood cholesterol increased </w:t>
      </w:r>
      <w:proofErr w:type="gramStart"/>
      <w:r w:rsidRPr="008214DD">
        <w:rPr>
          <w:lang w:val="en-US"/>
        </w:rPr>
        <w:t>were reported</w:t>
      </w:r>
      <w:proofErr w:type="gramEnd"/>
      <w:r w:rsidRPr="008214DD">
        <w:rPr>
          <w:lang w:val="en-US"/>
        </w:rPr>
        <w:t xml:space="preserve"> in 1.5% of LENVIMA treated patients (there were no Grade </w:t>
      </w:r>
      <w:r w:rsidR="006540BC">
        <w:rPr>
          <w:lang w:val="en-US"/>
        </w:rPr>
        <w:sym w:font="Symbol" w:char="F0B3"/>
      </w:r>
      <w:r w:rsidRPr="008214DD">
        <w:rPr>
          <w:lang w:val="en-US"/>
        </w:rPr>
        <w:t xml:space="preserve"> 3 events)</w:t>
      </w:r>
      <w:r w:rsidR="00BD5D53">
        <w:rPr>
          <w:lang w:val="en-US"/>
        </w:rPr>
        <w:t xml:space="preserve"> and in 0.2% of </w:t>
      </w:r>
      <w:proofErr w:type="spellStart"/>
      <w:r w:rsidR="00BD5D53">
        <w:rPr>
          <w:lang w:val="en-US"/>
        </w:rPr>
        <w:t>sorafenib</w:t>
      </w:r>
      <w:proofErr w:type="spellEnd"/>
      <w:r w:rsidR="00BD5D53">
        <w:rPr>
          <w:lang w:val="en-US"/>
        </w:rPr>
        <w:t>-treated patients.</w:t>
      </w:r>
      <w:r w:rsidRPr="008214DD">
        <w:rPr>
          <w:lang w:val="en-US"/>
        </w:rPr>
        <w:t xml:space="preserve"> </w:t>
      </w:r>
      <w:proofErr w:type="spellStart"/>
      <w:r w:rsidR="00112FF7">
        <w:rPr>
          <w:lang w:val="en-US"/>
        </w:rPr>
        <w:t>Hyperlipidaemia</w:t>
      </w:r>
      <w:proofErr w:type="spellEnd"/>
      <w:r w:rsidR="00112FF7">
        <w:rPr>
          <w:lang w:val="en-US"/>
        </w:rPr>
        <w:t xml:space="preserve"> was reported in 0.6 % of LENVIMA treated patients (no Grade</w:t>
      </w:r>
      <w:r w:rsidR="00112FF7" w:rsidRPr="008214DD">
        <w:rPr>
          <w:lang w:val="en-US"/>
        </w:rPr>
        <w:t xml:space="preserve"> </w:t>
      </w:r>
      <w:r w:rsidR="006540BC">
        <w:rPr>
          <w:lang w:val="en-US"/>
        </w:rPr>
        <w:sym w:font="Symbol" w:char="F0B3"/>
      </w:r>
      <w:r w:rsidR="00112FF7">
        <w:rPr>
          <w:lang w:val="en-US"/>
        </w:rPr>
        <w:t xml:space="preserve"> 3 event) and none </w:t>
      </w:r>
      <w:proofErr w:type="gramStart"/>
      <w:r w:rsidR="00112FF7">
        <w:rPr>
          <w:lang w:val="en-US"/>
        </w:rPr>
        <w:t>were</w:t>
      </w:r>
      <w:proofErr w:type="gramEnd"/>
      <w:r w:rsidR="00112FF7">
        <w:rPr>
          <w:lang w:val="en-US"/>
        </w:rPr>
        <w:t xml:space="preserve"> reported in </w:t>
      </w:r>
      <w:proofErr w:type="spellStart"/>
      <w:r w:rsidR="00112FF7">
        <w:rPr>
          <w:lang w:val="en-US"/>
        </w:rPr>
        <w:t>sorafenib</w:t>
      </w:r>
      <w:proofErr w:type="spellEnd"/>
      <w:r w:rsidR="00112FF7">
        <w:rPr>
          <w:lang w:val="en-US"/>
        </w:rPr>
        <w:t xml:space="preserve">-treated patients.  </w:t>
      </w:r>
      <w:proofErr w:type="spellStart"/>
      <w:r w:rsidR="007F63A4">
        <w:rPr>
          <w:lang w:val="en-US"/>
        </w:rPr>
        <w:t>Hypertriglycer</w:t>
      </w:r>
      <w:r w:rsidR="00112FF7">
        <w:rPr>
          <w:lang w:val="en-US"/>
        </w:rPr>
        <w:t>i</w:t>
      </w:r>
      <w:r w:rsidR="007F63A4">
        <w:rPr>
          <w:lang w:val="en-US"/>
        </w:rPr>
        <w:t>daemia</w:t>
      </w:r>
      <w:proofErr w:type="spellEnd"/>
      <w:r w:rsidRPr="008214DD">
        <w:rPr>
          <w:lang w:val="en-US"/>
        </w:rPr>
        <w:t xml:space="preserve"> </w:t>
      </w:r>
      <w:proofErr w:type="gramStart"/>
      <w:r w:rsidRPr="008214DD">
        <w:rPr>
          <w:lang w:val="en-US"/>
        </w:rPr>
        <w:t>was reported</w:t>
      </w:r>
      <w:proofErr w:type="gramEnd"/>
      <w:r w:rsidRPr="008214DD">
        <w:rPr>
          <w:lang w:val="en-US"/>
        </w:rPr>
        <w:t xml:space="preserve"> in one patient (0.2%, Grade 3 event)</w:t>
      </w:r>
      <w:r w:rsidR="007F63A4">
        <w:rPr>
          <w:lang w:val="en-US"/>
        </w:rPr>
        <w:t xml:space="preserve"> on the LENVIMA </w:t>
      </w:r>
      <w:r w:rsidR="007F63A4">
        <w:rPr>
          <w:lang w:val="en-US"/>
        </w:rPr>
        <w:lastRenderedPageBreak/>
        <w:t xml:space="preserve">arm with no events in the </w:t>
      </w:r>
      <w:proofErr w:type="spellStart"/>
      <w:r w:rsidR="007F63A4">
        <w:rPr>
          <w:lang w:val="en-US"/>
        </w:rPr>
        <w:t>sorafenib</w:t>
      </w:r>
      <w:proofErr w:type="spellEnd"/>
      <w:r w:rsidR="007F63A4">
        <w:rPr>
          <w:lang w:val="en-US"/>
        </w:rPr>
        <w:t xml:space="preserve"> arm</w:t>
      </w:r>
      <w:r w:rsidRPr="008214DD">
        <w:rPr>
          <w:lang w:val="en-US"/>
        </w:rPr>
        <w:t xml:space="preserve">. No dose interruptions /reductions or discontinuations occurred </w:t>
      </w:r>
      <w:proofErr w:type="gramStart"/>
      <w:r w:rsidRPr="008214DD">
        <w:rPr>
          <w:lang w:val="en-US"/>
        </w:rPr>
        <w:t>as a result</w:t>
      </w:r>
      <w:proofErr w:type="gramEnd"/>
      <w:r w:rsidRPr="008214DD">
        <w:rPr>
          <w:lang w:val="en-US"/>
        </w:rPr>
        <w:t xml:space="preserve"> of these events</w:t>
      </w:r>
    </w:p>
    <w:p w14:paraId="2866DF52" w14:textId="77777777" w:rsidR="00385FF1" w:rsidRPr="00FC4217" w:rsidRDefault="00385FF1" w:rsidP="00FC4217">
      <w:pPr>
        <w:pStyle w:val="Heading4"/>
      </w:pPr>
      <w:r w:rsidRPr="00FC4217">
        <w:t xml:space="preserve">Diarrhoea </w:t>
      </w:r>
    </w:p>
    <w:p w14:paraId="2866DF53" w14:textId="2AF6F882" w:rsidR="00385FF1" w:rsidRPr="00505C3C" w:rsidRDefault="00385FF1" w:rsidP="002E57C2">
      <w:pPr>
        <w:pStyle w:val="BodyText"/>
        <w:spacing w:before="120" w:after="60"/>
        <w:rPr>
          <w:lang w:val="en-US"/>
        </w:rPr>
      </w:pPr>
      <w:r w:rsidRPr="00505C3C">
        <w:rPr>
          <w:lang w:val="en-US"/>
        </w:rPr>
        <w:t>In the pivotal DTC Phase 3 SELECT trial (</w:t>
      </w:r>
      <w:r w:rsidR="007B4197">
        <w:rPr>
          <w:lang w:val="en-US"/>
        </w:rPr>
        <w:t xml:space="preserve">see Section </w:t>
      </w:r>
      <w:r w:rsidR="007B4197">
        <w:rPr>
          <w:lang w:val="en-US"/>
        </w:rPr>
        <w:fldChar w:fldCharType="begin"/>
      </w:r>
      <w:r w:rsidR="007B4197">
        <w:rPr>
          <w:lang w:val="en-US"/>
        </w:rPr>
        <w:instrText xml:space="preserve"> REF _Ref503528653 \r \h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505C3C">
        <w:rPr>
          <w:lang w:val="en-US"/>
        </w:rPr>
        <w:t xml:space="preserve">), </w:t>
      </w:r>
      <w:proofErr w:type="spellStart"/>
      <w:r w:rsidRPr="00505C3C">
        <w:rPr>
          <w:lang w:val="en-US"/>
        </w:rPr>
        <w:t>diarrhoea</w:t>
      </w:r>
      <w:proofErr w:type="spellEnd"/>
      <w:r w:rsidRPr="00505C3C">
        <w:rPr>
          <w:lang w:val="en-US"/>
        </w:rPr>
        <w:t xml:space="preserve"> was reported in 67.4% of patients in the LENVIMA-treated group (9.2% were Grade </w:t>
      </w:r>
      <w:r w:rsidR="006540BC">
        <w:rPr>
          <w:lang w:val="en-US"/>
        </w:rPr>
        <w:sym w:font="Symbol" w:char="F0B3"/>
      </w:r>
      <w:r w:rsidRPr="00505C3C">
        <w:rPr>
          <w:lang w:val="en-US"/>
        </w:rPr>
        <w:t xml:space="preserve"> 3) and in 16.8% of patients in the placebo </w:t>
      </w:r>
      <w:proofErr w:type="gramStart"/>
      <w:r w:rsidRPr="00505C3C">
        <w:rPr>
          <w:lang w:val="en-US"/>
        </w:rPr>
        <w:t>group</w:t>
      </w:r>
      <w:proofErr w:type="gramEnd"/>
      <w:r w:rsidRPr="00505C3C">
        <w:rPr>
          <w:lang w:val="en-US"/>
        </w:rPr>
        <w:t xml:space="preserve"> (none were Grade </w:t>
      </w:r>
      <w:r w:rsidR="006540BC">
        <w:rPr>
          <w:lang w:val="en-US"/>
        </w:rPr>
        <w:sym w:font="Symbol" w:char="F0B3"/>
      </w:r>
      <w:r w:rsidRPr="00505C3C">
        <w:rPr>
          <w:lang w:val="en-US"/>
        </w:rPr>
        <w:t xml:space="preserve"> 3).</w:t>
      </w:r>
    </w:p>
    <w:p w14:paraId="2866DF55" w14:textId="18155D84" w:rsidR="00385FF1" w:rsidRPr="00505C3C" w:rsidRDefault="00385FF1" w:rsidP="002E57C2">
      <w:pPr>
        <w:pStyle w:val="BodyText"/>
        <w:spacing w:before="120" w:after="60"/>
        <w:rPr>
          <w:lang w:val="en-US"/>
        </w:rPr>
      </w:pPr>
      <w:r w:rsidRPr="00505C3C">
        <w:rPr>
          <w:lang w:val="en-US"/>
        </w:rPr>
        <w:t>In the RCC study (</w:t>
      </w:r>
      <w:r w:rsidR="007B4197">
        <w:rPr>
          <w:lang w:val="en-US"/>
        </w:rPr>
        <w:t xml:space="preserve">see Section </w:t>
      </w:r>
      <w:r w:rsidR="007B4197">
        <w:rPr>
          <w:lang w:val="en-US"/>
        </w:rPr>
        <w:fldChar w:fldCharType="begin"/>
      </w:r>
      <w:r w:rsidR="007B4197">
        <w:rPr>
          <w:lang w:val="en-US"/>
        </w:rPr>
        <w:instrText xml:space="preserve"> REF _Ref503528653 \r \h </w:instrText>
      </w:r>
      <w:r w:rsidR="002E57C2">
        <w:rPr>
          <w:lang w:val="en-US"/>
        </w:rPr>
        <w:instrText xml:space="preserve"> \* MERGEFORMAT </w:instrText>
      </w:r>
      <w:r w:rsidR="007B4197">
        <w:rPr>
          <w:lang w:val="en-US"/>
        </w:rPr>
      </w:r>
      <w:r w:rsidR="007B4197">
        <w:rPr>
          <w:lang w:val="en-US"/>
        </w:rPr>
        <w:fldChar w:fldCharType="separate"/>
      </w:r>
      <w:r w:rsidR="0064223A">
        <w:rPr>
          <w:lang w:val="en-US"/>
        </w:rPr>
        <w:t>5.1</w:t>
      </w:r>
      <w:r w:rsidR="007B4197">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7B4197">
        <w:rPr>
          <w:lang w:val="en-US"/>
        </w:rPr>
        <w:t xml:space="preserve">, </w:t>
      </w:r>
      <w:r w:rsidR="00B662F4">
        <w:rPr>
          <w:lang w:val="en-US"/>
        </w:rPr>
        <w:t>Clinical trials</w:t>
      </w:r>
      <w:r w:rsidRPr="00505C3C">
        <w:rPr>
          <w:lang w:val="en-US"/>
        </w:rPr>
        <w:t xml:space="preserve">) Phase 1b plus Phase 2 population, </w:t>
      </w:r>
      <w:proofErr w:type="spellStart"/>
      <w:r w:rsidRPr="00505C3C">
        <w:rPr>
          <w:lang w:val="en-US"/>
        </w:rPr>
        <w:t>diarrhoea</w:t>
      </w:r>
      <w:proofErr w:type="spellEnd"/>
      <w:r w:rsidRPr="00505C3C">
        <w:rPr>
          <w:lang w:val="en-US"/>
        </w:rPr>
        <w:t xml:space="preserve"> was reported in 80.6% of patients in the LENVIMA plus </w:t>
      </w:r>
      <w:proofErr w:type="spellStart"/>
      <w:r w:rsidRPr="00505C3C">
        <w:rPr>
          <w:lang w:val="en-US"/>
        </w:rPr>
        <w:t>everolimus</w:t>
      </w:r>
      <w:proofErr w:type="spellEnd"/>
      <w:r w:rsidRPr="00505C3C">
        <w:rPr>
          <w:lang w:val="en-US"/>
        </w:rPr>
        <w:t xml:space="preserve">-treated group (21.0% were Grade </w:t>
      </w:r>
      <w:r w:rsidR="006540BC">
        <w:rPr>
          <w:lang w:val="en-US"/>
        </w:rPr>
        <w:sym w:font="Symbol" w:char="F0B3"/>
      </w:r>
      <w:r w:rsidRPr="00505C3C">
        <w:rPr>
          <w:lang w:val="en-US"/>
        </w:rPr>
        <w:t xml:space="preserve"> 3) and in 34.0% of patients in the </w:t>
      </w:r>
      <w:proofErr w:type="spellStart"/>
      <w:r w:rsidRPr="00505C3C">
        <w:rPr>
          <w:lang w:val="en-US"/>
        </w:rPr>
        <w:t>everolimus</w:t>
      </w:r>
      <w:proofErr w:type="spellEnd"/>
      <w:r w:rsidRPr="00505C3C">
        <w:rPr>
          <w:lang w:val="en-US"/>
        </w:rPr>
        <w:t xml:space="preserve">-treated group (2.0% were Grade </w:t>
      </w:r>
      <w:r w:rsidR="006540BC">
        <w:rPr>
          <w:lang w:val="en-US"/>
        </w:rPr>
        <w:sym w:font="Symbol" w:char="F0B3"/>
      </w:r>
      <w:r w:rsidRPr="00505C3C">
        <w:rPr>
          <w:lang w:val="en-US"/>
        </w:rPr>
        <w:t xml:space="preserve"> 3). The median time to onset was 4.1 weeks (any grade) and 8.1 weeks (Grade </w:t>
      </w:r>
      <w:r w:rsidR="006540BC">
        <w:rPr>
          <w:lang w:val="en-US"/>
        </w:rPr>
        <w:sym w:font="Symbol" w:char="F0B3"/>
      </w:r>
      <w:r w:rsidRPr="00505C3C">
        <w:rPr>
          <w:lang w:val="en-US"/>
        </w:rPr>
        <w:t xml:space="preserve"> 3) in the LENVIMA plus </w:t>
      </w:r>
      <w:proofErr w:type="spellStart"/>
      <w:r w:rsidRPr="00505C3C">
        <w:rPr>
          <w:lang w:val="en-US"/>
        </w:rPr>
        <w:t>everolimus</w:t>
      </w:r>
      <w:proofErr w:type="spellEnd"/>
      <w:r w:rsidRPr="00505C3C">
        <w:rPr>
          <w:lang w:val="en-US"/>
        </w:rPr>
        <w:t xml:space="preserve">-treated group. </w:t>
      </w:r>
      <w:proofErr w:type="spellStart"/>
      <w:r w:rsidRPr="00505C3C">
        <w:rPr>
          <w:lang w:val="en-US"/>
        </w:rPr>
        <w:t>Diarrhoea</w:t>
      </w:r>
      <w:proofErr w:type="spellEnd"/>
      <w:r w:rsidRPr="00505C3C">
        <w:rPr>
          <w:lang w:val="en-US"/>
        </w:rPr>
        <w:t xml:space="preserve"> was the most frequent cause of dose interruption/reduction and recurred despite dose reduction. </w:t>
      </w:r>
      <w:proofErr w:type="spellStart"/>
      <w:r w:rsidRPr="00505C3C">
        <w:rPr>
          <w:lang w:val="en-US"/>
        </w:rPr>
        <w:t>Diarrhoea</w:t>
      </w:r>
      <w:proofErr w:type="spellEnd"/>
      <w:r w:rsidRPr="00505C3C">
        <w:rPr>
          <w:lang w:val="en-US"/>
        </w:rPr>
        <w:t xml:space="preserve"> resulted in discontinuation in one patient.</w:t>
      </w:r>
    </w:p>
    <w:p w14:paraId="3915C382" w14:textId="41986A83" w:rsidR="008214DD" w:rsidRDefault="008214DD" w:rsidP="002E57C2">
      <w:pPr>
        <w:pStyle w:val="BodyText"/>
        <w:spacing w:before="120" w:after="60"/>
        <w:rPr>
          <w:lang w:val="en-US"/>
        </w:rPr>
      </w:pPr>
      <w:r w:rsidRPr="008214DD">
        <w:rPr>
          <w:lang w:val="en-US"/>
        </w:rPr>
        <w:t xml:space="preserve">In the Phase 3 HCC trial (see </w:t>
      </w:r>
      <w:r w:rsidR="00C77CF2">
        <w:rPr>
          <w:lang w:val="en-US"/>
        </w:rPr>
        <w:t xml:space="preserve">Section </w:t>
      </w:r>
      <w:r w:rsidR="00C77CF2">
        <w:rPr>
          <w:lang w:val="en-US"/>
        </w:rPr>
        <w:fldChar w:fldCharType="begin"/>
      </w:r>
      <w:r w:rsidR="00C77CF2">
        <w:rPr>
          <w:lang w:val="en-US"/>
        </w:rPr>
        <w:instrText xml:space="preserve"> REF _Ref503528653 \r \h </w:instrText>
      </w:r>
      <w:r w:rsidR="002E57C2">
        <w:rPr>
          <w:lang w:val="en-US"/>
        </w:rPr>
        <w:instrText xml:space="preserve"> \* MERGEFORMAT </w:instrText>
      </w:r>
      <w:r w:rsidR="00C77CF2">
        <w:rPr>
          <w:lang w:val="en-US"/>
        </w:rPr>
      </w:r>
      <w:r w:rsidR="00C77CF2">
        <w:rPr>
          <w:lang w:val="en-US"/>
        </w:rPr>
        <w:fldChar w:fldCharType="separate"/>
      </w:r>
      <w:r w:rsidR="0064223A">
        <w:rPr>
          <w:lang w:val="en-US"/>
        </w:rPr>
        <w:t>5.1</w:t>
      </w:r>
      <w:r w:rsidR="00C77CF2">
        <w:rPr>
          <w:lang w:val="en-US"/>
        </w:rPr>
        <w:fldChar w:fldCharType="end"/>
      </w:r>
      <w:r w:rsidR="008B3996">
        <w:rPr>
          <w:lang w:val="en-US"/>
        </w:rPr>
        <w:t xml:space="preserve"> </w:t>
      </w:r>
      <w:proofErr w:type="spellStart"/>
      <w:r w:rsidR="008B3996">
        <w:rPr>
          <w:lang w:val="en-US"/>
        </w:rPr>
        <w:t>Pharmacodynamic</w:t>
      </w:r>
      <w:proofErr w:type="spellEnd"/>
      <w:r w:rsidR="008B3996">
        <w:rPr>
          <w:lang w:val="en-US"/>
        </w:rPr>
        <w:t xml:space="preserve"> properties</w:t>
      </w:r>
      <w:r w:rsidR="00C77CF2">
        <w:rPr>
          <w:lang w:val="en-US"/>
        </w:rPr>
        <w:t xml:space="preserve">, </w:t>
      </w:r>
      <w:r w:rsidR="00B662F4">
        <w:rPr>
          <w:lang w:val="en-US"/>
        </w:rPr>
        <w:t>Clinical trials</w:t>
      </w:r>
      <w:r w:rsidRPr="008214DD">
        <w:rPr>
          <w:lang w:val="en-US"/>
        </w:rPr>
        <w:t xml:space="preserve">), </w:t>
      </w:r>
      <w:proofErr w:type="spellStart"/>
      <w:r w:rsidRPr="008214DD">
        <w:rPr>
          <w:lang w:val="en-US"/>
        </w:rPr>
        <w:t>diarrhoea</w:t>
      </w:r>
      <w:proofErr w:type="spellEnd"/>
      <w:r w:rsidRPr="008214DD">
        <w:rPr>
          <w:lang w:val="en-US"/>
        </w:rPr>
        <w:t xml:space="preserve"> </w:t>
      </w:r>
      <w:proofErr w:type="gramStart"/>
      <w:r w:rsidRPr="008214DD">
        <w:rPr>
          <w:lang w:val="en-US"/>
        </w:rPr>
        <w:t>was reported</w:t>
      </w:r>
      <w:proofErr w:type="gramEnd"/>
      <w:r w:rsidRPr="008214DD">
        <w:rPr>
          <w:lang w:val="en-US"/>
        </w:rPr>
        <w:t xml:space="preserve"> in 38.7% of patients treated with LENVIMA</w:t>
      </w:r>
      <w:r w:rsidR="00A64B37">
        <w:rPr>
          <w:lang w:val="en-US"/>
        </w:rPr>
        <w:t xml:space="preserve"> compared with 46.3% of patients treated with </w:t>
      </w:r>
      <w:proofErr w:type="spellStart"/>
      <w:r w:rsidR="00A64B37">
        <w:rPr>
          <w:lang w:val="en-US"/>
        </w:rPr>
        <w:t>sorafenib</w:t>
      </w:r>
      <w:proofErr w:type="spellEnd"/>
      <w:r w:rsidR="00A64B37">
        <w:rPr>
          <w:lang w:val="en-US"/>
        </w:rPr>
        <w:t>.</w:t>
      </w:r>
      <w:r w:rsidRPr="008214DD">
        <w:rPr>
          <w:lang w:val="en-US"/>
        </w:rPr>
        <w:t xml:space="preserve"> </w:t>
      </w:r>
      <w:r w:rsidR="00A64B37">
        <w:rPr>
          <w:lang w:val="en-US"/>
        </w:rPr>
        <w:t>There was an equal frequency (4.2%) of</w:t>
      </w:r>
      <w:r w:rsidR="00A64B37" w:rsidRPr="00A64B37">
        <w:rPr>
          <w:lang w:val="en-US"/>
        </w:rPr>
        <w:t xml:space="preserve"> </w:t>
      </w:r>
      <w:r w:rsidR="00A64B37" w:rsidRPr="008214DD">
        <w:rPr>
          <w:lang w:val="en-US"/>
        </w:rPr>
        <w:t xml:space="preserve">Grade </w:t>
      </w:r>
      <w:r w:rsidR="006540BC">
        <w:rPr>
          <w:lang w:val="en-US"/>
        </w:rPr>
        <w:sym w:font="Symbol" w:char="F0B3"/>
      </w:r>
      <w:r w:rsidR="00A64B37" w:rsidRPr="008214DD">
        <w:rPr>
          <w:lang w:val="en-US"/>
        </w:rPr>
        <w:t xml:space="preserve"> 3</w:t>
      </w:r>
      <w:r w:rsidR="00A64B37">
        <w:rPr>
          <w:lang w:val="en-US"/>
        </w:rPr>
        <w:t xml:space="preserve"> events in both treatment arms.</w:t>
      </w:r>
    </w:p>
    <w:p w14:paraId="2866DF58" w14:textId="77777777" w:rsidR="00E00B24" w:rsidRPr="00BE78D8" w:rsidRDefault="00E00B24" w:rsidP="00FC4217">
      <w:pPr>
        <w:pStyle w:val="Heading3"/>
        <w:rPr>
          <w:lang w:val="en-US"/>
        </w:rPr>
      </w:pPr>
      <w:r w:rsidRPr="00BE78D8">
        <w:rPr>
          <w:lang w:val="en-US"/>
        </w:rPr>
        <w:t>Other special populations</w:t>
      </w:r>
    </w:p>
    <w:p w14:paraId="2866DF59" w14:textId="77777777" w:rsidR="00E00B24" w:rsidRPr="00FC4217" w:rsidRDefault="00E00B24" w:rsidP="00FC4217">
      <w:pPr>
        <w:pStyle w:val="Heading4"/>
      </w:pPr>
      <w:r w:rsidRPr="00FC4217">
        <w:t>Elderly</w:t>
      </w:r>
    </w:p>
    <w:p w14:paraId="2C771EA8" w14:textId="0954D96D" w:rsidR="007F5F59" w:rsidRDefault="00385FF1" w:rsidP="002E57C2">
      <w:pPr>
        <w:pStyle w:val="BodyText"/>
        <w:spacing w:before="120" w:after="60"/>
        <w:rPr>
          <w:lang w:val="en-US"/>
        </w:rPr>
      </w:pPr>
      <w:r w:rsidRPr="00505C3C">
        <w:rPr>
          <w:lang w:val="en-US"/>
        </w:rPr>
        <w:t>In DTC, p</w:t>
      </w:r>
      <w:r w:rsidR="00E00B24" w:rsidRPr="00505C3C">
        <w:rPr>
          <w:lang w:val="en-US"/>
        </w:rPr>
        <w:t xml:space="preserve">atients of age </w:t>
      </w:r>
      <w:r w:rsidR="006540BC">
        <w:rPr>
          <w:lang w:val="en-US"/>
        </w:rPr>
        <w:sym w:font="Symbol" w:char="F0B3"/>
      </w:r>
      <w:r w:rsidR="001D6874" w:rsidRPr="00505C3C">
        <w:rPr>
          <w:lang w:val="en-US"/>
        </w:rPr>
        <w:t> </w:t>
      </w:r>
      <w:r w:rsidR="00E00B24" w:rsidRPr="00505C3C">
        <w:rPr>
          <w:lang w:val="en-US"/>
        </w:rPr>
        <w:t xml:space="preserve">75 years were more likely to experience Grade 3 </w:t>
      </w:r>
      <w:r w:rsidR="002125F6" w:rsidRPr="00505C3C">
        <w:rPr>
          <w:lang w:val="en-US"/>
        </w:rPr>
        <w:t xml:space="preserve">or </w:t>
      </w:r>
      <w:proofErr w:type="gramStart"/>
      <w:r w:rsidR="00E00B24" w:rsidRPr="00505C3C">
        <w:rPr>
          <w:lang w:val="en-US"/>
        </w:rPr>
        <w:t>4</w:t>
      </w:r>
      <w:proofErr w:type="gramEnd"/>
      <w:r w:rsidR="00E00B24" w:rsidRPr="00505C3C">
        <w:rPr>
          <w:lang w:val="en-US"/>
        </w:rPr>
        <w:t xml:space="preserve"> hypertension, proteinuria, decreased appetite, and dehydration.</w:t>
      </w:r>
    </w:p>
    <w:p w14:paraId="2866DF5A" w14:textId="02A24D5F" w:rsidR="00E00B24" w:rsidRPr="00505C3C" w:rsidRDefault="00385FF1" w:rsidP="002E57C2">
      <w:pPr>
        <w:pStyle w:val="BodyText"/>
        <w:spacing w:before="120" w:after="60"/>
        <w:rPr>
          <w:lang w:val="en-US"/>
        </w:rPr>
      </w:pPr>
      <w:r w:rsidRPr="00505C3C">
        <w:rPr>
          <w:lang w:val="en-US"/>
        </w:rPr>
        <w:t xml:space="preserve">There are limited data on patients of age </w:t>
      </w:r>
      <w:r w:rsidR="006540BC">
        <w:rPr>
          <w:lang w:val="en-US"/>
        </w:rPr>
        <w:sym w:font="Symbol" w:char="F0B3"/>
      </w:r>
      <w:r w:rsidRPr="00505C3C">
        <w:rPr>
          <w:lang w:val="en-US"/>
        </w:rPr>
        <w:t xml:space="preserve"> 75 years with RCC.</w:t>
      </w:r>
    </w:p>
    <w:p w14:paraId="6373FDDC" w14:textId="6F18818C" w:rsidR="007F5F59" w:rsidRPr="007F5F59" w:rsidRDefault="007F5F59" w:rsidP="002E57C2">
      <w:pPr>
        <w:pStyle w:val="BodyText"/>
        <w:spacing w:before="120" w:after="60"/>
        <w:rPr>
          <w:lang w:val="en-US"/>
        </w:rPr>
      </w:pPr>
      <w:r w:rsidRPr="007F5F59">
        <w:rPr>
          <w:lang w:val="en-US"/>
        </w:rPr>
        <w:t xml:space="preserve">In HCC, patients of age </w:t>
      </w:r>
      <w:r w:rsidR="006540BC">
        <w:rPr>
          <w:lang w:val="en-US"/>
        </w:rPr>
        <w:sym w:font="Symbol" w:char="F0B3"/>
      </w:r>
      <w:r w:rsidRPr="007F5F59">
        <w:rPr>
          <w:lang w:val="en-US"/>
        </w:rPr>
        <w:t>75 years were more likely to experience hypertension, proteinuria, decreased appetite, asthenia, dehydration, dizziness and hepatic encephalopathy. Arterial thromboembolic events also occurred at an increased incidence in this age group.</w:t>
      </w:r>
    </w:p>
    <w:p w14:paraId="2866DF5C" w14:textId="77777777" w:rsidR="00E00B24" w:rsidRPr="00FC4217" w:rsidRDefault="00E00B24" w:rsidP="00FC4217">
      <w:pPr>
        <w:pStyle w:val="Heading4"/>
      </w:pPr>
      <w:r w:rsidRPr="00FC4217">
        <w:t>Sex</w:t>
      </w:r>
    </w:p>
    <w:p w14:paraId="2866DF5D" w14:textId="657987EC" w:rsidR="00E00B24" w:rsidRDefault="00A40620" w:rsidP="002E57C2">
      <w:pPr>
        <w:pStyle w:val="BodyText"/>
        <w:spacing w:before="120" w:after="60"/>
        <w:rPr>
          <w:lang w:val="en-US"/>
        </w:rPr>
      </w:pPr>
      <w:r w:rsidRPr="00505C3C">
        <w:rPr>
          <w:lang w:val="en-US"/>
        </w:rPr>
        <w:t>In DTC, f</w:t>
      </w:r>
      <w:r w:rsidR="00E00B24" w:rsidRPr="00505C3C">
        <w:rPr>
          <w:lang w:val="en-US"/>
        </w:rPr>
        <w:t xml:space="preserve">emales had a higher incidence of hypertension (including Grade 3 or </w:t>
      </w:r>
      <w:proofErr w:type="gramStart"/>
      <w:r w:rsidR="00E00B24" w:rsidRPr="00505C3C">
        <w:rPr>
          <w:lang w:val="en-US"/>
        </w:rPr>
        <w:t>4</w:t>
      </w:r>
      <w:proofErr w:type="gramEnd"/>
      <w:r w:rsidR="00E00B24" w:rsidRPr="00505C3C">
        <w:rPr>
          <w:lang w:val="en-US"/>
        </w:rPr>
        <w:t xml:space="preserve"> hypertension), proteinuria, and PPE, while males had a higher incidence of decreased ejection fraction and gastrointestinal perforation and fistula formation.</w:t>
      </w:r>
    </w:p>
    <w:p w14:paraId="6A3F91C0" w14:textId="7FAB5951" w:rsidR="007F5F59" w:rsidRPr="00505C3C" w:rsidRDefault="007F5F59" w:rsidP="002E57C2">
      <w:pPr>
        <w:pStyle w:val="BodyText"/>
        <w:spacing w:before="120" w:after="60"/>
        <w:rPr>
          <w:lang w:val="en-US"/>
        </w:rPr>
      </w:pPr>
      <w:r w:rsidRPr="007F5F59">
        <w:rPr>
          <w:lang w:val="en-US"/>
        </w:rPr>
        <w:t xml:space="preserve">In HCC, females had a higher incidence of hypertension, fatigue and ECG QT prolongation. Hepatic failure events </w:t>
      </w:r>
      <w:proofErr w:type="gramStart"/>
      <w:r w:rsidRPr="007F5F59">
        <w:rPr>
          <w:lang w:val="en-US"/>
        </w:rPr>
        <w:t>were observed</w:t>
      </w:r>
      <w:proofErr w:type="gramEnd"/>
      <w:r w:rsidRPr="007F5F59">
        <w:rPr>
          <w:lang w:val="en-US"/>
        </w:rPr>
        <w:t xml:space="preserve"> in male patients only.</w:t>
      </w:r>
    </w:p>
    <w:p w14:paraId="2866DF5F" w14:textId="77777777" w:rsidR="00352697" w:rsidRPr="00FC4217" w:rsidRDefault="00E00B24" w:rsidP="00FC4217">
      <w:pPr>
        <w:pStyle w:val="Heading4"/>
      </w:pPr>
      <w:r w:rsidRPr="00FC4217">
        <w:t>Race</w:t>
      </w:r>
    </w:p>
    <w:p w14:paraId="2866DF60" w14:textId="77777777" w:rsidR="00E00B24" w:rsidRPr="00505C3C" w:rsidRDefault="00A40620" w:rsidP="002E57C2">
      <w:pPr>
        <w:pStyle w:val="BodyText"/>
        <w:spacing w:before="120" w:after="60"/>
        <w:rPr>
          <w:lang w:val="en-US"/>
        </w:rPr>
      </w:pPr>
      <w:r w:rsidRPr="00505C3C">
        <w:rPr>
          <w:lang w:val="en-US"/>
        </w:rPr>
        <w:t xml:space="preserve">In DTC, </w:t>
      </w:r>
      <w:r w:rsidR="00E00B24" w:rsidRPr="00505C3C">
        <w:rPr>
          <w:lang w:val="en-US"/>
        </w:rPr>
        <w:t xml:space="preserve">Asian patients had a higher incidence </w:t>
      </w:r>
      <w:proofErr w:type="gramStart"/>
      <w:r w:rsidR="00E00B24" w:rsidRPr="00505C3C">
        <w:rPr>
          <w:lang w:val="en-US"/>
        </w:rPr>
        <w:t>than Caucasian patients</w:t>
      </w:r>
      <w:proofErr w:type="gramEnd"/>
      <w:r w:rsidR="00E00B24" w:rsidRPr="00505C3C">
        <w:rPr>
          <w:lang w:val="en-US"/>
        </w:rPr>
        <w:t xml:space="preserve"> of </w:t>
      </w:r>
      <w:proofErr w:type="spellStart"/>
      <w:r w:rsidR="00E00B24" w:rsidRPr="00505C3C">
        <w:rPr>
          <w:lang w:val="en-US"/>
        </w:rPr>
        <w:t>oedema</w:t>
      </w:r>
      <w:proofErr w:type="spellEnd"/>
      <w:r w:rsidR="00E00B24" w:rsidRPr="00505C3C">
        <w:rPr>
          <w:lang w:val="en-US"/>
        </w:rPr>
        <w:t xml:space="preserve"> peripheral,</w:t>
      </w:r>
      <w:r w:rsidRPr="00505C3C">
        <w:rPr>
          <w:lang w:val="en-US"/>
        </w:rPr>
        <w:t xml:space="preserve"> hypertension,</w:t>
      </w:r>
      <w:r w:rsidR="00E00B24" w:rsidRPr="00505C3C">
        <w:rPr>
          <w:lang w:val="en-US"/>
        </w:rPr>
        <w:t xml:space="preserve"> fatigue, PPE, proteinuria, thrombocytopenia, and blood thyroid stimulating hormone increased. Japanese patients had a higher incidence of Grade 3 </w:t>
      </w:r>
      <w:r w:rsidR="002125F6" w:rsidRPr="00505C3C">
        <w:rPr>
          <w:lang w:val="en-US"/>
        </w:rPr>
        <w:t xml:space="preserve">or </w:t>
      </w:r>
      <w:proofErr w:type="gramStart"/>
      <w:r w:rsidR="00E00B24" w:rsidRPr="00505C3C">
        <w:rPr>
          <w:lang w:val="en-US"/>
        </w:rPr>
        <w:t>4</w:t>
      </w:r>
      <w:proofErr w:type="gramEnd"/>
      <w:r w:rsidR="00E00B24" w:rsidRPr="00505C3C">
        <w:rPr>
          <w:lang w:val="en-US"/>
        </w:rPr>
        <w:t xml:space="preserve"> hypertension, </w:t>
      </w:r>
      <w:r w:rsidR="00E00B24" w:rsidRPr="00505C3C">
        <w:rPr>
          <w:lang w:val="en-US"/>
        </w:rPr>
        <w:lastRenderedPageBreak/>
        <w:t>decreased appetite, fatigue, and thrombocytopenia compared with non-Japanese subjects.</w:t>
      </w:r>
      <w:r w:rsidRPr="00505C3C">
        <w:rPr>
          <w:lang w:val="en-US"/>
        </w:rPr>
        <w:t xml:space="preserve"> There are limited data on Asian patients with RCC.</w:t>
      </w:r>
    </w:p>
    <w:p w14:paraId="61B0A938" w14:textId="5AD811B7" w:rsidR="00CF46BA" w:rsidRDefault="00CF46BA" w:rsidP="002E57C2">
      <w:pPr>
        <w:pStyle w:val="BodyText"/>
        <w:spacing w:before="120" w:after="60"/>
        <w:rPr>
          <w:lang w:val="en-US"/>
        </w:rPr>
      </w:pPr>
      <w:r w:rsidRPr="00CF46BA">
        <w:rPr>
          <w:lang w:val="en-US"/>
        </w:rPr>
        <w:t xml:space="preserve">In HCC, Asian patients had a higher incidence than Caucasian patients of proteinuria and PPE </w:t>
      </w:r>
      <w:proofErr w:type="gramStart"/>
      <w:r w:rsidRPr="00CF46BA">
        <w:rPr>
          <w:lang w:val="en-US"/>
        </w:rPr>
        <w:t>syndrome</w:t>
      </w:r>
      <w:proofErr w:type="gramEnd"/>
      <w:r w:rsidRPr="00CF46BA">
        <w:rPr>
          <w:lang w:val="en-US"/>
        </w:rPr>
        <w:t>, while Caucasian patients had a higher incidence of fatigue, hepatic encephalopathy and acute kidney injury.</w:t>
      </w:r>
    </w:p>
    <w:p w14:paraId="2866DF62" w14:textId="77777777" w:rsidR="00E00B24" w:rsidRPr="00FC4217" w:rsidRDefault="00E00B24" w:rsidP="00FC4217">
      <w:pPr>
        <w:pStyle w:val="Heading4"/>
      </w:pPr>
      <w:r w:rsidRPr="00FC4217">
        <w:t>Baseline hypertension</w:t>
      </w:r>
    </w:p>
    <w:p w14:paraId="2866DF63" w14:textId="02606665" w:rsidR="00E00B24" w:rsidRPr="00505C3C" w:rsidRDefault="00A40620" w:rsidP="002E57C2">
      <w:pPr>
        <w:pStyle w:val="BodyText"/>
        <w:spacing w:before="120" w:after="60"/>
        <w:rPr>
          <w:lang w:val="en-US"/>
        </w:rPr>
      </w:pPr>
      <w:r w:rsidRPr="00505C3C">
        <w:rPr>
          <w:lang w:val="en-US"/>
        </w:rPr>
        <w:t>In DTC, p</w:t>
      </w:r>
      <w:r w:rsidR="00E00B24" w:rsidRPr="00505C3C">
        <w:rPr>
          <w:lang w:val="en-US"/>
        </w:rPr>
        <w:t xml:space="preserve">atients with baseline hypertension had a higher incidence of Grade 3 </w:t>
      </w:r>
      <w:r w:rsidR="002125F6" w:rsidRPr="00505C3C">
        <w:rPr>
          <w:lang w:val="en-US"/>
        </w:rPr>
        <w:t xml:space="preserve">or </w:t>
      </w:r>
      <w:r w:rsidR="00E00B24" w:rsidRPr="00505C3C">
        <w:rPr>
          <w:lang w:val="en-US"/>
        </w:rPr>
        <w:t xml:space="preserve">4 hypertension, proteinuria, </w:t>
      </w:r>
      <w:proofErr w:type="spellStart"/>
      <w:r w:rsidR="00E00B24" w:rsidRPr="00505C3C">
        <w:rPr>
          <w:lang w:val="en-US"/>
        </w:rPr>
        <w:t>diarrhoea</w:t>
      </w:r>
      <w:proofErr w:type="spellEnd"/>
      <w:r w:rsidR="00E00B24" w:rsidRPr="00505C3C">
        <w:rPr>
          <w:lang w:val="en-US"/>
        </w:rPr>
        <w:t xml:space="preserve">, and dehydration, and experienced more serious events of dehydration, hypotension, pulmonary embolism, </w:t>
      </w:r>
      <w:r w:rsidRPr="00505C3C">
        <w:rPr>
          <w:lang w:val="en-US"/>
        </w:rPr>
        <w:t xml:space="preserve">malignant pleural effusion, atrial fibrillation, </w:t>
      </w:r>
      <w:r w:rsidR="00E00B24" w:rsidRPr="00505C3C">
        <w:rPr>
          <w:lang w:val="en-US"/>
        </w:rPr>
        <w:t xml:space="preserve">and GI symptoms (abdominal pain, </w:t>
      </w:r>
      <w:proofErr w:type="spellStart"/>
      <w:r w:rsidR="00E00B24" w:rsidRPr="00505C3C">
        <w:rPr>
          <w:lang w:val="en-US"/>
        </w:rPr>
        <w:t>diarrhoea</w:t>
      </w:r>
      <w:proofErr w:type="spellEnd"/>
      <w:r w:rsidR="00E00B24" w:rsidRPr="00505C3C">
        <w:rPr>
          <w:lang w:val="en-US"/>
        </w:rPr>
        <w:t>, vomiting).</w:t>
      </w:r>
    </w:p>
    <w:p w14:paraId="2866DF65" w14:textId="77777777" w:rsidR="00E00B24" w:rsidRPr="00FC4217" w:rsidRDefault="00E00B24" w:rsidP="00FC4217">
      <w:pPr>
        <w:pStyle w:val="Heading4"/>
      </w:pPr>
      <w:r w:rsidRPr="00FC4217">
        <w:t>Hepatic impairment</w:t>
      </w:r>
    </w:p>
    <w:p w14:paraId="2866DF66" w14:textId="1657671C" w:rsidR="00E00B24" w:rsidRPr="00505C3C" w:rsidRDefault="009D7EAE" w:rsidP="002E57C2">
      <w:pPr>
        <w:pStyle w:val="BodyText"/>
        <w:spacing w:before="120" w:after="60"/>
        <w:rPr>
          <w:lang w:val="en-US"/>
        </w:rPr>
      </w:pPr>
      <w:r w:rsidRPr="00505C3C">
        <w:rPr>
          <w:lang w:val="en-US"/>
        </w:rPr>
        <w:t>In DTC, p</w:t>
      </w:r>
      <w:r w:rsidR="00E00B24" w:rsidRPr="00505C3C">
        <w:rPr>
          <w:lang w:val="en-US"/>
        </w:rPr>
        <w:t xml:space="preserve">atients with baseline hepatic impairment had a higher incidence of hypertension and PPE, and a higher incidence of Grade 3 or </w:t>
      </w:r>
      <w:proofErr w:type="gramStart"/>
      <w:r w:rsidR="00E00B24" w:rsidRPr="00505C3C">
        <w:rPr>
          <w:lang w:val="en-US"/>
        </w:rPr>
        <w:t>4</w:t>
      </w:r>
      <w:proofErr w:type="gramEnd"/>
      <w:r w:rsidR="00E00B24" w:rsidRPr="00505C3C">
        <w:rPr>
          <w:lang w:val="en-US"/>
        </w:rPr>
        <w:t xml:space="preserve"> hypertension, asthenia, fatigue, and hypocalcaemia compared with patients with normal hepatic function.</w:t>
      </w:r>
      <w:r w:rsidRPr="00505C3C">
        <w:rPr>
          <w:lang w:val="en-US"/>
        </w:rPr>
        <w:t xml:space="preserve"> There are limited data on patients with hepatic impairment in RCC</w:t>
      </w:r>
      <w:r w:rsidR="00D9547E">
        <w:rPr>
          <w:lang w:val="en-US"/>
        </w:rPr>
        <w:t xml:space="preserve"> and endometrial carcinoma</w:t>
      </w:r>
      <w:r w:rsidRPr="00505C3C">
        <w:rPr>
          <w:lang w:val="en-US"/>
        </w:rPr>
        <w:t>.</w:t>
      </w:r>
    </w:p>
    <w:p w14:paraId="6D59FB8F" w14:textId="77777777" w:rsidR="00CF46BA" w:rsidRPr="00CF46BA" w:rsidRDefault="00CF46BA" w:rsidP="002E57C2">
      <w:pPr>
        <w:pStyle w:val="BodyText"/>
        <w:spacing w:before="120" w:after="60"/>
        <w:rPr>
          <w:lang w:val="en-US"/>
        </w:rPr>
      </w:pPr>
      <w:r w:rsidRPr="00CF46BA">
        <w:rPr>
          <w:lang w:val="en-US"/>
        </w:rPr>
        <w:t xml:space="preserve">In HCC, patients with a baseline Child Pugh (CP) score of </w:t>
      </w:r>
      <w:proofErr w:type="gramStart"/>
      <w:r w:rsidRPr="00CF46BA">
        <w:rPr>
          <w:lang w:val="en-US"/>
        </w:rPr>
        <w:t>6</w:t>
      </w:r>
      <w:proofErr w:type="gramEnd"/>
      <w:r w:rsidRPr="00CF46BA">
        <w:rPr>
          <w:lang w:val="en-US"/>
        </w:rPr>
        <w:t xml:space="preserve"> compared to a baseline CP score of 5 had a higher incidence of decreased appetite, fatigue, proteinuria, hepatic encephalopathy and hepatic failure. Hepatotoxicity events and </w:t>
      </w:r>
      <w:proofErr w:type="spellStart"/>
      <w:r w:rsidRPr="00CF46BA">
        <w:rPr>
          <w:lang w:val="en-US"/>
        </w:rPr>
        <w:t>haemorrhage</w:t>
      </w:r>
      <w:proofErr w:type="spellEnd"/>
      <w:r w:rsidRPr="00CF46BA">
        <w:rPr>
          <w:lang w:val="en-US"/>
        </w:rPr>
        <w:t xml:space="preserve"> </w:t>
      </w:r>
      <w:proofErr w:type="gramStart"/>
      <w:r w:rsidRPr="00CF46BA">
        <w:rPr>
          <w:lang w:val="en-US"/>
        </w:rPr>
        <w:t>events also</w:t>
      </w:r>
      <w:proofErr w:type="gramEnd"/>
      <w:r w:rsidRPr="00CF46BA">
        <w:rPr>
          <w:lang w:val="en-US"/>
        </w:rPr>
        <w:t xml:space="preserve"> occurred at a higher incidence in CP score 6 patients compared to CP score 5 patients.</w:t>
      </w:r>
    </w:p>
    <w:p w14:paraId="2866DF68" w14:textId="77777777" w:rsidR="00E00B24" w:rsidRPr="00FC4217" w:rsidRDefault="00E00B24" w:rsidP="00FC4217">
      <w:pPr>
        <w:pStyle w:val="Heading4"/>
      </w:pPr>
      <w:r w:rsidRPr="00FC4217">
        <w:t>Renal impairment</w:t>
      </w:r>
    </w:p>
    <w:p w14:paraId="12A1C423" w14:textId="13586864" w:rsidR="00A56386" w:rsidRDefault="009D7EAE" w:rsidP="002E57C2">
      <w:pPr>
        <w:pStyle w:val="BodyText"/>
        <w:spacing w:before="120" w:after="60"/>
        <w:rPr>
          <w:lang w:val="en-US"/>
        </w:rPr>
      </w:pPr>
      <w:r w:rsidRPr="00505C3C">
        <w:rPr>
          <w:lang w:val="en-US"/>
        </w:rPr>
        <w:t>In DTC, p</w:t>
      </w:r>
      <w:r w:rsidR="00E00B24" w:rsidRPr="00505C3C">
        <w:rPr>
          <w:lang w:val="en-US"/>
        </w:rPr>
        <w:t xml:space="preserve">atients with baseline renal impairment had a higher incidence of Grade 3 </w:t>
      </w:r>
      <w:r w:rsidR="002125F6" w:rsidRPr="00505C3C">
        <w:rPr>
          <w:lang w:val="en-US"/>
        </w:rPr>
        <w:t xml:space="preserve">or </w:t>
      </w:r>
      <w:proofErr w:type="gramStart"/>
      <w:r w:rsidR="00E00B24" w:rsidRPr="00505C3C">
        <w:rPr>
          <w:lang w:val="en-US"/>
        </w:rPr>
        <w:t>4</w:t>
      </w:r>
      <w:proofErr w:type="gramEnd"/>
      <w:r w:rsidR="00E00B24" w:rsidRPr="00505C3C">
        <w:rPr>
          <w:lang w:val="en-US"/>
        </w:rPr>
        <w:t xml:space="preserve"> hypertension, proteinuria, fatigue, stomatitis, </w:t>
      </w:r>
      <w:proofErr w:type="spellStart"/>
      <w:r w:rsidR="00E00B24" w:rsidRPr="00505C3C">
        <w:rPr>
          <w:lang w:val="en-US"/>
        </w:rPr>
        <w:t>oedema</w:t>
      </w:r>
      <w:proofErr w:type="spellEnd"/>
      <w:r w:rsidR="00E00B24" w:rsidRPr="00505C3C">
        <w:rPr>
          <w:lang w:val="en-US"/>
        </w:rPr>
        <w:t xml:space="preserve"> peripheral, thrombocytopenia, dehydration, prolonged electrocardiogram QT, hypothyroidism, </w:t>
      </w:r>
      <w:proofErr w:type="spellStart"/>
      <w:r w:rsidR="00E00B24" w:rsidRPr="00505C3C">
        <w:rPr>
          <w:lang w:val="en-US"/>
        </w:rPr>
        <w:t>hyponatraemia</w:t>
      </w:r>
      <w:proofErr w:type="spellEnd"/>
      <w:r w:rsidR="00E00B24" w:rsidRPr="00505C3C">
        <w:rPr>
          <w:lang w:val="en-US"/>
        </w:rPr>
        <w:t xml:space="preserve">, blood thyroid stimulating hormone increased </w:t>
      </w:r>
      <w:r w:rsidRPr="00505C3C">
        <w:rPr>
          <w:lang w:val="en-US"/>
        </w:rPr>
        <w:t xml:space="preserve">and pneumonia </w:t>
      </w:r>
      <w:r w:rsidR="00E00B24" w:rsidRPr="00505C3C">
        <w:rPr>
          <w:lang w:val="en-US"/>
        </w:rPr>
        <w:t>compared with subjects with normal renal function. These patients also had a higher incidence of renal events and a trend towards a higher incidence of liver events.</w:t>
      </w:r>
    </w:p>
    <w:p w14:paraId="6DE6E044" w14:textId="27250049" w:rsidR="00A56386" w:rsidRDefault="00A56386" w:rsidP="002E57C2">
      <w:pPr>
        <w:pStyle w:val="BodyText"/>
        <w:spacing w:before="120" w:after="60"/>
        <w:rPr>
          <w:lang w:val="en-US"/>
        </w:rPr>
      </w:pPr>
      <w:r w:rsidRPr="00505C3C">
        <w:rPr>
          <w:lang w:val="en-US"/>
        </w:rPr>
        <w:t xml:space="preserve">See also </w:t>
      </w:r>
      <w:r w:rsidR="007B4197">
        <w:rPr>
          <w:lang w:val="en-US"/>
        </w:rPr>
        <w:t xml:space="preserve">Section </w:t>
      </w:r>
      <w:r w:rsidR="007B4197">
        <w:rPr>
          <w:lang w:val="en-US"/>
        </w:rPr>
        <w:fldChar w:fldCharType="begin"/>
      </w:r>
      <w:r w:rsidR="007B4197">
        <w:rPr>
          <w:lang w:val="en-US"/>
        </w:rPr>
        <w:instrText xml:space="preserve"> REF _Ref503529038 \r \h </w:instrText>
      </w:r>
      <w:r w:rsidR="002E57C2">
        <w:rPr>
          <w:lang w:val="en-US"/>
        </w:rPr>
        <w:instrText xml:space="preserve"> \* MERGEFORMAT </w:instrText>
      </w:r>
      <w:r w:rsidR="007B4197">
        <w:rPr>
          <w:lang w:val="en-US"/>
        </w:rPr>
      </w:r>
      <w:r w:rsidR="007B4197">
        <w:rPr>
          <w:lang w:val="en-US"/>
        </w:rPr>
        <w:fldChar w:fldCharType="separate"/>
      </w:r>
      <w:r w:rsidR="0064223A">
        <w:rPr>
          <w:lang w:val="en-US"/>
        </w:rPr>
        <w:t>4.2</w:t>
      </w:r>
      <w:r w:rsidR="007B4197">
        <w:rPr>
          <w:lang w:val="en-US"/>
        </w:rPr>
        <w:fldChar w:fldCharType="end"/>
      </w:r>
      <w:r w:rsidR="00B662F4">
        <w:t xml:space="preserve"> Dose and method of administration</w:t>
      </w:r>
      <w:r w:rsidR="007B4197">
        <w:rPr>
          <w:lang w:val="en-US"/>
        </w:rPr>
        <w:t xml:space="preserve"> and </w:t>
      </w:r>
      <w:r w:rsidR="007B4197">
        <w:rPr>
          <w:lang w:val="en-US"/>
        </w:rPr>
        <w:fldChar w:fldCharType="begin"/>
      </w:r>
      <w:r w:rsidR="007B4197">
        <w:rPr>
          <w:lang w:val="en-US"/>
        </w:rPr>
        <w:instrText xml:space="preserve"> REF _Ref503187146 \r \h </w:instrText>
      </w:r>
      <w:r w:rsidR="002E57C2">
        <w:rPr>
          <w:lang w:val="en-US"/>
        </w:rPr>
        <w:instrText xml:space="preserve"> \* MERGEFORMAT </w:instrText>
      </w:r>
      <w:r w:rsidR="007B4197">
        <w:rPr>
          <w:lang w:val="en-US"/>
        </w:rPr>
      </w:r>
      <w:r w:rsidR="007B4197">
        <w:rPr>
          <w:lang w:val="en-US"/>
        </w:rPr>
        <w:fldChar w:fldCharType="separate"/>
      </w:r>
      <w:r w:rsidR="0064223A">
        <w:rPr>
          <w:lang w:val="en-US"/>
        </w:rPr>
        <w:t>4.4</w:t>
      </w:r>
      <w:r w:rsidR="007B4197">
        <w:rPr>
          <w:lang w:val="en-US"/>
        </w:rPr>
        <w:fldChar w:fldCharType="end"/>
      </w:r>
      <w:r w:rsidR="008B3996">
        <w:t xml:space="preserve"> Special warnings and precautions for use</w:t>
      </w:r>
      <w:r w:rsidRPr="00505C3C">
        <w:rPr>
          <w:lang w:val="en-US"/>
        </w:rPr>
        <w:t>.</w:t>
      </w:r>
    </w:p>
    <w:p w14:paraId="6ACEE5A1" w14:textId="6CBE87B5" w:rsidR="00CF46BA" w:rsidRPr="00505C3C" w:rsidRDefault="00CF46BA" w:rsidP="002E57C2">
      <w:pPr>
        <w:pStyle w:val="BodyText"/>
        <w:spacing w:before="120" w:after="60"/>
        <w:rPr>
          <w:lang w:val="en-US"/>
        </w:rPr>
      </w:pPr>
      <w:r w:rsidRPr="00CF46BA">
        <w:rPr>
          <w:lang w:val="en-US"/>
        </w:rPr>
        <w:t xml:space="preserve">In HCC, patients with baseline renal impairment had a higher incidence of fatigue, hypothyroidism, dehydration, </w:t>
      </w:r>
      <w:proofErr w:type="spellStart"/>
      <w:r w:rsidRPr="00CF46BA">
        <w:rPr>
          <w:lang w:val="en-US"/>
        </w:rPr>
        <w:t>diarrhoea</w:t>
      </w:r>
      <w:proofErr w:type="spellEnd"/>
      <w:r w:rsidRPr="00CF46BA">
        <w:rPr>
          <w:lang w:val="en-US"/>
        </w:rPr>
        <w:t>, decreased appetite, proteinuria and hepatic encephalopathy. These patients also had a higher incidence of renal reactions and arterial thromboembolic events.</w:t>
      </w:r>
    </w:p>
    <w:p w14:paraId="2866DF6D" w14:textId="77777777" w:rsidR="009D7EAE" w:rsidRPr="00FC4217" w:rsidRDefault="009D7EAE" w:rsidP="00FC4217">
      <w:pPr>
        <w:pStyle w:val="Heading4"/>
      </w:pPr>
      <w:r w:rsidRPr="00FC4217">
        <w:t>Patients with body weight &lt; 60 kg</w:t>
      </w:r>
    </w:p>
    <w:p w14:paraId="2866DF6E" w14:textId="77777777" w:rsidR="009D7EAE" w:rsidRPr="00505C3C" w:rsidRDefault="009D7EAE" w:rsidP="002E57C2">
      <w:pPr>
        <w:pStyle w:val="BodyText"/>
        <w:spacing w:before="120" w:after="60"/>
        <w:rPr>
          <w:lang w:val="en-US"/>
        </w:rPr>
      </w:pPr>
      <w:r w:rsidRPr="00505C3C">
        <w:rPr>
          <w:lang w:val="en-US"/>
        </w:rPr>
        <w:t xml:space="preserve">In DTC, patients with low body weight (&lt; 60 kg) had a higher incidence of PPE, proteinuria, Grade 3 or 4 hypocalcaemia and </w:t>
      </w:r>
      <w:proofErr w:type="spellStart"/>
      <w:r w:rsidRPr="00505C3C">
        <w:rPr>
          <w:lang w:val="en-US"/>
        </w:rPr>
        <w:t>hyponatraemia</w:t>
      </w:r>
      <w:proofErr w:type="spellEnd"/>
      <w:r w:rsidRPr="00505C3C">
        <w:rPr>
          <w:lang w:val="en-US"/>
        </w:rPr>
        <w:t xml:space="preserve">, and a trend towards a higher incidence of Grade 3 or </w:t>
      </w:r>
      <w:proofErr w:type="gramStart"/>
      <w:r w:rsidRPr="00505C3C">
        <w:rPr>
          <w:lang w:val="en-US"/>
        </w:rPr>
        <w:t>4</w:t>
      </w:r>
      <w:proofErr w:type="gramEnd"/>
      <w:r w:rsidRPr="00505C3C">
        <w:rPr>
          <w:lang w:val="en-US"/>
        </w:rPr>
        <w:t xml:space="preserve"> decreased appetite. There are limited data on patients with body weight &lt; 60 kg in RCC.</w:t>
      </w:r>
    </w:p>
    <w:p w14:paraId="2866E058" w14:textId="77777777" w:rsidR="00C4320E" w:rsidRDefault="00C4320E" w:rsidP="00DC5E06">
      <w:pPr>
        <w:pStyle w:val="BodyText"/>
        <w:rPr>
          <w:lang w:val="en-US"/>
        </w:rPr>
      </w:pPr>
    </w:p>
    <w:p w14:paraId="73B95D3B" w14:textId="77777777" w:rsidR="00943DED" w:rsidRPr="00254A34" w:rsidRDefault="00943DED" w:rsidP="00943DED">
      <w:pPr>
        <w:pStyle w:val="Heading3"/>
        <w:rPr>
          <w:lang w:val="en-US"/>
        </w:rPr>
      </w:pPr>
      <w:r w:rsidRPr="00254A34">
        <w:rPr>
          <w:lang w:val="en-US"/>
        </w:rPr>
        <w:t>Repo</w:t>
      </w:r>
      <w:r>
        <w:rPr>
          <w:lang w:val="en-US"/>
        </w:rPr>
        <w:t>rting suspected adverse effects</w:t>
      </w:r>
    </w:p>
    <w:p w14:paraId="293A9553" w14:textId="63C050E3" w:rsidR="00943DED" w:rsidRPr="00505C3C" w:rsidRDefault="00943DED" w:rsidP="002E57C2">
      <w:pPr>
        <w:pStyle w:val="BodyText"/>
        <w:spacing w:before="120" w:after="60"/>
        <w:rPr>
          <w:lang w:val="en-US"/>
        </w:rPr>
      </w:pPr>
      <w:r w:rsidRPr="00254A34">
        <w:rPr>
          <w:lang w:val="en-US"/>
        </w:rPr>
        <w:t xml:space="preserve">Reporting suspected adverse reactions after registration of the medicinal product is important. It allows continued monitoring of the benefit-risk balance of the medicinal product. Healthcare professionals </w:t>
      </w:r>
      <w:proofErr w:type="gramStart"/>
      <w:r w:rsidRPr="00254A34">
        <w:rPr>
          <w:lang w:val="en-US"/>
        </w:rPr>
        <w:t>are asked</w:t>
      </w:r>
      <w:proofErr w:type="gramEnd"/>
      <w:r w:rsidRPr="00254A34">
        <w:rPr>
          <w:lang w:val="en-US"/>
        </w:rPr>
        <w:t xml:space="preserve"> to report any suspected adverse reactions at </w:t>
      </w:r>
      <w:hyperlink r:id="rId12" w:history="1">
        <w:r w:rsidR="00211F82" w:rsidRPr="00071B4F">
          <w:rPr>
            <w:rStyle w:val="Hyperlink"/>
          </w:rPr>
          <w:t>http://www.tga.gov.au/reporting-problems</w:t>
        </w:r>
        <w:r w:rsidR="00211F82" w:rsidRPr="002E57C2">
          <w:rPr>
            <w:rStyle w:val="Hyperlink"/>
            <w:u w:val="none"/>
          </w:rPr>
          <w:t>.</w:t>
        </w:r>
      </w:hyperlink>
    </w:p>
    <w:p w14:paraId="2866E059" w14:textId="5F78D6FA" w:rsidR="00E52433" w:rsidRPr="00BE78D8" w:rsidRDefault="00D85D9B" w:rsidP="00D85D9B">
      <w:pPr>
        <w:pStyle w:val="Heading2"/>
        <w:rPr>
          <w:lang w:val="en-US"/>
        </w:rPr>
      </w:pPr>
      <w:r>
        <w:rPr>
          <w:lang w:val="en-US"/>
        </w:rPr>
        <w:t>Overdose</w:t>
      </w:r>
    </w:p>
    <w:p w14:paraId="5BF346AB" w14:textId="3413E293" w:rsidR="00DC5E06" w:rsidRPr="00214E83" w:rsidRDefault="00DC5E06" w:rsidP="002E57C2">
      <w:pPr>
        <w:pStyle w:val="BodyText"/>
        <w:spacing w:before="120" w:after="60"/>
      </w:pPr>
      <w:r w:rsidRPr="000A2C05">
        <w:t>For information on the management of overdose, contact the Poison Information Centre on 131126 (Australia).</w:t>
      </w:r>
    </w:p>
    <w:p w14:paraId="2866E05C" w14:textId="7C8E0244" w:rsidR="00E52433" w:rsidRDefault="00DB2922" w:rsidP="002E57C2">
      <w:pPr>
        <w:pStyle w:val="BodyText"/>
        <w:spacing w:before="120" w:after="60"/>
        <w:rPr>
          <w:lang w:val="en-US"/>
        </w:rPr>
      </w:pPr>
      <w:r w:rsidRPr="00BE78D8">
        <w:rPr>
          <w:lang w:val="en-US"/>
        </w:rPr>
        <w:t xml:space="preserve">There have been reports of overdose with </w:t>
      </w:r>
      <w:r>
        <w:rPr>
          <w:lang w:val="en-US"/>
        </w:rPr>
        <w:t>LENVIMA</w:t>
      </w:r>
      <w:r w:rsidRPr="00BE78D8">
        <w:rPr>
          <w:lang w:val="en-US"/>
        </w:rPr>
        <w:t xml:space="preserve"> including a single administration of 144 mg, 6 times the recommended daily dose. </w:t>
      </w:r>
      <w:r w:rsidR="00E52433" w:rsidRPr="00BE78D8">
        <w:rPr>
          <w:lang w:val="en-US"/>
        </w:rPr>
        <w:t>These cases were associated with adverse reactions consistent with the known safety profile of</w:t>
      </w:r>
      <w:r w:rsidR="001D6874">
        <w:rPr>
          <w:lang w:val="en-US"/>
        </w:rPr>
        <w:t xml:space="preserve"> LENVIMA</w:t>
      </w:r>
      <w:r w:rsidR="00E52433" w:rsidRPr="00BE78D8">
        <w:rPr>
          <w:lang w:val="en-US"/>
        </w:rPr>
        <w:t xml:space="preserve">, or were without adverse reactions. </w:t>
      </w:r>
      <w:r w:rsidR="000647E4">
        <w:rPr>
          <w:lang w:val="en-US"/>
        </w:rPr>
        <w:t xml:space="preserve">Death due to </w:t>
      </w:r>
      <w:proofErr w:type="spellStart"/>
      <w:r w:rsidR="000647E4">
        <w:rPr>
          <w:lang w:val="en-US"/>
        </w:rPr>
        <w:t>multiorgan</w:t>
      </w:r>
      <w:proofErr w:type="spellEnd"/>
      <w:r w:rsidR="000647E4">
        <w:rPr>
          <w:lang w:val="en-US"/>
        </w:rPr>
        <w:t xml:space="preserve"> dysfunction occurred in a patient who received a single dose of LENVIMA 120 mg orally. </w:t>
      </w:r>
      <w:r w:rsidR="00E52433" w:rsidRPr="00BE78D8">
        <w:rPr>
          <w:lang w:val="en-US"/>
        </w:rPr>
        <w:t xml:space="preserve">There is no specific antidote for overdose with </w:t>
      </w:r>
      <w:r w:rsidR="0075622C">
        <w:rPr>
          <w:lang w:val="en-US"/>
        </w:rPr>
        <w:t>LENVIMA</w:t>
      </w:r>
      <w:r w:rsidR="00527EC3">
        <w:rPr>
          <w:lang w:val="en-US"/>
        </w:rPr>
        <w:t>, d</w:t>
      </w:r>
      <w:r w:rsidR="00527EC3" w:rsidRPr="00527EC3">
        <w:rPr>
          <w:lang w:val="en-US"/>
        </w:rPr>
        <w:t xml:space="preserve">ue to the high plasma protein </w:t>
      </w:r>
      <w:proofErr w:type="gramStart"/>
      <w:r w:rsidR="00527EC3" w:rsidRPr="00527EC3">
        <w:rPr>
          <w:lang w:val="en-US"/>
        </w:rPr>
        <w:t>binding,</w:t>
      </w:r>
      <w:proofErr w:type="gramEnd"/>
      <w:r w:rsidR="00527EC3" w:rsidRPr="00527EC3">
        <w:rPr>
          <w:lang w:val="en-US"/>
        </w:rPr>
        <w:t xml:space="preserve"> </w:t>
      </w:r>
      <w:proofErr w:type="spellStart"/>
      <w:r w:rsidR="00527EC3" w:rsidRPr="00527EC3">
        <w:rPr>
          <w:lang w:val="en-US"/>
        </w:rPr>
        <w:t>lenvatinib</w:t>
      </w:r>
      <w:proofErr w:type="spellEnd"/>
      <w:r w:rsidR="00527EC3" w:rsidRPr="00527EC3">
        <w:rPr>
          <w:lang w:val="en-US"/>
        </w:rPr>
        <w:t xml:space="preserve"> is not expected to be dialyzable</w:t>
      </w:r>
      <w:r w:rsidR="00E52433" w:rsidRPr="00BE78D8">
        <w:rPr>
          <w:lang w:val="en-US"/>
        </w:rPr>
        <w:t xml:space="preserve">. In case of suspected overdose, </w:t>
      </w:r>
      <w:r w:rsidR="0075622C">
        <w:rPr>
          <w:lang w:val="en-US"/>
        </w:rPr>
        <w:t>LENVIMA</w:t>
      </w:r>
      <w:r w:rsidR="00E52433" w:rsidRPr="00BE78D8">
        <w:rPr>
          <w:lang w:val="en-US"/>
        </w:rPr>
        <w:t xml:space="preserve"> </w:t>
      </w:r>
      <w:proofErr w:type="gramStart"/>
      <w:r w:rsidR="00E52433" w:rsidRPr="00BE78D8">
        <w:rPr>
          <w:lang w:val="en-US"/>
        </w:rPr>
        <w:t>should be withheld</w:t>
      </w:r>
      <w:proofErr w:type="gramEnd"/>
      <w:r w:rsidR="00E52433" w:rsidRPr="00BE78D8">
        <w:rPr>
          <w:lang w:val="en-US"/>
        </w:rPr>
        <w:t xml:space="preserve"> and appropriate supportive care given as required.</w:t>
      </w:r>
    </w:p>
    <w:p w14:paraId="73ED19FC" w14:textId="77777777" w:rsidR="00D85D9B" w:rsidRPr="00356A04" w:rsidRDefault="00D85D9B" w:rsidP="00D85D9B">
      <w:pPr>
        <w:pStyle w:val="Heading1"/>
        <w:ind w:left="431" w:hanging="431"/>
      </w:pPr>
      <w:r w:rsidRPr="00356A04">
        <w:t>Pharmacological properties</w:t>
      </w:r>
    </w:p>
    <w:p w14:paraId="6A0ACFE8" w14:textId="77777777" w:rsidR="00D85D9B" w:rsidRPr="00356A04" w:rsidRDefault="00D85D9B" w:rsidP="00D85D9B">
      <w:pPr>
        <w:pStyle w:val="Heading2"/>
        <w:ind w:left="578" w:hanging="578"/>
      </w:pPr>
      <w:bookmarkStart w:id="13" w:name="_Ref503528653"/>
      <w:proofErr w:type="spellStart"/>
      <w:r w:rsidRPr="00356A04">
        <w:t>Pharmacodynamic</w:t>
      </w:r>
      <w:proofErr w:type="spellEnd"/>
      <w:r w:rsidRPr="00356A04">
        <w:t xml:space="preserve"> properties</w:t>
      </w:r>
      <w:bookmarkEnd w:id="13"/>
      <w:r w:rsidRPr="00356A04">
        <w:t xml:space="preserve"> </w:t>
      </w:r>
    </w:p>
    <w:p w14:paraId="1E200F75" w14:textId="77777777" w:rsidR="00E879C8" w:rsidRDefault="00E879C8" w:rsidP="00E879C8">
      <w:pPr>
        <w:pStyle w:val="Heading3"/>
      </w:pPr>
      <w:r w:rsidRPr="00356A04">
        <w:t>Mechanism of action</w:t>
      </w:r>
    </w:p>
    <w:p w14:paraId="11A7C8A2" w14:textId="69095BE1" w:rsidR="00406B0D" w:rsidRDefault="00E879C8" w:rsidP="002E57C2">
      <w:pPr>
        <w:pStyle w:val="BodyText"/>
        <w:spacing w:before="120" w:after="60"/>
        <w:rPr>
          <w:lang w:val="en-US"/>
        </w:rPr>
      </w:pPr>
      <w:proofErr w:type="spellStart"/>
      <w:r w:rsidRPr="00BE78D8">
        <w:rPr>
          <w:lang w:val="en-US"/>
        </w:rPr>
        <w:t>Lenvatinib</w:t>
      </w:r>
      <w:proofErr w:type="spellEnd"/>
      <w:r w:rsidRPr="00BE78D8">
        <w:rPr>
          <w:lang w:val="en-US"/>
        </w:rPr>
        <w:t xml:space="preserve"> is a multiple receptor tyrosine kinase (RTK) inhibitor that inhibits the kinase activities of vascular endothelial growth factor (VEGF) receptors VEGFR1 (FLT1), VEGFR2 (KDR), and VEGFR3 (FLT4), in addition to other proangiogenic and oncogenic pathway-related RTKs including fibroblast growth factor (FGF) receptors FGFR1, 2, 3, and 4, the platelet derived growth factor (PDGF) receptor PDGFR</w:t>
      </w:r>
      <w:r w:rsidR="006540BC">
        <w:rPr>
          <w:lang w:val="en-US"/>
        </w:rPr>
        <w:sym w:font="Symbol" w:char="F061"/>
      </w:r>
      <w:r w:rsidRPr="00BE78D8">
        <w:rPr>
          <w:lang w:val="en-US"/>
        </w:rPr>
        <w:t>, KIT, and RET.</w:t>
      </w:r>
    </w:p>
    <w:p w14:paraId="513EFF1A" w14:textId="1F98E661" w:rsidR="00406B0D" w:rsidRDefault="00724737" w:rsidP="002E57C2">
      <w:pPr>
        <w:pStyle w:val="BodyText"/>
        <w:spacing w:before="120" w:after="60"/>
        <w:rPr>
          <w:lang w:val="en-US"/>
        </w:rPr>
      </w:pPr>
      <w:r w:rsidRPr="00724737">
        <w:rPr>
          <w:lang w:val="en-US"/>
        </w:rPr>
        <w:t xml:space="preserve">In addition, </w:t>
      </w:r>
      <w:proofErr w:type="spellStart"/>
      <w:r w:rsidRPr="00724737">
        <w:rPr>
          <w:lang w:val="en-US"/>
        </w:rPr>
        <w:t>lenvatinib</w:t>
      </w:r>
      <w:proofErr w:type="spellEnd"/>
      <w:r w:rsidRPr="00724737">
        <w:rPr>
          <w:lang w:val="en-US"/>
        </w:rPr>
        <w:t xml:space="preserve"> inhibited the proliferation of human hepatocellular carcinoma (HCC) cell lines dependent on FGFR signaling </w:t>
      </w:r>
      <w:r w:rsidRPr="00724737">
        <w:rPr>
          <w:i/>
          <w:lang w:val="en-US"/>
        </w:rPr>
        <w:t>in vitro</w:t>
      </w:r>
      <w:r w:rsidRPr="00724737">
        <w:rPr>
          <w:lang w:val="en-US"/>
        </w:rPr>
        <w:t xml:space="preserve"> and caused a concurrent inhibition of FGF-receptor substrate 2</w:t>
      </w:r>
      <w:r w:rsidR="006540BC">
        <w:rPr>
          <w:lang w:val="en-US"/>
        </w:rPr>
        <w:sym w:font="Symbol" w:char="F061"/>
      </w:r>
      <w:r w:rsidRPr="00724737">
        <w:rPr>
          <w:lang w:val="en-US"/>
        </w:rPr>
        <w:t xml:space="preserve"> (FRS2</w:t>
      </w:r>
      <w:r w:rsidR="006540BC">
        <w:rPr>
          <w:lang w:val="en-US"/>
        </w:rPr>
        <w:sym w:font="Symbol" w:char="F061"/>
      </w:r>
      <w:r w:rsidRPr="00724737">
        <w:rPr>
          <w:lang w:val="en-US"/>
        </w:rPr>
        <w:t>) phosphorylation.</w:t>
      </w:r>
    </w:p>
    <w:p w14:paraId="51C58559" w14:textId="26CE6823" w:rsidR="00D9547E" w:rsidRPr="00D72D2E" w:rsidRDefault="00D9547E" w:rsidP="002E57C2">
      <w:pPr>
        <w:pStyle w:val="BodyText"/>
        <w:spacing w:before="120" w:after="60"/>
      </w:pPr>
      <w:r w:rsidRPr="00D72D2E">
        <w:t xml:space="preserve">In </w:t>
      </w:r>
      <w:r>
        <w:t>syngeneic mouse</w:t>
      </w:r>
      <w:r w:rsidRPr="00D72D2E">
        <w:t xml:space="preserve"> </w:t>
      </w:r>
      <w:r w:rsidR="00F42290">
        <w:t>tumour</w:t>
      </w:r>
      <w:r>
        <w:t xml:space="preserve"> </w:t>
      </w:r>
      <w:r w:rsidRPr="00D72D2E">
        <w:t xml:space="preserve">models, </w:t>
      </w:r>
      <w:proofErr w:type="spellStart"/>
      <w:r w:rsidRPr="00D72D2E">
        <w:t>lenvatinib</w:t>
      </w:r>
      <w:proofErr w:type="spellEnd"/>
      <w:r w:rsidRPr="00D72D2E">
        <w:t xml:space="preserve"> decrease</w:t>
      </w:r>
      <w:r>
        <w:t>d</w:t>
      </w:r>
      <w:r w:rsidRPr="00D72D2E">
        <w:t xml:space="preserve"> </w:t>
      </w:r>
      <w:r w:rsidR="00F42290">
        <w:t>tumour</w:t>
      </w:r>
      <w:r w:rsidRPr="00D72D2E">
        <w:t>-associated macrophage</w:t>
      </w:r>
      <w:r>
        <w:t>s</w:t>
      </w:r>
      <w:r w:rsidRPr="00D72D2E">
        <w:t>, increase</w:t>
      </w:r>
      <w:r>
        <w:t>d</w:t>
      </w:r>
      <w:r w:rsidRPr="00D72D2E">
        <w:t xml:space="preserve"> activated cytotoxic T cell</w:t>
      </w:r>
      <w:r>
        <w:t>s, and demonstrated greater</w:t>
      </w:r>
      <w:r w:rsidRPr="00D72D2E">
        <w:t xml:space="preserve"> </w:t>
      </w:r>
      <w:proofErr w:type="spellStart"/>
      <w:r w:rsidRPr="00D72D2E">
        <w:t>anti</w:t>
      </w:r>
      <w:r w:rsidR="00F42290">
        <w:t>tumour</w:t>
      </w:r>
      <w:proofErr w:type="spellEnd"/>
      <w:r w:rsidRPr="00D72D2E">
        <w:t xml:space="preserve"> activity</w:t>
      </w:r>
      <w:r>
        <w:t xml:space="preserve"> in</w:t>
      </w:r>
      <w:r w:rsidRPr="00D72D2E">
        <w:t xml:space="preserve"> combination </w:t>
      </w:r>
      <w:r>
        <w:t>with</w:t>
      </w:r>
      <w:r w:rsidRPr="00D72D2E">
        <w:t xml:space="preserve"> an anti-PD-1 monoclonal antibody </w:t>
      </w:r>
      <w:r>
        <w:t>compared to either treatment alone.</w:t>
      </w:r>
    </w:p>
    <w:p w14:paraId="43C5895D" w14:textId="6CC89CB5" w:rsidR="00E879C8" w:rsidRDefault="00E879C8" w:rsidP="002E57C2">
      <w:pPr>
        <w:pStyle w:val="BodyText"/>
        <w:spacing w:before="120" w:after="60"/>
      </w:pPr>
      <w:r w:rsidRPr="000F700D">
        <w:t xml:space="preserve">The combination of </w:t>
      </w:r>
      <w:proofErr w:type="spellStart"/>
      <w:r w:rsidRPr="000F700D">
        <w:t>lenvatinib</w:t>
      </w:r>
      <w:proofErr w:type="spellEnd"/>
      <w:r w:rsidRPr="000F700D">
        <w:t xml:space="preserve"> and </w:t>
      </w:r>
      <w:proofErr w:type="spellStart"/>
      <w:r w:rsidRPr="000F700D">
        <w:t>everolimus</w:t>
      </w:r>
      <w:proofErr w:type="spellEnd"/>
      <w:r w:rsidRPr="000F700D">
        <w:t xml:space="preserve"> showed increased antiangiogenic and </w:t>
      </w:r>
      <w:proofErr w:type="spellStart"/>
      <w:r w:rsidRPr="000F700D">
        <w:t>antitumour</w:t>
      </w:r>
      <w:proofErr w:type="spellEnd"/>
      <w:r w:rsidRPr="000F700D">
        <w:t xml:space="preserve"> activity as demonstrated by decreased human endothelial cell proliferation, tube formation, and VEGF signalling </w:t>
      </w:r>
      <w:r w:rsidRPr="000F700D">
        <w:rPr>
          <w:i/>
        </w:rPr>
        <w:t>in vitro</w:t>
      </w:r>
      <w:r w:rsidRPr="000F700D">
        <w:t xml:space="preserve"> and tumour volume in mouse xenograft models of human renal cell cancer greater than each drug alone.</w:t>
      </w:r>
    </w:p>
    <w:p w14:paraId="0491A17F" w14:textId="77777777" w:rsidR="0032045C" w:rsidRPr="0032045C" w:rsidRDefault="0032045C" w:rsidP="0032045C">
      <w:pPr>
        <w:pStyle w:val="Heading3"/>
        <w:rPr>
          <w:lang w:val="en-US"/>
        </w:rPr>
      </w:pPr>
      <w:proofErr w:type="spellStart"/>
      <w:r w:rsidRPr="0032045C">
        <w:rPr>
          <w:lang w:val="en-US"/>
        </w:rPr>
        <w:lastRenderedPageBreak/>
        <w:t>Pharmacodynamic</w:t>
      </w:r>
      <w:proofErr w:type="spellEnd"/>
      <w:r w:rsidRPr="0032045C">
        <w:rPr>
          <w:lang w:val="en-US"/>
        </w:rPr>
        <w:t xml:space="preserve"> effects</w:t>
      </w:r>
    </w:p>
    <w:p w14:paraId="653CE9B9" w14:textId="77777777" w:rsidR="0032045C" w:rsidRPr="0032045C" w:rsidRDefault="0032045C" w:rsidP="0032045C">
      <w:pPr>
        <w:pStyle w:val="Heading4"/>
        <w:rPr>
          <w:lang w:val="en-US"/>
        </w:rPr>
      </w:pPr>
      <w:r w:rsidRPr="0032045C">
        <w:rPr>
          <w:lang w:val="en-US"/>
        </w:rPr>
        <w:t>Cardiac electrophysiology</w:t>
      </w:r>
    </w:p>
    <w:p w14:paraId="6CDF3F3D" w14:textId="7129E994" w:rsidR="0032045C" w:rsidRPr="00B64000" w:rsidRDefault="0032045C" w:rsidP="002E57C2">
      <w:pPr>
        <w:pStyle w:val="BodyText"/>
        <w:spacing w:before="120" w:after="120"/>
        <w:rPr>
          <w:lang w:val="en-US"/>
        </w:rPr>
      </w:pPr>
      <w:r w:rsidRPr="0032045C">
        <w:rPr>
          <w:lang w:val="en-US"/>
        </w:rPr>
        <w:t xml:space="preserve">A single 32-mg dose of </w:t>
      </w:r>
      <w:proofErr w:type="spellStart"/>
      <w:r w:rsidRPr="0032045C">
        <w:rPr>
          <w:lang w:val="en-US"/>
        </w:rPr>
        <w:t>lenvatinib</w:t>
      </w:r>
      <w:proofErr w:type="spellEnd"/>
      <w:r w:rsidRPr="0032045C">
        <w:rPr>
          <w:lang w:val="en-US"/>
        </w:rPr>
        <w:t xml:space="preserve"> did not prolong the QT/</w:t>
      </w:r>
      <w:proofErr w:type="spellStart"/>
      <w:r w:rsidRPr="0032045C">
        <w:rPr>
          <w:lang w:val="en-US"/>
        </w:rPr>
        <w:t>QTc</w:t>
      </w:r>
      <w:proofErr w:type="spellEnd"/>
      <w:r w:rsidRPr="0032045C">
        <w:rPr>
          <w:lang w:val="en-US"/>
        </w:rPr>
        <w:t xml:space="preserve"> interval based on results from a thorough QT study in healthy volunteers; however, QT/</w:t>
      </w:r>
      <w:proofErr w:type="spellStart"/>
      <w:r w:rsidRPr="0032045C">
        <w:rPr>
          <w:lang w:val="en-US"/>
        </w:rPr>
        <w:t>QTc</w:t>
      </w:r>
      <w:proofErr w:type="spellEnd"/>
      <w:r w:rsidRPr="0032045C">
        <w:rPr>
          <w:lang w:val="en-US"/>
        </w:rPr>
        <w:t xml:space="preserve"> interval prolongation has been reported at a higher incidence in patients treated with LENVIMA than in patients treated with placebo </w:t>
      </w:r>
      <w:r w:rsidRPr="0032045C">
        <w:t>(</w:t>
      </w:r>
      <w:r w:rsidR="00505C3C" w:rsidRPr="002D1C89">
        <w:t xml:space="preserve">see </w:t>
      </w:r>
      <w:r w:rsidR="00505C3C">
        <w:t xml:space="preserve">Section </w:t>
      </w:r>
      <w:r w:rsidR="00505C3C">
        <w:fldChar w:fldCharType="begin"/>
      </w:r>
      <w:r w:rsidR="00505C3C">
        <w:instrText xml:space="preserve"> REF _Ref503187256 \r \h </w:instrText>
      </w:r>
      <w:r w:rsidR="00505C3C">
        <w:fldChar w:fldCharType="separate"/>
      </w:r>
      <w:r w:rsidR="0064223A">
        <w:t>4.8</w:t>
      </w:r>
      <w:r w:rsidR="00505C3C">
        <w:fldChar w:fldCharType="end"/>
      </w:r>
      <w:r w:rsidR="008B3996">
        <w:t xml:space="preserve"> Adverse effects</w:t>
      </w:r>
      <w:r w:rsidRPr="0032045C">
        <w:t>, Selected Adverse Reactions)</w:t>
      </w:r>
      <w:r w:rsidRPr="0032045C">
        <w:rPr>
          <w:lang w:val="en-US"/>
        </w:rPr>
        <w:t>.</w:t>
      </w:r>
    </w:p>
    <w:p w14:paraId="01A13228" w14:textId="5F213072" w:rsidR="00DC5E06" w:rsidRPr="00BE78D8" w:rsidRDefault="00E879C8" w:rsidP="00E879C8">
      <w:pPr>
        <w:pStyle w:val="Heading3"/>
        <w:rPr>
          <w:lang w:val="en-US"/>
        </w:rPr>
      </w:pPr>
      <w:r>
        <w:rPr>
          <w:lang w:val="en-US"/>
        </w:rPr>
        <w:t xml:space="preserve">Clinical </w:t>
      </w:r>
      <w:r w:rsidR="00B662F4">
        <w:rPr>
          <w:lang w:val="en-US"/>
        </w:rPr>
        <w:t>t</w:t>
      </w:r>
      <w:r>
        <w:rPr>
          <w:lang w:val="en-US"/>
        </w:rPr>
        <w:t>rials</w:t>
      </w:r>
    </w:p>
    <w:p w14:paraId="4DC3F5A7" w14:textId="77777777" w:rsidR="00DC5E06" w:rsidRPr="00066BB0" w:rsidRDefault="00DC5E06" w:rsidP="00E879C8">
      <w:pPr>
        <w:pStyle w:val="Heading4"/>
        <w:rPr>
          <w:lang w:val="en-US"/>
        </w:rPr>
      </w:pPr>
      <w:r w:rsidRPr="00066BB0">
        <w:rPr>
          <w:lang w:val="en-US"/>
        </w:rPr>
        <w:t>Radioactive iodine refractory differentiated thyroid cancer</w:t>
      </w:r>
    </w:p>
    <w:p w14:paraId="71B3D375" w14:textId="77777777" w:rsidR="00DC5E06" w:rsidRPr="00BE78D8" w:rsidRDefault="00DC5E06" w:rsidP="002E57C2">
      <w:pPr>
        <w:pStyle w:val="BodyText"/>
        <w:spacing w:before="120" w:after="120"/>
        <w:rPr>
          <w:lang w:val="en-US"/>
        </w:rPr>
      </w:pPr>
      <w:r w:rsidRPr="00BE78D8">
        <w:rPr>
          <w:lang w:val="en-US"/>
        </w:rPr>
        <w:t xml:space="preserve">The SELECT study was a </w:t>
      </w:r>
      <w:proofErr w:type="spellStart"/>
      <w:r w:rsidRPr="00BE78D8">
        <w:rPr>
          <w:lang w:val="en-US"/>
        </w:rPr>
        <w:t>multicentre</w:t>
      </w:r>
      <w:proofErr w:type="spellEnd"/>
      <w:r w:rsidRPr="00BE78D8">
        <w:rPr>
          <w:lang w:val="en-US"/>
        </w:rPr>
        <w:t xml:space="preserve">, </w:t>
      </w:r>
      <w:proofErr w:type="spellStart"/>
      <w:r w:rsidRPr="00BE78D8">
        <w:rPr>
          <w:lang w:val="en-US"/>
        </w:rPr>
        <w:t>randomised</w:t>
      </w:r>
      <w:proofErr w:type="spellEnd"/>
      <w:r w:rsidRPr="00BE78D8">
        <w:rPr>
          <w:lang w:val="en-US"/>
        </w:rPr>
        <w:t xml:space="preserve">, double-blind, placebo-controlled trial that was conducted in 392 patients with </w:t>
      </w:r>
      <w:r w:rsidRPr="005073FE">
        <w:t>radioactive iodine refractory</w:t>
      </w:r>
      <w:r w:rsidRPr="00BE78D8" w:rsidDel="003038F8">
        <w:rPr>
          <w:lang w:val="en-US"/>
        </w:rPr>
        <w:t xml:space="preserve"> </w:t>
      </w:r>
      <w:r w:rsidRPr="00BE78D8">
        <w:rPr>
          <w:lang w:val="en-US"/>
        </w:rPr>
        <w:t xml:space="preserve">differentiated thyroid cancer with independent, centrally reviewed, radiographic evidence of disease progression within 12 months (+1 month window) prior to enrolment. Radioiodine-refractory </w:t>
      </w:r>
      <w:r>
        <w:rPr>
          <w:lang w:val="en-US"/>
        </w:rPr>
        <w:t xml:space="preserve">status </w:t>
      </w:r>
      <w:r w:rsidRPr="00BE78D8">
        <w:rPr>
          <w:lang w:val="en-US"/>
        </w:rPr>
        <w:t>was defined as one or more measurable lesions either with a lack of iodine uptake or with progression in spite of radioactive-iodine (RAI) therapy, or having a cumulative activity of RAI of &gt;600</w:t>
      </w:r>
      <w:r>
        <w:rPr>
          <w:lang w:val="en-US"/>
        </w:rPr>
        <w:t> </w:t>
      </w:r>
      <w:proofErr w:type="spellStart"/>
      <w:r w:rsidRPr="00BE78D8">
        <w:rPr>
          <w:lang w:val="en-US"/>
        </w:rPr>
        <w:t>mCi</w:t>
      </w:r>
      <w:proofErr w:type="spellEnd"/>
      <w:r w:rsidRPr="00BE78D8">
        <w:rPr>
          <w:lang w:val="en-US"/>
        </w:rPr>
        <w:t xml:space="preserve"> or 22 </w:t>
      </w:r>
      <w:proofErr w:type="spellStart"/>
      <w:r w:rsidRPr="00BE78D8">
        <w:rPr>
          <w:lang w:val="en-US"/>
        </w:rPr>
        <w:t>GBq</w:t>
      </w:r>
      <w:proofErr w:type="spellEnd"/>
      <w:r w:rsidRPr="00BE78D8">
        <w:rPr>
          <w:lang w:val="en-US"/>
        </w:rPr>
        <w:t xml:space="preserve"> with the last dose at least 6 months prior to study entry.</w:t>
      </w:r>
    </w:p>
    <w:p w14:paraId="6EFA7774" w14:textId="16F2C912" w:rsidR="00DC5E06" w:rsidRDefault="00DC5E06" w:rsidP="002E57C2">
      <w:pPr>
        <w:pStyle w:val="BodyText"/>
        <w:spacing w:before="120" w:after="120"/>
        <w:rPr>
          <w:lang w:val="en-US"/>
        </w:rPr>
      </w:pPr>
      <w:proofErr w:type="spellStart"/>
      <w:r w:rsidRPr="00BE78D8">
        <w:rPr>
          <w:lang w:val="en-US"/>
        </w:rPr>
        <w:t>Randomisation</w:t>
      </w:r>
      <w:proofErr w:type="spellEnd"/>
      <w:r w:rsidRPr="00BE78D8">
        <w:rPr>
          <w:lang w:val="en-US"/>
        </w:rPr>
        <w:t xml:space="preserve"> was stratified by geographic region (Europe, North America, and Other), prior</w:t>
      </w:r>
      <w:r>
        <w:rPr>
          <w:lang w:val="en-US"/>
        </w:rPr>
        <w:t xml:space="preserve"> </w:t>
      </w:r>
      <w:r w:rsidRPr="00BE78D8">
        <w:rPr>
          <w:lang w:val="en-US"/>
        </w:rPr>
        <w:t xml:space="preserve">VEGF/VEGFR-targeted therapy (patients may have received </w:t>
      </w:r>
      <w:proofErr w:type="gramStart"/>
      <w:r w:rsidRPr="00BE78D8">
        <w:rPr>
          <w:lang w:val="en-US"/>
        </w:rPr>
        <w:t>0</w:t>
      </w:r>
      <w:proofErr w:type="gramEnd"/>
      <w:r w:rsidRPr="00BE78D8">
        <w:rPr>
          <w:lang w:val="en-US"/>
        </w:rPr>
        <w:t xml:space="preserve"> or 1 prior VEGF/VEGFR-targeted therapy), and age (</w:t>
      </w:r>
      <w:r w:rsidR="006540BC">
        <w:rPr>
          <w:lang w:val="en-US"/>
        </w:rPr>
        <w:sym w:font="Symbol" w:char="F0A3"/>
      </w:r>
      <w:r w:rsidRPr="00BE78D8">
        <w:rPr>
          <w:lang w:val="en-US"/>
        </w:rPr>
        <w:t>65 years or &gt;65 years). The main efficacy outcome measure was progression-free survival (PFS) as determined by blinded independent radiologic review using Response Evaluation Criteria</w:t>
      </w:r>
      <w:r w:rsidR="006540BC">
        <w:rPr>
          <w:lang w:val="en-US"/>
        </w:rPr>
        <w:t xml:space="preserve"> in Solid </w:t>
      </w:r>
      <w:proofErr w:type="spellStart"/>
      <w:r w:rsidR="006540BC">
        <w:rPr>
          <w:lang w:val="en-US"/>
        </w:rPr>
        <w:t>Tumours</w:t>
      </w:r>
      <w:proofErr w:type="spellEnd"/>
      <w:r w:rsidR="006540BC">
        <w:rPr>
          <w:lang w:val="en-US"/>
        </w:rPr>
        <w:t xml:space="preserve"> (RECIST) 1.1.</w:t>
      </w:r>
    </w:p>
    <w:p w14:paraId="4A498C23" w14:textId="77777777" w:rsidR="00DC5E06" w:rsidRPr="00BE78D8" w:rsidRDefault="00DC5E06" w:rsidP="002E57C2">
      <w:pPr>
        <w:pStyle w:val="BodyText"/>
        <w:spacing w:before="120" w:after="120"/>
        <w:rPr>
          <w:lang w:val="en-US"/>
        </w:rPr>
      </w:pPr>
      <w:r w:rsidRPr="00BE78D8">
        <w:rPr>
          <w:lang w:val="en-US"/>
        </w:rPr>
        <w:t>Secondary efficacy outcome measures included overall response rate and overall</w:t>
      </w:r>
      <w:r>
        <w:rPr>
          <w:lang w:val="en-US"/>
        </w:rPr>
        <w:t xml:space="preserve"> </w:t>
      </w:r>
      <w:r w:rsidRPr="00BE78D8">
        <w:rPr>
          <w:lang w:val="en-US"/>
        </w:rPr>
        <w:t>survival</w:t>
      </w:r>
      <w:r>
        <w:rPr>
          <w:lang w:val="en-US"/>
        </w:rPr>
        <w:t xml:space="preserve"> (OS)</w:t>
      </w:r>
      <w:r w:rsidRPr="00BE78D8">
        <w:rPr>
          <w:lang w:val="en-US"/>
        </w:rPr>
        <w:t xml:space="preserve">. Patients in the placebo arm could opt to receive </w:t>
      </w:r>
      <w:r>
        <w:rPr>
          <w:lang w:val="en-US"/>
        </w:rPr>
        <w:t>LENVIMA</w:t>
      </w:r>
      <w:r w:rsidRPr="00BE78D8">
        <w:rPr>
          <w:lang w:val="en-US"/>
        </w:rPr>
        <w:t xml:space="preserve"> treatment at the time of confirmed disease progression.</w:t>
      </w:r>
    </w:p>
    <w:p w14:paraId="3348E9CE" w14:textId="77777777" w:rsidR="00DC5E06" w:rsidRPr="00BE78D8" w:rsidRDefault="00DC5E06" w:rsidP="002E57C2">
      <w:pPr>
        <w:pStyle w:val="BodyText"/>
        <w:spacing w:before="120" w:after="120"/>
        <w:rPr>
          <w:lang w:val="en-US"/>
        </w:rPr>
      </w:pPr>
      <w:r w:rsidRPr="00BE78D8">
        <w:rPr>
          <w:lang w:val="en-US"/>
        </w:rPr>
        <w:t xml:space="preserve">Eligible patients with measurable disease according to RECIST 1.1 were </w:t>
      </w:r>
      <w:proofErr w:type="spellStart"/>
      <w:r w:rsidRPr="00BE78D8">
        <w:rPr>
          <w:lang w:val="en-US"/>
        </w:rPr>
        <w:t>randomised</w:t>
      </w:r>
      <w:proofErr w:type="spellEnd"/>
      <w:r w:rsidRPr="00BE78D8">
        <w:rPr>
          <w:lang w:val="en-US"/>
        </w:rPr>
        <w:t xml:space="preserve"> 2:1 to receive</w:t>
      </w:r>
      <w:r>
        <w:rPr>
          <w:lang w:val="en-US"/>
        </w:rPr>
        <w:t xml:space="preserve"> LENVIMA</w:t>
      </w:r>
      <w:r w:rsidRPr="00BE78D8">
        <w:rPr>
          <w:lang w:val="en-US"/>
        </w:rPr>
        <w:t xml:space="preserve"> 24 mg once daily (n=261) or placebo (n=131). Baseline demographics and disease characteristics </w:t>
      </w:r>
      <w:proofErr w:type="gramStart"/>
      <w:r w:rsidRPr="00BE78D8">
        <w:rPr>
          <w:lang w:val="en-US"/>
        </w:rPr>
        <w:t>were well balanced</w:t>
      </w:r>
      <w:proofErr w:type="gramEnd"/>
      <w:r w:rsidRPr="00BE78D8">
        <w:rPr>
          <w:lang w:val="en-US"/>
        </w:rPr>
        <w:t xml:space="preserve"> for both treatment groups. Of the 392 patients </w:t>
      </w:r>
      <w:proofErr w:type="spellStart"/>
      <w:r w:rsidRPr="00BE78D8">
        <w:rPr>
          <w:lang w:val="en-US"/>
        </w:rPr>
        <w:t>randomised</w:t>
      </w:r>
      <w:proofErr w:type="spellEnd"/>
      <w:r w:rsidRPr="00BE78D8">
        <w:rPr>
          <w:lang w:val="en-US"/>
        </w:rPr>
        <w:t xml:space="preserve">, 76.3% were naïve to prior VEGF/VEGFR-targeted therapies, 49.0% were female, 49.7% were European, and the median age was 63 years. Histologically, 66.1% had a confirmed diagnosis of papillary thyroid cancer and 33.9% had follicular thyroid </w:t>
      </w:r>
      <w:proofErr w:type="gramStart"/>
      <w:r w:rsidRPr="00BE78D8">
        <w:rPr>
          <w:lang w:val="en-US"/>
        </w:rPr>
        <w:t>cancer which</w:t>
      </w:r>
      <w:proofErr w:type="gramEnd"/>
      <w:r w:rsidRPr="00BE78D8">
        <w:rPr>
          <w:lang w:val="en-US"/>
        </w:rPr>
        <w:t xml:space="preserve"> included </w:t>
      </w:r>
      <w:proofErr w:type="spellStart"/>
      <w:r w:rsidRPr="00BE78D8">
        <w:rPr>
          <w:lang w:val="en-US"/>
        </w:rPr>
        <w:t>Hürthle</w:t>
      </w:r>
      <w:proofErr w:type="spellEnd"/>
      <w:r w:rsidRPr="00BE78D8">
        <w:rPr>
          <w:lang w:val="en-US"/>
        </w:rPr>
        <w:t xml:space="preserve"> cell 14.8% and clear cell 3.8%. Metastases were present in 99% of the patients: lungs in 89.3%, lymph nodes in 51.5%, bone in 38.8%, liver in 18.1%, pleura in 16.3%, and brain in 4.1%. The majority of patients</w:t>
      </w:r>
      <w:r>
        <w:rPr>
          <w:lang w:val="en-US"/>
        </w:rPr>
        <w:t xml:space="preserve"> (54%)</w:t>
      </w:r>
      <w:r w:rsidRPr="00BE78D8">
        <w:rPr>
          <w:lang w:val="en-US"/>
        </w:rPr>
        <w:t xml:space="preserve"> had an </w:t>
      </w:r>
      <w:r w:rsidRPr="00496CDF">
        <w:t>Eastern Cooperative Oncology Group (</w:t>
      </w:r>
      <w:r w:rsidRPr="00BE78D8">
        <w:rPr>
          <w:lang w:val="en-US"/>
        </w:rPr>
        <w:t>ECOG</w:t>
      </w:r>
      <w:r>
        <w:rPr>
          <w:lang w:val="en-US"/>
        </w:rPr>
        <w:t>)</w:t>
      </w:r>
      <w:r w:rsidRPr="00BE78D8">
        <w:rPr>
          <w:lang w:val="en-US"/>
        </w:rPr>
        <w:t xml:space="preserve"> performance status of </w:t>
      </w:r>
      <w:proofErr w:type="gramStart"/>
      <w:r w:rsidRPr="00BE78D8">
        <w:rPr>
          <w:lang w:val="en-US"/>
        </w:rPr>
        <w:t>0</w:t>
      </w:r>
      <w:proofErr w:type="gramEnd"/>
      <w:r w:rsidRPr="00BE78D8">
        <w:rPr>
          <w:lang w:val="en-US"/>
        </w:rPr>
        <w:t>; 42.1% had a status of 1;</w:t>
      </w:r>
      <w:r>
        <w:rPr>
          <w:lang w:val="en-US"/>
        </w:rPr>
        <w:t xml:space="preserve"> </w:t>
      </w:r>
      <w:r w:rsidRPr="00BE78D8">
        <w:rPr>
          <w:lang w:val="en-US"/>
        </w:rPr>
        <w:t xml:space="preserve">3.9% had a status above 1. The median cumulative RAI activity administered prior to study entry was 350 </w:t>
      </w:r>
      <w:proofErr w:type="spellStart"/>
      <w:r w:rsidRPr="00BE78D8">
        <w:rPr>
          <w:lang w:val="en-US"/>
        </w:rPr>
        <w:t>mCi</w:t>
      </w:r>
      <w:proofErr w:type="spellEnd"/>
      <w:r w:rsidRPr="00BE78D8">
        <w:rPr>
          <w:lang w:val="en-US"/>
        </w:rPr>
        <w:t xml:space="preserve"> (12.95 </w:t>
      </w:r>
      <w:proofErr w:type="spellStart"/>
      <w:r w:rsidRPr="00BE78D8">
        <w:rPr>
          <w:lang w:val="en-US"/>
        </w:rPr>
        <w:t>GBq</w:t>
      </w:r>
      <w:proofErr w:type="spellEnd"/>
      <w:r w:rsidRPr="00BE78D8">
        <w:rPr>
          <w:lang w:val="en-US"/>
        </w:rPr>
        <w:t>).</w:t>
      </w:r>
    </w:p>
    <w:p w14:paraId="6335A5B5" w14:textId="4C1A605D" w:rsidR="00DC5E06" w:rsidRDefault="00DC5E06" w:rsidP="002E57C2">
      <w:pPr>
        <w:pStyle w:val="BodyText"/>
        <w:spacing w:before="120" w:after="120"/>
        <w:rPr>
          <w:lang w:val="en-US"/>
        </w:rPr>
      </w:pPr>
      <w:r w:rsidRPr="00BE78D8">
        <w:rPr>
          <w:lang w:val="en-US"/>
        </w:rPr>
        <w:t xml:space="preserve">A statistically significant prolongation in PFS </w:t>
      </w:r>
      <w:proofErr w:type="gramStart"/>
      <w:r w:rsidRPr="00BE78D8">
        <w:rPr>
          <w:lang w:val="en-US"/>
        </w:rPr>
        <w:t>was demonstrated</w:t>
      </w:r>
      <w:proofErr w:type="gramEnd"/>
      <w:r w:rsidRPr="00BE78D8">
        <w:rPr>
          <w:lang w:val="en-US"/>
        </w:rPr>
        <w:t xml:space="preserve"> in </w:t>
      </w:r>
      <w:r>
        <w:rPr>
          <w:lang w:val="en-US"/>
        </w:rPr>
        <w:t>LENVIMA</w:t>
      </w:r>
      <w:r w:rsidRPr="00BE78D8">
        <w:rPr>
          <w:lang w:val="en-US"/>
        </w:rPr>
        <w:t>-treated patients compared with those receiving placebo (p</w:t>
      </w:r>
      <w:r>
        <w:rPr>
          <w:lang w:val="en-US"/>
        </w:rPr>
        <w:t xml:space="preserve"> </w:t>
      </w:r>
      <w:r w:rsidRPr="00BE78D8">
        <w:rPr>
          <w:lang w:val="en-US"/>
        </w:rPr>
        <w:t>&lt;</w:t>
      </w:r>
      <w:r>
        <w:rPr>
          <w:lang w:val="en-US"/>
        </w:rPr>
        <w:t xml:space="preserve"> </w:t>
      </w:r>
      <w:r w:rsidRPr="00BE78D8">
        <w:rPr>
          <w:lang w:val="en-US"/>
        </w:rPr>
        <w:t xml:space="preserve">0.0001). The positive effect on PFS was similar in the subgroups that received </w:t>
      </w:r>
      <w:proofErr w:type="gramStart"/>
      <w:r w:rsidRPr="00BE78D8">
        <w:rPr>
          <w:lang w:val="en-US"/>
        </w:rPr>
        <w:t>0</w:t>
      </w:r>
      <w:proofErr w:type="gramEnd"/>
      <w:r w:rsidRPr="00BE78D8">
        <w:rPr>
          <w:lang w:val="en-US"/>
        </w:rPr>
        <w:t xml:space="preserve"> or 1 prior VEGF/VEGFR-targeted therapy (see </w:t>
      </w:r>
      <w:r w:rsidR="00211F82">
        <w:rPr>
          <w:lang w:val="en-US"/>
        </w:rPr>
        <w:fldChar w:fldCharType="begin"/>
      </w:r>
      <w:r w:rsidR="00211F82">
        <w:rPr>
          <w:lang w:val="en-US"/>
        </w:rPr>
        <w:instrText xml:space="preserve"> REF _Ref503528396 \h </w:instrText>
      </w:r>
      <w:r w:rsidR="00211F82">
        <w:rPr>
          <w:lang w:val="en-US"/>
        </w:rPr>
      </w:r>
      <w:r w:rsidR="00211F82">
        <w:rPr>
          <w:lang w:val="en-US"/>
        </w:rPr>
        <w:fldChar w:fldCharType="separate"/>
      </w:r>
      <w:r w:rsidR="0064223A">
        <w:t>Table </w:t>
      </w:r>
      <w:r w:rsidR="0064223A">
        <w:rPr>
          <w:noProof/>
        </w:rPr>
        <w:t>11</w:t>
      </w:r>
      <w:r w:rsidR="00211F82">
        <w:rPr>
          <w:lang w:val="en-US"/>
        </w:rPr>
        <w:fldChar w:fldCharType="end"/>
      </w:r>
      <w:r w:rsidRPr="00BE78D8">
        <w:rPr>
          <w:lang w:val="en-US"/>
        </w:rPr>
        <w:t xml:space="preserve">). In addition, the positive effect on PFS </w:t>
      </w:r>
      <w:proofErr w:type="gramStart"/>
      <w:r w:rsidRPr="00BE78D8">
        <w:rPr>
          <w:lang w:val="en-US"/>
        </w:rPr>
        <w:t>was seen</w:t>
      </w:r>
      <w:proofErr w:type="gramEnd"/>
      <w:r w:rsidRPr="00BE78D8">
        <w:rPr>
          <w:lang w:val="en-US"/>
        </w:rPr>
        <w:t xml:space="preserve"> across the subgroups of age, sex, </w:t>
      </w:r>
      <w:r w:rsidRPr="00BE78D8">
        <w:rPr>
          <w:lang w:val="en-US"/>
        </w:rPr>
        <w:lastRenderedPageBreak/>
        <w:t xml:space="preserve">race, histological subtype, and geographic region. Following independent review confirmation of disease progression, 109 (83.2%) patients </w:t>
      </w:r>
      <w:proofErr w:type="spellStart"/>
      <w:r w:rsidRPr="00BE78D8">
        <w:rPr>
          <w:lang w:val="en-US"/>
        </w:rPr>
        <w:t>randomised</w:t>
      </w:r>
      <w:proofErr w:type="spellEnd"/>
      <w:r w:rsidRPr="00BE78D8">
        <w:rPr>
          <w:lang w:val="en-US"/>
        </w:rPr>
        <w:t xml:space="preserve"> to placebo crossed over to </w:t>
      </w:r>
      <w:r>
        <w:rPr>
          <w:lang w:val="en-US"/>
        </w:rPr>
        <w:t xml:space="preserve">receive </w:t>
      </w:r>
      <w:r w:rsidRPr="00BE78D8">
        <w:rPr>
          <w:lang w:val="en-US"/>
        </w:rPr>
        <w:t xml:space="preserve">open-label </w:t>
      </w:r>
      <w:r>
        <w:rPr>
          <w:lang w:val="en-US"/>
        </w:rPr>
        <w:t>LENVIMA</w:t>
      </w:r>
      <w:r w:rsidRPr="00BE78D8">
        <w:rPr>
          <w:lang w:val="en-US"/>
        </w:rPr>
        <w:t>.</w:t>
      </w:r>
    </w:p>
    <w:p w14:paraId="044946FA" w14:textId="77777777" w:rsidR="00DC5E06" w:rsidRDefault="00DC5E06" w:rsidP="002E57C2">
      <w:pPr>
        <w:pStyle w:val="BodyText"/>
        <w:spacing w:before="120" w:after="120"/>
        <w:rPr>
          <w:lang w:val="en-US"/>
        </w:rPr>
      </w:pPr>
      <w:r>
        <w:rPr>
          <w:lang w:val="en-US"/>
        </w:rPr>
        <w:t>T</w:t>
      </w:r>
      <w:r w:rsidRPr="00645B48">
        <w:rPr>
          <w:lang w:val="en-US"/>
        </w:rPr>
        <w:t xml:space="preserve">here was no </w:t>
      </w:r>
      <w:r>
        <w:rPr>
          <w:lang w:val="en-US"/>
        </w:rPr>
        <w:t xml:space="preserve">statistically </w:t>
      </w:r>
      <w:r w:rsidRPr="00645B48">
        <w:rPr>
          <w:lang w:val="en-US"/>
        </w:rPr>
        <w:t>significant difference in overall</w:t>
      </w:r>
      <w:r>
        <w:rPr>
          <w:lang w:val="en-US"/>
        </w:rPr>
        <w:t xml:space="preserve"> </w:t>
      </w:r>
      <w:r w:rsidRPr="00645B48">
        <w:rPr>
          <w:lang w:val="en-US"/>
        </w:rPr>
        <w:t>survival in the treatment arm compared to the</w:t>
      </w:r>
      <w:r>
        <w:rPr>
          <w:lang w:val="en-US"/>
        </w:rPr>
        <w:t xml:space="preserve"> </w:t>
      </w:r>
      <w:r w:rsidRPr="00645B48">
        <w:rPr>
          <w:lang w:val="en-US"/>
        </w:rPr>
        <w:t>placebo group at the primary analysis</w:t>
      </w:r>
      <w:r>
        <w:rPr>
          <w:lang w:val="en-US"/>
        </w:rPr>
        <w:t xml:space="preserve"> (HR (95% CI): 0.73 (0.59, 1.07)). However, the SELECT study </w:t>
      </w:r>
      <w:proofErr w:type="gramStart"/>
      <w:r>
        <w:rPr>
          <w:lang w:val="en-US"/>
        </w:rPr>
        <w:t>was not powered</w:t>
      </w:r>
      <w:proofErr w:type="gramEnd"/>
      <w:r>
        <w:rPr>
          <w:lang w:val="en-US"/>
        </w:rPr>
        <w:t xml:space="preserve"> to demonstrate an improvement in OS, and the high rate of crossover of patients in the placebo arm to the treatment arm after confirmed disease progression made demonstration of a statistically significant difference in OS difficult.</w:t>
      </w:r>
    </w:p>
    <w:p w14:paraId="2152CFCC" w14:textId="77777777" w:rsidR="00DC5E06" w:rsidRDefault="00DC5E06" w:rsidP="002E57C2">
      <w:pPr>
        <w:pStyle w:val="BodyText"/>
        <w:spacing w:before="120" w:after="120"/>
        <w:rPr>
          <w:lang w:val="en-US"/>
        </w:rPr>
      </w:pPr>
      <w:r w:rsidRPr="007C5E73">
        <w:rPr>
          <w:lang w:val="en-US"/>
        </w:rPr>
        <w:t>The median time to first dose reduction was 2.8 months.</w:t>
      </w:r>
      <w:r w:rsidRPr="00BE78D8">
        <w:rPr>
          <w:lang w:val="en-US"/>
        </w:rPr>
        <w:t xml:space="preserve"> The median time to objective response was 2.0 (95% CI: 1.9, 3.5) months; </w:t>
      </w:r>
      <w:r w:rsidRPr="007C5E73">
        <w:rPr>
          <w:lang w:val="en-US"/>
        </w:rPr>
        <w:t xml:space="preserve">however, of the patients who experienced a complete or partial response to </w:t>
      </w:r>
      <w:r>
        <w:rPr>
          <w:lang w:val="en-US"/>
        </w:rPr>
        <w:t>LENVIMA</w:t>
      </w:r>
      <w:r w:rsidRPr="007C5E73">
        <w:rPr>
          <w:lang w:val="en-US"/>
        </w:rPr>
        <w:t>, 70.4% were observed to develop the response on or within 30 days of being on the 24-mg dose.</w:t>
      </w:r>
    </w:p>
    <w:p w14:paraId="26CB0351" w14:textId="77777777" w:rsidR="00DC5E06" w:rsidRPr="00BE78D8" w:rsidRDefault="00DC5E06" w:rsidP="002E57C2">
      <w:pPr>
        <w:pStyle w:val="BodyText"/>
        <w:spacing w:before="120" w:after="120"/>
        <w:rPr>
          <w:lang w:val="en-US"/>
        </w:rPr>
      </w:pPr>
      <w:r>
        <w:rPr>
          <w:lang w:val="en-US"/>
        </w:rPr>
        <w:t>The study did not measure quality of life (</w:t>
      </w:r>
      <w:proofErr w:type="spellStart"/>
      <w:r>
        <w:rPr>
          <w:lang w:val="en-US"/>
        </w:rPr>
        <w:t>QoL</w:t>
      </w:r>
      <w:proofErr w:type="spellEnd"/>
      <w:r>
        <w:rPr>
          <w:lang w:val="en-US"/>
        </w:rPr>
        <w:t xml:space="preserve">). The effect of treatment on </w:t>
      </w:r>
      <w:proofErr w:type="spellStart"/>
      <w:r>
        <w:rPr>
          <w:lang w:val="en-US"/>
        </w:rPr>
        <w:t>QoL</w:t>
      </w:r>
      <w:proofErr w:type="spellEnd"/>
      <w:r>
        <w:rPr>
          <w:lang w:val="en-US"/>
        </w:rPr>
        <w:t xml:space="preserve"> </w:t>
      </w:r>
      <w:proofErr w:type="gramStart"/>
      <w:r>
        <w:rPr>
          <w:lang w:val="en-US"/>
        </w:rPr>
        <w:t>can therefore not be assessed</w:t>
      </w:r>
      <w:proofErr w:type="gramEnd"/>
      <w:r>
        <w:rPr>
          <w:lang w:val="en-US"/>
        </w:rPr>
        <w:t xml:space="preserve"> and </w:t>
      </w:r>
      <w:proofErr w:type="spellStart"/>
      <w:r>
        <w:rPr>
          <w:lang w:val="en-US"/>
        </w:rPr>
        <w:t>QoL</w:t>
      </w:r>
      <w:proofErr w:type="spellEnd"/>
      <w:r>
        <w:rPr>
          <w:lang w:val="en-US"/>
        </w:rPr>
        <w:t xml:space="preserve"> may not be improved with LENVIMA treatment.</w:t>
      </w:r>
    </w:p>
    <w:p w14:paraId="00A18451" w14:textId="70378E7F" w:rsidR="00505C3C" w:rsidRDefault="00505C3C" w:rsidP="00505C3C">
      <w:pPr>
        <w:pStyle w:val="Caption"/>
      </w:pPr>
      <w:bookmarkStart w:id="14" w:name="_Ref503528396"/>
      <w:r>
        <w:t>Table </w:t>
      </w:r>
      <w:r w:rsidR="002C196B">
        <w:rPr>
          <w:noProof/>
        </w:rPr>
        <w:fldChar w:fldCharType="begin"/>
      </w:r>
      <w:r w:rsidR="002C196B">
        <w:rPr>
          <w:noProof/>
        </w:rPr>
        <w:instrText xml:space="preserve"> SEQ Table \* ARABIC </w:instrText>
      </w:r>
      <w:r w:rsidR="002C196B">
        <w:rPr>
          <w:noProof/>
        </w:rPr>
        <w:fldChar w:fldCharType="separate"/>
      </w:r>
      <w:r w:rsidR="0064223A">
        <w:rPr>
          <w:noProof/>
        </w:rPr>
        <w:t>11</w:t>
      </w:r>
      <w:r w:rsidR="002C196B">
        <w:rPr>
          <w:noProof/>
        </w:rPr>
        <w:fldChar w:fldCharType="end"/>
      </w:r>
      <w:bookmarkEnd w:id="14"/>
      <w:r w:rsidRPr="00066BB0">
        <w:rPr>
          <w:lang w:val="en-US"/>
        </w:rPr>
        <w:tab/>
        <w:t>Efficacy Results</w:t>
      </w:r>
      <w:r w:rsidRPr="00496CDF">
        <w:t xml:space="preserve"> in radioactive iodine refractory</w:t>
      </w:r>
      <w:r w:rsidRPr="00496CDF" w:rsidDel="003038F8">
        <w:t xml:space="preserve"> </w:t>
      </w:r>
      <w:r w:rsidRPr="00496CDF">
        <w:t>differentiated thyroid cancer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085"/>
        <w:gridCol w:w="2003"/>
      </w:tblGrid>
      <w:tr w:rsidR="00DC5E06" w:rsidRPr="00BE78D8" w14:paraId="6A2F7FD5" w14:textId="77777777" w:rsidTr="001471CA">
        <w:tc>
          <w:tcPr>
            <w:tcW w:w="5070" w:type="dxa"/>
          </w:tcPr>
          <w:p w14:paraId="36640712" w14:textId="77777777" w:rsidR="00DC5E06" w:rsidRPr="00BE78D8" w:rsidRDefault="00DC5E06" w:rsidP="00C54A3F">
            <w:pPr>
              <w:pStyle w:val="TableHeading"/>
            </w:pPr>
          </w:p>
        </w:tc>
        <w:tc>
          <w:tcPr>
            <w:tcW w:w="2126" w:type="dxa"/>
          </w:tcPr>
          <w:p w14:paraId="36701043" w14:textId="77777777" w:rsidR="00DC5E06" w:rsidRPr="00BE78D8" w:rsidRDefault="00DC5E06" w:rsidP="00C54A3F">
            <w:pPr>
              <w:pStyle w:val="TableHeading"/>
            </w:pPr>
            <w:r>
              <w:t>LENVIMA</w:t>
            </w:r>
          </w:p>
          <w:p w14:paraId="042CA233" w14:textId="77777777" w:rsidR="00DC5E06" w:rsidRPr="00BE78D8" w:rsidRDefault="00DC5E06" w:rsidP="00C54A3F">
            <w:pPr>
              <w:pStyle w:val="TableHeading"/>
            </w:pPr>
            <w:r w:rsidRPr="00BE78D8">
              <w:t>N=261</w:t>
            </w:r>
          </w:p>
        </w:tc>
        <w:tc>
          <w:tcPr>
            <w:tcW w:w="2046" w:type="dxa"/>
          </w:tcPr>
          <w:p w14:paraId="3F57396C" w14:textId="77777777" w:rsidR="00DC5E06" w:rsidRPr="00BE78D8" w:rsidRDefault="00DC5E06" w:rsidP="00C54A3F">
            <w:pPr>
              <w:pStyle w:val="TableHeading"/>
            </w:pPr>
            <w:r w:rsidRPr="00BE78D8">
              <w:t>Placebo</w:t>
            </w:r>
          </w:p>
          <w:p w14:paraId="1042B53C" w14:textId="77777777" w:rsidR="00DC5E06" w:rsidRPr="00BE78D8" w:rsidRDefault="00DC5E06" w:rsidP="00C54A3F">
            <w:pPr>
              <w:pStyle w:val="TableHeading"/>
            </w:pPr>
            <w:r w:rsidRPr="00BE78D8">
              <w:t>N=131</w:t>
            </w:r>
          </w:p>
        </w:tc>
      </w:tr>
      <w:tr w:rsidR="00DC5E06" w:rsidRPr="00BE78D8" w14:paraId="5475D20B" w14:textId="77777777" w:rsidTr="001471CA">
        <w:tc>
          <w:tcPr>
            <w:tcW w:w="9242" w:type="dxa"/>
            <w:gridSpan w:val="3"/>
          </w:tcPr>
          <w:p w14:paraId="3B4801B2" w14:textId="77777777" w:rsidR="00DC5E06" w:rsidRPr="00E879C8" w:rsidRDefault="00DC5E06" w:rsidP="00C54A3F">
            <w:pPr>
              <w:pStyle w:val="TableHeading"/>
            </w:pPr>
            <w:r w:rsidRPr="00E879C8">
              <w:t>Progression-Free Survival (PFS)a</w:t>
            </w:r>
          </w:p>
        </w:tc>
      </w:tr>
      <w:tr w:rsidR="00DC5E06" w:rsidRPr="00BE78D8" w14:paraId="4357ED0A" w14:textId="77777777" w:rsidTr="001471CA">
        <w:tc>
          <w:tcPr>
            <w:tcW w:w="5070" w:type="dxa"/>
          </w:tcPr>
          <w:p w14:paraId="4707DBAB" w14:textId="77777777" w:rsidR="00DC5E06" w:rsidRPr="00E879C8" w:rsidRDefault="00DC5E06" w:rsidP="00E879C8">
            <w:pPr>
              <w:pStyle w:val="TableText"/>
              <w:rPr>
                <w:lang w:val="en-US"/>
              </w:rPr>
            </w:pPr>
            <w:r w:rsidRPr="00E879C8">
              <w:rPr>
                <w:lang w:val="en-US"/>
              </w:rPr>
              <w:t>Number of progressions or deaths (%)</w:t>
            </w:r>
          </w:p>
        </w:tc>
        <w:tc>
          <w:tcPr>
            <w:tcW w:w="2126" w:type="dxa"/>
          </w:tcPr>
          <w:p w14:paraId="138309A3" w14:textId="77777777" w:rsidR="00DC5E06" w:rsidRPr="00BE78D8" w:rsidRDefault="00DC5E06" w:rsidP="00E879C8">
            <w:pPr>
              <w:pStyle w:val="TableCentre"/>
              <w:rPr>
                <w:lang w:val="en-US"/>
              </w:rPr>
            </w:pPr>
            <w:r w:rsidRPr="00BE78D8">
              <w:rPr>
                <w:lang w:val="en-US"/>
              </w:rPr>
              <w:t>10</w:t>
            </w:r>
            <w:r>
              <w:rPr>
                <w:lang w:val="en-US"/>
              </w:rPr>
              <w:t>7</w:t>
            </w:r>
            <w:r w:rsidRPr="00BE78D8">
              <w:rPr>
                <w:lang w:val="en-US"/>
              </w:rPr>
              <w:t xml:space="preserve"> (41.0)</w:t>
            </w:r>
          </w:p>
        </w:tc>
        <w:tc>
          <w:tcPr>
            <w:tcW w:w="2046" w:type="dxa"/>
          </w:tcPr>
          <w:p w14:paraId="251575E1" w14:textId="77777777" w:rsidR="00DC5E06" w:rsidRPr="00BE78D8" w:rsidRDefault="00DC5E06" w:rsidP="00E879C8">
            <w:pPr>
              <w:pStyle w:val="TableCentre"/>
              <w:rPr>
                <w:lang w:val="en-US"/>
              </w:rPr>
            </w:pPr>
            <w:r w:rsidRPr="00BE78D8">
              <w:rPr>
                <w:lang w:val="en-US"/>
              </w:rPr>
              <w:t>113 (86.3)</w:t>
            </w:r>
          </w:p>
        </w:tc>
      </w:tr>
      <w:tr w:rsidR="00DC5E06" w:rsidRPr="00BE78D8" w14:paraId="0E6F89AA" w14:textId="77777777" w:rsidTr="001471CA">
        <w:tc>
          <w:tcPr>
            <w:tcW w:w="5070" w:type="dxa"/>
          </w:tcPr>
          <w:p w14:paraId="1F2D6A3B" w14:textId="77777777" w:rsidR="00DC5E06" w:rsidRPr="00E879C8" w:rsidRDefault="00DC5E06" w:rsidP="00E879C8">
            <w:pPr>
              <w:pStyle w:val="TableText"/>
              <w:rPr>
                <w:lang w:val="en-US"/>
              </w:rPr>
            </w:pPr>
            <w:r w:rsidRPr="00E879C8">
              <w:rPr>
                <w:lang w:val="en-US"/>
              </w:rPr>
              <w:t>Median PFS in months (95% CI)</w:t>
            </w:r>
          </w:p>
        </w:tc>
        <w:tc>
          <w:tcPr>
            <w:tcW w:w="2126" w:type="dxa"/>
          </w:tcPr>
          <w:p w14:paraId="2C512BDB" w14:textId="77777777" w:rsidR="00DC5E06" w:rsidRPr="00BE78D8" w:rsidRDefault="00DC5E06" w:rsidP="00E879C8">
            <w:pPr>
              <w:pStyle w:val="TableCentre"/>
              <w:rPr>
                <w:lang w:val="en-US"/>
              </w:rPr>
            </w:pPr>
            <w:r w:rsidRPr="00BE78D8">
              <w:rPr>
                <w:lang w:val="en-US"/>
              </w:rPr>
              <w:t>18.3 (15.1, N</w:t>
            </w:r>
            <w:r>
              <w:rPr>
                <w:lang w:val="en-US"/>
              </w:rPr>
              <w:t>E</w:t>
            </w:r>
            <w:r w:rsidRPr="00BE78D8">
              <w:rPr>
                <w:lang w:val="en-US"/>
              </w:rPr>
              <w:t>)</w:t>
            </w:r>
          </w:p>
        </w:tc>
        <w:tc>
          <w:tcPr>
            <w:tcW w:w="2046" w:type="dxa"/>
          </w:tcPr>
          <w:p w14:paraId="410C42E8" w14:textId="77777777" w:rsidR="00DC5E06" w:rsidRPr="00BE78D8" w:rsidRDefault="00DC5E06" w:rsidP="00E879C8">
            <w:pPr>
              <w:pStyle w:val="TableCentre"/>
              <w:rPr>
                <w:lang w:val="en-US"/>
              </w:rPr>
            </w:pPr>
            <w:r w:rsidRPr="00BE78D8">
              <w:rPr>
                <w:lang w:val="en-US"/>
              </w:rPr>
              <w:t>3.6 (2.2, 3.7)</w:t>
            </w:r>
          </w:p>
        </w:tc>
      </w:tr>
      <w:tr w:rsidR="00DC5E06" w:rsidRPr="00BE78D8" w14:paraId="2637F513" w14:textId="77777777" w:rsidTr="001471CA">
        <w:tc>
          <w:tcPr>
            <w:tcW w:w="5070" w:type="dxa"/>
          </w:tcPr>
          <w:p w14:paraId="6800E7E4" w14:textId="77777777" w:rsidR="00DC5E06" w:rsidRPr="00E879C8" w:rsidRDefault="00DC5E06" w:rsidP="00E879C8">
            <w:pPr>
              <w:pStyle w:val="TableText"/>
              <w:rPr>
                <w:lang w:val="en-US"/>
              </w:rPr>
            </w:pPr>
            <w:r w:rsidRPr="00E879C8">
              <w:rPr>
                <w:lang w:val="en-US"/>
              </w:rPr>
              <w:t>Hazard Ratio (99% CI)</w:t>
            </w:r>
            <w:proofErr w:type="spellStart"/>
            <w:r w:rsidRPr="00935453">
              <w:rPr>
                <w:vertAlign w:val="superscript"/>
                <w:lang w:val="en-US"/>
              </w:rPr>
              <w:t>b,c</w:t>
            </w:r>
            <w:proofErr w:type="spellEnd"/>
          </w:p>
        </w:tc>
        <w:tc>
          <w:tcPr>
            <w:tcW w:w="4172" w:type="dxa"/>
            <w:gridSpan w:val="2"/>
          </w:tcPr>
          <w:p w14:paraId="05CD0B52" w14:textId="77777777" w:rsidR="00DC5E06" w:rsidRPr="00BE78D8" w:rsidRDefault="00DC5E06" w:rsidP="00E879C8">
            <w:pPr>
              <w:pStyle w:val="TableCentre"/>
              <w:rPr>
                <w:lang w:val="en-US"/>
              </w:rPr>
            </w:pPr>
            <w:r w:rsidRPr="00BE78D8">
              <w:rPr>
                <w:lang w:val="en-US"/>
              </w:rPr>
              <w:t>0.21 (0.14, 0.31)</w:t>
            </w:r>
          </w:p>
        </w:tc>
      </w:tr>
      <w:tr w:rsidR="00DC5E06" w:rsidRPr="00BE78D8" w14:paraId="31C83577" w14:textId="77777777" w:rsidTr="001471CA">
        <w:tc>
          <w:tcPr>
            <w:tcW w:w="5070" w:type="dxa"/>
          </w:tcPr>
          <w:p w14:paraId="4BC19ACA" w14:textId="77777777" w:rsidR="00DC5E06" w:rsidRPr="00E879C8" w:rsidRDefault="00DC5E06" w:rsidP="00E879C8">
            <w:pPr>
              <w:pStyle w:val="TableText"/>
              <w:rPr>
                <w:lang w:val="en-US"/>
              </w:rPr>
            </w:pPr>
            <w:r w:rsidRPr="00E879C8">
              <w:rPr>
                <w:lang w:val="en-US"/>
              </w:rPr>
              <w:t>P-</w:t>
            </w:r>
            <w:proofErr w:type="spellStart"/>
            <w:r w:rsidRPr="00E879C8">
              <w:rPr>
                <w:lang w:val="en-US"/>
              </w:rPr>
              <w:t>value</w:t>
            </w:r>
            <w:r w:rsidRPr="00935453">
              <w:rPr>
                <w:vertAlign w:val="superscript"/>
                <w:lang w:val="en-US"/>
              </w:rPr>
              <w:t>b</w:t>
            </w:r>
            <w:proofErr w:type="spellEnd"/>
          </w:p>
        </w:tc>
        <w:tc>
          <w:tcPr>
            <w:tcW w:w="4172" w:type="dxa"/>
            <w:gridSpan w:val="2"/>
          </w:tcPr>
          <w:p w14:paraId="5D5C1CC2" w14:textId="77777777" w:rsidR="00DC5E06" w:rsidRPr="00BE78D8" w:rsidRDefault="00DC5E06" w:rsidP="00E879C8">
            <w:pPr>
              <w:pStyle w:val="TableCentre"/>
              <w:rPr>
                <w:lang w:val="en-US"/>
              </w:rPr>
            </w:pPr>
            <w:r w:rsidRPr="00BE78D8">
              <w:rPr>
                <w:lang w:val="en-US"/>
              </w:rPr>
              <w:t>&lt;</w:t>
            </w:r>
            <w:r>
              <w:rPr>
                <w:lang w:val="en-US"/>
              </w:rPr>
              <w:t> </w:t>
            </w:r>
            <w:r w:rsidRPr="00BE78D8">
              <w:rPr>
                <w:lang w:val="en-US"/>
              </w:rPr>
              <w:t>0.0001</w:t>
            </w:r>
          </w:p>
        </w:tc>
      </w:tr>
      <w:tr w:rsidR="00DC5E06" w:rsidRPr="00BE78D8" w14:paraId="23800271" w14:textId="77777777" w:rsidTr="001471CA">
        <w:tc>
          <w:tcPr>
            <w:tcW w:w="5070" w:type="dxa"/>
          </w:tcPr>
          <w:p w14:paraId="68B7DACA" w14:textId="77777777" w:rsidR="00DC5E06" w:rsidRPr="00E879C8" w:rsidRDefault="00DC5E06" w:rsidP="00C54A3F">
            <w:pPr>
              <w:pStyle w:val="TableHeading"/>
            </w:pPr>
            <w:r w:rsidRPr="00E879C8">
              <w:t>Patients who had received 0 prior VEGF/VEGFR-target therapy (%)</w:t>
            </w:r>
          </w:p>
        </w:tc>
        <w:tc>
          <w:tcPr>
            <w:tcW w:w="2126" w:type="dxa"/>
          </w:tcPr>
          <w:p w14:paraId="705158F0" w14:textId="77777777" w:rsidR="00DC5E06" w:rsidRPr="00BE78D8" w:rsidRDefault="00DC5E06" w:rsidP="00E879C8">
            <w:pPr>
              <w:pStyle w:val="TableCentre"/>
              <w:rPr>
                <w:lang w:val="en-US"/>
              </w:rPr>
            </w:pPr>
            <w:r w:rsidRPr="00BE78D8">
              <w:rPr>
                <w:lang w:val="en-US"/>
              </w:rPr>
              <w:t>195(74.7)</w:t>
            </w:r>
          </w:p>
        </w:tc>
        <w:tc>
          <w:tcPr>
            <w:tcW w:w="2046" w:type="dxa"/>
          </w:tcPr>
          <w:p w14:paraId="7BCDDC0E" w14:textId="77777777" w:rsidR="00DC5E06" w:rsidRPr="00BE78D8" w:rsidRDefault="00DC5E06" w:rsidP="00E879C8">
            <w:pPr>
              <w:pStyle w:val="TableCentre"/>
              <w:rPr>
                <w:lang w:val="en-US"/>
              </w:rPr>
            </w:pPr>
            <w:r w:rsidRPr="00BE78D8">
              <w:rPr>
                <w:lang w:val="en-US"/>
              </w:rPr>
              <w:t>104 (79.4)</w:t>
            </w:r>
          </w:p>
        </w:tc>
      </w:tr>
      <w:tr w:rsidR="00DC5E06" w:rsidRPr="00BE78D8" w14:paraId="63A5C9C1" w14:textId="77777777" w:rsidTr="001471CA">
        <w:tc>
          <w:tcPr>
            <w:tcW w:w="5070" w:type="dxa"/>
          </w:tcPr>
          <w:p w14:paraId="00EA7E8C" w14:textId="77777777" w:rsidR="00DC5E06" w:rsidRPr="00E879C8" w:rsidRDefault="00DC5E06" w:rsidP="00E879C8">
            <w:pPr>
              <w:pStyle w:val="TableText"/>
              <w:rPr>
                <w:lang w:val="en-US"/>
              </w:rPr>
            </w:pPr>
            <w:r w:rsidRPr="00E879C8">
              <w:rPr>
                <w:lang w:val="en-US"/>
              </w:rPr>
              <w:t>Number of progressions or deaths</w:t>
            </w:r>
          </w:p>
        </w:tc>
        <w:tc>
          <w:tcPr>
            <w:tcW w:w="2126" w:type="dxa"/>
          </w:tcPr>
          <w:p w14:paraId="3F057E00" w14:textId="77777777" w:rsidR="00DC5E06" w:rsidRPr="00BE78D8" w:rsidRDefault="00DC5E06" w:rsidP="00E879C8">
            <w:pPr>
              <w:pStyle w:val="TableCentre"/>
              <w:rPr>
                <w:lang w:val="en-US"/>
              </w:rPr>
            </w:pPr>
            <w:r w:rsidRPr="00BE78D8">
              <w:rPr>
                <w:lang w:val="en-US"/>
              </w:rPr>
              <w:t>76</w:t>
            </w:r>
          </w:p>
        </w:tc>
        <w:tc>
          <w:tcPr>
            <w:tcW w:w="2046" w:type="dxa"/>
          </w:tcPr>
          <w:p w14:paraId="50BFA83B" w14:textId="77777777" w:rsidR="00DC5E06" w:rsidRPr="00BE78D8" w:rsidRDefault="00DC5E06" w:rsidP="00E879C8">
            <w:pPr>
              <w:pStyle w:val="TableCentre"/>
              <w:rPr>
                <w:lang w:val="en-US"/>
              </w:rPr>
            </w:pPr>
            <w:r w:rsidRPr="00BE78D8">
              <w:rPr>
                <w:lang w:val="en-US"/>
              </w:rPr>
              <w:t>88</w:t>
            </w:r>
          </w:p>
        </w:tc>
      </w:tr>
      <w:tr w:rsidR="00DC5E06" w:rsidRPr="00BE78D8" w14:paraId="3624D007" w14:textId="77777777" w:rsidTr="001471CA">
        <w:tc>
          <w:tcPr>
            <w:tcW w:w="5070" w:type="dxa"/>
          </w:tcPr>
          <w:p w14:paraId="6A39E7A6" w14:textId="77777777" w:rsidR="00DC5E06" w:rsidRPr="00E879C8" w:rsidRDefault="00DC5E06" w:rsidP="00E879C8">
            <w:pPr>
              <w:pStyle w:val="TableText"/>
              <w:rPr>
                <w:lang w:val="en-US"/>
              </w:rPr>
            </w:pPr>
            <w:r w:rsidRPr="00E879C8">
              <w:rPr>
                <w:lang w:val="en-US"/>
              </w:rPr>
              <w:t>Median PFS in months (95%CI)</w:t>
            </w:r>
          </w:p>
        </w:tc>
        <w:tc>
          <w:tcPr>
            <w:tcW w:w="2126" w:type="dxa"/>
          </w:tcPr>
          <w:p w14:paraId="4A78B2C8" w14:textId="77777777" w:rsidR="00DC5E06" w:rsidRPr="00BE78D8" w:rsidRDefault="00DC5E06" w:rsidP="00E879C8">
            <w:pPr>
              <w:pStyle w:val="TableCentre"/>
              <w:rPr>
                <w:lang w:val="en-US"/>
              </w:rPr>
            </w:pPr>
            <w:r w:rsidRPr="00BE78D8">
              <w:rPr>
                <w:lang w:val="en-US"/>
              </w:rPr>
              <w:t>18.7 (16.4, NE)</w:t>
            </w:r>
          </w:p>
        </w:tc>
        <w:tc>
          <w:tcPr>
            <w:tcW w:w="2046" w:type="dxa"/>
          </w:tcPr>
          <w:p w14:paraId="136F7694" w14:textId="77777777" w:rsidR="00DC5E06" w:rsidRPr="00BE78D8" w:rsidRDefault="00DC5E06" w:rsidP="00E879C8">
            <w:pPr>
              <w:pStyle w:val="TableCentre"/>
              <w:rPr>
                <w:lang w:val="en-US"/>
              </w:rPr>
            </w:pPr>
            <w:r w:rsidRPr="00BE78D8">
              <w:rPr>
                <w:lang w:val="en-US"/>
              </w:rPr>
              <w:t>3.6 (</w:t>
            </w:r>
            <w:r>
              <w:rPr>
                <w:lang w:val="en-US"/>
              </w:rPr>
              <w:t>2.1</w:t>
            </w:r>
            <w:r w:rsidRPr="00BE78D8">
              <w:rPr>
                <w:lang w:val="en-US"/>
              </w:rPr>
              <w:t xml:space="preserve">, </w:t>
            </w:r>
            <w:r>
              <w:rPr>
                <w:lang w:val="en-US"/>
              </w:rPr>
              <w:t>5.3</w:t>
            </w:r>
            <w:r w:rsidRPr="00BE78D8">
              <w:rPr>
                <w:lang w:val="en-US"/>
              </w:rPr>
              <w:t>)</w:t>
            </w:r>
          </w:p>
        </w:tc>
      </w:tr>
      <w:tr w:rsidR="00DC5E06" w:rsidRPr="00BE78D8" w14:paraId="052D953C" w14:textId="77777777" w:rsidTr="001471CA">
        <w:tc>
          <w:tcPr>
            <w:tcW w:w="5070" w:type="dxa"/>
          </w:tcPr>
          <w:p w14:paraId="3D4D623A" w14:textId="77777777" w:rsidR="00DC5E06" w:rsidRPr="00E879C8" w:rsidRDefault="00DC5E06" w:rsidP="00E879C8">
            <w:pPr>
              <w:pStyle w:val="TableText"/>
              <w:rPr>
                <w:lang w:val="en-US"/>
              </w:rPr>
            </w:pPr>
            <w:r w:rsidRPr="00E879C8">
              <w:rPr>
                <w:lang w:val="en-US"/>
              </w:rPr>
              <w:t>Hazard ratio (95% CI)</w:t>
            </w:r>
            <w:proofErr w:type="spellStart"/>
            <w:r w:rsidRPr="00E879C8">
              <w:rPr>
                <w:lang w:val="en-US"/>
              </w:rPr>
              <w:t>bc</w:t>
            </w:r>
            <w:proofErr w:type="spellEnd"/>
          </w:p>
        </w:tc>
        <w:tc>
          <w:tcPr>
            <w:tcW w:w="4172" w:type="dxa"/>
            <w:gridSpan w:val="2"/>
          </w:tcPr>
          <w:p w14:paraId="5CBE2210" w14:textId="77777777" w:rsidR="00DC5E06" w:rsidRPr="00BE78D8" w:rsidRDefault="00DC5E06" w:rsidP="00E879C8">
            <w:pPr>
              <w:pStyle w:val="TableCentre"/>
              <w:rPr>
                <w:lang w:val="en-US"/>
              </w:rPr>
            </w:pPr>
            <w:r w:rsidRPr="00BE78D8">
              <w:rPr>
                <w:lang w:val="en-US"/>
              </w:rPr>
              <w:t>0.20 (0.14, 0.27)</w:t>
            </w:r>
          </w:p>
        </w:tc>
      </w:tr>
      <w:tr w:rsidR="00DC5E06" w:rsidRPr="00BE78D8" w14:paraId="5CAF4E44" w14:textId="77777777" w:rsidTr="001471CA">
        <w:tc>
          <w:tcPr>
            <w:tcW w:w="5070" w:type="dxa"/>
          </w:tcPr>
          <w:p w14:paraId="40C2D4F8" w14:textId="77777777" w:rsidR="00DC5E06" w:rsidRPr="00BE78D8" w:rsidRDefault="00DC5E06" w:rsidP="00C54A3F">
            <w:pPr>
              <w:pStyle w:val="TableHeading"/>
            </w:pPr>
            <w:r w:rsidRPr="00BE78D8">
              <w:t>Patients who had received 1 prior VEGF/ VEGFR - targeted therapy (%)</w:t>
            </w:r>
          </w:p>
        </w:tc>
        <w:tc>
          <w:tcPr>
            <w:tcW w:w="2126" w:type="dxa"/>
          </w:tcPr>
          <w:p w14:paraId="0D711473" w14:textId="77777777" w:rsidR="00DC5E06" w:rsidRPr="00BE78D8" w:rsidRDefault="00DC5E06" w:rsidP="00E879C8">
            <w:pPr>
              <w:pStyle w:val="TableCentre"/>
              <w:rPr>
                <w:lang w:val="en-US"/>
              </w:rPr>
            </w:pPr>
            <w:r w:rsidRPr="00BE78D8">
              <w:rPr>
                <w:lang w:val="en-US"/>
              </w:rPr>
              <w:t>66 (25.3)</w:t>
            </w:r>
          </w:p>
        </w:tc>
        <w:tc>
          <w:tcPr>
            <w:tcW w:w="2046" w:type="dxa"/>
          </w:tcPr>
          <w:p w14:paraId="462A37E6" w14:textId="77777777" w:rsidR="00DC5E06" w:rsidRPr="00BE78D8" w:rsidRDefault="00DC5E06" w:rsidP="00E879C8">
            <w:pPr>
              <w:pStyle w:val="TableCentre"/>
              <w:rPr>
                <w:lang w:val="en-US"/>
              </w:rPr>
            </w:pPr>
            <w:r w:rsidRPr="00BE78D8">
              <w:rPr>
                <w:lang w:val="en-US"/>
              </w:rPr>
              <w:t>27 (20.6)</w:t>
            </w:r>
          </w:p>
        </w:tc>
      </w:tr>
      <w:tr w:rsidR="00DC5E06" w:rsidRPr="00BE78D8" w14:paraId="30035862" w14:textId="77777777" w:rsidTr="001471CA">
        <w:tc>
          <w:tcPr>
            <w:tcW w:w="5070" w:type="dxa"/>
          </w:tcPr>
          <w:p w14:paraId="4C5A6D21" w14:textId="77777777" w:rsidR="00DC5E06" w:rsidRPr="00BE78D8" w:rsidRDefault="00DC5E06" w:rsidP="00E879C8">
            <w:pPr>
              <w:pStyle w:val="TableText"/>
              <w:rPr>
                <w:lang w:val="en-US"/>
              </w:rPr>
            </w:pPr>
            <w:r w:rsidRPr="00BE78D8">
              <w:rPr>
                <w:lang w:val="en-US"/>
              </w:rPr>
              <w:t>Number of progressions or deaths</w:t>
            </w:r>
          </w:p>
        </w:tc>
        <w:tc>
          <w:tcPr>
            <w:tcW w:w="2126" w:type="dxa"/>
          </w:tcPr>
          <w:p w14:paraId="44197071" w14:textId="77777777" w:rsidR="00DC5E06" w:rsidRPr="00BE78D8" w:rsidRDefault="00DC5E06" w:rsidP="00E879C8">
            <w:pPr>
              <w:pStyle w:val="TableCentre"/>
              <w:rPr>
                <w:lang w:val="en-US"/>
              </w:rPr>
            </w:pPr>
            <w:r w:rsidRPr="00BE78D8">
              <w:rPr>
                <w:lang w:val="en-US"/>
              </w:rPr>
              <w:t>31</w:t>
            </w:r>
          </w:p>
        </w:tc>
        <w:tc>
          <w:tcPr>
            <w:tcW w:w="2046" w:type="dxa"/>
          </w:tcPr>
          <w:p w14:paraId="1EFB76A5" w14:textId="77777777" w:rsidR="00DC5E06" w:rsidRPr="00BE78D8" w:rsidRDefault="00DC5E06" w:rsidP="00E879C8">
            <w:pPr>
              <w:pStyle w:val="TableCentre"/>
              <w:rPr>
                <w:lang w:val="en-US"/>
              </w:rPr>
            </w:pPr>
            <w:r w:rsidRPr="00BE78D8">
              <w:rPr>
                <w:lang w:val="en-US"/>
              </w:rPr>
              <w:t>25</w:t>
            </w:r>
          </w:p>
        </w:tc>
      </w:tr>
      <w:tr w:rsidR="00DC5E06" w:rsidRPr="00BE78D8" w14:paraId="4BEE78E4" w14:textId="77777777" w:rsidTr="001471CA">
        <w:tc>
          <w:tcPr>
            <w:tcW w:w="5070" w:type="dxa"/>
          </w:tcPr>
          <w:p w14:paraId="0B62632C" w14:textId="77777777" w:rsidR="00DC5E06" w:rsidRPr="00BE78D8" w:rsidRDefault="00DC5E06" w:rsidP="00E879C8">
            <w:pPr>
              <w:pStyle w:val="TableText"/>
              <w:rPr>
                <w:lang w:val="en-US"/>
              </w:rPr>
            </w:pPr>
            <w:r w:rsidRPr="00BE78D8">
              <w:rPr>
                <w:lang w:val="en-US"/>
              </w:rPr>
              <w:t>Median PFS in months (95%CI)</w:t>
            </w:r>
          </w:p>
        </w:tc>
        <w:tc>
          <w:tcPr>
            <w:tcW w:w="2126" w:type="dxa"/>
          </w:tcPr>
          <w:p w14:paraId="588351F8" w14:textId="77777777" w:rsidR="00DC5E06" w:rsidRPr="00BE78D8" w:rsidRDefault="00DC5E06" w:rsidP="00E879C8">
            <w:pPr>
              <w:pStyle w:val="TableCentre"/>
              <w:rPr>
                <w:lang w:val="en-US"/>
              </w:rPr>
            </w:pPr>
            <w:r w:rsidRPr="00BE78D8">
              <w:rPr>
                <w:lang w:val="en-US"/>
              </w:rPr>
              <w:t>15.1 (8.8, NE)</w:t>
            </w:r>
          </w:p>
        </w:tc>
        <w:tc>
          <w:tcPr>
            <w:tcW w:w="2046" w:type="dxa"/>
          </w:tcPr>
          <w:p w14:paraId="40EC7FC5" w14:textId="77777777" w:rsidR="00DC5E06" w:rsidRPr="00BE78D8" w:rsidRDefault="00DC5E06" w:rsidP="00E879C8">
            <w:pPr>
              <w:pStyle w:val="TableCentre"/>
              <w:rPr>
                <w:lang w:val="en-US"/>
              </w:rPr>
            </w:pPr>
            <w:r w:rsidRPr="00BE78D8">
              <w:rPr>
                <w:lang w:val="en-US"/>
              </w:rPr>
              <w:t>3.6 (1.9, 3.7)</w:t>
            </w:r>
          </w:p>
        </w:tc>
      </w:tr>
      <w:tr w:rsidR="00DC5E06" w:rsidRPr="00BE78D8" w14:paraId="60933DE1" w14:textId="77777777" w:rsidTr="001471CA">
        <w:tc>
          <w:tcPr>
            <w:tcW w:w="5070" w:type="dxa"/>
          </w:tcPr>
          <w:p w14:paraId="16A091E1" w14:textId="77777777" w:rsidR="00DC5E06" w:rsidRPr="00BE78D8" w:rsidRDefault="00DC5E06" w:rsidP="00E879C8">
            <w:pPr>
              <w:pStyle w:val="TableText"/>
              <w:rPr>
                <w:lang w:val="en-US"/>
              </w:rPr>
            </w:pPr>
            <w:r w:rsidRPr="00BE78D8">
              <w:rPr>
                <w:lang w:val="en-US"/>
              </w:rPr>
              <w:t>Hazard ratio (95% CI)</w:t>
            </w:r>
            <w:proofErr w:type="spellStart"/>
            <w:r w:rsidRPr="00BE78D8">
              <w:rPr>
                <w:vertAlign w:val="superscript"/>
                <w:lang w:val="en-US"/>
              </w:rPr>
              <w:t>bc</w:t>
            </w:r>
            <w:proofErr w:type="spellEnd"/>
          </w:p>
        </w:tc>
        <w:tc>
          <w:tcPr>
            <w:tcW w:w="4172" w:type="dxa"/>
            <w:gridSpan w:val="2"/>
          </w:tcPr>
          <w:p w14:paraId="2909306B" w14:textId="77777777" w:rsidR="00DC5E06" w:rsidRPr="00BE78D8" w:rsidRDefault="00DC5E06" w:rsidP="00E879C8">
            <w:pPr>
              <w:pStyle w:val="TableCentre"/>
              <w:rPr>
                <w:lang w:val="en-US"/>
              </w:rPr>
            </w:pPr>
            <w:r w:rsidRPr="00BE78D8">
              <w:rPr>
                <w:lang w:val="en-US"/>
              </w:rPr>
              <w:t>0.22 (0.12, 0.41)</w:t>
            </w:r>
          </w:p>
        </w:tc>
      </w:tr>
      <w:tr w:rsidR="00DC5E06" w:rsidRPr="00BE78D8" w14:paraId="4DF82EB4" w14:textId="77777777" w:rsidTr="001471CA">
        <w:tc>
          <w:tcPr>
            <w:tcW w:w="5070" w:type="dxa"/>
          </w:tcPr>
          <w:p w14:paraId="0BB9C5BF" w14:textId="77777777" w:rsidR="00DC5E06" w:rsidRPr="00BE78D8" w:rsidRDefault="00DC5E06" w:rsidP="00C54A3F">
            <w:pPr>
              <w:pStyle w:val="TableHeading"/>
            </w:pPr>
            <w:r w:rsidRPr="00BE78D8">
              <w:t xml:space="preserve">Overall Response </w:t>
            </w:r>
            <w:proofErr w:type="spellStart"/>
            <w:r w:rsidRPr="00BE78D8">
              <w:t>Rate</w:t>
            </w:r>
            <w:r w:rsidRPr="00BE78D8">
              <w:rPr>
                <w:vertAlign w:val="superscript"/>
              </w:rPr>
              <w:t>a</w:t>
            </w:r>
            <w:proofErr w:type="spellEnd"/>
          </w:p>
        </w:tc>
        <w:tc>
          <w:tcPr>
            <w:tcW w:w="2126" w:type="dxa"/>
          </w:tcPr>
          <w:p w14:paraId="70E3DE2A" w14:textId="77777777" w:rsidR="00DC5E06" w:rsidRPr="00BE78D8" w:rsidRDefault="00DC5E06" w:rsidP="00E879C8">
            <w:pPr>
              <w:pStyle w:val="TableCentre"/>
              <w:rPr>
                <w:lang w:val="en-US"/>
              </w:rPr>
            </w:pPr>
          </w:p>
        </w:tc>
        <w:tc>
          <w:tcPr>
            <w:tcW w:w="2046" w:type="dxa"/>
          </w:tcPr>
          <w:p w14:paraId="70CEF0C8" w14:textId="77777777" w:rsidR="00DC5E06" w:rsidRPr="00BE78D8" w:rsidRDefault="00DC5E06" w:rsidP="00E879C8">
            <w:pPr>
              <w:pStyle w:val="TableCentre"/>
              <w:rPr>
                <w:lang w:val="en-US"/>
              </w:rPr>
            </w:pPr>
          </w:p>
        </w:tc>
      </w:tr>
      <w:tr w:rsidR="00DC5E06" w:rsidRPr="00BE78D8" w14:paraId="522C1D4A" w14:textId="77777777" w:rsidTr="001471CA">
        <w:tc>
          <w:tcPr>
            <w:tcW w:w="5070" w:type="dxa"/>
          </w:tcPr>
          <w:p w14:paraId="45248795" w14:textId="77777777" w:rsidR="00DC5E06" w:rsidRPr="00BE78D8" w:rsidRDefault="00DC5E06" w:rsidP="00E879C8">
            <w:pPr>
              <w:pStyle w:val="TableText"/>
              <w:rPr>
                <w:lang w:val="en-US"/>
              </w:rPr>
            </w:pPr>
            <w:r w:rsidRPr="00BE78D8">
              <w:rPr>
                <w:lang w:val="en-US"/>
              </w:rPr>
              <w:t>Number of objective responders (%)</w:t>
            </w:r>
          </w:p>
        </w:tc>
        <w:tc>
          <w:tcPr>
            <w:tcW w:w="2126" w:type="dxa"/>
          </w:tcPr>
          <w:p w14:paraId="257230F4" w14:textId="77777777" w:rsidR="00DC5E06" w:rsidRPr="00BE78D8" w:rsidRDefault="00DC5E06" w:rsidP="00E879C8">
            <w:pPr>
              <w:pStyle w:val="TableCentre"/>
              <w:rPr>
                <w:lang w:val="en-US"/>
              </w:rPr>
            </w:pPr>
            <w:r w:rsidRPr="00BE78D8">
              <w:rPr>
                <w:lang w:val="en-US"/>
              </w:rPr>
              <w:t>169 (64.8)</w:t>
            </w:r>
          </w:p>
        </w:tc>
        <w:tc>
          <w:tcPr>
            <w:tcW w:w="2046" w:type="dxa"/>
          </w:tcPr>
          <w:p w14:paraId="28CCC19B" w14:textId="77777777" w:rsidR="00DC5E06" w:rsidRPr="00BE78D8" w:rsidRDefault="00DC5E06" w:rsidP="00E879C8">
            <w:pPr>
              <w:pStyle w:val="TableCentre"/>
              <w:rPr>
                <w:lang w:val="en-US"/>
              </w:rPr>
            </w:pPr>
            <w:r w:rsidRPr="00BE78D8">
              <w:rPr>
                <w:lang w:val="en-US"/>
              </w:rPr>
              <w:t>2 (1.5)</w:t>
            </w:r>
          </w:p>
        </w:tc>
      </w:tr>
      <w:tr w:rsidR="00DC5E06" w:rsidRPr="00BE78D8" w14:paraId="696FD366" w14:textId="77777777" w:rsidTr="001471CA">
        <w:tc>
          <w:tcPr>
            <w:tcW w:w="5070" w:type="dxa"/>
          </w:tcPr>
          <w:p w14:paraId="016C92C1" w14:textId="77777777" w:rsidR="00DC5E06" w:rsidRPr="00BE78D8" w:rsidRDefault="00DC5E06" w:rsidP="00E879C8">
            <w:pPr>
              <w:pStyle w:val="TableText"/>
              <w:rPr>
                <w:lang w:val="en-US"/>
              </w:rPr>
            </w:pPr>
            <w:r w:rsidRPr="00BE78D8">
              <w:rPr>
                <w:lang w:val="en-US"/>
              </w:rPr>
              <w:t>(95% CI)</w:t>
            </w:r>
          </w:p>
        </w:tc>
        <w:tc>
          <w:tcPr>
            <w:tcW w:w="2126" w:type="dxa"/>
          </w:tcPr>
          <w:p w14:paraId="3D4694AF" w14:textId="77777777" w:rsidR="00DC5E06" w:rsidRPr="00BE78D8" w:rsidRDefault="00DC5E06" w:rsidP="00E879C8">
            <w:pPr>
              <w:pStyle w:val="TableCentre"/>
              <w:rPr>
                <w:lang w:val="en-US"/>
              </w:rPr>
            </w:pPr>
            <w:r w:rsidRPr="00BE78D8">
              <w:rPr>
                <w:lang w:val="en-US"/>
              </w:rPr>
              <w:t>(59.0, 70.5)</w:t>
            </w:r>
          </w:p>
        </w:tc>
        <w:tc>
          <w:tcPr>
            <w:tcW w:w="2046" w:type="dxa"/>
          </w:tcPr>
          <w:p w14:paraId="57C2DB9C" w14:textId="77777777" w:rsidR="00DC5E06" w:rsidRPr="00BE78D8" w:rsidRDefault="00DC5E06" w:rsidP="00E879C8">
            <w:pPr>
              <w:pStyle w:val="TableCentre"/>
              <w:rPr>
                <w:lang w:val="en-US"/>
              </w:rPr>
            </w:pPr>
            <w:r w:rsidRPr="00BE78D8">
              <w:rPr>
                <w:lang w:val="en-US"/>
              </w:rPr>
              <w:t>(0.0, 3.6)</w:t>
            </w:r>
          </w:p>
        </w:tc>
      </w:tr>
      <w:tr w:rsidR="00DC5E06" w:rsidRPr="00BE78D8" w14:paraId="291CDDEE" w14:textId="77777777" w:rsidTr="001471CA">
        <w:tc>
          <w:tcPr>
            <w:tcW w:w="5070" w:type="dxa"/>
          </w:tcPr>
          <w:p w14:paraId="020DE732" w14:textId="77777777" w:rsidR="00DC5E06" w:rsidRPr="00BE78D8" w:rsidRDefault="00DC5E06" w:rsidP="00E879C8">
            <w:pPr>
              <w:pStyle w:val="TableText"/>
              <w:rPr>
                <w:lang w:val="en-US"/>
              </w:rPr>
            </w:pPr>
            <w:r w:rsidRPr="00BE78D8">
              <w:rPr>
                <w:lang w:val="en-US"/>
              </w:rPr>
              <w:t>P-</w:t>
            </w:r>
            <w:proofErr w:type="spellStart"/>
            <w:r w:rsidRPr="00BE78D8">
              <w:rPr>
                <w:lang w:val="en-US"/>
              </w:rPr>
              <w:t>value</w:t>
            </w:r>
            <w:r w:rsidRPr="00BE78D8">
              <w:rPr>
                <w:vertAlign w:val="superscript"/>
                <w:lang w:val="en-US"/>
              </w:rPr>
              <w:t>b</w:t>
            </w:r>
            <w:proofErr w:type="spellEnd"/>
          </w:p>
        </w:tc>
        <w:tc>
          <w:tcPr>
            <w:tcW w:w="4172" w:type="dxa"/>
            <w:gridSpan w:val="2"/>
          </w:tcPr>
          <w:p w14:paraId="6A6B154B" w14:textId="77777777" w:rsidR="00DC5E06" w:rsidRPr="00BE78D8" w:rsidRDefault="00DC5E06" w:rsidP="00E879C8">
            <w:pPr>
              <w:pStyle w:val="TableCentre"/>
              <w:rPr>
                <w:lang w:val="en-US"/>
              </w:rPr>
            </w:pPr>
            <w:r w:rsidRPr="00BE78D8">
              <w:rPr>
                <w:lang w:val="en-US"/>
              </w:rPr>
              <w:t>&lt;</w:t>
            </w:r>
            <w:r>
              <w:rPr>
                <w:lang w:val="en-US"/>
              </w:rPr>
              <w:t> </w:t>
            </w:r>
            <w:r w:rsidRPr="00BE78D8">
              <w:rPr>
                <w:lang w:val="en-US"/>
              </w:rPr>
              <w:t>0.0001</w:t>
            </w:r>
          </w:p>
        </w:tc>
      </w:tr>
      <w:tr w:rsidR="00DC5E06" w:rsidRPr="00BE78D8" w14:paraId="64647A40" w14:textId="77777777" w:rsidTr="001471CA">
        <w:tc>
          <w:tcPr>
            <w:tcW w:w="5070" w:type="dxa"/>
          </w:tcPr>
          <w:p w14:paraId="537AAB5B" w14:textId="77777777" w:rsidR="00DC5E06" w:rsidRPr="00BE78D8" w:rsidRDefault="00DC5E06" w:rsidP="00E879C8">
            <w:pPr>
              <w:pStyle w:val="TableText"/>
              <w:rPr>
                <w:lang w:val="en-US"/>
              </w:rPr>
            </w:pPr>
            <w:r w:rsidRPr="00BE78D8">
              <w:rPr>
                <w:lang w:val="en-US"/>
              </w:rPr>
              <w:t>Number of complete responses</w:t>
            </w:r>
          </w:p>
        </w:tc>
        <w:tc>
          <w:tcPr>
            <w:tcW w:w="2126" w:type="dxa"/>
          </w:tcPr>
          <w:p w14:paraId="240CAF3B" w14:textId="77777777" w:rsidR="00DC5E06" w:rsidRPr="00BE78D8" w:rsidRDefault="00DC5E06" w:rsidP="00E879C8">
            <w:pPr>
              <w:pStyle w:val="TableCentre"/>
              <w:rPr>
                <w:lang w:val="en-US"/>
              </w:rPr>
            </w:pPr>
            <w:r w:rsidRPr="00BE78D8">
              <w:rPr>
                <w:lang w:val="en-US"/>
              </w:rPr>
              <w:t>4</w:t>
            </w:r>
          </w:p>
        </w:tc>
        <w:tc>
          <w:tcPr>
            <w:tcW w:w="2046" w:type="dxa"/>
          </w:tcPr>
          <w:p w14:paraId="15AB36DD" w14:textId="77777777" w:rsidR="00DC5E06" w:rsidRPr="00BE78D8" w:rsidRDefault="00DC5E06" w:rsidP="00E879C8">
            <w:pPr>
              <w:pStyle w:val="TableCentre"/>
              <w:rPr>
                <w:lang w:val="en-US"/>
              </w:rPr>
            </w:pPr>
            <w:r w:rsidRPr="00BE78D8">
              <w:rPr>
                <w:lang w:val="en-US"/>
              </w:rPr>
              <w:t>0</w:t>
            </w:r>
          </w:p>
        </w:tc>
      </w:tr>
      <w:tr w:rsidR="00DC5E06" w:rsidRPr="00BE78D8" w14:paraId="4123A96D" w14:textId="77777777" w:rsidTr="001471CA">
        <w:tc>
          <w:tcPr>
            <w:tcW w:w="5070" w:type="dxa"/>
          </w:tcPr>
          <w:p w14:paraId="7DB2CB67" w14:textId="77777777" w:rsidR="00DC5E06" w:rsidRPr="00BE78D8" w:rsidRDefault="00DC5E06" w:rsidP="00E879C8">
            <w:pPr>
              <w:pStyle w:val="TableText"/>
              <w:rPr>
                <w:lang w:val="en-US"/>
              </w:rPr>
            </w:pPr>
            <w:r w:rsidRPr="00BE78D8">
              <w:rPr>
                <w:lang w:val="en-US"/>
              </w:rPr>
              <w:t>Number of partial responses</w:t>
            </w:r>
          </w:p>
        </w:tc>
        <w:tc>
          <w:tcPr>
            <w:tcW w:w="2126" w:type="dxa"/>
          </w:tcPr>
          <w:p w14:paraId="4F322CAC" w14:textId="77777777" w:rsidR="00DC5E06" w:rsidRPr="00BE78D8" w:rsidRDefault="00DC5E06" w:rsidP="00E879C8">
            <w:pPr>
              <w:pStyle w:val="TableCentre"/>
              <w:rPr>
                <w:lang w:val="en-US"/>
              </w:rPr>
            </w:pPr>
            <w:r w:rsidRPr="00BE78D8">
              <w:rPr>
                <w:lang w:val="en-US"/>
              </w:rPr>
              <w:t>165</w:t>
            </w:r>
          </w:p>
        </w:tc>
        <w:tc>
          <w:tcPr>
            <w:tcW w:w="2046" w:type="dxa"/>
          </w:tcPr>
          <w:p w14:paraId="52E89EDF" w14:textId="77777777" w:rsidR="00DC5E06" w:rsidRPr="00BE78D8" w:rsidRDefault="00DC5E06" w:rsidP="00E879C8">
            <w:pPr>
              <w:pStyle w:val="TableCentre"/>
              <w:rPr>
                <w:lang w:val="en-US"/>
              </w:rPr>
            </w:pPr>
            <w:r w:rsidRPr="00BE78D8">
              <w:rPr>
                <w:lang w:val="en-US"/>
              </w:rPr>
              <w:t>2</w:t>
            </w:r>
          </w:p>
        </w:tc>
      </w:tr>
      <w:tr w:rsidR="00DC5E06" w:rsidRPr="00BE78D8" w14:paraId="628084A9" w14:textId="77777777" w:rsidTr="001471CA">
        <w:tc>
          <w:tcPr>
            <w:tcW w:w="5070" w:type="dxa"/>
          </w:tcPr>
          <w:p w14:paraId="1027A154" w14:textId="77777777" w:rsidR="00DC5E06" w:rsidRPr="00BE78D8" w:rsidRDefault="00DC5E06" w:rsidP="00E879C8">
            <w:pPr>
              <w:pStyle w:val="TableText"/>
              <w:rPr>
                <w:lang w:val="en-US"/>
              </w:rPr>
            </w:pPr>
            <w:r w:rsidRPr="00BE78D8">
              <w:rPr>
                <w:lang w:val="en-US"/>
              </w:rPr>
              <w:t xml:space="preserve">Median time to objective </w:t>
            </w:r>
            <w:proofErr w:type="spellStart"/>
            <w:r w:rsidRPr="00BE78D8">
              <w:rPr>
                <w:lang w:val="en-US"/>
              </w:rPr>
              <w:t>response,</w:t>
            </w:r>
            <w:r w:rsidRPr="00BE78D8">
              <w:rPr>
                <w:vertAlign w:val="superscript"/>
                <w:lang w:val="en-US"/>
              </w:rPr>
              <w:t>d</w:t>
            </w:r>
            <w:proofErr w:type="spellEnd"/>
            <w:r w:rsidRPr="00BE78D8">
              <w:rPr>
                <w:vertAlign w:val="superscript"/>
                <w:lang w:val="en-US"/>
              </w:rPr>
              <w:t xml:space="preserve"> </w:t>
            </w:r>
            <w:r w:rsidRPr="00BE78D8">
              <w:rPr>
                <w:lang w:val="en-US"/>
              </w:rPr>
              <w:t>months (95%CI)</w:t>
            </w:r>
          </w:p>
        </w:tc>
        <w:tc>
          <w:tcPr>
            <w:tcW w:w="2126" w:type="dxa"/>
          </w:tcPr>
          <w:p w14:paraId="5B64C81D" w14:textId="77777777" w:rsidR="00DC5E06" w:rsidRPr="00BE78D8" w:rsidRDefault="00DC5E06" w:rsidP="00E879C8">
            <w:pPr>
              <w:pStyle w:val="TableCentre"/>
              <w:rPr>
                <w:lang w:val="en-US"/>
              </w:rPr>
            </w:pPr>
            <w:r w:rsidRPr="00BE78D8">
              <w:rPr>
                <w:lang w:val="en-US"/>
              </w:rPr>
              <w:t>2.0 (1.9, 3.5)</w:t>
            </w:r>
          </w:p>
        </w:tc>
        <w:tc>
          <w:tcPr>
            <w:tcW w:w="2046" w:type="dxa"/>
          </w:tcPr>
          <w:p w14:paraId="445DEE01" w14:textId="77777777" w:rsidR="00DC5E06" w:rsidRPr="00BE78D8" w:rsidRDefault="00DC5E06" w:rsidP="00E879C8">
            <w:pPr>
              <w:pStyle w:val="TableCentre"/>
              <w:rPr>
                <w:lang w:val="en-US"/>
              </w:rPr>
            </w:pPr>
            <w:r w:rsidRPr="00BE78D8">
              <w:rPr>
                <w:lang w:val="en-US"/>
              </w:rPr>
              <w:t>5.6 (1.8, 9.4)</w:t>
            </w:r>
          </w:p>
        </w:tc>
      </w:tr>
      <w:tr w:rsidR="00DC5E06" w:rsidRPr="00BE78D8" w14:paraId="7A86195D" w14:textId="77777777" w:rsidTr="001471CA">
        <w:tc>
          <w:tcPr>
            <w:tcW w:w="5070" w:type="dxa"/>
          </w:tcPr>
          <w:p w14:paraId="776E4199" w14:textId="77777777" w:rsidR="00DC5E06" w:rsidRPr="00BE78D8" w:rsidRDefault="00DC5E06" w:rsidP="00E879C8">
            <w:pPr>
              <w:pStyle w:val="TableText"/>
              <w:rPr>
                <w:lang w:val="en-US"/>
              </w:rPr>
            </w:pPr>
            <w:r w:rsidRPr="00BE78D8">
              <w:rPr>
                <w:lang w:val="en-US"/>
              </w:rPr>
              <w:t xml:space="preserve">Duration of </w:t>
            </w:r>
            <w:proofErr w:type="spellStart"/>
            <w:r w:rsidRPr="00BE78D8">
              <w:rPr>
                <w:lang w:val="en-US"/>
              </w:rPr>
              <w:t>response,</w:t>
            </w:r>
            <w:r w:rsidRPr="00BE78D8">
              <w:rPr>
                <w:vertAlign w:val="superscript"/>
                <w:lang w:val="en-US"/>
              </w:rPr>
              <w:t>d</w:t>
            </w:r>
            <w:proofErr w:type="spellEnd"/>
            <w:r w:rsidRPr="00BE78D8">
              <w:rPr>
                <w:lang w:val="en-US"/>
              </w:rPr>
              <w:t xml:space="preserve"> months, median (95% CI)</w:t>
            </w:r>
          </w:p>
        </w:tc>
        <w:tc>
          <w:tcPr>
            <w:tcW w:w="2126" w:type="dxa"/>
          </w:tcPr>
          <w:p w14:paraId="5BD79499" w14:textId="77777777" w:rsidR="00DC5E06" w:rsidRPr="00BE78D8" w:rsidRDefault="00DC5E06" w:rsidP="00E879C8">
            <w:pPr>
              <w:pStyle w:val="TableCentre"/>
              <w:rPr>
                <w:lang w:val="en-US"/>
              </w:rPr>
            </w:pPr>
            <w:r w:rsidRPr="00BE78D8">
              <w:rPr>
                <w:lang w:val="en-US"/>
              </w:rPr>
              <w:t>NE (16.8, NE)</w:t>
            </w:r>
          </w:p>
        </w:tc>
        <w:tc>
          <w:tcPr>
            <w:tcW w:w="2046" w:type="dxa"/>
          </w:tcPr>
          <w:p w14:paraId="786CA1BF" w14:textId="77777777" w:rsidR="00DC5E06" w:rsidRPr="00BE78D8" w:rsidRDefault="00DC5E06" w:rsidP="00E879C8">
            <w:pPr>
              <w:pStyle w:val="TableCentre"/>
              <w:rPr>
                <w:lang w:val="en-US"/>
              </w:rPr>
            </w:pPr>
            <w:r w:rsidRPr="00BE78D8">
              <w:rPr>
                <w:lang w:val="en-US"/>
              </w:rPr>
              <w:t>NE (20.3, NE)</w:t>
            </w:r>
          </w:p>
        </w:tc>
      </w:tr>
      <w:tr w:rsidR="00DC5E06" w:rsidRPr="00BE78D8" w14:paraId="74F4A3FF" w14:textId="77777777" w:rsidTr="001471CA">
        <w:tc>
          <w:tcPr>
            <w:tcW w:w="5070" w:type="dxa"/>
          </w:tcPr>
          <w:p w14:paraId="05880418" w14:textId="77777777" w:rsidR="00DC5E06" w:rsidRPr="00BE78D8" w:rsidRDefault="00DC5E06" w:rsidP="00C54A3F">
            <w:pPr>
              <w:pStyle w:val="TableHeading"/>
            </w:pPr>
            <w:r w:rsidRPr="00BE78D8">
              <w:t>Overall Survival</w:t>
            </w:r>
          </w:p>
        </w:tc>
        <w:tc>
          <w:tcPr>
            <w:tcW w:w="2126" w:type="dxa"/>
          </w:tcPr>
          <w:p w14:paraId="4E11B135" w14:textId="77777777" w:rsidR="00DC5E06" w:rsidRPr="00BE78D8" w:rsidRDefault="00DC5E06" w:rsidP="00E879C8">
            <w:pPr>
              <w:pStyle w:val="TableCentre"/>
              <w:rPr>
                <w:lang w:val="en-US"/>
              </w:rPr>
            </w:pPr>
          </w:p>
        </w:tc>
        <w:tc>
          <w:tcPr>
            <w:tcW w:w="2046" w:type="dxa"/>
          </w:tcPr>
          <w:p w14:paraId="17C829B4" w14:textId="77777777" w:rsidR="00DC5E06" w:rsidRPr="00BE78D8" w:rsidRDefault="00DC5E06" w:rsidP="00E879C8">
            <w:pPr>
              <w:pStyle w:val="TableCentre"/>
              <w:rPr>
                <w:lang w:val="en-US"/>
              </w:rPr>
            </w:pPr>
          </w:p>
        </w:tc>
      </w:tr>
      <w:tr w:rsidR="00DC5E06" w:rsidRPr="00BE78D8" w14:paraId="417B4E3D" w14:textId="77777777" w:rsidTr="001471CA">
        <w:tc>
          <w:tcPr>
            <w:tcW w:w="5070" w:type="dxa"/>
          </w:tcPr>
          <w:p w14:paraId="68446405" w14:textId="77777777" w:rsidR="00DC5E06" w:rsidRPr="00BE78D8" w:rsidRDefault="00DC5E06" w:rsidP="00E879C8">
            <w:pPr>
              <w:pStyle w:val="TableText"/>
              <w:rPr>
                <w:lang w:val="en-US"/>
              </w:rPr>
            </w:pPr>
            <w:r w:rsidRPr="00BE78D8">
              <w:rPr>
                <w:lang w:val="en-US"/>
              </w:rPr>
              <w:t>Number of Deaths (%)</w:t>
            </w:r>
          </w:p>
        </w:tc>
        <w:tc>
          <w:tcPr>
            <w:tcW w:w="2126" w:type="dxa"/>
          </w:tcPr>
          <w:p w14:paraId="22BE13B9" w14:textId="77777777" w:rsidR="00DC5E06" w:rsidRPr="00BE78D8" w:rsidRDefault="00DC5E06" w:rsidP="00E879C8">
            <w:pPr>
              <w:pStyle w:val="TableCentre"/>
              <w:rPr>
                <w:lang w:val="en-US"/>
              </w:rPr>
            </w:pPr>
            <w:r w:rsidRPr="00BE78D8">
              <w:rPr>
                <w:lang w:val="en-US"/>
              </w:rPr>
              <w:t>71 (27.2)</w:t>
            </w:r>
          </w:p>
        </w:tc>
        <w:tc>
          <w:tcPr>
            <w:tcW w:w="2046" w:type="dxa"/>
          </w:tcPr>
          <w:p w14:paraId="71075601" w14:textId="77777777" w:rsidR="00DC5E06" w:rsidRPr="00BE78D8" w:rsidRDefault="00DC5E06" w:rsidP="00E879C8">
            <w:pPr>
              <w:pStyle w:val="TableCentre"/>
              <w:rPr>
                <w:lang w:val="en-US"/>
              </w:rPr>
            </w:pPr>
            <w:r w:rsidRPr="00BE78D8">
              <w:rPr>
                <w:lang w:val="en-US"/>
              </w:rPr>
              <w:t>47 (35.9)</w:t>
            </w:r>
          </w:p>
        </w:tc>
      </w:tr>
      <w:tr w:rsidR="00DC5E06" w:rsidRPr="00BE78D8" w14:paraId="7A395C51" w14:textId="77777777" w:rsidTr="001471CA">
        <w:tc>
          <w:tcPr>
            <w:tcW w:w="5070" w:type="dxa"/>
          </w:tcPr>
          <w:p w14:paraId="327546F6" w14:textId="77777777" w:rsidR="00DC5E06" w:rsidRPr="00BE78D8" w:rsidRDefault="00DC5E06" w:rsidP="00E879C8">
            <w:pPr>
              <w:pStyle w:val="TableText"/>
              <w:rPr>
                <w:lang w:val="en-US"/>
              </w:rPr>
            </w:pPr>
            <w:r w:rsidRPr="00BE78D8">
              <w:rPr>
                <w:lang w:val="en-US"/>
              </w:rPr>
              <w:t>Median OS in months (95% CI)</w:t>
            </w:r>
          </w:p>
        </w:tc>
        <w:tc>
          <w:tcPr>
            <w:tcW w:w="2126" w:type="dxa"/>
          </w:tcPr>
          <w:p w14:paraId="58302C2C" w14:textId="77777777" w:rsidR="00DC5E06" w:rsidRPr="00BE78D8" w:rsidRDefault="00DC5E06" w:rsidP="00E879C8">
            <w:pPr>
              <w:pStyle w:val="TableCentre"/>
              <w:rPr>
                <w:lang w:val="en-US"/>
              </w:rPr>
            </w:pPr>
            <w:r w:rsidRPr="00BE78D8">
              <w:rPr>
                <w:lang w:val="en-US"/>
              </w:rPr>
              <w:t>NE (22.0, NE)</w:t>
            </w:r>
          </w:p>
        </w:tc>
        <w:tc>
          <w:tcPr>
            <w:tcW w:w="2046" w:type="dxa"/>
          </w:tcPr>
          <w:p w14:paraId="4B1B87E6" w14:textId="77777777" w:rsidR="00DC5E06" w:rsidRPr="00BE78D8" w:rsidRDefault="00DC5E06" w:rsidP="00E879C8">
            <w:pPr>
              <w:pStyle w:val="TableCentre"/>
              <w:rPr>
                <w:lang w:val="en-US"/>
              </w:rPr>
            </w:pPr>
            <w:r w:rsidRPr="00BE78D8">
              <w:rPr>
                <w:lang w:val="en-US"/>
              </w:rPr>
              <w:t>NE (20.3, NE)</w:t>
            </w:r>
          </w:p>
        </w:tc>
      </w:tr>
      <w:tr w:rsidR="00DC5E06" w:rsidRPr="00BE78D8" w14:paraId="6970813D" w14:textId="77777777" w:rsidTr="001471CA">
        <w:tc>
          <w:tcPr>
            <w:tcW w:w="5070" w:type="dxa"/>
          </w:tcPr>
          <w:p w14:paraId="0597807F" w14:textId="77777777" w:rsidR="00DC5E06" w:rsidRPr="00EE5DA3" w:rsidRDefault="00DC5E06" w:rsidP="00E879C8">
            <w:pPr>
              <w:pStyle w:val="TableText"/>
              <w:rPr>
                <w:lang w:val="pt-BR"/>
              </w:rPr>
            </w:pPr>
            <w:r w:rsidRPr="00EE5DA3">
              <w:rPr>
                <w:lang w:val="pt-BR"/>
              </w:rPr>
              <w:t>Hazard Ratio (95% CI)</w:t>
            </w:r>
            <w:r w:rsidRPr="00EE5DA3">
              <w:rPr>
                <w:vertAlign w:val="superscript"/>
                <w:lang w:val="pt-BR"/>
              </w:rPr>
              <w:t>b,e</w:t>
            </w:r>
          </w:p>
        </w:tc>
        <w:tc>
          <w:tcPr>
            <w:tcW w:w="4172" w:type="dxa"/>
            <w:gridSpan w:val="2"/>
          </w:tcPr>
          <w:p w14:paraId="20293F5C" w14:textId="77777777" w:rsidR="00DC5E06" w:rsidRPr="00BE78D8" w:rsidRDefault="00DC5E06" w:rsidP="00E879C8">
            <w:pPr>
              <w:pStyle w:val="TableCentre"/>
              <w:rPr>
                <w:lang w:val="en-US"/>
              </w:rPr>
            </w:pPr>
            <w:r w:rsidRPr="00BE78D8">
              <w:rPr>
                <w:lang w:val="en-US"/>
              </w:rPr>
              <w:t>0.73 (0.50, 1.07)</w:t>
            </w:r>
          </w:p>
        </w:tc>
      </w:tr>
      <w:tr w:rsidR="00DC5E06" w:rsidRPr="00BE78D8" w14:paraId="3E843553" w14:textId="77777777" w:rsidTr="001471CA">
        <w:tc>
          <w:tcPr>
            <w:tcW w:w="5070" w:type="dxa"/>
          </w:tcPr>
          <w:p w14:paraId="1C1AF2AE" w14:textId="77777777" w:rsidR="00DC5E06" w:rsidRPr="00BE78D8" w:rsidRDefault="00DC5E06" w:rsidP="00E879C8">
            <w:pPr>
              <w:pStyle w:val="TableText"/>
              <w:rPr>
                <w:lang w:val="en-US"/>
              </w:rPr>
            </w:pPr>
            <w:r w:rsidRPr="00BE78D8">
              <w:rPr>
                <w:lang w:val="en-US"/>
              </w:rPr>
              <w:t>P-</w:t>
            </w:r>
            <w:proofErr w:type="spellStart"/>
            <w:r w:rsidRPr="00BE78D8">
              <w:rPr>
                <w:lang w:val="en-US"/>
              </w:rPr>
              <w:t>value</w:t>
            </w:r>
            <w:r w:rsidRPr="00BE78D8">
              <w:rPr>
                <w:vertAlign w:val="superscript"/>
                <w:lang w:val="en-US"/>
              </w:rPr>
              <w:t>b,e</w:t>
            </w:r>
            <w:proofErr w:type="spellEnd"/>
          </w:p>
        </w:tc>
        <w:tc>
          <w:tcPr>
            <w:tcW w:w="4172" w:type="dxa"/>
            <w:gridSpan w:val="2"/>
          </w:tcPr>
          <w:p w14:paraId="50DCB7CE" w14:textId="77777777" w:rsidR="00DC5E06" w:rsidRPr="00BE78D8" w:rsidRDefault="00DC5E06" w:rsidP="00E879C8">
            <w:pPr>
              <w:pStyle w:val="TableCentre"/>
              <w:rPr>
                <w:lang w:val="en-US"/>
              </w:rPr>
            </w:pPr>
            <w:r w:rsidRPr="00BE78D8">
              <w:rPr>
                <w:lang w:val="en-US"/>
              </w:rPr>
              <w:t>0.1032</w:t>
            </w:r>
          </w:p>
        </w:tc>
      </w:tr>
    </w:tbl>
    <w:p w14:paraId="70FE82AC" w14:textId="77777777" w:rsidR="00DC5E06" w:rsidRPr="00066BB0" w:rsidRDefault="00DC5E06" w:rsidP="00E879C8">
      <w:pPr>
        <w:pStyle w:val="TableFootnote"/>
        <w:rPr>
          <w:lang w:val="en-US"/>
        </w:rPr>
      </w:pPr>
      <w:r w:rsidRPr="00066BB0">
        <w:rPr>
          <w:lang w:val="en-US"/>
        </w:rPr>
        <w:lastRenderedPageBreak/>
        <w:t>CI, confidence interval; NE, not estimable; OS, overall survival; PFS, progression-free survival; RPSFT, rank preserving structural failure time model; VEGF/VEGFR, vascular endothelial growth factor /vascular endothelial growth factor receptor.</w:t>
      </w:r>
    </w:p>
    <w:p w14:paraId="6EE7F24C" w14:textId="07A0659B" w:rsidR="00DC5E06" w:rsidRPr="00066BB0" w:rsidRDefault="00DC5E06" w:rsidP="009D28A7">
      <w:pPr>
        <w:pStyle w:val="TableFootnote"/>
        <w:numPr>
          <w:ilvl w:val="0"/>
          <w:numId w:val="40"/>
        </w:numPr>
        <w:rPr>
          <w:lang w:val="en-US"/>
        </w:rPr>
      </w:pPr>
      <w:r w:rsidRPr="00066BB0">
        <w:rPr>
          <w:lang w:val="en-US"/>
        </w:rPr>
        <w:t>Independent radiologic review.</w:t>
      </w:r>
    </w:p>
    <w:p w14:paraId="53474A84" w14:textId="0623E072" w:rsidR="00DC5E06" w:rsidRPr="00066BB0" w:rsidRDefault="00DC5E06" w:rsidP="009D28A7">
      <w:pPr>
        <w:pStyle w:val="TableFootnote"/>
        <w:numPr>
          <w:ilvl w:val="0"/>
          <w:numId w:val="40"/>
        </w:numPr>
        <w:rPr>
          <w:lang w:val="en-US"/>
        </w:rPr>
      </w:pPr>
      <w:r w:rsidRPr="00066BB0">
        <w:rPr>
          <w:lang w:val="en-US"/>
        </w:rPr>
        <w:t>Stratified by region (Europe vs. North America vs. Other), age group (</w:t>
      </w:r>
      <w:r w:rsidR="000E456F">
        <w:rPr>
          <w:lang w:val="en-US"/>
        </w:rPr>
        <w:sym w:font="Symbol" w:char="F0A3"/>
      </w:r>
      <w:r w:rsidRPr="00066BB0">
        <w:rPr>
          <w:lang w:val="en-US"/>
        </w:rPr>
        <w:t>65 year vs &gt;65 years), and previous VEGF/VEGFR-targeted therapy (0 vs. 1).</w:t>
      </w:r>
    </w:p>
    <w:p w14:paraId="71027BFF" w14:textId="25AF625A" w:rsidR="00DC5E06" w:rsidRPr="00066BB0" w:rsidRDefault="00DC5E06" w:rsidP="009D28A7">
      <w:pPr>
        <w:pStyle w:val="TableFootnote"/>
        <w:numPr>
          <w:ilvl w:val="0"/>
          <w:numId w:val="40"/>
        </w:numPr>
        <w:rPr>
          <w:lang w:val="en-US"/>
        </w:rPr>
      </w:pPr>
      <w:r w:rsidRPr="00066BB0">
        <w:rPr>
          <w:lang w:val="en-US"/>
        </w:rPr>
        <w:t>Estimated with Cox proportional hazard model.</w:t>
      </w:r>
    </w:p>
    <w:p w14:paraId="6AF4E1A1" w14:textId="22F7F871" w:rsidR="00DC5E06" w:rsidRPr="00066BB0" w:rsidRDefault="00DC5E06" w:rsidP="009D28A7">
      <w:pPr>
        <w:pStyle w:val="TableFootnote"/>
        <w:numPr>
          <w:ilvl w:val="0"/>
          <w:numId w:val="40"/>
        </w:numPr>
        <w:rPr>
          <w:lang w:val="en-US"/>
        </w:rPr>
      </w:pPr>
      <w:r w:rsidRPr="00066BB0">
        <w:rPr>
          <w:lang w:val="en-US"/>
        </w:rPr>
        <w:t xml:space="preserve">Estimated using the Kaplan-Meier method; the 95% CI was constructed with a </w:t>
      </w:r>
      <w:proofErr w:type="spellStart"/>
      <w:r w:rsidRPr="00066BB0">
        <w:rPr>
          <w:lang w:val="en-US"/>
        </w:rPr>
        <w:t>generalised</w:t>
      </w:r>
      <w:proofErr w:type="spellEnd"/>
      <w:r w:rsidR="00935453">
        <w:rPr>
          <w:lang w:val="en-US"/>
        </w:rPr>
        <w:t xml:space="preserve"> </w:t>
      </w:r>
      <w:r w:rsidRPr="00066BB0">
        <w:rPr>
          <w:lang w:val="en-US"/>
        </w:rPr>
        <w:t>Brookmeyer and Crowley method in patients with a best overall response of complete response or partial response.</w:t>
      </w:r>
    </w:p>
    <w:p w14:paraId="4F80D17A" w14:textId="3927C85A" w:rsidR="00DC5E06" w:rsidRPr="00066BB0" w:rsidRDefault="00DC5E06" w:rsidP="009D28A7">
      <w:pPr>
        <w:pStyle w:val="TableFootnote"/>
        <w:numPr>
          <w:ilvl w:val="0"/>
          <w:numId w:val="40"/>
        </w:numPr>
        <w:rPr>
          <w:lang w:val="en-US"/>
        </w:rPr>
      </w:pPr>
      <w:r w:rsidRPr="00066BB0">
        <w:rPr>
          <w:lang w:val="en-US"/>
        </w:rPr>
        <w:t>Not adjusted for crossover effect.</w:t>
      </w:r>
    </w:p>
    <w:p w14:paraId="1BF1160E" w14:textId="77777777" w:rsidR="00DC5E06" w:rsidRDefault="00DC5E06" w:rsidP="00E879C8">
      <w:pPr>
        <w:pStyle w:val="BodyText"/>
        <w:rPr>
          <w:lang w:val="en-US"/>
        </w:rPr>
      </w:pPr>
    </w:p>
    <w:p w14:paraId="4689F46C" w14:textId="2FDC6BC7" w:rsidR="00505C3C" w:rsidRPr="00496CDF" w:rsidRDefault="00505C3C" w:rsidP="00505C3C">
      <w:pPr>
        <w:pStyle w:val="Caption"/>
      </w:pPr>
      <w:r>
        <w:t>Figure </w:t>
      </w:r>
      <w:r w:rsidR="002C196B">
        <w:rPr>
          <w:noProof/>
        </w:rPr>
        <w:fldChar w:fldCharType="begin"/>
      </w:r>
      <w:r w:rsidR="002C196B">
        <w:rPr>
          <w:noProof/>
        </w:rPr>
        <w:instrText xml:space="preserve"> SEQ Figure \* ARABIC </w:instrText>
      </w:r>
      <w:r w:rsidR="002C196B">
        <w:rPr>
          <w:noProof/>
        </w:rPr>
        <w:fldChar w:fldCharType="separate"/>
      </w:r>
      <w:r w:rsidR="0064223A">
        <w:rPr>
          <w:noProof/>
        </w:rPr>
        <w:t>1</w:t>
      </w:r>
      <w:r w:rsidR="002C196B">
        <w:rPr>
          <w:noProof/>
        </w:rPr>
        <w:fldChar w:fldCharType="end"/>
      </w:r>
      <w:r w:rsidRPr="00505C3C">
        <w:t xml:space="preserve"> </w:t>
      </w:r>
      <w:r w:rsidRPr="0070727E">
        <w:tab/>
      </w:r>
      <w:r w:rsidRPr="00C267D3">
        <w:t xml:space="preserve">Kaplan-Meier </w:t>
      </w:r>
      <w:proofErr w:type="spellStart"/>
      <w:r w:rsidR="00406B0D">
        <w:t>Curve</w:t>
      </w:r>
      <w:r w:rsidRPr="00C267D3">
        <w:t>of</w:t>
      </w:r>
      <w:proofErr w:type="spellEnd"/>
      <w:r w:rsidRPr="00C267D3">
        <w:t xml:space="preserve"> Progression-Free Survival</w:t>
      </w:r>
      <w:r>
        <w:t xml:space="preserve"> - DTC</w:t>
      </w:r>
    </w:p>
    <w:p w14:paraId="7C2FC701" w14:textId="77777777" w:rsidR="00DC5E06" w:rsidRPr="00BE78D8" w:rsidRDefault="00DC5E06" w:rsidP="00E879C8">
      <w:pPr>
        <w:pStyle w:val="BodyText"/>
        <w:rPr>
          <w:szCs w:val="24"/>
          <w:lang w:val="en-US"/>
        </w:rPr>
      </w:pPr>
      <w:r w:rsidRPr="00267D12">
        <w:rPr>
          <w:noProof/>
          <w:lang w:eastAsia="en-AU"/>
        </w:rPr>
        <w:drawing>
          <wp:inline distT="0" distB="0" distL="0" distR="0" wp14:anchorId="797EB0FC" wp14:editId="0C589BDA">
            <wp:extent cx="5890161" cy="3883231"/>
            <wp:effectExtent l="0" t="0" r="0" b="3175"/>
            <wp:docPr id="3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0161" cy="3883231"/>
                    </a:xfrm>
                    <a:prstGeom prst="rect">
                      <a:avLst/>
                    </a:prstGeom>
                    <a:noFill/>
                    <a:ln>
                      <a:noFill/>
                    </a:ln>
                    <a:effectLst/>
                    <a:extLst/>
                  </pic:spPr>
                </pic:pic>
              </a:graphicData>
            </a:graphic>
          </wp:inline>
        </w:drawing>
      </w:r>
    </w:p>
    <w:p w14:paraId="20A8941F" w14:textId="77777777" w:rsidR="00DC5E06" w:rsidRPr="00496CDF" w:rsidRDefault="00DC5E06" w:rsidP="00E879C8">
      <w:pPr>
        <w:pStyle w:val="Heading4"/>
      </w:pPr>
      <w:r w:rsidRPr="00496CDF">
        <w:t>Renal Cell Carcinoma</w:t>
      </w:r>
    </w:p>
    <w:p w14:paraId="7E47255A" w14:textId="2DBBB017" w:rsidR="00DC5E06" w:rsidRPr="00496CDF" w:rsidRDefault="00DC5E06" w:rsidP="00E879C8">
      <w:pPr>
        <w:pStyle w:val="BodyText"/>
      </w:pPr>
      <w:r w:rsidRPr="00496CDF">
        <w:t xml:space="preserve">A multicentre, randomised, open-label, trial </w:t>
      </w:r>
      <w:proofErr w:type="gramStart"/>
      <w:r w:rsidRPr="00496CDF">
        <w:t>was conducted</w:t>
      </w:r>
      <w:proofErr w:type="gramEnd"/>
      <w:r w:rsidRPr="00496CDF">
        <w:t xml:space="preserve"> to determine the safety and efficacy of LENVIMA administered alone or in combination with </w:t>
      </w:r>
      <w:proofErr w:type="spellStart"/>
      <w:r w:rsidRPr="00496CDF">
        <w:t>everolimus</w:t>
      </w:r>
      <w:proofErr w:type="spellEnd"/>
      <w:r w:rsidRPr="00496CDF">
        <w:t xml:space="preserve"> in subjects with </w:t>
      </w:r>
      <w:proofErr w:type="spellStart"/>
      <w:r w:rsidRPr="00496CDF">
        <w:t>unresectable</w:t>
      </w:r>
      <w:proofErr w:type="spellEnd"/>
      <w:r w:rsidRPr="00496CDF">
        <w:t xml:space="preserve"> advanced or metastatic Renal Cell Carcinoma (RCC). The study consisted of a Phase 1b dose finding and a Phase 2 portion. The Phase 1b portion included 11 patients who received the combination of 18 mg of LENVIMA plus 5 mg of </w:t>
      </w:r>
      <w:proofErr w:type="spellStart"/>
      <w:r w:rsidRPr="00496CDF">
        <w:t>everolimus</w:t>
      </w:r>
      <w:proofErr w:type="spellEnd"/>
      <w:r w:rsidRPr="00496CDF">
        <w:t xml:space="preserve">. The Phase 2 portion enrolled </w:t>
      </w:r>
      <w:proofErr w:type="gramStart"/>
      <w:r w:rsidRPr="00496CDF">
        <w:t>a total of 153</w:t>
      </w:r>
      <w:proofErr w:type="gramEnd"/>
      <w:r w:rsidRPr="00496CDF">
        <w:t xml:space="preserve"> patients with </w:t>
      </w:r>
      <w:proofErr w:type="spellStart"/>
      <w:r w:rsidRPr="00496CDF">
        <w:t>unresectable</w:t>
      </w:r>
      <w:proofErr w:type="spellEnd"/>
      <w:r w:rsidRPr="00496CDF">
        <w:t xml:space="preserve"> advanced or metastatic RCC, who had previously received 1 prior VEGF-targeted treatment, 1:1:1 to LENVIMA 18 mg plus </w:t>
      </w:r>
      <w:proofErr w:type="spellStart"/>
      <w:r w:rsidRPr="00496CDF">
        <w:t>everolimus</w:t>
      </w:r>
      <w:proofErr w:type="spellEnd"/>
      <w:r w:rsidRPr="00496CDF">
        <w:t xml:space="preserve"> 5 mg, LENVIMA 24 mg monotherapy, or </w:t>
      </w:r>
      <w:proofErr w:type="spellStart"/>
      <w:r w:rsidRPr="00496CDF">
        <w:t>everolimus</w:t>
      </w:r>
      <w:proofErr w:type="spellEnd"/>
      <w:r w:rsidRPr="00496CDF">
        <w:t xml:space="preserve"> 10 mg monotherapy. All medications </w:t>
      </w:r>
      <w:proofErr w:type="gramStart"/>
      <w:r w:rsidRPr="00496CDF">
        <w:t>were administered</w:t>
      </w:r>
      <w:proofErr w:type="gramEnd"/>
      <w:r w:rsidRPr="00496CDF">
        <w:t xml:space="preserve"> orally once daily. Patients were required to have histological confirmation of predominant clear cell RCC, and ECOG Performance Status of </w:t>
      </w:r>
      <w:proofErr w:type="gramStart"/>
      <w:r w:rsidRPr="00496CDF">
        <w:t>0</w:t>
      </w:r>
      <w:proofErr w:type="gramEnd"/>
      <w:r w:rsidRPr="00496CDF">
        <w:t xml:space="preserve"> or 1. Patients </w:t>
      </w:r>
      <w:proofErr w:type="gramStart"/>
      <w:r w:rsidRPr="00496CDF">
        <w:t>were stratified</w:t>
      </w:r>
      <w:proofErr w:type="gramEnd"/>
      <w:r w:rsidRPr="00496CDF">
        <w:t xml:space="preserve"> by haemoglobin level (</w:t>
      </w:r>
      <w:r w:rsidR="006540BC">
        <w:sym w:font="Symbol" w:char="F0A3"/>
      </w:r>
      <w:r w:rsidRPr="00496CDF">
        <w:t xml:space="preserve"> 13 g/</w:t>
      </w:r>
      <w:proofErr w:type="spellStart"/>
      <w:r w:rsidRPr="00496CDF">
        <w:t>dL</w:t>
      </w:r>
      <w:proofErr w:type="spellEnd"/>
      <w:r w:rsidRPr="00496CDF">
        <w:t xml:space="preserve"> vs. &gt; 13 g/</w:t>
      </w:r>
      <w:proofErr w:type="spellStart"/>
      <w:r w:rsidRPr="00496CDF">
        <w:t>dL</w:t>
      </w:r>
      <w:proofErr w:type="spellEnd"/>
      <w:r w:rsidRPr="00496CDF">
        <w:t xml:space="preserve"> for males and </w:t>
      </w:r>
      <w:r w:rsidR="006540BC">
        <w:lastRenderedPageBreak/>
        <w:sym w:font="Symbol" w:char="F0A3"/>
      </w:r>
      <w:r>
        <w:t> </w:t>
      </w:r>
      <w:r w:rsidRPr="00496CDF">
        <w:t>11.5</w:t>
      </w:r>
      <w:r>
        <w:t> </w:t>
      </w:r>
      <w:r w:rsidRPr="00496CDF">
        <w:t>g/</w:t>
      </w:r>
      <w:proofErr w:type="spellStart"/>
      <w:r w:rsidRPr="00496CDF">
        <w:t>dL</w:t>
      </w:r>
      <w:proofErr w:type="spellEnd"/>
      <w:r w:rsidRPr="00496CDF">
        <w:t xml:space="preserve"> vs &gt; 11.5 g/</w:t>
      </w:r>
      <w:proofErr w:type="spellStart"/>
      <w:r w:rsidRPr="00496CDF">
        <w:t>dL</w:t>
      </w:r>
      <w:proofErr w:type="spellEnd"/>
      <w:r w:rsidRPr="00496CDF">
        <w:t xml:space="preserve"> for females) and corrected serum calcium (</w:t>
      </w:r>
      <w:r w:rsidR="006540BC">
        <w:sym w:font="Symbol" w:char="F0B3"/>
      </w:r>
      <w:r w:rsidRPr="00496CDF">
        <w:t xml:space="preserve"> 10 mg/</w:t>
      </w:r>
      <w:proofErr w:type="spellStart"/>
      <w:r w:rsidRPr="00496CDF">
        <w:t>dL</w:t>
      </w:r>
      <w:proofErr w:type="spellEnd"/>
      <w:r w:rsidRPr="00496CDF">
        <w:t xml:space="preserve"> vs. &lt;</w:t>
      </w:r>
      <w:r>
        <w:t> </w:t>
      </w:r>
      <w:r w:rsidRPr="00496CDF">
        <w:t>10</w:t>
      </w:r>
      <w:r>
        <w:t> </w:t>
      </w:r>
      <w:r w:rsidR="002E57C2">
        <w:t>mg/</w:t>
      </w:r>
      <w:proofErr w:type="spellStart"/>
      <w:r w:rsidR="002E57C2">
        <w:t>dL</w:t>
      </w:r>
      <w:proofErr w:type="spellEnd"/>
      <w:r w:rsidR="002E57C2">
        <w:t>).</w:t>
      </w:r>
    </w:p>
    <w:p w14:paraId="278637C5" w14:textId="401C3724" w:rsidR="00DC5E06" w:rsidRPr="00496CDF" w:rsidRDefault="00DC5E06" w:rsidP="002E57C2">
      <w:pPr>
        <w:pStyle w:val="BodyText"/>
        <w:spacing w:before="120" w:after="120"/>
      </w:pPr>
      <w:r w:rsidRPr="00496CDF">
        <w:t xml:space="preserve">Of the 101 patients randomly allocated to the LENVIMA plus </w:t>
      </w:r>
      <w:proofErr w:type="spellStart"/>
      <w:r w:rsidRPr="00496CDF">
        <w:t>everolimus</w:t>
      </w:r>
      <w:proofErr w:type="spellEnd"/>
      <w:r w:rsidRPr="00496CDF">
        <w:t xml:space="preserve"> arm and </w:t>
      </w:r>
      <w:proofErr w:type="spellStart"/>
      <w:r w:rsidRPr="00496CDF">
        <w:t>everolimus</w:t>
      </w:r>
      <w:proofErr w:type="spellEnd"/>
      <w:r w:rsidRPr="00496CDF">
        <w:t xml:space="preserve"> monotherapy, 72% were male, the median age was 60 years, 31% were 65 years or older, and 96% were Caucasian. </w:t>
      </w:r>
      <w:r w:rsidRPr="00036583">
        <w:t xml:space="preserve">All patients </w:t>
      </w:r>
      <w:proofErr w:type="gramStart"/>
      <w:r w:rsidRPr="00036583">
        <w:t>were classified</w:t>
      </w:r>
      <w:proofErr w:type="gramEnd"/>
      <w:r w:rsidRPr="00036583">
        <w:t xml:space="preserve"> as having Stage IV RCC.</w:t>
      </w:r>
      <w:r w:rsidRPr="00496CDF">
        <w:t xml:space="preserve"> All patients had a baseline ECOG PS of either 0 (54%) or </w:t>
      </w:r>
      <w:proofErr w:type="gramStart"/>
      <w:r w:rsidRPr="00496CDF">
        <w:t>1</w:t>
      </w:r>
      <w:proofErr w:type="gramEnd"/>
      <w:r w:rsidRPr="00496CDF">
        <w:t xml:space="preserve"> (46%) with similar distribution across the 2 treatment arms. Memorial Sloan Kettering Cancer </w:t>
      </w:r>
      <w:proofErr w:type="spellStart"/>
      <w:r w:rsidRPr="00496CDF">
        <w:t>Center</w:t>
      </w:r>
      <w:proofErr w:type="spellEnd"/>
      <w:r w:rsidRPr="00496CDF">
        <w:t xml:space="preserve"> (MSKCC) favourable, </w:t>
      </w:r>
      <w:proofErr w:type="gramStart"/>
      <w:r w:rsidRPr="00496CDF">
        <w:t>intermediate,</w:t>
      </w:r>
      <w:proofErr w:type="gramEnd"/>
      <w:r w:rsidRPr="00496CDF">
        <w:t xml:space="preserve"> and poor risk categories were observed respectively, in 24%, 37%, and 39% of patients in the LENVIMA plus </w:t>
      </w:r>
      <w:proofErr w:type="spellStart"/>
      <w:r w:rsidRPr="00496CDF">
        <w:t>everolimus</w:t>
      </w:r>
      <w:proofErr w:type="spellEnd"/>
      <w:r w:rsidRPr="00496CDF">
        <w:t xml:space="preserve"> arm, and 24%, 38%, and 38% of p</w:t>
      </w:r>
      <w:r w:rsidR="002E57C2">
        <w:t xml:space="preserve">atients in the </w:t>
      </w:r>
      <w:proofErr w:type="spellStart"/>
      <w:r w:rsidR="002E57C2">
        <w:t>everolimus</w:t>
      </w:r>
      <w:proofErr w:type="spellEnd"/>
      <w:r w:rsidR="002E57C2">
        <w:t xml:space="preserve"> arm.</w:t>
      </w:r>
    </w:p>
    <w:p w14:paraId="6B99F952" w14:textId="7CEADB49" w:rsidR="00DC5E06" w:rsidRPr="00496CDF" w:rsidRDefault="00DC5E06" w:rsidP="002E57C2">
      <w:pPr>
        <w:pStyle w:val="BodyText"/>
        <w:spacing w:before="120" w:after="120"/>
      </w:pPr>
      <w:r w:rsidRPr="00496CDF">
        <w:t>The</w:t>
      </w:r>
      <w:r>
        <w:t xml:space="preserve"> primary</w:t>
      </w:r>
      <w:r w:rsidRPr="00496CDF">
        <w:t xml:space="preserve"> efficacy outcome measure was investigator assessed PFS evaluated according to RECIST 1.1.  Efficacy results are summari</w:t>
      </w:r>
      <w:r w:rsidR="00935453">
        <w:t>s</w:t>
      </w:r>
      <w:r w:rsidRPr="00496CDF">
        <w:t xml:space="preserve">ed in </w:t>
      </w:r>
      <w:r w:rsidR="00505C3C">
        <w:fldChar w:fldCharType="begin"/>
      </w:r>
      <w:r w:rsidR="00505C3C">
        <w:instrText xml:space="preserve"> REF _Ref503528418 \h </w:instrText>
      </w:r>
      <w:r w:rsidR="002E57C2">
        <w:instrText xml:space="preserve"> \* MERGEFORMAT </w:instrText>
      </w:r>
      <w:r w:rsidR="00505C3C">
        <w:fldChar w:fldCharType="separate"/>
      </w:r>
      <w:r w:rsidR="0064223A">
        <w:t>Table </w:t>
      </w:r>
      <w:r w:rsidR="0064223A">
        <w:rPr>
          <w:noProof/>
        </w:rPr>
        <w:t>12</w:t>
      </w:r>
      <w:r w:rsidR="00505C3C">
        <w:fldChar w:fldCharType="end"/>
      </w:r>
      <w:r w:rsidRPr="00496CDF">
        <w:t xml:space="preserve"> and </w:t>
      </w:r>
      <w:r w:rsidR="00505C3C">
        <w:fldChar w:fldCharType="begin"/>
      </w:r>
      <w:r w:rsidR="00505C3C">
        <w:instrText xml:space="preserve"> REF _Ref503528429 \h </w:instrText>
      </w:r>
      <w:r w:rsidR="002E57C2">
        <w:instrText xml:space="preserve"> \* MERGEFORMAT </w:instrText>
      </w:r>
      <w:r w:rsidR="00505C3C">
        <w:fldChar w:fldCharType="separate"/>
      </w:r>
      <w:r w:rsidR="0064223A">
        <w:t>Figure </w:t>
      </w:r>
      <w:r w:rsidR="0064223A">
        <w:rPr>
          <w:noProof/>
        </w:rPr>
        <w:t>2</w:t>
      </w:r>
      <w:r w:rsidR="00505C3C">
        <w:fldChar w:fldCharType="end"/>
      </w:r>
      <w:r w:rsidRPr="00496CDF">
        <w:t xml:space="preserve"> and </w:t>
      </w:r>
      <w:r w:rsidR="00505C3C">
        <w:fldChar w:fldCharType="begin"/>
      </w:r>
      <w:r w:rsidR="00505C3C">
        <w:instrText xml:space="preserve"> REF _Ref503528436 \h </w:instrText>
      </w:r>
      <w:r w:rsidR="002E57C2">
        <w:instrText xml:space="preserve"> \* MERGEFORMAT </w:instrText>
      </w:r>
      <w:r w:rsidR="00505C3C">
        <w:fldChar w:fldCharType="separate"/>
      </w:r>
      <w:r w:rsidR="0064223A" w:rsidRPr="00496CDF">
        <w:t>Figure </w:t>
      </w:r>
      <w:r w:rsidR="0064223A">
        <w:rPr>
          <w:noProof/>
        </w:rPr>
        <w:t>3</w:t>
      </w:r>
      <w:r w:rsidR="00505C3C">
        <w:fldChar w:fldCharType="end"/>
      </w:r>
      <w:r w:rsidRPr="00496CDF">
        <w:t xml:space="preserve">. The treatment effect of the combination on PFS was supported by a retrospective independent blinded review of radiographs with an observed </w:t>
      </w:r>
      <w:r w:rsidRPr="00214E83">
        <w:t xml:space="preserve">hazard ratio (HR) of 0.43 (95% CI: 0.24, 0.75) </w:t>
      </w:r>
      <w:r w:rsidRPr="00496CDF">
        <w:t>co</w:t>
      </w:r>
      <w:r w:rsidR="002E57C2">
        <w:t xml:space="preserve">mpared with the </w:t>
      </w:r>
      <w:proofErr w:type="spellStart"/>
      <w:r w:rsidR="002E57C2">
        <w:t>everolimus</w:t>
      </w:r>
      <w:proofErr w:type="spellEnd"/>
      <w:r w:rsidR="002E57C2">
        <w:t xml:space="preserve"> arm.</w:t>
      </w:r>
    </w:p>
    <w:p w14:paraId="4DA8A42D" w14:textId="64F97CD9" w:rsidR="00505C3C" w:rsidRDefault="00505C3C" w:rsidP="00505C3C">
      <w:pPr>
        <w:pStyle w:val="Caption"/>
      </w:pPr>
      <w:bookmarkStart w:id="15" w:name="_Ref503528418"/>
      <w:r>
        <w:t>Table </w:t>
      </w:r>
      <w:r w:rsidR="002C196B">
        <w:rPr>
          <w:noProof/>
        </w:rPr>
        <w:fldChar w:fldCharType="begin"/>
      </w:r>
      <w:r w:rsidR="002C196B">
        <w:rPr>
          <w:noProof/>
        </w:rPr>
        <w:instrText xml:space="preserve"> SEQ Table \* ARABIC </w:instrText>
      </w:r>
      <w:r w:rsidR="002C196B">
        <w:rPr>
          <w:noProof/>
        </w:rPr>
        <w:fldChar w:fldCharType="separate"/>
      </w:r>
      <w:r w:rsidR="0064223A">
        <w:rPr>
          <w:noProof/>
        </w:rPr>
        <w:t>12</w:t>
      </w:r>
      <w:r w:rsidR="002C196B">
        <w:rPr>
          <w:noProof/>
        </w:rPr>
        <w:fldChar w:fldCharType="end"/>
      </w:r>
      <w:bookmarkEnd w:id="15"/>
      <w:r w:rsidRPr="00496CDF">
        <w:tab/>
        <w:t>Efficacy results in renal cell carcinoma (investigator assessment)</w:t>
      </w:r>
    </w:p>
    <w:tbl>
      <w:tblPr>
        <w:tblW w:w="9356" w:type="dxa"/>
        <w:tblInd w:w="29" w:type="dxa"/>
        <w:tblBorders>
          <w:top w:val="single" w:sz="4" w:space="0" w:color="auto"/>
          <w:bottom w:val="single" w:sz="4" w:space="0" w:color="auto"/>
        </w:tblBorders>
        <w:tblLayout w:type="fixed"/>
        <w:tblCellMar>
          <w:left w:w="29" w:type="dxa"/>
          <w:right w:w="29" w:type="dxa"/>
        </w:tblCellMar>
        <w:tblLook w:val="0000" w:firstRow="0" w:lastRow="0" w:firstColumn="0" w:lastColumn="0" w:noHBand="0" w:noVBand="0"/>
      </w:tblPr>
      <w:tblGrid>
        <w:gridCol w:w="3690"/>
        <w:gridCol w:w="2790"/>
        <w:gridCol w:w="2876"/>
      </w:tblGrid>
      <w:tr w:rsidR="00DC5E06" w:rsidRPr="00496CDF" w14:paraId="520A05EF" w14:textId="77777777" w:rsidTr="00766F3B">
        <w:trPr>
          <w:tblHeader/>
        </w:trPr>
        <w:tc>
          <w:tcPr>
            <w:tcW w:w="3690" w:type="dxa"/>
            <w:tcBorders>
              <w:top w:val="single" w:sz="4" w:space="0" w:color="auto"/>
              <w:left w:val="single" w:sz="4" w:space="0" w:color="auto"/>
              <w:right w:val="single" w:sz="4" w:space="0" w:color="auto"/>
            </w:tcBorders>
            <w:shd w:val="clear" w:color="auto" w:fill="auto"/>
            <w:vAlign w:val="bottom"/>
          </w:tcPr>
          <w:p w14:paraId="4B94CCF9" w14:textId="77777777" w:rsidR="00DC5E06" w:rsidRPr="00496CDF" w:rsidRDefault="00DC5E06" w:rsidP="00C54A3F">
            <w:pPr>
              <w:pStyle w:val="TableHeading"/>
            </w:pPr>
          </w:p>
        </w:tc>
        <w:tc>
          <w:tcPr>
            <w:tcW w:w="2790" w:type="dxa"/>
            <w:tcBorders>
              <w:top w:val="single" w:sz="4" w:space="0" w:color="auto"/>
              <w:left w:val="single" w:sz="4" w:space="0" w:color="auto"/>
              <w:right w:val="single" w:sz="4" w:space="0" w:color="auto"/>
            </w:tcBorders>
          </w:tcPr>
          <w:p w14:paraId="26884A32" w14:textId="77777777" w:rsidR="00DC5E06" w:rsidRPr="00496CDF" w:rsidRDefault="00DC5E06" w:rsidP="00C54A3F">
            <w:pPr>
              <w:pStyle w:val="TableHeading"/>
            </w:pPr>
            <w:r w:rsidRPr="00496CDF">
              <w:t xml:space="preserve">LENVIMA 18 mg + </w:t>
            </w:r>
            <w:proofErr w:type="spellStart"/>
            <w:r w:rsidRPr="00496CDF">
              <w:t>Everolimus</w:t>
            </w:r>
            <w:proofErr w:type="spellEnd"/>
            <w:r w:rsidRPr="00496CDF">
              <w:t xml:space="preserve"> 5 mg</w:t>
            </w:r>
          </w:p>
          <w:p w14:paraId="55931C8E" w14:textId="77777777" w:rsidR="00DC5E06" w:rsidRPr="00496CDF" w:rsidRDefault="00DC5E06" w:rsidP="00C54A3F">
            <w:pPr>
              <w:pStyle w:val="TableHeading"/>
            </w:pPr>
            <w:r w:rsidRPr="00496CDF">
              <w:t>(N=51)</w:t>
            </w:r>
          </w:p>
        </w:tc>
        <w:tc>
          <w:tcPr>
            <w:tcW w:w="2876" w:type="dxa"/>
            <w:tcBorders>
              <w:top w:val="single" w:sz="4" w:space="0" w:color="auto"/>
              <w:left w:val="single" w:sz="4" w:space="0" w:color="auto"/>
              <w:right w:val="single" w:sz="4" w:space="0" w:color="auto"/>
            </w:tcBorders>
          </w:tcPr>
          <w:p w14:paraId="07BB5CDD" w14:textId="77777777" w:rsidR="00DC5E06" w:rsidRPr="00496CDF" w:rsidRDefault="00DC5E06" w:rsidP="00C54A3F">
            <w:pPr>
              <w:pStyle w:val="TableHeading"/>
            </w:pPr>
            <w:proofErr w:type="spellStart"/>
            <w:r w:rsidRPr="00496CDF">
              <w:t>Everolimus</w:t>
            </w:r>
            <w:proofErr w:type="spellEnd"/>
            <w:r w:rsidRPr="00496CDF">
              <w:t xml:space="preserve"> 10 mg</w:t>
            </w:r>
            <w:r w:rsidRPr="00496CDF">
              <w:br/>
            </w:r>
          </w:p>
          <w:p w14:paraId="39E645A1" w14:textId="77777777" w:rsidR="00DC5E06" w:rsidRPr="00496CDF" w:rsidRDefault="00DC5E06" w:rsidP="00C54A3F">
            <w:pPr>
              <w:pStyle w:val="TableHeading"/>
            </w:pPr>
            <w:r w:rsidRPr="00496CDF">
              <w:t>(N=50)</w:t>
            </w:r>
          </w:p>
        </w:tc>
      </w:tr>
      <w:tr w:rsidR="00DC5E06" w:rsidRPr="00496CDF" w14:paraId="3DF2ADB3" w14:textId="77777777" w:rsidTr="00766F3B">
        <w:trPr>
          <w:trHeight w:val="80"/>
        </w:trPr>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14:paraId="6592707F" w14:textId="77777777" w:rsidR="00DC5E06" w:rsidRPr="00496CDF" w:rsidRDefault="00DC5E06" w:rsidP="00C54A3F">
            <w:pPr>
              <w:pStyle w:val="TableHeading"/>
              <w:rPr>
                <w:vertAlign w:val="superscript"/>
                <w:lang w:eastAsia="ja-JP"/>
              </w:rPr>
            </w:pPr>
            <w:r w:rsidRPr="00496CDF">
              <w:rPr>
                <w:lang w:eastAsia="ja-JP"/>
              </w:rPr>
              <w:t>Progression-Free Survival (PFS)</w:t>
            </w:r>
            <w:r w:rsidRPr="00496CDF">
              <w:rPr>
                <w:vertAlign w:val="superscript"/>
                <w:lang w:eastAsia="ja-JP"/>
              </w:rPr>
              <w:t>ab</w:t>
            </w:r>
          </w:p>
        </w:tc>
      </w:tr>
      <w:tr w:rsidR="00DC5E06" w:rsidRPr="00496CDF" w14:paraId="0CD05855" w14:textId="77777777" w:rsidTr="00766F3B">
        <w:trPr>
          <w:trHeight w:val="8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21FE85A5" w14:textId="77777777" w:rsidR="00DC5E06" w:rsidRPr="00496CDF" w:rsidRDefault="00DC5E06" w:rsidP="00E879C8">
            <w:pPr>
              <w:pStyle w:val="TableText"/>
              <w:rPr>
                <w:lang w:eastAsia="ja-JP"/>
              </w:rPr>
            </w:pPr>
            <w:r w:rsidRPr="00496CDF">
              <w:rPr>
                <w:lang w:eastAsia="ja-JP"/>
              </w:rPr>
              <w:t>Number of events, n (%)</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C59C7B5" w14:textId="77777777" w:rsidR="00DC5E06" w:rsidRPr="00496CDF" w:rsidRDefault="00DC5E06" w:rsidP="00E879C8">
            <w:pPr>
              <w:pStyle w:val="TableCentre"/>
              <w:rPr>
                <w:lang w:eastAsia="ja-JP"/>
              </w:rPr>
            </w:pPr>
            <w:r w:rsidRPr="00496CDF">
              <w:rPr>
                <w:lang w:eastAsia="ja-JP"/>
              </w:rPr>
              <w:t>26 (51)</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5B4F5081" w14:textId="77777777" w:rsidR="00DC5E06" w:rsidRPr="00496CDF" w:rsidRDefault="00DC5E06" w:rsidP="00E879C8">
            <w:pPr>
              <w:pStyle w:val="TableCentre"/>
              <w:rPr>
                <w:lang w:eastAsia="ja-JP"/>
              </w:rPr>
            </w:pPr>
            <w:r w:rsidRPr="00496CDF">
              <w:rPr>
                <w:lang w:eastAsia="ja-JP"/>
              </w:rPr>
              <w:t>37 (74)</w:t>
            </w:r>
          </w:p>
        </w:tc>
      </w:tr>
      <w:tr w:rsidR="00DC5E06" w:rsidRPr="00496CDF" w14:paraId="4AF1A3D9" w14:textId="77777777" w:rsidTr="00766F3B">
        <w:trPr>
          <w:trHeight w:val="8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2FD964D6" w14:textId="77777777" w:rsidR="00DC5E06" w:rsidRPr="00496CDF" w:rsidRDefault="00DC5E06" w:rsidP="00E879C8">
            <w:pPr>
              <w:pStyle w:val="TableText"/>
              <w:rPr>
                <w:lang w:eastAsia="ja-JP"/>
              </w:rPr>
            </w:pPr>
            <w:r w:rsidRPr="00496CDF">
              <w:t xml:space="preserve">    Progressive disease</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1FE22CF" w14:textId="77777777" w:rsidR="00DC5E06" w:rsidRPr="00496CDF" w:rsidRDefault="00DC5E06" w:rsidP="00E879C8">
            <w:pPr>
              <w:pStyle w:val="TableCentre"/>
              <w:rPr>
                <w:lang w:eastAsia="ja-JP"/>
              </w:rPr>
            </w:pPr>
            <w:r w:rsidRPr="00496CDF">
              <w:rPr>
                <w:lang w:eastAsia="ja-JP"/>
              </w:rPr>
              <w:t>21 (41)</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4D8A3A76" w14:textId="77777777" w:rsidR="00DC5E06" w:rsidRPr="00496CDF" w:rsidRDefault="00DC5E06" w:rsidP="00E879C8">
            <w:pPr>
              <w:pStyle w:val="TableCentre"/>
              <w:rPr>
                <w:lang w:eastAsia="ja-JP"/>
              </w:rPr>
            </w:pPr>
            <w:r w:rsidRPr="00496CDF">
              <w:rPr>
                <w:lang w:eastAsia="ja-JP"/>
              </w:rPr>
              <w:t>35 (70)</w:t>
            </w:r>
          </w:p>
        </w:tc>
      </w:tr>
      <w:tr w:rsidR="00DC5E06" w:rsidRPr="00496CDF" w14:paraId="5699127C" w14:textId="77777777" w:rsidTr="00766F3B">
        <w:trPr>
          <w:trHeight w:val="8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332793A6" w14:textId="77777777" w:rsidR="00DC5E06" w:rsidRPr="00496CDF" w:rsidRDefault="00DC5E06" w:rsidP="00E879C8">
            <w:pPr>
              <w:pStyle w:val="TableText"/>
              <w:rPr>
                <w:lang w:eastAsia="ja-JP"/>
              </w:rPr>
            </w:pPr>
            <w:r w:rsidRPr="00496CDF">
              <w:t xml:space="preserve">    Death</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10581CA7" w14:textId="77777777" w:rsidR="00DC5E06" w:rsidRPr="00496CDF" w:rsidRDefault="00DC5E06" w:rsidP="00E879C8">
            <w:pPr>
              <w:pStyle w:val="TableCentre"/>
              <w:rPr>
                <w:lang w:eastAsia="ja-JP"/>
              </w:rPr>
            </w:pPr>
            <w:r w:rsidRPr="00496CDF">
              <w:rPr>
                <w:lang w:eastAsia="ja-JP"/>
              </w:rPr>
              <w:t>5 (10)</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1F4FE1E0" w14:textId="77777777" w:rsidR="00DC5E06" w:rsidRPr="00496CDF" w:rsidRDefault="00DC5E06" w:rsidP="00E879C8">
            <w:pPr>
              <w:pStyle w:val="TableCentre"/>
              <w:rPr>
                <w:lang w:eastAsia="ja-JP"/>
              </w:rPr>
            </w:pPr>
            <w:r w:rsidRPr="00496CDF">
              <w:rPr>
                <w:lang w:eastAsia="ja-JP"/>
              </w:rPr>
              <w:t>2 (4)</w:t>
            </w:r>
          </w:p>
        </w:tc>
      </w:tr>
      <w:tr w:rsidR="00DC5E06" w:rsidRPr="00496CDF" w14:paraId="3AB84B98" w14:textId="77777777" w:rsidTr="00766F3B">
        <w:trPr>
          <w:trHeight w:val="8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4966FD28" w14:textId="77777777" w:rsidR="00DC5E06" w:rsidRPr="00496CDF" w:rsidRDefault="00DC5E06" w:rsidP="00E879C8">
            <w:pPr>
              <w:pStyle w:val="TableText"/>
              <w:rPr>
                <w:lang w:eastAsia="ja-JP"/>
              </w:rPr>
            </w:pPr>
            <w:r w:rsidRPr="00496CDF">
              <w:rPr>
                <w:lang w:eastAsia="ja-JP"/>
              </w:rPr>
              <w:t>Median PFS in months (95% CI)</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F0AC6C5" w14:textId="77777777" w:rsidR="00DC5E06" w:rsidRPr="00496CDF" w:rsidRDefault="00DC5E06" w:rsidP="00E879C8">
            <w:pPr>
              <w:pStyle w:val="TableCentre"/>
              <w:rPr>
                <w:lang w:eastAsia="ja-JP"/>
              </w:rPr>
            </w:pPr>
            <w:r w:rsidRPr="00496CDF">
              <w:rPr>
                <w:lang w:eastAsia="ja-JP"/>
              </w:rPr>
              <w:t>14.6 (5.9, 20.1)</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2B7821E0" w14:textId="77777777" w:rsidR="00DC5E06" w:rsidRPr="00496CDF" w:rsidRDefault="00DC5E06" w:rsidP="00E879C8">
            <w:pPr>
              <w:pStyle w:val="TableCentre"/>
              <w:rPr>
                <w:lang w:eastAsia="ja-JP"/>
              </w:rPr>
            </w:pPr>
            <w:r w:rsidRPr="00496CDF">
              <w:rPr>
                <w:lang w:eastAsia="ja-JP"/>
              </w:rPr>
              <w:t>5.5 (3.5, 7.1)</w:t>
            </w:r>
          </w:p>
        </w:tc>
      </w:tr>
      <w:tr w:rsidR="00DC5E06" w:rsidRPr="00496CDF" w14:paraId="0C1E2A9E" w14:textId="77777777" w:rsidTr="00766F3B">
        <w:trPr>
          <w:trHeight w:val="8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4B38C90E" w14:textId="77777777" w:rsidR="00DC5E06" w:rsidRPr="00496CDF" w:rsidRDefault="00DC5E06" w:rsidP="00E879C8">
            <w:pPr>
              <w:pStyle w:val="TableText"/>
              <w:rPr>
                <w:vertAlign w:val="superscript"/>
                <w:lang w:eastAsia="ja-JP"/>
              </w:rPr>
            </w:pPr>
            <w:r w:rsidRPr="00496CDF">
              <w:rPr>
                <w:lang w:eastAsia="ja-JP"/>
              </w:rPr>
              <w:t>Hazard Ratio (95% CI)</w:t>
            </w:r>
            <w:r w:rsidRPr="00496CDF">
              <w:rPr>
                <w:vertAlign w:val="superscript"/>
                <w:lang w:eastAsia="ja-JP"/>
              </w:rPr>
              <w:t>c</w:t>
            </w:r>
          </w:p>
          <w:p w14:paraId="5C85F8D3" w14:textId="77777777" w:rsidR="00DC5E06" w:rsidRPr="00496CDF" w:rsidRDefault="00DC5E06" w:rsidP="00E879C8">
            <w:pPr>
              <w:pStyle w:val="TableText"/>
              <w:rPr>
                <w:vertAlign w:val="superscript"/>
                <w:lang w:eastAsia="ja-JP"/>
              </w:rPr>
            </w:pPr>
            <w:r w:rsidRPr="00496CDF">
              <w:rPr>
                <w:lang w:eastAsia="ja-JP"/>
              </w:rPr>
              <w:t xml:space="preserve">LENVIMA + </w:t>
            </w:r>
            <w:proofErr w:type="spellStart"/>
            <w:r w:rsidRPr="00496CDF">
              <w:rPr>
                <w:lang w:eastAsia="ja-JP"/>
              </w:rPr>
              <w:t>Everolimus</w:t>
            </w:r>
            <w:proofErr w:type="spellEnd"/>
            <w:r w:rsidRPr="00496CDF">
              <w:rPr>
                <w:lang w:eastAsia="ja-JP"/>
              </w:rPr>
              <w:t xml:space="preserve"> vs </w:t>
            </w:r>
            <w:proofErr w:type="spellStart"/>
            <w:r w:rsidRPr="00496CDF">
              <w:rPr>
                <w:lang w:eastAsia="ja-JP"/>
              </w:rPr>
              <w:t>Everolimus</w:t>
            </w:r>
            <w:proofErr w:type="spellEnd"/>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1AA78F38" w14:textId="77777777" w:rsidR="00DC5E06" w:rsidRPr="00496CDF" w:rsidRDefault="00DC5E06" w:rsidP="00E879C8">
            <w:pPr>
              <w:pStyle w:val="TableCentre"/>
              <w:rPr>
                <w:lang w:eastAsia="ja-JP"/>
              </w:rPr>
            </w:pPr>
            <w:r w:rsidRPr="00496CDF">
              <w:rPr>
                <w:lang w:eastAsia="ja-JP"/>
              </w:rPr>
              <w:t xml:space="preserve">0.37 (0.22, 0.62) </w:t>
            </w:r>
          </w:p>
          <w:p w14:paraId="292E25A5" w14:textId="77777777" w:rsidR="00DC5E06" w:rsidRPr="00496CDF" w:rsidRDefault="00DC5E06" w:rsidP="00E879C8">
            <w:pPr>
              <w:pStyle w:val="TableCentre"/>
              <w:rPr>
                <w:lang w:eastAsia="ja-JP"/>
              </w:rPr>
            </w:pP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6A66FDA9" w14:textId="77777777" w:rsidR="00DC5E06" w:rsidRPr="00496CDF" w:rsidRDefault="00DC5E06" w:rsidP="00E879C8">
            <w:pPr>
              <w:pStyle w:val="TableCentre"/>
              <w:rPr>
                <w:lang w:eastAsia="ja-JP"/>
              </w:rPr>
            </w:pPr>
            <w:r w:rsidRPr="00496CDF">
              <w:rPr>
                <w:lang w:eastAsia="ja-JP"/>
              </w:rPr>
              <w:t>-</w:t>
            </w:r>
          </w:p>
        </w:tc>
      </w:tr>
      <w:tr w:rsidR="00DC5E06" w:rsidRPr="00496CDF" w14:paraId="7D72D03D" w14:textId="77777777" w:rsidTr="00766F3B">
        <w:trPr>
          <w:trHeight w:val="80"/>
        </w:trPr>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14:paraId="7C55AA4A" w14:textId="77777777" w:rsidR="00DC5E06" w:rsidRPr="00496CDF" w:rsidRDefault="00DC5E06" w:rsidP="00C54A3F">
            <w:pPr>
              <w:pStyle w:val="TableHeading"/>
              <w:rPr>
                <w:vertAlign w:val="superscript"/>
              </w:rPr>
            </w:pPr>
            <w:r w:rsidRPr="00496CDF">
              <w:t xml:space="preserve">Overall </w:t>
            </w:r>
            <w:proofErr w:type="spellStart"/>
            <w:r w:rsidRPr="00496CDF">
              <w:t>Survival</w:t>
            </w:r>
            <w:r w:rsidRPr="00496CDF">
              <w:rPr>
                <w:vertAlign w:val="superscript"/>
              </w:rPr>
              <w:t>d</w:t>
            </w:r>
            <w:proofErr w:type="spellEnd"/>
          </w:p>
        </w:tc>
      </w:tr>
      <w:tr w:rsidR="00DC5E06" w:rsidRPr="00496CDF" w14:paraId="619ED835" w14:textId="77777777" w:rsidTr="00766F3B">
        <w:trPr>
          <w:trHeight w:val="8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38ABC200" w14:textId="77777777" w:rsidR="00DC5E06" w:rsidRPr="00496CDF" w:rsidRDefault="00DC5E06" w:rsidP="00E879C8">
            <w:pPr>
              <w:pStyle w:val="TableText"/>
              <w:rPr>
                <w:lang w:eastAsia="ja-JP"/>
              </w:rPr>
            </w:pPr>
            <w:r w:rsidRPr="00496CDF">
              <w:rPr>
                <w:lang w:eastAsia="ja-JP"/>
              </w:rPr>
              <w:t>Number of deaths, n (%)</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03E4DFF" w14:textId="77777777" w:rsidR="00DC5E06" w:rsidRPr="00496CDF" w:rsidRDefault="00DC5E06" w:rsidP="00E879C8">
            <w:pPr>
              <w:pStyle w:val="TableCentre"/>
              <w:rPr>
                <w:rFonts w:eastAsiaTheme="minorEastAsia"/>
                <w:lang w:eastAsia="ja-JP"/>
              </w:rPr>
            </w:pPr>
            <w:r w:rsidRPr="00496CDF">
              <w:rPr>
                <w:lang w:eastAsia="ja-JP"/>
              </w:rPr>
              <w:t>32 (63)</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6142FADD" w14:textId="77777777" w:rsidR="00DC5E06" w:rsidRPr="00496CDF" w:rsidRDefault="00DC5E06" w:rsidP="00E879C8">
            <w:pPr>
              <w:pStyle w:val="TableCentre"/>
              <w:rPr>
                <w:rFonts w:eastAsiaTheme="minorEastAsia"/>
                <w:lang w:eastAsia="ja-JP"/>
              </w:rPr>
            </w:pPr>
            <w:r w:rsidRPr="00496CDF">
              <w:rPr>
                <w:lang w:eastAsia="ja-JP"/>
              </w:rPr>
              <w:t>37 (74)</w:t>
            </w:r>
          </w:p>
        </w:tc>
      </w:tr>
      <w:tr w:rsidR="00DC5E06" w:rsidRPr="00496CDF" w14:paraId="68685C31" w14:textId="77777777" w:rsidTr="00766F3B">
        <w:trPr>
          <w:trHeight w:val="8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25D966FC" w14:textId="77777777" w:rsidR="00DC5E06" w:rsidRPr="00496CDF" w:rsidRDefault="00DC5E06" w:rsidP="00E879C8">
            <w:pPr>
              <w:pStyle w:val="TableText"/>
              <w:rPr>
                <w:b/>
                <w:lang w:eastAsia="ja-JP"/>
              </w:rPr>
            </w:pPr>
            <w:r w:rsidRPr="00496CDF">
              <w:rPr>
                <w:lang w:eastAsia="ja-JP"/>
              </w:rPr>
              <w:t>Median OS in months (95% CI)</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050A372" w14:textId="77777777" w:rsidR="00DC5E06" w:rsidRPr="00496CDF" w:rsidRDefault="00DC5E06" w:rsidP="00E879C8">
            <w:pPr>
              <w:pStyle w:val="TableCentre"/>
              <w:rPr>
                <w:rFonts w:eastAsiaTheme="minorEastAsia"/>
                <w:lang w:eastAsia="ja-JP"/>
              </w:rPr>
            </w:pPr>
            <w:r w:rsidRPr="00496CDF">
              <w:rPr>
                <w:lang w:eastAsia="ja-JP"/>
              </w:rPr>
              <w:t>25.5 (16.4, 32.1)</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509B1458" w14:textId="77777777" w:rsidR="00DC5E06" w:rsidRPr="00496CDF" w:rsidRDefault="00DC5E06" w:rsidP="00E879C8">
            <w:pPr>
              <w:pStyle w:val="TableCentre"/>
              <w:rPr>
                <w:rFonts w:eastAsiaTheme="minorEastAsia"/>
                <w:lang w:eastAsia="ja-JP"/>
              </w:rPr>
            </w:pPr>
            <w:r w:rsidRPr="00496CDF">
              <w:rPr>
                <w:lang w:eastAsia="ja-JP"/>
              </w:rPr>
              <w:t>15.4 (11.8, 20.6)</w:t>
            </w:r>
          </w:p>
        </w:tc>
      </w:tr>
      <w:tr w:rsidR="00DC5E06" w:rsidRPr="00496CDF" w14:paraId="4D55EF1E" w14:textId="77777777" w:rsidTr="00766F3B">
        <w:trPr>
          <w:trHeight w:val="8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06A5B70B" w14:textId="77777777" w:rsidR="00DC5E06" w:rsidRPr="00496CDF" w:rsidRDefault="00DC5E06" w:rsidP="00E879C8">
            <w:pPr>
              <w:pStyle w:val="TableText"/>
              <w:rPr>
                <w:vertAlign w:val="superscript"/>
                <w:lang w:eastAsia="ja-JP"/>
              </w:rPr>
            </w:pPr>
            <w:r w:rsidRPr="00496CDF">
              <w:rPr>
                <w:lang w:eastAsia="ja-JP"/>
              </w:rPr>
              <w:t>Hazard Ratio (95% CI)</w:t>
            </w:r>
            <w:r w:rsidRPr="00496CDF">
              <w:rPr>
                <w:vertAlign w:val="superscript"/>
                <w:lang w:eastAsia="ja-JP"/>
              </w:rPr>
              <w:t>c</w:t>
            </w:r>
          </w:p>
          <w:p w14:paraId="1E6BE269" w14:textId="77777777" w:rsidR="00DC5E06" w:rsidRPr="00496CDF" w:rsidRDefault="00DC5E06" w:rsidP="00E879C8">
            <w:pPr>
              <w:pStyle w:val="TableText"/>
              <w:rPr>
                <w:lang w:eastAsia="ja-JP"/>
              </w:rPr>
            </w:pPr>
            <w:r w:rsidRPr="00496CDF">
              <w:rPr>
                <w:lang w:eastAsia="ja-JP"/>
              </w:rPr>
              <w:t xml:space="preserve">LENVIMA + </w:t>
            </w:r>
            <w:proofErr w:type="spellStart"/>
            <w:r w:rsidRPr="00496CDF">
              <w:rPr>
                <w:lang w:eastAsia="ja-JP"/>
              </w:rPr>
              <w:t>Everolimus</w:t>
            </w:r>
            <w:proofErr w:type="spellEnd"/>
            <w:r w:rsidRPr="00496CDF">
              <w:rPr>
                <w:lang w:eastAsia="ja-JP"/>
              </w:rPr>
              <w:t xml:space="preserve"> vs </w:t>
            </w:r>
            <w:proofErr w:type="spellStart"/>
            <w:r w:rsidRPr="00496CDF">
              <w:rPr>
                <w:lang w:eastAsia="ja-JP"/>
              </w:rPr>
              <w:t>Everolimus</w:t>
            </w:r>
            <w:proofErr w:type="spellEnd"/>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BD99F93" w14:textId="77777777" w:rsidR="00DC5E06" w:rsidRPr="00496CDF" w:rsidRDefault="00DC5E06" w:rsidP="00E879C8">
            <w:pPr>
              <w:pStyle w:val="TableCentre"/>
              <w:rPr>
                <w:rFonts w:eastAsiaTheme="minorEastAsia"/>
                <w:lang w:eastAsia="ja-JP"/>
              </w:rPr>
            </w:pPr>
            <w:r w:rsidRPr="00496CDF">
              <w:rPr>
                <w:rFonts w:eastAsiaTheme="minorEastAsia"/>
                <w:lang w:eastAsia="ja-JP"/>
              </w:rPr>
              <w:t>0.</w:t>
            </w:r>
            <w:r>
              <w:rPr>
                <w:rFonts w:eastAsiaTheme="minorEastAsia"/>
                <w:lang w:eastAsia="ja-JP"/>
              </w:rPr>
              <w:t>59</w:t>
            </w:r>
            <w:r w:rsidRPr="00496CDF">
              <w:rPr>
                <w:rFonts w:eastAsiaTheme="minorEastAsia"/>
                <w:lang w:eastAsia="ja-JP"/>
              </w:rPr>
              <w:t xml:space="preserve"> (0.</w:t>
            </w:r>
            <w:r>
              <w:rPr>
                <w:rFonts w:eastAsiaTheme="minorEastAsia"/>
                <w:lang w:eastAsia="ja-JP"/>
              </w:rPr>
              <w:t>36</w:t>
            </w:r>
            <w:r w:rsidRPr="00496CDF">
              <w:rPr>
                <w:rFonts w:eastAsiaTheme="minorEastAsia"/>
                <w:lang w:eastAsia="ja-JP"/>
              </w:rPr>
              <w:t xml:space="preserve">, </w:t>
            </w:r>
            <w:r>
              <w:rPr>
                <w:rFonts w:eastAsiaTheme="minorEastAsia"/>
                <w:lang w:eastAsia="ja-JP"/>
              </w:rPr>
              <w:t>0.97</w:t>
            </w:r>
            <w:r w:rsidRPr="00496CDF">
              <w:rPr>
                <w:rFonts w:eastAsiaTheme="minorEastAsia"/>
                <w:lang w:eastAsia="ja-JP"/>
              </w:rPr>
              <w:t>)</w:t>
            </w:r>
          </w:p>
          <w:p w14:paraId="56CBA48A" w14:textId="77777777" w:rsidR="00DC5E06" w:rsidRPr="00496CDF" w:rsidRDefault="00DC5E06" w:rsidP="00E879C8">
            <w:pPr>
              <w:pStyle w:val="TableCentre"/>
              <w:rPr>
                <w:rFonts w:eastAsiaTheme="minorEastAsia"/>
                <w:lang w:eastAsia="ja-JP"/>
              </w:rPr>
            </w:pP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5D742FAD" w14:textId="77777777" w:rsidR="00DC5E06" w:rsidRPr="00496CDF" w:rsidRDefault="00DC5E06" w:rsidP="00E879C8">
            <w:pPr>
              <w:pStyle w:val="TableCentre"/>
              <w:rPr>
                <w:rFonts w:eastAsiaTheme="minorEastAsia"/>
                <w:lang w:eastAsia="ja-JP"/>
              </w:rPr>
            </w:pPr>
            <w:r w:rsidRPr="00496CDF">
              <w:rPr>
                <w:rFonts w:eastAsiaTheme="minorEastAsia"/>
                <w:lang w:eastAsia="ja-JP"/>
              </w:rPr>
              <w:t>-</w:t>
            </w:r>
          </w:p>
        </w:tc>
      </w:tr>
      <w:tr w:rsidR="00DC5E06" w:rsidRPr="00496CDF" w14:paraId="7CEDB4CA" w14:textId="77777777" w:rsidTr="00766F3B">
        <w:trPr>
          <w:trHeight w:val="80"/>
        </w:trPr>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14:paraId="74C3219F" w14:textId="77777777" w:rsidR="00DC5E06" w:rsidRPr="00496CDF" w:rsidRDefault="00DC5E06" w:rsidP="00C54A3F">
            <w:pPr>
              <w:pStyle w:val="TableHeading"/>
            </w:pPr>
            <w:r w:rsidRPr="00496CDF">
              <w:rPr>
                <w:lang w:eastAsia="ja-JP"/>
              </w:rPr>
              <w:t>Objective Response Rate (Confirmed)</w:t>
            </w:r>
            <w:r w:rsidRPr="00496CDF">
              <w:rPr>
                <w:vertAlign w:val="superscript"/>
                <w:lang w:eastAsia="ja-JP"/>
              </w:rPr>
              <w:t>b</w:t>
            </w:r>
          </w:p>
        </w:tc>
      </w:tr>
      <w:tr w:rsidR="00DC5E06" w:rsidRPr="00496CDF" w:rsidDel="00053164" w14:paraId="4545B0B4" w14:textId="77777777" w:rsidTr="00766F3B">
        <w:trPr>
          <w:trHeight w:val="8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463D961B" w14:textId="77777777" w:rsidR="00DC5E06" w:rsidRPr="00496CDF" w:rsidDel="00053164" w:rsidRDefault="00DC5E06" w:rsidP="00E879C8">
            <w:pPr>
              <w:pStyle w:val="TableText"/>
              <w:rPr>
                <w:lang w:eastAsia="ja-JP"/>
              </w:rPr>
            </w:pPr>
            <w:r w:rsidRPr="00496CDF">
              <w:rPr>
                <w:lang w:eastAsia="ja-JP"/>
              </w:rPr>
              <w:t>Objective response rate, n (%)</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3B452DD" w14:textId="77777777" w:rsidR="00DC5E06" w:rsidRPr="00496CDF" w:rsidDel="00053164" w:rsidRDefault="00DC5E06" w:rsidP="00E879C8">
            <w:pPr>
              <w:pStyle w:val="TableCentre"/>
              <w:rPr>
                <w:lang w:eastAsia="ja-JP"/>
              </w:rPr>
            </w:pPr>
            <w:r w:rsidRPr="00496CDF">
              <w:rPr>
                <w:lang w:eastAsia="ja-JP"/>
              </w:rPr>
              <w:t>19 (37)</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77DBC5F1" w14:textId="77777777" w:rsidR="00DC5E06" w:rsidRPr="00496CDF" w:rsidDel="00053164" w:rsidRDefault="00DC5E06" w:rsidP="00E879C8">
            <w:pPr>
              <w:pStyle w:val="TableCentre"/>
              <w:rPr>
                <w:lang w:eastAsia="ja-JP"/>
              </w:rPr>
            </w:pPr>
            <w:r w:rsidRPr="00496CDF">
              <w:rPr>
                <w:lang w:eastAsia="ja-JP"/>
              </w:rPr>
              <w:t xml:space="preserve">3 (6) </w:t>
            </w:r>
          </w:p>
        </w:tc>
      </w:tr>
      <w:tr w:rsidR="00DC5E06" w:rsidRPr="00496CDF" w:rsidDel="00053164" w14:paraId="37C9D110" w14:textId="77777777" w:rsidTr="00766F3B">
        <w:trPr>
          <w:trHeight w:val="8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1D98B080" w14:textId="77777777" w:rsidR="00DC5E06" w:rsidRPr="00496CDF" w:rsidRDefault="00DC5E06" w:rsidP="00E879C8">
            <w:pPr>
              <w:pStyle w:val="TableText"/>
              <w:rPr>
                <w:lang w:eastAsia="ja-JP"/>
              </w:rPr>
            </w:pPr>
            <w:r w:rsidRPr="00496CDF">
              <w:rPr>
                <w:lang w:eastAsia="ja-JP"/>
              </w:rPr>
              <w:t>(95% CI)</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5B7E071" w14:textId="77777777" w:rsidR="00DC5E06" w:rsidRPr="00496CDF" w:rsidDel="00053164" w:rsidRDefault="00DC5E06" w:rsidP="00E879C8">
            <w:pPr>
              <w:pStyle w:val="TableCentre"/>
              <w:rPr>
                <w:lang w:eastAsia="ja-JP"/>
              </w:rPr>
            </w:pPr>
            <w:r w:rsidRPr="00496CDF">
              <w:rPr>
                <w:lang w:eastAsia="ja-JP"/>
              </w:rPr>
              <w:t>(24, 52)</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7A29FC87" w14:textId="77777777" w:rsidR="00DC5E06" w:rsidRPr="00496CDF" w:rsidDel="00053164" w:rsidRDefault="00DC5E06" w:rsidP="00E879C8">
            <w:pPr>
              <w:pStyle w:val="TableCentre"/>
              <w:rPr>
                <w:lang w:eastAsia="ja-JP"/>
              </w:rPr>
            </w:pPr>
            <w:r w:rsidRPr="00496CDF">
              <w:rPr>
                <w:lang w:eastAsia="ja-JP"/>
              </w:rPr>
              <w:t>(1, 17)</w:t>
            </w:r>
          </w:p>
        </w:tc>
      </w:tr>
      <w:tr w:rsidR="00DC5E06" w:rsidRPr="00496CDF" w14:paraId="2EE8878C" w14:textId="77777777" w:rsidTr="00766F3B">
        <w:trPr>
          <w:trHeight w:val="8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54661C9E" w14:textId="77777777" w:rsidR="00DC5E06" w:rsidRPr="00496CDF" w:rsidRDefault="00DC5E06" w:rsidP="00E879C8">
            <w:pPr>
              <w:pStyle w:val="TableText"/>
              <w:rPr>
                <w:lang w:eastAsia="ja-JP"/>
              </w:rPr>
            </w:pPr>
            <w:r w:rsidRPr="00496CDF">
              <w:rPr>
                <w:lang w:eastAsia="ja-JP"/>
              </w:rPr>
              <w:t>Number of complete responses, n (%)</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C64B003" w14:textId="77777777" w:rsidR="00DC5E06" w:rsidRPr="00496CDF" w:rsidRDefault="00DC5E06" w:rsidP="00E879C8">
            <w:pPr>
              <w:pStyle w:val="TableCentre"/>
              <w:rPr>
                <w:lang w:eastAsia="ja-JP"/>
              </w:rPr>
            </w:pPr>
            <w:r w:rsidRPr="00496CDF">
              <w:rPr>
                <w:lang w:eastAsia="ja-JP"/>
              </w:rPr>
              <w:t>1 (2)</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6DC16264" w14:textId="77777777" w:rsidR="00DC5E06" w:rsidRPr="00496CDF" w:rsidRDefault="00DC5E06" w:rsidP="00E879C8">
            <w:pPr>
              <w:pStyle w:val="TableCentre"/>
              <w:rPr>
                <w:lang w:eastAsia="ja-JP"/>
              </w:rPr>
            </w:pPr>
            <w:r w:rsidRPr="00496CDF">
              <w:rPr>
                <w:lang w:eastAsia="ja-JP"/>
              </w:rPr>
              <w:t>0</w:t>
            </w:r>
          </w:p>
        </w:tc>
      </w:tr>
      <w:tr w:rsidR="00DC5E06" w:rsidRPr="00496CDF" w14:paraId="2B6BFA22" w14:textId="77777777" w:rsidTr="00766F3B">
        <w:trPr>
          <w:trHeight w:val="8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29A4CB05" w14:textId="77777777" w:rsidR="00DC5E06" w:rsidRPr="00496CDF" w:rsidRDefault="00DC5E06" w:rsidP="00E879C8">
            <w:pPr>
              <w:pStyle w:val="TableText"/>
              <w:rPr>
                <w:lang w:eastAsia="ja-JP"/>
              </w:rPr>
            </w:pPr>
            <w:r w:rsidRPr="00496CDF">
              <w:rPr>
                <w:lang w:eastAsia="ja-JP"/>
              </w:rPr>
              <w:t>Number of partial responses (%)</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20D4B65" w14:textId="77777777" w:rsidR="00DC5E06" w:rsidRPr="00496CDF" w:rsidRDefault="00DC5E06" w:rsidP="00E879C8">
            <w:pPr>
              <w:pStyle w:val="TableCentre"/>
              <w:rPr>
                <w:lang w:eastAsia="ja-JP"/>
              </w:rPr>
            </w:pPr>
            <w:r w:rsidRPr="00496CDF">
              <w:rPr>
                <w:lang w:eastAsia="ja-JP"/>
              </w:rPr>
              <w:t>18 (35)</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43122D98" w14:textId="77777777" w:rsidR="00DC5E06" w:rsidRPr="00496CDF" w:rsidRDefault="00DC5E06" w:rsidP="00E879C8">
            <w:pPr>
              <w:pStyle w:val="TableCentre"/>
              <w:rPr>
                <w:lang w:eastAsia="ja-JP"/>
              </w:rPr>
            </w:pPr>
            <w:r w:rsidRPr="00496CDF">
              <w:rPr>
                <w:lang w:eastAsia="ja-JP"/>
              </w:rPr>
              <w:t>3 (6)</w:t>
            </w:r>
          </w:p>
        </w:tc>
      </w:tr>
      <w:tr w:rsidR="00DC5E06" w:rsidRPr="00496CDF" w14:paraId="78D24EC2" w14:textId="77777777" w:rsidTr="00DC5E06">
        <w:trPr>
          <w:trHeight w:val="1072"/>
        </w:trPr>
        <w:tc>
          <w:tcPr>
            <w:tcW w:w="9356" w:type="dxa"/>
            <w:gridSpan w:val="3"/>
            <w:tcBorders>
              <w:top w:val="single" w:sz="4" w:space="0" w:color="auto"/>
              <w:left w:val="nil"/>
              <w:bottom w:val="nil"/>
              <w:right w:val="nil"/>
            </w:tcBorders>
            <w:shd w:val="clear" w:color="auto" w:fill="auto"/>
          </w:tcPr>
          <w:p w14:paraId="6867C2FD" w14:textId="7B2F8234" w:rsidR="00DC5E06" w:rsidRPr="00496CDF" w:rsidRDefault="00DC5E06" w:rsidP="00E879C8">
            <w:pPr>
              <w:pStyle w:val="TableFootnote"/>
            </w:pPr>
            <w:r w:rsidRPr="00496CDF">
              <w:t xml:space="preserve">Tumour assessments </w:t>
            </w:r>
            <w:proofErr w:type="gramStart"/>
            <w:r w:rsidRPr="00496CDF">
              <w:t>were based</w:t>
            </w:r>
            <w:proofErr w:type="gramEnd"/>
            <w:r w:rsidRPr="00496CDF">
              <w:t xml:space="preserve"> on RECIST v1.1 criteria for progression but only confirmed r</w:t>
            </w:r>
            <w:r w:rsidR="006540BC">
              <w:t>esponses are included for ORR.</w:t>
            </w:r>
          </w:p>
          <w:p w14:paraId="6FB05F8A" w14:textId="77777777" w:rsidR="00DC5E06" w:rsidRPr="00496CDF" w:rsidRDefault="00DC5E06" w:rsidP="00E879C8">
            <w:pPr>
              <w:pStyle w:val="TableFootnote"/>
            </w:pPr>
            <w:r w:rsidRPr="00496CDF">
              <w:t>CI = confidence interval</w:t>
            </w:r>
          </w:p>
          <w:p w14:paraId="5C4E2618" w14:textId="77777777" w:rsidR="00DC5E06" w:rsidRPr="00496CDF" w:rsidRDefault="00DC5E06" w:rsidP="00E13432">
            <w:pPr>
              <w:pStyle w:val="TableFootnote-list"/>
              <w:numPr>
                <w:ilvl w:val="0"/>
                <w:numId w:val="34"/>
              </w:numPr>
            </w:pPr>
            <w:r w:rsidRPr="00496CDF">
              <w:t xml:space="preserve">Point estimates </w:t>
            </w:r>
            <w:proofErr w:type="gramStart"/>
            <w:r w:rsidRPr="00496CDF">
              <w:t>are based</w:t>
            </w:r>
            <w:proofErr w:type="gramEnd"/>
            <w:r w:rsidRPr="00496CDF">
              <w:t xml:space="preserve"> on Kaplan-Meier method and 95% CIs are based on the Greenwood formula using log-log transformation.</w:t>
            </w:r>
          </w:p>
          <w:p w14:paraId="3D185563" w14:textId="77777777" w:rsidR="00DC5E06" w:rsidRPr="00496CDF" w:rsidRDefault="00DC5E06" w:rsidP="009868CF">
            <w:pPr>
              <w:pStyle w:val="TableFootnote-list"/>
            </w:pPr>
            <w:r w:rsidRPr="00496CDF">
              <w:t>Data cutoff date = 13 Jun 2014</w:t>
            </w:r>
          </w:p>
          <w:p w14:paraId="69909BAB" w14:textId="23D2692D" w:rsidR="00DC5E06" w:rsidRPr="00496CDF" w:rsidRDefault="00DC5E06" w:rsidP="009868CF">
            <w:pPr>
              <w:pStyle w:val="TableFootnote-list"/>
            </w:pPr>
            <w:r w:rsidRPr="00496CDF">
              <w:t xml:space="preserve">Hazard ratio </w:t>
            </w:r>
            <w:proofErr w:type="gramStart"/>
            <w:r w:rsidRPr="00496CDF">
              <w:t>is based</w:t>
            </w:r>
            <w:proofErr w:type="gramEnd"/>
            <w:r w:rsidRPr="00496CDF">
              <w:t xml:space="preserve"> on a stratified Cox regression model including treatment as a covariate factor and </w:t>
            </w:r>
            <w:proofErr w:type="spellStart"/>
            <w:r w:rsidRPr="00496CDF">
              <w:t>haemoglobin</w:t>
            </w:r>
            <w:proofErr w:type="spellEnd"/>
            <w:r w:rsidRPr="00496CDF">
              <w:t xml:space="preserve"> and corr</w:t>
            </w:r>
            <w:r w:rsidR="006540BC">
              <w:t>ected serum calcium as strata.</w:t>
            </w:r>
          </w:p>
          <w:p w14:paraId="6BB0CDC1" w14:textId="77777777" w:rsidR="00DC5E06" w:rsidRPr="00496CDF" w:rsidRDefault="00DC5E06" w:rsidP="009868CF">
            <w:pPr>
              <w:pStyle w:val="TableFootnote-list"/>
              <w:rPr>
                <w:szCs w:val="24"/>
              </w:rPr>
            </w:pPr>
            <w:r w:rsidRPr="00496CDF">
              <w:t>Data cutoff date = 31 Jul 2015</w:t>
            </w:r>
          </w:p>
        </w:tc>
      </w:tr>
    </w:tbl>
    <w:p w14:paraId="37246D07" w14:textId="77777777" w:rsidR="00DC5E06" w:rsidRPr="00496CDF" w:rsidRDefault="00DC5E06" w:rsidP="00E879C8">
      <w:pPr>
        <w:pStyle w:val="BodyText"/>
      </w:pPr>
    </w:p>
    <w:p w14:paraId="5439F126" w14:textId="5DDDB966" w:rsidR="00505C3C" w:rsidRDefault="00505C3C" w:rsidP="00505C3C">
      <w:pPr>
        <w:pStyle w:val="Caption"/>
      </w:pPr>
      <w:bookmarkStart w:id="16" w:name="_Ref503528429"/>
      <w:r>
        <w:lastRenderedPageBreak/>
        <w:t>Figure </w:t>
      </w:r>
      <w:r w:rsidR="002A2468">
        <w:rPr>
          <w:noProof/>
        </w:rPr>
        <w:fldChar w:fldCharType="begin"/>
      </w:r>
      <w:r w:rsidR="002A2468">
        <w:rPr>
          <w:noProof/>
        </w:rPr>
        <w:instrText xml:space="preserve"> SEQ Figure \* ARABIC </w:instrText>
      </w:r>
      <w:r w:rsidR="002A2468">
        <w:rPr>
          <w:noProof/>
        </w:rPr>
        <w:fldChar w:fldCharType="separate"/>
      </w:r>
      <w:r w:rsidR="0064223A">
        <w:rPr>
          <w:noProof/>
        </w:rPr>
        <w:t>2</w:t>
      </w:r>
      <w:r w:rsidR="002A2468">
        <w:rPr>
          <w:noProof/>
        </w:rPr>
        <w:fldChar w:fldCharType="end"/>
      </w:r>
      <w:bookmarkEnd w:id="16"/>
      <w:r w:rsidRPr="00505C3C">
        <w:t xml:space="preserve"> </w:t>
      </w:r>
      <w:r w:rsidRPr="00496CDF">
        <w:tab/>
        <w:t xml:space="preserve">Kaplan-Meier </w:t>
      </w:r>
      <w:r w:rsidR="00C870DE">
        <w:t>Curve</w:t>
      </w:r>
      <w:r w:rsidR="00211F82">
        <w:t xml:space="preserve"> </w:t>
      </w:r>
      <w:r w:rsidRPr="00496CDF">
        <w:t>of Progression-Free Survival (Investigator Assessment - RCC)</w:t>
      </w:r>
    </w:p>
    <w:p w14:paraId="7E7C1104" w14:textId="77777777" w:rsidR="00DC5E06" w:rsidRPr="00496CDF" w:rsidRDefault="00DC5E06" w:rsidP="00DC5E06">
      <w:pPr>
        <w:pStyle w:val="BodyText"/>
      </w:pPr>
      <w:r w:rsidRPr="00496CDF">
        <w:rPr>
          <w:noProof/>
          <w:lang w:eastAsia="en-AU"/>
        </w:rPr>
        <w:drawing>
          <wp:inline distT="0" distB="0" distL="0" distR="0" wp14:anchorId="3E5FA7AD" wp14:editId="76B07B80">
            <wp:extent cx="5715000" cy="317438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15000" cy="3174389"/>
                    </a:xfrm>
                    <a:prstGeom prst="rect">
                      <a:avLst/>
                    </a:prstGeom>
                  </pic:spPr>
                </pic:pic>
              </a:graphicData>
            </a:graphic>
          </wp:inline>
        </w:drawing>
      </w:r>
    </w:p>
    <w:p w14:paraId="78A5CCA6" w14:textId="77777777" w:rsidR="00DC5E06" w:rsidRPr="00496CDF" w:rsidRDefault="00DC5E06" w:rsidP="00214E83">
      <w:pPr>
        <w:pStyle w:val="BodyText"/>
      </w:pPr>
    </w:p>
    <w:p w14:paraId="0BA8E26F" w14:textId="67B3A814" w:rsidR="00DC5E06" w:rsidRPr="00496CDF" w:rsidRDefault="00DC5E06" w:rsidP="00DC5E06">
      <w:pPr>
        <w:pStyle w:val="Caption"/>
      </w:pPr>
      <w:bookmarkStart w:id="17" w:name="IDX"/>
      <w:bookmarkStart w:id="18" w:name="_Ref503528436"/>
      <w:bookmarkEnd w:id="17"/>
      <w:r w:rsidRPr="00496CDF">
        <w:t>Figure </w:t>
      </w:r>
      <w:r w:rsidR="002A2468">
        <w:rPr>
          <w:noProof/>
        </w:rPr>
        <w:fldChar w:fldCharType="begin"/>
      </w:r>
      <w:r w:rsidR="002A2468">
        <w:rPr>
          <w:noProof/>
        </w:rPr>
        <w:instrText xml:space="preserve"> SEQ Figure \* ARABIC </w:instrText>
      </w:r>
      <w:r w:rsidR="002A2468">
        <w:rPr>
          <w:noProof/>
        </w:rPr>
        <w:fldChar w:fldCharType="separate"/>
      </w:r>
      <w:r w:rsidR="0064223A">
        <w:rPr>
          <w:noProof/>
        </w:rPr>
        <w:t>3</w:t>
      </w:r>
      <w:r w:rsidR="002A2468">
        <w:rPr>
          <w:noProof/>
        </w:rPr>
        <w:fldChar w:fldCharType="end"/>
      </w:r>
      <w:bookmarkEnd w:id="18"/>
      <w:r w:rsidRPr="00496CDF">
        <w:tab/>
        <w:t>Kaplan-Meier</w:t>
      </w:r>
      <w:r w:rsidR="00C870DE">
        <w:t xml:space="preserve"> Curve</w:t>
      </w:r>
      <w:r w:rsidRPr="00496CDF">
        <w:t xml:space="preserve"> of Overall Survival - RCC</w:t>
      </w:r>
    </w:p>
    <w:p w14:paraId="4737B6DD" w14:textId="77777777" w:rsidR="00DC5E06" w:rsidRPr="00496CDF" w:rsidRDefault="00DC5E06" w:rsidP="00DC5E06">
      <w:pPr>
        <w:pStyle w:val="BodyText"/>
        <w:rPr>
          <w:rFonts w:eastAsia="TimesNewRoman,Bold"/>
        </w:rPr>
      </w:pPr>
      <w:r w:rsidRPr="00496CDF">
        <w:rPr>
          <w:noProof/>
          <w:lang w:eastAsia="en-AU"/>
        </w:rPr>
        <w:drawing>
          <wp:inline distT="0" distB="0" distL="0" distR="0" wp14:anchorId="6B7ECDAA" wp14:editId="7AA4EFCF">
            <wp:extent cx="5731510" cy="314375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3143758"/>
                    </a:xfrm>
                    <a:prstGeom prst="rect">
                      <a:avLst/>
                    </a:prstGeom>
                  </pic:spPr>
                </pic:pic>
              </a:graphicData>
            </a:graphic>
          </wp:inline>
        </w:drawing>
      </w:r>
    </w:p>
    <w:p w14:paraId="37472E47" w14:textId="77777777" w:rsidR="00C870DE" w:rsidRPr="00AC3C2C" w:rsidRDefault="00C870DE" w:rsidP="00C870DE">
      <w:pPr>
        <w:pStyle w:val="Heading4"/>
        <w:rPr>
          <w:lang w:val="en-US"/>
        </w:rPr>
      </w:pPr>
      <w:r w:rsidRPr="00AC3C2C">
        <w:rPr>
          <w:lang w:val="en-US"/>
        </w:rPr>
        <w:t>Hepatocellular Carcinoma</w:t>
      </w:r>
    </w:p>
    <w:p w14:paraId="40C73847" w14:textId="11B4E7D5" w:rsidR="00C870DE" w:rsidRDefault="00C870DE" w:rsidP="00C870DE">
      <w:pPr>
        <w:pStyle w:val="BodyText"/>
      </w:pPr>
      <w:r w:rsidRPr="00AC3C2C">
        <w:t xml:space="preserve">A </w:t>
      </w:r>
      <w:proofErr w:type="spellStart"/>
      <w:r w:rsidRPr="00AC3C2C">
        <w:t>multicenter</w:t>
      </w:r>
      <w:proofErr w:type="spellEnd"/>
      <w:r w:rsidRPr="00AC3C2C">
        <w:t xml:space="preserve">, open-label study </w:t>
      </w:r>
      <w:proofErr w:type="gramStart"/>
      <w:r w:rsidRPr="00AC3C2C">
        <w:t>was conducted</w:t>
      </w:r>
      <w:proofErr w:type="gramEnd"/>
      <w:r w:rsidRPr="00AC3C2C">
        <w:t xml:space="preserve"> in 954 patients with </w:t>
      </w:r>
      <w:proofErr w:type="spellStart"/>
      <w:r w:rsidRPr="00AC3C2C">
        <w:t>unresectable</w:t>
      </w:r>
      <w:proofErr w:type="spellEnd"/>
      <w:r w:rsidRPr="00AC3C2C">
        <w:t xml:space="preserve"> hepatocellular carcinoma who were randomized to LENVIMA</w:t>
      </w:r>
      <w:r w:rsidR="00BA1623">
        <w:t xml:space="preserve"> or </w:t>
      </w:r>
      <w:proofErr w:type="spellStart"/>
      <w:r w:rsidR="00BA1623">
        <w:t>sorafenib</w:t>
      </w:r>
      <w:proofErr w:type="spellEnd"/>
      <w:r w:rsidR="00BA1623">
        <w:t xml:space="preserve">. The starting dose of LENVIMA, given once daily, </w:t>
      </w:r>
      <w:proofErr w:type="gramStart"/>
      <w:r w:rsidR="00BA1623">
        <w:t>was based</w:t>
      </w:r>
      <w:proofErr w:type="gramEnd"/>
      <w:r w:rsidR="00BA1623">
        <w:t xml:space="preserve"> on baseline body weight:</w:t>
      </w:r>
      <w:r w:rsidRPr="00AC3C2C">
        <w:t xml:space="preserve"> 12 mg </w:t>
      </w:r>
      <w:r w:rsidR="00BA1623">
        <w:t xml:space="preserve">for patients with a </w:t>
      </w:r>
      <w:r w:rsidRPr="00AC3C2C">
        <w:t xml:space="preserve">body weight </w:t>
      </w:r>
      <w:r w:rsidR="006540BC">
        <w:sym w:font="Symbol" w:char="F0B3"/>
      </w:r>
      <w:r w:rsidRPr="00AC3C2C">
        <w:t xml:space="preserve">60 kg </w:t>
      </w:r>
      <w:r w:rsidR="00BA1623">
        <w:t>and</w:t>
      </w:r>
      <w:r w:rsidRPr="00AC3C2C">
        <w:t xml:space="preserve"> 8 mg</w:t>
      </w:r>
      <w:r w:rsidR="00BA1623">
        <w:t xml:space="preserve"> for patients with a </w:t>
      </w:r>
      <w:r w:rsidRPr="00AC3C2C">
        <w:t>body weight &lt;60</w:t>
      </w:r>
      <w:r w:rsidR="00BA1623">
        <w:t> </w:t>
      </w:r>
      <w:r w:rsidRPr="00AC3C2C">
        <w:t>kg</w:t>
      </w:r>
      <w:r w:rsidR="00BA1623">
        <w:t>. The dose of</w:t>
      </w:r>
      <w:r w:rsidRPr="00AC3C2C">
        <w:t xml:space="preserve"> </w:t>
      </w:r>
      <w:proofErr w:type="spellStart"/>
      <w:r w:rsidRPr="00AC3C2C">
        <w:t>sorafenib</w:t>
      </w:r>
      <w:proofErr w:type="spellEnd"/>
      <w:r w:rsidRPr="00AC3C2C">
        <w:t xml:space="preserve"> </w:t>
      </w:r>
      <w:r w:rsidR="00BA1623">
        <w:t xml:space="preserve">was </w:t>
      </w:r>
      <w:r w:rsidRPr="00AC3C2C">
        <w:t>4</w:t>
      </w:r>
      <w:r>
        <w:t>00 mg given orally twice daily.</w:t>
      </w:r>
    </w:p>
    <w:p w14:paraId="2846564B" w14:textId="1B8C152D" w:rsidR="00C870DE" w:rsidRDefault="00C870DE" w:rsidP="002E57C2">
      <w:pPr>
        <w:pStyle w:val="BodyText"/>
        <w:spacing w:before="120" w:after="120"/>
      </w:pPr>
      <w:r w:rsidRPr="00AC3C2C">
        <w:lastRenderedPageBreak/>
        <w:t xml:space="preserve">Patients were required to have a histologically or </w:t>
      </w:r>
      <w:proofErr w:type="spellStart"/>
      <w:r w:rsidRPr="00AC3C2C">
        <w:t>cytologically</w:t>
      </w:r>
      <w:proofErr w:type="spellEnd"/>
      <w:r w:rsidRPr="00AC3C2C">
        <w:t xml:space="preserve"> confirmed diagnosis of </w:t>
      </w:r>
      <w:proofErr w:type="spellStart"/>
      <w:r w:rsidRPr="00AC3C2C">
        <w:t>unresectable</w:t>
      </w:r>
      <w:proofErr w:type="spellEnd"/>
      <w:r w:rsidRPr="00AC3C2C">
        <w:t xml:space="preserve"> HCC, or a clinically confirmed diagnosis of HCC according to the American Association for the Study of Liver Diseases criteria, including cirrhosis of any </w:t>
      </w:r>
      <w:proofErr w:type="spellStart"/>
      <w:r w:rsidRPr="00AC3C2C">
        <w:t>etiology</w:t>
      </w:r>
      <w:proofErr w:type="spellEnd"/>
      <w:r w:rsidRPr="00AC3C2C">
        <w:t>, or with chronic hepatitis B or C infection.</w:t>
      </w:r>
      <w:r w:rsidR="00BA1623">
        <w:t xml:space="preserve"> </w:t>
      </w:r>
      <w:r w:rsidR="00BA1623" w:rsidRPr="00BA1623">
        <w:t>Patients could have BCLC stage B or C disease, and could only have Child Pugh category A liver dysfunction (i</w:t>
      </w:r>
      <w:r w:rsidR="00BA1623">
        <w:t>.</w:t>
      </w:r>
      <w:r w:rsidR="00BA1623" w:rsidRPr="00BA1623">
        <w:t>e</w:t>
      </w:r>
      <w:r w:rsidR="00BA1623">
        <w:t>., a score of 5-</w:t>
      </w:r>
      <w:r w:rsidR="00BA1623" w:rsidRPr="00BA1623">
        <w:t>6).</w:t>
      </w:r>
      <w:r w:rsidRPr="00AC3C2C">
        <w:t xml:space="preserve"> Patients had at least </w:t>
      </w:r>
      <w:proofErr w:type="gramStart"/>
      <w:r w:rsidRPr="00AC3C2C">
        <w:t>1</w:t>
      </w:r>
      <w:proofErr w:type="gramEnd"/>
      <w:r w:rsidRPr="00AC3C2C">
        <w:t xml:space="preserve"> measureable target hepatic or </w:t>
      </w:r>
      <w:proofErr w:type="spellStart"/>
      <w:r w:rsidRPr="00AC3C2C">
        <w:t>nonhepatic</w:t>
      </w:r>
      <w:proofErr w:type="spellEnd"/>
      <w:r w:rsidRPr="00AC3C2C">
        <w:t xml:space="preserve"> lesion according to </w:t>
      </w:r>
      <w:proofErr w:type="spellStart"/>
      <w:r w:rsidRPr="00AC3C2C">
        <w:t>mRECIST</w:t>
      </w:r>
      <w:proofErr w:type="spellEnd"/>
      <w:r w:rsidRPr="00AC3C2C">
        <w:t xml:space="preserve">, and adequate liver, bone marrow, blood coagulation, renal, and pancreatic function. Patients were stratified by region, presence or absence of macroscopic portal vein invasion (MPVI) or extrahepatic spread (EHS) or both, Eastern Cooperative Oncology Group Performance Status (ECOG PS) 0 or 1, and BW (&lt;60 kg or </w:t>
      </w:r>
      <w:r w:rsidR="006540BC">
        <w:sym w:font="Symbol" w:char="F0B3"/>
      </w:r>
      <w:r w:rsidRPr="00AC3C2C">
        <w:t xml:space="preserve">60 kg). The majority of patients in both treatment arms had an ECOG PS of </w:t>
      </w:r>
      <w:proofErr w:type="gramStart"/>
      <w:r w:rsidRPr="00AC3C2C">
        <w:t>0</w:t>
      </w:r>
      <w:proofErr w:type="gramEnd"/>
      <w:r w:rsidRPr="00AC3C2C">
        <w:t xml:space="preserve"> at Baseline (63%), Child-Pugh score of 5 (76%), and weighed </w:t>
      </w:r>
      <w:r w:rsidR="006540BC">
        <w:sym w:font="Symbol" w:char="F0B3"/>
      </w:r>
      <w:r w:rsidRPr="00AC3C2C">
        <w:t xml:space="preserve">60 kg (69%). The median age was 62 years, 84% were male, 16% were female, 69% were Asian, 1% were black, and 29% were white. </w:t>
      </w:r>
      <w:r w:rsidR="00BA1623" w:rsidRPr="00BA1623">
        <w:t xml:space="preserve"> Approximately 80% of patients in Study 304 had BCLC stage C disease at study entry.  This percentage was similar between the treatment arms (</w:t>
      </w:r>
      <w:r w:rsidR="00E047D9">
        <w:t>LENVIMA</w:t>
      </w:r>
      <w:r w:rsidR="00BA1623" w:rsidRPr="00BA1623">
        <w:t xml:space="preserve"> 374/478, 78.2%; </w:t>
      </w:r>
      <w:proofErr w:type="spellStart"/>
      <w:r w:rsidR="00BA1623" w:rsidRPr="00BA1623">
        <w:t>sorafenib</w:t>
      </w:r>
      <w:proofErr w:type="spellEnd"/>
      <w:r w:rsidR="00BA1623" w:rsidRPr="00BA1623">
        <w:t xml:space="preserve"> 384/476, 80.7%).</w:t>
      </w:r>
    </w:p>
    <w:p w14:paraId="38EFCCD6" w14:textId="2832A1DE" w:rsidR="00C870DE" w:rsidRDefault="00C870DE" w:rsidP="002E57C2">
      <w:pPr>
        <w:pStyle w:val="BodyText"/>
        <w:spacing w:before="120" w:after="120"/>
      </w:pPr>
      <w:r w:rsidRPr="00AC3C2C">
        <w:t xml:space="preserve">LENVIMA was non-inferior for Overall Survival (OS) to </w:t>
      </w:r>
      <w:proofErr w:type="spellStart"/>
      <w:r w:rsidRPr="00AC3C2C">
        <w:t>sorafenib</w:t>
      </w:r>
      <w:proofErr w:type="spellEnd"/>
      <w:r w:rsidRPr="00AC3C2C">
        <w:t xml:space="preserve">. Median OS was 13.6 months compared to 12.3 months for </w:t>
      </w:r>
      <w:proofErr w:type="spellStart"/>
      <w:r w:rsidRPr="00AC3C2C">
        <w:t>sorafenib</w:t>
      </w:r>
      <w:proofErr w:type="spellEnd"/>
      <w:r w:rsidRPr="00AC3C2C">
        <w:t xml:space="preserve"> with HR = 0.92 [95% CI of (0.79,</w:t>
      </w:r>
      <w:r w:rsidR="002E57C2">
        <w:t xml:space="preserve"> 1.06)].</w:t>
      </w:r>
    </w:p>
    <w:p w14:paraId="136B3CA5" w14:textId="01EA320C" w:rsidR="00C870DE" w:rsidRDefault="00C870DE" w:rsidP="002E57C2">
      <w:pPr>
        <w:pStyle w:val="BodyText"/>
        <w:spacing w:before="120" w:after="120"/>
      </w:pPr>
      <w:r w:rsidRPr="00AC3C2C">
        <w:t xml:space="preserve">Based on investigator assessment evaluated according to </w:t>
      </w:r>
      <w:proofErr w:type="spellStart"/>
      <w:r w:rsidRPr="00AC3C2C">
        <w:t>mRECIST</w:t>
      </w:r>
      <w:proofErr w:type="spellEnd"/>
      <w:r w:rsidRPr="00AC3C2C">
        <w:t xml:space="preserve">, LENVIMA treatment resulted in statistically significant (P&lt;0.00001) and clinically meaningful improvement over </w:t>
      </w:r>
      <w:proofErr w:type="spellStart"/>
      <w:r w:rsidRPr="00AC3C2C">
        <w:t>sorafenib</w:t>
      </w:r>
      <w:proofErr w:type="spellEnd"/>
      <w:r w:rsidRPr="00AC3C2C">
        <w:t xml:space="preserve"> in the secondary endpoints of PFS and ORR. L</w:t>
      </w:r>
      <w:r>
        <w:t>ENVIMA</w:t>
      </w:r>
      <w:r w:rsidRPr="00AC3C2C">
        <w:t xml:space="preserve"> treatment significantly prolonged TTP compared to </w:t>
      </w:r>
      <w:proofErr w:type="spellStart"/>
      <w:r w:rsidRPr="00AC3C2C">
        <w:t>sorafenib</w:t>
      </w:r>
      <w:proofErr w:type="spellEnd"/>
      <w:r w:rsidRPr="00AC3C2C">
        <w:t xml:space="preserve">, with a median TTP that was more than twice as long as that of </w:t>
      </w:r>
      <w:proofErr w:type="spellStart"/>
      <w:r w:rsidRPr="00AC3C2C">
        <w:t>sorafenib</w:t>
      </w:r>
      <w:proofErr w:type="spellEnd"/>
      <w:r w:rsidRPr="00AC3C2C">
        <w:t>. Retrospective independent review of imaging corroborated the secondary endpoints of PFS, TTP and ORR. These efficacy r</w:t>
      </w:r>
      <w:r>
        <w:t xml:space="preserve">esults </w:t>
      </w:r>
      <w:proofErr w:type="gramStart"/>
      <w:r>
        <w:t>are summarized</w:t>
      </w:r>
      <w:proofErr w:type="gramEnd"/>
      <w:r>
        <w:t xml:space="preserve"> in </w:t>
      </w:r>
      <w:r w:rsidR="009513EA">
        <w:fldChar w:fldCharType="begin"/>
      </w:r>
      <w:r w:rsidR="009513EA">
        <w:instrText xml:space="preserve"> REF _Ref503779362 \h </w:instrText>
      </w:r>
      <w:r w:rsidR="009513EA">
        <w:fldChar w:fldCharType="separate"/>
      </w:r>
      <w:r w:rsidR="0064223A">
        <w:t>Table </w:t>
      </w:r>
      <w:r w:rsidR="0064223A">
        <w:rPr>
          <w:noProof/>
        </w:rPr>
        <w:t>13</w:t>
      </w:r>
      <w:r w:rsidR="009513EA">
        <w:fldChar w:fldCharType="end"/>
      </w:r>
      <w:r w:rsidR="003B15C4">
        <w:t xml:space="preserve"> </w:t>
      </w:r>
      <w:r w:rsidRPr="00AC3C2C">
        <w:t xml:space="preserve">and </w:t>
      </w:r>
      <w:r w:rsidR="006F68EB">
        <w:fldChar w:fldCharType="begin"/>
      </w:r>
      <w:r w:rsidR="006F68EB">
        <w:instrText xml:space="preserve"> REF _Ref503779375 \h </w:instrText>
      </w:r>
      <w:r w:rsidR="006F68EB">
        <w:fldChar w:fldCharType="separate"/>
      </w:r>
      <w:r w:rsidR="0064223A" w:rsidRPr="006F68EB">
        <w:t>Figure</w:t>
      </w:r>
      <w:r w:rsidR="0064223A">
        <w:t> </w:t>
      </w:r>
      <w:r w:rsidR="0064223A">
        <w:rPr>
          <w:noProof/>
        </w:rPr>
        <w:t>4</w:t>
      </w:r>
      <w:r w:rsidR="006F68EB">
        <w:fldChar w:fldCharType="end"/>
      </w:r>
      <w:r w:rsidR="006F68EB">
        <w:t xml:space="preserve">, </w:t>
      </w:r>
      <w:r w:rsidR="006F68EB">
        <w:fldChar w:fldCharType="begin"/>
      </w:r>
      <w:r w:rsidR="006F68EB">
        <w:instrText xml:space="preserve"> REF _Ref503779381 \h </w:instrText>
      </w:r>
      <w:r w:rsidR="006F68EB">
        <w:fldChar w:fldCharType="separate"/>
      </w:r>
      <w:r w:rsidR="0064223A">
        <w:t>Figure </w:t>
      </w:r>
      <w:r w:rsidR="0064223A">
        <w:rPr>
          <w:noProof/>
        </w:rPr>
        <w:t>5</w:t>
      </w:r>
      <w:r w:rsidR="006F68EB">
        <w:fldChar w:fldCharType="end"/>
      </w:r>
      <w:r w:rsidR="006F68EB">
        <w:t xml:space="preserve"> and </w:t>
      </w:r>
      <w:r w:rsidR="006F68EB">
        <w:fldChar w:fldCharType="begin"/>
      </w:r>
      <w:r w:rsidR="006F68EB">
        <w:instrText xml:space="preserve"> REF _Ref503779383 \h </w:instrText>
      </w:r>
      <w:r w:rsidR="006F68EB">
        <w:fldChar w:fldCharType="separate"/>
      </w:r>
      <w:r w:rsidR="0064223A">
        <w:t>Figure </w:t>
      </w:r>
      <w:r w:rsidR="0064223A">
        <w:rPr>
          <w:noProof/>
        </w:rPr>
        <w:t>6</w:t>
      </w:r>
      <w:r w:rsidR="006F68EB">
        <w:fldChar w:fldCharType="end"/>
      </w:r>
      <w:r w:rsidRPr="00AC3C2C">
        <w:t>.</w:t>
      </w:r>
    </w:p>
    <w:tbl>
      <w:tblPr>
        <w:tblW w:w="8721" w:type="dxa"/>
        <w:tblInd w:w="29" w:type="dxa"/>
        <w:tblBorders>
          <w:top w:val="single" w:sz="4" w:space="0" w:color="auto"/>
          <w:bottom w:val="single" w:sz="4" w:space="0" w:color="auto"/>
        </w:tblBorders>
        <w:tblLayout w:type="fixed"/>
        <w:tblCellMar>
          <w:left w:w="29" w:type="dxa"/>
          <w:right w:w="29" w:type="dxa"/>
        </w:tblCellMar>
        <w:tblLook w:val="0000" w:firstRow="0" w:lastRow="0" w:firstColumn="0" w:lastColumn="0" w:noHBand="0" w:noVBand="0"/>
      </w:tblPr>
      <w:tblGrid>
        <w:gridCol w:w="3969"/>
        <w:gridCol w:w="2376"/>
        <w:gridCol w:w="2376"/>
      </w:tblGrid>
      <w:tr w:rsidR="00C870DE" w:rsidRPr="00AC3C2C" w14:paraId="48BC4041" w14:textId="77777777" w:rsidTr="003E22E0">
        <w:trPr>
          <w:tblHeader/>
        </w:trPr>
        <w:tc>
          <w:tcPr>
            <w:tcW w:w="8721" w:type="dxa"/>
            <w:gridSpan w:val="3"/>
            <w:tcBorders>
              <w:top w:val="nil"/>
              <w:left w:val="nil"/>
              <w:bottom w:val="single" w:sz="4" w:space="0" w:color="auto"/>
              <w:right w:val="nil"/>
            </w:tcBorders>
            <w:shd w:val="clear" w:color="auto" w:fill="auto"/>
            <w:vAlign w:val="bottom"/>
          </w:tcPr>
          <w:p w14:paraId="36B494C6" w14:textId="12B9BA5C" w:rsidR="00C870DE" w:rsidRPr="00AC3C2C" w:rsidRDefault="00C870DE" w:rsidP="00211F82">
            <w:pPr>
              <w:pStyle w:val="Caption"/>
            </w:pPr>
            <w:bookmarkStart w:id="19" w:name="_Ref503779362"/>
            <w:r>
              <w:t>Table</w:t>
            </w:r>
            <w:r w:rsidR="008E5AAA">
              <w:t> </w:t>
            </w:r>
            <w:r w:rsidR="002C196B">
              <w:rPr>
                <w:noProof/>
              </w:rPr>
              <w:fldChar w:fldCharType="begin"/>
            </w:r>
            <w:r w:rsidR="002C196B">
              <w:rPr>
                <w:noProof/>
              </w:rPr>
              <w:instrText xml:space="preserve"> SEQ Table \* ARABIC </w:instrText>
            </w:r>
            <w:r w:rsidR="002C196B">
              <w:rPr>
                <w:noProof/>
              </w:rPr>
              <w:fldChar w:fldCharType="separate"/>
            </w:r>
            <w:r w:rsidR="0064223A">
              <w:rPr>
                <w:noProof/>
              </w:rPr>
              <w:t>13</w:t>
            </w:r>
            <w:r w:rsidR="002C196B">
              <w:rPr>
                <w:noProof/>
              </w:rPr>
              <w:fldChar w:fldCharType="end"/>
            </w:r>
            <w:bookmarkEnd w:id="19"/>
            <w:r w:rsidRPr="00AC3C2C">
              <w:tab/>
              <w:t>Efficacy Results in Hepatocellular Carcinoma</w:t>
            </w:r>
          </w:p>
        </w:tc>
      </w:tr>
      <w:tr w:rsidR="00C870DE" w:rsidRPr="00AC3C2C" w14:paraId="0233F8DF" w14:textId="77777777" w:rsidTr="003E22E0">
        <w:trPr>
          <w:tblHeader/>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8F9CCA9" w14:textId="77777777" w:rsidR="00C870DE" w:rsidRPr="00AC3C2C" w:rsidRDefault="00C870DE" w:rsidP="00797590">
            <w:pPr>
              <w:pStyle w:val="TableHeading"/>
              <w:rPr>
                <w:rFonts w:eastAsia="MS Mincho"/>
              </w:rPr>
            </w:pPr>
          </w:p>
        </w:tc>
        <w:tc>
          <w:tcPr>
            <w:tcW w:w="2376" w:type="dxa"/>
            <w:tcBorders>
              <w:top w:val="single" w:sz="4" w:space="0" w:color="auto"/>
              <w:left w:val="single" w:sz="4" w:space="0" w:color="auto"/>
              <w:bottom w:val="single" w:sz="4" w:space="0" w:color="auto"/>
              <w:right w:val="single" w:sz="4" w:space="0" w:color="auto"/>
            </w:tcBorders>
          </w:tcPr>
          <w:p w14:paraId="222D6170" w14:textId="5E3B5C35" w:rsidR="00C870DE" w:rsidRPr="00AC3C2C" w:rsidRDefault="00C870DE" w:rsidP="003E22E0">
            <w:pPr>
              <w:pStyle w:val="TableHeading"/>
              <w:jc w:val="center"/>
              <w:rPr>
                <w:rFonts w:eastAsia="MS Mincho"/>
                <w:lang w:val="pt-BR"/>
              </w:rPr>
            </w:pPr>
            <w:r w:rsidRPr="00AC3C2C">
              <w:rPr>
                <w:rFonts w:eastAsia="MS Mincho"/>
                <w:szCs w:val="24"/>
              </w:rPr>
              <w:t>L</w:t>
            </w:r>
            <w:r>
              <w:rPr>
                <w:rFonts w:eastAsia="MS Mincho"/>
                <w:szCs w:val="24"/>
              </w:rPr>
              <w:t>ENVIMA</w:t>
            </w:r>
          </w:p>
          <w:p w14:paraId="41FFCAB2" w14:textId="77777777" w:rsidR="00C870DE" w:rsidRPr="00AC3C2C" w:rsidRDefault="00C870DE" w:rsidP="003E22E0">
            <w:pPr>
              <w:pStyle w:val="TableHeading"/>
              <w:jc w:val="center"/>
              <w:rPr>
                <w:rFonts w:eastAsia="MS Mincho"/>
                <w:lang w:val="pt-BR"/>
              </w:rPr>
            </w:pPr>
            <w:r w:rsidRPr="00AC3C2C">
              <w:rPr>
                <w:rFonts w:eastAsia="MS Mincho"/>
                <w:lang w:val="pt-BR"/>
              </w:rPr>
              <w:t>(N= 478)</w:t>
            </w:r>
          </w:p>
        </w:tc>
        <w:tc>
          <w:tcPr>
            <w:tcW w:w="2376" w:type="dxa"/>
            <w:tcBorders>
              <w:top w:val="single" w:sz="4" w:space="0" w:color="auto"/>
              <w:left w:val="single" w:sz="4" w:space="0" w:color="auto"/>
              <w:bottom w:val="single" w:sz="4" w:space="0" w:color="auto"/>
              <w:right w:val="single" w:sz="4" w:space="0" w:color="auto"/>
            </w:tcBorders>
          </w:tcPr>
          <w:p w14:paraId="0D0FF3AC" w14:textId="77777777" w:rsidR="00C870DE" w:rsidRPr="00AC3C2C" w:rsidRDefault="00C870DE" w:rsidP="003E22E0">
            <w:pPr>
              <w:pStyle w:val="TableHeading"/>
              <w:jc w:val="center"/>
              <w:rPr>
                <w:rFonts w:eastAsia="MS Mincho"/>
                <w:lang w:val="pt-BR"/>
              </w:rPr>
            </w:pPr>
            <w:r w:rsidRPr="00AC3C2C">
              <w:rPr>
                <w:rFonts w:eastAsia="MS Mincho"/>
                <w:lang w:val="pt-BR"/>
              </w:rPr>
              <w:t>Sorafenib</w:t>
            </w:r>
          </w:p>
          <w:p w14:paraId="3803BB44" w14:textId="77777777" w:rsidR="00C870DE" w:rsidRPr="00AC3C2C" w:rsidRDefault="00C870DE" w:rsidP="003E22E0">
            <w:pPr>
              <w:pStyle w:val="TableHeading"/>
              <w:jc w:val="center"/>
              <w:rPr>
                <w:rFonts w:eastAsia="MS Mincho"/>
                <w:lang w:val="pt-BR"/>
              </w:rPr>
            </w:pPr>
            <w:r w:rsidRPr="00AC3C2C">
              <w:rPr>
                <w:rFonts w:eastAsia="MS Mincho"/>
                <w:lang w:val="pt-BR"/>
              </w:rPr>
              <w:t>(N=476)</w:t>
            </w:r>
          </w:p>
        </w:tc>
      </w:tr>
      <w:tr w:rsidR="00C870DE" w:rsidRPr="00AC3C2C" w14:paraId="751A60FE" w14:textId="77777777" w:rsidTr="003E22E0">
        <w:tc>
          <w:tcPr>
            <w:tcW w:w="8721" w:type="dxa"/>
            <w:gridSpan w:val="3"/>
            <w:tcBorders>
              <w:top w:val="single" w:sz="4" w:space="0" w:color="auto"/>
              <w:left w:val="single" w:sz="4" w:space="0" w:color="auto"/>
              <w:bottom w:val="single" w:sz="4" w:space="0" w:color="auto"/>
              <w:right w:val="single" w:sz="4" w:space="0" w:color="auto"/>
            </w:tcBorders>
            <w:shd w:val="clear" w:color="auto" w:fill="auto"/>
          </w:tcPr>
          <w:p w14:paraId="1EDF3C56" w14:textId="77777777" w:rsidR="00C870DE" w:rsidRPr="00AC3C2C" w:rsidRDefault="00C870DE" w:rsidP="00797590">
            <w:pPr>
              <w:pStyle w:val="TableHeading"/>
              <w:rPr>
                <w:rFonts w:eastAsia="MS Mincho"/>
                <w:vertAlign w:val="superscript"/>
              </w:rPr>
            </w:pPr>
            <w:r w:rsidRPr="00AC3C2C">
              <w:rPr>
                <w:rFonts w:eastAsia="MS Mincho"/>
              </w:rPr>
              <w:t>Overall Survival</w:t>
            </w:r>
          </w:p>
        </w:tc>
      </w:tr>
      <w:tr w:rsidR="00C870DE" w:rsidRPr="00AC3C2C" w14:paraId="27A7C3AE"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1007F87F" w14:textId="77777777" w:rsidR="00C870DE" w:rsidRPr="00AC3C2C" w:rsidRDefault="00C870DE" w:rsidP="00797590">
            <w:pPr>
              <w:pStyle w:val="TableText"/>
              <w:rPr>
                <w:lang w:val="en-US" w:eastAsia="ja-JP"/>
              </w:rPr>
            </w:pPr>
            <w:r w:rsidRPr="00AC3C2C">
              <w:rPr>
                <w:lang w:val="en-US" w:eastAsia="ja-JP"/>
              </w:rPr>
              <w:t>Number of deaths, n (%)</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1CD4DC28" w14:textId="77777777" w:rsidR="00C870DE" w:rsidRPr="00AC3C2C" w:rsidRDefault="00C870DE" w:rsidP="00797590">
            <w:pPr>
              <w:pStyle w:val="TableCentre"/>
              <w:rPr>
                <w:lang w:val="en-US" w:eastAsia="ja-JP"/>
              </w:rPr>
            </w:pPr>
            <w:r w:rsidRPr="00AC3C2C">
              <w:rPr>
                <w:lang w:val="en-US" w:eastAsia="ja-JP"/>
              </w:rPr>
              <w:t>351 (73.4)</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2D0EB0F7" w14:textId="77777777" w:rsidR="00C870DE" w:rsidRPr="00AC3C2C" w:rsidRDefault="00C870DE" w:rsidP="00797590">
            <w:pPr>
              <w:pStyle w:val="TableCentre"/>
              <w:rPr>
                <w:lang w:val="en-US" w:eastAsia="ja-JP"/>
              </w:rPr>
            </w:pPr>
            <w:r w:rsidRPr="00AC3C2C">
              <w:rPr>
                <w:lang w:val="en-US" w:eastAsia="ja-JP"/>
              </w:rPr>
              <w:t>350 (73.5)</w:t>
            </w:r>
          </w:p>
        </w:tc>
      </w:tr>
      <w:tr w:rsidR="00C870DE" w:rsidRPr="00AC3C2C" w14:paraId="4459D430"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6A0ABCC8" w14:textId="77777777" w:rsidR="00C870DE" w:rsidRPr="00AC3C2C" w:rsidRDefault="00C870DE" w:rsidP="00797590">
            <w:pPr>
              <w:pStyle w:val="TableText"/>
              <w:rPr>
                <w:b/>
                <w:lang w:val="en-US" w:eastAsia="ja-JP"/>
              </w:rPr>
            </w:pPr>
            <w:r w:rsidRPr="00AC3C2C">
              <w:rPr>
                <w:lang w:val="en-US" w:eastAsia="ja-JP"/>
              </w:rPr>
              <w:t>Median OS in months (95% CI)</w:t>
            </w:r>
            <w:r w:rsidRPr="00AC3C2C">
              <w:rPr>
                <w:vertAlign w:val="superscript"/>
                <w:lang w:val="en-US" w:eastAsia="ja-JP"/>
              </w:rPr>
              <w:t xml:space="preserve"> a</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38F924F1" w14:textId="77777777" w:rsidR="00C870DE" w:rsidRPr="00AC3C2C" w:rsidRDefault="00C870DE" w:rsidP="00797590">
            <w:pPr>
              <w:pStyle w:val="TableCentre"/>
              <w:rPr>
                <w:lang w:val="en-US" w:eastAsia="ja-JP"/>
              </w:rPr>
            </w:pPr>
            <w:r w:rsidRPr="00AC3C2C">
              <w:rPr>
                <w:rFonts w:eastAsia="MS Mincho"/>
                <w:lang w:val="en-US" w:eastAsia="ja-JP"/>
              </w:rPr>
              <w:t>13.6 (12.1, 14.9)</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490AF4B0" w14:textId="77777777" w:rsidR="00C870DE" w:rsidRPr="00AC3C2C" w:rsidRDefault="00C870DE" w:rsidP="00797590">
            <w:pPr>
              <w:pStyle w:val="TableCentre"/>
              <w:rPr>
                <w:lang w:val="en-US" w:eastAsia="ja-JP"/>
              </w:rPr>
            </w:pPr>
            <w:r w:rsidRPr="00AC3C2C">
              <w:rPr>
                <w:rFonts w:eastAsia="MS Mincho"/>
                <w:lang w:val="en-US" w:eastAsia="ja-JP"/>
              </w:rPr>
              <w:t>12.3 (10.4, 13.9)</w:t>
            </w:r>
          </w:p>
        </w:tc>
      </w:tr>
      <w:tr w:rsidR="00C870DE" w:rsidRPr="00AC3C2C" w14:paraId="5A0EEE88"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452DFD85" w14:textId="77777777" w:rsidR="00C870DE" w:rsidRPr="00AC3C2C" w:rsidRDefault="00C870DE" w:rsidP="00797590">
            <w:pPr>
              <w:pStyle w:val="TableText"/>
              <w:rPr>
                <w:lang w:val="en-US" w:eastAsia="ja-JP"/>
              </w:rPr>
            </w:pPr>
            <w:r w:rsidRPr="00AC3C2C">
              <w:rPr>
                <w:lang w:val="en-US" w:eastAsia="ja-JP"/>
              </w:rPr>
              <w:t>Hazard Ratio (95% CI)</w:t>
            </w:r>
            <w:r w:rsidRPr="00AC3C2C">
              <w:rPr>
                <w:vertAlign w:val="superscript"/>
                <w:lang w:val="en-US" w:eastAsia="ja-JP"/>
              </w:rPr>
              <w:t>b, c</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tcPr>
          <w:p w14:paraId="1063A71E" w14:textId="77777777" w:rsidR="00C870DE" w:rsidRPr="00AC3C2C" w:rsidRDefault="00C870DE" w:rsidP="00797590">
            <w:pPr>
              <w:pStyle w:val="TableCentre"/>
              <w:rPr>
                <w:lang w:val="en-US" w:eastAsia="ja-JP"/>
              </w:rPr>
            </w:pPr>
            <w:r w:rsidRPr="00AC3C2C">
              <w:rPr>
                <w:lang w:val="en-US" w:eastAsia="ja-JP"/>
              </w:rPr>
              <w:t>0.92 (0.79,1.06)</w:t>
            </w:r>
          </w:p>
        </w:tc>
      </w:tr>
      <w:tr w:rsidR="00C870DE" w:rsidRPr="00797590" w14:paraId="348CF636" w14:textId="77777777" w:rsidTr="003E22E0">
        <w:tc>
          <w:tcPr>
            <w:tcW w:w="8721" w:type="dxa"/>
            <w:gridSpan w:val="3"/>
            <w:tcBorders>
              <w:top w:val="single" w:sz="4" w:space="0" w:color="auto"/>
              <w:left w:val="single" w:sz="4" w:space="0" w:color="auto"/>
              <w:bottom w:val="single" w:sz="4" w:space="0" w:color="auto"/>
              <w:right w:val="single" w:sz="4" w:space="0" w:color="auto"/>
            </w:tcBorders>
            <w:shd w:val="clear" w:color="auto" w:fill="auto"/>
          </w:tcPr>
          <w:p w14:paraId="09E1BFEF" w14:textId="22DA5951" w:rsidR="00C870DE" w:rsidRPr="00797590" w:rsidRDefault="00C870DE" w:rsidP="00797590">
            <w:pPr>
              <w:pStyle w:val="TableHeading"/>
              <w:rPr>
                <w:rFonts w:eastAsia="MS Mincho"/>
              </w:rPr>
            </w:pPr>
            <w:r w:rsidRPr="00797590">
              <w:rPr>
                <w:rFonts w:eastAsia="MS Mincho"/>
              </w:rPr>
              <w:t>Progression-Free Survival (PFS) per</w:t>
            </w:r>
            <w:r w:rsidR="003E22E0">
              <w:rPr>
                <w:rFonts w:eastAsia="MS Mincho"/>
              </w:rPr>
              <w:t xml:space="preserve"> </w:t>
            </w:r>
            <w:r w:rsidRPr="00797590">
              <w:rPr>
                <w:rFonts w:eastAsia="MS Mincho"/>
              </w:rPr>
              <w:t>Investigator Assessment (</w:t>
            </w:r>
            <w:proofErr w:type="spellStart"/>
            <w:r w:rsidRPr="00797590">
              <w:rPr>
                <w:rFonts w:eastAsia="MS Mincho"/>
              </w:rPr>
              <w:t>mRECIST</w:t>
            </w:r>
            <w:proofErr w:type="spellEnd"/>
            <w:r w:rsidRPr="00797590">
              <w:rPr>
                <w:rFonts w:eastAsia="MS Mincho"/>
              </w:rPr>
              <w:t>)</w:t>
            </w:r>
          </w:p>
        </w:tc>
      </w:tr>
      <w:tr w:rsidR="00C870DE" w:rsidRPr="00AC3C2C" w14:paraId="27948A11"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1ECE4CE9" w14:textId="77777777" w:rsidR="00C870DE" w:rsidRPr="00797590" w:rsidRDefault="00C870DE" w:rsidP="00797590">
            <w:pPr>
              <w:pStyle w:val="TableText"/>
              <w:rPr>
                <w:lang w:val="en-US" w:eastAsia="ja-JP"/>
              </w:rPr>
            </w:pPr>
            <w:r w:rsidRPr="00797590">
              <w:rPr>
                <w:lang w:val="en-US" w:eastAsia="ja-JP"/>
              </w:rPr>
              <w:t>Number of events, n (%)</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6B695192" w14:textId="77777777" w:rsidR="00C870DE" w:rsidRPr="00AC3C2C" w:rsidRDefault="00C870DE" w:rsidP="00797590">
            <w:pPr>
              <w:pStyle w:val="TableCentre"/>
              <w:rPr>
                <w:lang w:val="en-US" w:eastAsia="ja-JP"/>
              </w:rPr>
            </w:pPr>
            <w:r w:rsidRPr="00AC3C2C">
              <w:rPr>
                <w:lang w:val="en-US" w:eastAsia="ja-JP"/>
              </w:rPr>
              <w:t>349 (73.0)</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426B4074" w14:textId="77777777" w:rsidR="00C870DE" w:rsidRPr="00AC3C2C" w:rsidRDefault="00C870DE" w:rsidP="00797590">
            <w:pPr>
              <w:pStyle w:val="TableCentre"/>
              <w:rPr>
                <w:lang w:val="en-US" w:eastAsia="ja-JP"/>
              </w:rPr>
            </w:pPr>
            <w:r w:rsidRPr="00AC3C2C">
              <w:rPr>
                <w:lang w:val="en-US" w:eastAsia="ja-JP"/>
              </w:rPr>
              <w:t>367 (77.1)</w:t>
            </w:r>
          </w:p>
        </w:tc>
      </w:tr>
      <w:tr w:rsidR="00C870DE" w:rsidRPr="00AC3C2C" w14:paraId="116DACFD"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0881858C" w14:textId="2AE13A62" w:rsidR="00C870DE" w:rsidRPr="00797590" w:rsidRDefault="00C870DE" w:rsidP="006F68EB">
            <w:pPr>
              <w:pStyle w:val="TableText"/>
              <w:rPr>
                <w:lang w:val="en-US" w:eastAsia="ja-JP"/>
              </w:rPr>
            </w:pPr>
            <w:r w:rsidRPr="00797590">
              <w:rPr>
                <w:lang w:val="en-US" w:eastAsia="ja-JP"/>
              </w:rPr>
              <w:t>Progressive disease, n (%)</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6BECF764" w14:textId="77777777" w:rsidR="00C870DE" w:rsidRPr="00AC3C2C" w:rsidRDefault="00C870DE" w:rsidP="00797590">
            <w:pPr>
              <w:pStyle w:val="TableCentre"/>
              <w:rPr>
                <w:lang w:val="en-US" w:eastAsia="ja-JP"/>
              </w:rPr>
            </w:pPr>
            <w:r w:rsidRPr="00AC3C2C">
              <w:rPr>
                <w:lang w:val="en-US"/>
              </w:rPr>
              <w:t>308 (64.4)</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7CDBA59F" w14:textId="77777777" w:rsidR="00C870DE" w:rsidRPr="00AC3C2C" w:rsidRDefault="00C870DE" w:rsidP="00797590">
            <w:pPr>
              <w:pStyle w:val="TableCentre"/>
              <w:rPr>
                <w:lang w:val="en-US" w:eastAsia="ja-JP"/>
              </w:rPr>
            </w:pPr>
            <w:r w:rsidRPr="00AC3C2C">
              <w:rPr>
                <w:lang w:val="en-US"/>
              </w:rPr>
              <w:t>343 (72.1)</w:t>
            </w:r>
          </w:p>
        </w:tc>
      </w:tr>
      <w:tr w:rsidR="00C870DE" w:rsidRPr="00AC3C2C" w14:paraId="01D0978E"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379232DD" w14:textId="16C698F5" w:rsidR="00C870DE" w:rsidRPr="00797590" w:rsidRDefault="00C870DE" w:rsidP="00797590">
            <w:pPr>
              <w:pStyle w:val="TableText"/>
              <w:rPr>
                <w:lang w:val="en-US" w:eastAsia="ja-JP"/>
              </w:rPr>
            </w:pPr>
            <w:r w:rsidRPr="00797590">
              <w:rPr>
                <w:lang w:val="en-US" w:eastAsia="ja-JP"/>
              </w:rPr>
              <w:t>Death, n (%)</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7EB610AA" w14:textId="77777777" w:rsidR="00C870DE" w:rsidRPr="00AC3C2C" w:rsidRDefault="00C870DE" w:rsidP="00797590">
            <w:pPr>
              <w:pStyle w:val="TableCentre"/>
              <w:rPr>
                <w:lang w:val="en-US" w:eastAsia="ja-JP"/>
              </w:rPr>
            </w:pPr>
            <w:r w:rsidRPr="00AC3C2C">
              <w:rPr>
                <w:lang w:val="en-US"/>
              </w:rPr>
              <w:t>41 (8.6)</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29AA356E" w14:textId="77777777" w:rsidR="00C870DE" w:rsidRPr="00AC3C2C" w:rsidRDefault="00C870DE" w:rsidP="00797590">
            <w:pPr>
              <w:pStyle w:val="TableCentre"/>
              <w:rPr>
                <w:lang w:val="en-US" w:eastAsia="ja-JP"/>
              </w:rPr>
            </w:pPr>
            <w:r w:rsidRPr="00AC3C2C">
              <w:rPr>
                <w:lang w:val="en-US"/>
              </w:rPr>
              <w:t>24 (5.0)</w:t>
            </w:r>
          </w:p>
        </w:tc>
      </w:tr>
      <w:tr w:rsidR="00C870DE" w:rsidRPr="00AC3C2C" w14:paraId="4626C90C"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3A52C6DA" w14:textId="77777777" w:rsidR="00C870DE" w:rsidRPr="00797590" w:rsidRDefault="00C870DE" w:rsidP="00797590">
            <w:pPr>
              <w:pStyle w:val="TableText"/>
              <w:rPr>
                <w:lang w:val="en-US" w:eastAsia="ja-JP"/>
              </w:rPr>
            </w:pPr>
            <w:r w:rsidRPr="00797590">
              <w:rPr>
                <w:lang w:val="en-US" w:eastAsia="ja-JP"/>
              </w:rPr>
              <w:t>Median PFS in months (95% CI)</w:t>
            </w:r>
            <w:r w:rsidRPr="006F68EB">
              <w:rPr>
                <w:vertAlign w:val="superscript"/>
                <w:lang w:val="en-US" w:eastAsia="ja-JP"/>
              </w:rPr>
              <w:t>a</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14A36FBE" w14:textId="77777777" w:rsidR="00C870DE" w:rsidRPr="00AC3C2C" w:rsidRDefault="00C870DE" w:rsidP="00797590">
            <w:pPr>
              <w:pStyle w:val="TableCentre"/>
              <w:rPr>
                <w:lang w:val="en-US" w:eastAsia="ja-JP"/>
              </w:rPr>
            </w:pPr>
            <w:r w:rsidRPr="00AC3C2C">
              <w:rPr>
                <w:lang w:val="en-US"/>
              </w:rPr>
              <w:t>7.4 (6.9, 8.8)</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5D028EA2" w14:textId="77777777" w:rsidR="00C870DE" w:rsidRPr="00AC3C2C" w:rsidRDefault="00C870DE" w:rsidP="00797590">
            <w:pPr>
              <w:pStyle w:val="TableCentre"/>
              <w:rPr>
                <w:lang w:val="en-US" w:eastAsia="ja-JP"/>
              </w:rPr>
            </w:pPr>
            <w:r w:rsidRPr="00AC3C2C">
              <w:rPr>
                <w:lang w:val="en-US"/>
              </w:rPr>
              <w:t>3.7 (3.6, 4.6)</w:t>
            </w:r>
          </w:p>
        </w:tc>
      </w:tr>
      <w:tr w:rsidR="00C870DE" w:rsidRPr="00AC3C2C" w14:paraId="7B94D6BB"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58FBB649" w14:textId="3C1EE165" w:rsidR="00C870DE" w:rsidRPr="00797590" w:rsidRDefault="00C870DE" w:rsidP="00797590">
            <w:pPr>
              <w:pStyle w:val="TableText"/>
              <w:rPr>
                <w:lang w:val="en-US" w:eastAsia="ja-JP"/>
              </w:rPr>
            </w:pPr>
            <w:r w:rsidRPr="00797590">
              <w:rPr>
                <w:lang w:val="en-US" w:eastAsia="ja-JP"/>
              </w:rPr>
              <w:t>Hazard Ratio (95% CI)</w:t>
            </w:r>
            <w:r w:rsidR="006F68EB">
              <w:rPr>
                <w:lang w:val="en-US" w:eastAsia="ja-JP"/>
              </w:rPr>
              <w:t xml:space="preserve"> </w:t>
            </w:r>
            <w:r w:rsidRPr="006F68EB">
              <w:rPr>
                <w:vertAlign w:val="superscript"/>
                <w:lang w:val="en-US" w:eastAsia="ja-JP"/>
              </w:rPr>
              <w:t>b, c</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tcPr>
          <w:p w14:paraId="4B8D020F" w14:textId="77777777" w:rsidR="00C870DE" w:rsidRPr="00AC3C2C" w:rsidRDefault="00C870DE" w:rsidP="00797590">
            <w:pPr>
              <w:pStyle w:val="TableCentre"/>
              <w:rPr>
                <w:lang w:val="en-US" w:eastAsia="ja-JP"/>
              </w:rPr>
            </w:pPr>
            <w:r w:rsidRPr="00AC3C2C">
              <w:rPr>
                <w:lang w:val="en-US" w:eastAsia="ja-JP"/>
              </w:rPr>
              <w:t>0.66 (0.57, 0.77)</w:t>
            </w:r>
          </w:p>
        </w:tc>
      </w:tr>
      <w:tr w:rsidR="00C870DE" w:rsidRPr="00AC3C2C" w14:paraId="3ADB9560"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17FEC99C" w14:textId="77777777" w:rsidR="00C870DE" w:rsidRPr="00797590" w:rsidRDefault="00C870DE" w:rsidP="00797590">
            <w:pPr>
              <w:pStyle w:val="TableText"/>
              <w:rPr>
                <w:lang w:val="en-US" w:eastAsia="ja-JP"/>
              </w:rPr>
            </w:pPr>
            <w:r w:rsidRPr="00797590">
              <w:rPr>
                <w:lang w:val="en-US" w:eastAsia="ja-JP"/>
              </w:rPr>
              <w:t xml:space="preserve">P-value </w:t>
            </w:r>
            <w:proofErr w:type="spellStart"/>
            <w:r w:rsidRPr="006F68EB">
              <w:rPr>
                <w:vertAlign w:val="superscript"/>
                <w:lang w:val="en-US" w:eastAsia="ja-JP"/>
              </w:rPr>
              <w:t>c,d</w:t>
            </w:r>
            <w:proofErr w:type="spellEnd"/>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tcPr>
          <w:p w14:paraId="24891AF3" w14:textId="77777777" w:rsidR="00C870DE" w:rsidRPr="00AC3C2C" w:rsidRDefault="00C870DE" w:rsidP="00797590">
            <w:pPr>
              <w:pStyle w:val="TableCentre"/>
              <w:rPr>
                <w:lang w:val="en-US" w:eastAsia="ja-JP"/>
              </w:rPr>
            </w:pPr>
            <w:r w:rsidRPr="00AC3C2C">
              <w:rPr>
                <w:lang w:val="en-US"/>
              </w:rPr>
              <w:t>&lt;0.00001</w:t>
            </w:r>
          </w:p>
        </w:tc>
      </w:tr>
      <w:tr w:rsidR="00C870DE" w:rsidRPr="00797590" w14:paraId="37D3EEBE" w14:textId="77777777" w:rsidTr="003E22E0">
        <w:tc>
          <w:tcPr>
            <w:tcW w:w="8721" w:type="dxa"/>
            <w:gridSpan w:val="3"/>
            <w:tcBorders>
              <w:top w:val="single" w:sz="4" w:space="0" w:color="auto"/>
              <w:left w:val="single" w:sz="4" w:space="0" w:color="auto"/>
              <w:bottom w:val="single" w:sz="4" w:space="0" w:color="auto"/>
              <w:right w:val="single" w:sz="4" w:space="0" w:color="auto"/>
            </w:tcBorders>
            <w:shd w:val="clear" w:color="auto" w:fill="auto"/>
          </w:tcPr>
          <w:p w14:paraId="77B6B894" w14:textId="77777777" w:rsidR="00C870DE" w:rsidRPr="00797590" w:rsidRDefault="00C870DE" w:rsidP="00797590">
            <w:pPr>
              <w:pStyle w:val="TableHeading"/>
              <w:rPr>
                <w:rFonts w:eastAsia="MS Mincho"/>
              </w:rPr>
            </w:pPr>
            <w:r w:rsidRPr="00797590">
              <w:rPr>
                <w:rFonts w:eastAsia="MS Mincho"/>
              </w:rPr>
              <w:t>Time to Progression per Investigator Assessment (</w:t>
            </w:r>
            <w:proofErr w:type="spellStart"/>
            <w:r w:rsidRPr="00797590">
              <w:rPr>
                <w:rFonts w:eastAsia="MS Mincho"/>
              </w:rPr>
              <w:t>mRECIST</w:t>
            </w:r>
            <w:proofErr w:type="spellEnd"/>
            <w:r w:rsidRPr="00797590">
              <w:rPr>
                <w:rFonts w:eastAsia="MS Mincho"/>
              </w:rPr>
              <w:t>)</w:t>
            </w:r>
          </w:p>
        </w:tc>
      </w:tr>
      <w:tr w:rsidR="00C870DE" w:rsidRPr="00AC3C2C" w14:paraId="7A5B7A0D"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587AB4EE" w14:textId="7C87F722" w:rsidR="00C870DE" w:rsidRPr="00797590" w:rsidRDefault="00C870DE" w:rsidP="00797590">
            <w:pPr>
              <w:pStyle w:val="TableText"/>
              <w:rPr>
                <w:lang w:val="en-US" w:eastAsia="ja-JP"/>
              </w:rPr>
            </w:pPr>
            <w:r w:rsidRPr="00797590">
              <w:rPr>
                <w:lang w:val="en-US" w:eastAsia="ja-JP"/>
              </w:rPr>
              <w:t>Subjects with Disease Progression, n (%)</w:t>
            </w:r>
            <w:r w:rsidR="006F68EB">
              <w:rPr>
                <w:lang w:val="en-US" w:eastAsia="ja-JP"/>
              </w:rPr>
              <w:t xml:space="preserve"> </w:t>
            </w:r>
            <w:r w:rsidRPr="006F68EB">
              <w:rPr>
                <w:vertAlign w:val="superscript"/>
                <w:lang w:val="en-US" w:eastAsia="ja-JP"/>
              </w:rPr>
              <w:t>e</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767BFA5B" w14:textId="77777777" w:rsidR="00C870DE" w:rsidRPr="00AC3C2C" w:rsidRDefault="00C870DE" w:rsidP="00797590">
            <w:pPr>
              <w:pStyle w:val="TableCentre"/>
              <w:rPr>
                <w:lang w:val="en-US"/>
              </w:rPr>
            </w:pPr>
            <w:r w:rsidRPr="00AC3C2C">
              <w:rPr>
                <w:lang w:val="en-US"/>
              </w:rPr>
              <w:t>308 (64.4)</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0D40647B" w14:textId="77777777" w:rsidR="00C870DE" w:rsidRPr="00AC3C2C" w:rsidRDefault="00C870DE" w:rsidP="00797590">
            <w:pPr>
              <w:pStyle w:val="TableCentre"/>
              <w:rPr>
                <w:lang w:val="en-US"/>
              </w:rPr>
            </w:pPr>
            <w:r w:rsidRPr="00AC3C2C">
              <w:rPr>
                <w:lang w:val="en-US"/>
              </w:rPr>
              <w:t>343 (72.1)</w:t>
            </w:r>
          </w:p>
        </w:tc>
      </w:tr>
      <w:tr w:rsidR="00C870DE" w:rsidRPr="00AC3C2C" w14:paraId="5BD6045B"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22664DD8" w14:textId="77777777" w:rsidR="00C870DE" w:rsidRPr="00797590" w:rsidRDefault="00C870DE" w:rsidP="00797590">
            <w:pPr>
              <w:pStyle w:val="TableText"/>
              <w:rPr>
                <w:lang w:val="en-US" w:eastAsia="ja-JP"/>
              </w:rPr>
            </w:pPr>
            <w:r w:rsidRPr="00797590">
              <w:rPr>
                <w:lang w:val="en-US" w:eastAsia="ja-JP"/>
              </w:rPr>
              <w:t>Censored Subjects, n (%)</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49C51A61" w14:textId="77777777" w:rsidR="00C870DE" w:rsidRPr="00AC3C2C" w:rsidRDefault="00C870DE" w:rsidP="00797590">
            <w:pPr>
              <w:pStyle w:val="TableCentre"/>
              <w:rPr>
                <w:lang w:val="en-US"/>
              </w:rPr>
            </w:pPr>
            <w:r w:rsidRPr="00AC3C2C">
              <w:rPr>
                <w:lang w:val="en-US"/>
              </w:rPr>
              <w:t>170 (35.6)</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2991DCF2" w14:textId="77777777" w:rsidR="00C870DE" w:rsidRPr="00AC3C2C" w:rsidRDefault="00C870DE" w:rsidP="00797590">
            <w:pPr>
              <w:pStyle w:val="TableCentre"/>
              <w:rPr>
                <w:lang w:val="en-US"/>
              </w:rPr>
            </w:pPr>
            <w:r w:rsidRPr="00AC3C2C">
              <w:rPr>
                <w:lang w:val="en-US"/>
              </w:rPr>
              <w:t>133 (27.9)</w:t>
            </w:r>
          </w:p>
        </w:tc>
      </w:tr>
      <w:tr w:rsidR="00C870DE" w:rsidRPr="00AC3C2C" w14:paraId="0B6259B3"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3C720C19" w14:textId="77777777" w:rsidR="00C870DE" w:rsidRPr="00797590" w:rsidRDefault="00C870DE" w:rsidP="00797590">
            <w:pPr>
              <w:pStyle w:val="TableText"/>
              <w:rPr>
                <w:lang w:val="en-US" w:eastAsia="ja-JP"/>
              </w:rPr>
            </w:pPr>
            <w:r w:rsidRPr="00797590">
              <w:rPr>
                <w:lang w:val="en-US" w:eastAsia="ja-JP"/>
              </w:rPr>
              <w:t>Median (95% CI)</w:t>
            </w:r>
            <w:r w:rsidRPr="006F68EB">
              <w:rPr>
                <w:vertAlign w:val="superscript"/>
                <w:lang w:val="en-US" w:eastAsia="ja-JP"/>
              </w:rPr>
              <w:t xml:space="preserve"> a</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7E46EA47" w14:textId="77777777" w:rsidR="00C870DE" w:rsidRPr="00AC3C2C" w:rsidRDefault="00C870DE" w:rsidP="00797590">
            <w:pPr>
              <w:pStyle w:val="TableCentre"/>
              <w:rPr>
                <w:lang w:val="en-US"/>
              </w:rPr>
            </w:pPr>
            <w:r w:rsidRPr="00AC3C2C">
              <w:rPr>
                <w:lang w:val="en-US"/>
              </w:rPr>
              <w:t>8.9 (7.4, 9.2)</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0196A5C6" w14:textId="77777777" w:rsidR="00C870DE" w:rsidRPr="00AC3C2C" w:rsidRDefault="00C870DE" w:rsidP="00797590">
            <w:pPr>
              <w:pStyle w:val="TableCentre"/>
              <w:rPr>
                <w:lang w:val="en-US"/>
              </w:rPr>
            </w:pPr>
            <w:r w:rsidRPr="00AC3C2C">
              <w:rPr>
                <w:lang w:val="en-US"/>
              </w:rPr>
              <w:t>3.7 (3.6, 5.4)</w:t>
            </w:r>
          </w:p>
        </w:tc>
      </w:tr>
      <w:tr w:rsidR="00C870DE" w:rsidRPr="00AC3C2C" w14:paraId="1E5222F6"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5717E76B" w14:textId="77777777" w:rsidR="00C870DE" w:rsidRPr="00797590" w:rsidRDefault="00C870DE" w:rsidP="00797590">
            <w:pPr>
              <w:pStyle w:val="TableText"/>
              <w:rPr>
                <w:lang w:val="en-US" w:eastAsia="ja-JP"/>
              </w:rPr>
            </w:pPr>
            <w:r w:rsidRPr="00797590">
              <w:rPr>
                <w:lang w:val="en-US" w:eastAsia="ja-JP"/>
              </w:rPr>
              <w:t>Hazard Ratio (95% CI)</w:t>
            </w:r>
            <w:r w:rsidRPr="006F68EB">
              <w:rPr>
                <w:vertAlign w:val="superscript"/>
                <w:lang w:val="en-US" w:eastAsia="ja-JP"/>
              </w:rPr>
              <w:t xml:space="preserve"> b, c</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tcPr>
          <w:p w14:paraId="4B15CC79" w14:textId="77777777" w:rsidR="00C870DE" w:rsidRPr="00AC3C2C" w:rsidRDefault="00C870DE" w:rsidP="00797590">
            <w:pPr>
              <w:pStyle w:val="TableCentre"/>
              <w:rPr>
                <w:lang w:val="en-US"/>
              </w:rPr>
            </w:pPr>
            <w:r w:rsidRPr="00AC3C2C">
              <w:rPr>
                <w:lang w:val="en-US"/>
              </w:rPr>
              <w:t>0.63 (0.53, 0.73)</w:t>
            </w:r>
          </w:p>
        </w:tc>
      </w:tr>
      <w:tr w:rsidR="00C870DE" w:rsidRPr="00AC3C2C" w14:paraId="28EDC0CC"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50140B83" w14:textId="77777777" w:rsidR="00C870DE" w:rsidRPr="00797590" w:rsidRDefault="00C870DE" w:rsidP="00797590">
            <w:pPr>
              <w:pStyle w:val="TableText"/>
              <w:rPr>
                <w:lang w:val="en-US" w:eastAsia="ja-JP"/>
              </w:rPr>
            </w:pPr>
            <w:r w:rsidRPr="00797590">
              <w:rPr>
                <w:lang w:val="en-US" w:eastAsia="ja-JP"/>
              </w:rPr>
              <w:t>P-value</w:t>
            </w:r>
            <w:r w:rsidRPr="006F68EB">
              <w:rPr>
                <w:vertAlign w:val="superscript"/>
                <w:lang w:val="en-US" w:eastAsia="ja-JP"/>
              </w:rPr>
              <w:t xml:space="preserve"> </w:t>
            </w:r>
            <w:proofErr w:type="spellStart"/>
            <w:r w:rsidRPr="006F68EB">
              <w:rPr>
                <w:vertAlign w:val="superscript"/>
                <w:lang w:val="en-US" w:eastAsia="ja-JP"/>
              </w:rPr>
              <w:t>c,d</w:t>
            </w:r>
            <w:proofErr w:type="spellEnd"/>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tcPr>
          <w:p w14:paraId="2C0A79C2" w14:textId="77777777" w:rsidR="00C870DE" w:rsidRPr="00AC3C2C" w:rsidRDefault="00C870DE" w:rsidP="00797590">
            <w:pPr>
              <w:pStyle w:val="TableCentre"/>
              <w:rPr>
                <w:lang w:val="en-US"/>
              </w:rPr>
            </w:pPr>
            <w:r w:rsidRPr="00AC3C2C">
              <w:rPr>
                <w:lang w:val="en-US"/>
              </w:rPr>
              <w:t>&lt;0.00001</w:t>
            </w:r>
          </w:p>
        </w:tc>
      </w:tr>
      <w:tr w:rsidR="00C870DE" w:rsidRPr="00797590" w14:paraId="0FE4B9B7" w14:textId="77777777" w:rsidTr="003E22E0">
        <w:tc>
          <w:tcPr>
            <w:tcW w:w="8721" w:type="dxa"/>
            <w:gridSpan w:val="3"/>
            <w:tcBorders>
              <w:top w:val="single" w:sz="4" w:space="0" w:color="auto"/>
              <w:left w:val="single" w:sz="4" w:space="0" w:color="auto"/>
              <w:bottom w:val="single" w:sz="4" w:space="0" w:color="auto"/>
              <w:right w:val="single" w:sz="4" w:space="0" w:color="auto"/>
            </w:tcBorders>
            <w:shd w:val="clear" w:color="auto" w:fill="auto"/>
          </w:tcPr>
          <w:p w14:paraId="01ED83C4" w14:textId="77777777" w:rsidR="00C870DE" w:rsidRPr="00797590" w:rsidRDefault="00C870DE" w:rsidP="00797590">
            <w:pPr>
              <w:pStyle w:val="TableHeading"/>
              <w:rPr>
                <w:rFonts w:eastAsia="MS Mincho"/>
              </w:rPr>
            </w:pPr>
            <w:r w:rsidRPr="00797590">
              <w:rPr>
                <w:rFonts w:eastAsia="MS Mincho"/>
              </w:rPr>
              <w:t>Objective Response Rate per Investigator Assessment (</w:t>
            </w:r>
            <w:proofErr w:type="spellStart"/>
            <w:r w:rsidRPr="00797590">
              <w:rPr>
                <w:rFonts w:eastAsia="MS Mincho"/>
              </w:rPr>
              <w:t>mRECIST</w:t>
            </w:r>
            <w:proofErr w:type="spellEnd"/>
            <w:r w:rsidRPr="00797590">
              <w:rPr>
                <w:rFonts w:eastAsia="MS Mincho"/>
              </w:rPr>
              <w:t>)</w:t>
            </w:r>
          </w:p>
        </w:tc>
      </w:tr>
      <w:tr w:rsidR="00C870DE" w:rsidRPr="00AC3C2C" w14:paraId="3FECDD27"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54B56E35" w14:textId="77777777" w:rsidR="00C870DE" w:rsidRPr="00797590" w:rsidDel="00053164" w:rsidRDefault="00C870DE" w:rsidP="00797590">
            <w:pPr>
              <w:pStyle w:val="TableText"/>
              <w:rPr>
                <w:rFonts w:eastAsia="MS Mincho"/>
                <w:szCs w:val="24"/>
                <w:lang w:val="en-US"/>
              </w:rPr>
            </w:pPr>
            <w:r w:rsidRPr="00797590">
              <w:rPr>
                <w:rFonts w:eastAsia="MS Mincho"/>
                <w:szCs w:val="24"/>
                <w:lang w:val="en-US"/>
              </w:rPr>
              <w:t>Objective response rate, n (%)</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4F51D818" w14:textId="77777777" w:rsidR="00C870DE" w:rsidRPr="00AC3C2C" w:rsidDel="00053164" w:rsidRDefault="00C870DE" w:rsidP="00797590">
            <w:pPr>
              <w:pStyle w:val="TableCentre"/>
              <w:rPr>
                <w:rFonts w:eastAsia="Malgun Gothic"/>
                <w:lang w:val="en-US" w:eastAsia="ja-JP"/>
              </w:rPr>
            </w:pPr>
            <w:r w:rsidRPr="00AC3C2C">
              <w:rPr>
                <w:lang w:val="en-US"/>
              </w:rPr>
              <w:t>115 (24.1)</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11DBFFB1" w14:textId="77777777" w:rsidR="00C870DE" w:rsidRPr="00AC3C2C" w:rsidDel="00053164" w:rsidRDefault="00C870DE" w:rsidP="00797590">
            <w:pPr>
              <w:pStyle w:val="TableCentre"/>
              <w:rPr>
                <w:rFonts w:eastAsia="Malgun Gothic"/>
                <w:lang w:val="en-US" w:eastAsia="ja-JP"/>
              </w:rPr>
            </w:pPr>
            <w:r w:rsidRPr="00AC3C2C">
              <w:rPr>
                <w:lang w:val="en-US"/>
              </w:rPr>
              <w:t>44 (9.2)</w:t>
            </w:r>
          </w:p>
        </w:tc>
      </w:tr>
      <w:tr w:rsidR="00C870DE" w:rsidRPr="00AC3C2C" w14:paraId="630CD301"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7CECEF51" w14:textId="00737885" w:rsidR="00C870DE" w:rsidRPr="00797590" w:rsidRDefault="00C870DE" w:rsidP="00797590">
            <w:pPr>
              <w:pStyle w:val="TableText"/>
              <w:rPr>
                <w:rFonts w:eastAsia="MS Mincho"/>
                <w:szCs w:val="24"/>
                <w:lang w:val="en-US"/>
              </w:rPr>
            </w:pPr>
            <w:r w:rsidRPr="00797590">
              <w:rPr>
                <w:rFonts w:eastAsia="MS Mincho"/>
                <w:szCs w:val="24"/>
                <w:lang w:val="en-US"/>
              </w:rPr>
              <w:lastRenderedPageBreak/>
              <w:t>(95% CI)</w:t>
            </w:r>
            <w:r w:rsidR="006F68EB">
              <w:rPr>
                <w:rFonts w:eastAsia="MS Mincho"/>
                <w:szCs w:val="24"/>
                <w:lang w:val="en-US"/>
              </w:rPr>
              <w:t xml:space="preserve"> </w:t>
            </w:r>
            <w:r w:rsidRPr="006F68EB">
              <w:rPr>
                <w:rFonts w:eastAsia="MS Mincho"/>
                <w:szCs w:val="24"/>
                <w:vertAlign w:val="superscript"/>
                <w:lang w:val="en-US"/>
              </w:rPr>
              <w:t>f</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28A5E193" w14:textId="77777777" w:rsidR="00C870DE" w:rsidRPr="00AC3C2C" w:rsidDel="00053164" w:rsidRDefault="00C870DE" w:rsidP="00797590">
            <w:pPr>
              <w:pStyle w:val="TableCentre"/>
              <w:rPr>
                <w:rFonts w:eastAsia="Malgun Gothic"/>
                <w:lang w:val="en-US" w:eastAsia="ja-JP"/>
              </w:rPr>
            </w:pPr>
            <w:r w:rsidRPr="00AC3C2C">
              <w:rPr>
                <w:lang w:val="en-US"/>
              </w:rPr>
              <w:t>(20.2, 27.9)</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7ECB947F" w14:textId="77777777" w:rsidR="00C870DE" w:rsidRPr="00AC3C2C" w:rsidDel="00053164" w:rsidRDefault="00C870DE" w:rsidP="00797590">
            <w:pPr>
              <w:pStyle w:val="TableCentre"/>
              <w:rPr>
                <w:rFonts w:eastAsia="Malgun Gothic"/>
                <w:lang w:val="en-US" w:eastAsia="ja-JP"/>
              </w:rPr>
            </w:pPr>
            <w:r w:rsidRPr="00AC3C2C">
              <w:rPr>
                <w:lang w:val="en-US"/>
              </w:rPr>
              <w:t>(6.6, 11.8)</w:t>
            </w:r>
          </w:p>
        </w:tc>
      </w:tr>
      <w:tr w:rsidR="00C870DE" w:rsidRPr="00AC3C2C" w14:paraId="50490291"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7E07CBC4" w14:textId="77777777" w:rsidR="00C870DE" w:rsidRPr="00797590" w:rsidRDefault="00C870DE" w:rsidP="00797590">
            <w:pPr>
              <w:pStyle w:val="TableText"/>
              <w:rPr>
                <w:rFonts w:eastAsia="MS Mincho"/>
                <w:szCs w:val="24"/>
                <w:lang w:val="en-US"/>
              </w:rPr>
            </w:pPr>
            <w:r w:rsidRPr="00797590">
              <w:rPr>
                <w:rFonts w:eastAsia="MS Mincho"/>
                <w:szCs w:val="24"/>
                <w:lang w:val="en-US"/>
              </w:rPr>
              <w:t>Complete responses, n (%)</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0C210874" w14:textId="77777777" w:rsidR="00C870DE" w:rsidRPr="00AC3C2C" w:rsidRDefault="00C870DE" w:rsidP="00797590">
            <w:pPr>
              <w:pStyle w:val="TableCentre"/>
              <w:rPr>
                <w:rFonts w:eastAsia="Malgun Gothic"/>
                <w:lang w:val="en-US" w:eastAsia="ja-JP"/>
              </w:rPr>
            </w:pPr>
            <w:r w:rsidRPr="00AC3C2C">
              <w:rPr>
                <w:lang w:val="en-US"/>
              </w:rPr>
              <w:t>6 (1.3)</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6A4E1358" w14:textId="77777777" w:rsidR="00C870DE" w:rsidRPr="00AC3C2C" w:rsidRDefault="00C870DE" w:rsidP="00797590">
            <w:pPr>
              <w:pStyle w:val="TableCentre"/>
              <w:rPr>
                <w:rFonts w:eastAsia="Malgun Gothic"/>
                <w:lang w:val="en-US" w:eastAsia="ja-JP"/>
              </w:rPr>
            </w:pPr>
            <w:r w:rsidRPr="00AC3C2C">
              <w:rPr>
                <w:lang w:val="en-US"/>
              </w:rPr>
              <w:t>2 (0.4)</w:t>
            </w:r>
          </w:p>
        </w:tc>
      </w:tr>
      <w:tr w:rsidR="00C870DE" w:rsidRPr="00AC3C2C" w14:paraId="110B9326"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1BF44839" w14:textId="77777777" w:rsidR="00C870DE" w:rsidRPr="00797590" w:rsidRDefault="00C870DE" w:rsidP="00797590">
            <w:pPr>
              <w:pStyle w:val="TableText"/>
              <w:rPr>
                <w:rFonts w:eastAsia="MS Mincho"/>
                <w:szCs w:val="24"/>
                <w:lang w:val="en-US"/>
              </w:rPr>
            </w:pPr>
            <w:r w:rsidRPr="00797590">
              <w:rPr>
                <w:rFonts w:eastAsia="MS Mincho"/>
                <w:szCs w:val="24"/>
                <w:lang w:val="en-US"/>
              </w:rPr>
              <w:t>Partial responses, n (%)</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05837A7E" w14:textId="77777777" w:rsidR="00C870DE" w:rsidRPr="00797590" w:rsidRDefault="00C870DE" w:rsidP="00797590">
            <w:pPr>
              <w:pStyle w:val="TableCentre"/>
              <w:rPr>
                <w:lang w:val="en-US"/>
              </w:rPr>
            </w:pPr>
            <w:r w:rsidRPr="00797590">
              <w:rPr>
                <w:lang w:val="en-US"/>
              </w:rPr>
              <w:t>109 (22.8)</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1FFEE7B3" w14:textId="77777777" w:rsidR="00C870DE" w:rsidRPr="00797590" w:rsidRDefault="00C870DE" w:rsidP="00797590">
            <w:pPr>
              <w:pStyle w:val="TableCentre"/>
              <w:rPr>
                <w:lang w:val="en-US"/>
              </w:rPr>
            </w:pPr>
            <w:r w:rsidRPr="00797590">
              <w:rPr>
                <w:lang w:val="en-US"/>
              </w:rPr>
              <w:t>42 (8.8)</w:t>
            </w:r>
          </w:p>
        </w:tc>
      </w:tr>
      <w:tr w:rsidR="00C870DE" w:rsidRPr="00AC3C2C" w14:paraId="7E3EE629"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0418D979" w14:textId="68E33093" w:rsidR="00C870DE" w:rsidRPr="00797590" w:rsidRDefault="00C870DE" w:rsidP="00797590">
            <w:pPr>
              <w:pStyle w:val="TableText"/>
              <w:rPr>
                <w:rFonts w:eastAsia="MS Mincho"/>
                <w:szCs w:val="24"/>
                <w:lang w:val="en-US"/>
              </w:rPr>
            </w:pPr>
            <w:r w:rsidRPr="00797590">
              <w:rPr>
                <w:rFonts w:eastAsia="MS Mincho"/>
                <w:szCs w:val="24"/>
                <w:lang w:val="en-US"/>
              </w:rPr>
              <w:t>Odds ratio (95% CI)</w:t>
            </w:r>
            <w:r w:rsidR="006F68EB">
              <w:rPr>
                <w:rFonts w:eastAsia="MS Mincho"/>
                <w:szCs w:val="24"/>
                <w:lang w:val="en-US"/>
              </w:rPr>
              <w:t xml:space="preserve"> </w:t>
            </w:r>
            <w:r w:rsidRPr="006F68EB">
              <w:rPr>
                <w:rFonts w:eastAsia="MS Mincho"/>
                <w:szCs w:val="24"/>
                <w:vertAlign w:val="superscript"/>
                <w:lang w:val="en-US"/>
              </w:rPr>
              <w:t>g</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tcPr>
          <w:p w14:paraId="485BA111" w14:textId="77777777" w:rsidR="00C870DE" w:rsidRPr="00797590" w:rsidRDefault="00C870DE" w:rsidP="00797590">
            <w:pPr>
              <w:pStyle w:val="TableCentre"/>
              <w:rPr>
                <w:lang w:val="en-US"/>
              </w:rPr>
            </w:pPr>
            <w:r w:rsidRPr="00797590">
              <w:rPr>
                <w:lang w:val="en-US"/>
              </w:rPr>
              <w:t>3.13 (2.15, 4.56)</w:t>
            </w:r>
          </w:p>
        </w:tc>
      </w:tr>
      <w:tr w:rsidR="00C870DE" w:rsidRPr="00AC3C2C" w14:paraId="4593F332"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4E109CB1" w14:textId="6ECB6253" w:rsidR="00C870DE" w:rsidRPr="00797590" w:rsidRDefault="00C870DE" w:rsidP="00797590">
            <w:pPr>
              <w:pStyle w:val="TableText"/>
              <w:rPr>
                <w:rFonts w:eastAsia="MS Mincho"/>
                <w:szCs w:val="24"/>
                <w:lang w:val="en-US"/>
              </w:rPr>
            </w:pPr>
            <w:r w:rsidRPr="00797590">
              <w:rPr>
                <w:rFonts w:eastAsia="MS Mincho"/>
                <w:szCs w:val="24"/>
                <w:lang w:val="en-US"/>
              </w:rPr>
              <w:t>P-value</w:t>
            </w:r>
            <w:r w:rsidR="006F68EB">
              <w:rPr>
                <w:rFonts w:eastAsia="MS Mincho"/>
                <w:szCs w:val="24"/>
                <w:lang w:val="en-US"/>
              </w:rPr>
              <w:t xml:space="preserve"> </w:t>
            </w:r>
            <w:r w:rsidRPr="006F68EB">
              <w:rPr>
                <w:rFonts w:eastAsia="MS Mincho"/>
                <w:szCs w:val="24"/>
                <w:vertAlign w:val="superscript"/>
                <w:lang w:val="en-US"/>
              </w:rPr>
              <w:t>g</w:t>
            </w:r>
            <w:r w:rsidRPr="00797590">
              <w:rPr>
                <w:rFonts w:eastAsia="MS Mincho"/>
                <w:szCs w:val="24"/>
                <w:lang w:val="en-US"/>
              </w:rPr>
              <w:t xml:space="preserve"> </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tcPr>
          <w:p w14:paraId="6E581E6B" w14:textId="77777777" w:rsidR="00C870DE" w:rsidRPr="00797590" w:rsidRDefault="00C870DE" w:rsidP="00797590">
            <w:pPr>
              <w:pStyle w:val="TableCentre"/>
              <w:rPr>
                <w:lang w:val="en-US"/>
              </w:rPr>
            </w:pPr>
            <w:r w:rsidRPr="00797590">
              <w:rPr>
                <w:lang w:val="en-US"/>
              </w:rPr>
              <w:t>&lt;0.00001</w:t>
            </w:r>
          </w:p>
        </w:tc>
      </w:tr>
      <w:tr w:rsidR="00C870DE" w:rsidRPr="00797590" w14:paraId="1DCA09C8" w14:textId="77777777" w:rsidTr="003E22E0">
        <w:tc>
          <w:tcPr>
            <w:tcW w:w="8721" w:type="dxa"/>
            <w:gridSpan w:val="3"/>
            <w:tcBorders>
              <w:top w:val="single" w:sz="4" w:space="0" w:color="auto"/>
              <w:left w:val="single" w:sz="4" w:space="0" w:color="auto"/>
              <w:bottom w:val="single" w:sz="4" w:space="0" w:color="auto"/>
              <w:right w:val="single" w:sz="4" w:space="0" w:color="auto"/>
            </w:tcBorders>
            <w:shd w:val="clear" w:color="auto" w:fill="auto"/>
          </w:tcPr>
          <w:p w14:paraId="57E59676" w14:textId="77777777" w:rsidR="00C870DE" w:rsidRPr="00797590" w:rsidRDefault="00C870DE" w:rsidP="00797590">
            <w:pPr>
              <w:pStyle w:val="TableHeading"/>
              <w:rPr>
                <w:rFonts w:eastAsia="MS Mincho"/>
              </w:rPr>
            </w:pPr>
            <w:r w:rsidRPr="00797590">
              <w:rPr>
                <w:rFonts w:eastAsia="MS Mincho"/>
              </w:rPr>
              <w:t>Objective Response Rate per Independent Review (</w:t>
            </w:r>
            <w:proofErr w:type="spellStart"/>
            <w:r w:rsidRPr="00797590">
              <w:rPr>
                <w:rFonts w:eastAsia="MS Mincho"/>
              </w:rPr>
              <w:t>mRECIST</w:t>
            </w:r>
            <w:proofErr w:type="spellEnd"/>
            <w:r w:rsidRPr="00797590">
              <w:rPr>
                <w:rFonts w:eastAsia="MS Mincho"/>
              </w:rPr>
              <w:t>)</w:t>
            </w:r>
          </w:p>
        </w:tc>
      </w:tr>
      <w:tr w:rsidR="00C870DE" w:rsidRPr="00AC3C2C" w14:paraId="73D91998"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6AE5FA1F" w14:textId="77777777" w:rsidR="00C870DE" w:rsidRPr="00797590" w:rsidRDefault="00C870DE" w:rsidP="00797590">
            <w:pPr>
              <w:pStyle w:val="TableText"/>
              <w:rPr>
                <w:rFonts w:eastAsia="MS Mincho"/>
                <w:szCs w:val="24"/>
                <w:lang w:val="en-US"/>
              </w:rPr>
            </w:pPr>
            <w:r w:rsidRPr="00797590">
              <w:rPr>
                <w:rFonts w:eastAsia="MS Mincho"/>
                <w:szCs w:val="24"/>
                <w:lang w:val="en-US"/>
              </w:rPr>
              <w:t>Objective response rate, n (%)</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13B96782" w14:textId="77777777" w:rsidR="00C870DE" w:rsidRPr="00797590" w:rsidRDefault="00C870DE" w:rsidP="00797590">
            <w:pPr>
              <w:pStyle w:val="TableCentre"/>
              <w:rPr>
                <w:lang w:val="en-US"/>
              </w:rPr>
            </w:pPr>
            <w:r w:rsidRPr="00797590">
              <w:rPr>
                <w:lang w:val="en-US"/>
              </w:rPr>
              <w:t>194 (40.6)</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4AC49D73" w14:textId="77777777" w:rsidR="00C870DE" w:rsidRPr="00797590" w:rsidRDefault="00C870DE" w:rsidP="00797590">
            <w:pPr>
              <w:pStyle w:val="TableCentre"/>
              <w:rPr>
                <w:lang w:val="en-US"/>
              </w:rPr>
            </w:pPr>
            <w:r w:rsidRPr="00797590">
              <w:rPr>
                <w:lang w:val="en-US"/>
              </w:rPr>
              <w:t>59 (12.4)</w:t>
            </w:r>
          </w:p>
        </w:tc>
      </w:tr>
      <w:tr w:rsidR="00C870DE" w:rsidRPr="00AC3C2C" w14:paraId="34D5EBDC"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6AB7CDBC" w14:textId="0B87F72D" w:rsidR="00C870DE" w:rsidRPr="00797590" w:rsidRDefault="00C870DE" w:rsidP="00797590">
            <w:pPr>
              <w:pStyle w:val="TableText"/>
              <w:rPr>
                <w:rFonts w:eastAsia="MS Mincho"/>
                <w:szCs w:val="24"/>
                <w:lang w:val="en-US"/>
              </w:rPr>
            </w:pPr>
            <w:r w:rsidRPr="00797590">
              <w:rPr>
                <w:rFonts w:eastAsia="MS Mincho"/>
                <w:szCs w:val="24"/>
                <w:lang w:val="en-US"/>
              </w:rPr>
              <w:t>(95% CI)</w:t>
            </w:r>
            <w:r w:rsidR="006F68EB">
              <w:rPr>
                <w:rFonts w:eastAsia="MS Mincho"/>
                <w:szCs w:val="24"/>
                <w:lang w:val="en-US"/>
              </w:rPr>
              <w:t xml:space="preserve"> </w:t>
            </w:r>
            <w:r w:rsidRPr="006F68EB">
              <w:rPr>
                <w:rFonts w:eastAsia="MS Mincho"/>
                <w:szCs w:val="24"/>
                <w:vertAlign w:val="superscript"/>
                <w:lang w:val="en-US"/>
              </w:rPr>
              <w:t>f</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285C8655" w14:textId="77777777" w:rsidR="00C870DE" w:rsidRPr="00797590" w:rsidRDefault="00C870DE" w:rsidP="00797590">
            <w:pPr>
              <w:pStyle w:val="TableCentre"/>
              <w:rPr>
                <w:lang w:val="en-US"/>
              </w:rPr>
            </w:pPr>
            <w:r w:rsidRPr="00797590">
              <w:rPr>
                <w:lang w:val="en-US"/>
              </w:rPr>
              <w:t>(36.2, 45.0)</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009A26FA" w14:textId="77777777" w:rsidR="00C870DE" w:rsidRPr="00797590" w:rsidRDefault="00C870DE" w:rsidP="00797590">
            <w:pPr>
              <w:pStyle w:val="TableCentre"/>
              <w:rPr>
                <w:lang w:val="en-US"/>
              </w:rPr>
            </w:pPr>
            <w:r w:rsidRPr="00797590">
              <w:rPr>
                <w:lang w:val="en-US"/>
              </w:rPr>
              <w:t>(9.4, 15.4)</w:t>
            </w:r>
          </w:p>
        </w:tc>
      </w:tr>
      <w:tr w:rsidR="00C870DE" w:rsidRPr="00AC3C2C" w14:paraId="1D37AF94"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0DC622C1" w14:textId="7A2237E9" w:rsidR="00C870DE" w:rsidRPr="00797590" w:rsidRDefault="00C870DE" w:rsidP="00797590">
            <w:pPr>
              <w:pStyle w:val="TableText"/>
              <w:rPr>
                <w:rFonts w:eastAsia="MS Mincho"/>
                <w:szCs w:val="24"/>
                <w:lang w:val="en-US"/>
              </w:rPr>
            </w:pPr>
            <w:r w:rsidRPr="00797590">
              <w:rPr>
                <w:rFonts w:eastAsia="MS Mincho"/>
                <w:szCs w:val="24"/>
                <w:lang w:val="en-US"/>
              </w:rPr>
              <w:t>Odds ratio (95% CI)</w:t>
            </w:r>
            <w:r w:rsidR="006F68EB">
              <w:rPr>
                <w:rFonts w:eastAsia="MS Mincho"/>
                <w:szCs w:val="24"/>
                <w:lang w:val="en-US"/>
              </w:rPr>
              <w:t xml:space="preserve"> </w:t>
            </w:r>
            <w:r w:rsidRPr="006F68EB">
              <w:rPr>
                <w:rFonts w:eastAsia="MS Mincho"/>
                <w:szCs w:val="24"/>
                <w:vertAlign w:val="superscript"/>
                <w:lang w:val="en-US"/>
              </w:rPr>
              <w:t>g</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tcPr>
          <w:p w14:paraId="052FFE33" w14:textId="77777777" w:rsidR="00C870DE" w:rsidRPr="00797590" w:rsidRDefault="00C870DE" w:rsidP="00797590">
            <w:pPr>
              <w:pStyle w:val="TableCentre"/>
              <w:rPr>
                <w:lang w:val="en-US"/>
              </w:rPr>
            </w:pPr>
            <w:r w:rsidRPr="00797590">
              <w:rPr>
                <w:lang w:val="en-US"/>
              </w:rPr>
              <w:t>5.01 (3.59, 7.01)</w:t>
            </w:r>
          </w:p>
        </w:tc>
      </w:tr>
      <w:tr w:rsidR="00C870DE" w:rsidRPr="00AC3C2C" w14:paraId="67EE9134"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7C576FB4" w14:textId="77777777" w:rsidR="00C870DE" w:rsidRPr="00797590" w:rsidRDefault="00C870DE" w:rsidP="00797590">
            <w:pPr>
              <w:pStyle w:val="TableText"/>
              <w:rPr>
                <w:rFonts w:eastAsia="MS Mincho"/>
                <w:szCs w:val="24"/>
                <w:lang w:val="en-US"/>
              </w:rPr>
            </w:pPr>
            <w:r w:rsidRPr="00797590">
              <w:rPr>
                <w:rFonts w:eastAsia="MS Mincho"/>
                <w:szCs w:val="24"/>
                <w:lang w:val="en-US"/>
              </w:rPr>
              <w:t xml:space="preserve">P-value </w:t>
            </w:r>
            <w:r w:rsidRPr="006F68EB">
              <w:rPr>
                <w:rFonts w:eastAsia="MS Mincho"/>
                <w:szCs w:val="24"/>
                <w:vertAlign w:val="superscript"/>
                <w:lang w:val="en-US"/>
              </w:rPr>
              <w:t>g</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tcPr>
          <w:p w14:paraId="41655805" w14:textId="77777777" w:rsidR="00C870DE" w:rsidRPr="00797590" w:rsidRDefault="00C870DE" w:rsidP="00797590">
            <w:pPr>
              <w:pStyle w:val="TableCentre"/>
              <w:rPr>
                <w:lang w:val="en-US"/>
              </w:rPr>
            </w:pPr>
            <w:r w:rsidRPr="00797590">
              <w:rPr>
                <w:lang w:val="en-US"/>
              </w:rPr>
              <w:t>&lt;0.00001</w:t>
            </w:r>
          </w:p>
        </w:tc>
      </w:tr>
      <w:tr w:rsidR="00C870DE" w:rsidRPr="00797590" w14:paraId="705F766F" w14:textId="77777777" w:rsidTr="003E22E0">
        <w:tc>
          <w:tcPr>
            <w:tcW w:w="8721" w:type="dxa"/>
            <w:gridSpan w:val="3"/>
            <w:tcBorders>
              <w:top w:val="single" w:sz="4" w:space="0" w:color="auto"/>
              <w:left w:val="single" w:sz="4" w:space="0" w:color="auto"/>
              <w:bottom w:val="single" w:sz="4" w:space="0" w:color="auto"/>
              <w:right w:val="single" w:sz="4" w:space="0" w:color="auto"/>
            </w:tcBorders>
            <w:shd w:val="clear" w:color="auto" w:fill="auto"/>
          </w:tcPr>
          <w:p w14:paraId="46456C7B" w14:textId="77777777" w:rsidR="00C870DE" w:rsidRPr="00797590" w:rsidRDefault="00C870DE" w:rsidP="00797590">
            <w:pPr>
              <w:pStyle w:val="TableHeading"/>
              <w:rPr>
                <w:rFonts w:eastAsia="MS Mincho"/>
              </w:rPr>
            </w:pPr>
            <w:r w:rsidRPr="00797590">
              <w:rPr>
                <w:rFonts w:eastAsia="MS Mincho"/>
              </w:rPr>
              <w:t>Objective Response Rate per Independent Review (RECIST 1.1)</w:t>
            </w:r>
          </w:p>
        </w:tc>
      </w:tr>
      <w:tr w:rsidR="00C870DE" w:rsidRPr="00AC3C2C" w14:paraId="524340B9"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194F72AB" w14:textId="77777777" w:rsidR="00C870DE" w:rsidRPr="00797590" w:rsidRDefault="00C870DE" w:rsidP="00797590">
            <w:pPr>
              <w:pStyle w:val="TableText"/>
              <w:rPr>
                <w:rFonts w:eastAsia="MS Mincho"/>
                <w:szCs w:val="24"/>
                <w:lang w:val="en-US"/>
              </w:rPr>
            </w:pPr>
            <w:r w:rsidRPr="00797590">
              <w:rPr>
                <w:rFonts w:eastAsia="MS Mincho"/>
                <w:szCs w:val="24"/>
                <w:lang w:val="en-US"/>
              </w:rPr>
              <w:t>Objective response rate, n (%)</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17EEC4A5" w14:textId="77777777" w:rsidR="00C870DE" w:rsidRPr="00797590" w:rsidRDefault="00C870DE" w:rsidP="00797590">
            <w:pPr>
              <w:pStyle w:val="TableCentre"/>
              <w:rPr>
                <w:lang w:val="en-US"/>
              </w:rPr>
            </w:pPr>
            <w:r w:rsidRPr="00797590">
              <w:rPr>
                <w:lang w:val="en-US"/>
              </w:rPr>
              <w:t>90 (18.8)</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3DFA9C19" w14:textId="77777777" w:rsidR="00C870DE" w:rsidRPr="00797590" w:rsidRDefault="00C870DE" w:rsidP="00797590">
            <w:pPr>
              <w:pStyle w:val="TableCentre"/>
              <w:rPr>
                <w:lang w:val="en-US"/>
              </w:rPr>
            </w:pPr>
            <w:r w:rsidRPr="00797590">
              <w:rPr>
                <w:lang w:val="en-US"/>
              </w:rPr>
              <w:t>31 (6.5)</w:t>
            </w:r>
          </w:p>
        </w:tc>
      </w:tr>
      <w:tr w:rsidR="00C870DE" w:rsidRPr="00AC3C2C" w14:paraId="1A4E4AA7"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7916EAA5" w14:textId="0DC7D930" w:rsidR="00C870DE" w:rsidRPr="00797590" w:rsidRDefault="00C870DE" w:rsidP="00797590">
            <w:pPr>
              <w:pStyle w:val="TableText"/>
              <w:rPr>
                <w:rFonts w:eastAsia="MS Mincho"/>
                <w:szCs w:val="24"/>
                <w:lang w:val="en-US"/>
              </w:rPr>
            </w:pPr>
            <w:r w:rsidRPr="00797590">
              <w:rPr>
                <w:rFonts w:eastAsia="MS Mincho"/>
                <w:szCs w:val="24"/>
                <w:lang w:val="en-US"/>
              </w:rPr>
              <w:t>(95% CI)</w:t>
            </w:r>
            <w:r w:rsidR="006F68EB">
              <w:rPr>
                <w:rFonts w:eastAsia="MS Mincho"/>
                <w:szCs w:val="24"/>
                <w:lang w:val="en-US"/>
              </w:rPr>
              <w:t xml:space="preserve"> </w:t>
            </w:r>
            <w:r w:rsidRPr="006F68EB">
              <w:rPr>
                <w:rFonts w:eastAsia="MS Mincho"/>
                <w:szCs w:val="24"/>
                <w:vertAlign w:val="superscript"/>
                <w:lang w:val="en-US"/>
              </w:rPr>
              <w:t>f</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7F34BC4A" w14:textId="77777777" w:rsidR="00C870DE" w:rsidRPr="00797590" w:rsidRDefault="00C870DE" w:rsidP="00797590">
            <w:pPr>
              <w:pStyle w:val="TableCentre"/>
              <w:rPr>
                <w:lang w:val="en-US"/>
              </w:rPr>
            </w:pPr>
            <w:r w:rsidRPr="00797590">
              <w:rPr>
                <w:lang w:val="en-US"/>
              </w:rPr>
              <w:t>(15.3, 22.3)</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252868EE" w14:textId="77777777" w:rsidR="00C870DE" w:rsidRPr="00797590" w:rsidRDefault="00C870DE" w:rsidP="00797590">
            <w:pPr>
              <w:pStyle w:val="TableCentre"/>
              <w:rPr>
                <w:lang w:val="en-US"/>
              </w:rPr>
            </w:pPr>
            <w:r w:rsidRPr="00797590">
              <w:rPr>
                <w:lang w:val="en-US"/>
              </w:rPr>
              <w:t>(4.3, 8.7)</w:t>
            </w:r>
          </w:p>
        </w:tc>
      </w:tr>
      <w:tr w:rsidR="00C870DE" w:rsidRPr="00AC3C2C" w14:paraId="3C38FCA5"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4892BA7D" w14:textId="46E3BD5C" w:rsidR="00C870DE" w:rsidRPr="00797590" w:rsidRDefault="00C870DE" w:rsidP="00797590">
            <w:pPr>
              <w:pStyle w:val="TableText"/>
              <w:rPr>
                <w:rFonts w:eastAsia="MS Mincho"/>
                <w:szCs w:val="24"/>
                <w:lang w:val="en-US"/>
              </w:rPr>
            </w:pPr>
            <w:r w:rsidRPr="00797590">
              <w:rPr>
                <w:rFonts w:eastAsia="MS Mincho"/>
                <w:szCs w:val="24"/>
                <w:lang w:val="en-US"/>
              </w:rPr>
              <w:t>Odds ratio (95% CI)</w:t>
            </w:r>
            <w:r w:rsidR="006F68EB">
              <w:rPr>
                <w:rFonts w:eastAsia="MS Mincho"/>
                <w:szCs w:val="24"/>
                <w:lang w:val="en-US"/>
              </w:rPr>
              <w:t xml:space="preserve"> </w:t>
            </w:r>
            <w:r w:rsidRPr="006F68EB">
              <w:rPr>
                <w:rFonts w:eastAsia="MS Mincho"/>
                <w:szCs w:val="24"/>
                <w:vertAlign w:val="superscript"/>
                <w:lang w:val="en-US"/>
              </w:rPr>
              <w:t>g</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tcPr>
          <w:p w14:paraId="400934BD" w14:textId="77777777" w:rsidR="00C870DE" w:rsidRPr="00797590" w:rsidRDefault="00C870DE" w:rsidP="00797590">
            <w:pPr>
              <w:pStyle w:val="TableCentre"/>
              <w:rPr>
                <w:lang w:val="en-US"/>
              </w:rPr>
            </w:pPr>
            <w:r w:rsidRPr="00797590">
              <w:rPr>
                <w:lang w:val="en-US"/>
              </w:rPr>
              <w:t>3.34 (2.17, 5.14)</w:t>
            </w:r>
          </w:p>
        </w:tc>
      </w:tr>
      <w:tr w:rsidR="00C870DE" w:rsidRPr="00AC3C2C" w14:paraId="47AF885E" w14:textId="77777777" w:rsidTr="003E22E0">
        <w:tc>
          <w:tcPr>
            <w:tcW w:w="3969" w:type="dxa"/>
            <w:tcBorders>
              <w:top w:val="single" w:sz="4" w:space="0" w:color="auto"/>
              <w:left w:val="single" w:sz="4" w:space="0" w:color="auto"/>
              <w:bottom w:val="single" w:sz="4" w:space="0" w:color="auto"/>
              <w:right w:val="single" w:sz="4" w:space="0" w:color="auto"/>
            </w:tcBorders>
            <w:shd w:val="clear" w:color="auto" w:fill="auto"/>
          </w:tcPr>
          <w:p w14:paraId="71411271" w14:textId="77777777" w:rsidR="00C870DE" w:rsidRPr="00797590" w:rsidRDefault="00C870DE" w:rsidP="00797590">
            <w:pPr>
              <w:pStyle w:val="TableText"/>
              <w:rPr>
                <w:rFonts w:eastAsia="MS Mincho"/>
                <w:szCs w:val="24"/>
                <w:lang w:val="en-US"/>
              </w:rPr>
            </w:pPr>
            <w:r w:rsidRPr="00797590">
              <w:rPr>
                <w:rFonts w:eastAsia="MS Mincho"/>
                <w:szCs w:val="24"/>
                <w:lang w:val="en-US"/>
              </w:rPr>
              <w:t xml:space="preserve">P-value </w:t>
            </w:r>
            <w:r w:rsidRPr="006F68EB">
              <w:rPr>
                <w:rFonts w:eastAsia="MS Mincho"/>
                <w:szCs w:val="24"/>
                <w:vertAlign w:val="superscript"/>
                <w:lang w:val="en-US"/>
              </w:rPr>
              <w:t>g</w:t>
            </w:r>
          </w:p>
        </w:tc>
        <w:tc>
          <w:tcPr>
            <w:tcW w:w="4752" w:type="dxa"/>
            <w:gridSpan w:val="2"/>
            <w:tcBorders>
              <w:top w:val="single" w:sz="4" w:space="0" w:color="auto"/>
              <w:left w:val="single" w:sz="4" w:space="0" w:color="auto"/>
              <w:bottom w:val="single" w:sz="4" w:space="0" w:color="auto"/>
              <w:right w:val="single" w:sz="4" w:space="0" w:color="auto"/>
            </w:tcBorders>
            <w:shd w:val="clear" w:color="auto" w:fill="auto"/>
          </w:tcPr>
          <w:p w14:paraId="686D6459" w14:textId="77777777" w:rsidR="00C870DE" w:rsidRPr="00797590" w:rsidRDefault="00C870DE" w:rsidP="00797590">
            <w:pPr>
              <w:pStyle w:val="TableCentre"/>
              <w:rPr>
                <w:lang w:val="en-US"/>
              </w:rPr>
            </w:pPr>
            <w:r w:rsidRPr="00797590">
              <w:rPr>
                <w:lang w:val="en-US"/>
              </w:rPr>
              <w:t>&lt;0.00001</w:t>
            </w:r>
          </w:p>
        </w:tc>
      </w:tr>
      <w:tr w:rsidR="00C870DE" w:rsidRPr="00AC3C2C" w14:paraId="21A8CCF1" w14:textId="77777777" w:rsidTr="003E22E0">
        <w:tc>
          <w:tcPr>
            <w:tcW w:w="8721" w:type="dxa"/>
            <w:gridSpan w:val="3"/>
            <w:tcBorders>
              <w:top w:val="single" w:sz="4" w:space="0" w:color="auto"/>
              <w:left w:val="nil"/>
              <w:bottom w:val="nil"/>
              <w:right w:val="nil"/>
            </w:tcBorders>
            <w:shd w:val="clear" w:color="auto" w:fill="auto"/>
          </w:tcPr>
          <w:p w14:paraId="340F566A" w14:textId="40EC7C30" w:rsidR="00C870DE" w:rsidRPr="00AC3C2C" w:rsidRDefault="00C870DE" w:rsidP="00797590">
            <w:pPr>
              <w:pStyle w:val="TableFootnote"/>
              <w:rPr>
                <w:lang w:val="en-US"/>
              </w:rPr>
            </w:pPr>
            <w:r w:rsidRPr="00AC3C2C">
              <w:rPr>
                <w:lang w:val="en-US"/>
              </w:rPr>
              <w:t>Data cutoff date: 13 Nov 2016.</w:t>
            </w:r>
          </w:p>
          <w:p w14:paraId="4B72F94C" w14:textId="77777777" w:rsidR="00C870DE" w:rsidRPr="00AC3C2C" w:rsidRDefault="00C870DE" w:rsidP="00797590">
            <w:pPr>
              <w:pStyle w:val="TableFootnote"/>
              <w:rPr>
                <w:lang w:val="en-US"/>
              </w:rPr>
            </w:pPr>
            <w:r w:rsidRPr="00AC3C2C">
              <w:rPr>
                <w:lang w:val="en-US"/>
              </w:rPr>
              <w:t xml:space="preserve">The </w:t>
            </w:r>
            <w:proofErr w:type="spellStart"/>
            <w:r w:rsidRPr="00AC3C2C">
              <w:rPr>
                <w:lang w:val="en-US"/>
              </w:rPr>
              <w:t>noninferiority</w:t>
            </w:r>
            <w:proofErr w:type="spellEnd"/>
            <w:r w:rsidRPr="00AC3C2C">
              <w:rPr>
                <w:lang w:val="en-US"/>
              </w:rPr>
              <w:t xml:space="preserve"> margin for the HR of </w:t>
            </w:r>
            <w:r>
              <w:rPr>
                <w:lang w:val="en-US"/>
              </w:rPr>
              <w:t>LENVIMA</w:t>
            </w:r>
            <w:r w:rsidRPr="00AC3C2C">
              <w:rPr>
                <w:lang w:val="en-US"/>
              </w:rPr>
              <w:t xml:space="preserve"> versus </w:t>
            </w:r>
            <w:proofErr w:type="spellStart"/>
            <w:r w:rsidRPr="00AC3C2C">
              <w:rPr>
                <w:lang w:val="en-US"/>
              </w:rPr>
              <w:t>sorafenib</w:t>
            </w:r>
            <w:proofErr w:type="spellEnd"/>
            <w:r w:rsidRPr="00AC3C2C">
              <w:rPr>
                <w:lang w:val="en-US"/>
              </w:rPr>
              <w:t xml:space="preserve"> is 1.08.  Percentages </w:t>
            </w:r>
            <w:proofErr w:type="gramStart"/>
            <w:r w:rsidRPr="00AC3C2C">
              <w:rPr>
                <w:lang w:val="en-US"/>
              </w:rPr>
              <w:t>are based</w:t>
            </w:r>
            <w:proofErr w:type="gramEnd"/>
            <w:r w:rsidRPr="00AC3C2C">
              <w:rPr>
                <w:lang w:val="en-US"/>
              </w:rPr>
              <w:t xml:space="preserve"> on the total number of subjects within the relevant treatment group in the Full Analysis Set.</w:t>
            </w:r>
          </w:p>
          <w:p w14:paraId="14D2BBD1" w14:textId="77777777" w:rsidR="00C870DE" w:rsidRPr="00AC3C2C" w:rsidRDefault="00C870DE" w:rsidP="00797590">
            <w:pPr>
              <w:pStyle w:val="TableFootnote"/>
              <w:rPr>
                <w:lang w:val="en-US"/>
              </w:rPr>
            </w:pPr>
            <w:r w:rsidRPr="00AC3C2C">
              <w:rPr>
                <w:lang w:val="en-US"/>
              </w:rPr>
              <w:t xml:space="preserve">CI = confidence interval; ECOG PS = Eastern Cooperative Oncology Group Performance Status; HR = hazard ratio; OS = overall survival </w:t>
            </w:r>
          </w:p>
          <w:p w14:paraId="737C0748" w14:textId="77777777" w:rsidR="00C870DE" w:rsidRPr="00AC3C2C" w:rsidRDefault="00C870DE" w:rsidP="00D33B56">
            <w:pPr>
              <w:pStyle w:val="TableFootnote-list"/>
              <w:numPr>
                <w:ilvl w:val="0"/>
                <w:numId w:val="29"/>
              </w:numPr>
            </w:pPr>
            <w:r w:rsidRPr="00AC3C2C">
              <w:t>Quartiles are estimated by the Kaplan-Meier method, and the 95% CIs are estimated with a generalized Brookmeyer and Crowley method.</w:t>
            </w:r>
          </w:p>
          <w:p w14:paraId="7830447F" w14:textId="77777777" w:rsidR="00C870DE" w:rsidRPr="00AC3C2C" w:rsidRDefault="00C870DE" w:rsidP="009868CF">
            <w:pPr>
              <w:pStyle w:val="TableFootnote-list"/>
            </w:pPr>
            <w:r w:rsidRPr="00AC3C2C">
              <w:t xml:space="preserve">Hazard ratio is for </w:t>
            </w:r>
            <w:r>
              <w:t>LENVIMA</w:t>
            </w:r>
            <w:r w:rsidRPr="00AC3C2C">
              <w:t xml:space="preserve"> vs. </w:t>
            </w:r>
            <w:proofErr w:type="spellStart"/>
            <w:r w:rsidRPr="00AC3C2C">
              <w:t>sorafenib</w:t>
            </w:r>
            <w:proofErr w:type="spellEnd"/>
            <w:r w:rsidRPr="00AC3C2C">
              <w:t xml:space="preserve">, based on a Cox model including treatment group as a factor.  </w:t>
            </w:r>
          </w:p>
          <w:p w14:paraId="6EC0B931" w14:textId="23087A34" w:rsidR="00C870DE" w:rsidRPr="00AC3C2C" w:rsidRDefault="00C870DE" w:rsidP="009868CF">
            <w:pPr>
              <w:pStyle w:val="TableFootnote-list"/>
            </w:pPr>
            <w:r w:rsidRPr="00AC3C2C">
              <w:t xml:space="preserve">Stratified by region (Region 1: Asia-Pacific; Region 2: Western regions), macroscopic portal vein invasion or extrahepatic spread or both (yes, no), ECOG PS (0, 1) and body weight (&lt;60 kg, </w:t>
            </w:r>
            <w:r w:rsidR="00C5198F">
              <w:sym w:font="Symbol" w:char="F0B3"/>
            </w:r>
            <w:r w:rsidRPr="00AC3C2C">
              <w:t>60 kg).</w:t>
            </w:r>
          </w:p>
          <w:p w14:paraId="728D6CC8" w14:textId="77777777" w:rsidR="00C870DE" w:rsidRPr="00AC3C2C" w:rsidRDefault="00C870DE" w:rsidP="009868CF">
            <w:pPr>
              <w:pStyle w:val="TableFootnote-list"/>
            </w:pPr>
            <w:r w:rsidRPr="00AC3C2C">
              <w:t xml:space="preserve">P-value is for the superiority test of </w:t>
            </w:r>
            <w:r>
              <w:t>LENVIMA</w:t>
            </w:r>
            <w:r w:rsidRPr="00AC3C2C">
              <w:t xml:space="preserve"> versus </w:t>
            </w:r>
            <w:proofErr w:type="spellStart"/>
            <w:r w:rsidRPr="00AC3C2C">
              <w:t>sorafenib</w:t>
            </w:r>
            <w:proofErr w:type="spellEnd"/>
            <w:r w:rsidRPr="00AC3C2C">
              <w:t>.</w:t>
            </w:r>
          </w:p>
          <w:p w14:paraId="369328B9" w14:textId="77777777" w:rsidR="00C870DE" w:rsidRPr="00AC3C2C" w:rsidRDefault="00C870DE" w:rsidP="009868CF">
            <w:pPr>
              <w:pStyle w:val="TableFootnote-list"/>
            </w:pPr>
            <w:r w:rsidRPr="00AC3C2C">
              <w:t xml:space="preserve">Deaths </w:t>
            </w:r>
            <w:proofErr w:type="gramStart"/>
            <w:r w:rsidRPr="00AC3C2C">
              <w:t>were not counted</w:t>
            </w:r>
            <w:proofErr w:type="gramEnd"/>
            <w:r w:rsidRPr="00AC3C2C">
              <w:t xml:space="preserve"> as progression events in this analysis.</w:t>
            </w:r>
          </w:p>
          <w:p w14:paraId="468E029F" w14:textId="77777777" w:rsidR="00C870DE" w:rsidRPr="00AC3C2C" w:rsidRDefault="00C870DE" w:rsidP="009868CF">
            <w:pPr>
              <w:pStyle w:val="TableFootnote-list"/>
            </w:pPr>
            <w:proofErr w:type="gramStart"/>
            <w:r w:rsidRPr="00AC3C2C">
              <w:t>95%</w:t>
            </w:r>
            <w:proofErr w:type="gramEnd"/>
            <w:r w:rsidRPr="00AC3C2C">
              <w:t xml:space="preserve"> CI was calculated using asymptotic normal approximation.</w:t>
            </w:r>
          </w:p>
          <w:p w14:paraId="51075731" w14:textId="77777777" w:rsidR="00C870DE" w:rsidRPr="00AC3C2C" w:rsidRDefault="00C870DE" w:rsidP="009868CF">
            <w:pPr>
              <w:pStyle w:val="TableFootnote-list"/>
              <w:rPr>
                <w:rFonts w:ascii="Calibri" w:hAnsi="Calibri"/>
              </w:rPr>
            </w:pPr>
            <w:r w:rsidRPr="00AC3C2C">
              <w:t xml:space="preserve">Odds ratio and P-value (for superiority test) </w:t>
            </w:r>
            <w:proofErr w:type="gramStart"/>
            <w:r w:rsidRPr="00AC3C2C">
              <w:t>were calculated</w:t>
            </w:r>
            <w:proofErr w:type="gramEnd"/>
            <w:r w:rsidRPr="00AC3C2C">
              <w:t xml:space="preserve"> using the Cochran-Mantel-</w:t>
            </w:r>
            <w:proofErr w:type="spellStart"/>
            <w:r w:rsidRPr="00AC3C2C">
              <w:t>Haenszel</w:t>
            </w:r>
            <w:proofErr w:type="spellEnd"/>
            <w:r w:rsidRPr="00AC3C2C">
              <w:t xml:space="preserve"> method, stratified by </w:t>
            </w:r>
            <w:proofErr w:type="spellStart"/>
            <w:r w:rsidRPr="00AC3C2C">
              <w:t>IxRS</w:t>
            </w:r>
            <w:proofErr w:type="spellEnd"/>
            <w:r w:rsidRPr="00AC3C2C">
              <w:t xml:space="preserve"> stratification factors.</w:t>
            </w:r>
          </w:p>
        </w:tc>
      </w:tr>
    </w:tbl>
    <w:p w14:paraId="63CB00BB" w14:textId="77777777" w:rsidR="00C870DE" w:rsidRDefault="00C870DE" w:rsidP="006F68EB">
      <w:pPr>
        <w:pStyle w:val="BodyText"/>
        <w:rPr>
          <w:lang w:val="en-US"/>
        </w:rPr>
      </w:pPr>
    </w:p>
    <w:p w14:paraId="6D73167F" w14:textId="633456DB" w:rsidR="006F68EB" w:rsidRPr="006F68EB" w:rsidRDefault="006F68EB" w:rsidP="006F68EB">
      <w:pPr>
        <w:pStyle w:val="Caption"/>
      </w:pPr>
      <w:bookmarkStart w:id="20" w:name="_Ref503779375"/>
      <w:r w:rsidRPr="006F68EB">
        <w:t>Figure</w:t>
      </w:r>
      <w:r>
        <w:t> </w:t>
      </w:r>
      <w:r w:rsidR="002A2468">
        <w:rPr>
          <w:noProof/>
        </w:rPr>
        <w:fldChar w:fldCharType="begin"/>
      </w:r>
      <w:r w:rsidR="002A2468">
        <w:rPr>
          <w:noProof/>
        </w:rPr>
        <w:instrText xml:space="preserve"> SEQ Figure \* ARABIC </w:instrText>
      </w:r>
      <w:r w:rsidR="002A2468">
        <w:rPr>
          <w:noProof/>
        </w:rPr>
        <w:fldChar w:fldCharType="separate"/>
      </w:r>
      <w:r w:rsidR="0064223A">
        <w:rPr>
          <w:noProof/>
        </w:rPr>
        <w:t>4</w:t>
      </w:r>
      <w:r w:rsidR="002A2468">
        <w:rPr>
          <w:noProof/>
        </w:rPr>
        <w:fldChar w:fldCharType="end"/>
      </w:r>
      <w:bookmarkEnd w:id="20"/>
      <w:r w:rsidRPr="006F68EB">
        <w:tab/>
        <w:t>Kaplan-Meier Curve of Overall Survival – HCC</w:t>
      </w:r>
    </w:p>
    <w:p w14:paraId="46B69B9D" w14:textId="77777777" w:rsidR="00C870DE" w:rsidRDefault="00C870DE" w:rsidP="006540BC">
      <w:pPr>
        <w:pStyle w:val="BodyText"/>
      </w:pPr>
      <w:r w:rsidRPr="006540BC">
        <w:rPr>
          <w:noProof/>
          <w:lang w:eastAsia="en-AU"/>
        </w:rPr>
        <w:drawing>
          <wp:inline distT="0" distB="0" distL="0" distR="0" wp14:anchorId="5091B1BD" wp14:editId="005C8006">
            <wp:extent cx="5467350" cy="284302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for FAS.png"/>
                    <pic:cNvPicPr/>
                  </pic:nvPicPr>
                  <pic:blipFill>
                    <a:blip r:embed="rId16">
                      <a:extLst>
                        <a:ext uri="{28A0092B-C50C-407E-A947-70E740481C1C}">
                          <a14:useLocalDpi xmlns:a14="http://schemas.microsoft.com/office/drawing/2010/main" val="0"/>
                        </a:ext>
                      </a:extLst>
                    </a:blip>
                    <a:stretch>
                      <a:fillRect/>
                    </a:stretch>
                  </pic:blipFill>
                  <pic:spPr>
                    <a:xfrm>
                      <a:off x="0" y="0"/>
                      <a:ext cx="5467350" cy="2843022"/>
                    </a:xfrm>
                    <a:prstGeom prst="rect">
                      <a:avLst/>
                    </a:prstGeom>
                  </pic:spPr>
                </pic:pic>
              </a:graphicData>
            </a:graphic>
          </wp:inline>
        </w:drawing>
      </w:r>
    </w:p>
    <w:p w14:paraId="667CBA10" w14:textId="77777777" w:rsidR="00C870DE" w:rsidRPr="00C254E3" w:rsidRDefault="00C870DE" w:rsidP="00D33B56">
      <w:pPr>
        <w:pStyle w:val="TableFootnote"/>
        <w:keepNext/>
      </w:pPr>
      <w:r w:rsidRPr="00C254E3">
        <w:lastRenderedPageBreak/>
        <w:t xml:space="preserve">Data </w:t>
      </w:r>
      <w:proofErr w:type="spellStart"/>
      <w:r w:rsidRPr="00C254E3">
        <w:t>cutoff</w:t>
      </w:r>
      <w:proofErr w:type="spellEnd"/>
      <w:r w:rsidRPr="00C254E3">
        <w:t xml:space="preserve"> date = 13 Nov 2016.</w:t>
      </w:r>
    </w:p>
    <w:p w14:paraId="59FAE475" w14:textId="77777777" w:rsidR="00C870DE" w:rsidRPr="00C254E3" w:rsidRDefault="00C870DE" w:rsidP="00D33B56">
      <w:pPr>
        <w:pStyle w:val="TableFootnote"/>
        <w:keepNext/>
      </w:pPr>
      <w:proofErr w:type="spellStart"/>
      <w:r w:rsidRPr="00C254E3">
        <w:t>Noninferiority</w:t>
      </w:r>
      <w:proofErr w:type="spellEnd"/>
      <w:r w:rsidRPr="00C254E3">
        <w:t xml:space="preserve"> margin for hazard ratio (HR: </w:t>
      </w:r>
      <w:r>
        <w:t>LENVIMA</w:t>
      </w:r>
      <w:r w:rsidRPr="00C254E3">
        <w:t xml:space="preserve"> vs </w:t>
      </w:r>
      <w:proofErr w:type="spellStart"/>
      <w:r w:rsidRPr="00C254E3">
        <w:t>sorafenib</w:t>
      </w:r>
      <w:proofErr w:type="spellEnd"/>
      <w:r w:rsidRPr="00C254E3">
        <w:t xml:space="preserve"> = 1.08).</w:t>
      </w:r>
    </w:p>
    <w:p w14:paraId="091B44E2" w14:textId="77777777" w:rsidR="00C870DE" w:rsidRPr="00C254E3" w:rsidRDefault="00C870DE" w:rsidP="00D33B56">
      <w:pPr>
        <w:pStyle w:val="TableFootnote"/>
        <w:keepNext/>
      </w:pPr>
      <w:r w:rsidRPr="00C254E3">
        <w:t xml:space="preserve">Median </w:t>
      </w:r>
      <w:proofErr w:type="gramStart"/>
      <w:r w:rsidRPr="00C254E3">
        <w:t>was estimated</w:t>
      </w:r>
      <w:proofErr w:type="gramEnd"/>
      <w:r w:rsidRPr="00C254E3">
        <w:t xml:space="preserve"> with the Kaplan-Meier method and the 95% confidence interval was constructed with a generalized Brookmeyer and Crowley method.</w:t>
      </w:r>
    </w:p>
    <w:p w14:paraId="762E468C" w14:textId="305822EC" w:rsidR="00C870DE" w:rsidRDefault="00C870DE" w:rsidP="00D33B56">
      <w:pPr>
        <w:pStyle w:val="TableFootnote"/>
        <w:keepNext/>
      </w:pPr>
      <w:r w:rsidRPr="00C254E3">
        <w:t xml:space="preserve">HR </w:t>
      </w:r>
      <w:proofErr w:type="gramStart"/>
      <w:r w:rsidRPr="00C254E3">
        <w:t>was estimated from the Cox proportional hazard model with treatment as independent variable and stratified b</w:t>
      </w:r>
      <w:r w:rsidR="006540BC">
        <w:t xml:space="preserve">y </w:t>
      </w:r>
      <w:proofErr w:type="spellStart"/>
      <w:r w:rsidR="006540BC">
        <w:t>IxRS</w:t>
      </w:r>
      <w:proofErr w:type="spellEnd"/>
      <w:r w:rsidR="006540BC">
        <w:t xml:space="preserve"> stratification factors</w:t>
      </w:r>
      <w:proofErr w:type="gramEnd"/>
      <w:r w:rsidR="006540BC">
        <w:t xml:space="preserve">. </w:t>
      </w:r>
      <w:r w:rsidRPr="00C254E3">
        <w:t xml:space="preserve">The </w:t>
      </w:r>
      <w:proofErr w:type="spellStart"/>
      <w:r w:rsidRPr="00C254E3">
        <w:t>Efron</w:t>
      </w:r>
      <w:proofErr w:type="spellEnd"/>
      <w:r w:rsidRPr="00C254E3">
        <w:t xml:space="preserve"> method </w:t>
      </w:r>
      <w:proofErr w:type="gramStart"/>
      <w:r w:rsidRPr="00C254E3">
        <w:t>was used</w:t>
      </w:r>
      <w:proofErr w:type="gramEnd"/>
      <w:r w:rsidRPr="00C254E3">
        <w:t xml:space="preserve"> for ties.</w:t>
      </w:r>
    </w:p>
    <w:p w14:paraId="68556EC1" w14:textId="77777777" w:rsidR="00C870DE" w:rsidRDefault="00C870DE" w:rsidP="00D33B56">
      <w:pPr>
        <w:pStyle w:val="TableFootnote"/>
        <w:keepNext/>
      </w:pPr>
      <w:r>
        <w:t>+ = censored observations</w:t>
      </w:r>
    </w:p>
    <w:p w14:paraId="3086D2BB" w14:textId="77777777" w:rsidR="00C870DE" w:rsidRPr="00C254E3" w:rsidRDefault="00C870DE" w:rsidP="00D33B56">
      <w:pPr>
        <w:pStyle w:val="TableFootnote"/>
        <w:keepNext/>
      </w:pPr>
      <w:r w:rsidRPr="001D5A85">
        <w:t xml:space="preserve">CI = confidence interval; </w:t>
      </w:r>
      <w:r w:rsidRPr="009579F6">
        <w:t xml:space="preserve">HR = hazard ratio; </w:t>
      </w:r>
      <w:proofErr w:type="spellStart"/>
      <w:r w:rsidRPr="009579F6">
        <w:t>IxRS</w:t>
      </w:r>
      <w:proofErr w:type="spellEnd"/>
      <w:r w:rsidRPr="009579F6">
        <w:t xml:space="preserve"> = interactive response system.</w:t>
      </w:r>
    </w:p>
    <w:p w14:paraId="188C6477" w14:textId="0F6F80D3" w:rsidR="00C870DE" w:rsidRDefault="00C870DE" w:rsidP="00C870DE">
      <w:pPr>
        <w:pStyle w:val="Caption"/>
      </w:pPr>
      <w:bookmarkStart w:id="21" w:name="_Ref503779381"/>
      <w:r>
        <w:t>Figure </w:t>
      </w:r>
      <w:r w:rsidR="002A2468">
        <w:rPr>
          <w:noProof/>
        </w:rPr>
        <w:fldChar w:fldCharType="begin"/>
      </w:r>
      <w:r w:rsidR="002A2468">
        <w:rPr>
          <w:noProof/>
        </w:rPr>
        <w:instrText xml:space="preserve"> SEQ Figure \* ARABIC </w:instrText>
      </w:r>
      <w:r w:rsidR="002A2468">
        <w:rPr>
          <w:noProof/>
        </w:rPr>
        <w:fldChar w:fldCharType="separate"/>
      </w:r>
      <w:r w:rsidR="0064223A">
        <w:rPr>
          <w:noProof/>
        </w:rPr>
        <w:t>5</w:t>
      </w:r>
      <w:r w:rsidR="002A2468">
        <w:rPr>
          <w:noProof/>
        </w:rPr>
        <w:fldChar w:fldCharType="end"/>
      </w:r>
      <w:bookmarkEnd w:id="21"/>
      <w:r w:rsidRPr="001D5A85">
        <w:rPr>
          <w:rFonts w:eastAsiaTheme="minorHAnsi"/>
        </w:rPr>
        <w:tab/>
        <w:t>Kaplan-Meier Curve of Progression-free Survival</w:t>
      </w:r>
      <w:r>
        <w:t xml:space="preserve"> </w:t>
      </w:r>
      <w:r>
        <w:rPr>
          <w:rFonts w:eastAsiaTheme="minorHAnsi"/>
        </w:rPr>
        <w:t>– HCC</w:t>
      </w:r>
    </w:p>
    <w:p w14:paraId="5060C502" w14:textId="77777777" w:rsidR="00C870DE" w:rsidRPr="00EB2937" w:rsidRDefault="00C870DE" w:rsidP="00C870DE">
      <w:pPr>
        <w:pStyle w:val="BodyText"/>
      </w:pPr>
      <w:r>
        <w:rPr>
          <w:noProof/>
          <w:lang w:eastAsia="en-AU"/>
        </w:rPr>
        <w:drawing>
          <wp:inline distT="0" distB="0" distL="0" distR="0" wp14:anchorId="77A809EB" wp14:editId="04916EDE">
            <wp:extent cx="5410200" cy="27681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3807" cy="2770022"/>
                    </a:xfrm>
                    <a:prstGeom prst="rect">
                      <a:avLst/>
                    </a:prstGeom>
                    <a:noFill/>
                  </pic:spPr>
                </pic:pic>
              </a:graphicData>
            </a:graphic>
          </wp:inline>
        </w:drawing>
      </w:r>
    </w:p>
    <w:p w14:paraId="2B72AD14" w14:textId="77777777" w:rsidR="00C870DE" w:rsidRPr="00833F57" w:rsidRDefault="00C870DE" w:rsidP="006F68EB">
      <w:pPr>
        <w:pStyle w:val="TableFootnote"/>
      </w:pPr>
      <w:r w:rsidRPr="00833F57">
        <w:t xml:space="preserve">Data </w:t>
      </w:r>
      <w:proofErr w:type="spellStart"/>
      <w:r w:rsidRPr="00833F57">
        <w:t>cutoff</w:t>
      </w:r>
      <w:proofErr w:type="spellEnd"/>
      <w:r w:rsidRPr="00833F57">
        <w:t xml:space="preserve"> date = 13 Nov 2016.</w:t>
      </w:r>
    </w:p>
    <w:p w14:paraId="69669973" w14:textId="77777777" w:rsidR="00C870DE" w:rsidRPr="00833F57" w:rsidRDefault="00C870DE" w:rsidP="006F68EB">
      <w:pPr>
        <w:pStyle w:val="TableFootnote"/>
      </w:pPr>
      <w:r w:rsidRPr="00833F57">
        <w:t>Median was estimated with the Kaplan-Meier method and the 95% CI was constructed with a generalized Brookmeyer and Crowley method.</w:t>
      </w:r>
    </w:p>
    <w:p w14:paraId="2019D208" w14:textId="739FF35A" w:rsidR="00C870DE" w:rsidRPr="00833F57" w:rsidRDefault="00C870DE" w:rsidP="006F68EB">
      <w:pPr>
        <w:pStyle w:val="TableFootnote"/>
      </w:pPr>
      <w:r w:rsidRPr="00833F57">
        <w:t xml:space="preserve">Hazard ratio is expressed as </w:t>
      </w:r>
      <w:r>
        <w:t>LENVIMA</w:t>
      </w:r>
      <w:r w:rsidRPr="00833F57">
        <w:t xml:space="preserve">: </w:t>
      </w:r>
      <w:proofErr w:type="spellStart"/>
      <w:r w:rsidRPr="00833F57">
        <w:t>sorafenib</w:t>
      </w:r>
      <w:proofErr w:type="spellEnd"/>
      <w:r w:rsidRPr="00833F57">
        <w:t xml:space="preserve"> and was estimated from the Cox proportional hazard model with treatment as an independent variable and stratified b</w:t>
      </w:r>
      <w:r w:rsidR="006540BC">
        <w:t xml:space="preserve">y </w:t>
      </w:r>
      <w:proofErr w:type="spellStart"/>
      <w:r w:rsidR="006540BC">
        <w:t>IxRS</w:t>
      </w:r>
      <w:proofErr w:type="spellEnd"/>
      <w:r w:rsidR="006540BC">
        <w:t xml:space="preserve"> stratification factors. </w:t>
      </w:r>
      <w:r w:rsidRPr="00833F57">
        <w:t xml:space="preserve">The </w:t>
      </w:r>
      <w:proofErr w:type="spellStart"/>
      <w:r w:rsidRPr="00833F57">
        <w:t>Efron</w:t>
      </w:r>
      <w:proofErr w:type="spellEnd"/>
      <w:r w:rsidRPr="00833F57">
        <w:t xml:space="preserve"> method </w:t>
      </w:r>
      <w:proofErr w:type="gramStart"/>
      <w:r w:rsidRPr="00833F57">
        <w:t>was used</w:t>
      </w:r>
      <w:proofErr w:type="gramEnd"/>
      <w:r w:rsidRPr="00833F57">
        <w:t xml:space="preserve"> for ties.</w:t>
      </w:r>
    </w:p>
    <w:p w14:paraId="199B3D0C" w14:textId="77777777" w:rsidR="00C870DE" w:rsidRPr="00833F57" w:rsidRDefault="00C870DE" w:rsidP="006F68EB">
      <w:pPr>
        <w:pStyle w:val="TableFootnote"/>
      </w:pPr>
      <w:r w:rsidRPr="00833F57">
        <w:t>P-value was for superiority test (</w:t>
      </w:r>
      <w:r>
        <w:t>LENVIMA</w:t>
      </w:r>
      <w:r w:rsidRPr="00833F57">
        <w:t xml:space="preserve"> vs. </w:t>
      </w:r>
      <w:proofErr w:type="spellStart"/>
      <w:r w:rsidRPr="00833F57">
        <w:t>Sorafenib</w:t>
      </w:r>
      <w:proofErr w:type="spellEnd"/>
      <w:r w:rsidRPr="00833F57">
        <w:t xml:space="preserve">) and was calculated using log-rank test stratified by </w:t>
      </w:r>
      <w:proofErr w:type="spellStart"/>
      <w:r w:rsidRPr="00833F57">
        <w:t>IxRS</w:t>
      </w:r>
      <w:proofErr w:type="spellEnd"/>
      <w:r w:rsidRPr="00833F57">
        <w:t xml:space="preserve"> stratification factors.</w:t>
      </w:r>
    </w:p>
    <w:p w14:paraId="7381BB6A" w14:textId="77777777" w:rsidR="00C870DE" w:rsidRPr="00833F57" w:rsidRDefault="00C870DE" w:rsidP="006F68EB">
      <w:pPr>
        <w:pStyle w:val="TableFootnote"/>
      </w:pPr>
      <w:r w:rsidRPr="00833F57">
        <w:t>+ = censored observations.</w:t>
      </w:r>
    </w:p>
    <w:p w14:paraId="52FFCB57" w14:textId="77777777" w:rsidR="00C870DE" w:rsidRPr="00833F57" w:rsidRDefault="00C870DE" w:rsidP="006F68EB">
      <w:pPr>
        <w:pStyle w:val="TableFootnote"/>
      </w:pPr>
      <w:r w:rsidRPr="00833F57">
        <w:t xml:space="preserve">CI = confidence interval; HR = hazard ratio; </w:t>
      </w:r>
      <w:proofErr w:type="spellStart"/>
      <w:r w:rsidRPr="00833F57">
        <w:t>IxRS</w:t>
      </w:r>
      <w:proofErr w:type="spellEnd"/>
      <w:r w:rsidRPr="00833F57">
        <w:t xml:space="preserve"> = interactive response system.</w:t>
      </w:r>
    </w:p>
    <w:p w14:paraId="20FC7DBB" w14:textId="314E8F3C" w:rsidR="00C870DE" w:rsidRDefault="00C870DE" w:rsidP="00C870DE">
      <w:pPr>
        <w:pStyle w:val="Caption"/>
      </w:pPr>
      <w:bookmarkStart w:id="22" w:name="_Ref503779383"/>
      <w:r>
        <w:t>Figure </w:t>
      </w:r>
      <w:r w:rsidR="002A2468">
        <w:rPr>
          <w:noProof/>
        </w:rPr>
        <w:fldChar w:fldCharType="begin"/>
      </w:r>
      <w:r w:rsidR="002A2468">
        <w:rPr>
          <w:noProof/>
        </w:rPr>
        <w:instrText xml:space="preserve"> SEQ Figure \* ARABIC </w:instrText>
      </w:r>
      <w:r w:rsidR="002A2468">
        <w:rPr>
          <w:noProof/>
        </w:rPr>
        <w:fldChar w:fldCharType="separate"/>
      </w:r>
      <w:r w:rsidR="0064223A">
        <w:rPr>
          <w:noProof/>
        </w:rPr>
        <w:t>6</w:t>
      </w:r>
      <w:r w:rsidR="002A2468">
        <w:rPr>
          <w:noProof/>
        </w:rPr>
        <w:fldChar w:fldCharType="end"/>
      </w:r>
      <w:bookmarkEnd w:id="22"/>
      <w:r w:rsidRPr="001D5A85">
        <w:rPr>
          <w:rFonts w:eastAsiaTheme="minorHAnsi"/>
        </w:rPr>
        <w:tab/>
        <w:t xml:space="preserve">Kaplan-Meier Curve of Time to Progression </w:t>
      </w:r>
      <w:r>
        <w:rPr>
          <w:rFonts w:eastAsiaTheme="minorHAnsi"/>
        </w:rPr>
        <w:t>– HCC</w:t>
      </w:r>
    </w:p>
    <w:p w14:paraId="19ADE2EC" w14:textId="77777777" w:rsidR="00C870DE" w:rsidRDefault="00C870DE" w:rsidP="00C870DE">
      <w:pPr>
        <w:pStyle w:val="BodyText"/>
      </w:pPr>
      <w:r w:rsidRPr="00BB6FC7">
        <w:rPr>
          <w:noProof/>
          <w:lang w:eastAsia="en-AU"/>
        </w:rPr>
        <w:drawing>
          <wp:inline distT="0" distB="0" distL="0" distR="0" wp14:anchorId="5A56EB20" wp14:editId="53871878">
            <wp:extent cx="5406410" cy="284797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P in OS.png"/>
                    <pic:cNvPicPr/>
                  </pic:nvPicPr>
                  <pic:blipFill>
                    <a:blip r:embed="rId18">
                      <a:extLst>
                        <a:ext uri="{28A0092B-C50C-407E-A947-70E740481C1C}">
                          <a14:useLocalDpi xmlns:a14="http://schemas.microsoft.com/office/drawing/2010/main" val="0"/>
                        </a:ext>
                      </a:extLst>
                    </a:blip>
                    <a:stretch>
                      <a:fillRect/>
                    </a:stretch>
                  </pic:blipFill>
                  <pic:spPr>
                    <a:xfrm>
                      <a:off x="0" y="0"/>
                      <a:ext cx="5407251" cy="2848418"/>
                    </a:xfrm>
                    <a:prstGeom prst="rect">
                      <a:avLst/>
                    </a:prstGeom>
                  </pic:spPr>
                </pic:pic>
              </a:graphicData>
            </a:graphic>
          </wp:inline>
        </w:drawing>
      </w:r>
    </w:p>
    <w:p w14:paraId="3EE73BEB" w14:textId="77777777" w:rsidR="00C870DE" w:rsidRPr="00102432" w:rsidRDefault="00C870DE" w:rsidP="006F68EB">
      <w:pPr>
        <w:pStyle w:val="TableFootnote"/>
      </w:pPr>
      <w:r w:rsidRPr="00102432">
        <w:t xml:space="preserve">Data </w:t>
      </w:r>
      <w:proofErr w:type="spellStart"/>
      <w:r w:rsidRPr="00102432">
        <w:t>cutoff</w:t>
      </w:r>
      <w:proofErr w:type="spellEnd"/>
      <w:r w:rsidRPr="00102432">
        <w:t xml:space="preserve"> date:  13 Nov 2016.</w:t>
      </w:r>
    </w:p>
    <w:p w14:paraId="47F28B73" w14:textId="77777777" w:rsidR="00C870DE" w:rsidRPr="00102432" w:rsidRDefault="00C870DE" w:rsidP="006F68EB">
      <w:pPr>
        <w:pStyle w:val="TableFootnote"/>
      </w:pPr>
      <w:r w:rsidRPr="00102432">
        <w:lastRenderedPageBreak/>
        <w:t xml:space="preserve">The median </w:t>
      </w:r>
      <w:proofErr w:type="gramStart"/>
      <w:r w:rsidRPr="00102432">
        <w:t>was estimated</w:t>
      </w:r>
      <w:proofErr w:type="gramEnd"/>
      <w:r w:rsidRPr="00102432">
        <w:t xml:space="preserve"> using the Kaplan-Meier method and the 95% CI was constructed with a generalized Brookmeyer and Crowley method.</w:t>
      </w:r>
    </w:p>
    <w:p w14:paraId="3EDC95E4" w14:textId="77777777" w:rsidR="00C870DE" w:rsidRPr="00102432" w:rsidRDefault="00C870DE" w:rsidP="006F68EB">
      <w:pPr>
        <w:pStyle w:val="TableFootnote"/>
      </w:pPr>
      <w:r w:rsidRPr="00102432">
        <w:t xml:space="preserve">Hazard ratio is expressed as </w:t>
      </w:r>
      <w:r>
        <w:t>LENVIMA</w:t>
      </w:r>
      <w:r w:rsidRPr="00102432">
        <w:t xml:space="preserve">: </w:t>
      </w:r>
      <w:proofErr w:type="spellStart"/>
      <w:r w:rsidRPr="00102432">
        <w:t>sorafenib</w:t>
      </w:r>
      <w:proofErr w:type="spellEnd"/>
      <w:r w:rsidRPr="00102432">
        <w:t xml:space="preserve"> and was estimated from the Cox proportional hazard model with treatment as an independent variable, and stratified by </w:t>
      </w:r>
      <w:proofErr w:type="spellStart"/>
      <w:r w:rsidRPr="00102432">
        <w:t>IxRS</w:t>
      </w:r>
      <w:proofErr w:type="spellEnd"/>
      <w:r w:rsidRPr="00102432">
        <w:t xml:space="preserve"> stratification factors.  </w:t>
      </w:r>
      <w:proofErr w:type="spellStart"/>
      <w:r w:rsidRPr="00102432">
        <w:t>Efron</w:t>
      </w:r>
      <w:proofErr w:type="spellEnd"/>
      <w:r w:rsidRPr="00102432">
        <w:t xml:space="preserve"> method </w:t>
      </w:r>
      <w:proofErr w:type="gramStart"/>
      <w:r w:rsidRPr="00102432">
        <w:t>was used</w:t>
      </w:r>
      <w:proofErr w:type="gramEnd"/>
      <w:r w:rsidRPr="00102432">
        <w:t xml:space="preserve"> for ties.</w:t>
      </w:r>
    </w:p>
    <w:p w14:paraId="2F6F20E0" w14:textId="77777777" w:rsidR="00C870DE" w:rsidRPr="00102432" w:rsidRDefault="00C870DE" w:rsidP="006F68EB">
      <w:pPr>
        <w:pStyle w:val="TableFootnote"/>
      </w:pPr>
      <w:proofErr w:type="gramStart"/>
      <w:r w:rsidRPr="001D5A85">
        <w:t>P</w:t>
      </w:r>
      <w:r w:rsidRPr="00102432">
        <w:t xml:space="preserve">-value is for the superiority test of </w:t>
      </w:r>
      <w:r>
        <w:t>LENVIMA</w:t>
      </w:r>
      <w:r w:rsidRPr="00102432">
        <w:t xml:space="preserve"> vs </w:t>
      </w:r>
      <w:proofErr w:type="spellStart"/>
      <w:r w:rsidRPr="00102432">
        <w:t>sorafenib</w:t>
      </w:r>
      <w:proofErr w:type="spellEnd"/>
      <w:r w:rsidRPr="00102432">
        <w:t xml:space="preserve"> and was calculated using the log-rank test stratified by </w:t>
      </w:r>
      <w:proofErr w:type="spellStart"/>
      <w:r w:rsidRPr="00102432">
        <w:t>IxRS</w:t>
      </w:r>
      <w:proofErr w:type="spellEnd"/>
      <w:r w:rsidRPr="00102432">
        <w:t xml:space="preserve"> stratification factors.</w:t>
      </w:r>
      <w:proofErr w:type="gramEnd"/>
    </w:p>
    <w:p w14:paraId="554CEB12" w14:textId="77777777" w:rsidR="00C870DE" w:rsidRPr="00102432" w:rsidRDefault="00C870DE" w:rsidP="006F68EB">
      <w:pPr>
        <w:pStyle w:val="TableFootnote"/>
      </w:pPr>
      <w:r w:rsidRPr="00102432">
        <w:t xml:space="preserve">CI = confidence interval; HR = hazard ratio; </w:t>
      </w:r>
      <w:proofErr w:type="spellStart"/>
      <w:r w:rsidRPr="00102432">
        <w:t>IxRS</w:t>
      </w:r>
      <w:proofErr w:type="spellEnd"/>
      <w:r w:rsidRPr="00102432">
        <w:t xml:space="preserve"> = interactive voice/web response system.</w:t>
      </w:r>
    </w:p>
    <w:p w14:paraId="55A382F6" w14:textId="77777777" w:rsidR="00C870DE" w:rsidRPr="00A933DD" w:rsidRDefault="00C870DE" w:rsidP="00C870DE">
      <w:pPr>
        <w:pStyle w:val="Heading4"/>
        <w:rPr>
          <w:lang w:val="en-GB"/>
        </w:rPr>
      </w:pPr>
      <w:r w:rsidRPr="00A933DD">
        <w:rPr>
          <w:lang w:val="en-GB"/>
        </w:rPr>
        <w:t>Assessment on Quality of Life (</w:t>
      </w:r>
      <w:proofErr w:type="spellStart"/>
      <w:r w:rsidRPr="00A933DD">
        <w:rPr>
          <w:lang w:val="en-GB"/>
        </w:rPr>
        <w:t>QoL</w:t>
      </w:r>
      <w:proofErr w:type="spellEnd"/>
      <w:r w:rsidRPr="00A933DD">
        <w:rPr>
          <w:lang w:val="en-GB"/>
        </w:rPr>
        <w:t>) in Patients with HCC</w:t>
      </w:r>
    </w:p>
    <w:p w14:paraId="5294C54E" w14:textId="77777777" w:rsidR="00C870DE" w:rsidRDefault="00C870DE" w:rsidP="002B59F2">
      <w:pPr>
        <w:pStyle w:val="BodyText"/>
        <w:spacing w:before="120" w:after="120"/>
      </w:pPr>
      <w:r w:rsidRPr="00C4480C">
        <w:t xml:space="preserve">Three </w:t>
      </w:r>
      <w:proofErr w:type="spellStart"/>
      <w:r w:rsidRPr="00C4480C">
        <w:t>QoL</w:t>
      </w:r>
      <w:proofErr w:type="spellEnd"/>
      <w:r w:rsidRPr="00C4480C">
        <w:t xml:space="preserve"> questionnaires were administered EORTC QLQ-C30, EO</w:t>
      </w:r>
      <w:r>
        <w:t>RTC QLQ-HCC18 and the EQ-5D-3L.</w:t>
      </w:r>
    </w:p>
    <w:p w14:paraId="5DD226E8" w14:textId="01D6FDA2" w:rsidR="00C870DE" w:rsidRDefault="00C870DE" w:rsidP="002B59F2">
      <w:pPr>
        <w:pStyle w:val="BodyText"/>
        <w:spacing w:before="120" w:after="120"/>
      </w:pPr>
      <w:r w:rsidRPr="00C4480C">
        <w:t xml:space="preserve">Compared to patients treated with </w:t>
      </w:r>
      <w:r>
        <w:t>LENVIMA</w:t>
      </w:r>
      <w:r w:rsidRPr="00C4480C">
        <w:t>, those trea</w:t>
      </w:r>
      <w:r>
        <w:t xml:space="preserve">ted with </w:t>
      </w:r>
      <w:proofErr w:type="spellStart"/>
      <w:r>
        <w:t>sorafenib</w:t>
      </w:r>
      <w:proofErr w:type="spellEnd"/>
      <w:r>
        <w:t xml:space="preserve"> experienced </w:t>
      </w:r>
      <w:r w:rsidRPr="00C4480C">
        <w:t>greater risks of more rapid time to</w:t>
      </w:r>
      <w:r>
        <w:t xml:space="preserve"> clinically meaningful</w:t>
      </w:r>
      <w:r w:rsidRPr="00C4480C">
        <w:t xml:space="preserve"> worsening of symptoms and function for the domain of Diarrh</w:t>
      </w:r>
      <w:r>
        <w:t>o</w:t>
      </w:r>
      <w:r w:rsidRPr="00C4480C">
        <w:t>ea (</w:t>
      </w:r>
      <w:r>
        <w:t xml:space="preserve">nominal </w:t>
      </w:r>
      <w:r w:rsidRPr="00C4480C">
        <w:t>p</w:t>
      </w:r>
      <w:r>
        <w:t> </w:t>
      </w:r>
      <w:r w:rsidRPr="00C4480C">
        <w:t>&lt;</w:t>
      </w:r>
      <w:r>
        <w:t> </w:t>
      </w:r>
      <w:r w:rsidRPr="00C4480C">
        <w:t>0.0001) from the EORTC QLQ-</w:t>
      </w:r>
      <w:r>
        <w:t>C30</w:t>
      </w:r>
      <w:r w:rsidRPr="00C4480C">
        <w:t>.</w:t>
      </w:r>
    </w:p>
    <w:p w14:paraId="6C24BA50" w14:textId="5C1B915F" w:rsidR="00B842B4" w:rsidRPr="00687A5D" w:rsidRDefault="00B842B4" w:rsidP="00B842B4">
      <w:pPr>
        <w:pStyle w:val="Heading4"/>
      </w:pPr>
      <w:r>
        <w:t>Endometrial</w:t>
      </w:r>
      <w:r w:rsidRPr="00687A5D">
        <w:t xml:space="preserve"> Carcinoma</w:t>
      </w:r>
      <w:r>
        <w:t xml:space="preserve"> (EC)</w:t>
      </w:r>
    </w:p>
    <w:p w14:paraId="580C84A0" w14:textId="428005E3" w:rsidR="00B842B4" w:rsidRDefault="00B842B4" w:rsidP="002B59F2">
      <w:pPr>
        <w:pStyle w:val="BodyText"/>
        <w:spacing w:before="120" w:after="120"/>
      </w:pPr>
      <w:r w:rsidRPr="00606EFB">
        <w:t xml:space="preserve">The efficacy of </w:t>
      </w:r>
      <w:r>
        <w:t xml:space="preserve">LENVIMA in combination with </w:t>
      </w:r>
      <w:proofErr w:type="spellStart"/>
      <w:r>
        <w:t>pembrolizumab</w:t>
      </w:r>
      <w:proofErr w:type="spellEnd"/>
      <w:r>
        <w:t xml:space="preserve"> was investigated </w:t>
      </w:r>
      <w:r w:rsidRPr="00606EFB">
        <w:t xml:space="preserve">in </w:t>
      </w:r>
      <w:r>
        <w:t>Study 111 (NCT02501096),</w:t>
      </w:r>
      <w:r w:rsidRPr="00606EFB">
        <w:t xml:space="preserve"> a</w:t>
      </w:r>
      <w:r w:rsidR="00D9547E">
        <w:t xml:space="preserve"> single-arm,</w:t>
      </w:r>
      <w:r w:rsidRPr="00606EFB">
        <w:t xml:space="preserve"> multicent</w:t>
      </w:r>
      <w:r w:rsidR="006D00A1">
        <w:t>re</w:t>
      </w:r>
      <w:r w:rsidRPr="00606EFB">
        <w:t xml:space="preserve">, open-label, multi-cohort </w:t>
      </w:r>
      <w:r>
        <w:t xml:space="preserve">trial that enrolled </w:t>
      </w:r>
      <w:r w:rsidRPr="00CF7D91">
        <w:t>108</w:t>
      </w:r>
      <w:r w:rsidRPr="0040738F">
        <w:t xml:space="preserve"> </w:t>
      </w:r>
      <w:r w:rsidRPr="00606EFB">
        <w:t>patients</w:t>
      </w:r>
      <w:r>
        <w:t xml:space="preserve"> </w:t>
      </w:r>
      <w:r w:rsidRPr="0065519D">
        <w:t xml:space="preserve">with </w:t>
      </w:r>
      <w:r w:rsidR="00D9547E">
        <w:t xml:space="preserve">metastatic </w:t>
      </w:r>
      <w:r w:rsidRPr="0065519D">
        <w:t xml:space="preserve">endometrial carcinoma </w:t>
      </w:r>
      <w:r w:rsidRPr="00CF7D91">
        <w:t>that had progressed following</w:t>
      </w:r>
      <w:r w:rsidR="00D9547E">
        <w:t xml:space="preserve"> at least one</w:t>
      </w:r>
      <w:r w:rsidRPr="00CF7D91">
        <w:t xml:space="preserve"> prior systemic therapy</w:t>
      </w:r>
      <w:r w:rsidRPr="0065519D">
        <w:t xml:space="preserve"> in any setting</w:t>
      </w:r>
      <w:r w:rsidRPr="00CF7D91">
        <w:t>.</w:t>
      </w:r>
      <w:r>
        <w:t xml:space="preserve"> </w:t>
      </w:r>
      <w:r w:rsidR="00D9547E" w:rsidRPr="009B5D80">
        <w:t xml:space="preserve">Patients with active autoimmune disease or a medical condition that required immunosuppression were ineligible. </w:t>
      </w:r>
      <w:r>
        <w:t xml:space="preserve">Patients </w:t>
      </w:r>
      <w:proofErr w:type="gramStart"/>
      <w:r>
        <w:t>were treated</w:t>
      </w:r>
      <w:proofErr w:type="gramEnd"/>
      <w:r>
        <w:t xml:space="preserve"> with </w:t>
      </w:r>
      <w:r w:rsidRPr="001A133D">
        <w:t>LENVI</w:t>
      </w:r>
      <w:r>
        <w:t xml:space="preserve">MA 20 mg orally once daily in combination with </w:t>
      </w:r>
      <w:proofErr w:type="spellStart"/>
      <w:r w:rsidRPr="001A133D">
        <w:t>pembrolizumab</w:t>
      </w:r>
      <w:proofErr w:type="spellEnd"/>
      <w:r w:rsidRPr="001A133D">
        <w:t xml:space="preserve"> 200 mg </w:t>
      </w:r>
      <w:r>
        <w:t>administered</w:t>
      </w:r>
      <w:r w:rsidRPr="001A133D">
        <w:t xml:space="preserve"> intra</w:t>
      </w:r>
      <w:r>
        <w:t>venously every 3 weeks until unacceptable toxicity</w:t>
      </w:r>
      <w:r w:rsidRPr="008034AE">
        <w:t xml:space="preserve"> </w:t>
      </w:r>
      <w:r>
        <w:t xml:space="preserve">or disease progression as determined by the investigator. </w:t>
      </w:r>
      <w:bookmarkStart w:id="23" w:name="_Hlk13494888"/>
      <w:r w:rsidR="00D9547E" w:rsidRPr="00767E82">
        <w:t>The major efficacy outcome measure</w:t>
      </w:r>
      <w:r w:rsidR="00D9547E">
        <w:t>s</w:t>
      </w:r>
      <w:r w:rsidR="00D9547E" w:rsidRPr="00767E82">
        <w:t xml:space="preserve"> w</w:t>
      </w:r>
      <w:r w:rsidR="00D9547E">
        <w:t>ere</w:t>
      </w:r>
      <w:r w:rsidR="00D9547E" w:rsidRPr="00767E82">
        <w:t xml:space="preserve"> objective response rate (ORR)</w:t>
      </w:r>
      <w:r w:rsidR="00D9547E">
        <w:t xml:space="preserve"> </w:t>
      </w:r>
      <w:r w:rsidR="00D9547E" w:rsidRPr="00767E82">
        <w:t>and duration of response</w:t>
      </w:r>
      <w:r w:rsidR="00D9547E">
        <w:t xml:space="preserve"> (DOR) </w:t>
      </w:r>
      <w:r w:rsidR="00D9547E" w:rsidRPr="00767E82">
        <w:t xml:space="preserve">by independent </w:t>
      </w:r>
      <w:r w:rsidR="00D9547E">
        <w:t>radiologic review committee (I</w:t>
      </w:r>
      <w:r w:rsidR="00D9547E" w:rsidRPr="00767E82">
        <w:t>R</w:t>
      </w:r>
      <w:r w:rsidR="00D9547E">
        <w:t>C</w:t>
      </w:r>
      <w:r w:rsidR="00D9547E" w:rsidRPr="00767E82">
        <w:t>) using RECIST 1.1</w:t>
      </w:r>
      <w:r w:rsidR="00D9547E">
        <w:t>.</w:t>
      </w:r>
      <w:bookmarkEnd w:id="23"/>
    </w:p>
    <w:p w14:paraId="49BB6470" w14:textId="08C042F0" w:rsidR="00440571" w:rsidRDefault="00B842B4" w:rsidP="002B59F2">
      <w:pPr>
        <w:pStyle w:val="BodyText"/>
        <w:spacing w:before="120" w:after="120"/>
      </w:pPr>
      <w:r>
        <w:t>A</w:t>
      </w:r>
      <w:r w:rsidRPr="00767E82">
        <w:t xml:space="preserve">dministration of LENVIMA and </w:t>
      </w:r>
      <w:proofErr w:type="spellStart"/>
      <w:r w:rsidRPr="00767E82">
        <w:t>pembrolizumab</w:t>
      </w:r>
      <w:proofErr w:type="spellEnd"/>
      <w:r w:rsidRPr="00767E82">
        <w:t xml:space="preserve"> </w:t>
      </w:r>
      <w:proofErr w:type="gramStart"/>
      <w:r w:rsidRPr="00767E82">
        <w:t>was permitted beyond RECIST-defined disease progression if the patient was clinically stable and considered</w:t>
      </w:r>
      <w:r>
        <w:t xml:space="preserve"> by the investigator</w:t>
      </w:r>
      <w:r w:rsidRPr="00767E82">
        <w:t xml:space="preserve"> to be deriving clinical benefit</w:t>
      </w:r>
      <w:proofErr w:type="gramEnd"/>
      <w:r w:rsidRPr="00767E82">
        <w:t>.</w:t>
      </w:r>
      <w:r w:rsidRPr="00F95695">
        <w:t xml:space="preserve"> </w:t>
      </w:r>
      <w:proofErr w:type="spellStart"/>
      <w:r>
        <w:t>Pembrolizumab</w:t>
      </w:r>
      <w:proofErr w:type="spellEnd"/>
      <w:r>
        <w:t xml:space="preserve"> </w:t>
      </w:r>
      <w:proofErr w:type="gramStart"/>
      <w:r>
        <w:t>was continued</w:t>
      </w:r>
      <w:proofErr w:type="gramEnd"/>
      <w:r>
        <w:t xml:space="preserve"> for a maximum of 24 months; however, treatment with LENVIMA could be continued beyond 24 months.</w:t>
      </w:r>
      <w:r w:rsidR="00D9547E" w:rsidRPr="00D9547E">
        <w:t xml:space="preserve"> </w:t>
      </w:r>
      <w:r w:rsidR="00D9547E" w:rsidRPr="009B5D80">
        <w:t xml:space="preserve">Assessment of </w:t>
      </w:r>
      <w:r w:rsidR="00F42290">
        <w:t>tumour</w:t>
      </w:r>
      <w:r w:rsidR="00D9547E" w:rsidRPr="009B5D80">
        <w:t xml:space="preserve"> status </w:t>
      </w:r>
      <w:proofErr w:type="gramStart"/>
      <w:r w:rsidR="00D9547E" w:rsidRPr="009B5D80">
        <w:t>was performed</w:t>
      </w:r>
      <w:proofErr w:type="gramEnd"/>
      <w:r w:rsidR="00D9547E" w:rsidRPr="009B5D80">
        <w:t xml:space="preserve"> at baseline and then every 6 weeks until week 24, followed by every 9 weeks thereafter.</w:t>
      </w:r>
    </w:p>
    <w:p w14:paraId="4A2660A9" w14:textId="7E505363" w:rsidR="00B842B4" w:rsidRDefault="00B842B4" w:rsidP="002B59F2">
      <w:pPr>
        <w:pStyle w:val="BodyText"/>
        <w:spacing w:before="120" w:after="120"/>
      </w:pPr>
      <w:r w:rsidRPr="009E5D19">
        <w:t xml:space="preserve">Among the </w:t>
      </w:r>
      <w:r w:rsidRPr="00CF7D91">
        <w:t>108</w:t>
      </w:r>
      <w:r w:rsidRPr="009E5D19">
        <w:t xml:space="preserve"> patients, 87% (n= 94) had </w:t>
      </w:r>
      <w:r w:rsidR="00F42290">
        <w:t>tumour</w:t>
      </w:r>
      <w:r w:rsidRPr="009E5D19">
        <w:t xml:space="preserve">s that were not MSI-H or </w:t>
      </w:r>
      <w:proofErr w:type="spellStart"/>
      <w:r w:rsidRPr="009E5D19">
        <w:t>dMMR</w:t>
      </w:r>
      <w:proofErr w:type="spellEnd"/>
      <w:r w:rsidRPr="009E5D19">
        <w:t xml:space="preserve">, 10% (n=11) had </w:t>
      </w:r>
      <w:r w:rsidR="00F42290">
        <w:t>tumour</w:t>
      </w:r>
      <w:r w:rsidRPr="009E5D19">
        <w:t xml:space="preserve">s that were MSI-H or </w:t>
      </w:r>
      <w:proofErr w:type="spellStart"/>
      <w:r w:rsidRPr="009E5D19">
        <w:t>dMMR</w:t>
      </w:r>
      <w:proofErr w:type="spellEnd"/>
      <w:r w:rsidRPr="009E5D19">
        <w:t>, and in 3% (n=3) the status was not known.</w:t>
      </w:r>
      <w:bookmarkStart w:id="24" w:name="_Hlk13495014"/>
      <w:r w:rsidR="00D9547E" w:rsidRPr="00D9547E">
        <w:t xml:space="preserve"> </w:t>
      </w:r>
      <w:r w:rsidR="00F42290">
        <w:t>Tumour</w:t>
      </w:r>
      <w:r w:rsidR="00D9547E">
        <w:t xml:space="preserve"> MSI status was determined using a polymerase chain reaction (PCR) test. </w:t>
      </w:r>
      <w:r w:rsidR="00F42290">
        <w:t>Tumour</w:t>
      </w:r>
      <w:r w:rsidR="00D9547E">
        <w:t xml:space="preserve"> MMR status was determined using an immunohistochemistry (IHC) test. </w:t>
      </w:r>
      <w:bookmarkEnd w:id="24"/>
      <w:r>
        <w:t xml:space="preserve">The baseline characteristics of </w:t>
      </w:r>
      <w:r w:rsidRPr="00F30D6C">
        <w:t>the</w:t>
      </w:r>
      <w:r>
        <w:t xml:space="preserve"> </w:t>
      </w:r>
      <w:r w:rsidRPr="009A0291">
        <w:t>94</w:t>
      </w:r>
      <w:r>
        <w:t xml:space="preserve"> patients with </w:t>
      </w:r>
      <w:r w:rsidR="00F42290">
        <w:t>tumour</w:t>
      </w:r>
      <w:r>
        <w:t xml:space="preserve">s that were not MSI-H or </w:t>
      </w:r>
      <w:proofErr w:type="spellStart"/>
      <w:r>
        <w:t>dMMR</w:t>
      </w:r>
      <w:proofErr w:type="spellEnd"/>
      <w:r w:rsidR="003A0E09">
        <w:t xml:space="preserve"> </w:t>
      </w:r>
      <w:proofErr w:type="gramStart"/>
      <w:r w:rsidR="003A0E09">
        <w:t>were</w:t>
      </w:r>
      <w:r>
        <w:t>:</w:t>
      </w:r>
      <w:proofErr w:type="gramEnd"/>
      <w:r>
        <w:t xml:space="preserve"> </w:t>
      </w:r>
      <w:r w:rsidRPr="00767E82">
        <w:t>median age</w:t>
      </w:r>
      <w:r>
        <w:t xml:space="preserve"> of 66 years with 62</w:t>
      </w:r>
      <w:r w:rsidRPr="00767E82">
        <w:t>%</w:t>
      </w:r>
      <w:r>
        <w:t xml:space="preserve"> 65 years or older; 86</w:t>
      </w:r>
      <w:r w:rsidRPr="00767E82">
        <w:t>% White</w:t>
      </w:r>
      <w:r>
        <w:t>, 6% Black, 4% Asian, 3% other races; and ECOG PS of 0 (52%) or 1 (48%). All 94 of these patients received prior systemic therapy for endometrial carcinoma: 51% had one, 38% had two, and 11% had three or more prior systemic therapies.</w:t>
      </w:r>
    </w:p>
    <w:p w14:paraId="5190BF0F" w14:textId="64301445" w:rsidR="00B842B4" w:rsidRDefault="00B842B4" w:rsidP="002B59F2">
      <w:pPr>
        <w:pStyle w:val="BodyText"/>
        <w:spacing w:before="120" w:after="120"/>
      </w:pPr>
      <w:r w:rsidRPr="00767E82">
        <w:t>Efficacy results are summari</w:t>
      </w:r>
      <w:r w:rsidR="006D00A1">
        <w:t>s</w:t>
      </w:r>
      <w:r w:rsidRPr="00767E82">
        <w:t>ed in</w:t>
      </w:r>
      <w:r w:rsidR="008031B3">
        <w:t xml:space="preserve"> </w:t>
      </w:r>
      <w:r w:rsidR="008031B3">
        <w:fldChar w:fldCharType="begin"/>
      </w:r>
      <w:r w:rsidR="008031B3">
        <w:instrText xml:space="preserve"> REF _Ref17526570 \h </w:instrText>
      </w:r>
      <w:r w:rsidR="008031B3">
        <w:fldChar w:fldCharType="separate"/>
      </w:r>
      <w:r w:rsidR="008D1089" w:rsidRPr="008031B3">
        <w:t>Table</w:t>
      </w:r>
      <w:r w:rsidR="008D1089">
        <w:t> </w:t>
      </w:r>
      <w:r w:rsidR="008D1089">
        <w:rPr>
          <w:noProof/>
        </w:rPr>
        <w:t>14</w:t>
      </w:r>
      <w:r w:rsidR="008031B3">
        <w:fldChar w:fldCharType="end"/>
      </w:r>
      <w:r w:rsidRPr="00767E82">
        <w:t>.</w:t>
      </w:r>
    </w:p>
    <w:tbl>
      <w:tblPr>
        <w:tblStyle w:val="TableGrid21"/>
        <w:tblW w:w="0" w:type="auto"/>
        <w:tblLook w:val="04A0" w:firstRow="1" w:lastRow="0" w:firstColumn="1" w:lastColumn="0" w:noHBand="0" w:noVBand="1"/>
      </w:tblPr>
      <w:tblGrid>
        <w:gridCol w:w="5305"/>
        <w:gridCol w:w="3685"/>
      </w:tblGrid>
      <w:tr w:rsidR="003A0E09" w:rsidRPr="008031B3" w14:paraId="4ED1BC41" w14:textId="77777777" w:rsidTr="008031B3">
        <w:tc>
          <w:tcPr>
            <w:tcW w:w="8990" w:type="dxa"/>
            <w:gridSpan w:val="2"/>
            <w:tcBorders>
              <w:top w:val="nil"/>
              <w:left w:val="nil"/>
              <w:bottom w:val="single" w:sz="4" w:space="0" w:color="auto"/>
              <w:right w:val="nil"/>
            </w:tcBorders>
          </w:tcPr>
          <w:p w14:paraId="13C02ED7" w14:textId="2386894A" w:rsidR="003A0E09" w:rsidRPr="008031B3" w:rsidRDefault="008031B3" w:rsidP="003B15C4">
            <w:pPr>
              <w:pStyle w:val="Caption"/>
            </w:pPr>
            <w:bookmarkStart w:id="25" w:name="_Ref17526570"/>
            <w:r w:rsidRPr="008031B3">
              <w:lastRenderedPageBreak/>
              <w:t>Table</w:t>
            </w:r>
            <w:r>
              <w:t> </w:t>
            </w:r>
            <w:r w:rsidR="008D1089">
              <w:fldChar w:fldCharType="begin"/>
            </w:r>
            <w:r w:rsidR="008D1089">
              <w:instrText xml:space="preserve"> SEQ Table \* ARABIC </w:instrText>
            </w:r>
            <w:r w:rsidR="008D1089">
              <w:fldChar w:fldCharType="separate"/>
            </w:r>
            <w:r w:rsidR="008D1089">
              <w:rPr>
                <w:noProof/>
              </w:rPr>
              <w:t>14</w:t>
            </w:r>
            <w:r w:rsidR="008D1089">
              <w:fldChar w:fldCharType="end"/>
            </w:r>
            <w:bookmarkEnd w:id="25"/>
            <w:r w:rsidRPr="008031B3">
              <w:tab/>
            </w:r>
            <w:r w:rsidR="003A0E09" w:rsidRPr="008031B3">
              <w:t>Efficacy Results per IRC in Endometrial</w:t>
            </w:r>
            <w:r w:rsidR="003A0E09" w:rsidRPr="008031B3" w:rsidDel="00505359">
              <w:t xml:space="preserve"> Carcinoma</w:t>
            </w:r>
            <w:r w:rsidR="003A0E09" w:rsidRPr="008031B3">
              <w:t xml:space="preserve"> that is not MSI-H or </w:t>
            </w:r>
            <w:proofErr w:type="spellStart"/>
            <w:r w:rsidR="003A0E09" w:rsidRPr="008031B3">
              <w:t>dMMR</w:t>
            </w:r>
            <w:proofErr w:type="spellEnd"/>
            <w:r w:rsidR="003A0E09" w:rsidRPr="008031B3">
              <w:t xml:space="preserve"> (Study 111) </w:t>
            </w:r>
          </w:p>
        </w:tc>
      </w:tr>
      <w:tr w:rsidR="003A0E09" w:rsidRPr="003A0E09" w14:paraId="7E47ABB4" w14:textId="77777777" w:rsidTr="008031B3">
        <w:tc>
          <w:tcPr>
            <w:tcW w:w="5305" w:type="dxa"/>
            <w:tcBorders>
              <w:top w:val="single" w:sz="4" w:space="0" w:color="auto"/>
            </w:tcBorders>
          </w:tcPr>
          <w:p w14:paraId="5F2FF4C2" w14:textId="77777777" w:rsidR="003A0E09" w:rsidRPr="003A0E09" w:rsidRDefault="003A0E09" w:rsidP="008031B3">
            <w:pPr>
              <w:pStyle w:val="TableHeading"/>
            </w:pPr>
          </w:p>
        </w:tc>
        <w:tc>
          <w:tcPr>
            <w:tcW w:w="3685" w:type="dxa"/>
            <w:tcBorders>
              <w:top w:val="single" w:sz="4" w:space="0" w:color="auto"/>
            </w:tcBorders>
          </w:tcPr>
          <w:p w14:paraId="4DCDACF0" w14:textId="77777777" w:rsidR="003A0E09" w:rsidRPr="003A0E09" w:rsidRDefault="003A0E09" w:rsidP="008031B3">
            <w:pPr>
              <w:pStyle w:val="TableHeading"/>
            </w:pPr>
            <w:r w:rsidRPr="003A0E09">
              <w:t xml:space="preserve">LENVIMA with </w:t>
            </w:r>
            <w:proofErr w:type="spellStart"/>
            <w:r w:rsidRPr="003A0E09">
              <w:t>pembrolizumab</w:t>
            </w:r>
            <w:proofErr w:type="spellEnd"/>
          </w:p>
          <w:p w14:paraId="667053B1" w14:textId="77777777" w:rsidR="003A0E09" w:rsidRPr="003A0E09" w:rsidRDefault="003A0E09" w:rsidP="008031B3">
            <w:pPr>
              <w:pStyle w:val="TableHeading"/>
            </w:pPr>
            <w:r w:rsidRPr="003A0E09">
              <w:t>N=94</w:t>
            </w:r>
            <w:r w:rsidRPr="003A0E09">
              <w:rPr>
                <w:vertAlign w:val="superscript"/>
              </w:rPr>
              <w:t>*</w:t>
            </w:r>
          </w:p>
        </w:tc>
      </w:tr>
      <w:tr w:rsidR="003A0E09" w:rsidRPr="003A0E09" w14:paraId="0B51A200" w14:textId="77777777" w:rsidTr="00B722A3">
        <w:tc>
          <w:tcPr>
            <w:tcW w:w="5305" w:type="dxa"/>
          </w:tcPr>
          <w:p w14:paraId="1E9302A4" w14:textId="77777777" w:rsidR="003A0E09" w:rsidRPr="003A0E09" w:rsidRDefault="003A0E09" w:rsidP="008031B3">
            <w:pPr>
              <w:pStyle w:val="TableHeading"/>
            </w:pPr>
            <w:r w:rsidRPr="003A0E09">
              <w:t>Objective Response Rate (ORR)</w:t>
            </w:r>
          </w:p>
        </w:tc>
        <w:tc>
          <w:tcPr>
            <w:tcW w:w="3685" w:type="dxa"/>
          </w:tcPr>
          <w:p w14:paraId="08D916F0" w14:textId="77777777" w:rsidR="003A0E09" w:rsidRPr="003A0E09" w:rsidRDefault="003A0E09" w:rsidP="008031B3">
            <w:pPr>
              <w:pStyle w:val="TableHeading"/>
            </w:pPr>
          </w:p>
        </w:tc>
      </w:tr>
      <w:tr w:rsidR="003A0E09" w:rsidRPr="003A0E09" w14:paraId="312074E0" w14:textId="77777777" w:rsidTr="00B722A3">
        <w:tc>
          <w:tcPr>
            <w:tcW w:w="5305" w:type="dxa"/>
          </w:tcPr>
          <w:p w14:paraId="55C07EF0" w14:textId="77777777" w:rsidR="003A0E09" w:rsidRPr="003A0E09" w:rsidRDefault="003A0E09" w:rsidP="008031B3">
            <w:pPr>
              <w:pStyle w:val="TableText"/>
            </w:pPr>
            <w:r w:rsidRPr="003A0E09">
              <w:t>ORR (95% CI)</w:t>
            </w:r>
          </w:p>
        </w:tc>
        <w:tc>
          <w:tcPr>
            <w:tcW w:w="3685" w:type="dxa"/>
          </w:tcPr>
          <w:p w14:paraId="54D2AC15" w14:textId="77777777" w:rsidR="003A0E09" w:rsidRPr="003A0E09" w:rsidRDefault="003A0E09" w:rsidP="008031B3">
            <w:pPr>
              <w:pStyle w:val="TableCentre"/>
            </w:pPr>
            <w:r w:rsidRPr="003A0E09">
              <w:t>38.3% (29%, 49%)</w:t>
            </w:r>
          </w:p>
        </w:tc>
      </w:tr>
      <w:tr w:rsidR="003A0E09" w:rsidRPr="003A0E09" w14:paraId="6DF1D319" w14:textId="77777777" w:rsidTr="00B722A3">
        <w:tc>
          <w:tcPr>
            <w:tcW w:w="5305" w:type="dxa"/>
          </w:tcPr>
          <w:p w14:paraId="453087A5" w14:textId="77777777" w:rsidR="003A0E09" w:rsidRPr="003A0E09" w:rsidRDefault="003A0E09" w:rsidP="008031B3">
            <w:pPr>
              <w:pStyle w:val="TableText"/>
            </w:pPr>
            <w:r w:rsidRPr="003A0E09">
              <w:t xml:space="preserve">      Complete response, n (%)</w:t>
            </w:r>
          </w:p>
        </w:tc>
        <w:tc>
          <w:tcPr>
            <w:tcW w:w="3685" w:type="dxa"/>
          </w:tcPr>
          <w:p w14:paraId="71D0AFB6" w14:textId="77777777" w:rsidR="003A0E09" w:rsidRPr="003A0E09" w:rsidRDefault="003A0E09" w:rsidP="008031B3">
            <w:pPr>
              <w:pStyle w:val="TableCentre"/>
              <w:rPr>
                <w:strike/>
              </w:rPr>
            </w:pPr>
            <w:r w:rsidRPr="003A0E09">
              <w:t xml:space="preserve">10 (10.6%) </w:t>
            </w:r>
          </w:p>
        </w:tc>
      </w:tr>
      <w:tr w:rsidR="003A0E09" w:rsidRPr="003A0E09" w14:paraId="52896951" w14:textId="77777777" w:rsidTr="00B722A3">
        <w:tc>
          <w:tcPr>
            <w:tcW w:w="5305" w:type="dxa"/>
          </w:tcPr>
          <w:p w14:paraId="713C5B31" w14:textId="77777777" w:rsidR="003A0E09" w:rsidRPr="003A0E09" w:rsidRDefault="003A0E09" w:rsidP="008031B3">
            <w:pPr>
              <w:pStyle w:val="TableText"/>
            </w:pPr>
            <w:r w:rsidRPr="003A0E09">
              <w:t xml:space="preserve">      Partial response, n (%)</w:t>
            </w:r>
          </w:p>
        </w:tc>
        <w:tc>
          <w:tcPr>
            <w:tcW w:w="3685" w:type="dxa"/>
          </w:tcPr>
          <w:p w14:paraId="33836368" w14:textId="77777777" w:rsidR="003A0E09" w:rsidRPr="003A0E09" w:rsidRDefault="003A0E09" w:rsidP="008031B3">
            <w:pPr>
              <w:pStyle w:val="TableCentre"/>
              <w:rPr>
                <w:strike/>
              </w:rPr>
            </w:pPr>
            <w:r w:rsidRPr="003A0E09">
              <w:t xml:space="preserve">26 (27.7%) </w:t>
            </w:r>
          </w:p>
        </w:tc>
      </w:tr>
      <w:tr w:rsidR="003A0E09" w:rsidRPr="003A0E09" w14:paraId="4AD0BC14" w14:textId="77777777" w:rsidTr="00B722A3">
        <w:tc>
          <w:tcPr>
            <w:tcW w:w="5305" w:type="dxa"/>
          </w:tcPr>
          <w:p w14:paraId="7C9A2EC6" w14:textId="77777777" w:rsidR="003A0E09" w:rsidRPr="003A0E09" w:rsidRDefault="003A0E09" w:rsidP="008031B3">
            <w:pPr>
              <w:pStyle w:val="TableHeading"/>
            </w:pPr>
            <w:r w:rsidRPr="003A0E09">
              <w:t>Duration of Response</w:t>
            </w:r>
          </w:p>
        </w:tc>
        <w:tc>
          <w:tcPr>
            <w:tcW w:w="3685" w:type="dxa"/>
          </w:tcPr>
          <w:p w14:paraId="420166C7" w14:textId="77777777" w:rsidR="003A0E09" w:rsidRPr="003A0E09" w:rsidRDefault="003A0E09" w:rsidP="003A0E09">
            <w:pPr>
              <w:keepNext/>
              <w:keepLines/>
              <w:tabs>
                <w:tab w:val="left" w:pos="1440"/>
              </w:tabs>
              <w:ind w:right="-22"/>
              <w:rPr>
                <w:sz w:val="24"/>
                <w:szCs w:val="24"/>
              </w:rPr>
            </w:pPr>
          </w:p>
        </w:tc>
      </w:tr>
      <w:tr w:rsidR="003A0E09" w:rsidRPr="003A0E09" w14:paraId="35719389" w14:textId="77777777" w:rsidTr="00B722A3">
        <w:tc>
          <w:tcPr>
            <w:tcW w:w="5305" w:type="dxa"/>
          </w:tcPr>
          <w:p w14:paraId="44CC38A9" w14:textId="77777777" w:rsidR="003A0E09" w:rsidRPr="003A0E09" w:rsidRDefault="003A0E09" w:rsidP="008031B3">
            <w:pPr>
              <w:pStyle w:val="TableText"/>
            </w:pPr>
            <w:r w:rsidRPr="003A0E09">
              <w:t xml:space="preserve">Median in months (range) </w:t>
            </w:r>
          </w:p>
        </w:tc>
        <w:tc>
          <w:tcPr>
            <w:tcW w:w="3685" w:type="dxa"/>
          </w:tcPr>
          <w:p w14:paraId="69A68CB9" w14:textId="77777777" w:rsidR="003A0E09" w:rsidRPr="003A0E09" w:rsidRDefault="003A0E09" w:rsidP="008031B3">
            <w:pPr>
              <w:pStyle w:val="TableCentre"/>
              <w:rPr>
                <w:strike/>
              </w:rPr>
            </w:pPr>
            <w:r w:rsidRPr="003A0E09">
              <w:t>NR (1.2+, 33.1+)</w:t>
            </w:r>
            <w:r w:rsidRPr="003A0E09">
              <w:rPr>
                <w:rFonts w:cs="Arial"/>
                <w:bCs/>
                <w:szCs w:val="16"/>
                <w:vertAlign w:val="superscript"/>
                <w:lang w:val="en-GB"/>
              </w:rPr>
              <w:t>†</w:t>
            </w:r>
          </w:p>
        </w:tc>
      </w:tr>
      <w:tr w:rsidR="003A0E09" w:rsidRPr="003A0E09" w14:paraId="5D365995" w14:textId="77777777" w:rsidTr="008031B3">
        <w:tc>
          <w:tcPr>
            <w:tcW w:w="5305" w:type="dxa"/>
            <w:tcBorders>
              <w:bottom w:val="single" w:sz="4" w:space="0" w:color="auto"/>
            </w:tcBorders>
          </w:tcPr>
          <w:p w14:paraId="6135D20C" w14:textId="1EE1DCEC" w:rsidR="003A0E09" w:rsidRPr="003A0E09" w:rsidRDefault="003A0E09" w:rsidP="006540BC">
            <w:pPr>
              <w:pStyle w:val="TableText"/>
            </w:pPr>
            <w:r w:rsidRPr="003A0E09">
              <w:t xml:space="preserve">Duration of response </w:t>
            </w:r>
            <w:r w:rsidR="006540BC">
              <w:sym w:font="Symbol" w:char="F0B3"/>
            </w:r>
            <w:r w:rsidRPr="003A0E09">
              <w:t>6 months, n (%)</w:t>
            </w:r>
          </w:p>
        </w:tc>
        <w:tc>
          <w:tcPr>
            <w:tcW w:w="3685" w:type="dxa"/>
            <w:tcBorders>
              <w:bottom w:val="single" w:sz="4" w:space="0" w:color="auto"/>
            </w:tcBorders>
          </w:tcPr>
          <w:p w14:paraId="68C80A0C" w14:textId="77777777" w:rsidR="003A0E09" w:rsidRPr="003A0E09" w:rsidRDefault="003A0E09" w:rsidP="008031B3">
            <w:pPr>
              <w:pStyle w:val="TableCentre"/>
            </w:pPr>
            <w:r w:rsidRPr="003A0E09">
              <w:t>25 (69%)</w:t>
            </w:r>
          </w:p>
        </w:tc>
      </w:tr>
      <w:tr w:rsidR="003A0E09" w:rsidRPr="003A0E09" w14:paraId="78A9D682" w14:textId="77777777" w:rsidTr="008031B3">
        <w:tc>
          <w:tcPr>
            <w:tcW w:w="8990" w:type="dxa"/>
            <w:gridSpan w:val="2"/>
            <w:tcBorders>
              <w:top w:val="single" w:sz="4" w:space="0" w:color="auto"/>
              <w:left w:val="nil"/>
              <w:bottom w:val="nil"/>
              <w:right w:val="nil"/>
            </w:tcBorders>
          </w:tcPr>
          <w:p w14:paraId="09178033" w14:textId="2553EEE4" w:rsidR="003A0E09" w:rsidRPr="003A0E09" w:rsidRDefault="00F42290" w:rsidP="008031B3">
            <w:pPr>
              <w:pStyle w:val="TableFootnote"/>
            </w:pPr>
            <w:proofErr w:type="spellStart"/>
            <w:r>
              <w:t>Tumour</w:t>
            </w:r>
            <w:proofErr w:type="spellEnd"/>
            <w:r w:rsidR="003A0E09" w:rsidRPr="003A0E09">
              <w:t xml:space="preserve"> assessments </w:t>
            </w:r>
            <w:proofErr w:type="gramStart"/>
            <w:r w:rsidR="003A0E09" w:rsidRPr="003A0E09">
              <w:t>were based</w:t>
            </w:r>
            <w:proofErr w:type="gramEnd"/>
            <w:r w:rsidR="003A0E09" w:rsidRPr="003A0E09">
              <w:t xml:space="preserve"> on RECIST 1.1 per independent radiologic review committee (IRC). All responses </w:t>
            </w:r>
            <w:proofErr w:type="gramStart"/>
            <w:r w:rsidR="003A0E09" w:rsidRPr="003A0E09">
              <w:t>were confirmed</w:t>
            </w:r>
            <w:proofErr w:type="gramEnd"/>
            <w:r w:rsidR="003A0E09" w:rsidRPr="003A0E09">
              <w:t xml:space="preserve">. </w:t>
            </w:r>
          </w:p>
          <w:p w14:paraId="659DDA8C" w14:textId="77777777" w:rsidR="003A0E09" w:rsidRPr="003A0E09" w:rsidRDefault="003A0E09" w:rsidP="008031B3">
            <w:pPr>
              <w:pStyle w:val="TableFootnote"/>
            </w:pPr>
            <w:r w:rsidRPr="003A0E09">
              <w:rPr>
                <w:vertAlign w:val="superscript"/>
              </w:rPr>
              <w:t>*</w:t>
            </w:r>
            <w:r w:rsidRPr="003A0E09">
              <w:t>Median follow-up time of 18.7 months</w:t>
            </w:r>
          </w:p>
          <w:p w14:paraId="73D62BA3" w14:textId="77777777" w:rsidR="003A0E09" w:rsidRPr="003A0E09" w:rsidRDefault="003A0E09" w:rsidP="008031B3">
            <w:pPr>
              <w:pStyle w:val="TableFootnote"/>
              <w:rPr>
                <w:sz w:val="12"/>
              </w:rPr>
            </w:pPr>
            <w:r w:rsidRPr="003A0E09">
              <w:rPr>
                <w:rFonts w:cs="Arial"/>
                <w:bCs/>
                <w:sz w:val="24"/>
                <w:szCs w:val="16"/>
                <w:vertAlign w:val="superscript"/>
                <w:lang w:val="en-GB"/>
              </w:rPr>
              <w:t>†</w:t>
            </w:r>
            <w:r w:rsidRPr="003A0E09">
              <w:rPr>
                <w:sz w:val="24"/>
                <w:szCs w:val="24"/>
              </w:rPr>
              <w:t xml:space="preserve"> </w:t>
            </w:r>
            <w:r w:rsidRPr="003A0E09">
              <w:rPr>
                <w:bCs/>
                <w:szCs w:val="16"/>
                <w:lang w:val="en-GB"/>
              </w:rPr>
              <w:t>Based on patients (n=36) with a response by independent review</w:t>
            </w:r>
          </w:p>
          <w:p w14:paraId="7A54F2F0" w14:textId="77777777" w:rsidR="003A0E09" w:rsidRPr="003A0E09" w:rsidRDefault="003A0E09" w:rsidP="008031B3">
            <w:pPr>
              <w:pStyle w:val="TableFootnote"/>
            </w:pPr>
            <w:r w:rsidRPr="003A0E09">
              <w:t xml:space="preserve">+ Censored at data cutoff </w:t>
            </w:r>
          </w:p>
          <w:p w14:paraId="12198902" w14:textId="20007640" w:rsidR="003A0E09" w:rsidRPr="003A0E09" w:rsidRDefault="003A0E09">
            <w:pPr>
              <w:pStyle w:val="TableFootnote"/>
            </w:pPr>
            <w:r w:rsidRPr="003A0E09">
              <w:t>CI = confidence interval</w:t>
            </w:r>
            <w:proofErr w:type="gramStart"/>
            <w:r w:rsidRPr="003A0E09">
              <w:t>;</w:t>
            </w:r>
            <w:proofErr w:type="gramEnd"/>
            <w:r w:rsidRPr="003A0E09">
              <w:t xml:space="preserve"> NR= Not reached.</w:t>
            </w:r>
          </w:p>
        </w:tc>
      </w:tr>
    </w:tbl>
    <w:p w14:paraId="7EADE475" w14:textId="16A27E72" w:rsidR="00B842B4" w:rsidRDefault="00B842B4" w:rsidP="00B842B4">
      <w:pPr>
        <w:pStyle w:val="BodyText"/>
      </w:pPr>
    </w:p>
    <w:p w14:paraId="1642AA46" w14:textId="77777777" w:rsidR="00D85D9B" w:rsidRPr="00356A04" w:rsidRDefault="00D85D9B" w:rsidP="00D85D9B">
      <w:pPr>
        <w:pStyle w:val="Heading2"/>
        <w:ind w:left="578" w:hanging="578"/>
      </w:pPr>
      <w:bookmarkStart w:id="26" w:name="_Ref523321075"/>
      <w:r w:rsidRPr="00356A04">
        <w:t>Pharmacokinetic properties</w:t>
      </w:r>
      <w:bookmarkEnd w:id="26"/>
      <w:r w:rsidRPr="00356A04">
        <w:t xml:space="preserve"> </w:t>
      </w:r>
    </w:p>
    <w:p w14:paraId="4B538119" w14:textId="77777777" w:rsidR="00E879C8" w:rsidRPr="004D4EB9" w:rsidRDefault="00E879C8" w:rsidP="00E879C8">
      <w:pPr>
        <w:pStyle w:val="Heading3"/>
        <w:rPr>
          <w:lang w:val="en-US"/>
        </w:rPr>
      </w:pPr>
      <w:r w:rsidRPr="004D4EB9">
        <w:rPr>
          <w:lang w:val="en-US"/>
        </w:rPr>
        <w:t>Absorption</w:t>
      </w:r>
    </w:p>
    <w:p w14:paraId="5D8C8235" w14:textId="77777777" w:rsidR="00E879C8" w:rsidRDefault="00E879C8" w:rsidP="002B59F2">
      <w:pPr>
        <w:pStyle w:val="BodyText"/>
        <w:spacing w:before="120" w:after="60"/>
        <w:rPr>
          <w:lang w:val="en-US"/>
        </w:rPr>
      </w:pPr>
      <w:proofErr w:type="spellStart"/>
      <w:r w:rsidRPr="00BE78D8">
        <w:rPr>
          <w:lang w:val="en-US"/>
        </w:rPr>
        <w:t>Lenvatinib</w:t>
      </w:r>
      <w:proofErr w:type="spellEnd"/>
      <w:r w:rsidRPr="00BE78D8">
        <w:rPr>
          <w:lang w:val="en-US"/>
        </w:rPr>
        <w:t xml:space="preserve"> is rapidly absorbed after oral administration with </w:t>
      </w:r>
      <w:proofErr w:type="spellStart"/>
      <w:r>
        <w:rPr>
          <w:lang w:val="en-US"/>
        </w:rPr>
        <w:t>T</w:t>
      </w:r>
      <w:r w:rsidRPr="00681D12">
        <w:rPr>
          <w:vertAlign w:val="subscript"/>
          <w:lang w:val="en-US"/>
        </w:rPr>
        <w:t>max</w:t>
      </w:r>
      <w:proofErr w:type="spellEnd"/>
      <w:r w:rsidRPr="00BE78D8">
        <w:rPr>
          <w:lang w:val="en-US"/>
        </w:rPr>
        <w:t xml:space="preserve"> typically observed from </w:t>
      </w:r>
      <w:proofErr w:type="gramStart"/>
      <w:r w:rsidRPr="00BE78D8">
        <w:rPr>
          <w:lang w:val="en-US"/>
        </w:rPr>
        <w:t>1</w:t>
      </w:r>
      <w:proofErr w:type="gramEnd"/>
      <w:r w:rsidRPr="00BE78D8">
        <w:rPr>
          <w:lang w:val="en-US"/>
        </w:rPr>
        <w:t xml:space="preserve"> to 4 hours post</w:t>
      </w:r>
      <w:r>
        <w:rPr>
          <w:lang w:val="en-US"/>
        </w:rPr>
        <w:t>-</w:t>
      </w:r>
      <w:r w:rsidRPr="00BE78D8">
        <w:rPr>
          <w:lang w:val="en-US"/>
        </w:rPr>
        <w:t xml:space="preserve">dose. Food does not affect the extent of absorption, but slows the rate of absorption. When administered with food to healthy subjects, peak plasma concentrations </w:t>
      </w:r>
      <w:proofErr w:type="gramStart"/>
      <w:r w:rsidRPr="00BE78D8">
        <w:rPr>
          <w:lang w:val="en-US"/>
        </w:rPr>
        <w:t>are delayed</w:t>
      </w:r>
      <w:proofErr w:type="gramEnd"/>
      <w:r w:rsidRPr="00BE78D8">
        <w:rPr>
          <w:lang w:val="en-US"/>
        </w:rPr>
        <w:t xml:space="preserve"> by 2 hours.</w:t>
      </w:r>
    </w:p>
    <w:p w14:paraId="385C353E" w14:textId="6051FA75" w:rsidR="00E879C8" w:rsidRPr="00BE78D8" w:rsidRDefault="00E879C8" w:rsidP="002B59F2">
      <w:pPr>
        <w:pStyle w:val="BodyText"/>
        <w:spacing w:before="120" w:after="60"/>
        <w:rPr>
          <w:lang w:val="en-US"/>
        </w:rPr>
      </w:pPr>
      <w:r w:rsidRPr="008D0E34">
        <w:rPr>
          <w:lang w:val="en-US"/>
        </w:rPr>
        <w:t xml:space="preserve">A high degree of inter-individual variability in average exposure at steady state </w:t>
      </w:r>
      <w:proofErr w:type="gramStart"/>
      <w:r w:rsidRPr="008D0E34">
        <w:rPr>
          <w:lang w:val="en-US"/>
        </w:rPr>
        <w:t>was observed</w:t>
      </w:r>
      <w:proofErr w:type="gramEnd"/>
      <w:r w:rsidRPr="008D0E34">
        <w:rPr>
          <w:lang w:val="en-US"/>
        </w:rPr>
        <w:t>, with a 6-fold range when used as monotherapy at the 24</w:t>
      </w:r>
      <w:r>
        <w:rPr>
          <w:lang w:val="en-US"/>
        </w:rPr>
        <w:t xml:space="preserve"> </w:t>
      </w:r>
      <w:r w:rsidRPr="008D0E34">
        <w:rPr>
          <w:lang w:val="en-US"/>
        </w:rPr>
        <w:t>mg dose, and 7-fold range when</w:t>
      </w:r>
      <w:r>
        <w:rPr>
          <w:lang w:val="en-US"/>
        </w:rPr>
        <w:t xml:space="preserve"> LENVIMA</w:t>
      </w:r>
      <w:r w:rsidRPr="008D0E34">
        <w:rPr>
          <w:lang w:val="en-US"/>
        </w:rPr>
        <w:t xml:space="preserve"> 18</w:t>
      </w:r>
      <w:r>
        <w:rPr>
          <w:lang w:val="en-US"/>
        </w:rPr>
        <w:t xml:space="preserve"> </w:t>
      </w:r>
      <w:r w:rsidRPr="008D0E34">
        <w:rPr>
          <w:lang w:val="en-US"/>
        </w:rPr>
        <w:t xml:space="preserve">mg dose is administered in combination with 5mg </w:t>
      </w:r>
      <w:proofErr w:type="spellStart"/>
      <w:r w:rsidRPr="008D0E34">
        <w:rPr>
          <w:lang w:val="en-US"/>
        </w:rPr>
        <w:t>everolimus</w:t>
      </w:r>
      <w:proofErr w:type="spellEnd"/>
      <w:r>
        <w:rPr>
          <w:lang w:val="en-US"/>
        </w:rPr>
        <w:t>.</w:t>
      </w:r>
      <w:r w:rsidR="001E72EA">
        <w:rPr>
          <w:lang w:val="en-US"/>
        </w:rPr>
        <w:t xml:space="preserve"> In HCC subjects, the</w:t>
      </w:r>
      <w:r w:rsidR="001E72EA" w:rsidRPr="008D0E34">
        <w:rPr>
          <w:lang w:val="en-US"/>
        </w:rPr>
        <w:t xml:space="preserve"> inter-individual variability in average exposure at steady state was 6-fold </w:t>
      </w:r>
      <w:r w:rsidR="001E72EA">
        <w:rPr>
          <w:lang w:val="en-US"/>
        </w:rPr>
        <w:t xml:space="preserve">and 5-fold </w:t>
      </w:r>
      <w:r w:rsidR="001E72EA" w:rsidRPr="008D0E34">
        <w:rPr>
          <w:lang w:val="en-US"/>
        </w:rPr>
        <w:t xml:space="preserve">range when used as monotherapy at </w:t>
      </w:r>
      <w:r w:rsidR="001E72EA">
        <w:rPr>
          <w:lang w:val="en-US"/>
        </w:rPr>
        <w:t>8</w:t>
      </w:r>
      <w:r w:rsidR="00C3010D">
        <w:rPr>
          <w:lang w:val="en-US"/>
        </w:rPr>
        <w:t> </w:t>
      </w:r>
      <w:r w:rsidR="001E72EA">
        <w:rPr>
          <w:lang w:val="en-US"/>
        </w:rPr>
        <w:t>mg and 12</w:t>
      </w:r>
      <w:r w:rsidR="00C3010D">
        <w:rPr>
          <w:lang w:val="en-US"/>
        </w:rPr>
        <w:t> </w:t>
      </w:r>
      <w:r w:rsidR="001E72EA" w:rsidRPr="008D0E34">
        <w:rPr>
          <w:lang w:val="en-US"/>
        </w:rPr>
        <w:t>mg dose</w:t>
      </w:r>
      <w:r w:rsidR="001E72EA">
        <w:rPr>
          <w:lang w:val="en-US"/>
        </w:rPr>
        <w:t>s, respectively.</w:t>
      </w:r>
    </w:p>
    <w:p w14:paraId="15FF60C2" w14:textId="77777777" w:rsidR="00E879C8" w:rsidRPr="004D4EB9" w:rsidRDefault="00E879C8" w:rsidP="00E879C8">
      <w:pPr>
        <w:pStyle w:val="Heading3"/>
        <w:rPr>
          <w:lang w:val="en-US"/>
        </w:rPr>
      </w:pPr>
      <w:r w:rsidRPr="004D4EB9">
        <w:rPr>
          <w:lang w:val="en-US"/>
        </w:rPr>
        <w:t>Distribution</w:t>
      </w:r>
    </w:p>
    <w:p w14:paraId="012FB70A" w14:textId="03CD7CFF" w:rsidR="00E879C8" w:rsidRDefault="00E879C8" w:rsidP="002B59F2">
      <w:pPr>
        <w:pStyle w:val="BodyText"/>
        <w:spacing w:before="120" w:after="60"/>
        <w:rPr>
          <w:lang w:val="en-US"/>
        </w:rPr>
      </w:pPr>
      <w:r w:rsidRPr="00BE78D8">
        <w:rPr>
          <w:i/>
          <w:iCs/>
          <w:lang w:val="en-US"/>
        </w:rPr>
        <w:t xml:space="preserve">In vitro </w:t>
      </w:r>
      <w:r w:rsidRPr="00BE78D8">
        <w:rPr>
          <w:lang w:val="en-US"/>
        </w:rPr>
        <w:t xml:space="preserve">binding of </w:t>
      </w:r>
      <w:proofErr w:type="spellStart"/>
      <w:r w:rsidRPr="00BE78D8">
        <w:rPr>
          <w:lang w:val="en-US"/>
        </w:rPr>
        <w:t>lenvatinib</w:t>
      </w:r>
      <w:proofErr w:type="spellEnd"/>
      <w:r w:rsidRPr="00BE78D8">
        <w:rPr>
          <w:lang w:val="en-US"/>
        </w:rPr>
        <w:t xml:space="preserve"> to human plasma proteins </w:t>
      </w:r>
      <w:r>
        <w:rPr>
          <w:lang w:val="en-US"/>
        </w:rPr>
        <w:t>was</w:t>
      </w:r>
      <w:r w:rsidRPr="00BE78D8">
        <w:rPr>
          <w:lang w:val="en-US"/>
        </w:rPr>
        <w:t xml:space="preserve"> high and ranged from 98% to 99% (0.3 – 30 </w:t>
      </w:r>
      <w:proofErr w:type="spellStart"/>
      <w:r w:rsidRPr="00BE78D8">
        <w:rPr>
          <w:lang w:val="en-US"/>
        </w:rPr>
        <w:t>μg</w:t>
      </w:r>
      <w:proofErr w:type="spellEnd"/>
      <w:r w:rsidRPr="00BE78D8">
        <w:rPr>
          <w:lang w:val="en-US"/>
        </w:rPr>
        <w:t xml:space="preserve">/mL, </w:t>
      </w:r>
      <w:proofErr w:type="spellStart"/>
      <w:r w:rsidRPr="00BE78D8">
        <w:rPr>
          <w:lang w:val="en-US"/>
        </w:rPr>
        <w:t>mesilate</w:t>
      </w:r>
      <w:proofErr w:type="spellEnd"/>
      <w:r w:rsidRPr="00BE78D8">
        <w:rPr>
          <w:lang w:val="en-US"/>
        </w:rPr>
        <w:t xml:space="preserve">). This binding was mainly to albumin with minor binding to α1-acid glycoprotein and </w:t>
      </w:r>
      <w:r w:rsidR="006540BC">
        <w:rPr>
          <w:lang w:val="en-US"/>
        </w:rPr>
        <w:sym w:font="Symbol" w:char="F067"/>
      </w:r>
      <w:r w:rsidRPr="00BE78D8">
        <w:rPr>
          <w:lang w:val="en-US"/>
        </w:rPr>
        <w:t>-globulin.</w:t>
      </w:r>
    </w:p>
    <w:p w14:paraId="3D854C86" w14:textId="334E5CB5" w:rsidR="00E879C8" w:rsidRPr="00BE78D8" w:rsidRDefault="00E879C8" w:rsidP="002B59F2">
      <w:pPr>
        <w:pStyle w:val="BodyText"/>
        <w:spacing w:before="120" w:after="60"/>
        <w:rPr>
          <w:lang w:val="en-US"/>
        </w:rPr>
      </w:pPr>
      <w:r w:rsidRPr="00BE78D8">
        <w:rPr>
          <w:i/>
          <w:iCs/>
          <w:lang w:val="en-US"/>
        </w:rPr>
        <w:t xml:space="preserve">In vitro, </w:t>
      </w:r>
      <w:r w:rsidRPr="00BE78D8">
        <w:rPr>
          <w:lang w:val="en-US"/>
        </w:rPr>
        <w:t xml:space="preserve">the </w:t>
      </w:r>
      <w:proofErr w:type="spellStart"/>
      <w:r w:rsidRPr="00BE78D8">
        <w:rPr>
          <w:lang w:val="en-US"/>
        </w:rPr>
        <w:t>lenvatinib</w:t>
      </w:r>
      <w:proofErr w:type="spellEnd"/>
      <w:r w:rsidRPr="00BE78D8">
        <w:rPr>
          <w:lang w:val="en-US"/>
        </w:rPr>
        <w:t xml:space="preserve"> blood-to-plasma concentration ratio ranged from 0.589 to 0.608 (0.1 - 10 </w:t>
      </w:r>
      <w:r w:rsidR="006540BC">
        <w:rPr>
          <w:lang w:val="en-US"/>
        </w:rPr>
        <w:sym w:font="Symbol" w:char="F06D"/>
      </w:r>
      <w:r w:rsidRPr="00BE78D8">
        <w:rPr>
          <w:lang w:val="en-US"/>
        </w:rPr>
        <w:t xml:space="preserve">g/mL, </w:t>
      </w:r>
      <w:proofErr w:type="spellStart"/>
      <w:r w:rsidRPr="00BE78D8">
        <w:rPr>
          <w:lang w:val="en-US"/>
        </w:rPr>
        <w:t>mesilate</w:t>
      </w:r>
      <w:proofErr w:type="spellEnd"/>
      <w:r w:rsidRPr="00BE78D8">
        <w:rPr>
          <w:lang w:val="en-US"/>
        </w:rPr>
        <w:t>).</w:t>
      </w:r>
      <w:r>
        <w:rPr>
          <w:lang w:val="en-US"/>
        </w:rPr>
        <w:t xml:space="preserve"> </w:t>
      </w:r>
      <w:r w:rsidRPr="000F700D">
        <w:rPr>
          <w:i/>
        </w:rPr>
        <w:t>In vitro</w:t>
      </w:r>
      <w:r w:rsidRPr="000F700D">
        <w:t xml:space="preserve"> studies indicate that </w:t>
      </w:r>
      <w:r>
        <w:t>l</w:t>
      </w:r>
      <w:proofErr w:type="spellStart"/>
      <w:r w:rsidRPr="00BE78D8">
        <w:rPr>
          <w:lang w:val="en-US"/>
        </w:rPr>
        <w:t>envatinib</w:t>
      </w:r>
      <w:proofErr w:type="spellEnd"/>
      <w:r w:rsidRPr="00BE78D8">
        <w:rPr>
          <w:lang w:val="en-US"/>
        </w:rPr>
        <w:t xml:space="preserve"> is a substrate for P-</w:t>
      </w:r>
      <w:proofErr w:type="spellStart"/>
      <w:r w:rsidRPr="00BE78D8">
        <w:rPr>
          <w:lang w:val="en-US"/>
        </w:rPr>
        <w:t>gp</w:t>
      </w:r>
      <w:proofErr w:type="spellEnd"/>
      <w:r w:rsidRPr="00BE78D8">
        <w:rPr>
          <w:lang w:val="en-US"/>
        </w:rPr>
        <w:t xml:space="preserve"> and BCRP. </w:t>
      </w:r>
      <w:proofErr w:type="spellStart"/>
      <w:r w:rsidRPr="00BE78D8">
        <w:rPr>
          <w:lang w:val="en-US"/>
        </w:rPr>
        <w:t>Lenvatinib</w:t>
      </w:r>
      <w:proofErr w:type="spellEnd"/>
      <w:r w:rsidRPr="00BE78D8">
        <w:rPr>
          <w:lang w:val="en-US"/>
        </w:rPr>
        <w:t xml:space="preserve"> is not a substrate for OAT1, OAT3, OATP1B1, OATP1B3, OCT1, OCT2, </w:t>
      </w:r>
      <w:r w:rsidR="00406B0D" w:rsidRPr="00406B0D">
        <w:rPr>
          <w:lang w:val="en-US"/>
        </w:rPr>
        <w:t xml:space="preserve">MATE1, MATE2-K </w:t>
      </w:r>
      <w:r w:rsidRPr="00BE78D8">
        <w:rPr>
          <w:lang w:val="en-US"/>
        </w:rPr>
        <w:t>or the BSEP.</w:t>
      </w:r>
    </w:p>
    <w:p w14:paraId="45790338" w14:textId="77777777" w:rsidR="00E879C8" w:rsidRPr="00BE78D8" w:rsidRDefault="00E879C8" w:rsidP="00E879C8">
      <w:pPr>
        <w:pStyle w:val="Heading3"/>
        <w:rPr>
          <w:lang w:val="en-US"/>
        </w:rPr>
      </w:pPr>
      <w:r w:rsidRPr="004D4EB9">
        <w:rPr>
          <w:lang w:val="en-US"/>
        </w:rPr>
        <w:t>Metabolism</w:t>
      </w:r>
    </w:p>
    <w:p w14:paraId="4E7D4CB7" w14:textId="1FFD1C30" w:rsidR="00E879C8" w:rsidRPr="001250F6" w:rsidRDefault="00E879C8" w:rsidP="002B59F2">
      <w:pPr>
        <w:pStyle w:val="BodyText"/>
        <w:spacing w:before="120" w:after="120"/>
        <w:rPr>
          <w:lang w:val="en-US"/>
        </w:rPr>
      </w:pPr>
      <w:r w:rsidRPr="001250F6">
        <w:rPr>
          <w:i/>
          <w:iCs/>
          <w:lang w:val="en-US"/>
        </w:rPr>
        <w:t xml:space="preserve">In vitro, </w:t>
      </w:r>
      <w:r w:rsidRPr="001250F6">
        <w:rPr>
          <w:lang w:val="en-US"/>
        </w:rPr>
        <w:t xml:space="preserve">cytochrome P450 3A4 was the predominant (&gt;80%) cytochrome isoform involved in the P450- mediated metabolism of </w:t>
      </w:r>
      <w:proofErr w:type="spellStart"/>
      <w:r w:rsidRPr="001250F6">
        <w:rPr>
          <w:lang w:val="en-US"/>
        </w:rPr>
        <w:t>lenvatinib</w:t>
      </w:r>
      <w:proofErr w:type="spellEnd"/>
      <w:r w:rsidRPr="001250F6">
        <w:rPr>
          <w:lang w:val="en-US"/>
        </w:rPr>
        <w:t xml:space="preserve">. </w:t>
      </w:r>
      <w:r w:rsidRPr="001250F6">
        <w:rPr>
          <w:i/>
          <w:iCs/>
          <w:lang w:val="en-US"/>
        </w:rPr>
        <w:t xml:space="preserve">In vivo, </w:t>
      </w:r>
      <w:r w:rsidRPr="001250F6">
        <w:rPr>
          <w:lang w:val="en-US"/>
        </w:rPr>
        <w:t xml:space="preserve">inducers and inhibitors of CYP 3A4 </w:t>
      </w:r>
      <w:r w:rsidRPr="001250F6">
        <w:rPr>
          <w:lang w:val="en-US"/>
        </w:rPr>
        <w:lastRenderedPageBreak/>
        <w:t xml:space="preserve">had a minimal effect on </w:t>
      </w:r>
      <w:proofErr w:type="spellStart"/>
      <w:r w:rsidRPr="001250F6">
        <w:rPr>
          <w:lang w:val="en-US"/>
        </w:rPr>
        <w:t>lenvatinib</w:t>
      </w:r>
      <w:proofErr w:type="spellEnd"/>
      <w:r w:rsidRPr="001250F6">
        <w:rPr>
          <w:lang w:val="en-US"/>
        </w:rPr>
        <w:t xml:space="preserve"> exposure (see </w:t>
      </w:r>
      <w:r w:rsidR="007B4197">
        <w:rPr>
          <w:lang w:val="en-US"/>
        </w:rPr>
        <w:t xml:space="preserve">Section </w:t>
      </w:r>
      <w:r w:rsidR="007B4197">
        <w:rPr>
          <w:lang w:val="en-US"/>
        </w:rPr>
        <w:fldChar w:fldCharType="begin"/>
      </w:r>
      <w:r w:rsidR="007B4197">
        <w:rPr>
          <w:lang w:val="en-US"/>
        </w:rPr>
        <w:instrText xml:space="preserve"> REF _Ref503187121 \r \h </w:instrText>
      </w:r>
      <w:r w:rsidR="007B4197">
        <w:rPr>
          <w:lang w:val="en-US"/>
        </w:rPr>
      </w:r>
      <w:r w:rsidR="007B4197">
        <w:rPr>
          <w:lang w:val="en-US"/>
        </w:rPr>
        <w:fldChar w:fldCharType="separate"/>
      </w:r>
      <w:r w:rsidR="0064223A">
        <w:rPr>
          <w:lang w:val="en-US"/>
        </w:rPr>
        <w:t>4.5</w:t>
      </w:r>
      <w:r w:rsidR="007B4197">
        <w:rPr>
          <w:lang w:val="en-US"/>
        </w:rPr>
        <w:fldChar w:fldCharType="end"/>
      </w:r>
      <w:r w:rsidR="00943DED">
        <w:rPr>
          <w:lang w:val="en-US"/>
        </w:rPr>
        <w:t xml:space="preserve"> Interactions with other medicines</w:t>
      </w:r>
      <w:r w:rsidRPr="001250F6">
        <w:rPr>
          <w:lang w:val="en-US"/>
        </w:rPr>
        <w:t xml:space="preserve">). </w:t>
      </w:r>
      <w:r w:rsidRPr="00F35E0A">
        <w:t>Patients should avoid strong inducers of CYP 3A4 and exercise caution</w:t>
      </w:r>
      <w:r>
        <w:t xml:space="preserve"> </w:t>
      </w:r>
      <w:r w:rsidRPr="00F35E0A">
        <w:t xml:space="preserve">with mild or moderate inhibitors or inducers when using </w:t>
      </w:r>
      <w:proofErr w:type="spellStart"/>
      <w:r w:rsidRPr="00F35E0A">
        <w:t>everolimus</w:t>
      </w:r>
      <w:proofErr w:type="spellEnd"/>
      <w:r w:rsidRPr="00F35E0A">
        <w:t xml:space="preserve"> (see </w:t>
      </w:r>
      <w:proofErr w:type="spellStart"/>
      <w:r w:rsidRPr="00F35E0A">
        <w:t>Everolimus</w:t>
      </w:r>
      <w:proofErr w:type="spellEnd"/>
      <w:r w:rsidRPr="00F35E0A">
        <w:t xml:space="preserve"> Product</w:t>
      </w:r>
      <w:r>
        <w:t xml:space="preserve"> </w:t>
      </w:r>
      <w:r w:rsidRPr="00F35E0A">
        <w:t>Information) in combination with</w:t>
      </w:r>
      <w:r>
        <w:t xml:space="preserve"> LENVIMA</w:t>
      </w:r>
      <w:r w:rsidRPr="00F35E0A">
        <w:t>.</w:t>
      </w:r>
    </w:p>
    <w:p w14:paraId="4A1C6422" w14:textId="4B185A4B" w:rsidR="00E879C8" w:rsidRPr="001250F6" w:rsidRDefault="00E879C8" w:rsidP="002B59F2">
      <w:pPr>
        <w:pStyle w:val="BodyText"/>
        <w:spacing w:before="120" w:after="120"/>
        <w:rPr>
          <w:lang w:val="en-US"/>
        </w:rPr>
      </w:pPr>
      <w:r w:rsidRPr="001250F6">
        <w:rPr>
          <w:lang w:val="en-US"/>
        </w:rPr>
        <w:t xml:space="preserve">In human liver </w:t>
      </w:r>
      <w:proofErr w:type="spellStart"/>
      <w:r w:rsidRPr="001250F6">
        <w:rPr>
          <w:lang w:val="en-US"/>
        </w:rPr>
        <w:t>microsomes</w:t>
      </w:r>
      <w:proofErr w:type="spellEnd"/>
      <w:r w:rsidRPr="001250F6">
        <w:rPr>
          <w:lang w:val="en-US"/>
        </w:rPr>
        <w:t xml:space="preserve">, the </w:t>
      </w:r>
      <w:proofErr w:type="spellStart"/>
      <w:r w:rsidRPr="001250F6">
        <w:rPr>
          <w:lang w:val="en-US"/>
        </w:rPr>
        <w:t>demethylated</w:t>
      </w:r>
      <w:proofErr w:type="spellEnd"/>
      <w:r w:rsidRPr="001250F6">
        <w:rPr>
          <w:lang w:val="en-US"/>
        </w:rPr>
        <w:t xml:space="preserve"> form of </w:t>
      </w:r>
      <w:proofErr w:type="spellStart"/>
      <w:r w:rsidRPr="001250F6">
        <w:rPr>
          <w:lang w:val="en-US"/>
        </w:rPr>
        <w:t>lenvatinib</w:t>
      </w:r>
      <w:proofErr w:type="spellEnd"/>
      <w:r w:rsidRPr="001250F6">
        <w:rPr>
          <w:lang w:val="en-US"/>
        </w:rPr>
        <w:t xml:space="preserve"> (M2) </w:t>
      </w:r>
      <w:proofErr w:type="gramStart"/>
      <w:r w:rsidRPr="001250F6">
        <w:rPr>
          <w:lang w:val="en-US"/>
        </w:rPr>
        <w:t>was identified</w:t>
      </w:r>
      <w:proofErr w:type="gramEnd"/>
      <w:r w:rsidRPr="001250F6">
        <w:rPr>
          <w:lang w:val="en-US"/>
        </w:rPr>
        <w:t xml:space="preserve"> as the main metabolite. M2’ and M3’, the major metabolites in human </w:t>
      </w:r>
      <w:proofErr w:type="spellStart"/>
      <w:r w:rsidRPr="001250F6">
        <w:rPr>
          <w:lang w:val="en-US"/>
        </w:rPr>
        <w:t>faeces</w:t>
      </w:r>
      <w:proofErr w:type="spellEnd"/>
      <w:r w:rsidRPr="001250F6">
        <w:rPr>
          <w:lang w:val="en-US"/>
        </w:rPr>
        <w:t xml:space="preserve">, were formed from M2 and </w:t>
      </w:r>
      <w:proofErr w:type="spellStart"/>
      <w:r w:rsidRPr="001250F6">
        <w:rPr>
          <w:lang w:val="en-US"/>
        </w:rPr>
        <w:t>lenvatinib</w:t>
      </w:r>
      <w:proofErr w:type="spellEnd"/>
      <w:r w:rsidRPr="001250F6">
        <w:rPr>
          <w:lang w:val="en-US"/>
        </w:rPr>
        <w:t>, res</w:t>
      </w:r>
      <w:r w:rsidR="002B59F2">
        <w:rPr>
          <w:lang w:val="en-US"/>
        </w:rPr>
        <w:t>pectively, by aldehyde oxidase.</w:t>
      </w:r>
    </w:p>
    <w:p w14:paraId="5A4DB25F" w14:textId="77777777" w:rsidR="00E879C8" w:rsidRPr="001250F6" w:rsidRDefault="00E879C8" w:rsidP="002B59F2">
      <w:pPr>
        <w:pStyle w:val="BodyText"/>
        <w:spacing w:before="120" w:after="120"/>
        <w:rPr>
          <w:lang w:val="en-US"/>
        </w:rPr>
      </w:pPr>
      <w:r w:rsidRPr="001250F6">
        <w:rPr>
          <w:lang w:val="en-US"/>
        </w:rPr>
        <w:t xml:space="preserve">In plasma samples collected up to 24 hours after administration, </w:t>
      </w:r>
      <w:proofErr w:type="spellStart"/>
      <w:r w:rsidRPr="001250F6">
        <w:rPr>
          <w:lang w:val="en-US"/>
        </w:rPr>
        <w:t>lenvatinib</w:t>
      </w:r>
      <w:proofErr w:type="spellEnd"/>
      <w:r w:rsidRPr="001250F6">
        <w:rPr>
          <w:lang w:val="en-US"/>
        </w:rPr>
        <w:t xml:space="preserve"> constituted 97% of the radioactivity in plasma </w:t>
      </w:r>
      <w:proofErr w:type="spellStart"/>
      <w:r w:rsidRPr="001250F6">
        <w:rPr>
          <w:lang w:val="en-US"/>
        </w:rPr>
        <w:t>radiochromatograms</w:t>
      </w:r>
      <w:proofErr w:type="spellEnd"/>
      <w:r w:rsidRPr="001250F6">
        <w:rPr>
          <w:lang w:val="en-US"/>
        </w:rPr>
        <w:t xml:space="preserve"> while the M2 metabolite accounted for an additional 2.5%. Based on AUC </w:t>
      </w:r>
      <w:r w:rsidRPr="00681D12">
        <w:rPr>
          <w:vertAlign w:val="subscript"/>
          <w:lang w:val="en-US"/>
        </w:rPr>
        <w:t xml:space="preserve">(0 – </w:t>
      </w:r>
      <w:proofErr w:type="spellStart"/>
      <w:proofErr w:type="gramStart"/>
      <w:r w:rsidRPr="00681D12">
        <w:rPr>
          <w:vertAlign w:val="subscript"/>
          <w:lang w:val="en-US"/>
        </w:rPr>
        <w:t>inf</w:t>
      </w:r>
      <w:proofErr w:type="spellEnd"/>
      <w:proofErr w:type="gramEnd"/>
      <w:r w:rsidRPr="00681D12">
        <w:rPr>
          <w:vertAlign w:val="subscript"/>
          <w:lang w:val="en-US"/>
        </w:rPr>
        <w:t>)</w:t>
      </w:r>
      <w:r w:rsidRPr="001250F6">
        <w:rPr>
          <w:lang w:val="en-US"/>
        </w:rPr>
        <w:t xml:space="preserve">, </w:t>
      </w:r>
      <w:proofErr w:type="spellStart"/>
      <w:r w:rsidRPr="001250F6">
        <w:rPr>
          <w:lang w:val="en-US"/>
        </w:rPr>
        <w:t>lenvatinib</w:t>
      </w:r>
      <w:proofErr w:type="spellEnd"/>
      <w:r w:rsidRPr="001250F6">
        <w:rPr>
          <w:lang w:val="en-US"/>
        </w:rPr>
        <w:t xml:space="preserve"> accounted for 60% and 64% of the total radioactivity in plasma and blood, respectively.</w:t>
      </w:r>
    </w:p>
    <w:p w14:paraId="0C88B863" w14:textId="77777777" w:rsidR="00E879C8" w:rsidRPr="00BE78D8" w:rsidRDefault="00E879C8" w:rsidP="002B59F2">
      <w:pPr>
        <w:pStyle w:val="BodyText"/>
        <w:spacing w:before="120" w:after="120"/>
        <w:rPr>
          <w:lang w:val="en-US"/>
        </w:rPr>
      </w:pPr>
      <w:r w:rsidRPr="001250F6">
        <w:rPr>
          <w:lang w:val="en-US"/>
        </w:rPr>
        <w:t xml:space="preserve">Data from a human mass balance/excretion study indicate </w:t>
      </w:r>
      <w:proofErr w:type="spellStart"/>
      <w:r w:rsidRPr="001250F6">
        <w:rPr>
          <w:lang w:val="en-US"/>
        </w:rPr>
        <w:t>lenvatinib</w:t>
      </w:r>
      <w:proofErr w:type="spellEnd"/>
      <w:r w:rsidRPr="001250F6">
        <w:rPr>
          <w:lang w:val="en-US"/>
        </w:rPr>
        <w:t xml:space="preserve"> is extensively </w:t>
      </w:r>
      <w:proofErr w:type="spellStart"/>
      <w:r w:rsidRPr="001250F6">
        <w:rPr>
          <w:lang w:val="en-US"/>
        </w:rPr>
        <w:t>metabolised</w:t>
      </w:r>
      <w:proofErr w:type="spellEnd"/>
      <w:r w:rsidRPr="001250F6">
        <w:rPr>
          <w:lang w:val="en-US"/>
        </w:rPr>
        <w:t xml:space="preserve"> in humans. The main metabolic pathways in humans were identified as oxidation by aldehyde oxidase, demethylation via CYP3A4, glutathione conjugation with elimination of the O-aryl group (</w:t>
      </w:r>
      <w:proofErr w:type="spellStart"/>
      <w:r w:rsidRPr="001250F6">
        <w:rPr>
          <w:lang w:val="en-US"/>
        </w:rPr>
        <w:t>chlorbenzyl</w:t>
      </w:r>
      <w:proofErr w:type="spellEnd"/>
      <w:r w:rsidRPr="001250F6">
        <w:rPr>
          <w:lang w:val="en-US"/>
        </w:rPr>
        <w:t xml:space="preserve"> moiety), and combinations of these pathways followed by further </w:t>
      </w:r>
      <w:proofErr w:type="spellStart"/>
      <w:r w:rsidRPr="001250F6">
        <w:rPr>
          <w:lang w:val="en-US"/>
        </w:rPr>
        <w:t>biotransformations</w:t>
      </w:r>
      <w:proofErr w:type="spellEnd"/>
      <w:r w:rsidRPr="001250F6">
        <w:rPr>
          <w:lang w:val="en-US"/>
        </w:rPr>
        <w:t xml:space="preserve"> (</w:t>
      </w:r>
      <w:proofErr w:type="spellStart"/>
      <w:r w:rsidRPr="001250F6">
        <w:rPr>
          <w:lang w:val="en-US"/>
        </w:rPr>
        <w:t>eg</w:t>
      </w:r>
      <w:proofErr w:type="spellEnd"/>
      <w:r w:rsidRPr="001250F6">
        <w:rPr>
          <w:lang w:val="en-US"/>
        </w:rPr>
        <w:t xml:space="preserve">, </w:t>
      </w:r>
      <w:proofErr w:type="spellStart"/>
      <w:r w:rsidRPr="001250F6">
        <w:rPr>
          <w:lang w:val="en-US"/>
        </w:rPr>
        <w:t>glucuronidation</w:t>
      </w:r>
      <w:proofErr w:type="spellEnd"/>
      <w:r w:rsidRPr="001250F6">
        <w:rPr>
          <w:lang w:val="en-US"/>
        </w:rPr>
        <w:t xml:space="preserve">, hydrolysis of the glutathione moiety, degradation of the cysteine moiety, and intramolecular rearrangement of the </w:t>
      </w:r>
      <w:proofErr w:type="spellStart"/>
      <w:r w:rsidRPr="001250F6">
        <w:rPr>
          <w:lang w:val="en-US"/>
        </w:rPr>
        <w:t>cysteinylglycine</w:t>
      </w:r>
      <w:proofErr w:type="spellEnd"/>
      <w:r w:rsidRPr="001250F6">
        <w:rPr>
          <w:lang w:val="en-US"/>
        </w:rPr>
        <w:t xml:space="preserve"> and cysteine conjugates with subsequent </w:t>
      </w:r>
      <w:proofErr w:type="spellStart"/>
      <w:r w:rsidRPr="001250F6">
        <w:rPr>
          <w:lang w:val="en-US"/>
        </w:rPr>
        <w:t>dimerisation</w:t>
      </w:r>
      <w:proofErr w:type="spellEnd"/>
      <w:r w:rsidRPr="001250F6">
        <w:rPr>
          <w:lang w:val="en-US"/>
        </w:rPr>
        <w:t xml:space="preserve">). These </w:t>
      </w:r>
      <w:r w:rsidRPr="001250F6">
        <w:rPr>
          <w:i/>
          <w:iCs/>
          <w:lang w:val="en-US"/>
        </w:rPr>
        <w:t xml:space="preserve">in vivo </w:t>
      </w:r>
      <w:r w:rsidRPr="001250F6">
        <w:rPr>
          <w:lang w:val="en-US"/>
        </w:rPr>
        <w:t xml:space="preserve">metabolic routes align with the data provided in the </w:t>
      </w:r>
      <w:r w:rsidRPr="001250F6">
        <w:rPr>
          <w:i/>
          <w:iCs/>
          <w:lang w:val="en-US"/>
        </w:rPr>
        <w:t xml:space="preserve">in vitro </w:t>
      </w:r>
      <w:r w:rsidRPr="001250F6">
        <w:rPr>
          <w:lang w:val="en-US"/>
        </w:rPr>
        <w:t>studies using human biomaterials.</w:t>
      </w:r>
    </w:p>
    <w:p w14:paraId="18128FD5" w14:textId="44023E29" w:rsidR="00E879C8" w:rsidRPr="004D4EB9" w:rsidRDefault="00943DED" w:rsidP="00E879C8">
      <w:pPr>
        <w:pStyle w:val="Heading3"/>
        <w:rPr>
          <w:lang w:val="en-US"/>
        </w:rPr>
      </w:pPr>
      <w:r>
        <w:rPr>
          <w:lang w:val="en-US"/>
        </w:rPr>
        <w:t>Excretion</w:t>
      </w:r>
    </w:p>
    <w:p w14:paraId="1B2492E8" w14:textId="77777777" w:rsidR="00E879C8" w:rsidRPr="00BE78D8" w:rsidRDefault="00E879C8" w:rsidP="002B59F2">
      <w:pPr>
        <w:pStyle w:val="BodyText"/>
        <w:spacing w:before="120" w:after="120"/>
        <w:rPr>
          <w:lang w:val="en-US"/>
        </w:rPr>
      </w:pPr>
      <w:r w:rsidRPr="00BE78D8">
        <w:rPr>
          <w:lang w:val="en-US"/>
        </w:rPr>
        <w:t xml:space="preserve">Plasma concentrations decline bi-exponentially following </w:t>
      </w:r>
      <w:proofErr w:type="spellStart"/>
      <w:r w:rsidRPr="00BE78D8">
        <w:rPr>
          <w:lang w:val="en-US"/>
        </w:rPr>
        <w:t>C</w:t>
      </w:r>
      <w:r w:rsidRPr="00681D12">
        <w:rPr>
          <w:vertAlign w:val="subscript"/>
          <w:lang w:val="en-US"/>
        </w:rPr>
        <w:t>max</w:t>
      </w:r>
      <w:proofErr w:type="spellEnd"/>
      <w:r w:rsidRPr="00BE78D8">
        <w:rPr>
          <w:lang w:val="en-US"/>
        </w:rPr>
        <w:t xml:space="preserve">. The mean terminal exponential half-life of </w:t>
      </w:r>
      <w:proofErr w:type="spellStart"/>
      <w:r w:rsidRPr="00BE78D8">
        <w:rPr>
          <w:lang w:val="en-US"/>
        </w:rPr>
        <w:t>lenvatinib</w:t>
      </w:r>
      <w:proofErr w:type="spellEnd"/>
      <w:r w:rsidRPr="00BE78D8">
        <w:rPr>
          <w:lang w:val="en-US"/>
        </w:rPr>
        <w:t xml:space="preserve"> is approximately 28 hours.</w:t>
      </w:r>
    </w:p>
    <w:p w14:paraId="46788B4B" w14:textId="7DD082CD" w:rsidR="00E879C8" w:rsidRPr="00BE78D8" w:rsidRDefault="00E879C8" w:rsidP="002B59F2">
      <w:pPr>
        <w:pStyle w:val="BodyText"/>
        <w:spacing w:before="120" w:after="120"/>
        <w:rPr>
          <w:lang w:val="en-US"/>
        </w:rPr>
      </w:pPr>
      <w:r w:rsidRPr="00BE78D8">
        <w:rPr>
          <w:lang w:val="en-US"/>
        </w:rPr>
        <w:t xml:space="preserve">Following administration of </w:t>
      </w:r>
      <w:proofErr w:type="spellStart"/>
      <w:r w:rsidRPr="00BE78D8">
        <w:rPr>
          <w:lang w:val="en-US"/>
        </w:rPr>
        <w:t>radiolabelled</w:t>
      </w:r>
      <w:proofErr w:type="spellEnd"/>
      <w:r w:rsidRPr="00BE78D8">
        <w:rPr>
          <w:lang w:val="en-US"/>
        </w:rPr>
        <w:t xml:space="preserve"> </w:t>
      </w:r>
      <w:proofErr w:type="spellStart"/>
      <w:r w:rsidRPr="00BE78D8">
        <w:rPr>
          <w:lang w:val="en-US"/>
        </w:rPr>
        <w:t>lenvatinib</w:t>
      </w:r>
      <w:proofErr w:type="spellEnd"/>
      <w:r w:rsidRPr="00BE78D8">
        <w:rPr>
          <w:lang w:val="en-US"/>
        </w:rPr>
        <w:t xml:space="preserve"> to </w:t>
      </w:r>
      <w:proofErr w:type="gramStart"/>
      <w:r w:rsidRPr="00BE78D8">
        <w:rPr>
          <w:lang w:val="en-US"/>
        </w:rPr>
        <w:t>6</w:t>
      </w:r>
      <w:proofErr w:type="gramEnd"/>
      <w:r w:rsidRPr="00BE78D8">
        <w:rPr>
          <w:lang w:val="en-US"/>
        </w:rPr>
        <w:t xml:space="preserve"> patients with solid </w:t>
      </w:r>
      <w:proofErr w:type="spellStart"/>
      <w:r w:rsidRPr="00BE78D8">
        <w:rPr>
          <w:lang w:val="en-US"/>
        </w:rPr>
        <w:t>tumours</w:t>
      </w:r>
      <w:proofErr w:type="spellEnd"/>
      <w:r w:rsidRPr="00BE78D8">
        <w:rPr>
          <w:lang w:val="en-US"/>
        </w:rPr>
        <w:t>, approximately two</w:t>
      </w:r>
      <w:r>
        <w:rPr>
          <w:lang w:val="en-US"/>
        </w:rPr>
        <w:t>-</w:t>
      </w:r>
      <w:r w:rsidRPr="00BE78D8">
        <w:rPr>
          <w:lang w:val="en-US"/>
        </w:rPr>
        <w:t xml:space="preserve">thirds and one-fourth of the radiolabel were eliminated in the </w:t>
      </w:r>
      <w:proofErr w:type="spellStart"/>
      <w:r w:rsidRPr="00BE78D8">
        <w:rPr>
          <w:lang w:val="en-US"/>
        </w:rPr>
        <w:t>faeces</w:t>
      </w:r>
      <w:proofErr w:type="spellEnd"/>
      <w:r w:rsidRPr="00BE78D8">
        <w:rPr>
          <w:lang w:val="en-US"/>
        </w:rPr>
        <w:t xml:space="preserve"> and urine, respectively. The M2 metabolite was the predominant </w:t>
      </w:r>
      <w:proofErr w:type="spellStart"/>
      <w:r w:rsidRPr="00BE78D8">
        <w:rPr>
          <w:lang w:val="en-US"/>
        </w:rPr>
        <w:t>analyte</w:t>
      </w:r>
      <w:proofErr w:type="spellEnd"/>
      <w:r w:rsidRPr="00BE78D8">
        <w:rPr>
          <w:lang w:val="en-US"/>
        </w:rPr>
        <w:t xml:space="preserve"> in excreta (</w:t>
      </w:r>
      <w:r w:rsidR="006540BC">
        <w:rPr>
          <w:lang w:val="en-US"/>
        </w:rPr>
        <w:sym w:font="Symbol" w:char="F07E"/>
      </w:r>
      <w:r w:rsidRPr="00BE78D8">
        <w:rPr>
          <w:lang w:val="en-US"/>
        </w:rPr>
        <w:t xml:space="preserve">5% of the dose) with </w:t>
      </w:r>
      <w:proofErr w:type="spellStart"/>
      <w:r w:rsidRPr="00BE78D8">
        <w:rPr>
          <w:lang w:val="en-US"/>
        </w:rPr>
        <w:t>lenvatinib</w:t>
      </w:r>
      <w:proofErr w:type="spellEnd"/>
      <w:r w:rsidRPr="00BE78D8">
        <w:rPr>
          <w:lang w:val="en-US"/>
        </w:rPr>
        <w:t xml:space="preserve"> the second most prominent (</w:t>
      </w:r>
      <w:r w:rsidR="006540BC">
        <w:rPr>
          <w:lang w:val="en-US"/>
        </w:rPr>
        <w:sym w:font="Symbol" w:char="F07E"/>
      </w:r>
      <w:r w:rsidRPr="00BE78D8">
        <w:rPr>
          <w:lang w:val="en-US"/>
        </w:rPr>
        <w:t>2.5%).</w:t>
      </w:r>
    </w:p>
    <w:p w14:paraId="0D8A46A9" w14:textId="77777777" w:rsidR="00E879C8" w:rsidRPr="00BE78D8" w:rsidRDefault="00E879C8" w:rsidP="00E879C8">
      <w:pPr>
        <w:pStyle w:val="Heading3"/>
        <w:rPr>
          <w:lang w:val="en-US"/>
        </w:rPr>
      </w:pPr>
      <w:r w:rsidRPr="004D4EB9">
        <w:rPr>
          <w:lang w:val="en-US"/>
        </w:rPr>
        <w:t>Linearity/non-linearity</w:t>
      </w:r>
    </w:p>
    <w:p w14:paraId="0CC57972" w14:textId="77777777" w:rsidR="00E879C8" w:rsidRPr="00BE78D8" w:rsidRDefault="00E879C8" w:rsidP="00E879C8">
      <w:pPr>
        <w:pStyle w:val="Heading4"/>
        <w:rPr>
          <w:lang w:val="en-US"/>
        </w:rPr>
      </w:pPr>
      <w:r w:rsidRPr="00BE78D8">
        <w:rPr>
          <w:lang w:val="en-US"/>
        </w:rPr>
        <w:t>Dose proportionality and accumulation</w:t>
      </w:r>
    </w:p>
    <w:p w14:paraId="0ED0B8CC" w14:textId="77777777" w:rsidR="00E879C8" w:rsidRDefault="00E879C8" w:rsidP="002B59F2">
      <w:pPr>
        <w:pStyle w:val="BodyText"/>
        <w:spacing w:before="120" w:after="60"/>
        <w:rPr>
          <w:lang w:val="en-US"/>
        </w:rPr>
      </w:pPr>
      <w:r w:rsidRPr="00A255ED">
        <w:rPr>
          <w:lang w:val="en-US"/>
        </w:rPr>
        <w:t xml:space="preserve">In patients with solid </w:t>
      </w:r>
      <w:proofErr w:type="spellStart"/>
      <w:r w:rsidRPr="00A255ED">
        <w:rPr>
          <w:lang w:val="en-US"/>
        </w:rPr>
        <w:t>tumours</w:t>
      </w:r>
      <w:proofErr w:type="spellEnd"/>
      <w:r w:rsidRPr="00A255ED">
        <w:rPr>
          <w:lang w:val="en-US"/>
        </w:rPr>
        <w:t xml:space="preserve"> administered single and multiple doses of </w:t>
      </w:r>
      <w:proofErr w:type="spellStart"/>
      <w:r w:rsidRPr="00A255ED">
        <w:rPr>
          <w:lang w:val="en-US"/>
        </w:rPr>
        <w:t>lenvatinib</w:t>
      </w:r>
      <w:proofErr w:type="spellEnd"/>
      <w:r w:rsidRPr="00A255ED">
        <w:rPr>
          <w:lang w:val="en-US"/>
        </w:rPr>
        <w:t xml:space="preserve"> once daily, exposure to </w:t>
      </w:r>
      <w:proofErr w:type="spellStart"/>
      <w:r w:rsidRPr="00A255ED">
        <w:rPr>
          <w:lang w:val="en-US"/>
        </w:rPr>
        <w:t>lenvatinib</w:t>
      </w:r>
      <w:proofErr w:type="spellEnd"/>
      <w:r w:rsidRPr="00A255ED">
        <w:rPr>
          <w:lang w:val="en-US"/>
        </w:rPr>
        <w:t xml:space="preserve"> (</w:t>
      </w:r>
      <w:proofErr w:type="spellStart"/>
      <w:r w:rsidRPr="00A255ED">
        <w:rPr>
          <w:lang w:val="en-US"/>
        </w:rPr>
        <w:t>C</w:t>
      </w:r>
      <w:r w:rsidRPr="00681D12">
        <w:rPr>
          <w:vertAlign w:val="subscript"/>
          <w:lang w:val="en-US"/>
        </w:rPr>
        <w:t>max</w:t>
      </w:r>
      <w:proofErr w:type="spellEnd"/>
      <w:r w:rsidRPr="00A255ED">
        <w:rPr>
          <w:lang w:val="en-US"/>
        </w:rPr>
        <w:t xml:space="preserve"> and AUC) increased in direct proportion to the administered dose over the range of 3.2 to 32 mg once-daily (QD).</w:t>
      </w:r>
    </w:p>
    <w:p w14:paraId="6A52D852" w14:textId="1986F102" w:rsidR="00E879C8" w:rsidRPr="00BE78D8" w:rsidRDefault="00E879C8" w:rsidP="002B59F2">
      <w:pPr>
        <w:pStyle w:val="BodyText"/>
        <w:spacing w:before="120" w:after="60"/>
        <w:rPr>
          <w:lang w:val="en-US"/>
        </w:rPr>
      </w:pPr>
      <w:proofErr w:type="spellStart"/>
      <w:r w:rsidRPr="00A255ED">
        <w:rPr>
          <w:lang w:val="en-US"/>
        </w:rPr>
        <w:t>Lenvatinib</w:t>
      </w:r>
      <w:proofErr w:type="spellEnd"/>
      <w:r w:rsidRPr="00A255ED">
        <w:rPr>
          <w:lang w:val="en-US"/>
        </w:rPr>
        <w:t xml:space="preserve"> displays minimal accumulation at steady state. Over this range, the median accumulation index (</w:t>
      </w:r>
      <w:proofErr w:type="spellStart"/>
      <w:r w:rsidRPr="00A255ED">
        <w:rPr>
          <w:lang w:val="en-US"/>
        </w:rPr>
        <w:t>Rac</w:t>
      </w:r>
      <w:proofErr w:type="spellEnd"/>
      <w:r w:rsidRPr="00A255ED">
        <w:rPr>
          <w:lang w:val="en-US"/>
        </w:rPr>
        <w:t>) ranged from 0.96 (20 mg) to 1.54 (6.4 mg).</w:t>
      </w:r>
      <w:r w:rsidR="006540BC">
        <w:rPr>
          <w:lang w:val="en-US"/>
        </w:rPr>
        <w:t xml:space="preserve"> </w:t>
      </w:r>
      <w:r w:rsidR="003D1D38" w:rsidRPr="003D1D38">
        <w:rPr>
          <w:lang w:val="en-US"/>
        </w:rPr>
        <w:t>In patients</w:t>
      </w:r>
      <w:r w:rsidR="00C3010D">
        <w:rPr>
          <w:lang w:val="en-US"/>
        </w:rPr>
        <w:t xml:space="preserve"> </w:t>
      </w:r>
      <w:r w:rsidR="00E047D9">
        <w:rPr>
          <w:lang w:val="en-US"/>
        </w:rPr>
        <w:t>with</w:t>
      </w:r>
      <w:r w:rsidR="00C3010D">
        <w:rPr>
          <w:lang w:val="en-US"/>
        </w:rPr>
        <w:t xml:space="preserve"> HCC</w:t>
      </w:r>
      <w:r w:rsidR="003D1D38" w:rsidRPr="003D1D38">
        <w:rPr>
          <w:lang w:val="en-US"/>
        </w:rPr>
        <w:t>, the mean accumulation ratio was 1.49 in those with higher Child-Pugh scores (7-8) receiving 8</w:t>
      </w:r>
      <w:r w:rsidR="00BA1623">
        <w:rPr>
          <w:lang w:val="en-US"/>
        </w:rPr>
        <w:t> </w:t>
      </w:r>
      <w:r w:rsidR="003D1D38" w:rsidRPr="003D1D38">
        <w:rPr>
          <w:lang w:val="en-US"/>
        </w:rPr>
        <w:t xml:space="preserve">mg </w:t>
      </w:r>
      <w:proofErr w:type="spellStart"/>
      <w:r w:rsidR="003D1D38" w:rsidRPr="003D1D38">
        <w:rPr>
          <w:lang w:val="en-US"/>
        </w:rPr>
        <w:t>lenvatinib</w:t>
      </w:r>
      <w:proofErr w:type="spellEnd"/>
      <w:r w:rsidR="003D1D38" w:rsidRPr="003D1D38">
        <w:rPr>
          <w:lang w:val="en-US"/>
        </w:rPr>
        <w:t>.</w:t>
      </w:r>
    </w:p>
    <w:p w14:paraId="00EFBC9F" w14:textId="77777777" w:rsidR="00E879C8" w:rsidRPr="004D4EB9" w:rsidRDefault="00E879C8" w:rsidP="00E879C8">
      <w:pPr>
        <w:pStyle w:val="Heading3"/>
        <w:rPr>
          <w:lang w:val="en-US"/>
        </w:rPr>
      </w:pPr>
      <w:r w:rsidRPr="004D4EB9">
        <w:rPr>
          <w:lang w:val="en-US"/>
        </w:rPr>
        <w:lastRenderedPageBreak/>
        <w:t>Special populations</w:t>
      </w:r>
    </w:p>
    <w:p w14:paraId="0823D557" w14:textId="77777777" w:rsidR="00E879C8" w:rsidRPr="00BE78D8" w:rsidRDefault="00E879C8" w:rsidP="00E879C8">
      <w:pPr>
        <w:pStyle w:val="Heading4"/>
        <w:rPr>
          <w:lang w:val="en-US"/>
        </w:rPr>
      </w:pPr>
      <w:r w:rsidRPr="00BE78D8">
        <w:rPr>
          <w:lang w:val="en-US"/>
        </w:rPr>
        <w:t>Hepatic impairment</w:t>
      </w:r>
    </w:p>
    <w:p w14:paraId="61BC1936" w14:textId="77777777" w:rsidR="00E879C8" w:rsidRPr="00BE78D8" w:rsidRDefault="00E879C8" w:rsidP="002B59F2">
      <w:pPr>
        <w:pStyle w:val="BodyText"/>
        <w:spacing w:before="120" w:after="120"/>
        <w:rPr>
          <w:lang w:val="en-US"/>
        </w:rPr>
      </w:pPr>
      <w:r w:rsidRPr="00BE78D8">
        <w:rPr>
          <w:lang w:val="en-US"/>
        </w:rPr>
        <w:t xml:space="preserve">The pharmacokinetics of </w:t>
      </w:r>
      <w:proofErr w:type="spellStart"/>
      <w:r w:rsidRPr="00BE78D8">
        <w:rPr>
          <w:lang w:val="en-US"/>
        </w:rPr>
        <w:t>lenvatinib</w:t>
      </w:r>
      <w:proofErr w:type="spellEnd"/>
      <w:r w:rsidRPr="00BE78D8">
        <w:rPr>
          <w:lang w:val="en-US"/>
        </w:rPr>
        <w:t xml:space="preserve"> following a single 10-mg dose were evaluated in </w:t>
      </w:r>
      <w:proofErr w:type="gramStart"/>
      <w:r w:rsidRPr="00BE78D8">
        <w:rPr>
          <w:lang w:val="en-US"/>
        </w:rPr>
        <w:t>6</w:t>
      </w:r>
      <w:proofErr w:type="gramEnd"/>
      <w:r w:rsidRPr="00BE78D8">
        <w:rPr>
          <w:lang w:val="en-US"/>
        </w:rPr>
        <w:t xml:space="preserve"> subjects each with mild </w:t>
      </w:r>
      <w:r>
        <w:rPr>
          <w:lang w:val="en-US"/>
        </w:rPr>
        <w:t>or</w:t>
      </w:r>
      <w:r w:rsidRPr="00BE78D8">
        <w:rPr>
          <w:lang w:val="en-US"/>
        </w:rPr>
        <w:t xml:space="preserve"> moderate hepatic impairment (Child-Pugh A and Child-Pugh B, respectively). A 5-mg dose was evaluated in </w:t>
      </w:r>
      <w:proofErr w:type="gramStart"/>
      <w:r w:rsidRPr="00BE78D8">
        <w:rPr>
          <w:lang w:val="en-US"/>
        </w:rPr>
        <w:t>6</w:t>
      </w:r>
      <w:proofErr w:type="gramEnd"/>
      <w:r w:rsidRPr="00BE78D8">
        <w:rPr>
          <w:lang w:val="en-US"/>
        </w:rPr>
        <w:t xml:space="preserve"> subjects with severe hepatic impairment (Child-Pugh C). Eight healthy, demographically matched subjects served as controls and received a 10-mg dose. The median half-life was comparable in subjects with mild, moderate, and severe hepatic impairment as well as those with normal hepatic function and ranged from 26 hours to 31 hours. The percentage of the dose of </w:t>
      </w:r>
      <w:proofErr w:type="spellStart"/>
      <w:r w:rsidRPr="00BE78D8">
        <w:rPr>
          <w:lang w:val="en-US"/>
        </w:rPr>
        <w:t>lenvatinib</w:t>
      </w:r>
      <w:proofErr w:type="spellEnd"/>
      <w:r w:rsidRPr="00BE78D8">
        <w:rPr>
          <w:lang w:val="en-US"/>
        </w:rPr>
        <w:t xml:space="preserve"> excreted in urine was low in all cohorts (&lt;</w:t>
      </w:r>
      <w:r>
        <w:rPr>
          <w:lang w:val="en-US"/>
        </w:rPr>
        <w:t> </w:t>
      </w:r>
      <w:proofErr w:type="gramStart"/>
      <w:r w:rsidRPr="00BE78D8">
        <w:rPr>
          <w:lang w:val="en-US"/>
        </w:rPr>
        <w:t>2.16%</w:t>
      </w:r>
      <w:proofErr w:type="gramEnd"/>
      <w:r w:rsidRPr="00BE78D8">
        <w:rPr>
          <w:lang w:val="en-US"/>
        </w:rPr>
        <w:t xml:space="preserve"> across treatment cohorts).</w:t>
      </w:r>
    </w:p>
    <w:p w14:paraId="514105A7" w14:textId="40860093" w:rsidR="00E879C8" w:rsidRPr="00BE78D8" w:rsidRDefault="00E879C8" w:rsidP="002B59F2">
      <w:pPr>
        <w:pStyle w:val="BodyText"/>
        <w:spacing w:before="120" w:after="120"/>
        <w:rPr>
          <w:lang w:val="en-US"/>
        </w:rPr>
      </w:pPr>
      <w:proofErr w:type="spellStart"/>
      <w:r w:rsidRPr="00BE78D8">
        <w:rPr>
          <w:lang w:val="en-US"/>
        </w:rPr>
        <w:t>Lenvatinib</w:t>
      </w:r>
      <w:proofErr w:type="spellEnd"/>
      <w:r w:rsidRPr="00BE78D8">
        <w:rPr>
          <w:lang w:val="en-US"/>
        </w:rPr>
        <w:t xml:space="preserve"> exposure, based on dose-adjusted AUC</w:t>
      </w:r>
      <w:r w:rsidRPr="00681D12">
        <w:rPr>
          <w:vertAlign w:val="subscript"/>
          <w:lang w:val="en-US"/>
        </w:rPr>
        <w:t xml:space="preserve">0-t,unbound </w:t>
      </w:r>
      <w:r w:rsidRPr="00BE78D8">
        <w:rPr>
          <w:lang w:val="en-US"/>
        </w:rPr>
        <w:t>and AUC</w:t>
      </w:r>
      <w:r w:rsidRPr="00681D12">
        <w:rPr>
          <w:vertAlign w:val="subscript"/>
          <w:lang w:val="en-US"/>
        </w:rPr>
        <w:t>0-inf,unbound</w:t>
      </w:r>
      <w:r w:rsidRPr="00BE78D8">
        <w:rPr>
          <w:lang w:val="en-US"/>
        </w:rPr>
        <w:t>, was approximately 65%, 122%, and 273% of normal for subjects with mild, moderate, and severe hepatic impairment, respectively.</w:t>
      </w:r>
      <w:r>
        <w:rPr>
          <w:lang w:val="en-US"/>
        </w:rPr>
        <w:t xml:space="preserve"> </w:t>
      </w:r>
      <w:r w:rsidRPr="00BE78D8">
        <w:rPr>
          <w:lang w:val="en-US"/>
        </w:rPr>
        <w:t>Based on the analogous AUC</w:t>
      </w:r>
      <w:r w:rsidRPr="00681D12">
        <w:rPr>
          <w:vertAlign w:val="subscript"/>
          <w:lang w:val="en-US"/>
        </w:rPr>
        <w:t>0-t</w:t>
      </w:r>
      <w:r w:rsidRPr="00BE78D8">
        <w:rPr>
          <w:lang w:val="en-US"/>
        </w:rPr>
        <w:t xml:space="preserve"> and AUC</w:t>
      </w:r>
      <w:r w:rsidRPr="00681D12">
        <w:rPr>
          <w:vertAlign w:val="subscript"/>
          <w:lang w:val="en-US"/>
        </w:rPr>
        <w:t xml:space="preserve">0-inf </w:t>
      </w:r>
      <w:r w:rsidRPr="00BE78D8">
        <w:rPr>
          <w:lang w:val="en-US"/>
        </w:rPr>
        <w:t xml:space="preserve">data, </w:t>
      </w:r>
      <w:proofErr w:type="spellStart"/>
      <w:r w:rsidRPr="00BE78D8">
        <w:rPr>
          <w:lang w:val="en-US"/>
        </w:rPr>
        <w:t>lenvatinib</w:t>
      </w:r>
      <w:proofErr w:type="spellEnd"/>
      <w:r w:rsidRPr="00BE78D8">
        <w:rPr>
          <w:lang w:val="en-US"/>
        </w:rPr>
        <w:t xml:space="preserve"> exposure was 119%, 107%, and 180% of normal for subjects with mild, moderate, and severe hepatic impairment, respectively </w:t>
      </w:r>
      <w:r>
        <w:rPr>
          <w:lang w:val="en-US"/>
        </w:rPr>
        <w:t>(</w:t>
      </w:r>
      <w:r w:rsidR="007B4197" w:rsidRPr="00A21782">
        <w:t xml:space="preserve">see </w:t>
      </w:r>
      <w:r w:rsidR="007B4197">
        <w:t xml:space="preserve">Section </w:t>
      </w:r>
      <w:r w:rsidR="007B4197">
        <w:fldChar w:fldCharType="begin"/>
      </w:r>
      <w:r w:rsidR="007B4197">
        <w:instrText xml:space="preserve"> REF _Ref503529038 \r \h </w:instrText>
      </w:r>
      <w:r w:rsidR="007B4197">
        <w:fldChar w:fldCharType="separate"/>
      </w:r>
      <w:r w:rsidR="0064223A">
        <w:t>4.2</w:t>
      </w:r>
      <w:r w:rsidR="007B4197">
        <w:fldChar w:fldCharType="end"/>
      </w:r>
      <w:r w:rsidR="00943DED">
        <w:t xml:space="preserve"> Dose and method of administration</w:t>
      </w:r>
      <w:r>
        <w:rPr>
          <w:lang w:val="en-US"/>
        </w:rPr>
        <w:t>)</w:t>
      </w:r>
      <w:r w:rsidRPr="00BE78D8">
        <w:rPr>
          <w:lang w:val="en-US"/>
        </w:rPr>
        <w:t>.</w:t>
      </w:r>
    </w:p>
    <w:p w14:paraId="22B1EDEE" w14:textId="77777777" w:rsidR="00E879C8" w:rsidRPr="00BE78D8" w:rsidRDefault="00E879C8" w:rsidP="00E879C8">
      <w:pPr>
        <w:pStyle w:val="Heading4"/>
        <w:rPr>
          <w:lang w:val="en-US"/>
        </w:rPr>
      </w:pPr>
      <w:r w:rsidRPr="00BE78D8">
        <w:rPr>
          <w:lang w:val="en-US"/>
        </w:rPr>
        <w:t>Renal impairment</w:t>
      </w:r>
    </w:p>
    <w:p w14:paraId="1F0188C6" w14:textId="13F1A52C" w:rsidR="00E879C8" w:rsidRPr="001B3145" w:rsidRDefault="00E879C8" w:rsidP="002B59F2">
      <w:pPr>
        <w:pStyle w:val="BodyText"/>
        <w:spacing w:before="120" w:after="120"/>
        <w:rPr>
          <w:rFonts w:cs="Times New Roman"/>
          <w:szCs w:val="24"/>
          <w:lang w:val="en-US"/>
        </w:rPr>
      </w:pPr>
      <w:r w:rsidRPr="00BE78D8">
        <w:rPr>
          <w:lang w:val="en-US"/>
        </w:rPr>
        <w:t xml:space="preserve">The pharmacokinetics of </w:t>
      </w:r>
      <w:proofErr w:type="spellStart"/>
      <w:r w:rsidRPr="00BE78D8">
        <w:rPr>
          <w:lang w:val="en-US"/>
        </w:rPr>
        <w:t>lenvatinib</w:t>
      </w:r>
      <w:proofErr w:type="spellEnd"/>
      <w:r w:rsidRPr="00BE78D8">
        <w:rPr>
          <w:lang w:val="en-US"/>
        </w:rPr>
        <w:t xml:space="preserve"> following a single 24</w:t>
      </w:r>
      <w:r>
        <w:rPr>
          <w:lang w:val="en-US"/>
        </w:rPr>
        <w:t xml:space="preserve"> </w:t>
      </w:r>
      <w:r w:rsidRPr="00BE78D8">
        <w:rPr>
          <w:lang w:val="en-US"/>
        </w:rPr>
        <w:t xml:space="preserve">mg dose were evaluated in </w:t>
      </w:r>
      <w:proofErr w:type="gramStart"/>
      <w:r w:rsidRPr="00BE78D8">
        <w:rPr>
          <w:lang w:val="en-US"/>
        </w:rPr>
        <w:t>6</w:t>
      </w:r>
      <w:proofErr w:type="gramEnd"/>
      <w:r w:rsidRPr="00BE78D8">
        <w:rPr>
          <w:lang w:val="en-US"/>
        </w:rPr>
        <w:t xml:space="preserve"> subjects each with mild, moderate, </w:t>
      </w:r>
      <w:r>
        <w:rPr>
          <w:lang w:val="en-US"/>
        </w:rPr>
        <w:t>or</w:t>
      </w:r>
      <w:r w:rsidRPr="00BE78D8">
        <w:rPr>
          <w:lang w:val="en-US"/>
        </w:rPr>
        <w:t xml:space="preserve"> severe renal impairment, and compared with 8 healthy, demographically matched subjects. Subjects with end-stage renal disease </w:t>
      </w:r>
      <w:proofErr w:type="gramStart"/>
      <w:r w:rsidRPr="00BE78D8">
        <w:rPr>
          <w:lang w:val="en-US"/>
        </w:rPr>
        <w:t>were not studied</w:t>
      </w:r>
      <w:proofErr w:type="gramEnd"/>
      <w:r w:rsidRPr="00BE78D8">
        <w:rPr>
          <w:lang w:val="en-US"/>
        </w:rPr>
        <w:t xml:space="preserve">. The percentage of unbound </w:t>
      </w:r>
      <w:proofErr w:type="spellStart"/>
      <w:r w:rsidRPr="00BE78D8">
        <w:rPr>
          <w:lang w:val="en-US"/>
        </w:rPr>
        <w:t>lenvatinib</w:t>
      </w:r>
      <w:proofErr w:type="spellEnd"/>
      <w:r w:rsidRPr="00BE78D8">
        <w:rPr>
          <w:lang w:val="en-US"/>
        </w:rPr>
        <w:t xml:space="preserve"> was similar between subjects with normal renal function (8% </w:t>
      </w:r>
      <w:r w:rsidR="006540BC">
        <w:rPr>
          <w:lang w:val="en-US"/>
        </w:rPr>
        <w:sym w:font="Symbol" w:char="F0B1"/>
      </w:r>
      <w:r w:rsidRPr="00BE78D8">
        <w:rPr>
          <w:lang w:val="en-US"/>
        </w:rPr>
        <w:t xml:space="preserve"> 3%, mean </w:t>
      </w:r>
      <w:r w:rsidR="006540BC">
        <w:rPr>
          <w:lang w:val="en-US"/>
        </w:rPr>
        <w:sym w:font="Symbol" w:char="F0B1"/>
      </w:r>
      <w:r w:rsidRPr="00BE78D8">
        <w:rPr>
          <w:lang w:val="en-US"/>
        </w:rPr>
        <w:t xml:space="preserve"> SD) and those with severely impaired renal function (9% </w:t>
      </w:r>
      <w:r w:rsidR="006540BC">
        <w:rPr>
          <w:lang w:val="en-US"/>
        </w:rPr>
        <w:sym w:font="Symbol" w:char="F0B1"/>
      </w:r>
      <w:r w:rsidRPr="00BE78D8">
        <w:rPr>
          <w:lang w:val="en-US"/>
        </w:rPr>
        <w:t xml:space="preserve"> 2%).</w:t>
      </w:r>
      <w:r>
        <w:rPr>
          <w:lang w:val="en-US"/>
        </w:rPr>
        <w:t xml:space="preserve"> </w:t>
      </w:r>
      <w:r w:rsidRPr="00BE78D8">
        <w:rPr>
          <w:lang w:val="en-US"/>
        </w:rPr>
        <w:t>AUC</w:t>
      </w:r>
      <w:r w:rsidRPr="00681D12">
        <w:rPr>
          <w:vertAlign w:val="subscript"/>
          <w:lang w:val="en-US"/>
        </w:rPr>
        <w:t>0-inf</w:t>
      </w:r>
      <w:proofErr w:type="gramStart"/>
      <w:r w:rsidRPr="00681D12">
        <w:rPr>
          <w:vertAlign w:val="subscript"/>
          <w:lang w:val="en-US"/>
        </w:rPr>
        <w:t>,unbound</w:t>
      </w:r>
      <w:proofErr w:type="gramEnd"/>
      <w:r w:rsidRPr="00681D12">
        <w:rPr>
          <w:vertAlign w:val="subscript"/>
          <w:lang w:val="en-US"/>
        </w:rPr>
        <w:t xml:space="preserve"> </w:t>
      </w:r>
      <w:r w:rsidRPr="00BE78D8">
        <w:rPr>
          <w:lang w:val="en-US"/>
        </w:rPr>
        <w:t xml:space="preserve">estimates for subjects with mild, moderate, </w:t>
      </w:r>
      <w:r>
        <w:rPr>
          <w:lang w:val="en-US"/>
        </w:rPr>
        <w:t>or</w:t>
      </w:r>
      <w:r w:rsidRPr="00BE78D8">
        <w:rPr>
          <w:lang w:val="en-US"/>
        </w:rPr>
        <w:t xml:space="preserve"> severe renal impairment were 54%, 129%,and 184%, respectively, compared with normal subjects. Additionally, a linear equation was fit to the creatinine clearance vs. AUC</w:t>
      </w:r>
      <w:r w:rsidRPr="00681D12">
        <w:rPr>
          <w:vertAlign w:val="subscript"/>
          <w:lang w:val="en-US"/>
        </w:rPr>
        <w:t>0-inf</w:t>
      </w:r>
      <w:proofErr w:type="gramStart"/>
      <w:r w:rsidRPr="00681D12">
        <w:rPr>
          <w:vertAlign w:val="subscript"/>
          <w:lang w:val="en-US"/>
        </w:rPr>
        <w:t>,unbound</w:t>
      </w:r>
      <w:proofErr w:type="gramEnd"/>
      <w:r w:rsidRPr="00681D12">
        <w:rPr>
          <w:vertAlign w:val="subscript"/>
          <w:lang w:val="en-US"/>
        </w:rPr>
        <w:t xml:space="preserve"> </w:t>
      </w:r>
      <w:r w:rsidRPr="00BE78D8">
        <w:rPr>
          <w:lang w:val="en-US"/>
        </w:rPr>
        <w:t xml:space="preserve">data and exposure was predicted. Subjects with </w:t>
      </w:r>
      <w:r w:rsidRPr="001B3145">
        <w:rPr>
          <w:rFonts w:cs="Times New Roman"/>
          <w:szCs w:val="24"/>
          <w:lang w:val="en-US"/>
        </w:rPr>
        <w:t xml:space="preserve">severe renal impairment </w:t>
      </w:r>
      <w:proofErr w:type="gramStart"/>
      <w:r w:rsidRPr="001B3145">
        <w:rPr>
          <w:rFonts w:cs="Times New Roman"/>
          <w:szCs w:val="24"/>
          <w:lang w:val="en-US"/>
        </w:rPr>
        <w:t>were predicted</w:t>
      </w:r>
      <w:proofErr w:type="gramEnd"/>
      <w:r w:rsidRPr="001B3145">
        <w:rPr>
          <w:rFonts w:cs="Times New Roman"/>
          <w:szCs w:val="24"/>
          <w:lang w:val="en-US"/>
        </w:rPr>
        <w:t xml:space="preserve"> to have a 2.4-fold increase in exposure.</w:t>
      </w:r>
      <w:r w:rsidRPr="001B3145">
        <w:rPr>
          <w:rFonts w:cs="Times New Roman"/>
          <w:szCs w:val="24"/>
        </w:rPr>
        <w:t xml:space="preserve"> Therefore dosage needs to be reduced in</w:t>
      </w:r>
      <w:r w:rsidR="001B3145" w:rsidRPr="007176F3">
        <w:rPr>
          <w:rFonts w:cs="Times New Roman"/>
          <w:szCs w:val="24"/>
        </w:rPr>
        <w:t xml:space="preserve"> </w:t>
      </w:r>
      <w:r w:rsidR="001B3145" w:rsidRPr="004D6DC9">
        <w:rPr>
          <w:rFonts w:cs="Times New Roman"/>
          <w:szCs w:val="24"/>
        </w:rPr>
        <w:t>DTC</w:t>
      </w:r>
      <w:proofErr w:type="gramStart"/>
      <w:r w:rsidR="003A0E09">
        <w:rPr>
          <w:rFonts w:cs="Times New Roman"/>
          <w:szCs w:val="24"/>
        </w:rPr>
        <w:t>,</w:t>
      </w:r>
      <w:r w:rsidR="001B3145" w:rsidRPr="004D6DC9">
        <w:rPr>
          <w:rFonts w:cs="Times New Roman"/>
          <w:szCs w:val="24"/>
        </w:rPr>
        <w:t xml:space="preserve">  RCC</w:t>
      </w:r>
      <w:proofErr w:type="gramEnd"/>
      <w:r w:rsidR="003A0E09">
        <w:rPr>
          <w:rFonts w:cs="Times New Roman"/>
          <w:szCs w:val="24"/>
        </w:rPr>
        <w:t>, and endometrial carcinoma</w:t>
      </w:r>
      <w:r w:rsidRPr="004D6DC9">
        <w:rPr>
          <w:rFonts w:cs="Times New Roman"/>
          <w:szCs w:val="24"/>
        </w:rPr>
        <w:t xml:space="preserve"> patients with severe renal impairment</w:t>
      </w:r>
      <w:r w:rsidRPr="004D6DC9">
        <w:rPr>
          <w:rFonts w:cs="Times New Roman"/>
          <w:szCs w:val="24"/>
          <w:lang w:val="en-US"/>
        </w:rPr>
        <w:t xml:space="preserve"> (</w:t>
      </w:r>
      <w:r w:rsidR="007B4197" w:rsidRPr="004D6DC9">
        <w:rPr>
          <w:rFonts w:cs="Times New Roman"/>
          <w:szCs w:val="24"/>
        </w:rPr>
        <w:t xml:space="preserve">see Section </w:t>
      </w:r>
      <w:r w:rsidR="007B4197" w:rsidRPr="001B3145">
        <w:rPr>
          <w:rFonts w:cs="Times New Roman"/>
          <w:szCs w:val="24"/>
        </w:rPr>
        <w:fldChar w:fldCharType="begin"/>
      </w:r>
      <w:r w:rsidR="007B4197" w:rsidRPr="001B3145">
        <w:rPr>
          <w:rFonts w:cs="Times New Roman"/>
          <w:szCs w:val="24"/>
        </w:rPr>
        <w:instrText xml:space="preserve"> REF _Ref503529038 \r \h </w:instrText>
      </w:r>
      <w:r w:rsidR="001B3145" w:rsidRPr="001B3145">
        <w:rPr>
          <w:rFonts w:cs="Times New Roman"/>
          <w:szCs w:val="24"/>
        </w:rPr>
        <w:instrText xml:space="preserve"> \* MERGEFORMAT </w:instrText>
      </w:r>
      <w:r w:rsidR="007B4197" w:rsidRPr="001B3145">
        <w:rPr>
          <w:rFonts w:cs="Times New Roman"/>
          <w:szCs w:val="24"/>
        </w:rPr>
      </w:r>
      <w:r w:rsidR="007B4197" w:rsidRPr="001B3145">
        <w:rPr>
          <w:rFonts w:cs="Times New Roman"/>
          <w:szCs w:val="24"/>
        </w:rPr>
        <w:fldChar w:fldCharType="separate"/>
      </w:r>
      <w:r w:rsidR="0064223A">
        <w:rPr>
          <w:rFonts w:cs="Times New Roman"/>
          <w:szCs w:val="24"/>
        </w:rPr>
        <w:t>4.2</w:t>
      </w:r>
      <w:r w:rsidR="007B4197" w:rsidRPr="001B3145">
        <w:rPr>
          <w:rFonts w:cs="Times New Roman"/>
          <w:szCs w:val="24"/>
        </w:rPr>
        <w:fldChar w:fldCharType="end"/>
      </w:r>
      <w:r w:rsidR="00B662F4">
        <w:t xml:space="preserve"> Dose and method of administration</w:t>
      </w:r>
      <w:r w:rsidRPr="001B3145">
        <w:rPr>
          <w:rFonts w:cs="Times New Roman"/>
          <w:szCs w:val="24"/>
          <w:lang w:val="en-US"/>
        </w:rPr>
        <w:t>).</w:t>
      </w:r>
      <w:r w:rsidR="001B3145" w:rsidRPr="001B3145">
        <w:rPr>
          <w:rFonts w:cs="Times New Roman"/>
          <w:szCs w:val="24"/>
          <w:lang w:val="en-US"/>
        </w:rPr>
        <w:t xml:space="preserve"> </w:t>
      </w:r>
      <w:r w:rsidR="001B3145">
        <w:rPr>
          <w:rFonts w:cs="Times New Roman"/>
          <w:szCs w:val="24"/>
          <w:lang w:val="en-US"/>
        </w:rPr>
        <w:t xml:space="preserve"> </w:t>
      </w:r>
      <w:r w:rsidR="001B3145" w:rsidRPr="001B3145">
        <w:rPr>
          <w:rFonts w:cs="Times New Roman"/>
          <w:szCs w:val="24"/>
        </w:rPr>
        <w:t>No dosage recommendations are available for HCC</w:t>
      </w:r>
      <w:r w:rsidR="00E60932">
        <w:rPr>
          <w:rFonts w:cs="Times New Roman"/>
          <w:szCs w:val="24"/>
        </w:rPr>
        <w:t xml:space="preserve"> </w:t>
      </w:r>
      <w:r w:rsidR="001B3145" w:rsidRPr="001B3145">
        <w:rPr>
          <w:rFonts w:cs="Times New Roman"/>
          <w:szCs w:val="24"/>
        </w:rPr>
        <w:t>patients with severe renal impairment (See DOSAGE AND ADMINISTRATION).</w:t>
      </w:r>
      <w:r w:rsidR="00BA1623">
        <w:rPr>
          <w:rFonts w:cs="Times New Roman"/>
          <w:szCs w:val="24"/>
        </w:rPr>
        <w:t xml:space="preserve"> Use in HCC patients with severe renal impairment </w:t>
      </w:r>
      <w:proofErr w:type="gramStart"/>
      <w:r w:rsidR="00BA1623">
        <w:rPr>
          <w:rFonts w:cs="Times New Roman"/>
          <w:szCs w:val="24"/>
        </w:rPr>
        <w:t>is not recommended</w:t>
      </w:r>
      <w:proofErr w:type="gramEnd"/>
      <w:r w:rsidR="00BA1623">
        <w:rPr>
          <w:rFonts w:cs="Times New Roman"/>
          <w:szCs w:val="24"/>
        </w:rPr>
        <w:t>.</w:t>
      </w:r>
    </w:p>
    <w:p w14:paraId="3550914A" w14:textId="77777777" w:rsidR="00E879C8" w:rsidRPr="00587B28" w:rsidRDefault="00E879C8" w:rsidP="00E879C8">
      <w:pPr>
        <w:pStyle w:val="Heading4"/>
        <w:rPr>
          <w:lang w:val="en-US"/>
        </w:rPr>
      </w:pPr>
      <w:r w:rsidRPr="00587B28">
        <w:rPr>
          <w:lang w:val="en-US"/>
        </w:rPr>
        <w:t>Age, sex, weight, race</w:t>
      </w:r>
    </w:p>
    <w:p w14:paraId="751B8652" w14:textId="42F468BF" w:rsidR="004A2F48" w:rsidRPr="004A2F48" w:rsidRDefault="004A2F48" w:rsidP="0085607C">
      <w:pPr>
        <w:pStyle w:val="BodyText"/>
        <w:spacing w:before="120" w:after="60"/>
      </w:pPr>
      <w:r w:rsidRPr="004A2F48">
        <w:t xml:space="preserve">Based on a population pharmacokinetic analysis of patients receiving up to 24 mg LENVIMA once daily, including HCC patients weighing &lt; 60 kg and </w:t>
      </w:r>
      <w:r w:rsidR="006540BC">
        <w:sym w:font="Symbol" w:char="F0B3"/>
      </w:r>
      <w:r w:rsidRPr="004A2F48">
        <w:t xml:space="preserve"> 60 kg receiving 8 mg and 12 mg, respectively, weight showed a statistically significant effect. </w:t>
      </w:r>
      <w:r w:rsidRPr="004A2F48">
        <w:rPr>
          <w:rFonts w:eastAsia="MS Mincho"/>
          <w:lang w:val="en-GB"/>
        </w:rPr>
        <w:t xml:space="preserve">The final PK model for </w:t>
      </w:r>
      <w:proofErr w:type="spellStart"/>
      <w:r w:rsidRPr="004A2F48">
        <w:rPr>
          <w:rFonts w:eastAsia="MS Mincho"/>
          <w:lang w:val="en-GB"/>
        </w:rPr>
        <w:t>lenvatinib</w:t>
      </w:r>
      <w:proofErr w:type="spellEnd"/>
      <w:r w:rsidRPr="004A2F48">
        <w:rPr>
          <w:rFonts w:eastAsia="MS Mincho"/>
          <w:lang w:val="en-GB"/>
        </w:rPr>
        <w:t xml:space="preserve"> included body-weight effect as an </w:t>
      </w:r>
      <w:proofErr w:type="spellStart"/>
      <w:r w:rsidRPr="004A2F48">
        <w:rPr>
          <w:rFonts w:eastAsia="MS Mincho"/>
          <w:lang w:val="en-GB"/>
        </w:rPr>
        <w:t>allometric</w:t>
      </w:r>
      <w:proofErr w:type="spellEnd"/>
      <w:r w:rsidRPr="004A2F48">
        <w:rPr>
          <w:rFonts w:eastAsia="MS Mincho"/>
          <w:lang w:val="en-GB"/>
        </w:rPr>
        <w:t xml:space="preserve"> constant on both clearance (CL/F) and volume parameters, whereby parameters increased with increasing body weight. The decrease in CL/F in subjects with low body weight resulted in an increase in </w:t>
      </w:r>
      <w:proofErr w:type="spellStart"/>
      <w:r w:rsidRPr="004A2F48">
        <w:rPr>
          <w:rFonts w:eastAsia="MS Mincho"/>
          <w:lang w:val="en-GB"/>
        </w:rPr>
        <w:t>lenvatinib</w:t>
      </w:r>
      <w:proofErr w:type="spellEnd"/>
      <w:r w:rsidRPr="004A2F48">
        <w:rPr>
          <w:rFonts w:eastAsia="MS Mincho"/>
          <w:lang w:val="en-GB"/>
        </w:rPr>
        <w:t xml:space="preserve"> exposure (AUC) whereby </w:t>
      </w:r>
      <w:r w:rsidRPr="004A2F48">
        <w:t xml:space="preserve">subjects weighing &lt; 60 kg had approximately 35% higher exposure </w:t>
      </w:r>
      <w:r w:rsidRPr="004A2F48">
        <w:lastRenderedPageBreak/>
        <w:t xml:space="preserve">to </w:t>
      </w:r>
      <w:proofErr w:type="spellStart"/>
      <w:r w:rsidRPr="004A2F48">
        <w:t>lenvatinib</w:t>
      </w:r>
      <w:proofErr w:type="spellEnd"/>
      <w:r w:rsidRPr="004A2F48">
        <w:t xml:space="preserve"> </w:t>
      </w:r>
      <w:proofErr w:type="gramStart"/>
      <w:r w:rsidRPr="004A2F48">
        <w:t xml:space="preserve">than subjects weighing </w:t>
      </w:r>
      <w:r w:rsidR="006540BC">
        <w:rPr>
          <w:rFonts w:eastAsia="MS Mincho"/>
          <w:lang w:val="en-GB"/>
        </w:rPr>
        <w:sym w:font="Symbol" w:char="F0B3"/>
      </w:r>
      <w:r>
        <w:rPr>
          <w:rFonts w:eastAsia="MS Mincho"/>
          <w:lang w:val="en-GB"/>
        </w:rPr>
        <w:t xml:space="preserve"> </w:t>
      </w:r>
      <w:r w:rsidRPr="004A2F48">
        <w:t>60 kg</w:t>
      </w:r>
      <w:r w:rsidR="006540BC">
        <w:t xml:space="preserve"> when receiving the same dose</w:t>
      </w:r>
      <w:proofErr w:type="gramEnd"/>
      <w:r w:rsidR="006540BC">
        <w:t xml:space="preserve">. </w:t>
      </w:r>
      <w:proofErr w:type="gramStart"/>
      <w:r w:rsidRPr="004A2F48">
        <w:rPr>
          <w:rFonts w:eastAsia="MS Mincho"/>
          <w:lang w:val="en-GB"/>
        </w:rPr>
        <w:t xml:space="preserve">Based on the individual </w:t>
      </w:r>
      <w:proofErr w:type="spellStart"/>
      <w:r w:rsidRPr="004A2F48">
        <w:rPr>
          <w:rFonts w:eastAsia="MS Mincho"/>
          <w:lang w:val="en-GB"/>
        </w:rPr>
        <w:t>lenvatinib</w:t>
      </w:r>
      <w:proofErr w:type="spellEnd"/>
      <w:r w:rsidRPr="004A2F48">
        <w:rPr>
          <w:rFonts w:eastAsia="MS Mincho"/>
          <w:lang w:val="en-GB"/>
        </w:rPr>
        <w:t xml:space="preserve"> AUC at steady state for subjects with HCC, the median value and range of AUC are comparable</w:t>
      </w:r>
      <w:r>
        <w:rPr>
          <w:rFonts w:eastAsia="MS Mincho"/>
          <w:lang w:val="en-GB"/>
        </w:rPr>
        <w:t xml:space="preserve"> </w:t>
      </w:r>
      <w:r w:rsidRPr="004A2F48">
        <w:rPr>
          <w:rFonts w:eastAsia="MS Mincho"/>
          <w:lang w:val="en-GB"/>
        </w:rPr>
        <w:t xml:space="preserve">between the group of starting dose of 8 mg for body weight &lt; 60 kg and 12 mg for body weight </w:t>
      </w:r>
      <w:r w:rsidR="006540BC">
        <w:rPr>
          <w:rFonts w:eastAsia="MS Mincho"/>
          <w:lang w:val="en-GB"/>
        </w:rPr>
        <w:sym w:font="Symbol" w:char="F0B3"/>
      </w:r>
      <w:r w:rsidRPr="004A2F48">
        <w:rPr>
          <w:rFonts w:eastAsia="MS Mincho"/>
          <w:lang w:val="en-GB"/>
        </w:rPr>
        <w:t xml:space="preserve"> 60 kg, which supports the starting doses of 8 mg and 12 mg for body weight &lt; 60 kg and </w:t>
      </w:r>
      <w:r w:rsidR="006540BC">
        <w:rPr>
          <w:rFonts w:eastAsia="MS Mincho"/>
          <w:lang w:val="en-GB"/>
        </w:rPr>
        <w:sym w:font="Symbol" w:char="F0B3"/>
      </w:r>
      <w:r w:rsidRPr="004A2F48">
        <w:rPr>
          <w:rFonts w:eastAsia="MS Mincho"/>
          <w:lang w:val="en-GB"/>
        </w:rPr>
        <w:t xml:space="preserve"> 60 kg</w:t>
      </w:r>
      <w:r w:rsidRPr="004A2F48">
        <w:t>, respectively</w:t>
      </w:r>
      <w:r w:rsidR="0078311D">
        <w:t>, in HCC patients</w:t>
      </w:r>
      <w:r w:rsidR="0085607C">
        <w:t>.</w:t>
      </w:r>
      <w:proofErr w:type="gramEnd"/>
    </w:p>
    <w:p w14:paraId="3BFCF7FE" w14:textId="494B1D8D" w:rsidR="004A2F48" w:rsidRPr="004A2F48" w:rsidRDefault="004A2F48" w:rsidP="0085607C">
      <w:pPr>
        <w:pStyle w:val="BodyText"/>
        <w:spacing w:before="120" w:after="60"/>
      </w:pPr>
      <w:r w:rsidRPr="004A2F48">
        <w:t xml:space="preserve">After accounting for body weight, </w:t>
      </w:r>
      <w:proofErr w:type="gramStart"/>
      <w:r w:rsidRPr="004A2F48">
        <w:t>neither age,</w:t>
      </w:r>
      <w:proofErr w:type="gramEnd"/>
      <w:r w:rsidRPr="004A2F48">
        <w:t xml:space="preserve"> sex, or race (Japanese vs. other, Chinese vs other, white vs. other) influenced </w:t>
      </w:r>
      <w:proofErr w:type="spellStart"/>
      <w:r w:rsidRPr="004A2F48">
        <w:t>lenvatinib</w:t>
      </w:r>
      <w:proofErr w:type="spellEnd"/>
      <w:r w:rsidRPr="004A2F48">
        <w:t xml:space="preserve"> PK.</w:t>
      </w:r>
    </w:p>
    <w:p w14:paraId="3B418500" w14:textId="77777777" w:rsidR="00E879C8" w:rsidRPr="00BE78D8" w:rsidRDefault="00E879C8" w:rsidP="00E879C8">
      <w:pPr>
        <w:pStyle w:val="Heading4"/>
        <w:rPr>
          <w:lang w:val="en-US"/>
        </w:rPr>
      </w:pPr>
      <w:proofErr w:type="spellStart"/>
      <w:r w:rsidRPr="00BE78D8">
        <w:rPr>
          <w:lang w:val="en-US"/>
        </w:rPr>
        <w:t>Paediatric</w:t>
      </w:r>
      <w:proofErr w:type="spellEnd"/>
      <w:r w:rsidRPr="00BE78D8">
        <w:rPr>
          <w:lang w:val="en-US"/>
        </w:rPr>
        <w:t xml:space="preserve"> Population</w:t>
      </w:r>
    </w:p>
    <w:p w14:paraId="5B982A50" w14:textId="77777777" w:rsidR="00E879C8" w:rsidRPr="00BE78D8" w:rsidRDefault="00E879C8" w:rsidP="0085607C">
      <w:pPr>
        <w:pStyle w:val="BodyText"/>
        <w:spacing w:before="120" w:after="120" w:line="360" w:lineRule="auto"/>
        <w:rPr>
          <w:lang w:val="en-US"/>
        </w:rPr>
      </w:pPr>
      <w:proofErr w:type="spellStart"/>
      <w:r w:rsidRPr="00431655">
        <w:rPr>
          <w:lang w:val="en-US"/>
        </w:rPr>
        <w:t>Paediatric</w:t>
      </w:r>
      <w:proofErr w:type="spellEnd"/>
      <w:r w:rsidRPr="00431655">
        <w:rPr>
          <w:lang w:val="en-US"/>
        </w:rPr>
        <w:t xml:space="preserve"> patients </w:t>
      </w:r>
      <w:proofErr w:type="gramStart"/>
      <w:r w:rsidRPr="00431655">
        <w:rPr>
          <w:lang w:val="en-US"/>
        </w:rPr>
        <w:t>have not been studied</w:t>
      </w:r>
      <w:proofErr w:type="gramEnd"/>
      <w:r w:rsidRPr="00431655">
        <w:rPr>
          <w:lang w:val="en-US"/>
        </w:rPr>
        <w:t>.</w:t>
      </w:r>
    </w:p>
    <w:p w14:paraId="3D6B0573" w14:textId="77777777" w:rsidR="00E879C8" w:rsidRPr="00BE78D8" w:rsidRDefault="00E879C8" w:rsidP="00E879C8">
      <w:pPr>
        <w:pStyle w:val="Heading4"/>
        <w:rPr>
          <w:lang w:val="en-US"/>
        </w:rPr>
      </w:pPr>
      <w:r w:rsidRPr="00BE78D8">
        <w:rPr>
          <w:lang w:val="en-US"/>
        </w:rPr>
        <w:t xml:space="preserve">Genomic assessment of </w:t>
      </w:r>
      <w:proofErr w:type="spellStart"/>
      <w:r w:rsidRPr="00BE78D8">
        <w:rPr>
          <w:lang w:val="en-US"/>
        </w:rPr>
        <w:t>lenvatinib</w:t>
      </w:r>
      <w:proofErr w:type="spellEnd"/>
      <w:r w:rsidRPr="00BE78D8">
        <w:rPr>
          <w:lang w:val="en-US"/>
        </w:rPr>
        <w:t xml:space="preserve"> pharmacokinetic parameters</w:t>
      </w:r>
    </w:p>
    <w:p w14:paraId="4DBCD861" w14:textId="77777777" w:rsidR="00E879C8" w:rsidRPr="00BE78D8" w:rsidRDefault="00E879C8" w:rsidP="0085607C">
      <w:pPr>
        <w:pStyle w:val="BodyText"/>
        <w:spacing w:before="120" w:after="120"/>
        <w:rPr>
          <w:lang w:val="en-US"/>
        </w:rPr>
      </w:pPr>
      <w:r w:rsidRPr="00BE78D8">
        <w:rPr>
          <w:lang w:val="en-US"/>
        </w:rPr>
        <w:t xml:space="preserve">Because of </w:t>
      </w:r>
      <w:proofErr w:type="spellStart"/>
      <w:r w:rsidRPr="00BE78D8">
        <w:rPr>
          <w:lang w:val="en-US"/>
        </w:rPr>
        <w:t>lenvatinib’s</w:t>
      </w:r>
      <w:proofErr w:type="spellEnd"/>
      <w:r w:rsidRPr="00BE78D8">
        <w:rPr>
          <w:lang w:val="en-US"/>
        </w:rPr>
        <w:t xml:space="preserve"> extensive metabolism, the effect of selected drug-</w:t>
      </w:r>
      <w:proofErr w:type="spellStart"/>
      <w:r w:rsidRPr="00BE78D8">
        <w:rPr>
          <w:lang w:val="en-US"/>
        </w:rPr>
        <w:t>metabolising</w:t>
      </w:r>
      <w:proofErr w:type="spellEnd"/>
      <w:r w:rsidRPr="00BE78D8">
        <w:rPr>
          <w:lang w:val="en-US"/>
        </w:rPr>
        <w:t xml:space="preserve"> enzyme phenotypes on </w:t>
      </w:r>
      <w:proofErr w:type="spellStart"/>
      <w:r w:rsidRPr="00BE78D8">
        <w:rPr>
          <w:lang w:val="en-US"/>
        </w:rPr>
        <w:t>lenvatinib</w:t>
      </w:r>
      <w:proofErr w:type="spellEnd"/>
      <w:r w:rsidRPr="00BE78D8">
        <w:rPr>
          <w:lang w:val="en-US"/>
        </w:rPr>
        <w:t xml:space="preserve"> clearance </w:t>
      </w:r>
      <w:proofErr w:type="gramStart"/>
      <w:r w:rsidRPr="00BE78D8">
        <w:rPr>
          <w:lang w:val="en-US"/>
        </w:rPr>
        <w:t>was investigated</w:t>
      </w:r>
      <w:proofErr w:type="gramEnd"/>
      <w:r w:rsidRPr="00BE78D8">
        <w:rPr>
          <w:lang w:val="en-US"/>
        </w:rPr>
        <w:t xml:space="preserve"> using data derived from the </w:t>
      </w:r>
      <w:proofErr w:type="spellStart"/>
      <w:r w:rsidRPr="00BE78D8">
        <w:rPr>
          <w:lang w:val="en-US"/>
        </w:rPr>
        <w:t>Affymetrix</w:t>
      </w:r>
      <w:proofErr w:type="spellEnd"/>
      <w:r w:rsidRPr="00BE78D8">
        <w:rPr>
          <w:lang w:val="en-US"/>
        </w:rPr>
        <w:t xml:space="preserve"> drug-</w:t>
      </w:r>
      <w:proofErr w:type="spellStart"/>
      <w:r w:rsidRPr="00BE78D8">
        <w:rPr>
          <w:lang w:val="en-US"/>
        </w:rPr>
        <w:t>metabolising</w:t>
      </w:r>
      <w:proofErr w:type="spellEnd"/>
      <w:r w:rsidRPr="00BE78D8">
        <w:rPr>
          <w:lang w:val="en-US"/>
        </w:rPr>
        <w:t xml:space="preserve"> enzyme and transporter (DMET Plus) microarray genotyping platform. None of the phenotypes for CYP3A5, CYP1A2, CYP2A6, or CYP2C19 had a significant impact on </w:t>
      </w:r>
      <w:proofErr w:type="spellStart"/>
      <w:r w:rsidRPr="00BE78D8">
        <w:rPr>
          <w:lang w:val="en-US"/>
        </w:rPr>
        <w:t>lenvatinib</w:t>
      </w:r>
      <w:proofErr w:type="spellEnd"/>
      <w:r w:rsidRPr="00BE78D8">
        <w:rPr>
          <w:lang w:val="en-US"/>
        </w:rPr>
        <w:t xml:space="preserve"> clearance.</w:t>
      </w:r>
    </w:p>
    <w:p w14:paraId="0C27B3C7" w14:textId="77777777" w:rsidR="00D85D9B" w:rsidRPr="00356A04" w:rsidRDefault="00D85D9B" w:rsidP="00D85D9B">
      <w:pPr>
        <w:pStyle w:val="Heading2"/>
        <w:ind w:left="578" w:hanging="578"/>
      </w:pPr>
      <w:r w:rsidRPr="00356A04">
        <w:t>Preclinical safety data</w:t>
      </w:r>
    </w:p>
    <w:p w14:paraId="2C68E522" w14:textId="77777777" w:rsidR="00032264" w:rsidRPr="00032264" w:rsidRDefault="00032264" w:rsidP="00032264">
      <w:pPr>
        <w:pStyle w:val="Heading3"/>
      </w:pPr>
      <w:proofErr w:type="spellStart"/>
      <w:r w:rsidRPr="00032264">
        <w:t>Genotoxicity</w:t>
      </w:r>
      <w:proofErr w:type="spellEnd"/>
    </w:p>
    <w:p w14:paraId="421AA131" w14:textId="77777777" w:rsidR="00032264" w:rsidRDefault="00032264" w:rsidP="0085607C">
      <w:pPr>
        <w:pStyle w:val="BodyText"/>
        <w:spacing w:before="120" w:after="60"/>
      </w:pPr>
      <w:proofErr w:type="spellStart"/>
      <w:r w:rsidRPr="00032264">
        <w:t>Lenvatinib</w:t>
      </w:r>
      <w:proofErr w:type="spellEnd"/>
      <w:r w:rsidRPr="00032264">
        <w:t xml:space="preserve"> was not mutagenic in the in vitro Ames and mouse lymphoma tests and not </w:t>
      </w:r>
      <w:proofErr w:type="spellStart"/>
      <w:r w:rsidRPr="00032264">
        <w:t>clastogenic</w:t>
      </w:r>
      <w:proofErr w:type="spellEnd"/>
      <w:r w:rsidRPr="00032264">
        <w:t xml:space="preserve"> in an in vivo micronucleus assay in rats. These studies indicate a low genotoxic potential for LENVIMA.</w:t>
      </w:r>
    </w:p>
    <w:p w14:paraId="7C48F3B6" w14:textId="77777777" w:rsidR="00943DED" w:rsidRPr="00032264" w:rsidRDefault="00943DED" w:rsidP="00943DED">
      <w:pPr>
        <w:pStyle w:val="Heading3"/>
      </w:pPr>
      <w:r w:rsidRPr="00032264">
        <w:t>Carcinogenicity</w:t>
      </w:r>
    </w:p>
    <w:p w14:paraId="15BA823C" w14:textId="77777777" w:rsidR="00943DED" w:rsidRPr="00032264" w:rsidRDefault="00943DED" w:rsidP="0085607C">
      <w:pPr>
        <w:pStyle w:val="BodyText"/>
        <w:spacing w:before="120" w:after="120"/>
      </w:pPr>
      <w:r w:rsidRPr="00032264">
        <w:t xml:space="preserve">Carcinogenicity studies </w:t>
      </w:r>
      <w:proofErr w:type="gramStart"/>
      <w:r w:rsidRPr="00032264">
        <w:t>have not been conducted</w:t>
      </w:r>
      <w:proofErr w:type="gramEnd"/>
      <w:r w:rsidRPr="00032264">
        <w:t xml:space="preserve"> with LENVIMA.</w:t>
      </w:r>
    </w:p>
    <w:p w14:paraId="7594AE21" w14:textId="77777777" w:rsidR="00D85D9B" w:rsidRPr="00356A04" w:rsidRDefault="00D85D9B" w:rsidP="00D85D9B">
      <w:pPr>
        <w:pStyle w:val="Heading1"/>
        <w:ind w:left="431" w:hanging="431"/>
      </w:pPr>
      <w:r w:rsidRPr="00356A04">
        <w:t>Pharmaceutical particulars</w:t>
      </w:r>
    </w:p>
    <w:p w14:paraId="63E91B3A" w14:textId="61032685" w:rsidR="00D85D9B" w:rsidRDefault="00D85D9B" w:rsidP="00D85D9B">
      <w:pPr>
        <w:pStyle w:val="Heading2"/>
        <w:ind w:left="578" w:hanging="578"/>
      </w:pPr>
      <w:bookmarkStart w:id="27" w:name="_Ref503187308"/>
      <w:r w:rsidRPr="00356A04">
        <w:t>List of excipients</w:t>
      </w:r>
      <w:bookmarkEnd w:id="27"/>
    </w:p>
    <w:p w14:paraId="0ED1EDE1" w14:textId="3EAB94AB" w:rsidR="00DC5E06" w:rsidRDefault="00DC5E06" w:rsidP="0085607C">
      <w:pPr>
        <w:pStyle w:val="BodyText"/>
        <w:spacing w:before="120" w:after="120"/>
        <w:rPr>
          <w:lang w:val="en-US"/>
        </w:rPr>
      </w:pPr>
      <w:r w:rsidRPr="00BE78D8">
        <w:rPr>
          <w:lang w:val="en-US"/>
        </w:rPr>
        <w:t xml:space="preserve">The capsules contain the excipients Calcium carbonate, Mannitol, </w:t>
      </w:r>
      <w:r>
        <w:rPr>
          <w:lang w:val="en-US"/>
        </w:rPr>
        <w:t>Microcrystalline cellulose</w:t>
      </w:r>
      <w:r w:rsidRPr="00BE78D8">
        <w:rPr>
          <w:lang w:val="en-US"/>
        </w:rPr>
        <w:t xml:space="preserve">, </w:t>
      </w:r>
      <w:proofErr w:type="spellStart"/>
      <w:r w:rsidRPr="00BE78D8">
        <w:rPr>
          <w:lang w:val="en-US"/>
        </w:rPr>
        <w:t>Hydroxypropylcellulose</w:t>
      </w:r>
      <w:proofErr w:type="spellEnd"/>
      <w:r w:rsidRPr="00BE78D8">
        <w:rPr>
          <w:lang w:val="en-US"/>
        </w:rPr>
        <w:t xml:space="preserve">, and </w:t>
      </w:r>
      <w:r>
        <w:rPr>
          <w:lang w:val="en-US"/>
        </w:rPr>
        <w:t>Purified talc</w:t>
      </w:r>
      <w:r w:rsidRPr="00BE78D8">
        <w:rPr>
          <w:lang w:val="en-US"/>
        </w:rPr>
        <w:t xml:space="preserve">. </w:t>
      </w:r>
      <w:r>
        <w:rPr>
          <w:lang w:val="en-US"/>
        </w:rPr>
        <w:t xml:space="preserve"> </w:t>
      </w:r>
      <w:r w:rsidRPr="00BE78D8">
        <w:rPr>
          <w:lang w:val="en-US"/>
        </w:rPr>
        <w:t xml:space="preserve">The capsule shell contains the excipients </w:t>
      </w:r>
      <w:proofErr w:type="spellStart"/>
      <w:r w:rsidRPr="00BE78D8">
        <w:rPr>
          <w:lang w:val="en-US"/>
        </w:rPr>
        <w:t>Hypromellose</w:t>
      </w:r>
      <w:proofErr w:type="spellEnd"/>
      <w:r w:rsidRPr="00BE78D8">
        <w:rPr>
          <w:lang w:val="en-US"/>
        </w:rPr>
        <w:t xml:space="preserve">, Titanium dioxide, </w:t>
      </w:r>
      <w:r>
        <w:rPr>
          <w:lang w:val="en-US"/>
        </w:rPr>
        <w:t>I</w:t>
      </w:r>
      <w:r w:rsidRPr="00BE78D8">
        <w:rPr>
          <w:lang w:val="en-US"/>
        </w:rPr>
        <w:t>ron oxide</w:t>
      </w:r>
      <w:r>
        <w:rPr>
          <w:lang w:val="en-US"/>
        </w:rPr>
        <w:t xml:space="preserve"> yellow and</w:t>
      </w:r>
      <w:r w:rsidRPr="00BE78D8">
        <w:rPr>
          <w:lang w:val="en-US"/>
        </w:rPr>
        <w:t xml:space="preserve"> </w:t>
      </w:r>
      <w:r>
        <w:rPr>
          <w:lang w:val="en-US"/>
        </w:rPr>
        <w:t>I</w:t>
      </w:r>
      <w:r w:rsidRPr="00BE78D8">
        <w:rPr>
          <w:lang w:val="en-US"/>
        </w:rPr>
        <w:t>ron oxide</w:t>
      </w:r>
      <w:r>
        <w:rPr>
          <w:lang w:val="en-US"/>
        </w:rPr>
        <w:t xml:space="preserve"> red</w:t>
      </w:r>
      <w:r w:rsidR="006540BC">
        <w:rPr>
          <w:lang w:val="en-US"/>
        </w:rPr>
        <w:t>.</w:t>
      </w:r>
      <w:r>
        <w:rPr>
          <w:lang w:val="en-US"/>
        </w:rPr>
        <w:t xml:space="preserve"> </w:t>
      </w:r>
      <w:r w:rsidRPr="00BE78D8">
        <w:rPr>
          <w:lang w:val="en-US"/>
        </w:rPr>
        <w:t xml:space="preserve">The printing ink on the capsules contains the excipients Shellac, </w:t>
      </w:r>
      <w:r>
        <w:rPr>
          <w:lang w:val="en-US"/>
        </w:rPr>
        <w:t>I</w:t>
      </w:r>
      <w:r w:rsidRPr="00BE78D8">
        <w:rPr>
          <w:lang w:val="en-US"/>
        </w:rPr>
        <w:t>ron oxide</w:t>
      </w:r>
      <w:r>
        <w:rPr>
          <w:lang w:val="en-US"/>
        </w:rPr>
        <w:t xml:space="preserve"> black, Potassium hydroxide and </w:t>
      </w:r>
      <w:r w:rsidRPr="00BE78D8">
        <w:rPr>
          <w:lang w:val="en-US"/>
        </w:rPr>
        <w:t>Propylene glycol.</w:t>
      </w:r>
    </w:p>
    <w:p w14:paraId="28780873" w14:textId="4A2874C6" w:rsidR="00D85D9B" w:rsidRDefault="00D85D9B" w:rsidP="00D85D9B">
      <w:pPr>
        <w:pStyle w:val="Heading2"/>
        <w:ind w:left="578" w:hanging="578"/>
      </w:pPr>
      <w:r w:rsidRPr="00356A04">
        <w:t>Incompatibi</w:t>
      </w:r>
      <w:r w:rsidR="0085607C">
        <w:t>lities</w:t>
      </w:r>
    </w:p>
    <w:p w14:paraId="1FE8FCB8" w14:textId="77777777" w:rsidR="00D85D9B" w:rsidRDefault="00D85D9B" w:rsidP="0085607C">
      <w:pPr>
        <w:pStyle w:val="BodyText"/>
        <w:spacing w:before="120" w:after="120"/>
      </w:pPr>
      <w:r w:rsidRPr="00F37C36">
        <w:t xml:space="preserve">Incompatibilities </w:t>
      </w:r>
      <w:proofErr w:type="gramStart"/>
      <w:r w:rsidRPr="00F37C36">
        <w:t>were either not assessed or not identified as part of the registratio</w:t>
      </w:r>
      <w:r>
        <w:t>n of this medicine</w:t>
      </w:r>
      <w:proofErr w:type="gramEnd"/>
      <w:r>
        <w:t>.</w:t>
      </w:r>
    </w:p>
    <w:p w14:paraId="0A965D3F" w14:textId="46922D0E" w:rsidR="00D85D9B" w:rsidRDefault="0085607C" w:rsidP="00D85D9B">
      <w:pPr>
        <w:pStyle w:val="Heading2"/>
        <w:ind w:left="578" w:hanging="578"/>
      </w:pPr>
      <w:r>
        <w:lastRenderedPageBreak/>
        <w:t>Shelf life</w:t>
      </w:r>
    </w:p>
    <w:p w14:paraId="4583DD41" w14:textId="77777777" w:rsidR="00D85D9B" w:rsidRDefault="00D85D9B" w:rsidP="0085607C">
      <w:pPr>
        <w:pStyle w:val="BodyText"/>
        <w:spacing w:before="120" w:after="120"/>
      </w:pPr>
      <w:r w:rsidRPr="000A6596">
        <w:t xml:space="preserve">In Australia, information on the shelf life </w:t>
      </w:r>
      <w:proofErr w:type="gramStart"/>
      <w:r w:rsidRPr="000A6596">
        <w:t>can be found</w:t>
      </w:r>
      <w:proofErr w:type="gramEnd"/>
      <w:r w:rsidRPr="000A6596">
        <w:t xml:space="preserve"> on the public summary of the Australian Register of Therapeutic Goods (ARTG). The expiry date</w:t>
      </w:r>
      <w:r>
        <w:t xml:space="preserve"> </w:t>
      </w:r>
      <w:proofErr w:type="gramStart"/>
      <w:r>
        <w:t>can be found</w:t>
      </w:r>
      <w:proofErr w:type="gramEnd"/>
      <w:r>
        <w:t xml:space="preserve"> on the packaging.</w:t>
      </w:r>
    </w:p>
    <w:p w14:paraId="1CE7A567" w14:textId="07CEFAB8" w:rsidR="00D85D9B" w:rsidRDefault="0085607C" w:rsidP="00D85D9B">
      <w:pPr>
        <w:pStyle w:val="Heading2"/>
        <w:ind w:left="578" w:hanging="578"/>
      </w:pPr>
      <w:r>
        <w:t>Special precautions for storage</w:t>
      </w:r>
    </w:p>
    <w:p w14:paraId="1AE6AD6F" w14:textId="77777777" w:rsidR="00D85D9B" w:rsidRDefault="00D85D9B" w:rsidP="0085607C">
      <w:pPr>
        <w:pStyle w:val="BodyText"/>
        <w:spacing w:before="120" w:after="120" w:line="360" w:lineRule="auto"/>
      </w:pPr>
      <w:r w:rsidRPr="000E199D">
        <w:t xml:space="preserve">Store below </w:t>
      </w:r>
      <w:r>
        <w:t>30</w:t>
      </w:r>
      <w:r w:rsidRPr="000E199D">
        <w:t>°C.</w:t>
      </w:r>
    </w:p>
    <w:p w14:paraId="3F22CF38" w14:textId="040CBDF3" w:rsidR="00D85D9B" w:rsidRDefault="00D85D9B" w:rsidP="00D85D9B">
      <w:pPr>
        <w:pStyle w:val="Heading2"/>
        <w:ind w:left="578" w:hanging="578"/>
      </w:pPr>
      <w:r w:rsidRPr="00356A04">
        <w:t>N</w:t>
      </w:r>
      <w:r w:rsidR="0085607C">
        <w:t>ature and contents of container</w:t>
      </w:r>
    </w:p>
    <w:p w14:paraId="6F6809C7" w14:textId="01135BC5" w:rsidR="00D85D9B" w:rsidRPr="00214E83" w:rsidRDefault="00D85D9B" w:rsidP="0085607C">
      <w:pPr>
        <w:pStyle w:val="BodyText"/>
        <w:spacing w:before="120" w:after="60"/>
      </w:pPr>
      <w:r w:rsidRPr="00214E83">
        <w:t>LENVIMA 4 mg hard capsules are available in polyamide/aluminium/PVC/aluminium blisters of 30 capsules.</w:t>
      </w:r>
    </w:p>
    <w:p w14:paraId="2866E068" w14:textId="5C864B3A" w:rsidR="00BE78D8" w:rsidRPr="00BE78D8" w:rsidRDefault="00D85D9B" w:rsidP="0085607C">
      <w:pPr>
        <w:pStyle w:val="BodyText"/>
        <w:spacing w:before="120" w:after="60"/>
        <w:rPr>
          <w:lang w:val="en-US"/>
        </w:rPr>
      </w:pPr>
      <w:r w:rsidRPr="00214E83">
        <w:t>LENVIMA 10 mg hard capsules are available in polyamide/aluminium/PVC/alu</w:t>
      </w:r>
      <w:r w:rsidR="0085607C">
        <w:t>minium blisters of 30 capsules.</w:t>
      </w:r>
    </w:p>
    <w:p w14:paraId="0616778C" w14:textId="2C1A756C" w:rsidR="00D85D9B" w:rsidRDefault="00D85D9B" w:rsidP="00D85D9B">
      <w:pPr>
        <w:pStyle w:val="Heading2"/>
        <w:ind w:left="578" w:hanging="578"/>
      </w:pPr>
      <w:r w:rsidRPr="00356A04">
        <w:t>S</w:t>
      </w:r>
      <w:r w:rsidR="0085607C">
        <w:t>pecial precautions for disposal</w:t>
      </w:r>
    </w:p>
    <w:p w14:paraId="26F4F194" w14:textId="77777777" w:rsidR="00D85D9B" w:rsidRDefault="00D85D9B" w:rsidP="0085607C">
      <w:pPr>
        <w:pStyle w:val="BodyText"/>
        <w:spacing w:before="120" w:after="120"/>
      </w:pPr>
      <w:r w:rsidRPr="00F37C36">
        <w:t>In Australia, any unused medicine or waste material should be disposed of by taking to your local pharmacy.</w:t>
      </w:r>
    </w:p>
    <w:p w14:paraId="0E20627A" w14:textId="77777777" w:rsidR="00D85D9B" w:rsidRPr="00356A04" w:rsidRDefault="00D85D9B" w:rsidP="00D85D9B">
      <w:pPr>
        <w:pStyle w:val="Heading2"/>
        <w:ind w:left="578" w:hanging="578"/>
      </w:pPr>
      <w:r w:rsidRPr="00356A04">
        <w:t>Physicochemical properties</w:t>
      </w:r>
    </w:p>
    <w:p w14:paraId="163DFDBF" w14:textId="4BF16E7F" w:rsidR="008B3996" w:rsidRPr="00BE78D8" w:rsidRDefault="008B3996" w:rsidP="0085607C">
      <w:pPr>
        <w:pStyle w:val="BodyText"/>
        <w:spacing w:before="120" w:after="120"/>
        <w:rPr>
          <w:lang w:val="en-US"/>
        </w:rPr>
      </w:pPr>
      <w:proofErr w:type="spellStart"/>
      <w:r w:rsidRPr="00BE78D8">
        <w:rPr>
          <w:lang w:val="en-US"/>
        </w:rPr>
        <w:t>Lenvatinib</w:t>
      </w:r>
      <w:proofErr w:type="spellEnd"/>
      <w:r w:rsidRPr="00BE78D8">
        <w:rPr>
          <w:lang w:val="en-US"/>
        </w:rPr>
        <w:t xml:space="preserve"> </w:t>
      </w:r>
      <w:proofErr w:type="spellStart"/>
      <w:r w:rsidRPr="00BE78D8">
        <w:rPr>
          <w:lang w:val="en-US"/>
        </w:rPr>
        <w:t>mesilate</w:t>
      </w:r>
      <w:proofErr w:type="spellEnd"/>
      <w:r w:rsidRPr="00BE78D8">
        <w:rPr>
          <w:lang w:val="en-US"/>
        </w:rPr>
        <w:t xml:space="preserve"> is a white powder and is sparingly soluble in acetic acid and slightly</w:t>
      </w:r>
      <w:r>
        <w:rPr>
          <w:lang w:val="en-US"/>
        </w:rPr>
        <w:t xml:space="preserve"> </w:t>
      </w:r>
      <w:r w:rsidRPr="00BE78D8">
        <w:rPr>
          <w:lang w:val="en-US"/>
        </w:rPr>
        <w:t xml:space="preserve">soluble in water, </w:t>
      </w:r>
      <w:r w:rsidRPr="00BE78D8">
        <w:rPr>
          <w:i/>
          <w:iCs/>
          <w:lang w:val="en-US"/>
        </w:rPr>
        <w:t>N</w:t>
      </w:r>
      <w:proofErr w:type="gramStart"/>
      <w:r w:rsidRPr="00BE78D8">
        <w:rPr>
          <w:lang w:val="en-US"/>
        </w:rPr>
        <w:t>,</w:t>
      </w:r>
      <w:r w:rsidRPr="00BE78D8">
        <w:rPr>
          <w:i/>
          <w:iCs/>
          <w:lang w:val="en-US"/>
        </w:rPr>
        <w:t>N</w:t>
      </w:r>
      <w:proofErr w:type="gramEnd"/>
      <w:r w:rsidRPr="00BE78D8">
        <w:rPr>
          <w:lang w:val="en-US"/>
        </w:rPr>
        <w:t>-</w:t>
      </w:r>
      <w:proofErr w:type="spellStart"/>
      <w:r w:rsidRPr="00BE78D8">
        <w:rPr>
          <w:lang w:val="en-US"/>
        </w:rPr>
        <w:t>dimethylformamide</w:t>
      </w:r>
      <w:proofErr w:type="spellEnd"/>
      <w:r w:rsidRPr="00BE78D8">
        <w:rPr>
          <w:lang w:val="en-US"/>
        </w:rPr>
        <w:t xml:space="preserve">, methanol, </w:t>
      </w:r>
      <w:r w:rsidRPr="00BE78D8">
        <w:rPr>
          <w:i/>
          <w:iCs/>
          <w:lang w:val="en-US"/>
        </w:rPr>
        <w:t>N</w:t>
      </w:r>
      <w:r w:rsidRPr="00681D12">
        <w:rPr>
          <w:iCs/>
          <w:lang w:val="en-US"/>
        </w:rPr>
        <w:t>-</w:t>
      </w:r>
      <w:proofErr w:type="spellStart"/>
      <w:r w:rsidRPr="00BE78D8">
        <w:rPr>
          <w:lang w:val="en-US"/>
        </w:rPr>
        <w:t>methylpyrrolidone</w:t>
      </w:r>
      <w:proofErr w:type="spellEnd"/>
      <w:r w:rsidRPr="00BE78D8">
        <w:rPr>
          <w:lang w:val="en-US"/>
        </w:rPr>
        <w:t xml:space="preserve">, and pyridine. </w:t>
      </w:r>
      <w:r>
        <w:rPr>
          <w:lang w:val="en-US"/>
        </w:rPr>
        <w:t xml:space="preserve"> </w:t>
      </w:r>
      <w:r w:rsidRPr="00BE78D8">
        <w:rPr>
          <w:lang w:val="en-US"/>
        </w:rPr>
        <w:t>It is very slightly soluble in 1</w:t>
      </w:r>
      <w:proofErr w:type="gramStart"/>
      <w:r w:rsidRPr="00BE78D8">
        <w:rPr>
          <w:lang w:val="en-US"/>
        </w:rPr>
        <w:t>,3</w:t>
      </w:r>
      <w:proofErr w:type="gramEnd"/>
      <w:r w:rsidRPr="00BE78D8">
        <w:rPr>
          <w:lang w:val="en-US"/>
        </w:rPr>
        <w:t xml:space="preserve">-dimethyl-2-imidazolidinone and practically insoluble in acetonitrile, dehydrated ethanol, 1-propanol, 2-propanol, 1-octanol and isopropyl acetate. </w:t>
      </w:r>
      <w:r>
        <w:rPr>
          <w:lang w:val="en-US"/>
        </w:rPr>
        <w:t xml:space="preserve"> </w:t>
      </w:r>
      <w:r w:rsidRPr="00BE78D8">
        <w:rPr>
          <w:lang w:val="en-US"/>
        </w:rPr>
        <w:t xml:space="preserve">In aqueous solutions, </w:t>
      </w:r>
      <w:proofErr w:type="spellStart"/>
      <w:r w:rsidRPr="00BE78D8">
        <w:rPr>
          <w:lang w:val="en-US"/>
        </w:rPr>
        <w:t>lenvatinib</w:t>
      </w:r>
      <w:proofErr w:type="spellEnd"/>
      <w:r w:rsidRPr="00BE78D8">
        <w:rPr>
          <w:lang w:val="en-US"/>
        </w:rPr>
        <w:t xml:space="preserve"> </w:t>
      </w:r>
      <w:proofErr w:type="spellStart"/>
      <w:r w:rsidRPr="00BE78D8">
        <w:rPr>
          <w:lang w:val="en-US"/>
        </w:rPr>
        <w:t>mesilate</w:t>
      </w:r>
      <w:proofErr w:type="spellEnd"/>
      <w:r w:rsidRPr="00BE78D8">
        <w:rPr>
          <w:lang w:val="en-US"/>
        </w:rPr>
        <w:t xml:space="preserve"> is very slightly soluble in 0.1 </w:t>
      </w:r>
      <w:proofErr w:type="spellStart"/>
      <w:r w:rsidRPr="00BE78D8">
        <w:rPr>
          <w:lang w:val="en-US"/>
        </w:rPr>
        <w:t>mol</w:t>
      </w:r>
      <w:proofErr w:type="spellEnd"/>
      <w:r w:rsidRPr="00BE78D8">
        <w:rPr>
          <w:lang w:val="en-US"/>
        </w:rPr>
        <w:t xml:space="preserve">/L </w:t>
      </w:r>
      <w:proofErr w:type="spellStart"/>
      <w:r w:rsidRPr="00BE78D8">
        <w:rPr>
          <w:lang w:val="en-US"/>
        </w:rPr>
        <w:t>HC</w:t>
      </w:r>
      <w:r>
        <w:rPr>
          <w:lang w:val="en-US"/>
        </w:rPr>
        <w:t>l</w:t>
      </w:r>
      <w:proofErr w:type="spellEnd"/>
      <w:r w:rsidRPr="00BE78D8">
        <w:rPr>
          <w:lang w:val="en-US"/>
        </w:rPr>
        <w:t xml:space="preserve"> and practically insoluble in Britton-Robinson buffer, pH 3-11.</w:t>
      </w:r>
    </w:p>
    <w:p w14:paraId="0B6EAA68" w14:textId="77777777" w:rsidR="00D85D9B" w:rsidRPr="00356A04" w:rsidRDefault="00D85D9B" w:rsidP="00D85D9B">
      <w:pPr>
        <w:pStyle w:val="Heading3"/>
      </w:pPr>
      <w:r w:rsidRPr="00356A04">
        <w:t>Chemical structure</w:t>
      </w:r>
    </w:p>
    <w:p w14:paraId="23A49F85" w14:textId="77777777" w:rsidR="00D85D9B" w:rsidRPr="00BE78D8" w:rsidRDefault="00D85D9B" w:rsidP="0085607C">
      <w:pPr>
        <w:pStyle w:val="BodyText"/>
        <w:spacing w:before="120" w:after="120"/>
        <w:rPr>
          <w:lang w:val="en-US"/>
        </w:rPr>
      </w:pPr>
      <w:proofErr w:type="spellStart"/>
      <w:r w:rsidRPr="00BE78D8">
        <w:rPr>
          <w:lang w:val="en-US"/>
        </w:rPr>
        <w:t>Lenvatinib</w:t>
      </w:r>
      <w:proofErr w:type="spellEnd"/>
      <w:r w:rsidRPr="00BE78D8">
        <w:rPr>
          <w:lang w:val="en-US"/>
        </w:rPr>
        <w:t xml:space="preserve"> is a multiple receptor tyrosine kinase (RTK) inhibitor.</w:t>
      </w:r>
    </w:p>
    <w:p w14:paraId="7D887A5E" w14:textId="77777777" w:rsidR="00D85D9B" w:rsidRPr="00BE78D8" w:rsidRDefault="00D85D9B" w:rsidP="0085607C">
      <w:pPr>
        <w:pStyle w:val="BodyText"/>
        <w:spacing w:before="120" w:after="120"/>
        <w:rPr>
          <w:lang w:val="en-US"/>
        </w:rPr>
      </w:pPr>
      <w:r w:rsidRPr="00BE78D8">
        <w:rPr>
          <w:lang w:val="en-US"/>
        </w:rPr>
        <w:t>Chemical Name: 4-[3-chloro-4-(</w:t>
      </w:r>
      <w:r w:rsidRPr="00BE78D8">
        <w:rPr>
          <w:i/>
          <w:iCs/>
          <w:lang w:val="en-US"/>
        </w:rPr>
        <w:t>N’</w:t>
      </w:r>
      <w:r w:rsidRPr="00BE78D8">
        <w:rPr>
          <w:lang w:val="en-US"/>
        </w:rPr>
        <w:t>-cyclopropylureido</w:t>
      </w:r>
      <w:proofErr w:type="gramStart"/>
      <w:r w:rsidRPr="00BE78D8">
        <w:rPr>
          <w:lang w:val="en-US"/>
        </w:rPr>
        <w:t>)phenoxy</w:t>
      </w:r>
      <w:proofErr w:type="gramEnd"/>
      <w:r w:rsidRPr="00BE78D8">
        <w:rPr>
          <w:lang w:val="en-US"/>
        </w:rPr>
        <w:t>]-7-methoxyquinoline-6-</w:t>
      </w:r>
    </w:p>
    <w:p w14:paraId="77CB6C2B" w14:textId="77777777" w:rsidR="00D85D9B" w:rsidRPr="00BE78D8" w:rsidRDefault="00D85D9B" w:rsidP="0085607C">
      <w:pPr>
        <w:pStyle w:val="BodyText"/>
        <w:spacing w:before="120" w:after="120"/>
        <w:rPr>
          <w:lang w:val="en-US"/>
        </w:rPr>
      </w:pPr>
      <w:proofErr w:type="spellStart"/>
      <w:proofErr w:type="gramStart"/>
      <w:r w:rsidRPr="00BE78D8">
        <w:rPr>
          <w:lang w:val="en-US"/>
        </w:rPr>
        <w:t>carboxamide</w:t>
      </w:r>
      <w:proofErr w:type="spellEnd"/>
      <w:proofErr w:type="gramEnd"/>
      <w:r w:rsidRPr="00BE78D8">
        <w:rPr>
          <w:lang w:val="en-US"/>
        </w:rPr>
        <w:t xml:space="preserve"> </w:t>
      </w:r>
      <w:proofErr w:type="spellStart"/>
      <w:r w:rsidRPr="00BE78D8">
        <w:rPr>
          <w:lang w:val="en-US"/>
        </w:rPr>
        <w:t>methanesulfonate</w:t>
      </w:r>
      <w:proofErr w:type="spellEnd"/>
      <w:r w:rsidRPr="00BE78D8">
        <w:rPr>
          <w:lang w:val="en-US"/>
        </w:rPr>
        <w:t>.</w:t>
      </w:r>
    </w:p>
    <w:p w14:paraId="79116F91" w14:textId="761C28FC" w:rsidR="00D85D9B" w:rsidRPr="00BE78D8" w:rsidRDefault="00D85D9B" w:rsidP="0085607C">
      <w:pPr>
        <w:pStyle w:val="BodyText"/>
        <w:spacing w:before="120" w:after="120"/>
      </w:pPr>
      <w:r w:rsidRPr="00BE78D8">
        <w:t xml:space="preserve">The empirical formula of </w:t>
      </w:r>
      <w:proofErr w:type="spellStart"/>
      <w:r w:rsidRPr="00BE78D8">
        <w:t>lenvatinib</w:t>
      </w:r>
      <w:proofErr w:type="spellEnd"/>
      <w:r w:rsidRPr="00BE78D8">
        <w:t xml:space="preserve"> is </w:t>
      </w:r>
      <w:r w:rsidRPr="00214E83">
        <w:t>C</w:t>
      </w:r>
      <w:r w:rsidRPr="00214E83">
        <w:rPr>
          <w:vertAlign w:val="subscript"/>
        </w:rPr>
        <w:t>21</w:t>
      </w:r>
      <w:r w:rsidRPr="00214E83">
        <w:t>H</w:t>
      </w:r>
      <w:r w:rsidRPr="00214E83">
        <w:rPr>
          <w:vertAlign w:val="subscript"/>
        </w:rPr>
        <w:t>19</w:t>
      </w:r>
      <w:r w:rsidRPr="00214E83">
        <w:t>ClN</w:t>
      </w:r>
      <w:r w:rsidRPr="00214E83">
        <w:rPr>
          <w:vertAlign w:val="subscript"/>
        </w:rPr>
        <w:t>4</w:t>
      </w:r>
      <w:r w:rsidRPr="00214E83">
        <w:t>O</w:t>
      </w:r>
      <w:r w:rsidRPr="00214E83">
        <w:rPr>
          <w:vertAlign w:val="subscript"/>
        </w:rPr>
        <w:t>4</w:t>
      </w:r>
      <w:r w:rsidRPr="00214E83">
        <w:t>·CH</w:t>
      </w:r>
      <w:r w:rsidRPr="00214E83">
        <w:rPr>
          <w:vertAlign w:val="subscript"/>
        </w:rPr>
        <w:t>4</w:t>
      </w:r>
      <w:r w:rsidRPr="00214E83">
        <w:t>O</w:t>
      </w:r>
      <w:r w:rsidRPr="00214E83">
        <w:rPr>
          <w:vertAlign w:val="subscript"/>
        </w:rPr>
        <w:t>3</w:t>
      </w:r>
      <w:r w:rsidR="0085607C">
        <w:t>S</w:t>
      </w:r>
    </w:p>
    <w:p w14:paraId="5C254CD4" w14:textId="77777777" w:rsidR="00D85D9B" w:rsidRDefault="00D85D9B" w:rsidP="00D85D9B">
      <w:pPr>
        <w:pStyle w:val="BodyText"/>
      </w:pPr>
      <w:r w:rsidRPr="00C7502C">
        <w:object w:dxaOrig="5148" w:dyaOrig="1939" w14:anchorId="4D098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pt;height:98.25pt" o:ole="">
            <v:imagedata r:id="rId19" o:title=""/>
          </v:shape>
          <o:OLEObject Type="Embed" ProgID="ChemDraw.Document.6.0" ShapeID="_x0000_i1025" DrawAspect="Content" ObjectID="_1650785736" r:id="rId20"/>
        </w:object>
      </w:r>
    </w:p>
    <w:p w14:paraId="129D5094" w14:textId="4E534878" w:rsidR="00D85D9B" w:rsidRDefault="0085607C" w:rsidP="00D85D9B">
      <w:pPr>
        <w:pStyle w:val="Heading3"/>
      </w:pPr>
      <w:r>
        <w:t>CAS Number:</w:t>
      </w:r>
    </w:p>
    <w:p w14:paraId="6B302D12" w14:textId="1587EB87" w:rsidR="00D85D9B" w:rsidRPr="00BE78D8" w:rsidRDefault="00D85D9B" w:rsidP="0085607C">
      <w:pPr>
        <w:pStyle w:val="BodyText"/>
        <w:spacing w:before="120" w:after="120"/>
      </w:pPr>
      <w:r>
        <w:t xml:space="preserve">CAS: </w:t>
      </w:r>
      <w:r w:rsidRPr="00681D12">
        <w:t>857890-39-2</w:t>
      </w:r>
    </w:p>
    <w:p w14:paraId="137C1F9A" w14:textId="1659E2BF" w:rsidR="00D85D9B" w:rsidRPr="00BE78D8" w:rsidRDefault="00D85D9B" w:rsidP="00D85D9B">
      <w:pPr>
        <w:pStyle w:val="Heading1"/>
      </w:pPr>
      <w:r w:rsidRPr="00BE78D8">
        <w:lastRenderedPageBreak/>
        <w:t xml:space="preserve">MEDICINE SCHEDULE </w:t>
      </w:r>
      <w:r>
        <w:t>(</w:t>
      </w:r>
      <w:r w:rsidRPr="00BE78D8">
        <w:t xml:space="preserve">POISON </w:t>
      </w:r>
      <w:r>
        <w:t>Standard)</w:t>
      </w:r>
    </w:p>
    <w:p w14:paraId="1BD51EF4" w14:textId="2B685471" w:rsidR="00D85D9B" w:rsidRPr="00BE78D8" w:rsidRDefault="00D85D9B" w:rsidP="0085607C">
      <w:pPr>
        <w:pStyle w:val="BodyText"/>
        <w:spacing w:before="120" w:after="120"/>
      </w:pPr>
      <w:r>
        <w:t>Schedule 4 – Prescription only medicine</w:t>
      </w:r>
    </w:p>
    <w:p w14:paraId="2866E06B" w14:textId="0E24428F" w:rsidR="00BE78D8" w:rsidRPr="00BE78D8" w:rsidRDefault="00BE78D8" w:rsidP="00D85D9B">
      <w:pPr>
        <w:pStyle w:val="Heading1"/>
      </w:pPr>
      <w:r w:rsidRPr="00BE78D8">
        <w:t>sponsor</w:t>
      </w:r>
    </w:p>
    <w:p w14:paraId="2866E06C" w14:textId="41160F75" w:rsidR="00BE78D8" w:rsidRPr="00BE78D8" w:rsidRDefault="00BE78D8" w:rsidP="00D85D9B">
      <w:pPr>
        <w:pStyle w:val="BodyText"/>
      </w:pPr>
      <w:r w:rsidRPr="00BE78D8">
        <w:t>Eisai Australia Pty</w:t>
      </w:r>
      <w:r w:rsidR="00943DED">
        <w:t>.</w:t>
      </w:r>
      <w:r w:rsidRPr="00BE78D8">
        <w:t xml:space="preserve"> Ltd</w:t>
      </w:r>
      <w:r w:rsidR="00943DED">
        <w:t>.</w:t>
      </w:r>
    </w:p>
    <w:p w14:paraId="2866E06D" w14:textId="77777777" w:rsidR="00BE78D8" w:rsidRPr="00BE78D8" w:rsidRDefault="00BE78D8" w:rsidP="00D85D9B">
      <w:pPr>
        <w:pStyle w:val="BodyText"/>
      </w:pPr>
      <w:r w:rsidRPr="00BE78D8">
        <w:t>Level 2, 437 St Kilda Road</w:t>
      </w:r>
    </w:p>
    <w:p w14:paraId="2866E06E" w14:textId="77777777" w:rsidR="00BE78D8" w:rsidRPr="00BE78D8" w:rsidRDefault="00BE78D8" w:rsidP="00D85D9B">
      <w:pPr>
        <w:pStyle w:val="BodyText"/>
      </w:pPr>
      <w:r w:rsidRPr="00BE78D8">
        <w:t>Melbourne, VIC, 3004</w:t>
      </w:r>
    </w:p>
    <w:p w14:paraId="415DDE1C" w14:textId="77777777" w:rsidR="00E047D9" w:rsidRPr="00E047D9" w:rsidRDefault="00E047D9" w:rsidP="00E13432">
      <w:pPr>
        <w:pStyle w:val="BodyText"/>
      </w:pPr>
      <w:r w:rsidRPr="00E047D9">
        <w:t>03 9832 9100</w:t>
      </w:r>
    </w:p>
    <w:p w14:paraId="491EA7F8" w14:textId="77777777" w:rsidR="00E047D9" w:rsidRPr="00E047D9" w:rsidRDefault="00E047D9" w:rsidP="00E13432">
      <w:pPr>
        <w:pStyle w:val="BodyText"/>
      </w:pPr>
      <w:r w:rsidRPr="00E047D9">
        <w:t>medinfo_australia@eisai.net</w:t>
      </w:r>
    </w:p>
    <w:p w14:paraId="2866E072" w14:textId="61D1C5C7" w:rsidR="00BE78D8" w:rsidRDefault="00D85D9B" w:rsidP="00D85D9B">
      <w:pPr>
        <w:pStyle w:val="Heading1"/>
      </w:pPr>
      <w:r>
        <w:t>Date of First Approval</w:t>
      </w:r>
    </w:p>
    <w:p w14:paraId="2866E073" w14:textId="77777777" w:rsidR="00BE78D8" w:rsidRDefault="00126D06" w:rsidP="00D85D9B">
      <w:pPr>
        <w:pStyle w:val="BodyText"/>
      </w:pPr>
      <w:r>
        <w:t>28 January 2016</w:t>
      </w:r>
    </w:p>
    <w:p w14:paraId="2866E074" w14:textId="174B6D7A" w:rsidR="007A1D6F" w:rsidRPr="007A1D6F" w:rsidRDefault="00D85D9B" w:rsidP="00D85D9B">
      <w:pPr>
        <w:pStyle w:val="Heading1"/>
      </w:pPr>
      <w:r>
        <w:t>Date of Revision</w:t>
      </w:r>
    </w:p>
    <w:p w14:paraId="2866E075" w14:textId="01910905" w:rsidR="007A1D6F" w:rsidRDefault="009B5615" w:rsidP="0085607C">
      <w:pPr>
        <w:pStyle w:val="BodyText"/>
        <w:spacing w:before="120" w:after="120"/>
      </w:pPr>
      <w:r>
        <w:t>17 September 2019</w:t>
      </w:r>
    </w:p>
    <w:p w14:paraId="25458C3C" w14:textId="77777777" w:rsidR="00943DED" w:rsidRPr="002874BA" w:rsidRDefault="00943DED" w:rsidP="000E456F">
      <w:pPr>
        <w:pStyle w:val="Heading3"/>
      </w:pPr>
      <w:r w:rsidRPr="002874BA">
        <w:t>Summary Table of changes</w:t>
      </w:r>
    </w:p>
    <w:tbl>
      <w:tblPr>
        <w:tblStyle w:val="TableGrid2"/>
        <w:tblW w:w="0" w:type="auto"/>
        <w:tblLook w:val="04A0" w:firstRow="1" w:lastRow="0" w:firstColumn="1" w:lastColumn="0" w:noHBand="0" w:noVBand="1"/>
      </w:tblPr>
      <w:tblGrid>
        <w:gridCol w:w="1100"/>
        <w:gridCol w:w="1131"/>
        <w:gridCol w:w="6785"/>
      </w:tblGrid>
      <w:tr w:rsidR="00943DED" w:rsidRPr="002874BA" w14:paraId="01C1128B" w14:textId="77777777" w:rsidTr="003F7AFA">
        <w:tc>
          <w:tcPr>
            <w:tcW w:w="1101" w:type="dxa"/>
          </w:tcPr>
          <w:p w14:paraId="7821B26F" w14:textId="77777777" w:rsidR="00943DED" w:rsidRPr="00E13432" w:rsidRDefault="00943DED" w:rsidP="00E13432">
            <w:pPr>
              <w:pStyle w:val="BodyText"/>
              <w:rPr>
                <w:b/>
                <w:bCs/>
              </w:rPr>
            </w:pPr>
            <w:r w:rsidRPr="00E13432">
              <w:rPr>
                <w:b/>
                <w:bCs/>
              </w:rPr>
              <w:t>Version Number</w:t>
            </w:r>
          </w:p>
        </w:tc>
        <w:tc>
          <w:tcPr>
            <w:tcW w:w="1134" w:type="dxa"/>
          </w:tcPr>
          <w:p w14:paraId="3FC747F5" w14:textId="77777777" w:rsidR="00943DED" w:rsidRPr="00E13432" w:rsidRDefault="00943DED" w:rsidP="00E13432">
            <w:pPr>
              <w:pStyle w:val="BodyText"/>
              <w:rPr>
                <w:b/>
                <w:bCs/>
              </w:rPr>
            </w:pPr>
            <w:r w:rsidRPr="00E13432">
              <w:rPr>
                <w:b/>
                <w:bCs/>
              </w:rPr>
              <w:t>Section changed</w:t>
            </w:r>
          </w:p>
        </w:tc>
        <w:tc>
          <w:tcPr>
            <w:tcW w:w="7007" w:type="dxa"/>
          </w:tcPr>
          <w:p w14:paraId="5B20509A" w14:textId="77777777" w:rsidR="00943DED" w:rsidRPr="00E13432" w:rsidRDefault="00943DED" w:rsidP="00E13432">
            <w:pPr>
              <w:pStyle w:val="BodyText"/>
              <w:rPr>
                <w:b/>
                <w:bCs/>
              </w:rPr>
            </w:pPr>
            <w:r w:rsidRPr="00E13432">
              <w:rPr>
                <w:b/>
                <w:bCs/>
              </w:rPr>
              <w:t>Summary of new information</w:t>
            </w:r>
          </w:p>
        </w:tc>
      </w:tr>
      <w:tr w:rsidR="00943DED" w:rsidRPr="002874BA" w14:paraId="5A1AE04E" w14:textId="77777777" w:rsidTr="003F7AFA">
        <w:tc>
          <w:tcPr>
            <w:tcW w:w="1101" w:type="dxa"/>
          </w:tcPr>
          <w:p w14:paraId="66F115DE" w14:textId="77777777" w:rsidR="00943DED" w:rsidRPr="002874BA" w:rsidRDefault="00943DED" w:rsidP="00E13432">
            <w:pPr>
              <w:pStyle w:val="BodyText"/>
            </w:pPr>
            <w:r>
              <w:t>2.1</w:t>
            </w:r>
          </w:p>
        </w:tc>
        <w:tc>
          <w:tcPr>
            <w:tcW w:w="1134" w:type="dxa"/>
          </w:tcPr>
          <w:p w14:paraId="49E0C868" w14:textId="77777777" w:rsidR="00943DED" w:rsidRPr="002874BA" w:rsidRDefault="00943DED" w:rsidP="00E13432">
            <w:pPr>
              <w:pStyle w:val="BodyText"/>
            </w:pPr>
            <w:r w:rsidRPr="002874BA">
              <w:t>All</w:t>
            </w:r>
          </w:p>
        </w:tc>
        <w:tc>
          <w:tcPr>
            <w:tcW w:w="7007" w:type="dxa"/>
          </w:tcPr>
          <w:p w14:paraId="4F7517B2" w14:textId="77777777" w:rsidR="00943DED" w:rsidRPr="002874BA" w:rsidRDefault="00943DED" w:rsidP="00E13432">
            <w:pPr>
              <w:pStyle w:val="BodyText"/>
            </w:pPr>
            <w:r w:rsidRPr="002874BA">
              <w:t>Product Information reformatted in accordance with the new TGA template.</w:t>
            </w:r>
          </w:p>
        </w:tc>
      </w:tr>
      <w:tr w:rsidR="00943DED" w:rsidRPr="002874BA" w14:paraId="1F93DA1D" w14:textId="77777777" w:rsidTr="003F7AFA">
        <w:tc>
          <w:tcPr>
            <w:tcW w:w="1101" w:type="dxa"/>
          </w:tcPr>
          <w:p w14:paraId="541BE59A" w14:textId="77777777" w:rsidR="00943DED" w:rsidRPr="002874BA" w:rsidRDefault="00943DED" w:rsidP="00E13432">
            <w:pPr>
              <w:pStyle w:val="BodyText"/>
            </w:pPr>
            <w:r>
              <w:t>2.1</w:t>
            </w:r>
          </w:p>
        </w:tc>
        <w:tc>
          <w:tcPr>
            <w:tcW w:w="1134" w:type="dxa"/>
          </w:tcPr>
          <w:p w14:paraId="4D4439E8" w14:textId="77777777" w:rsidR="00943DED" w:rsidRPr="002874BA" w:rsidRDefault="00943DED" w:rsidP="00E13432">
            <w:pPr>
              <w:pStyle w:val="BodyText"/>
            </w:pPr>
            <w:r w:rsidRPr="002874BA">
              <w:t>4.4</w:t>
            </w:r>
          </w:p>
        </w:tc>
        <w:tc>
          <w:tcPr>
            <w:tcW w:w="7007" w:type="dxa"/>
          </w:tcPr>
          <w:p w14:paraId="4D6E67E0" w14:textId="77777777" w:rsidR="00943DED" w:rsidRPr="002874BA" w:rsidRDefault="00943DED" w:rsidP="00E13432">
            <w:pPr>
              <w:pStyle w:val="BodyText"/>
            </w:pPr>
            <w:r w:rsidRPr="002874BA">
              <w:t xml:space="preserve">Addition of precaution regarding </w:t>
            </w:r>
            <w:r>
              <w:t>wound healing complications</w:t>
            </w:r>
          </w:p>
        </w:tc>
      </w:tr>
      <w:tr w:rsidR="00943DED" w:rsidRPr="002874BA" w14:paraId="464211CA" w14:textId="77777777" w:rsidTr="003F7AFA">
        <w:tc>
          <w:tcPr>
            <w:tcW w:w="1101" w:type="dxa"/>
          </w:tcPr>
          <w:p w14:paraId="062346EE" w14:textId="77777777" w:rsidR="00943DED" w:rsidRPr="002874BA" w:rsidRDefault="00943DED" w:rsidP="00E13432">
            <w:pPr>
              <w:pStyle w:val="BodyText"/>
            </w:pPr>
            <w:r>
              <w:t>2.1</w:t>
            </w:r>
          </w:p>
        </w:tc>
        <w:tc>
          <w:tcPr>
            <w:tcW w:w="1134" w:type="dxa"/>
          </w:tcPr>
          <w:p w14:paraId="1264DB60" w14:textId="77777777" w:rsidR="00943DED" w:rsidRPr="002874BA" w:rsidRDefault="00943DED" w:rsidP="00E13432">
            <w:pPr>
              <w:pStyle w:val="BodyText"/>
            </w:pPr>
            <w:r w:rsidRPr="002874BA">
              <w:t>4.4</w:t>
            </w:r>
          </w:p>
        </w:tc>
        <w:tc>
          <w:tcPr>
            <w:tcW w:w="7007" w:type="dxa"/>
          </w:tcPr>
          <w:p w14:paraId="4240AD38" w14:textId="77777777" w:rsidR="00943DED" w:rsidRPr="002874BA" w:rsidRDefault="00943DED" w:rsidP="00E13432">
            <w:pPr>
              <w:pStyle w:val="BodyText"/>
            </w:pPr>
            <w:r>
              <w:t>Addition of information to hypertension precaution regarding complications associated with poorly controlled hypertension.</w:t>
            </w:r>
          </w:p>
        </w:tc>
      </w:tr>
      <w:tr w:rsidR="00943DED" w:rsidRPr="002874BA" w14:paraId="1BC37273" w14:textId="77777777" w:rsidTr="003F7AFA">
        <w:tc>
          <w:tcPr>
            <w:tcW w:w="1101" w:type="dxa"/>
          </w:tcPr>
          <w:p w14:paraId="6FB1410E" w14:textId="77777777" w:rsidR="00943DED" w:rsidRPr="002874BA" w:rsidRDefault="00943DED" w:rsidP="00E13432">
            <w:pPr>
              <w:pStyle w:val="BodyText"/>
            </w:pPr>
            <w:r>
              <w:t>2.1</w:t>
            </w:r>
          </w:p>
        </w:tc>
        <w:tc>
          <w:tcPr>
            <w:tcW w:w="1134" w:type="dxa"/>
          </w:tcPr>
          <w:p w14:paraId="7E19ABA5" w14:textId="77777777" w:rsidR="00943DED" w:rsidRPr="002874BA" w:rsidRDefault="00943DED" w:rsidP="00E13432">
            <w:pPr>
              <w:pStyle w:val="BodyText"/>
            </w:pPr>
            <w:r w:rsidRPr="002874BA">
              <w:t>4.8</w:t>
            </w:r>
          </w:p>
        </w:tc>
        <w:tc>
          <w:tcPr>
            <w:tcW w:w="7007" w:type="dxa"/>
          </w:tcPr>
          <w:p w14:paraId="39DAD8FF" w14:textId="77777777" w:rsidR="00943DED" w:rsidRPr="002874BA" w:rsidRDefault="00943DED" w:rsidP="00E13432">
            <w:pPr>
              <w:pStyle w:val="BodyText"/>
            </w:pPr>
            <w:r w:rsidRPr="002874BA">
              <w:t>Addition of adverse events identified in post-marketing monitoring</w:t>
            </w:r>
          </w:p>
        </w:tc>
      </w:tr>
      <w:tr w:rsidR="00D33B56" w:rsidRPr="002874BA" w14:paraId="5D7333BF" w14:textId="77777777" w:rsidTr="003F7AFA">
        <w:tc>
          <w:tcPr>
            <w:tcW w:w="1101" w:type="dxa"/>
          </w:tcPr>
          <w:p w14:paraId="600BDE46" w14:textId="128B24D0" w:rsidR="00D33B56" w:rsidRDefault="00D33B56" w:rsidP="00E13432">
            <w:pPr>
              <w:pStyle w:val="BodyText"/>
            </w:pPr>
            <w:r>
              <w:t>3</w:t>
            </w:r>
          </w:p>
        </w:tc>
        <w:tc>
          <w:tcPr>
            <w:tcW w:w="1134" w:type="dxa"/>
          </w:tcPr>
          <w:p w14:paraId="425B115A" w14:textId="66E6940E" w:rsidR="00D33B56" w:rsidRPr="002874BA" w:rsidRDefault="00D33B56" w:rsidP="00E13432">
            <w:pPr>
              <w:pStyle w:val="BodyText"/>
            </w:pPr>
            <w:r>
              <w:t>4.1, 4.2, 4.4, 4.8, 5.1, 5.2</w:t>
            </w:r>
          </w:p>
        </w:tc>
        <w:tc>
          <w:tcPr>
            <w:tcW w:w="7007" w:type="dxa"/>
          </w:tcPr>
          <w:p w14:paraId="3AB56F14" w14:textId="23784676" w:rsidR="00D33B56" w:rsidRPr="002874BA" w:rsidRDefault="00D33B56" w:rsidP="00E13432">
            <w:pPr>
              <w:pStyle w:val="BodyText"/>
            </w:pPr>
            <w:r>
              <w:t>Addition of text to support extension of indication for the treatment of patients with hepatocellular carcinoma.</w:t>
            </w:r>
          </w:p>
        </w:tc>
      </w:tr>
      <w:tr w:rsidR="00596AB0" w:rsidRPr="002874BA" w14:paraId="77C6DF6C" w14:textId="77777777" w:rsidTr="003F7AFA">
        <w:tc>
          <w:tcPr>
            <w:tcW w:w="1101" w:type="dxa"/>
          </w:tcPr>
          <w:p w14:paraId="15BCE10A" w14:textId="1388DD1B" w:rsidR="00596AB0" w:rsidRDefault="00596AB0" w:rsidP="00596AB0">
            <w:pPr>
              <w:pStyle w:val="BodyText"/>
            </w:pPr>
            <w:r>
              <w:t>3.1</w:t>
            </w:r>
          </w:p>
        </w:tc>
        <w:tc>
          <w:tcPr>
            <w:tcW w:w="1134" w:type="dxa"/>
          </w:tcPr>
          <w:p w14:paraId="0A11F535" w14:textId="0F887A13" w:rsidR="00596AB0" w:rsidRDefault="00596AB0" w:rsidP="00596AB0">
            <w:pPr>
              <w:pStyle w:val="BodyText"/>
            </w:pPr>
            <w:r>
              <w:t>4.4</w:t>
            </w:r>
          </w:p>
        </w:tc>
        <w:tc>
          <w:tcPr>
            <w:tcW w:w="7007" w:type="dxa"/>
          </w:tcPr>
          <w:p w14:paraId="6DF8AB0C" w14:textId="01BFEBDF" w:rsidR="00596AB0" w:rsidRDefault="00596AB0" w:rsidP="00596AB0">
            <w:pPr>
              <w:pStyle w:val="BodyText"/>
            </w:pPr>
            <w:r>
              <w:t xml:space="preserve">Addition of pneumothorax information to </w:t>
            </w:r>
            <w:r w:rsidRPr="007529A7">
              <w:t>Non-Gastrointestinal fistula</w:t>
            </w:r>
            <w:r>
              <w:t xml:space="preserve"> precaution.</w:t>
            </w:r>
          </w:p>
        </w:tc>
      </w:tr>
      <w:tr w:rsidR="00596AB0" w:rsidRPr="002874BA" w14:paraId="0442160D" w14:textId="77777777" w:rsidTr="003F7AFA">
        <w:tc>
          <w:tcPr>
            <w:tcW w:w="1101" w:type="dxa"/>
          </w:tcPr>
          <w:p w14:paraId="019BC99C" w14:textId="7C6F6A0E" w:rsidR="00596AB0" w:rsidRDefault="00596AB0" w:rsidP="00596AB0">
            <w:pPr>
              <w:pStyle w:val="BodyText"/>
            </w:pPr>
            <w:r>
              <w:t>3.1</w:t>
            </w:r>
          </w:p>
        </w:tc>
        <w:tc>
          <w:tcPr>
            <w:tcW w:w="1134" w:type="dxa"/>
          </w:tcPr>
          <w:p w14:paraId="5092188C" w14:textId="2A87AF0B" w:rsidR="00596AB0" w:rsidRDefault="00596AB0" w:rsidP="00596AB0">
            <w:pPr>
              <w:pStyle w:val="BodyText"/>
            </w:pPr>
            <w:r>
              <w:t>4.8</w:t>
            </w:r>
          </w:p>
        </w:tc>
        <w:tc>
          <w:tcPr>
            <w:tcW w:w="7007" w:type="dxa"/>
          </w:tcPr>
          <w:p w14:paraId="0FC49984" w14:textId="3252FCF5" w:rsidR="00596AB0" w:rsidRDefault="00596AB0" w:rsidP="00596AB0">
            <w:pPr>
              <w:pStyle w:val="BodyText"/>
            </w:pPr>
            <w:r w:rsidRPr="002874BA">
              <w:t>Addition of adverse events identified in post-marketing monitoring</w:t>
            </w:r>
            <w:r>
              <w:t>.</w:t>
            </w:r>
          </w:p>
        </w:tc>
      </w:tr>
      <w:tr w:rsidR="005776B9" w:rsidRPr="002874BA" w14:paraId="2016B02E" w14:textId="77777777" w:rsidTr="003F7AFA">
        <w:tc>
          <w:tcPr>
            <w:tcW w:w="1101" w:type="dxa"/>
          </w:tcPr>
          <w:p w14:paraId="15AEEF52" w14:textId="4F62BE99" w:rsidR="005776B9" w:rsidRDefault="005776B9" w:rsidP="00596AB0">
            <w:pPr>
              <w:pStyle w:val="BodyText"/>
            </w:pPr>
            <w:r>
              <w:t>4</w:t>
            </w:r>
          </w:p>
        </w:tc>
        <w:tc>
          <w:tcPr>
            <w:tcW w:w="1134" w:type="dxa"/>
          </w:tcPr>
          <w:p w14:paraId="731FE0D2" w14:textId="168633D8" w:rsidR="005776B9" w:rsidRDefault="005776B9" w:rsidP="00596AB0">
            <w:pPr>
              <w:pStyle w:val="BodyText"/>
            </w:pPr>
            <w:r>
              <w:t>4.1, 4.2, 4.8, 5.1, 5.2</w:t>
            </w:r>
          </w:p>
        </w:tc>
        <w:tc>
          <w:tcPr>
            <w:tcW w:w="7007" w:type="dxa"/>
          </w:tcPr>
          <w:p w14:paraId="2900D5CC" w14:textId="44D593AF" w:rsidR="005776B9" w:rsidRPr="002874BA" w:rsidRDefault="005776B9" w:rsidP="005776B9">
            <w:pPr>
              <w:pStyle w:val="BodyText"/>
            </w:pPr>
            <w:r>
              <w:t>Addition of text to support extension of indication for the treatment of patients with endometrial carcinoma.</w:t>
            </w:r>
          </w:p>
        </w:tc>
      </w:tr>
      <w:tr w:rsidR="00F76B53" w:rsidRPr="002874BA" w14:paraId="13CE66FF" w14:textId="77777777" w:rsidTr="003F7AFA">
        <w:tc>
          <w:tcPr>
            <w:tcW w:w="1101" w:type="dxa"/>
          </w:tcPr>
          <w:p w14:paraId="4BF45A3B" w14:textId="5FCECA53" w:rsidR="00F76B53" w:rsidRDefault="00F76B53" w:rsidP="00596AB0">
            <w:pPr>
              <w:pStyle w:val="BodyText"/>
            </w:pPr>
            <w:r>
              <w:t>4</w:t>
            </w:r>
          </w:p>
        </w:tc>
        <w:tc>
          <w:tcPr>
            <w:tcW w:w="1134" w:type="dxa"/>
          </w:tcPr>
          <w:p w14:paraId="78366A03" w14:textId="28A3E1B9" w:rsidR="00F76B53" w:rsidRDefault="00F76B53" w:rsidP="00596AB0">
            <w:pPr>
              <w:pStyle w:val="BodyText"/>
            </w:pPr>
            <w:r>
              <w:t>4.2</w:t>
            </w:r>
          </w:p>
        </w:tc>
        <w:tc>
          <w:tcPr>
            <w:tcW w:w="7007" w:type="dxa"/>
          </w:tcPr>
          <w:p w14:paraId="5A8DFA76" w14:textId="736A88B1" w:rsidR="00F76B53" w:rsidRDefault="00F76B53" w:rsidP="006F4ADB">
            <w:pPr>
              <w:pStyle w:val="BodyText"/>
            </w:pPr>
            <w:r>
              <w:t>Amendment of Dose and method of administration section to improve presentation</w:t>
            </w:r>
            <w:r w:rsidR="006F4ADB">
              <w:t xml:space="preserve"> and simplify information provided.</w:t>
            </w:r>
          </w:p>
        </w:tc>
      </w:tr>
    </w:tbl>
    <w:p w14:paraId="1B2D0496" w14:textId="77777777" w:rsidR="00943DED" w:rsidRPr="00486AF6" w:rsidRDefault="00943DED" w:rsidP="0085607C">
      <w:pPr>
        <w:pStyle w:val="BodyText"/>
      </w:pPr>
    </w:p>
    <w:sectPr w:rsidR="00943DED" w:rsidRPr="00486AF6" w:rsidSect="00F27CA5">
      <w:headerReference w:type="default" r:id="rId21"/>
      <w:footerReference w:type="default" r:id="rId22"/>
      <w:pgSz w:w="11906" w:h="16838" w:code="9"/>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2A2179" w16cid:durableId="20FD50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81EFB" w14:textId="77777777" w:rsidR="005D76EA" w:rsidRDefault="005D76EA" w:rsidP="00984B4D">
      <w:r>
        <w:separator/>
      </w:r>
    </w:p>
  </w:endnote>
  <w:endnote w:type="continuationSeparator" w:id="0">
    <w:p w14:paraId="1F91A74E" w14:textId="77777777" w:rsidR="005D76EA" w:rsidRDefault="005D76EA" w:rsidP="00984B4D">
      <w:r>
        <w:continuationSeparator/>
      </w:r>
    </w:p>
  </w:endnote>
  <w:endnote w:type="continuationNotice" w:id="1">
    <w:p w14:paraId="7D7226F2" w14:textId="77777777" w:rsidR="005D76EA" w:rsidRDefault="005D7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Bold">
    <w:altName w:val="Yu Gothic"/>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66274004"/>
      <w:docPartObj>
        <w:docPartGallery w:val="Page Numbers (Bottom of Page)"/>
        <w:docPartUnique/>
      </w:docPartObj>
    </w:sdtPr>
    <w:sdtEndPr>
      <w:rPr>
        <w:noProof/>
      </w:rPr>
    </w:sdtEndPr>
    <w:sdtContent>
      <w:p w14:paraId="2866E085" w14:textId="5AFF782A" w:rsidR="005D76EA" w:rsidRPr="005C4E46" w:rsidRDefault="005D76EA" w:rsidP="005C4E46">
        <w:pPr>
          <w:pStyle w:val="Footer"/>
          <w:rPr>
            <w:sz w:val="20"/>
          </w:rPr>
        </w:pPr>
        <w:proofErr w:type="spellStart"/>
        <w:r w:rsidRPr="005C4E46">
          <w:rPr>
            <w:sz w:val="20"/>
          </w:rPr>
          <w:t>Lenvima</w:t>
        </w:r>
        <w:proofErr w:type="spellEnd"/>
        <w:r w:rsidRPr="005C4E46">
          <w:rPr>
            <w:sz w:val="20"/>
          </w:rPr>
          <w:t xml:space="preserve"> PI </w:t>
        </w:r>
        <w:r>
          <w:rPr>
            <w:sz w:val="20"/>
          </w:rPr>
          <w:t>Version 4</w:t>
        </w:r>
        <w:r w:rsidRPr="005C4E46">
          <w:rPr>
            <w:sz w:val="20"/>
          </w:rPr>
          <w:tab/>
        </w:r>
        <w:r w:rsidRPr="005C4E46">
          <w:rPr>
            <w:sz w:val="20"/>
          </w:rPr>
          <w:tab/>
          <w:t xml:space="preserve">Page </w:t>
        </w:r>
        <w:r w:rsidRPr="005C4E46">
          <w:rPr>
            <w:sz w:val="20"/>
          </w:rPr>
          <w:fldChar w:fldCharType="begin"/>
        </w:r>
        <w:r w:rsidRPr="005C4E46">
          <w:rPr>
            <w:sz w:val="20"/>
          </w:rPr>
          <w:instrText xml:space="preserve"> PAGE   \* MERGEFORMAT </w:instrText>
        </w:r>
        <w:r w:rsidRPr="005C4E46">
          <w:rPr>
            <w:sz w:val="20"/>
          </w:rPr>
          <w:fldChar w:fldCharType="separate"/>
        </w:r>
        <w:r w:rsidR="003A6DD2">
          <w:rPr>
            <w:noProof/>
            <w:sz w:val="20"/>
          </w:rPr>
          <w:t>1</w:t>
        </w:r>
        <w:r w:rsidRPr="005C4E46">
          <w:rPr>
            <w:noProof/>
            <w:sz w:val="20"/>
          </w:rPr>
          <w:fldChar w:fldCharType="end"/>
        </w:r>
      </w:p>
    </w:sdtContent>
  </w:sdt>
  <w:p w14:paraId="2866E086" w14:textId="77777777" w:rsidR="005D76EA" w:rsidRDefault="005D7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89EDD" w14:textId="77777777" w:rsidR="005D76EA" w:rsidRDefault="005D76EA" w:rsidP="00984B4D">
      <w:r>
        <w:separator/>
      </w:r>
    </w:p>
  </w:footnote>
  <w:footnote w:type="continuationSeparator" w:id="0">
    <w:p w14:paraId="3F7A99CD" w14:textId="77777777" w:rsidR="005D76EA" w:rsidRDefault="005D76EA" w:rsidP="00984B4D">
      <w:r>
        <w:continuationSeparator/>
      </w:r>
    </w:p>
  </w:footnote>
  <w:footnote w:type="continuationNotice" w:id="1">
    <w:p w14:paraId="70F88EF1" w14:textId="77777777" w:rsidR="005D76EA" w:rsidRDefault="005D7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5D76EA" w14:paraId="098F2F1B" w14:textId="77777777" w:rsidTr="005D76EA">
      <w:tc>
        <w:tcPr>
          <w:tcW w:w="8720" w:type="dxa"/>
          <w:shd w:val="clear" w:color="auto" w:fill="E4F2E0"/>
        </w:tcPr>
        <w:p w14:paraId="0842E671" w14:textId="34D147E3" w:rsidR="005D76EA" w:rsidRPr="00FB03BD" w:rsidRDefault="005D76EA" w:rsidP="005D76EA">
          <w:r w:rsidRPr="00D361CA">
            <w:rPr>
              <w:b/>
              <w:sz w:val="20"/>
              <w:szCs w:val="20"/>
            </w:rPr>
            <w:t xml:space="preserve">Attachment 1: Product information for </w:t>
          </w:r>
          <w:proofErr w:type="spellStart"/>
          <w:r w:rsidRPr="005D76EA">
            <w:rPr>
              <w:b/>
              <w:sz w:val="20"/>
              <w:szCs w:val="20"/>
            </w:rPr>
            <w:t>AusPAR</w:t>
          </w:r>
          <w:proofErr w:type="spellEnd"/>
          <w:r w:rsidRPr="005D76EA">
            <w:rPr>
              <w:b/>
              <w:sz w:val="20"/>
              <w:szCs w:val="20"/>
            </w:rPr>
            <w:t xml:space="preserve"> - LENVIMA - </w:t>
          </w:r>
          <w:proofErr w:type="spellStart"/>
          <w:r w:rsidRPr="005D76EA">
            <w:rPr>
              <w:b/>
              <w:sz w:val="20"/>
              <w:szCs w:val="20"/>
            </w:rPr>
            <w:t>lenvatinib</w:t>
          </w:r>
          <w:proofErr w:type="spellEnd"/>
          <w:r w:rsidRPr="005D76EA">
            <w:rPr>
              <w:b/>
              <w:sz w:val="20"/>
              <w:szCs w:val="20"/>
            </w:rPr>
            <w:t xml:space="preserve"> (as </w:t>
          </w:r>
          <w:proofErr w:type="spellStart"/>
          <w:r w:rsidRPr="005D76EA">
            <w:rPr>
              <w:b/>
              <w:sz w:val="20"/>
              <w:szCs w:val="20"/>
            </w:rPr>
            <w:t>mesilate</w:t>
          </w:r>
          <w:proofErr w:type="spellEnd"/>
          <w:r w:rsidRPr="005D76EA">
            <w:rPr>
              <w:b/>
              <w:sz w:val="20"/>
              <w:szCs w:val="20"/>
            </w:rPr>
            <w:t>) - Eisai Australia Pty Limited - PM-2019-02448-1-4</w:t>
          </w:r>
          <w:r>
            <w:rPr>
              <w:b/>
              <w:sz w:val="20"/>
              <w:szCs w:val="20"/>
            </w:rPr>
            <w:t xml:space="preserve"> </w:t>
          </w:r>
          <w:r w:rsidRPr="005D76EA">
            <w:rPr>
              <w:b/>
              <w:sz w:val="20"/>
              <w:szCs w:val="20"/>
            </w:rPr>
            <w:t>FINAL 5 May 2020</w:t>
          </w:r>
          <w:r w:rsidRPr="00D361CA">
            <w:rPr>
              <w:b/>
              <w:sz w:val="20"/>
              <w:szCs w:val="20"/>
            </w:rPr>
            <w:t xml:space="preserve">. </w:t>
          </w:r>
          <w:r w:rsidRPr="006918A5">
            <w:rPr>
              <w:b/>
              <w:sz w:val="18"/>
              <w:szCs w:val="18"/>
            </w:rPr>
            <w:t xml:space="preserve">This is the Product Information that </w:t>
          </w:r>
          <w:proofErr w:type="gramStart"/>
          <w:r w:rsidRPr="006918A5">
            <w:rPr>
              <w:b/>
              <w:sz w:val="18"/>
              <w:szCs w:val="18"/>
            </w:rPr>
            <w:t>was approved</w:t>
          </w:r>
          <w:proofErr w:type="gramEnd"/>
          <w:r w:rsidRPr="006918A5">
            <w:rPr>
              <w:b/>
              <w:sz w:val="18"/>
              <w:szCs w:val="18"/>
            </w:rPr>
            <w:t xml:space="preserve"> with the submission described in this </w:t>
          </w:r>
          <w:proofErr w:type="spellStart"/>
          <w:r w:rsidRPr="006918A5">
            <w:rPr>
              <w:b/>
              <w:sz w:val="18"/>
              <w:szCs w:val="18"/>
            </w:rPr>
            <w:t>AusPAR</w:t>
          </w:r>
          <w:proofErr w:type="spellEnd"/>
          <w:r w:rsidRPr="006918A5">
            <w:rPr>
              <w:b/>
              <w:sz w:val="18"/>
              <w:szCs w:val="18"/>
            </w:rPr>
            <w:t xml:space="preserve">. It </w:t>
          </w:r>
          <w:proofErr w:type="gramStart"/>
          <w:r w:rsidRPr="006918A5">
            <w:rPr>
              <w:b/>
              <w:sz w:val="18"/>
              <w:szCs w:val="18"/>
            </w:rPr>
            <w:t>may have been superseded</w:t>
          </w:r>
          <w:proofErr w:type="gramEnd"/>
          <w:r w:rsidRPr="006918A5">
            <w:rPr>
              <w:b/>
              <w:sz w:val="18"/>
              <w:szCs w:val="18"/>
            </w:rPr>
            <w:t>. For the most recent PI, please refer to the TGA website at</w:t>
          </w:r>
          <w:r>
            <w:rPr>
              <w:b/>
              <w:sz w:val="18"/>
              <w:szCs w:val="18"/>
            </w:rPr>
            <w:t xml:space="preserve"> &lt;</w:t>
          </w:r>
          <w:hyperlink r:id="rId1" w:history="1">
            <w:r w:rsidRPr="006918A5">
              <w:rPr>
                <w:rStyle w:val="Hyperlink"/>
                <w:sz w:val="18"/>
                <w:szCs w:val="18"/>
              </w:rPr>
              <w:t>https://www.tga.gov.au/product-information-pi</w:t>
            </w:r>
          </w:hyperlink>
          <w:r w:rsidRPr="00FB03BD">
            <w:rPr>
              <w:rStyle w:val="Hyperlink"/>
              <w:sz w:val="18"/>
              <w:szCs w:val="18"/>
            </w:rPr>
            <w:t>&gt;</w:t>
          </w:r>
        </w:p>
      </w:tc>
    </w:tr>
  </w:tbl>
  <w:p w14:paraId="33BB917F" w14:textId="77777777" w:rsidR="005D76EA" w:rsidRDefault="005D7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0EC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5817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56D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E017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F42B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DA78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3CCA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3222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AABE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8EBB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52D"/>
    <w:multiLevelType w:val="hybridMultilevel"/>
    <w:tmpl w:val="914E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772AAF"/>
    <w:multiLevelType w:val="singleLevel"/>
    <w:tmpl w:val="22F45636"/>
    <w:lvl w:ilvl="0">
      <w:start w:val="1"/>
      <w:numFmt w:val="lowerLetter"/>
      <w:lvlText w:val="%1"/>
      <w:lvlJc w:val="left"/>
      <w:pPr>
        <w:ind w:left="360" w:hanging="360"/>
      </w:pPr>
      <w:rPr>
        <w:rFonts w:ascii="Times New Roman" w:hAnsi="Times New Roman" w:cs="Times New Roman" w:hint="default"/>
        <w:b w:val="0"/>
        <w:i w:val="0"/>
        <w:caps w:val="0"/>
        <w:sz w:val="20"/>
        <w:u w:val="none"/>
        <w:vertAlign w:val="baseline"/>
      </w:rPr>
    </w:lvl>
  </w:abstractNum>
  <w:abstractNum w:abstractNumId="12" w15:restartNumberingAfterBreak="0">
    <w:nsid w:val="0FC70A93"/>
    <w:multiLevelType w:val="hybridMultilevel"/>
    <w:tmpl w:val="BAC81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6C3140"/>
    <w:multiLevelType w:val="hybridMultilevel"/>
    <w:tmpl w:val="ACB8C0A8"/>
    <w:lvl w:ilvl="0" w:tplc="77C43F66">
      <w:start w:val="1"/>
      <w:numFmt w:val="lowerLetter"/>
      <w:lvlText w:val="%1"/>
      <w:lvlJc w:val="left"/>
      <w:pPr>
        <w:ind w:left="360" w:hanging="360"/>
      </w:pPr>
      <w:rPr>
        <w:rFonts w:hint="default"/>
        <w:sz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DD4552"/>
    <w:multiLevelType w:val="hybridMultilevel"/>
    <w:tmpl w:val="410E4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EF5E98"/>
    <w:multiLevelType w:val="multilevel"/>
    <w:tmpl w:val="E44E457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5F443E"/>
    <w:multiLevelType w:val="hybridMultilevel"/>
    <w:tmpl w:val="86526BD4"/>
    <w:lvl w:ilvl="0" w:tplc="3C2CCA9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7A3846"/>
    <w:multiLevelType w:val="hybridMultilevel"/>
    <w:tmpl w:val="2A8CBECA"/>
    <w:lvl w:ilvl="0" w:tplc="77C43F66">
      <w:start w:val="1"/>
      <w:numFmt w:val="lowerLetter"/>
      <w:lvlText w:val="%1"/>
      <w:lvlJc w:val="left"/>
      <w:pPr>
        <w:ind w:left="720" w:hanging="360"/>
      </w:pPr>
      <w:rPr>
        <w:rFonts w:hint="default"/>
        <w:sz w:val="1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9830D0"/>
    <w:multiLevelType w:val="hybridMultilevel"/>
    <w:tmpl w:val="230E5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CD43A4"/>
    <w:multiLevelType w:val="hybridMultilevel"/>
    <w:tmpl w:val="3C2023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6E6947"/>
    <w:multiLevelType w:val="hybridMultilevel"/>
    <w:tmpl w:val="3ACC31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D5390"/>
    <w:multiLevelType w:val="hybridMultilevel"/>
    <w:tmpl w:val="0BBA3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E32B0D"/>
    <w:multiLevelType w:val="singleLevel"/>
    <w:tmpl w:val="59B625FA"/>
    <w:name w:val="WWtf"/>
    <w:lvl w:ilvl="0">
      <w:start w:val="1"/>
      <w:numFmt w:val="lowerLetter"/>
      <w:lvlText w:val="%1"/>
      <w:lvlJc w:val="left"/>
      <w:pPr>
        <w:tabs>
          <w:tab w:val="num" w:pos="360"/>
        </w:tabs>
        <w:ind w:left="360" w:hanging="360"/>
      </w:pPr>
      <w:rPr>
        <w:rFonts w:ascii="Times New Roman" w:hAnsi="Times New Roman" w:cs="Times New Roman" w:hint="default"/>
        <w:b w:val="0"/>
        <w:i w:val="0"/>
        <w:caps w:val="0"/>
        <w:sz w:val="20"/>
        <w:u w:val="none"/>
        <w:vertAlign w:val="superscript"/>
      </w:rPr>
    </w:lvl>
  </w:abstractNum>
  <w:abstractNum w:abstractNumId="23" w15:restartNumberingAfterBreak="0">
    <w:nsid w:val="4D394958"/>
    <w:multiLevelType w:val="hybridMultilevel"/>
    <w:tmpl w:val="39980F76"/>
    <w:lvl w:ilvl="0" w:tplc="0BDC5E18">
      <w:start w:val="1"/>
      <w:numFmt w:val="lowerLetter"/>
      <w:pStyle w:val="TableFootnote-list"/>
      <w:lvlText w:val="%1"/>
      <w:lvlJc w:val="left"/>
      <w:pPr>
        <w:ind w:left="360" w:hanging="360"/>
      </w:pPr>
      <w:rPr>
        <w:rFonts w:hint="default"/>
        <w:sz w:val="1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0331E6"/>
    <w:multiLevelType w:val="hybridMultilevel"/>
    <w:tmpl w:val="044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971426"/>
    <w:multiLevelType w:val="hybridMultilevel"/>
    <w:tmpl w:val="36861A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82A4865"/>
    <w:multiLevelType w:val="hybridMultilevel"/>
    <w:tmpl w:val="11544B4C"/>
    <w:lvl w:ilvl="0" w:tplc="515219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0B761B"/>
    <w:multiLevelType w:val="hybridMultilevel"/>
    <w:tmpl w:val="8A2E766A"/>
    <w:lvl w:ilvl="0" w:tplc="77C43F66">
      <w:start w:val="1"/>
      <w:numFmt w:val="lowerLetter"/>
      <w:lvlText w:val="%1"/>
      <w:lvlJc w:val="left"/>
      <w:pPr>
        <w:ind w:left="720" w:hanging="360"/>
      </w:pPr>
      <w:rPr>
        <w:rFonts w:hint="default"/>
        <w:sz w:val="1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2"/>
  </w:num>
  <w:num w:numId="3">
    <w:abstractNumId w:val="15"/>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16"/>
  </w:num>
  <w:num w:numId="23">
    <w:abstractNumId w:val="17"/>
  </w:num>
  <w:num w:numId="24">
    <w:abstractNumId w:val="27"/>
  </w:num>
  <w:num w:numId="25">
    <w:abstractNumId w:val="23"/>
  </w:num>
  <w:num w:numId="26">
    <w:abstractNumId w:val="28"/>
  </w:num>
  <w:num w:numId="27">
    <w:abstractNumId w:val="23"/>
    <w:lvlOverride w:ilvl="0">
      <w:startOverride w:val="1"/>
    </w:lvlOverride>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23"/>
    <w:lvlOverride w:ilvl="0">
      <w:startOverride w:val="1"/>
    </w:lvlOverride>
  </w:num>
  <w:num w:numId="32">
    <w:abstractNumId w:val="14"/>
  </w:num>
  <w:num w:numId="33">
    <w:abstractNumId w:val="23"/>
  </w:num>
  <w:num w:numId="34">
    <w:abstractNumId w:val="23"/>
    <w:lvlOverride w:ilvl="0">
      <w:startOverride w:val="1"/>
    </w:lvlOverride>
  </w:num>
  <w:num w:numId="35">
    <w:abstractNumId w:val="18"/>
  </w:num>
  <w:num w:numId="36">
    <w:abstractNumId w:val="23"/>
    <w:lvlOverride w:ilvl="0">
      <w:startOverride w:val="1"/>
    </w:lvlOverride>
  </w:num>
  <w:num w:numId="37">
    <w:abstractNumId w:val="12"/>
  </w:num>
  <w:num w:numId="38">
    <w:abstractNumId w:val="20"/>
  </w:num>
  <w:num w:numId="39">
    <w:abstractNumId w:val="19"/>
  </w:num>
  <w:num w:numId="40">
    <w:abstractNumId w:val="21"/>
  </w:num>
  <w:num w:numId="41">
    <w:abstractNumId w:val="11"/>
  </w:num>
  <w:num w:numId="42">
    <w:abstractNumId w:val="23"/>
    <w:lvlOverride w:ilvl="0">
      <w:startOverride w:val="1"/>
    </w:lvlOverride>
  </w:num>
  <w:num w:numId="43">
    <w:abstractNumId w:val="23"/>
    <w:lvlOverride w:ilvl="0">
      <w:startOverride w:val="1"/>
    </w:lvlOverride>
  </w:num>
  <w:num w:numId="44">
    <w:abstractNumId w:val="23"/>
    <w:lvlOverride w:ilvl="0">
      <w:startOverride w:val="1"/>
    </w:lvlOverride>
  </w:num>
  <w:num w:numId="45">
    <w:abstractNumId w:val="23"/>
    <w:lvlOverride w:ilvl="0">
      <w:startOverride w:val="1"/>
    </w:lvlOverride>
  </w:num>
  <w:num w:numId="46">
    <w:abstractNumId w:val="25"/>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76"/>
    <w:rsid w:val="00000F37"/>
    <w:rsid w:val="0000164A"/>
    <w:rsid w:val="0001136A"/>
    <w:rsid w:val="00012B4B"/>
    <w:rsid w:val="000143EB"/>
    <w:rsid w:val="0001493F"/>
    <w:rsid w:val="00021384"/>
    <w:rsid w:val="0002195F"/>
    <w:rsid w:val="00021CA4"/>
    <w:rsid w:val="00025145"/>
    <w:rsid w:val="000251CE"/>
    <w:rsid w:val="00026C88"/>
    <w:rsid w:val="00032264"/>
    <w:rsid w:val="00036583"/>
    <w:rsid w:val="000472E4"/>
    <w:rsid w:val="00053254"/>
    <w:rsid w:val="000553E0"/>
    <w:rsid w:val="00056C1B"/>
    <w:rsid w:val="000647E4"/>
    <w:rsid w:val="00066BB0"/>
    <w:rsid w:val="00071E07"/>
    <w:rsid w:val="00073AA6"/>
    <w:rsid w:val="00075173"/>
    <w:rsid w:val="00077392"/>
    <w:rsid w:val="000773B9"/>
    <w:rsid w:val="00090EE9"/>
    <w:rsid w:val="00092849"/>
    <w:rsid w:val="00097969"/>
    <w:rsid w:val="000A0E85"/>
    <w:rsid w:val="000A3363"/>
    <w:rsid w:val="000A4A02"/>
    <w:rsid w:val="000A5296"/>
    <w:rsid w:val="000A76C2"/>
    <w:rsid w:val="000C09F4"/>
    <w:rsid w:val="000C2000"/>
    <w:rsid w:val="000E10AD"/>
    <w:rsid w:val="000E199D"/>
    <w:rsid w:val="000E1EA1"/>
    <w:rsid w:val="000E456F"/>
    <w:rsid w:val="000F700D"/>
    <w:rsid w:val="00110D34"/>
    <w:rsid w:val="00112FF7"/>
    <w:rsid w:val="00114C48"/>
    <w:rsid w:val="00123378"/>
    <w:rsid w:val="00124819"/>
    <w:rsid w:val="001250F6"/>
    <w:rsid w:val="00125171"/>
    <w:rsid w:val="00126D06"/>
    <w:rsid w:val="00133361"/>
    <w:rsid w:val="00134463"/>
    <w:rsid w:val="00135867"/>
    <w:rsid w:val="00137D26"/>
    <w:rsid w:val="00145B50"/>
    <w:rsid w:val="001471CA"/>
    <w:rsid w:val="0015260A"/>
    <w:rsid w:val="00152D49"/>
    <w:rsid w:val="00162036"/>
    <w:rsid w:val="001620CE"/>
    <w:rsid w:val="00162C64"/>
    <w:rsid w:val="001641B7"/>
    <w:rsid w:val="00164F35"/>
    <w:rsid w:val="00166E40"/>
    <w:rsid w:val="001702C6"/>
    <w:rsid w:val="0017167D"/>
    <w:rsid w:val="0017177B"/>
    <w:rsid w:val="001734EA"/>
    <w:rsid w:val="00174EED"/>
    <w:rsid w:val="00176AC7"/>
    <w:rsid w:val="00176B0A"/>
    <w:rsid w:val="00180A50"/>
    <w:rsid w:val="0018221D"/>
    <w:rsid w:val="0018617E"/>
    <w:rsid w:val="001906EF"/>
    <w:rsid w:val="00191589"/>
    <w:rsid w:val="001946D6"/>
    <w:rsid w:val="001A119C"/>
    <w:rsid w:val="001A3CBD"/>
    <w:rsid w:val="001A3FE6"/>
    <w:rsid w:val="001A62E8"/>
    <w:rsid w:val="001B3145"/>
    <w:rsid w:val="001B42E1"/>
    <w:rsid w:val="001B5C59"/>
    <w:rsid w:val="001B6080"/>
    <w:rsid w:val="001C3995"/>
    <w:rsid w:val="001C6344"/>
    <w:rsid w:val="001D15C7"/>
    <w:rsid w:val="001D202A"/>
    <w:rsid w:val="001D4271"/>
    <w:rsid w:val="001D5CB8"/>
    <w:rsid w:val="001D6874"/>
    <w:rsid w:val="001D79E4"/>
    <w:rsid w:val="001E4157"/>
    <w:rsid w:val="001E72EA"/>
    <w:rsid w:val="001F0C46"/>
    <w:rsid w:val="001F4B61"/>
    <w:rsid w:val="001F4EA0"/>
    <w:rsid w:val="001F7372"/>
    <w:rsid w:val="0020202A"/>
    <w:rsid w:val="0020425D"/>
    <w:rsid w:val="00204FD1"/>
    <w:rsid w:val="00205456"/>
    <w:rsid w:val="00211F82"/>
    <w:rsid w:val="002125F6"/>
    <w:rsid w:val="00214E83"/>
    <w:rsid w:val="00216ABD"/>
    <w:rsid w:val="002178CE"/>
    <w:rsid w:val="002202D3"/>
    <w:rsid w:val="00221DDE"/>
    <w:rsid w:val="00221E35"/>
    <w:rsid w:val="002255E9"/>
    <w:rsid w:val="00227D45"/>
    <w:rsid w:val="00231CE6"/>
    <w:rsid w:val="00233DB8"/>
    <w:rsid w:val="00234095"/>
    <w:rsid w:val="00236B3C"/>
    <w:rsid w:val="00237D56"/>
    <w:rsid w:val="00240ADF"/>
    <w:rsid w:val="002416F4"/>
    <w:rsid w:val="002501EF"/>
    <w:rsid w:val="00251DEA"/>
    <w:rsid w:val="002524C7"/>
    <w:rsid w:val="00257015"/>
    <w:rsid w:val="002640E6"/>
    <w:rsid w:val="00264E8C"/>
    <w:rsid w:val="002725D4"/>
    <w:rsid w:val="00274382"/>
    <w:rsid w:val="00291054"/>
    <w:rsid w:val="00291F6E"/>
    <w:rsid w:val="00297416"/>
    <w:rsid w:val="002A2468"/>
    <w:rsid w:val="002A56BD"/>
    <w:rsid w:val="002A75C8"/>
    <w:rsid w:val="002B1714"/>
    <w:rsid w:val="002B1E01"/>
    <w:rsid w:val="002B247F"/>
    <w:rsid w:val="002B59F2"/>
    <w:rsid w:val="002B60D8"/>
    <w:rsid w:val="002B6FF2"/>
    <w:rsid w:val="002B7751"/>
    <w:rsid w:val="002C0D42"/>
    <w:rsid w:val="002C196B"/>
    <w:rsid w:val="002C5D3A"/>
    <w:rsid w:val="002C5F81"/>
    <w:rsid w:val="002C6CFE"/>
    <w:rsid w:val="002D14A0"/>
    <w:rsid w:val="002D37AF"/>
    <w:rsid w:val="002D5BD2"/>
    <w:rsid w:val="002D69A1"/>
    <w:rsid w:val="002E0EAA"/>
    <w:rsid w:val="002E57C2"/>
    <w:rsid w:val="002E6C48"/>
    <w:rsid w:val="002E7C49"/>
    <w:rsid w:val="002F0E20"/>
    <w:rsid w:val="002F5578"/>
    <w:rsid w:val="002F739E"/>
    <w:rsid w:val="00301B5A"/>
    <w:rsid w:val="00302C94"/>
    <w:rsid w:val="003038F8"/>
    <w:rsid w:val="00303B57"/>
    <w:rsid w:val="00315C01"/>
    <w:rsid w:val="0032045C"/>
    <w:rsid w:val="00324AFD"/>
    <w:rsid w:val="003306B1"/>
    <w:rsid w:val="0033334B"/>
    <w:rsid w:val="0034217F"/>
    <w:rsid w:val="00342C7D"/>
    <w:rsid w:val="00345DB1"/>
    <w:rsid w:val="00346214"/>
    <w:rsid w:val="00346E9F"/>
    <w:rsid w:val="00352697"/>
    <w:rsid w:val="00357B61"/>
    <w:rsid w:val="003641D5"/>
    <w:rsid w:val="00365948"/>
    <w:rsid w:val="00366388"/>
    <w:rsid w:val="003663AC"/>
    <w:rsid w:val="00366E64"/>
    <w:rsid w:val="00367A23"/>
    <w:rsid w:val="00371A33"/>
    <w:rsid w:val="00372091"/>
    <w:rsid w:val="00375ADF"/>
    <w:rsid w:val="0038271C"/>
    <w:rsid w:val="00382CF9"/>
    <w:rsid w:val="00385399"/>
    <w:rsid w:val="00385FF1"/>
    <w:rsid w:val="00386878"/>
    <w:rsid w:val="003879F8"/>
    <w:rsid w:val="00395238"/>
    <w:rsid w:val="00396ADC"/>
    <w:rsid w:val="003A0068"/>
    <w:rsid w:val="003A020B"/>
    <w:rsid w:val="003A0E09"/>
    <w:rsid w:val="003A2D53"/>
    <w:rsid w:val="003A6DD2"/>
    <w:rsid w:val="003A7EF9"/>
    <w:rsid w:val="003B15C4"/>
    <w:rsid w:val="003B47AB"/>
    <w:rsid w:val="003B4A99"/>
    <w:rsid w:val="003B50B3"/>
    <w:rsid w:val="003C7212"/>
    <w:rsid w:val="003D07DA"/>
    <w:rsid w:val="003D0944"/>
    <w:rsid w:val="003D1D38"/>
    <w:rsid w:val="003D3B00"/>
    <w:rsid w:val="003D4950"/>
    <w:rsid w:val="003D4E22"/>
    <w:rsid w:val="003D68C1"/>
    <w:rsid w:val="003E22E0"/>
    <w:rsid w:val="003E46E7"/>
    <w:rsid w:val="003F21F0"/>
    <w:rsid w:val="003F2612"/>
    <w:rsid w:val="003F2762"/>
    <w:rsid w:val="003F755A"/>
    <w:rsid w:val="003F7AFA"/>
    <w:rsid w:val="0040016A"/>
    <w:rsid w:val="00405928"/>
    <w:rsid w:val="00406B0D"/>
    <w:rsid w:val="00407ED9"/>
    <w:rsid w:val="00407FC0"/>
    <w:rsid w:val="00416BE7"/>
    <w:rsid w:val="00420074"/>
    <w:rsid w:val="0042098D"/>
    <w:rsid w:val="00422ECB"/>
    <w:rsid w:val="00426553"/>
    <w:rsid w:val="00431655"/>
    <w:rsid w:val="00432CB2"/>
    <w:rsid w:val="0043593E"/>
    <w:rsid w:val="00440571"/>
    <w:rsid w:val="00442E80"/>
    <w:rsid w:val="00444DA1"/>
    <w:rsid w:val="00445A84"/>
    <w:rsid w:val="004465F9"/>
    <w:rsid w:val="00450F9E"/>
    <w:rsid w:val="004520A6"/>
    <w:rsid w:val="004522AE"/>
    <w:rsid w:val="00455667"/>
    <w:rsid w:val="00472DD1"/>
    <w:rsid w:val="0047610F"/>
    <w:rsid w:val="004825A5"/>
    <w:rsid w:val="00486AF6"/>
    <w:rsid w:val="00496686"/>
    <w:rsid w:val="00496CDF"/>
    <w:rsid w:val="004A1190"/>
    <w:rsid w:val="004A2F48"/>
    <w:rsid w:val="004A5C95"/>
    <w:rsid w:val="004B763E"/>
    <w:rsid w:val="004C4540"/>
    <w:rsid w:val="004C768E"/>
    <w:rsid w:val="004D19DF"/>
    <w:rsid w:val="004D3201"/>
    <w:rsid w:val="004D3492"/>
    <w:rsid w:val="004D4C3C"/>
    <w:rsid w:val="004D4D7E"/>
    <w:rsid w:val="004D4EB9"/>
    <w:rsid w:val="004D57A0"/>
    <w:rsid w:val="004D6DC9"/>
    <w:rsid w:val="004E074D"/>
    <w:rsid w:val="004E0BBD"/>
    <w:rsid w:val="004E0E9B"/>
    <w:rsid w:val="004F22BF"/>
    <w:rsid w:val="004F2A25"/>
    <w:rsid w:val="004F4E71"/>
    <w:rsid w:val="00503E75"/>
    <w:rsid w:val="00504035"/>
    <w:rsid w:val="00505C3C"/>
    <w:rsid w:val="00510686"/>
    <w:rsid w:val="005132D1"/>
    <w:rsid w:val="00514B04"/>
    <w:rsid w:val="00514EB8"/>
    <w:rsid w:val="0052249D"/>
    <w:rsid w:val="0052348D"/>
    <w:rsid w:val="00527492"/>
    <w:rsid w:val="00527EC3"/>
    <w:rsid w:val="00531456"/>
    <w:rsid w:val="00531A58"/>
    <w:rsid w:val="005338A5"/>
    <w:rsid w:val="0054379E"/>
    <w:rsid w:val="005472C0"/>
    <w:rsid w:val="00554495"/>
    <w:rsid w:val="00556996"/>
    <w:rsid w:val="00557BEB"/>
    <w:rsid w:val="005752D5"/>
    <w:rsid w:val="0057560E"/>
    <w:rsid w:val="00575EC9"/>
    <w:rsid w:val="005776B9"/>
    <w:rsid w:val="005842B9"/>
    <w:rsid w:val="005856A8"/>
    <w:rsid w:val="00587962"/>
    <w:rsid w:val="00587B28"/>
    <w:rsid w:val="0059057E"/>
    <w:rsid w:val="00596AB0"/>
    <w:rsid w:val="005979C3"/>
    <w:rsid w:val="005A25F1"/>
    <w:rsid w:val="005A492A"/>
    <w:rsid w:val="005B5ABE"/>
    <w:rsid w:val="005B67FD"/>
    <w:rsid w:val="005C29FE"/>
    <w:rsid w:val="005C31EF"/>
    <w:rsid w:val="005C378E"/>
    <w:rsid w:val="005C3A97"/>
    <w:rsid w:val="005C4363"/>
    <w:rsid w:val="005C4E46"/>
    <w:rsid w:val="005C7550"/>
    <w:rsid w:val="005D0A4C"/>
    <w:rsid w:val="005D2656"/>
    <w:rsid w:val="005D31F1"/>
    <w:rsid w:val="005D3433"/>
    <w:rsid w:val="005D6B1E"/>
    <w:rsid w:val="005D76EA"/>
    <w:rsid w:val="005E03F0"/>
    <w:rsid w:val="005E2C5A"/>
    <w:rsid w:val="005E67B4"/>
    <w:rsid w:val="005E6937"/>
    <w:rsid w:val="005F6A99"/>
    <w:rsid w:val="006123C4"/>
    <w:rsid w:val="006135FD"/>
    <w:rsid w:val="00615098"/>
    <w:rsid w:val="00625726"/>
    <w:rsid w:val="00630772"/>
    <w:rsid w:val="006406D8"/>
    <w:rsid w:val="00641FC2"/>
    <w:rsid w:val="0064223A"/>
    <w:rsid w:val="0064373A"/>
    <w:rsid w:val="00643F41"/>
    <w:rsid w:val="0064422E"/>
    <w:rsid w:val="006444F1"/>
    <w:rsid w:val="00645B48"/>
    <w:rsid w:val="0065012E"/>
    <w:rsid w:val="00650523"/>
    <w:rsid w:val="00650F56"/>
    <w:rsid w:val="00651102"/>
    <w:rsid w:val="00651E17"/>
    <w:rsid w:val="00652CA9"/>
    <w:rsid w:val="006540BC"/>
    <w:rsid w:val="006604B7"/>
    <w:rsid w:val="0066063C"/>
    <w:rsid w:val="00662ABE"/>
    <w:rsid w:val="0066629F"/>
    <w:rsid w:val="00670B51"/>
    <w:rsid w:val="00672C86"/>
    <w:rsid w:val="0067563F"/>
    <w:rsid w:val="00681D12"/>
    <w:rsid w:val="00685AFF"/>
    <w:rsid w:val="00685B8E"/>
    <w:rsid w:val="00692046"/>
    <w:rsid w:val="0069475C"/>
    <w:rsid w:val="006A39BA"/>
    <w:rsid w:val="006A5529"/>
    <w:rsid w:val="006A78D2"/>
    <w:rsid w:val="006B1BD3"/>
    <w:rsid w:val="006B321B"/>
    <w:rsid w:val="006B3991"/>
    <w:rsid w:val="006B68E7"/>
    <w:rsid w:val="006C0D29"/>
    <w:rsid w:val="006C44A9"/>
    <w:rsid w:val="006C6FAD"/>
    <w:rsid w:val="006C7153"/>
    <w:rsid w:val="006D00A1"/>
    <w:rsid w:val="006E691E"/>
    <w:rsid w:val="006E772B"/>
    <w:rsid w:val="006F4263"/>
    <w:rsid w:val="006F4ADB"/>
    <w:rsid w:val="006F62F3"/>
    <w:rsid w:val="006F68D6"/>
    <w:rsid w:val="006F68EB"/>
    <w:rsid w:val="006F6CCB"/>
    <w:rsid w:val="006F758F"/>
    <w:rsid w:val="00704A05"/>
    <w:rsid w:val="00715E7F"/>
    <w:rsid w:val="007176F3"/>
    <w:rsid w:val="007214A4"/>
    <w:rsid w:val="00724737"/>
    <w:rsid w:val="007260F2"/>
    <w:rsid w:val="00732AFF"/>
    <w:rsid w:val="0073590A"/>
    <w:rsid w:val="0074000F"/>
    <w:rsid w:val="00740730"/>
    <w:rsid w:val="00753B48"/>
    <w:rsid w:val="0075622C"/>
    <w:rsid w:val="00756F54"/>
    <w:rsid w:val="00764259"/>
    <w:rsid w:val="0076480E"/>
    <w:rsid w:val="00766F3B"/>
    <w:rsid w:val="00770C33"/>
    <w:rsid w:val="007739E4"/>
    <w:rsid w:val="00782A18"/>
    <w:rsid w:val="0078311D"/>
    <w:rsid w:val="00786A1E"/>
    <w:rsid w:val="00790D5E"/>
    <w:rsid w:val="00790EA5"/>
    <w:rsid w:val="00791941"/>
    <w:rsid w:val="00797590"/>
    <w:rsid w:val="007A02CA"/>
    <w:rsid w:val="007A1797"/>
    <w:rsid w:val="007A1D6F"/>
    <w:rsid w:val="007A21F2"/>
    <w:rsid w:val="007A4BC8"/>
    <w:rsid w:val="007A6A34"/>
    <w:rsid w:val="007B098F"/>
    <w:rsid w:val="007B31D9"/>
    <w:rsid w:val="007B4197"/>
    <w:rsid w:val="007B654C"/>
    <w:rsid w:val="007C36D5"/>
    <w:rsid w:val="007C448B"/>
    <w:rsid w:val="007C5E73"/>
    <w:rsid w:val="007D44C5"/>
    <w:rsid w:val="007D47A5"/>
    <w:rsid w:val="007D4D46"/>
    <w:rsid w:val="007D4F66"/>
    <w:rsid w:val="007E495D"/>
    <w:rsid w:val="007E7D68"/>
    <w:rsid w:val="007F4E5B"/>
    <w:rsid w:val="007F5F59"/>
    <w:rsid w:val="007F63A4"/>
    <w:rsid w:val="008031B3"/>
    <w:rsid w:val="0080509B"/>
    <w:rsid w:val="00806A04"/>
    <w:rsid w:val="00810DCF"/>
    <w:rsid w:val="008157C7"/>
    <w:rsid w:val="008163A3"/>
    <w:rsid w:val="00816E6B"/>
    <w:rsid w:val="008214DD"/>
    <w:rsid w:val="00821EE0"/>
    <w:rsid w:val="00827843"/>
    <w:rsid w:val="00827DE3"/>
    <w:rsid w:val="00835476"/>
    <w:rsid w:val="008364FE"/>
    <w:rsid w:val="00837732"/>
    <w:rsid w:val="00841AD6"/>
    <w:rsid w:val="0084459E"/>
    <w:rsid w:val="008466B1"/>
    <w:rsid w:val="008475F3"/>
    <w:rsid w:val="00854273"/>
    <w:rsid w:val="00854358"/>
    <w:rsid w:val="00855892"/>
    <w:rsid w:val="0085607C"/>
    <w:rsid w:val="00856450"/>
    <w:rsid w:val="00857FF4"/>
    <w:rsid w:val="00860580"/>
    <w:rsid w:val="00860623"/>
    <w:rsid w:val="0086115F"/>
    <w:rsid w:val="00861393"/>
    <w:rsid w:val="00874C4C"/>
    <w:rsid w:val="0087779B"/>
    <w:rsid w:val="00882B1C"/>
    <w:rsid w:val="0088349C"/>
    <w:rsid w:val="008835EA"/>
    <w:rsid w:val="00885AE3"/>
    <w:rsid w:val="008904D4"/>
    <w:rsid w:val="00895F0B"/>
    <w:rsid w:val="0089759B"/>
    <w:rsid w:val="008A7290"/>
    <w:rsid w:val="008A7BEC"/>
    <w:rsid w:val="008B1A90"/>
    <w:rsid w:val="008B3996"/>
    <w:rsid w:val="008B658A"/>
    <w:rsid w:val="008B792E"/>
    <w:rsid w:val="008C477A"/>
    <w:rsid w:val="008D0E34"/>
    <w:rsid w:val="008D1089"/>
    <w:rsid w:val="008D5B63"/>
    <w:rsid w:val="008E098A"/>
    <w:rsid w:val="008E4446"/>
    <w:rsid w:val="008E5AAA"/>
    <w:rsid w:val="008F3E9D"/>
    <w:rsid w:val="008F7854"/>
    <w:rsid w:val="00902A05"/>
    <w:rsid w:val="00905D3A"/>
    <w:rsid w:val="00907221"/>
    <w:rsid w:val="00910A3E"/>
    <w:rsid w:val="00912F98"/>
    <w:rsid w:val="009161B8"/>
    <w:rsid w:val="00917759"/>
    <w:rsid w:val="00920D76"/>
    <w:rsid w:val="00920DF3"/>
    <w:rsid w:val="00920EBA"/>
    <w:rsid w:val="00926B2D"/>
    <w:rsid w:val="00933981"/>
    <w:rsid w:val="00935453"/>
    <w:rsid w:val="00937B65"/>
    <w:rsid w:val="00940016"/>
    <w:rsid w:val="00941471"/>
    <w:rsid w:val="00943DED"/>
    <w:rsid w:val="0094416B"/>
    <w:rsid w:val="00946012"/>
    <w:rsid w:val="00946F00"/>
    <w:rsid w:val="00947BB5"/>
    <w:rsid w:val="00947D56"/>
    <w:rsid w:val="00950841"/>
    <w:rsid w:val="009513EA"/>
    <w:rsid w:val="00951577"/>
    <w:rsid w:val="009521FD"/>
    <w:rsid w:val="00953FE9"/>
    <w:rsid w:val="00971CDF"/>
    <w:rsid w:val="0097640A"/>
    <w:rsid w:val="009776DF"/>
    <w:rsid w:val="009812DE"/>
    <w:rsid w:val="0098196D"/>
    <w:rsid w:val="00982A45"/>
    <w:rsid w:val="00984B4D"/>
    <w:rsid w:val="00985FFD"/>
    <w:rsid w:val="009868CF"/>
    <w:rsid w:val="0099082A"/>
    <w:rsid w:val="009908C4"/>
    <w:rsid w:val="009911ED"/>
    <w:rsid w:val="009919B6"/>
    <w:rsid w:val="009A1D5E"/>
    <w:rsid w:val="009B1F5F"/>
    <w:rsid w:val="009B346D"/>
    <w:rsid w:val="009B5615"/>
    <w:rsid w:val="009B7610"/>
    <w:rsid w:val="009C12D0"/>
    <w:rsid w:val="009C559F"/>
    <w:rsid w:val="009D28A7"/>
    <w:rsid w:val="009D2F0B"/>
    <w:rsid w:val="009D592B"/>
    <w:rsid w:val="009D7EAE"/>
    <w:rsid w:val="009F4525"/>
    <w:rsid w:val="00A0080A"/>
    <w:rsid w:val="00A01154"/>
    <w:rsid w:val="00A02711"/>
    <w:rsid w:val="00A130A5"/>
    <w:rsid w:val="00A13AA7"/>
    <w:rsid w:val="00A170D4"/>
    <w:rsid w:val="00A201F2"/>
    <w:rsid w:val="00A21782"/>
    <w:rsid w:val="00A255ED"/>
    <w:rsid w:val="00A27C80"/>
    <w:rsid w:val="00A34C10"/>
    <w:rsid w:val="00A37A86"/>
    <w:rsid w:val="00A40620"/>
    <w:rsid w:val="00A40939"/>
    <w:rsid w:val="00A51E6E"/>
    <w:rsid w:val="00A552CF"/>
    <w:rsid w:val="00A56386"/>
    <w:rsid w:val="00A57B23"/>
    <w:rsid w:val="00A61A5C"/>
    <w:rsid w:val="00A6343F"/>
    <w:rsid w:val="00A64B37"/>
    <w:rsid w:val="00A6627D"/>
    <w:rsid w:val="00A7749B"/>
    <w:rsid w:val="00A822BF"/>
    <w:rsid w:val="00A85055"/>
    <w:rsid w:val="00A908AD"/>
    <w:rsid w:val="00A9510B"/>
    <w:rsid w:val="00AA00DF"/>
    <w:rsid w:val="00AA031C"/>
    <w:rsid w:val="00AA1F9E"/>
    <w:rsid w:val="00AA41B8"/>
    <w:rsid w:val="00AB1224"/>
    <w:rsid w:val="00AB6C19"/>
    <w:rsid w:val="00AC022E"/>
    <w:rsid w:val="00AC5478"/>
    <w:rsid w:val="00AD0A0F"/>
    <w:rsid w:val="00AD0DC0"/>
    <w:rsid w:val="00AD5C0D"/>
    <w:rsid w:val="00AE0681"/>
    <w:rsid w:val="00AE2521"/>
    <w:rsid w:val="00AF016C"/>
    <w:rsid w:val="00AF5F6B"/>
    <w:rsid w:val="00AF6DF1"/>
    <w:rsid w:val="00B0520F"/>
    <w:rsid w:val="00B06FD3"/>
    <w:rsid w:val="00B14245"/>
    <w:rsid w:val="00B148AA"/>
    <w:rsid w:val="00B15EA7"/>
    <w:rsid w:val="00B17979"/>
    <w:rsid w:val="00B22524"/>
    <w:rsid w:val="00B22615"/>
    <w:rsid w:val="00B229B7"/>
    <w:rsid w:val="00B27DF9"/>
    <w:rsid w:val="00B3100B"/>
    <w:rsid w:val="00B31DEA"/>
    <w:rsid w:val="00B405EF"/>
    <w:rsid w:val="00B4221B"/>
    <w:rsid w:val="00B46D53"/>
    <w:rsid w:val="00B53142"/>
    <w:rsid w:val="00B53A78"/>
    <w:rsid w:val="00B53FFF"/>
    <w:rsid w:val="00B60625"/>
    <w:rsid w:val="00B64000"/>
    <w:rsid w:val="00B662F4"/>
    <w:rsid w:val="00B71770"/>
    <w:rsid w:val="00B71F3C"/>
    <w:rsid w:val="00B722A3"/>
    <w:rsid w:val="00B72EDF"/>
    <w:rsid w:val="00B842B4"/>
    <w:rsid w:val="00B871A6"/>
    <w:rsid w:val="00B95901"/>
    <w:rsid w:val="00BA1623"/>
    <w:rsid w:val="00BA1B54"/>
    <w:rsid w:val="00BB5A74"/>
    <w:rsid w:val="00BB617F"/>
    <w:rsid w:val="00BC7331"/>
    <w:rsid w:val="00BD5D53"/>
    <w:rsid w:val="00BD7E2E"/>
    <w:rsid w:val="00BE463A"/>
    <w:rsid w:val="00BE78D8"/>
    <w:rsid w:val="00BF395D"/>
    <w:rsid w:val="00BF3F09"/>
    <w:rsid w:val="00BF6DCD"/>
    <w:rsid w:val="00BF7107"/>
    <w:rsid w:val="00C07E1F"/>
    <w:rsid w:val="00C11A24"/>
    <w:rsid w:val="00C20B13"/>
    <w:rsid w:val="00C2365A"/>
    <w:rsid w:val="00C25CBC"/>
    <w:rsid w:val="00C3010D"/>
    <w:rsid w:val="00C322E6"/>
    <w:rsid w:val="00C378AD"/>
    <w:rsid w:val="00C426F3"/>
    <w:rsid w:val="00C4320E"/>
    <w:rsid w:val="00C4720F"/>
    <w:rsid w:val="00C5198F"/>
    <w:rsid w:val="00C54A3F"/>
    <w:rsid w:val="00C5609E"/>
    <w:rsid w:val="00C6307C"/>
    <w:rsid w:val="00C64410"/>
    <w:rsid w:val="00C669C3"/>
    <w:rsid w:val="00C74343"/>
    <w:rsid w:val="00C77CF2"/>
    <w:rsid w:val="00C80DDB"/>
    <w:rsid w:val="00C8469B"/>
    <w:rsid w:val="00C86DDE"/>
    <w:rsid w:val="00C870DE"/>
    <w:rsid w:val="00C90B7E"/>
    <w:rsid w:val="00C92DDE"/>
    <w:rsid w:val="00CA072E"/>
    <w:rsid w:val="00CA390F"/>
    <w:rsid w:val="00CA3E74"/>
    <w:rsid w:val="00CB0232"/>
    <w:rsid w:val="00CB0D47"/>
    <w:rsid w:val="00CB2DC4"/>
    <w:rsid w:val="00CB365C"/>
    <w:rsid w:val="00CB50D0"/>
    <w:rsid w:val="00CC087A"/>
    <w:rsid w:val="00CC2766"/>
    <w:rsid w:val="00CC3601"/>
    <w:rsid w:val="00CC589A"/>
    <w:rsid w:val="00CC745D"/>
    <w:rsid w:val="00CD7B84"/>
    <w:rsid w:val="00CD7D11"/>
    <w:rsid w:val="00CE0285"/>
    <w:rsid w:val="00CE179F"/>
    <w:rsid w:val="00CE4A29"/>
    <w:rsid w:val="00CF3E4F"/>
    <w:rsid w:val="00CF46BA"/>
    <w:rsid w:val="00CF535A"/>
    <w:rsid w:val="00CF7137"/>
    <w:rsid w:val="00D04D14"/>
    <w:rsid w:val="00D0583A"/>
    <w:rsid w:val="00D10062"/>
    <w:rsid w:val="00D12D60"/>
    <w:rsid w:val="00D154D7"/>
    <w:rsid w:val="00D178F2"/>
    <w:rsid w:val="00D17B5A"/>
    <w:rsid w:val="00D275CF"/>
    <w:rsid w:val="00D30DAD"/>
    <w:rsid w:val="00D33B56"/>
    <w:rsid w:val="00D418E6"/>
    <w:rsid w:val="00D43DDE"/>
    <w:rsid w:val="00D52723"/>
    <w:rsid w:val="00D56DB7"/>
    <w:rsid w:val="00D61A3B"/>
    <w:rsid w:val="00D712C4"/>
    <w:rsid w:val="00D727B8"/>
    <w:rsid w:val="00D85D9B"/>
    <w:rsid w:val="00D86AD6"/>
    <w:rsid w:val="00D93D65"/>
    <w:rsid w:val="00D9547E"/>
    <w:rsid w:val="00DA1C19"/>
    <w:rsid w:val="00DA3274"/>
    <w:rsid w:val="00DA7B03"/>
    <w:rsid w:val="00DB2922"/>
    <w:rsid w:val="00DB69DA"/>
    <w:rsid w:val="00DB75F5"/>
    <w:rsid w:val="00DC026D"/>
    <w:rsid w:val="00DC107F"/>
    <w:rsid w:val="00DC5E06"/>
    <w:rsid w:val="00DC71AA"/>
    <w:rsid w:val="00DE0435"/>
    <w:rsid w:val="00DE5022"/>
    <w:rsid w:val="00DE5051"/>
    <w:rsid w:val="00DE685C"/>
    <w:rsid w:val="00DF091F"/>
    <w:rsid w:val="00DF179F"/>
    <w:rsid w:val="00DF207C"/>
    <w:rsid w:val="00DF4E01"/>
    <w:rsid w:val="00E00B24"/>
    <w:rsid w:val="00E0156A"/>
    <w:rsid w:val="00E01E31"/>
    <w:rsid w:val="00E02A8F"/>
    <w:rsid w:val="00E047D9"/>
    <w:rsid w:val="00E07AED"/>
    <w:rsid w:val="00E13432"/>
    <w:rsid w:val="00E14350"/>
    <w:rsid w:val="00E149FF"/>
    <w:rsid w:val="00E15B93"/>
    <w:rsid w:val="00E2214C"/>
    <w:rsid w:val="00E229F6"/>
    <w:rsid w:val="00E27129"/>
    <w:rsid w:val="00E27B1D"/>
    <w:rsid w:val="00E342AE"/>
    <w:rsid w:val="00E35D44"/>
    <w:rsid w:val="00E37739"/>
    <w:rsid w:val="00E456A1"/>
    <w:rsid w:val="00E47462"/>
    <w:rsid w:val="00E47F61"/>
    <w:rsid w:val="00E51773"/>
    <w:rsid w:val="00E52433"/>
    <w:rsid w:val="00E544B2"/>
    <w:rsid w:val="00E60932"/>
    <w:rsid w:val="00E60D3E"/>
    <w:rsid w:val="00E6138A"/>
    <w:rsid w:val="00E663A7"/>
    <w:rsid w:val="00E757D7"/>
    <w:rsid w:val="00E84DC8"/>
    <w:rsid w:val="00E879C8"/>
    <w:rsid w:val="00E908AC"/>
    <w:rsid w:val="00E90915"/>
    <w:rsid w:val="00EA041B"/>
    <w:rsid w:val="00EA674A"/>
    <w:rsid w:val="00EB5C0B"/>
    <w:rsid w:val="00EC4E12"/>
    <w:rsid w:val="00EC4E77"/>
    <w:rsid w:val="00ED6A65"/>
    <w:rsid w:val="00ED7231"/>
    <w:rsid w:val="00EE3D8E"/>
    <w:rsid w:val="00EE42B2"/>
    <w:rsid w:val="00EE4CD6"/>
    <w:rsid w:val="00EE4E8E"/>
    <w:rsid w:val="00EE5A78"/>
    <w:rsid w:val="00EE5DA3"/>
    <w:rsid w:val="00EE757B"/>
    <w:rsid w:val="00EF1A8F"/>
    <w:rsid w:val="00F027EC"/>
    <w:rsid w:val="00F02C84"/>
    <w:rsid w:val="00F06A7B"/>
    <w:rsid w:val="00F06F23"/>
    <w:rsid w:val="00F17556"/>
    <w:rsid w:val="00F17916"/>
    <w:rsid w:val="00F20EC0"/>
    <w:rsid w:val="00F20F80"/>
    <w:rsid w:val="00F26D0E"/>
    <w:rsid w:val="00F27CA5"/>
    <w:rsid w:val="00F307BD"/>
    <w:rsid w:val="00F33415"/>
    <w:rsid w:val="00F42290"/>
    <w:rsid w:val="00F43022"/>
    <w:rsid w:val="00F45590"/>
    <w:rsid w:val="00F505C8"/>
    <w:rsid w:val="00F508B1"/>
    <w:rsid w:val="00F510A8"/>
    <w:rsid w:val="00F5689B"/>
    <w:rsid w:val="00F631CA"/>
    <w:rsid w:val="00F66AC0"/>
    <w:rsid w:val="00F6782D"/>
    <w:rsid w:val="00F71377"/>
    <w:rsid w:val="00F76B53"/>
    <w:rsid w:val="00F8140B"/>
    <w:rsid w:val="00F942D2"/>
    <w:rsid w:val="00F961D5"/>
    <w:rsid w:val="00FA19F8"/>
    <w:rsid w:val="00FA24F5"/>
    <w:rsid w:val="00FA510C"/>
    <w:rsid w:val="00FB7A14"/>
    <w:rsid w:val="00FC4217"/>
    <w:rsid w:val="00FD1A31"/>
    <w:rsid w:val="00FD34EE"/>
    <w:rsid w:val="00FD35B2"/>
    <w:rsid w:val="00FE0E15"/>
    <w:rsid w:val="00FE5DA6"/>
    <w:rsid w:val="00FE621C"/>
    <w:rsid w:val="00FF0E17"/>
    <w:rsid w:val="00FF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866D939"/>
  <w15:docId w15:val="{096575E9-6506-4980-AB94-FFBF5450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EA7"/>
  </w:style>
  <w:style w:type="paragraph" w:styleId="Heading1">
    <w:name w:val="heading 1"/>
    <w:basedOn w:val="Normal"/>
    <w:next w:val="BodyText"/>
    <w:link w:val="Heading1Char"/>
    <w:uiPriority w:val="9"/>
    <w:qFormat/>
    <w:rsid w:val="00D85D9B"/>
    <w:pPr>
      <w:keepNext/>
      <w:keepLines/>
      <w:numPr>
        <w:numId w:val="21"/>
      </w:numPr>
      <w:spacing w:before="120" w:after="240"/>
      <w:outlineLvl w:val="0"/>
    </w:pPr>
    <w:rPr>
      <w:rFonts w:asciiTheme="majorHAnsi" w:eastAsiaTheme="majorEastAsia" w:hAnsiTheme="majorHAnsi" w:cstheme="majorBidi"/>
      <w:b/>
      <w:bCs/>
      <w:caps/>
      <w:sz w:val="28"/>
      <w:szCs w:val="28"/>
    </w:rPr>
  </w:style>
  <w:style w:type="paragraph" w:styleId="Heading2">
    <w:name w:val="heading 2"/>
    <w:basedOn w:val="Normal"/>
    <w:next w:val="BodyText"/>
    <w:link w:val="Heading2Char"/>
    <w:uiPriority w:val="9"/>
    <w:unhideWhenUsed/>
    <w:qFormat/>
    <w:rsid w:val="00D85D9B"/>
    <w:pPr>
      <w:keepNext/>
      <w:numPr>
        <w:ilvl w:val="1"/>
        <w:numId w:val="21"/>
      </w:numPr>
      <w:spacing w:before="120" w:after="120"/>
      <w:outlineLvl w:val="1"/>
    </w:pPr>
    <w:rPr>
      <w:rFonts w:asciiTheme="majorHAnsi" w:hAnsiTheme="majorHAnsi"/>
      <w:b/>
      <w:smallCaps/>
      <w:sz w:val="24"/>
    </w:rPr>
  </w:style>
  <w:style w:type="paragraph" w:styleId="Heading3">
    <w:name w:val="heading 3"/>
    <w:basedOn w:val="Normal"/>
    <w:next w:val="BodyText"/>
    <w:link w:val="Heading3Char"/>
    <w:uiPriority w:val="9"/>
    <w:unhideWhenUsed/>
    <w:qFormat/>
    <w:rsid w:val="00D85D9B"/>
    <w:pPr>
      <w:keepNext/>
      <w:keepLines/>
      <w:spacing w:before="120" w:after="120"/>
      <w:ind w:left="227"/>
      <w:outlineLvl w:val="2"/>
    </w:pPr>
    <w:rPr>
      <w:rFonts w:asciiTheme="majorHAnsi" w:eastAsiaTheme="majorEastAsia" w:hAnsiTheme="majorHAnsi" w:cstheme="majorBidi"/>
      <w:b/>
      <w:bCs/>
      <w:sz w:val="24"/>
    </w:rPr>
  </w:style>
  <w:style w:type="paragraph" w:styleId="Heading4">
    <w:name w:val="heading 4"/>
    <w:basedOn w:val="Heading3"/>
    <w:next w:val="Normal"/>
    <w:link w:val="Heading4Char"/>
    <w:uiPriority w:val="9"/>
    <w:unhideWhenUsed/>
    <w:qFormat/>
    <w:rsid w:val="00D85D9B"/>
    <w:pPr>
      <w:outlineLvl w:val="3"/>
    </w:pPr>
    <w:rPr>
      <w:b w:val="0"/>
      <w:i/>
      <w:u w:val="single"/>
    </w:rPr>
  </w:style>
  <w:style w:type="paragraph" w:styleId="Heading5">
    <w:name w:val="heading 5"/>
    <w:basedOn w:val="Heading4"/>
    <w:next w:val="Normal"/>
    <w:link w:val="Heading5Char"/>
    <w:uiPriority w:val="9"/>
    <w:unhideWhenUsed/>
    <w:qFormat/>
    <w:rsid w:val="00BF395D"/>
    <w:pPr>
      <w:outlineLvl w:val="4"/>
    </w:pPr>
    <w:rPr>
      <w:u w:val="none"/>
      <w:lang w:val="en-US"/>
    </w:rPr>
  </w:style>
  <w:style w:type="paragraph" w:styleId="Heading6">
    <w:name w:val="heading 6"/>
    <w:basedOn w:val="Normal"/>
    <w:next w:val="Normal"/>
    <w:link w:val="Heading6Char"/>
    <w:uiPriority w:val="9"/>
    <w:unhideWhenUsed/>
    <w:qFormat/>
    <w:rsid w:val="00D85D9B"/>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85D9B"/>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85D9B"/>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85D9B"/>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85D9B"/>
    <w:pPr>
      <w:spacing w:after="0"/>
    </w:pPr>
    <w:rPr>
      <w:rFonts w:ascii="Times New Roman" w:hAnsi="Times New Roman"/>
      <w:sz w:val="24"/>
    </w:rPr>
  </w:style>
  <w:style w:type="character" w:customStyle="1" w:styleId="BodyTextChar">
    <w:name w:val="Body Text Char"/>
    <w:basedOn w:val="DefaultParagraphFont"/>
    <w:link w:val="BodyText"/>
    <w:uiPriority w:val="99"/>
    <w:rsid w:val="00D85D9B"/>
    <w:rPr>
      <w:rFonts w:ascii="Times New Roman" w:hAnsi="Times New Roman"/>
      <w:sz w:val="24"/>
    </w:rPr>
  </w:style>
  <w:style w:type="character" w:customStyle="1" w:styleId="Heading1Char">
    <w:name w:val="Heading 1 Char"/>
    <w:basedOn w:val="DefaultParagraphFont"/>
    <w:link w:val="Heading1"/>
    <w:uiPriority w:val="9"/>
    <w:rsid w:val="00D85D9B"/>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rsid w:val="00D85D9B"/>
    <w:rPr>
      <w:rFonts w:asciiTheme="majorHAnsi" w:hAnsiTheme="majorHAnsi"/>
      <w:b/>
      <w:smallCaps/>
      <w:sz w:val="24"/>
    </w:rPr>
  </w:style>
  <w:style w:type="character" w:customStyle="1" w:styleId="Heading3Char">
    <w:name w:val="Heading 3 Char"/>
    <w:basedOn w:val="DefaultParagraphFont"/>
    <w:link w:val="Heading3"/>
    <w:uiPriority w:val="9"/>
    <w:rsid w:val="00D85D9B"/>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85D9B"/>
    <w:rPr>
      <w:rFonts w:asciiTheme="majorHAnsi" w:eastAsiaTheme="majorEastAsia" w:hAnsiTheme="majorHAnsi" w:cstheme="majorBidi"/>
      <w:bCs/>
      <w:i/>
      <w:sz w:val="24"/>
      <w:u w:val="single"/>
    </w:rPr>
  </w:style>
  <w:style w:type="character" w:customStyle="1" w:styleId="Heading5Char">
    <w:name w:val="Heading 5 Char"/>
    <w:basedOn w:val="DefaultParagraphFont"/>
    <w:link w:val="Heading5"/>
    <w:uiPriority w:val="9"/>
    <w:rsid w:val="00BF395D"/>
    <w:rPr>
      <w:rFonts w:asciiTheme="majorHAnsi" w:eastAsiaTheme="majorEastAsia" w:hAnsiTheme="majorHAnsi" w:cstheme="majorBidi"/>
      <w:bCs/>
      <w:i/>
      <w:sz w:val="24"/>
      <w:lang w:val="en-US"/>
    </w:rPr>
  </w:style>
  <w:style w:type="character" w:customStyle="1" w:styleId="Heading6Char">
    <w:name w:val="Heading 6 Char"/>
    <w:basedOn w:val="DefaultParagraphFont"/>
    <w:link w:val="Heading6"/>
    <w:uiPriority w:val="9"/>
    <w:rsid w:val="00D85D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85D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85D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85D9B"/>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85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D9B"/>
    <w:rPr>
      <w:rFonts w:ascii="Tahoma" w:hAnsi="Tahoma" w:cs="Tahoma"/>
      <w:sz w:val="16"/>
      <w:szCs w:val="16"/>
    </w:rPr>
  </w:style>
  <w:style w:type="table" w:styleId="TableGrid">
    <w:name w:val="Table Grid"/>
    <w:basedOn w:val="TableNormal"/>
    <w:uiPriority w:val="59"/>
    <w:rsid w:val="00D8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6">
    <w:name w:val="CM26"/>
    <w:basedOn w:val="Normal"/>
    <w:next w:val="Normal"/>
    <w:uiPriority w:val="99"/>
    <w:rsid w:val="0064422E"/>
    <w:pPr>
      <w:widowControl w:val="0"/>
      <w:autoSpaceDE w:val="0"/>
      <w:autoSpaceDN w:val="0"/>
      <w:adjustRightInd w:val="0"/>
    </w:pPr>
    <w:rPr>
      <w:rFonts w:eastAsiaTheme="minorEastAsia"/>
      <w:szCs w:val="24"/>
      <w:lang w:val="en-US"/>
    </w:rPr>
  </w:style>
  <w:style w:type="paragraph" w:customStyle="1" w:styleId="Default">
    <w:name w:val="Default"/>
    <w:rsid w:val="00BE78D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CommentReference">
    <w:name w:val="annotation reference"/>
    <w:basedOn w:val="DefaultParagraphFont"/>
    <w:uiPriority w:val="99"/>
    <w:unhideWhenUsed/>
    <w:rsid w:val="00D85D9B"/>
    <w:rPr>
      <w:sz w:val="16"/>
      <w:szCs w:val="16"/>
    </w:rPr>
  </w:style>
  <w:style w:type="paragraph" w:styleId="CommentText">
    <w:name w:val="annotation text"/>
    <w:basedOn w:val="Normal"/>
    <w:link w:val="CommentTextChar"/>
    <w:uiPriority w:val="99"/>
    <w:unhideWhenUsed/>
    <w:qFormat/>
    <w:rsid w:val="00D85D9B"/>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D85D9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85D9B"/>
    <w:rPr>
      <w:b/>
      <w:bCs/>
    </w:rPr>
  </w:style>
  <w:style w:type="character" w:customStyle="1" w:styleId="CommentSubjectChar">
    <w:name w:val="Comment Subject Char"/>
    <w:basedOn w:val="CommentTextChar"/>
    <w:link w:val="CommentSubject"/>
    <w:uiPriority w:val="99"/>
    <w:semiHidden/>
    <w:rsid w:val="00D85D9B"/>
    <w:rPr>
      <w:rFonts w:ascii="Cambria" w:hAnsi="Cambria"/>
      <w:b/>
      <w:bCs/>
      <w:sz w:val="20"/>
      <w:szCs w:val="20"/>
    </w:rPr>
  </w:style>
  <w:style w:type="paragraph" w:styleId="Caption">
    <w:name w:val="caption"/>
    <w:basedOn w:val="Normal"/>
    <w:next w:val="BodyText"/>
    <w:link w:val="CaptionChar"/>
    <w:uiPriority w:val="35"/>
    <w:unhideWhenUsed/>
    <w:qFormat/>
    <w:rsid w:val="00D85D9B"/>
    <w:pPr>
      <w:keepNext/>
      <w:spacing w:after="0" w:line="240" w:lineRule="auto"/>
    </w:pPr>
    <w:rPr>
      <w:rFonts w:ascii="Times New Roman" w:eastAsia="MS Mincho" w:hAnsi="Times New Roman" w:cs="Times New Roman"/>
      <w:b/>
      <w:bCs/>
      <w:sz w:val="24"/>
      <w:szCs w:val="20"/>
    </w:rPr>
  </w:style>
  <w:style w:type="character" w:customStyle="1" w:styleId="CaptionChar">
    <w:name w:val="Caption Char"/>
    <w:link w:val="Caption"/>
    <w:uiPriority w:val="35"/>
    <w:rsid w:val="007B31D9"/>
    <w:rPr>
      <w:rFonts w:ascii="Times New Roman" w:eastAsia="MS Mincho" w:hAnsi="Times New Roman" w:cs="Times New Roman"/>
      <w:b/>
      <w:bCs/>
      <w:sz w:val="24"/>
      <w:szCs w:val="20"/>
    </w:rPr>
  </w:style>
  <w:style w:type="paragraph" w:customStyle="1" w:styleId="Paragraph">
    <w:name w:val="Paragraph"/>
    <w:basedOn w:val="Normal"/>
    <w:link w:val="ParagraphChar"/>
    <w:qFormat/>
    <w:rsid w:val="00D85D9B"/>
    <w:pPr>
      <w:spacing w:after="240" w:line="280" w:lineRule="exact"/>
    </w:pPr>
    <w:rPr>
      <w:rFonts w:ascii="Times New Roman" w:eastAsia="MS Mincho" w:hAnsi="Times New Roman" w:cs="Times New Roman"/>
      <w:sz w:val="24"/>
      <w:szCs w:val="20"/>
      <w:lang w:val="en-US"/>
    </w:rPr>
  </w:style>
  <w:style w:type="character" w:customStyle="1" w:styleId="ParagraphChar">
    <w:name w:val="Paragraph Char"/>
    <w:link w:val="Paragraph"/>
    <w:rsid w:val="007B31D9"/>
    <w:rPr>
      <w:rFonts w:ascii="Times New Roman" w:eastAsia="MS Mincho" w:hAnsi="Times New Roman" w:cs="Times New Roman"/>
      <w:sz w:val="24"/>
      <w:szCs w:val="20"/>
      <w:lang w:val="en-US"/>
    </w:rPr>
  </w:style>
  <w:style w:type="paragraph" w:styleId="Header">
    <w:name w:val="header"/>
    <w:basedOn w:val="Normal"/>
    <w:link w:val="HeaderChar"/>
    <w:uiPriority w:val="99"/>
    <w:unhideWhenUsed/>
    <w:rsid w:val="00D85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D9B"/>
  </w:style>
  <w:style w:type="paragraph" w:styleId="Footer">
    <w:name w:val="footer"/>
    <w:basedOn w:val="Normal"/>
    <w:link w:val="FooterChar"/>
    <w:uiPriority w:val="99"/>
    <w:unhideWhenUsed/>
    <w:rsid w:val="00D85D9B"/>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D85D9B"/>
    <w:rPr>
      <w:rFonts w:ascii="Cambria" w:hAnsi="Cambria"/>
    </w:rPr>
  </w:style>
  <w:style w:type="paragraph" w:customStyle="1" w:styleId="TableTitle">
    <w:name w:val="Table Title"/>
    <w:next w:val="TableHead"/>
    <w:rsid w:val="002178CE"/>
    <w:pPr>
      <w:keepNext/>
      <w:keepLines/>
      <w:tabs>
        <w:tab w:val="left" w:pos="1440"/>
      </w:tabs>
      <w:spacing w:before="60" w:after="120" w:line="240" w:lineRule="auto"/>
      <w:ind w:left="1440" w:hanging="1440"/>
    </w:pPr>
    <w:rPr>
      <w:rFonts w:ascii="Arial" w:eastAsia="Times New Roman" w:hAnsi="Arial" w:cs="Times New Roman"/>
      <w:b/>
      <w:color w:val="000000"/>
      <w:sz w:val="24"/>
      <w:szCs w:val="24"/>
      <w:lang w:val="en-US"/>
    </w:rPr>
  </w:style>
  <w:style w:type="paragraph" w:customStyle="1" w:styleId="TableHead">
    <w:name w:val="Table Head"/>
    <w:basedOn w:val="Normal"/>
    <w:qFormat/>
    <w:rsid w:val="002178CE"/>
    <w:pPr>
      <w:spacing w:before="60" w:after="60"/>
      <w:jc w:val="center"/>
    </w:pPr>
    <w:rPr>
      <w:b/>
      <w:szCs w:val="48"/>
      <w:lang w:val="en-US"/>
    </w:rPr>
  </w:style>
  <w:style w:type="paragraph" w:styleId="EndnoteText">
    <w:name w:val="endnote text"/>
    <w:basedOn w:val="Normal"/>
    <w:link w:val="EndnoteTextChar"/>
    <w:semiHidden/>
    <w:rsid w:val="002178CE"/>
    <w:pPr>
      <w:spacing w:before="60"/>
    </w:pPr>
    <w:rPr>
      <w:sz w:val="20"/>
      <w:lang w:val="en-US"/>
    </w:rPr>
  </w:style>
  <w:style w:type="character" w:customStyle="1" w:styleId="EndnoteTextChar">
    <w:name w:val="Endnote Text Char"/>
    <w:basedOn w:val="DefaultParagraphFont"/>
    <w:link w:val="EndnoteText"/>
    <w:semiHidden/>
    <w:rsid w:val="002178CE"/>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2178CE"/>
    <w:rPr>
      <w:vertAlign w:val="superscript"/>
    </w:rPr>
  </w:style>
  <w:style w:type="paragraph" w:customStyle="1" w:styleId="TableFootnote">
    <w:name w:val="Table Footnote"/>
    <w:basedOn w:val="Normal"/>
    <w:qFormat/>
    <w:rsid w:val="00D85D9B"/>
    <w:pPr>
      <w:spacing w:after="0" w:line="240" w:lineRule="auto"/>
    </w:pPr>
    <w:rPr>
      <w:rFonts w:ascii="Arial" w:hAnsi="Arial"/>
      <w:sz w:val="18"/>
      <w:szCs w:val="20"/>
    </w:rPr>
  </w:style>
  <w:style w:type="paragraph" w:styleId="Revision">
    <w:name w:val="Revision"/>
    <w:hidden/>
    <w:uiPriority w:val="99"/>
    <w:semiHidden/>
    <w:rsid w:val="00920EBA"/>
    <w:pPr>
      <w:spacing w:after="0" w:line="240" w:lineRule="auto"/>
    </w:pPr>
    <w:rPr>
      <w:rFonts w:ascii="Times New Roman" w:eastAsia="Times New Roman" w:hAnsi="Times New Roman" w:cs="Times New Roman"/>
      <w:color w:val="000000"/>
      <w:sz w:val="24"/>
      <w:szCs w:val="20"/>
      <w:lang w:val="en-GB" w:eastAsia="de-DE"/>
    </w:rPr>
  </w:style>
  <w:style w:type="table" w:customStyle="1" w:styleId="TableGrid1">
    <w:name w:val="Table Grid1"/>
    <w:basedOn w:val="TableNormal"/>
    <w:next w:val="TableGrid"/>
    <w:rsid w:val="00D178F2"/>
    <w:pPr>
      <w:spacing w:before="6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85D9B"/>
    <w:pPr>
      <w:spacing w:after="120" w:line="480" w:lineRule="auto"/>
    </w:pPr>
  </w:style>
  <w:style w:type="character" w:customStyle="1" w:styleId="BodyText2Char">
    <w:name w:val="Body Text 2 Char"/>
    <w:basedOn w:val="DefaultParagraphFont"/>
    <w:link w:val="BodyText2"/>
    <w:uiPriority w:val="99"/>
    <w:rsid w:val="00D85D9B"/>
  </w:style>
  <w:style w:type="paragraph" w:styleId="BodyText3">
    <w:name w:val="Body Text 3"/>
    <w:basedOn w:val="Normal"/>
    <w:link w:val="BodyText3Char"/>
    <w:uiPriority w:val="99"/>
    <w:semiHidden/>
    <w:unhideWhenUsed/>
    <w:rsid w:val="00D85D9B"/>
    <w:pPr>
      <w:spacing w:after="120"/>
    </w:pPr>
    <w:rPr>
      <w:sz w:val="16"/>
      <w:szCs w:val="16"/>
    </w:rPr>
  </w:style>
  <w:style w:type="character" w:customStyle="1" w:styleId="BodyText3Char">
    <w:name w:val="Body Text 3 Char"/>
    <w:basedOn w:val="DefaultParagraphFont"/>
    <w:link w:val="BodyText3"/>
    <w:uiPriority w:val="99"/>
    <w:semiHidden/>
    <w:rsid w:val="00D85D9B"/>
    <w:rPr>
      <w:sz w:val="16"/>
      <w:szCs w:val="16"/>
    </w:rPr>
  </w:style>
  <w:style w:type="character" w:styleId="FootnoteReference">
    <w:name w:val="footnote reference"/>
    <w:basedOn w:val="DefaultParagraphFont"/>
    <w:uiPriority w:val="99"/>
    <w:unhideWhenUsed/>
    <w:rsid w:val="00D85D9B"/>
    <w:rPr>
      <w:vertAlign w:val="superscript"/>
    </w:rPr>
  </w:style>
  <w:style w:type="paragraph" w:styleId="FootnoteText">
    <w:name w:val="footnote text"/>
    <w:basedOn w:val="Normal"/>
    <w:link w:val="FootnoteTextChar"/>
    <w:uiPriority w:val="99"/>
    <w:rsid w:val="00D85D9B"/>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D85D9B"/>
    <w:rPr>
      <w:rFonts w:ascii="Calibri" w:eastAsia="Calibri" w:hAnsi="Calibri" w:cs="Times New Roman"/>
      <w:sz w:val="20"/>
    </w:rPr>
  </w:style>
  <w:style w:type="character" w:styleId="Hyperlink">
    <w:name w:val="Hyperlink"/>
    <w:basedOn w:val="DefaultParagraphFont"/>
    <w:uiPriority w:val="99"/>
    <w:unhideWhenUsed/>
    <w:rsid w:val="00D85D9B"/>
    <w:rPr>
      <w:color w:val="0000FF" w:themeColor="hyperlink"/>
      <w:u w:val="single"/>
    </w:rPr>
  </w:style>
  <w:style w:type="table" w:styleId="LightGrid">
    <w:name w:val="Light Grid"/>
    <w:basedOn w:val="TableNormal"/>
    <w:uiPriority w:val="62"/>
    <w:rsid w:val="00D85D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3">
    <w:name w:val="List 3"/>
    <w:basedOn w:val="Normal"/>
    <w:uiPriority w:val="99"/>
    <w:unhideWhenUsed/>
    <w:rsid w:val="00D85D9B"/>
    <w:pPr>
      <w:ind w:left="849" w:hanging="283"/>
      <w:contextualSpacing/>
    </w:pPr>
  </w:style>
  <w:style w:type="paragraph" w:styleId="ListBullet">
    <w:name w:val="List Bullet"/>
    <w:basedOn w:val="Normal"/>
    <w:uiPriority w:val="99"/>
    <w:unhideWhenUsed/>
    <w:rsid w:val="00D85D9B"/>
    <w:pPr>
      <w:numPr>
        <w:numId w:val="22"/>
      </w:numPr>
      <w:spacing w:after="0"/>
      <w:contextualSpacing/>
    </w:pPr>
    <w:rPr>
      <w:rFonts w:ascii="Times New Roman" w:hAnsi="Times New Roman"/>
      <w:sz w:val="24"/>
    </w:rPr>
  </w:style>
  <w:style w:type="paragraph" w:styleId="ListParagraph">
    <w:name w:val="List Paragraph"/>
    <w:basedOn w:val="Normal"/>
    <w:uiPriority w:val="34"/>
    <w:qFormat/>
    <w:rsid w:val="00D85D9B"/>
    <w:pPr>
      <w:ind w:left="720"/>
      <w:contextualSpacing/>
    </w:pPr>
    <w:rPr>
      <w:rFonts w:ascii="Cambria" w:hAnsi="Cambria"/>
    </w:rPr>
  </w:style>
  <w:style w:type="paragraph" w:styleId="PlainText">
    <w:name w:val="Plain Text"/>
    <w:basedOn w:val="Normal"/>
    <w:link w:val="PlainTextChar"/>
    <w:rsid w:val="00D85D9B"/>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D85D9B"/>
    <w:rPr>
      <w:rFonts w:ascii="Courier New" w:eastAsia="Times New Roman" w:hAnsi="Courier New" w:cs="Courier New"/>
      <w:sz w:val="20"/>
      <w:szCs w:val="20"/>
      <w:lang w:val="en-US"/>
    </w:rPr>
  </w:style>
  <w:style w:type="paragraph" w:customStyle="1" w:styleId="TableCellCenter">
    <w:name w:val="Table Cell Center"/>
    <w:basedOn w:val="Paragraph"/>
    <w:rsid w:val="00D85D9B"/>
    <w:pPr>
      <w:keepLines/>
      <w:spacing w:before="50" w:after="50" w:line="240" w:lineRule="exact"/>
      <w:jc w:val="center"/>
    </w:pPr>
    <w:rPr>
      <w:rFonts w:eastAsia="Times New Roman"/>
      <w:sz w:val="20"/>
      <w:lang w:val="en-GB"/>
    </w:rPr>
  </w:style>
  <w:style w:type="paragraph" w:customStyle="1" w:styleId="TableCellLeft">
    <w:name w:val="Table Cell Left"/>
    <w:basedOn w:val="Paragraph"/>
    <w:rsid w:val="00D85D9B"/>
    <w:pPr>
      <w:keepLines/>
      <w:spacing w:before="50" w:after="50" w:line="240" w:lineRule="exact"/>
    </w:pPr>
    <w:rPr>
      <w:rFonts w:eastAsia="Times New Roman"/>
      <w:sz w:val="20"/>
      <w:lang w:val="en-GB"/>
    </w:rPr>
  </w:style>
  <w:style w:type="paragraph" w:customStyle="1" w:styleId="TableText">
    <w:name w:val="Table Text"/>
    <w:basedOn w:val="Normal"/>
    <w:qFormat/>
    <w:rsid w:val="00D85D9B"/>
    <w:pPr>
      <w:spacing w:after="0" w:line="240" w:lineRule="auto"/>
    </w:pPr>
    <w:rPr>
      <w:rFonts w:ascii="Arial" w:hAnsi="Arial"/>
      <w:sz w:val="20"/>
      <w:szCs w:val="20"/>
    </w:rPr>
  </w:style>
  <w:style w:type="paragraph" w:customStyle="1" w:styleId="TableCentre">
    <w:name w:val="Table Centre"/>
    <w:basedOn w:val="TableText"/>
    <w:qFormat/>
    <w:rsid w:val="00D85D9B"/>
    <w:pPr>
      <w:jc w:val="center"/>
    </w:pPr>
  </w:style>
  <w:style w:type="paragraph" w:customStyle="1" w:styleId="TableHeading">
    <w:name w:val="Table Heading"/>
    <w:basedOn w:val="BodyText"/>
    <w:next w:val="TableText"/>
    <w:qFormat/>
    <w:rsid w:val="00C54A3F"/>
    <w:pPr>
      <w:keepNext/>
      <w:spacing w:line="240" w:lineRule="auto"/>
    </w:pPr>
    <w:rPr>
      <w:rFonts w:ascii="Arial" w:eastAsia="Times New Roman" w:hAnsi="Arial" w:cs="Times New Roman"/>
      <w:b/>
      <w:bCs/>
      <w:sz w:val="20"/>
      <w:szCs w:val="20"/>
      <w:lang w:val="en-US"/>
    </w:rPr>
  </w:style>
  <w:style w:type="paragraph" w:styleId="TOAHeading">
    <w:name w:val="toa heading"/>
    <w:basedOn w:val="Normal"/>
    <w:next w:val="Normal"/>
    <w:uiPriority w:val="99"/>
    <w:unhideWhenUsed/>
    <w:rsid w:val="00D85D9B"/>
    <w:pPr>
      <w:spacing w:before="120"/>
    </w:pPr>
    <w:rPr>
      <w:rFonts w:asciiTheme="majorHAnsi" w:eastAsiaTheme="majorEastAsia" w:hAnsiTheme="majorHAnsi" w:cstheme="majorBidi"/>
      <w:b/>
      <w:bCs/>
      <w:sz w:val="24"/>
      <w:szCs w:val="24"/>
    </w:rPr>
  </w:style>
  <w:style w:type="paragraph" w:customStyle="1" w:styleId="ListEnd">
    <w:name w:val="List End"/>
    <w:next w:val="Paragraph"/>
    <w:semiHidden/>
    <w:rsid w:val="00C870DE"/>
    <w:pPr>
      <w:spacing w:before="60" w:after="0" w:line="240" w:lineRule="auto"/>
    </w:pPr>
    <w:rPr>
      <w:rFonts w:ascii="Times New Roman" w:eastAsia="MS Mincho" w:hAnsi="Times New Roman" w:cs="Times New Roman"/>
      <w:sz w:val="24"/>
      <w:szCs w:val="20"/>
      <w:lang w:val="en-US"/>
    </w:rPr>
  </w:style>
  <w:style w:type="paragraph" w:customStyle="1" w:styleId="Figure">
    <w:name w:val="Figure"/>
    <w:next w:val="Paragraph"/>
    <w:rsid w:val="00C870DE"/>
    <w:pPr>
      <w:keepNext/>
      <w:keepLines/>
      <w:spacing w:before="60" w:after="120" w:line="240" w:lineRule="auto"/>
      <w:jc w:val="center"/>
    </w:pPr>
    <w:rPr>
      <w:rFonts w:ascii="Times New Roman" w:eastAsia="MS Mincho" w:hAnsi="Times New Roman" w:cs="Times New Roman"/>
      <w:sz w:val="24"/>
      <w:szCs w:val="20"/>
      <w:lang w:val="en-US"/>
    </w:rPr>
  </w:style>
  <w:style w:type="paragraph" w:customStyle="1" w:styleId="FigureTitle">
    <w:name w:val="Figure Title"/>
    <w:basedOn w:val="TableTitle"/>
    <w:next w:val="Figure"/>
    <w:rsid w:val="00C870DE"/>
    <w:pPr>
      <w:keepNext w:val="0"/>
      <w:spacing w:after="240"/>
    </w:pPr>
    <w:rPr>
      <w:rFonts w:eastAsia="MS Mincho"/>
    </w:rPr>
  </w:style>
  <w:style w:type="paragraph" w:customStyle="1" w:styleId="TableFootnote-list">
    <w:name w:val="Table Footnote - list"/>
    <w:basedOn w:val="TableFootnote"/>
    <w:next w:val="TableFootnote"/>
    <w:qFormat/>
    <w:rsid w:val="009868CF"/>
    <w:pPr>
      <w:numPr>
        <w:numId w:val="25"/>
      </w:numPr>
    </w:pPr>
    <w:rPr>
      <w:rFonts w:eastAsia="Malgun Gothic"/>
      <w:lang w:val="en-US" w:eastAsia="ja-JP"/>
    </w:rPr>
  </w:style>
  <w:style w:type="paragraph" w:customStyle="1" w:styleId="Equation">
    <w:name w:val="Equation"/>
    <w:next w:val="Normal"/>
    <w:qFormat/>
    <w:rsid w:val="0000164A"/>
    <w:pPr>
      <w:keepLines/>
      <w:spacing w:after="120" w:line="240" w:lineRule="auto"/>
      <w:jc w:val="center"/>
    </w:pPr>
    <w:rPr>
      <w:rFonts w:ascii="Times New Roman" w:eastAsia="Times New Roman" w:hAnsi="Times New Roman" w:cs="Times New Roman"/>
      <w:color w:val="000000" w:themeColor="text1"/>
      <w:sz w:val="24"/>
      <w:szCs w:val="24"/>
      <w:lang w:val="en-US"/>
    </w:rPr>
  </w:style>
  <w:style w:type="table" w:customStyle="1" w:styleId="TableGrid2">
    <w:name w:val="Table Grid2"/>
    <w:basedOn w:val="TableNormal"/>
    <w:next w:val="TableGrid"/>
    <w:uiPriority w:val="59"/>
    <w:rsid w:val="0094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nter">
    <w:name w:val="Table Center"/>
    <w:basedOn w:val="Normal"/>
    <w:rsid w:val="00CE179F"/>
    <w:pPr>
      <w:spacing w:before="60" w:after="60" w:line="240" w:lineRule="auto"/>
      <w:jc w:val="center"/>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rsid w:val="002D69A1"/>
    <w:pPr>
      <w:spacing w:before="6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0E09"/>
    <w:pPr>
      <w:spacing w:before="6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8395">
      <w:bodyDiv w:val="1"/>
      <w:marLeft w:val="0"/>
      <w:marRight w:val="0"/>
      <w:marTop w:val="0"/>
      <w:marBottom w:val="0"/>
      <w:divBdr>
        <w:top w:val="none" w:sz="0" w:space="0" w:color="auto"/>
        <w:left w:val="none" w:sz="0" w:space="0" w:color="auto"/>
        <w:bottom w:val="none" w:sz="0" w:space="0" w:color="auto"/>
        <w:right w:val="none" w:sz="0" w:space="0" w:color="auto"/>
      </w:divBdr>
    </w:div>
    <w:div w:id="1907645748">
      <w:bodyDiv w:val="1"/>
      <w:marLeft w:val="0"/>
      <w:marRight w:val="0"/>
      <w:marTop w:val="0"/>
      <w:marBottom w:val="0"/>
      <w:divBdr>
        <w:top w:val="none" w:sz="0" w:space="0" w:color="auto"/>
        <w:left w:val="none" w:sz="0" w:space="0" w:color="auto"/>
        <w:bottom w:val="none" w:sz="0" w:space="0" w:color="auto"/>
        <w:right w:val="none" w:sz="0" w:space="0" w:color="auto"/>
      </w:divBdr>
    </w:div>
    <w:div w:id="212542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tga.gov.au/reporting-proble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_x0020_Classification xmlns="f918f46a-bac8-4c13-a92d-4b44a26dbc89">Confidential</Sensitivity_x0020_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1880CA0412D24AB1553773ECBDFA43" ma:contentTypeVersion="1" ma:contentTypeDescription="Create a new document." ma:contentTypeScope="" ma:versionID="9adc07a8f8332bc28140bab40a2c13d8">
  <xsd:schema xmlns:xsd="http://www.w3.org/2001/XMLSchema" xmlns:xs="http://www.w3.org/2001/XMLSchema" xmlns:p="http://schemas.microsoft.com/office/2006/metadata/properties" xmlns:ns2="f918f46a-bac8-4c13-a92d-4b44a26dbc89" targetNamespace="http://schemas.microsoft.com/office/2006/metadata/properties" ma:root="true" ma:fieldsID="35ed315368f97f2a433b3b2c19f3aa2f" ns2:_="">
    <xsd:import namespace="f918f46a-bac8-4c13-a92d-4b44a26dbc89"/>
    <xsd:element name="properties">
      <xsd:complexType>
        <xsd:sequence>
          <xsd:element name="documentManagement">
            <xsd:complexType>
              <xsd:all>
                <xsd:element ref="ns2:Sensitivity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8f46a-bac8-4c13-a92d-4b44a26dbc89" elementFormDefault="qualified">
    <xsd:import namespace="http://schemas.microsoft.com/office/2006/documentManagement/types"/>
    <xsd:import namespace="http://schemas.microsoft.com/office/infopath/2007/PartnerControls"/>
    <xsd:element name="Sensitivity_x0020_Classification" ma:index="8" ma:displayName="Sensitivity Classification" ma:description="**[INFO_URL]**" ma:internalName="Sensitivity_x0020_Classification">
      <xsd:simpleType>
        <xsd:restriction base="dms:Choice">
          <xsd:enumeration value="Sensitive (highest)"/>
          <xsd:enumeration value="Confidential"/>
          <xsd:enumeration value="Proprietary"/>
          <xsd:enumeration value="Publ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31054-45D2-4E6E-BA58-C1DE44FB172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f918f46a-bac8-4c13-a92d-4b44a26dbc89"/>
    <ds:schemaRef ds:uri="http://www.w3.org/XML/1998/namespace"/>
  </ds:schemaRefs>
</ds:datastoreItem>
</file>

<file path=customXml/itemProps2.xml><?xml version="1.0" encoding="utf-8"?>
<ds:datastoreItem xmlns:ds="http://schemas.openxmlformats.org/officeDocument/2006/customXml" ds:itemID="{B2DCF7A4-5124-4B07-9430-17E2054B687B}">
  <ds:schemaRefs>
    <ds:schemaRef ds:uri="http://schemas.microsoft.com/sharepoint/v3/contenttype/forms"/>
  </ds:schemaRefs>
</ds:datastoreItem>
</file>

<file path=customXml/itemProps3.xml><?xml version="1.0" encoding="utf-8"?>
<ds:datastoreItem xmlns:ds="http://schemas.openxmlformats.org/officeDocument/2006/customXml" ds:itemID="{A97109FE-B708-48D3-A2AD-3A562C4B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8f46a-bac8-4c13-a92d-4b44a26db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2AA95-86BF-4991-8B93-08B6AA22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50</Pages>
  <Words>18336</Words>
  <Characters>105433</Characters>
  <Application>Microsoft Office Word</Application>
  <DocSecurity>0</DocSecurity>
  <Lines>3012</Lines>
  <Paragraphs>2210</Paragraphs>
  <ScaleCrop>false</ScaleCrop>
  <HeadingPairs>
    <vt:vector size="2" baseType="variant">
      <vt:variant>
        <vt:lpstr>Title</vt:lpstr>
      </vt:variant>
      <vt:variant>
        <vt:i4>1</vt:i4>
      </vt:variant>
    </vt:vector>
  </HeadingPairs>
  <TitlesOfParts>
    <vt:vector size="1" baseType="lpstr">
      <vt:lpstr>AusPAR Attachment 1: Product Information for Lenvatinib (as mesilate)</vt:lpstr>
    </vt:vector>
  </TitlesOfParts>
  <Company>Commercial Eyes</Company>
  <LinksUpToDate>false</LinksUpToDate>
  <CharactersWithSpaces>121559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Lenvatinib (as mesilate)</dc:title>
  <dc:subject>Prescription medicine regulation</dc:subject>
  <dc:creator>Eisai Australia Pty. Ltd.</dc:creator>
  <cp:keywords>AusPARs</cp:keywords>
  <cp:lastPrinted>2018-09-19T06:39:00Z</cp:lastPrinted>
  <dcterms:created xsi:type="dcterms:W3CDTF">2019-09-17T00:46:00Z</dcterms:created>
  <dcterms:modified xsi:type="dcterms:W3CDTF">2020-05-12T00:49:00Z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0x010100A21880CA0412D24AB1553773ECBDFA43</vt:lpwstr>
  </property>
  <property fmtid="{D5CDD505-2E9C-101B-9397-08002B2CF9AE}" pid="4" name="_AdHocReviewCycleID">
    <vt:i4>1078177050</vt:i4>
  </property>
  <property fmtid="{D5CDD505-2E9C-101B-9397-08002B2CF9AE}" pid="5" name="_EmailSubject">
    <vt:lpwstr>re Draft AusPAR for LENVIMA - lenvatinib (as mesilate) - Eisai Australia Pty Limited - PM-2019-02448-1-4 [SEC=OFFICIAL]</vt:lpwstr>
  </property>
  <property fmtid="{D5CDD505-2E9C-101B-9397-08002B2CF9AE}" pid="6" name="_AuthorEmail">
    <vt:lpwstr>Simon_Cornish@eisai.net</vt:lpwstr>
  </property>
  <property fmtid="{D5CDD505-2E9C-101B-9397-08002B2CF9AE}" pid="7" name="_AuthorEmailDisplayName">
    <vt:lpwstr>Simon Cornish</vt:lpwstr>
  </property>
  <property fmtid="{D5CDD505-2E9C-101B-9397-08002B2CF9AE}" pid="8" name="_ReviewingToolsShownOnce">
    <vt:lpwstr/>
  </property>
</Properties>
</file>