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5D7BBDD" w14:textId="77777777" w:rsidTr="00BF1190">
        <w:trPr>
          <w:trHeight w:val="1863"/>
        </w:trPr>
        <w:tc>
          <w:tcPr>
            <w:tcW w:w="3652" w:type="dxa"/>
            <w:tcBorders>
              <w:top w:val="nil"/>
              <w:left w:val="nil"/>
              <w:bottom w:val="nil"/>
              <w:right w:val="nil"/>
            </w:tcBorders>
          </w:tcPr>
          <w:p w14:paraId="731A5FBD" w14:textId="17BC797F" w:rsidR="008E7846" w:rsidRPr="00096AA7" w:rsidRDefault="00516496" w:rsidP="00186D46">
            <w:pPr>
              <w:rPr>
                <w:rFonts w:ascii="Arial" w:hAnsi="Arial" w:cs="Arial"/>
                <w:b/>
                <w:color w:val="002C47"/>
                <w:sz w:val="36"/>
                <w:szCs w:val="36"/>
              </w:rPr>
            </w:pPr>
            <w:r>
              <w:rPr>
                <w:rFonts w:ascii="Arial" w:hAnsi="Arial" w:cs="Arial"/>
                <w:b/>
                <w:color w:val="002C47"/>
                <w:sz w:val="36"/>
                <w:szCs w:val="36"/>
              </w:rPr>
              <w:t xml:space="preserve">May </w:t>
            </w:r>
            <w:r w:rsidR="00186D46">
              <w:rPr>
                <w:rFonts w:ascii="Arial" w:hAnsi="Arial" w:cs="Arial"/>
                <w:b/>
                <w:color w:val="002C47"/>
                <w:sz w:val="36"/>
                <w:szCs w:val="36"/>
              </w:rPr>
              <w:t>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CA11854" w14:textId="77777777" w:rsidTr="0032583B">
        <w:trPr>
          <w:trHeight w:val="868"/>
        </w:trPr>
        <w:tc>
          <w:tcPr>
            <w:tcW w:w="9079" w:type="dxa"/>
          </w:tcPr>
          <w:p w14:paraId="504EDDD5" w14:textId="77777777" w:rsidR="0032583B" w:rsidRPr="00A964D1" w:rsidRDefault="0032583B" w:rsidP="00186D46">
            <w:pPr>
              <w:pStyle w:val="Title"/>
              <w:rPr>
                <w:color w:val="FFFFFF" w:themeColor="background1"/>
              </w:rPr>
            </w:pPr>
            <w:r w:rsidRPr="00A964D1">
              <w:rPr>
                <w:color w:val="FFFFFF" w:themeColor="background1"/>
              </w:rPr>
              <w:t xml:space="preserve">Australian Public Assessment Report for </w:t>
            </w:r>
            <w:r w:rsidR="00186D46" w:rsidRPr="00186D46">
              <w:rPr>
                <w:rFonts w:cstheme="majorHAnsi"/>
                <w:color w:val="FFFFFF" w:themeColor="background1"/>
              </w:rPr>
              <w:t>Lenalidomide</w:t>
            </w:r>
          </w:p>
        </w:tc>
      </w:tr>
      <w:tr w:rsidR="0032583B" w:rsidRPr="00B64760" w14:paraId="72B1E627" w14:textId="77777777" w:rsidTr="0032583B">
        <w:tc>
          <w:tcPr>
            <w:tcW w:w="9079" w:type="dxa"/>
          </w:tcPr>
          <w:p w14:paraId="4B2F5A8E" w14:textId="77777777" w:rsidR="0032583B" w:rsidRPr="008E7846" w:rsidRDefault="0032583B" w:rsidP="00926E55">
            <w:pPr>
              <w:pStyle w:val="Subtitle"/>
              <w:rPr>
                <w:color w:val="FFFFFF" w:themeColor="background1"/>
              </w:rPr>
            </w:pPr>
            <w:r w:rsidRPr="008E7846">
              <w:rPr>
                <w:color w:val="FFFFFF" w:themeColor="background1"/>
              </w:rPr>
              <w:t xml:space="preserve">Proprietary Product Name: </w:t>
            </w:r>
            <w:r w:rsidR="00926E55">
              <w:rPr>
                <w:color w:val="FFFFFF" w:themeColor="background1"/>
              </w:rPr>
              <w:t>Revlimid</w:t>
            </w:r>
          </w:p>
        </w:tc>
      </w:tr>
      <w:tr w:rsidR="0032583B" w:rsidRPr="00B64760" w14:paraId="3CA16F1F" w14:textId="77777777" w:rsidTr="0032583B">
        <w:trPr>
          <w:trHeight w:val="486"/>
        </w:trPr>
        <w:tc>
          <w:tcPr>
            <w:tcW w:w="9079" w:type="dxa"/>
          </w:tcPr>
          <w:p w14:paraId="2DD76DF1" w14:textId="77777777" w:rsidR="0032583B" w:rsidRPr="008E7846" w:rsidRDefault="0032583B" w:rsidP="00186D46">
            <w:pPr>
              <w:pStyle w:val="Subtitle"/>
              <w:rPr>
                <w:color w:val="FFFFFF" w:themeColor="background1"/>
              </w:rPr>
            </w:pPr>
            <w:r w:rsidRPr="008E7846">
              <w:rPr>
                <w:color w:val="FFFFFF" w:themeColor="background1"/>
              </w:rPr>
              <w:t xml:space="preserve">Sponsor: </w:t>
            </w:r>
            <w:r w:rsidR="00186D46" w:rsidRPr="00186D46">
              <w:rPr>
                <w:rFonts w:asciiTheme="majorHAnsi" w:hAnsiTheme="majorHAnsi" w:cstheme="majorHAnsi"/>
                <w:color w:val="FFFFFF" w:themeColor="background1"/>
                <w:szCs w:val="40"/>
              </w:rPr>
              <w:t>Celgene Pty Ltd</w:t>
            </w:r>
          </w:p>
        </w:tc>
      </w:tr>
    </w:tbl>
    <w:p w14:paraId="1830D76C" w14:textId="77777777" w:rsidR="008E7846" w:rsidRPr="0085156D" w:rsidRDefault="008E7846" w:rsidP="0085156D">
      <w:r w:rsidRPr="0085156D">
        <w:br w:type="page"/>
      </w:r>
    </w:p>
    <w:p w14:paraId="24C517F0" w14:textId="77777777" w:rsidR="008E7846" w:rsidRPr="001F6CBA" w:rsidRDefault="008E7846" w:rsidP="008E7846">
      <w:pPr>
        <w:pStyle w:val="NonTOCHeading2"/>
      </w:pPr>
      <w:r w:rsidRPr="001F6CBA">
        <w:lastRenderedPageBreak/>
        <w:t>About the Therapeutic Goods Administration (TGA)</w:t>
      </w:r>
    </w:p>
    <w:p w14:paraId="38341387"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0DDE48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B940720"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8E21D6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58FF7C1"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6F206514" w14:textId="77777777" w:rsidR="008E7846" w:rsidRDefault="008E7846" w:rsidP="00875A6B">
      <w:pPr>
        <w:pStyle w:val="NonTOCHeading2"/>
      </w:pPr>
      <w:r>
        <w:t xml:space="preserve">About </w:t>
      </w:r>
      <w:proofErr w:type="spellStart"/>
      <w:r>
        <w:t>AusPARs</w:t>
      </w:r>
      <w:proofErr w:type="spellEnd"/>
    </w:p>
    <w:p w14:paraId="48D2926C"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1481146"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54CB94AD"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113A06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8FDEE1C"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0A4555B" w14:textId="77777777" w:rsidR="00924482" w:rsidRPr="00DF1D7F" w:rsidRDefault="00924482" w:rsidP="00F54B65">
      <w:pPr>
        <w:pStyle w:val="LegalSubheading"/>
        <w:spacing w:before="3120"/>
      </w:pPr>
      <w:r w:rsidRPr="00DF1D7F">
        <w:t>Copyright</w:t>
      </w:r>
    </w:p>
    <w:p w14:paraId="0B6B4BD8" w14:textId="2B0420EE" w:rsidR="00924482" w:rsidRDefault="00924482" w:rsidP="00924482">
      <w:pPr>
        <w:pStyle w:val="LegalCopy"/>
      </w:pPr>
      <w:r w:rsidRPr="00191B3B">
        <w:rPr>
          <w:rFonts w:cs="Arial"/>
          <w:lang w:val="en-GB"/>
        </w:rPr>
        <w:t>© Comm</w:t>
      </w:r>
      <w:r>
        <w:rPr>
          <w:rFonts w:cs="Arial"/>
          <w:lang w:val="en-GB"/>
        </w:rPr>
        <w:t>onwealth of Australia 201</w:t>
      </w:r>
      <w:r w:rsidR="00521209">
        <w:rPr>
          <w:rFonts w:cs="Arial"/>
          <w:lang w:val="en-GB"/>
        </w:rPr>
        <w:t>9</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2E495165"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DC464CF" w14:textId="77777777" w:rsidR="0089635C" w:rsidRPr="0089635C" w:rsidRDefault="0089635C" w:rsidP="0010788A">
          <w:pPr>
            <w:pStyle w:val="Contents"/>
          </w:pPr>
          <w:r w:rsidRPr="0010788A">
            <w:t>Conte</w:t>
          </w:r>
          <w:bookmarkStart w:id="2" w:name="_GoBack"/>
          <w:bookmarkEnd w:id="2"/>
          <w:r w:rsidRPr="0010788A">
            <w:t>nts</w:t>
          </w:r>
        </w:p>
        <w:p w14:paraId="48A6E3CD" w14:textId="77777777" w:rsidR="00E41A8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12960513" w:history="1">
            <w:r w:rsidR="00E41A89" w:rsidRPr="003D269D">
              <w:rPr>
                <w:rStyle w:val="Hyperlink"/>
                <w:noProof/>
              </w:rPr>
              <w:t>Common abbreviations</w:t>
            </w:r>
            <w:r w:rsidR="00E41A89">
              <w:rPr>
                <w:noProof/>
                <w:webHidden/>
              </w:rPr>
              <w:tab/>
            </w:r>
            <w:r w:rsidR="00E41A89">
              <w:rPr>
                <w:noProof/>
                <w:webHidden/>
              </w:rPr>
              <w:fldChar w:fldCharType="begin"/>
            </w:r>
            <w:r w:rsidR="00E41A89">
              <w:rPr>
                <w:noProof/>
                <w:webHidden/>
              </w:rPr>
              <w:instrText xml:space="preserve"> PAGEREF _Toc12960513 \h </w:instrText>
            </w:r>
            <w:r w:rsidR="00E41A89">
              <w:rPr>
                <w:noProof/>
                <w:webHidden/>
              </w:rPr>
            </w:r>
            <w:r w:rsidR="00E41A89">
              <w:rPr>
                <w:noProof/>
                <w:webHidden/>
              </w:rPr>
              <w:fldChar w:fldCharType="separate"/>
            </w:r>
            <w:r w:rsidR="00E41A89">
              <w:rPr>
                <w:noProof/>
                <w:webHidden/>
              </w:rPr>
              <w:t>4</w:t>
            </w:r>
            <w:r w:rsidR="00E41A89">
              <w:rPr>
                <w:noProof/>
                <w:webHidden/>
              </w:rPr>
              <w:fldChar w:fldCharType="end"/>
            </w:r>
          </w:hyperlink>
        </w:p>
        <w:p w14:paraId="457E021E" w14:textId="77777777" w:rsidR="00E41A89" w:rsidRDefault="00E41A89">
          <w:pPr>
            <w:pStyle w:val="TOC2"/>
            <w:rPr>
              <w:rFonts w:asciiTheme="minorHAnsi" w:eastAsiaTheme="minorEastAsia" w:hAnsiTheme="minorHAnsi" w:cstheme="minorBidi"/>
              <w:b w:val="0"/>
              <w:noProof/>
              <w:sz w:val="22"/>
              <w:lang w:eastAsia="en-AU"/>
            </w:rPr>
          </w:pPr>
          <w:hyperlink w:anchor="_Toc12960514" w:history="1">
            <w:r w:rsidRPr="003D269D">
              <w:rPr>
                <w:rStyle w:val="Hyperlink"/>
                <w:noProof/>
              </w:rPr>
              <w:t>I. Introduction to product submission</w:t>
            </w:r>
            <w:r>
              <w:rPr>
                <w:noProof/>
                <w:webHidden/>
              </w:rPr>
              <w:tab/>
            </w:r>
            <w:r>
              <w:rPr>
                <w:noProof/>
                <w:webHidden/>
              </w:rPr>
              <w:fldChar w:fldCharType="begin"/>
            </w:r>
            <w:r>
              <w:rPr>
                <w:noProof/>
                <w:webHidden/>
              </w:rPr>
              <w:instrText xml:space="preserve"> PAGEREF _Toc12960514 \h </w:instrText>
            </w:r>
            <w:r>
              <w:rPr>
                <w:noProof/>
                <w:webHidden/>
              </w:rPr>
            </w:r>
            <w:r>
              <w:rPr>
                <w:noProof/>
                <w:webHidden/>
              </w:rPr>
              <w:fldChar w:fldCharType="separate"/>
            </w:r>
            <w:r>
              <w:rPr>
                <w:noProof/>
                <w:webHidden/>
              </w:rPr>
              <w:t>7</w:t>
            </w:r>
            <w:r>
              <w:rPr>
                <w:noProof/>
                <w:webHidden/>
              </w:rPr>
              <w:fldChar w:fldCharType="end"/>
            </w:r>
          </w:hyperlink>
        </w:p>
        <w:p w14:paraId="0E242027" w14:textId="77777777" w:rsidR="00E41A89" w:rsidRDefault="00E41A89">
          <w:pPr>
            <w:pStyle w:val="TOC3"/>
            <w:rPr>
              <w:rFonts w:asciiTheme="minorHAnsi" w:eastAsiaTheme="minorEastAsia" w:hAnsiTheme="minorHAnsi" w:cstheme="minorBidi"/>
              <w:noProof/>
              <w:lang w:eastAsia="en-AU"/>
            </w:rPr>
          </w:pPr>
          <w:hyperlink w:anchor="_Toc12960515" w:history="1">
            <w:r w:rsidRPr="003D269D">
              <w:rPr>
                <w:rStyle w:val="Hyperlink"/>
                <w:noProof/>
                <w:lang w:eastAsia="en-AU"/>
              </w:rPr>
              <w:t>Submission details</w:t>
            </w:r>
            <w:r>
              <w:rPr>
                <w:noProof/>
                <w:webHidden/>
              </w:rPr>
              <w:tab/>
            </w:r>
            <w:r>
              <w:rPr>
                <w:noProof/>
                <w:webHidden/>
              </w:rPr>
              <w:fldChar w:fldCharType="begin"/>
            </w:r>
            <w:r>
              <w:rPr>
                <w:noProof/>
                <w:webHidden/>
              </w:rPr>
              <w:instrText xml:space="preserve"> PAGEREF _Toc12960515 \h </w:instrText>
            </w:r>
            <w:r>
              <w:rPr>
                <w:noProof/>
                <w:webHidden/>
              </w:rPr>
            </w:r>
            <w:r>
              <w:rPr>
                <w:noProof/>
                <w:webHidden/>
              </w:rPr>
              <w:fldChar w:fldCharType="separate"/>
            </w:r>
            <w:r>
              <w:rPr>
                <w:noProof/>
                <w:webHidden/>
              </w:rPr>
              <w:t>7</w:t>
            </w:r>
            <w:r>
              <w:rPr>
                <w:noProof/>
                <w:webHidden/>
              </w:rPr>
              <w:fldChar w:fldCharType="end"/>
            </w:r>
          </w:hyperlink>
        </w:p>
        <w:p w14:paraId="1AF2372F" w14:textId="77777777" w:rsidR="00E41A89" w:rsidRDefault="00E41A89">
          <w:pPr>
            <w:pStyle w:val="TOC3"/>
            <w:rPr>
              <w:rFonts w:asciiTheme="minorHAnsi" w:eastAsiaTheme="minorEastAsia" w:hAnsiTheme="minorHAnsi" w:cstheme="minorBidi"/>
              <w:noProof/>
              <w:lang w:eastAsia="en-AU"/>
            </w:rPr>
          </w:pPr>
          <w:hyperlink w:anchor="_Toc12960516" w:history="1">
            <w:r w:rsidRPr="003D269D">
              <w:rPr>
                <w:rStyle w:val="Hyperlink"/>
                <w:noProof/>
              </w:rPr>
              <w:t>Product background</w:t>
            </w:r>
            <w:r>
              <w:rPr>
                <w:noProof/>
                <w:webHidden/>
              </w:rPr>
              <w:tab/>
            </w:r>
            <w:r>
              <w:rPr>
                <w:noProof/>
                <w:webHidden/>
              </w:rPr>
              <w:fldChar w:fldCharType="begin"/>
            </w:r>
            <w:r>
              <w:rPr>
                <w:noProof/>
                <w:webHidden/>
              </w:rPr>
              <w:instrText xml:space="preserve"> PAGEREF _Toc12960516 \h </w:instrText>
            </w:r>
            <w:r>
              <w:rPr>
                <w:noProof/>
                <w:webHidden/>
              </w:rPr>
            </w:r>
            <w:r>
              <w:rPr>
                <w:noProof/>
                <w:webHidden/>
              </w:rPr>
              <w:fldChar w:fldCharType="separate"/>
            </w:r>
            <w:r>
              <w:rPr>
                <w:noProof/>
                <w:webHidden/>
              </w:rPr>
              <w:t>7</w:t>
            </w:r>
            <w:r>
              <w:rPr>
                <w:noProof/>
                <w:webHidden/>
              </w:rPr>
              <w:fldChar w:fldCharType="end"/>
            </w:r>
          </w:hyperlink>
        </w:p>
        <w:p w14:paraId="593BD6B2" w14:textId="77777777" w:rsidR="00E41A89" w:rsidRDefault="00E41A89">
          <w:pPr>
            <w:pStyle w:val="TOC3"/>
            <w:rPr>
              <w:rFonts w:asciiTheme="minorHAnsi" w:eastAsiaTheme="minorEastAsia" w:hAnsiTheme="minorHAnsi" w:cstheme="minorBidi"/>
              <w:noProof/>
              <w:lang w:eastAsia="en-AU"/>
            </w:rPr>
          </w:pPr>
          <w:hyperlink w:anchor="_Toc12960517" w:history="1">
            <w:r w:rsidRPr="003D269D">
              <w:rPr>
                <w:rStyle w:val="Hyperlink"/>
                <w:noProof/>
              </w:rPr>
              <w:t>Regulatory status</w:t>
            </w:r>
            <w:r>
              <w:rPr>
                <w:noProof/>
                <w:webHidden/>
              </w:rPr>
              <w:tab/>
            </w:r>
            <w:r>
              <w:rPr>
                <w:noProof/>
                <w:webHidden/>
              </w:rPr>
              <w:fldChar w:fldCharType="begin"/>
            </w:r>
            <w:r>
              <w:rPr>
                <w:noProof/>
                <w:webHidden/>
              </w:rPr>
              <w:instrText xml:space="preserve"> PAGEREF _Toc12960517 \h </w:instrText>
            </w:r>
            <w:r>
              <w:rPr>
                <w:noProof/>
                <w:webHidden/>
              </w:rPr>
            </w:r>
            <w:r>
              <w:rPr>
                <w:noProof/>
                <w:webHidden/>
              </w:rPr>
              <w:fldChar w:fldCharType="separate"/>
            </w:r>
            <w:r>
              <w:rPr>
                <w:noProof/>
                <w:webHidden/>
              </w:rPr>
              <w:t>8</w:t>
            </w:r>
            <w:r>
              <w:rPr>
                <w:noProof/>
                <w:webHidden/>
              </w:rPr>
              <w:fldChar w:fldCharType="end"/>
            </w:r>
          </w:hyperlink>
        </w:p>
        <w:p w14:paraId="67A85596" w14:textId="77777777" w:rsidR="00E41A89" w:rsidRDefault="00E41A89">
          <w:pPr>
            <w:pStyle w:val="TOC3"/>
            <w:rPr>
              <w:rFonts w:asciiTheme="minorHAnsi" w:eastAsiaTheme="minorEastAsia" w:hAnsiTheme="minorHAnsi" w:cstheme="minorBidi"/>
              <w:noProof/>
              <w:lang w:eastAsia="en-AU"/>
            </w:rPr>
          </w:pPr>
          <w:hyperlink w:anchor="_Toc12960518" w:history="1">
            <w:r w:rsidRPr="003D269D">
              <w:rPr>
                <w:rStyle w:val="Hyperlink"/>
                <w:noProof/>
              </w:rPr>
              <w:t>Product Information</w:t>
            </w:r>
            <w:r>
              <w:rPr>
                <w:noProof/>
                <w:webHidden/>
              </w:rPr>
              <w:tab/>
            </w:r>
            <w:r>
              <w:rPr>
                <w:noProof/>
                <w:webHidden/>
              </w:rPr>
              <w:fldChar w:fldCharType="begin"/>
            </w:r>
            <w:r>
              <w:rPr>
                <w:noProof/>
                <w:webHidden/>
              </w:rPr>
              <w:instrText xml:space="preserve"> PAGEREF _Toc12960518 \h </w:instrText>
            </w:r>
            <w:r>
              <w:rPr>
                <w:noProof/>
                <w:webHidden/>
              </w:rPr>
            </w:r>
            <w:r>
              <w:rPr>
                <w:noProof/>
                <w:webHidden/>
              </w:rPr>
              <w:fldChar w:fldCharType="separate"/>
            </w:r>
            <w:r>
              <w:rPr>
                <w:noProof/>
                <w:webHidden/>
              </w:rPr>
              <w:t>9</w:t>
            </w:r>
            <w:r>
              <w:rPr>
                <w:noProof/>
                <w:webHidden/>
              </w:rPr>
              <w:fldChar w:fldCharType="end"/>
            </w:r>
          </w:hyperlink>
        </w:p>
        <w:p w14:paraId="3FE83D0D" w14:textId="77777777" w:rsidR="00E41A89" w:rsidRDefault="00E41A89">
          <w:pPr>
            <w:pStyle w:val="TOC2"/>
            <w:rPr>
              <w:rFonts w:asciiTheme="minorHAnsi" w:eastAsiaTheme="minorEastAsia" w:hAnsiTheme="minorHAnsi" w:cstheme="minorBidi"/>
              <w:b w:val="0"/>
              <w:noProof/>
              <w:sz w:val="22"/>
              <w:lang w:eastAsia="en-AU"/>
            </w:rPr>
          </w:pPr>
          <w:hyperlink w:anchor="_Toc12960519" w:history="1">
            <w:r w:rsidRPr="003D269D">
              <w:rPr>
                <w:rStyle w:val="Hyperlink"/>
                <w:noProof/>
              </w:rPr>
              <w:t>II. Registration time line</w:t>
            </w:r>
            <w:r>
              <w:rPr>
                <w:noProof/>
                <w:webHidden/>
              </w:rPr>
              <w:tab/>
            </w:r>
            <w:r>
              <w:rPr>
                <w:noProof/>
                <w:webHidden/>
              </w:rPr>
              <w:fldChar w:fldCharType="begin"/>
            </w:r>
            <w:r>
              <w:rPr>
                <w:noProof/>
                <w:webHidden/>
              </w:rPr>
              <w:instrText xml:space="preserve"> PAGEREF _Toc12960519 \h </w:instrText>
            </w:r>
            <w:r>
              <w:rPr>
                <w:noProof/>
                <w:webHidden/>
              </w:rPr>
            </w:r>
            <w:r>
              <w:rPr>
                <w:noProof/>
                <w:webHidden/>
              </w:rPr>
              <w:fldChar w:fldCharType="separate"/>
            </w:r>
            <w:r>
              <w:rPr>
                <w:noProof/>
                <w:webHidden/>
              </w:rPr>
              <w:t>9</w:t>
            </w:r>
            <w:r>
              <w:rPr>
                <w:noProof/>
                <w:webHidden/>
              </w:rPr>
              <w:fldChar w:fldCharType="end"/>
            </w:r>
          </w:hyperlink>
        </w:p>
        <w:p w14:paraId="4B7AE23B" w14:textId="77777777" w:rsidR="00E41A89" w:rsidRDefault="00E41A89">
          <w:pPr>
            <w:pStyle w:val="TOC2"/>
            <w:rPr>
              <w:rFonts w:asciiTheme="minorHAnsi" w:eastAsiaTheme="minorEastAsia" w:hAnsiTheme="minorHAnsi" w:cstheme="minorBidi"/>
              <w:b w:val="0"/>
              <w:noProof/>
              <w:sz w:val="22"/>
              <w:lang w:eastAsia="en-AU"/>
            </w:rPr>
          </w:pPr>
          <w:hyperlink w:anchor="_Toc12960520" w:history="1">
            <w:r w:rsidRPr="003D269D">
              <w:rPr>
                <w:rStyle w:val="Hyperlink"/>
                <w:noProof/>
              </w:rPr>
              <w:t>III. Quality findings</w:t>
            </w:r>
            <w:r>
              <w:rPr>
                <w:noProof/>
                <w:webHidden/>
              </w:rPr>
              <w:tab/>
            </w:r>
            <w:r>
              <w:rPr>
                <w:noProof/>
                <w:webHidden/>
              </w:rPr>
              <w:fldChar w:fldCharType="begin"/>
            </w:r>
            <w:r>
              <w:rPr>
                <w:noProof/>
                <w:webHidden/>
              </w:rPr>
              <w:instrText xml:space="preserve"> PAGEREF _Toc12960520 \h </w:instrText>
            </w:r>
            <w:r>
              <w:rPr>
                <w:noProof/>
                <w:webHidden/>
              </w:rPr>
            </w:r>
            <w:r>
              <w:rPr>
                <w:noProof/>
                <w:webHidden/>
              </w:rPr>
              <w:fldChar w:fldCharType="separate"/>
            </w:r>
            <w:r>
              <w:rPr>
                <w:noProof/>
                <w:webHidden/>
              </w:rPr>
              <w:t>10</w:t>
            </w:r>
            <w:r>
              <w:rPr>
                <w:noProof/>
                <w:webHidden/>
              </w:rPr>
              <w:fldChar w:fldCharType="end"/>
            </w:r>
          </w:hyperlink>
        </w:p>
        <w:p w14:paraId="4445C85A" w14:textId="77777777" w:rsidR="00E41A89" w:rsidRDefault="00E41A89">
          <w:pPr>
            <w:pStyle w:val="TOC2"/>
            <w:rPr>
              <w:rFonts w:asciiTheme="minorHAnsi" w:eastAsiaTheme="minorEastAsia" w:hAnsiTheme="minorHAnsi" w:cstheme="minorBidi"/>
              <w:b w:val="0"/>
              <w:noProof/>
              <w:sz w:val="22"/>
              <w:lang w:eastAsia="en-AU"/>
            </w:rPr>
          </w:pPr>
          <w:hyperlink w:anchor="_Toc12960521" w:history="1">
            <w:r w:rsidRPr="003D269D">
              <w:rPr>
                <w:rStyle w:val="Hyperlink"/>
                <w:noProof/>
              </w:rPr>
              <w:t>IV. Nonclinical findings</w:t>
            </w:r>
            <w:r>
              <w:rPr>
                <w:noProof/>
                <w:webHidden/>
              </w:rPr>
              <w:tab/>
            </w:r>
            <w:r>
              <w:rPr>
                <w:noProof/>
                <w:webHidden/>
              </w:rPr>
              <w:fldChar w:fldCharType="begin"/>
            </w:r>
            <w:r>
              <w:rPr>
                <w:noProof/>
                <w:webHidden/>
              </w:rPr>
              <w:instrText xml:space="preserve"> PAGEREF _Toc12960521 \h </w:instrText>
            </w:r>
            <w:r>
              <w:rPr>
                <w:noProof/>
                <w:webHidden/>
              </w:rPr>
            </w:r>
            <w:r>
              <w:rPr>
                <w:noProof/>
                <w:webHidden/>
              </w:rPr>
              <w:fldChar w:fldCharType="separate"/>
            </w:r>
            <w:r>
              <w:rPr>
                <w:noProof/>
                <w:webHidden/>
              </w:rPr>
              <w:t>10</w:t>
            </w:r>
            <w:r>
              <w:rPr>
                <w:noProof/>
                <w:webHidden/>
              </w:rPr>
              <w:fldChar w:fldCharType="end"/>
            </w:r>
          </w:hyperlink>
        </w:p>
        <w:p w14:paraId="4423F325" w14:textId="77777777" w:rsidR="00E41A89" w:rsidRDefault="00E41A89">
          <w:pPr>
            <w:pStyle w:val="TOC2"/>
            <w:rPr>
              <w:rFonts w:asciiTheme="minorHAnsi" w:eastAsiaTheme="minorEastAsia" w:hAnsiTheme="minorHAnsi" w:cstheme="minorBidi"/>
              <w:b w:val="0"/>
              <w:noProof/>
              <w:sz w:val="22"/>
              <w:lang w:eastAsia="en-AU"/>
            </w:rPr>
          </w:pPr>
          <w:hyperlink w:anchor="_Toc12960522" w:history="1">
            <w:r w:rsidRPr="003D269D">
              <w:rPr>
                <w:rStyle w:val="Hyperlink"/>
                <w:noProof/>
              </w:rPr>
              <w:t>V. Clinical findings</w:t>
            </w:r>
            <w:r>
              <w:rPr>
                <w:noProof/>
                <w:webHidden/>
              </w:rPr>
              <w:tab/>
            </w:r>
            <w:r>
              <w:rPr>
                <w:noProof/>
                <w:webHidden/>
              </w:rPr>
              <w:fldChar w:fldCharType="begin"/>
            </w:r>
            <w:r>
              <w:rPr>
                <w:noProof/>
                <w:webHidden/>
              </w:rPr>
              <w:instrText xml:space="preserve"> PAGEREF _Toc12960522 \h </w:instrText>
            </w:r>
            <w:r>
              <w:rPr>
                <w:noProof/>
                <w:webHidden/>
              </w:rPr>
            </w:r>
            <w:r>
              <w:rPr>
                <w:noProof/>
                <w:webHidden/>
              </w:rPr>
              <w:fldChar w:fldCharType="separate"/>
            </w:r>
            <w:r>
              <w:rPr>
                <w:noProof/>
                <w:webHidden/>
              </w:rPr>
              <w:t>10</w:t>
            </w:r>
            <w:r>
              <w:rPr>
                <w:noProof/>
                <w:webHidden/>
              </w:rPr>
              <w:fldChar w:fldCharType="end"/>
            </w:r>
          </w:hyperlink>
        </w:p>
        <w:p w14:paraId="3233B31A" w14:textId="77777777" w:rsidR="00E41A89" w:rsidRDefault="00E41A89">
          <w:pPr>
            <w:pStyle w:val="TOC3"/>
            <w:rPr>
              <w:rFonts w:asciiTheme="minorHAnsi" w:eastAsiaTheme="minorEastAsia" w:hAnsiTheme="minorHAnsi" w:cstheme="minorBidi"/>
              <w:noProof/>
              <w:lang w:eastAsia="en-AU"/>
            </w:rPr>
          </w:pPr>
          <w:hyperlink w:anchor="_Toc12960523" w:history="1">
            <w:r w:rsidRPr="003D269D">
              <w:rPr>
                <w:rStyle w:val="Hyperlink"/>
                <w:noProof/>
              </w:rPr>
              <w:t>Introduction</w:t>
            </w:r>
            <w:r>
              <w:rPr>
                <w:noProof/>
                <w:webHidden/>
              </w:rPr>
              <w:tab/>
            </w:r>
            <w:r>
              <w:rPr>
                <w:noProof/>
                <w:webHidden/>
              </w:rPr>
              <w:fldChar w:fldCharType="begin"/>
            </w:r>
            <w:r>
              <w:rPr>
                <w:noProof/>
                <w:webHidden/>
              </w:rPr>
              <w:instrText xml:space="preserve"> PAGEREF _Toc12960523 \h </w:instrText>
            </w:r>
            <w:r>
              <w:rPr>
                <w:noProof/>
                <w:webHidden/>
              </w:rPr>
            </w:r>
            <w:r>
              <w:rPr>
                <w:noProof/>
                <w:webHidden/>
              </w:rPr>
              <w:fldChar w:fldCharType="separate"/>
            </w:r>
            <w:r>
              <w:rPr>
                <w:noProof/>
                <w:webHidden/>
              </w:rPr>
              <w:t>10</w:t>
            </w:r>
            <w:r>
              <w:rPr>
                <w:noProof/>
                <w:webHidden/>
              </w:rPr>
              <w:fldChar w:fldCharType="end"/>
            </w:r>
          </w:hyperlink>
        </w:p>
        <w:p w14:paraId="046AAC10" w14:textId="77777777" w:rsidR="00E41A89" w:rsidRDefault="00E41A89">
          <w:pPr>
            <w:pStyle w:val="TOC3"/>
            <w:rPr>
              <w:rFonts w:asciiTheme="minorHAnsi" w:eastAsiaTheme="minorEastAsia" w:hAnsiTheme="minorHAnsi" w:cstheme="minorBidi"/>
              <w:noProof/>
              <w:lang w:eastAsia="en-AU"/>
            </w:rPr>
          </w:pPr>
          <w:hyperlink w:anchor="_Toc12960524" w:history="1">
            <w:r w:rsidRPr="003D269D">
              <w:rPr>
                <w:rStyle w:val="Hyperlink"/>
                <w:noProof/>
              </w:rPr>
              <w:t>Pharmacokinetics</w:t>
            </w:r>
            <w:r>
              <w:rPr>
                <w:noProof/>
                <w:webHidden/>
              </w:rPr>
              <w:tab/>
            </w:r>
            <w:r>
              <w:rPr>
                <w:noProof/>
                <w:webHidden/>
              </w:rPr>
              <w:fldChar w:fldCharType="begin"/>
            </w:r>
            <w:r>
              <w:rPr>
                <w:noProof/>
                <w:webHidden/>
              </w:rPr>
              <w:instrText xml:space="preserve"> PAGEREF _Toc12960524 \h </w:instrText>
            </w:r>
            <w:r>
              <w:rPr>
                <w:noProof/>
                <w:webHidden/>
              </w:rPr>
            </w:r>
            <w:r>
              <w:rPr>
                <w:noProof/>
                <w:webHidden/>
              </w:rPr>
              <w:fldChar w:fldCharType="separate"/>
            </w:r>
            <w:r>
              <w:rPr>
                <w:noProof/>
                <w:webHidden/>
              </w:rPr>
              <w:t>13</w:t>
            </w:r>
            <w:r>
              <w:rPr>
                <w:noProof/>
                <w:webHidden/>
              </w:rPr>
              <w:fldChar w:fldCharType="end"/>
            </w:r>
          </w:hyperlink>
        </w:p>
        <w:p w14:paraId="0B579D75" w14:textId="77777777" w:rsidR="00E41A89" w:rsidRDefault="00E41A89">
          <w:pPr>
            <w:pStyle w:val="TOC3"/>
            <w:rPr>
              <w:rFonts w:asciiTheme="minorHAnsi" w:eastAsiaTheme="minorEastAsia" w:hAnsiTheme="minorHAnsi" w:cstheme="minorBidi"/>
              <w:noProof/>
              <w:lang w:eastAsia="en-AU"/>
            </w:rPr>
          </w:pPr>
          <w:hyperlink w:anchor="_Toc12960525" w:history="1">
            <w:r w:rsidRPr="003D269D">
              <w:rPr>
                <w:rStyle w:val="Hyperlink"/>
                <w:noProof/>
              </w:rPr>
              <w:t>Pharmacodynamics</w:t>
            </w:r>
            <w:r>
              <w:rPr>
                <w:noProof/>
                <w:webHidden/>
              </w:rPr>
              <w:tab/>
            </w:r>
            <w:r>
              <w:rPr>
                <w:noProof/>
                <w:webHidden/>
              </w:rPr>
              <w:fldChar w:fldCharType="begin"/>
            </w:r>
            <w:r>
              <w:rPr>
                <w:noProof/>
                <w:webHidden/>
              </w:rPr>
              <w:instrText xml:space="preserve"> PAGEREF _Toc12960525 \h </w:instrText>
            </w:r>
            <w:r>
              <w:rPr>
                <w:noProof/>
                <w:webHidden/>
              </w:rPr>
            </w:r>
            <w:r>
              <w:rPr>
                <w:noProof/>
                <w:webHidden/>
              </w:rPr>
              <w:fldChar w:fldCharType="separate"/>
            </w:r>
            <w:r>
              <w:rPr>
                <w:noProof/>
                <w:webHidden/>
              </w:rPr>
              <w:t>13</w:t>
            </w:r>
            <w:r>
              <w:rPr>
                <w:noProof/>
                <w:webHidden/>
              </w:rPr>
              <w:fldChar w:fldCharType="end"/>
            </w:r>
          </w:hyperlink>
        </w:p>
        <w:p w14:paraId="3B405B75" w14:textId="77777777" w:rsidR="00E41A89" w:rsidRDefault="00E41A89">
          <w:pPr>
            <w:pStyle w:val="TOC3"/>
            <w:rPr>
              <w:rFonts w:asciiTheme="minorHAnsi" w:eastAsiaTheme="minorEastAsia" w:hAnsiTheme="minorHAnsi" w:cstheme="minorBidi"/>
              <w:noProof/>
              <w:lang w:eastAsia="en-AU"/>
            </w:rPr>
          </w:pPr>
          <w:hyperlink w:anchor="_Toc12960526" w:history="1">
            <w:r w:rsidRPr="003D269D">
              <w:rPr>
                <w:rStyle w:val="Hyperlink"/>
                <w:noProof/>
              </w:rPr>
              <w:t>Dosage selection for the pivotal studies</w:t>
            </w:r>
            <w:r>
              <w:rPr>
                <w:noProof/>
                <w:webHidden/>
              </w:rPr>
              <w:tab/>
            </w:r>
            <w:r>
              <w:rPr>
                <w:noProof/>
                <w:webHidden/>
              </w:rPr>
              <w:fldChar w:fldCharType="begin"/>
            </w:r>
            <w:r>
              <w:rPr>
                <w:noProof/>
                <w:webHidden/>
              </w:rPr>
              <w:instrText xml:space="preserve"> PAGEREF _Toc12960526 \h </w:instrText>
            </w:r>
            <w:r>
              <w:rPr>
                <w:noProof/>
                <w:webHidden/>
              </w:rPr>
            </w:r>
            <w:r>
              <w:rPr>
                <w:noProof/>
                <w:webHidden/>
              </w:rPr>
              <w:fldChar w:fldCharType="separate"/>
            </w:r>
            <w:r>
              <w:rPr>
                <w:noProof/>
                <w:webHidden/>
              </w:rPr>
              <w:t>13</w:t>
            </w:r>
            <w:r>
              <w:rPr>
                <w:noProof/>
                <w:webHidden/>
              </w:rPr>
              <w:fldChar w:fldCharType="end"/>
            </w:r>
          </w:hyperlink>
        </w:p>
        <w:p w14:paraId="2F017C0F" w14:textId="77777777" w:rsidR="00E41A89" w:rsidRDefault="00E41A89">
          <w:pPr>
            <w:pStyle w:val="TOC3"/>
            <w:rPr>
              <w:rFonts w:asciiTheme="minorHAnsi" w:eastAsiaTheme="minorEastAsia" w:hAnsiTheme="minorHAnsi" w:cstheme="minorBidi"/>
              <w:noProof/>
              <w:lang w:eastAsia="en-AU"/>
            </w:rPr>
          </w:pPr>
          <w:hyperlink w:anchor="_Toc12960527" w:history="1">
            <w:r w:rsidRPr="003D269D">
              <w:rPr>
                <w:rStyle w:val="Hyperlink"/>
                <w:noProof/>
              </w:rPr>
              <w:t>Efficacy</w:t>
            </w:r>
            <w:r>
              <w:rPr>
                <w:noProof/>
                <w:webHidden/>
              </w:rPr>
              <w:tab/>
            </w:r>
            <w:r>
              <w:rPr>
                <w:noProof/>
                <w:webHidden/>
              </w:rPr>
              <w:fldChar w:fldCharType="begin"/>
            </w:r>
            <w:r>
              <w:rPr>
                <w:noProof/>
                <w:webHidden/>
              </w:rPr>
              <w:instrText xml:space="preserve"> PAGEREF _Toc12960527 \h </w:instrText>
            </w:r>
            <w:r>
              <w:rPr>
                <w:noProof/>
                <w:webHidden/>
              </w:rPr>
            </w:r>
            <w:r>
              <w:rPr>
                <w:noProof/>
                <w:webHidden/>
              </w:rPr>
              <w:fldChar w:fldCharType="separate"/>
            </w:r>
            <w:r>
              <w:rPr>
                <w:noProof/>
                <w:webHidden/>
              </w:rPr>
              <w:t>14</w:t>
            </w:r>
            <w:r>
              <w:rPr>
                <w:noProof/>
                <w:webHidden/>
              </w:rPr>
              <w:fldChar w:fldCharType="end"/>
            </w:r>
          </w:hyperlink>
        </w:p>
        <w:p w14:paraId="67011C25" w14:textId="77777777" w:rsidR="00E41A89" w:rsidRDefault="00E41A89">
          <w:pPr>
            <w:pStyle w:val="TOC3"/>
            <w:rPr>
              <w:rFonts w:asciiTheme="minorHAnsi" w:eastAsiaTheme="minorEastAsia" w:hAnsiTheme="minorHAnsi" w:cstheme="minorBidi"/>
              <w:noProof/>
              <w:lang w:eastAsia="en-AU"/>
            </w:rPr>
          </w:pPr>
          <w:hyperlink w:anchor="_Toc12960528" w:history="1">
            <w:r w:rsidRPr="003D269D">
              <w:rPr>
                <w:rStyle w:val="Hyperlink"/>
                <w:noProof/>
              </w:rPr>
              <w:t>Safety</w:t>
            </w:r>
            <w:r>
              <w:rPr>
                <w:noProof/>
                <w:webHidden/>
              </w:rPr>
              <w:tab/>
            </w:r>
            <w:r>
              <w:rPr>
                <w:noProof/>
                <w:webHidden/>
              </w:rPr>
              <w:fldChar w:fldCharType="begin"/>
            </w:r>
            <w:r>
              <w:rPr>
                <w:noProof/>
                <w:webHidden/>
              </w:rPr>
              <w:instrText xml:space="preserve"> PAGEREF _Toc12960528 \h </w:instrText>
            </w:r>
            <w:r>
              <w:rPr>
                <w:noProof/>
                <w:webHidden/>
              </w:rPr>
            </w:r>
            <w:r>
              <w:rPr>
                <w:noProof/>
                <w:webHidden/>
              </w:rPr>
              <w:fldChar w:fldCharType="separate"/>
            </w:r>
            <w:r>
              <w:rPr>
                <w:noProof/>
                <w:webHidden/>
              </w:rPr>
              <w:t>15</w:t>
            </w:r>
            <w:r>
              <w:rPr>
                <w:noProof/>
                <w:webHidden/>
              </w:rPr>
              <w:fldChar w:fldCharType="end"/>
            </w:r>
          </w:hyperlink>
        </w:p>
        <w:p w14:paraId="30A1A955" w14:textId="77777777" w:rsidR="00E41A89" w:rsidRDefault="00E41A89">
          <w:pPr>
            <w:pStyle w:val="TOC3"/>
            <w:rPr>
              <w:rFonts w:asciiTheme="minorHAnsi" w:eastAsiaTheme="minorEastAsia" w:hAnsiTheme="minorHAnsi" w:cstheme="minorBidi"/>
              <w:noProof/>
              <w:lang w:eastAsia="en-AU"/>
            </w:rPr>
          </w:pPr>
          <w:hyperlink w:anchor="_Toc12960529" w:history="1">
            <w:r w:rsidRPr="003D269D">
              <w:rPr>
                <w:rStyle w:val="Hyperlink"/>
                <w:noProof/>
              </w:rPr>
              <w:t>First round benefit-risk assessment</w:t>
            </w:r>
            <w:r>
              <w:rPr>
                <w:noProof/>
                <w:webHidden/>
              </w:rPr>
              <w:tab/>
            </w:r>
            <w:r>
              <w:rPr>
                <w:noProof/>
                <w:webHidden/>
              </w:rPr>
              <w:fldChar w:fldCharType="begin"/>
            </w:r>
            <w:r>
              <w:rPr>
                <w:noProof/>
                <w:webHidden/>
              </w:rPr>
              <w:instrText xml:space="preserve"> PAGEREF _Toc12960529 \h </w:instrText>
            </w:r>
            <w:r>
              <w:rPr>
                <w:noProof/>
                <w:webHidden/>
              </w:rPr>
            </w:r>
            <w:r>
              <w:rPr>
                <w:noProof/>
                <w:webHidden/>
              </w:rPr>
              <w:fldChar w:fldCharType="separate"/>
            </w:r>
            <w:r>
              <w:rPr>
                <w:noProof/>
                <w:webHidden/>
              </w:rPr>
              <w:t>20</w:t>
            </w:r>
            <w:r>
              <w:rPr>
                <w:noProof/>
                <w:webHidden/>
              </w:rPr>
              <w:fldChar w:fldCharType="end"/>
            </w:r>
          </w:hyperlink>
        </w:p>
        <w:p w14:paraId="44E9FF51" w14:textId="77777777" w:rsidR="00E41A89" w:rsidRDefault="00E41A89">
          <w:pPr>
            <w:pStyle w:val="TOC3"/>
            <w:rPr>
              <w:rFonts w:asciiTheme="minorHAnsi" w:eastAsiaTheme="minorEastAsia" w:hAnsiTheme="minorHAnsi" w:cstheme="minorBidi"/>
              <w:noProof/>
              <w:lang w:eastAsia="en-AU"/>
            </w:rPr>
          </w:pPr>
          <w:hyperlink w:anchor="_Toc12960531" w:history="1">
            <w:r w:rsidRPr="003D269D">
              <w:rPr>
                <w:rStyle w:val="Hyperlink"/>
                <w:noProof/>
              </w:rPr>
              <w:t>Clinical questions</w:t>
            </w:r>
            <w:r>
              <w:rPr>
                <w:noProof/>
                <w:webHidden/>
              </w:rPr>
              <w:tab/>
            </w:r>
            <w:r>
              <w:rPr>
                <w:noProof/>
                <w:webHidden/>
              </w:rPr>
              <w:fldChar w:fldCharType="begin"/>
            </w:r>
            <w:r>
              <w:rPr>
                <w:noProof/>
                <w:webHidden/>
              </w:rPr>
              <w:instrText xml:space="preserve"> PAGEREF _Toc12960531 \h </w:instrText>
            </w:r>
            <w:r>
              <w:rPr>
                <w:noProof/>
                <w:webHidden/>
              </w:rPr>
            </w:r>
            <w:r>
              <w:rPr>
                <w:noProof/>
                <w:webHidden/>
              </w:rPr>
              <w:fldChar w:fldCharType="separate"/>
            </w:r>
            <w:r>
              <w:rPr>
                <w:noProof/>
                <w:webHidden/>
              </w:rPr>
              <w:t>20</w:t>
            </w:r>
            <w:r>
              <w:rPr>
                <w:noProof/>
                <w:webHidden/>
              </w:rPr>
              <w:fldChar w:fldCharType="end"/>
            </w:r>
          </w:hyperlink>
        </w:p>
        <w:p w14:paraId="5FF48D4E" w14:textId="77777777" w:rsidR="00E41A89" w:rsidRDefault="00E41A89">
          <w:pPr>
            <w:pStyle w:val="TOC3"/>
            <w:rPr>
              <w:rFonts w:asciiTheme="minorHAnsi" w:eastAsiaTheme="minorEastAsia" w:hAnsiTheme="minorHAnsi" w:cstheme="minorBidi"/>
              <w:noProof/>
              <w:lang w:eastAsia="en-AU"/>
            </w:rPr>
          </w:pPr>
          <w:hyperlink w:anchor="_Toc12960532" w:history="1">
            <w:r w:rsidRPr="003D269D">
              <w:rPr>
                <w:rStyle w:val="Hyperlink"/>
                <w:noProof/>
              </w:rPr>
              <w:t>Second round evaluation</w:t>
            </w:r>
            <w:r>
              <w:rPr>
                <w:noProof/>
                <w:webHidden/>
              </w:rPr>
              <w:tab/>
            </w:r>
            <w:r>
              <w:rPr>
                <w:noProof/>
                <w:webHidden/>
              </w:rPr>
              <w:fldChar w:fldCharType="begin"/>
            </w:r>
            <w:r>
              <w:rPr>
                <w:noProof/>
                <w:webHidden/>
              </w:rPr>
              <w:instrText xml:space="preserve"> PAGEREF _Toc12960532 \h </w:instrText>
            </w:r>
            <w:r>
              <w:rPr>
                <w:noProof/>
                <w:webHidden/>
              </w:rPr>
            </w:r>
            <w:r>
              <w:rPr>
                <w:noProof/>
                <w:webHidden/>
              </w:rPr>
              <w:fldChar w:fldCharType="separate"/>
            </w:r>
            <w:r>
              <w:rPr>
                <w:noProof/>
                <w:webHidden/>
              </w:rPr>
              <w:t>22</w:t>
            </w:r>
            <w:r>
              <w:rPr>
                <w:noProof/>
                <w:webHidden/>
              </w:rPr>
              <w:fldChar w:fldCharType="end"/>
            </w:r>
          </w:hyperlink>
        </w:p>
        <w:p w14:paraId="43DDE318" w14:textId="77777777" w:rsidR="00E41A89" w:rsidRDefault="00E41A89">
          <w:pPr>
            <w:pStyle w:val="TOC3"/>
            <w:rPr>
              <w:rFonts w:asciiTheme="minorHAnsi" w:eastAsiaTheme="minorEastAsia" w:hAnsiTheme="minorHAnsi" w:cstheme="minorBidi"/>
              <w:noProof/>
              <w:lang w:eastAsia="en-AU"/>
            </w:rPr>
          </w:pPr>
          <w:hyperlink w:anchor="_Toc12960533" w:history="1">
            <w:r w:rsidRPr="003D269D">
              <w:rPr>
                <w:rStyle w:val="Hyperlink"/>
                <w:noProof/>
              </w:rPr>
              <w:t>Second round benefit-risk assessment</w:t>
            </w:r>
            <w:r>
              <w:rPr>
                <w:noProof/>
                <w:webHidden/>
              </w:rPr>
              <w:tab/>
            </w:r>
            <w:r>
              <w:rPr>
                <w:noProof/>
                <w:webHidden/>
              </w:rPr>
              <w:fldChar w:fldCharType="begin"/>
            </w:r>
            <w:r>
              <w:rPr>
                <w:noProof/>
                <w:webHidden/>
              </w:rPr>
              <w:instrText xml:space="preserve"> PAGEREF _Toc12960533 \h </w:instrText>
            </w:r>
            <w:r>
              <w:rPr>
                <w:noProof/>
                <w:webHidden/>
              </w:rPr>
            </w:r>
            <w:r>
              <w:rPr>
                <w:noProof/>
                <w:webHidden/>
              </w:rPr>
              <w:fldChar w:fldCharType="separate"/>
            </w:r>
            <w:r>
              <w:rPr>
                <w:noProof/>
                <w:webHidden/>
              </w:rPr>
              <w:t>24</w:t>
            </w:r>
            <w:r>
              <w:rPr>
                <w:noProof/>
                <w:webHidden/>
              </w:rPr>
              <w:fldChar w:fldCharType="end"/>
            </w:r>
          </w:hyperlink>
        </w:p>
        <w:p w14:paraId="325DEFEE" w14:textId="77777777" w:rsidR="00E41A89" w:rsidRDefault="00E41A89">
          <w:pPr>
            <w:pStyle w:val="TOC3"/>
            <w:rPr>
              <w:rFonts w:asciiTheme="minorHAnsi" w:eastAsiaTheme="minorEastAsia" w:hAnsiTheme="minorHAnsi" w:cstheme="minorBidi"/>
              <w:noProof/>
              <w:lang w:eastAsia="en-AU"/>
            </w:rPr>
          </w:pPr>
          <w:hyperlink w:anchor="_Toc12960534" w:history="1">
            <w:r w:rsidRPr="003D269D">
              <w:rPr>
                <w:rStyle w:val="Hyperlink"/>
                <w:noProof/>
              </w:rPr>
              <w:t>Second round recommendation regarding authorisation</w:t>
            </w:r>
            <w:r>
              <w:rPr>
                <w:noProof/>
                <w:webHidden/>
              </w:rPr>
              <w:tab/>
            </w:r>
            <w:r>
              <w:rPr>
                <w:noProof/>
                <w:webHidden/>
              </w:rPr>
              <w:fldChar w:fldCharType="begin"/>
            </w:r>
            <w:r>
              <w:rPr>
                <w:noProof/>
                <w:webHidden/>
              </w:rPr>
              <w:instrText xml:space="preserve"> PAGEREF _Toc12960534 \h </w:instrText>
            </w:r>
            <w:r>
              <w:rPr>
                <w:noProof/>
                <w:webHidden/>
              </w:rPr>
            </w:r>
            <w:r>
              <w:rPr>
                <w:noProof/>
                <w:webHidden/>
              </w:rPr>
              <w:fldChar w:fldCharType="separate"/>
            </w:r>
            <w:r>
              <w:rPr>
                <w:noProof/>
                <w:webHidden/>
              </w:rPr>
              <w:t>24</w:t>
            </w:r>
            <w:r>
              <w:rPr>
                <w:noProof/>
                <w:webHidden/>
              </w:rPr>
              <w:fldChar w:fldCharType="end"/>
            </w:r>
          </w:hyperlink>
        </w:p>
        <w:p w14:paraId="58CA39A1" w14:textId="77777777" w:rsidR="00E41A89" w:rsidRDefault="00E41A89">
          <w:pPr>
            <w:pStyle w:val="TOC2"/>
            <w:rPr>
              <w:rFonts w:asciiTheme="minorHAnsi" w:eastAsiaTheme="minorEastAsia" w:hAnsiTheme="minorHAnsi" w:cstheme="minorBidi"/>
              <w:b w:val="0"/>
              <w:noProof/>
              <w:sz w:val="22"/>
              <w:lang w:eastAsia="en-AU"/>
            </w:rPr>
          </w:pPr>
          <w:hyperlink w:anchor="_Toc12960535" w:history="1">
            <w:r w:rsidRPr="003D269D">
              <w:rPr>
                <w:rStyle w:val="Hyperlink"/>
                <w:noProof/>
              </w:rPr>
              <w:t>VI. Pharmacovigilance findings</w:t>
            </w:r>
            <w:r>
              <w:rPr>
                <w:noProof/>
                <w:webHidden/>
              </w:rPr>
              <w:tab/>
            </w:r>
            <w:r>
              <w:rPr>
                <w:noProof/>
                <w:webHidden/>
              </w:rPr>
              <w:fldChar w:fldCharType="begin"/>
            </w:r>
            <w:r>
              <w:rPr>
                <w:noProof/>
                <w:webHidden/>
              </w:rPr>
              <w:instrText xml:space="preserve"> PAGEREF _Toc12960535 \h </w:instrText>
            </w:r>
            <w:r>
              <w:rPr>
                <w:noProof/>
                <w:webHidden/>
              </w:rPr>
            </w:r>
            <w:r>
              <w:rPr>
                <w:noProof/>
                <w:webHidden/>
              </w:rPr>
              <w:fldChar w:fldCharType="separate"/>
            </w:r>
            <w:r>
              <w:rPr>
                <w:noProof/>
                <w:webHidden/>
              </w:rPr>
              <w:t>24</w:t>
            </w:r>
            <w:r>
              <w:rPr>
                <w:noProof/>
                <w:webHidden/>
              </w:rPr>
              <w:fldChar w:fldCharType="end"/>
            </w:r>
          </w:hyperlink>
        </w:p>
        <w:p w14:paraId="6111A9DB" w14:textId="77777777" w:rsidR="00E41A89" w:rsidRDefault="00E41A89">
          <w:pPr>
            <w:pStyle w:val="TOC3"/>
            <w:rPr>
              <w:rFonts w:asciiTheme="minorHAnsi" w:eastAsiaTheme="minorEastAsia" w:hAnsiTheme="minorHAnsi" w:cstheme="minorBidi"/>
              <w:noProof/>
              <w:lang w:eastAsia="en-AU"/>
            </w:rPr>
          </w:pPr>
          <w:hyperlink w:anchor="_Toc12960536" w:history="1">
            <w:r w:rsidRPr="003D269D">
              <w:rPr>
                <w:rStyle w:val="Hyperlink"/>
                <w:noProof/>
                <w:lang w:eastAsia="en-AU"/>
              </w:rPr>
              <w:t>Risk management plan</w:t>
            </w:r>
            <w:r>
              <w:rPr>
                <w:noProof/>
                <w:webHidden/>
              </w:rPr>
              <w:tab/>
            </w:r>
            <w:r>
              <w:rPr>
                <w:noProof/>
                <w:webHidden/>
              </w:rPr>
              <w:fldChar w:fldCharType="begin"/>
            </w:r>
            <w:r>
              <w:rPr>
                <w:noProof/>
                <w:webHidden/>
              </w:rPr>
              <w:instrText xml:space="preserve"> PAGEREF _Toc12960536 \h </w:instrText>
            </w:r>
            <w:r>
              <w:rPr>
                <w:noProof/>
                <w:webHidden/>
              </w:rPr>
            </w:r>
            <w:r>
              <w:rPr>
                <w:noProof/>
                <w:webHidden/>
              </w:rPr>
              <w:fldChar w:fldCharType="separate"/>
            </w:r>
            <w:r>
              <w:rPr>
                <w:noProof/>
                <w:webHidden/>
              </w:rPr>
              <w:t>24</w:t>
            </w:r>
            <w:r>
              <w:rPr>
                <w:noProof/>
                <w:webHidden/>
              </w:rPr>
              <w:fldChar w:fldCharType="end"/>
            </w:r>
          </w:hyperlink>
        </w:p>
        <w:p w14:paraId="7DAE24A0" w14:textId="77777777" w:rsidR="00E41A89" w:rsidRDefault="00E41A89">
          <w:pPr>
            <w:pStyle w:val="TOC2"/>
            <w:rPr>
              <w:rFonts w:asciiTheme="minorHAnsi" w:eastAsiaTheme="minorEastAsia" w:hAnsiTheme="minorHAnsi" w:cstheme="minorBidi"/>
              <w:b w:val="0"/>
              <w:noProof/>
              <w:sz w:val="22"/>
              <w:lang w:eastAsia="en-AU"/>
            </w:rPr>
          </w:pPr>
          <w:hyperlink w:anchor="_Toc12960537" w:history="1">
            <w:r w:rsidRPr="003D269D">
              <w:rPr>
                <w:rStyle w:val="Hyperlink"/>
                <w:noProof/>
              </w:rPr>
              <w:t>VII. Overall conclusion and risk/benefit assessment</w:t>
            </w:r>
            <w:r>
              <w:rPr>
                <w:noProof/>
                <w:webHidden/>
              </w:rPr>
              <w:tab/>
            </w:r>
            <w:r>
              <w:rPr>
                <w:noProof/>
                <w:webHidden/>
              </w:rPr>
              <w:fldChar w:fldCharType="begin"/>
            </w:r>
            <w:r>
              <w:rPr>
                <w:noProof/>
                <w:webHidden/>
              </w:rPr>
              <w:instrText xml:space="preserve"> PAGEREF _Toc12960537 \h </w:instrText>
            </w:r>
            <w:r>
              <w:rPr>
                <w:noProof/>
                <w:webHidden/>
              </w:rPr>
            </w:r>
            <w:r>
              <w:rPr>
                <w:noProof/>
                <w:webHidden/>
              </w:rPr>
              <w:fldChar w:fldCharType="separate"/>
            </w:r>
            <w:r>
              <w:rPr>
                <w:noProof/>
                <w:webHidden/>
              </w:rPr>
              <w:t>29</w:t>
            </w:r>
            <w:r>
              <w:rPr>
                <w:noProof/>
                <w:webHidden/>
              </w:rPr>
              <w:fldChar w:fldCharType="end"/>
            </w:r>
          </w:hyperlink>
        </w:p>
        <w:p w14:paraId="1CC007D0" w14:textId="77777777" w:rsidR="00E41A89" w:rsidRDefault="00E41A89">
          <w:pPr>
            <w:pStyle w:val="TOC3"/>
            <w:rPr>
              <w:rFonts w:asciiTheme="minorHAnsi" w:eastAsiaTheme="minorEastAsia" w:hAnsiTheme="minorHAnsi" w:cstheme="minorBidi"/>
              <w:noProof/>
              <w:lang w:eastAsia="en-AU"/>
            </w:rPr>
          </w:pPr>
          <w:hyperlink w:anchor="_Toc12960538" w:history="1">
            <w:r w:rsidRPr="003D269D">
              <w:rPr>
                <w:rStyle w:val="Hyperlink"/>
                <w:noProof/>
              </w:rPr>
              <w:t>Quality</w:t>
            </w:r>
            <w:r>
              <w:rPr>
                <w:noProof/>
                <w:webHidden/>
              </w:rPr>
              <w:tab/>
            </w:r>
            <w:r>
              <w:rPr>
                <w:noProof/>
                <w:webHidden/>
              </w:rPr>
              <w:fldChar w:fldCharType="begin"/>
            </w:r>
            <w:r>
              <w:rPr>
                <w:noProof/>
                <w:webHidden/>
              </w:rPr>
              <w:instrText xml:space="preserve"> PAGEREF _Toc12960538 \h </w:instrText>
            </w:r>
            <w:r>
              <w:rPr>
                <w:noProof/>
                <w:webHidden/>
              </w:rPr>
            </w:r>
            <w:r>
              <w:rPr>
                <w:noProof/>
                <w:webHidden/>
              </w:rPr>
              <w:fldChar w:fldCharType="separate"/>
            </w:r>
            <w:r>
              <w:rPr>
                <w:noProof/>
                <w:webHidden/>
              </w:rPr>
              <w:t>29</w:t>
            </w:r>
            <w:r>
              <w:rPr>
                <w:noProof/>
                <w:webHidden/>
              </w:rPr>
              <w:fldChar w:fldCharType="end"/>
            </w:r>
          </w:hyperlink>
        </w:p>
        <w:p w14:paraId="0DF86971" w14:textId="77777777" w:rsidR="00E41A89" w:rsidRDefault="00E41A89">
          <w:pPr>
            <w:pStyle w:val="TOC3"/>
            <w:rPr>
              <w:rFonts w:asciiTheme="minorHAnsi" w:eastAsiaTheme="minorEastAsia" w:hAnsiTheme="minorHAnsi" w:cstheme="minorBidi"/>
              <w:noProof/>
              <w:lang w:eastAsia="en-AU"/>
            </w:rPr>
          </w:pPr>
          <w:hyperlink w:anchor="_Toc12960539" w:history="1">
            <w:r w:rsidRPr="003D269D">
              <w:rPr>
                <w:rStyle w:val="Hyperlink"/>
                <w:noProof/>
              </w:rPr>
              <w:t>Nonclinical</w:t>
            </w:r>
            <w:r>
              <w:rPr>
                <w:noProof/>
                <w:webHidden/>
              </w:rPr>
              <w:tab/>
            </w:r>
            <w:r>
              <w:rPr>
                <w:noProof/>
                <w:webHidden/>
              </w:rPr>
              <w:fldChar w:fldCharType="begin"/>
            </w:r>
            <w:r>
              <w:rPr>
                <w:noProof/>
                <w:webHidden/>
              </w:rPr>
              <w:instrText xml:space="preserve"> PAGEREF _Toc12960539 \h </w:instrText>
            </w:r>
            <w:r>
              <w:rPr>
                <w:noProof/>
                <w:webHidden/>
              </w:rPr>
            </w:r>
            <w:r>
              <w:rPr>
                <w:noProof/>
                <w:webHidden/>
              </w:rPr>
              <w:fldChar w:fldCharType="separate"/>
            </w:r>
            <w:r>
              <w:rPr>
                <w:noProof/>
                <w:webHidden/>
              </w:rPr>
              <w:t>30</w:t>
            </w:r>
            <w:r>
              <w:rPr>
                <w:noProof/>
                <w:webHidden/>
              </w:rPr>
              <w:fldChar w:fldCharType="end"/>
            </w:r>
          </w:hyperlink>
        </w:p>
        <w:p w14:paraId="0DF1D458" w14:textId="77777777" w:rsidR="00E41A89" w:rsidRDefault="00E41A89">
          <w:pPr>
            <w:pStyle w:val="TOC3"/>
            <w:rPr>
              <w:rFonts w:asciiTheme="minorHAnsi" w:eastAsiaTheme="minorEastAsia" w:hAnsiTheme="minorHAnsi" w:cstheme="minorBidi"/>
              <w:noProof/>
              <w:lang w:eastAsia="en-AU"/>
            </w:rPr>
          </w:pPr>
          <w:hyperlink w:anchor="_Toc12960540" w:history="1">
            <w:r w:rsidRPr="003D269D">
              <w:rPr>
                <w:rStyle w:val="Hyperlink"/>
                <w:noProof/>
              </w:rPr>
              <w:t>Clinical</w:t>
            </w:r>
            <w:r>
              <w:rPr>
                <w:noProof/>
                <w:webHidden/>
              </w:rPr>
              <w:tab/>
            </w:r>
            <w:r>
              <w:rPr>
                <w:noProof/>
                <w:webHidden/>
              </w:rPr>
              <w:fldChar w:fldCharType="begin"/>
            </w:r>
            <w:r>
              <w:rPr>
                <w:noProof/>
                <w:webHidden/>
              </w:rPr>
              <w:instrText xml:space="preserve"> PAGEREF _Toc12960540 \h </w:instrText>
            </w:r>
            <w:r>
              <w:rPr>
                <w:noProof/>
                <w:webHidden/>
              </w:rPr>
            </w:r>
            <w:r>
              <w:rPr>
                <w:noProof/>
                <w:webHidden/>
              </w:rPr>
              <w:fldChar w:fldCharType="separate"/>
            </w:r>
            <w:r>
              <w:rPr>
                <w:noProof/>
                <w:webHidden/>
              </w:rPr>
              <w:t>30</w:t>
            </w:r>
            <w:r>
              <w:rPr>
                <w:noProof/>
                <w:webHidden/>
              </w:rPr>
              <w:fldChar w:fldCharType="end"/>
            </w:r>
          </w:hyperlink>
        </w:p>
        <w:p w14:paraId="116BE19A" w14:textId="77777777" w:rsidR="00E41A89" w:rsidRDefault="00E41A89">
          <w:pPr>
            <w:pStyle w:val="TOC3"/>
            <w:rPr>
              <w:rFonts w:asciiTheme="minorHAnsi" w:eastAsiaTheme="minorEastAsia" w:hAnsiTheme="minorHAnsi" w:cstheme="minorBidi"/>
              <w:noProof/>
              <w:lang w:eastAsia="en-AU"/>
            </w:rPr>
          </w:pPr>
          <w:hyperlink w:anchor="_Toc12960541" w:history="1">
            <w:r w:rsidRPr="003D269D">
              <w:rPr>
                <w:rStyle w:val="Hyperlink"/>
                <w:noProof/>
                <w:lang w:eastAsia="en-AU"/>
              </w:rPr>
              <w:t>Risk management plan</w:t>
            </w:r>
            <w:r>
              <w:rPr>
                <w:noProof/>
                <w:webHidden/>
              </w:rPr>
              <w:tab/>
            </w:r>
            <w:r>
              <w:rPr>
                <w:noProof/>
                <w:webHidden/>
              </w:rPr>
              <w:fldChar w:fldCharType="begin"/>
            </w:r>
            <w:r>
              <w:rPr>
                <w:noProof/>
                <w:webHidden/>
              </w:rPr>
              <w:instrText xml:space="preserve"> PAGEREF _Toc12960541 \h </w:instrText>
            </w:r>
            <w:r>
              <w:rPr>
                <w:noProof/>
                <w:webHidden/>
              </w:rPr>
            </w:r>
            <w:r>
              <w:rPr>
                <w:noProof/>
                <w:webHidden/>
              </w:rPr>
              <w:fldChar w:fldCharType="separate"/>
            </w:r>
            <w:r>
              <w:rPr>
                <w:noProof/>
                <w:webHidden/>
              </w:rPr>
              <w:t>31</w:t>
            </w:r>
            <w:r>
              <w:rPr>
                <w:noProof/>
                <w:webHidden/>
              </w:rPr>
              <w:fldChar w:fldCharType="end"/>
            </w:r>
          </w:hyperlink>
        </w:p>
        <w:p w14:paraId="72BA9C2C" w14:textId="77777777" w:rsidR="00E41A89" w:rsidRDefault="00E41A89">
          <w:pPr>
            <w:pStyle w:val="TOC3"/>
            <w:rPr>
              <w:rFonts w:asciiTheme="minorHAnsi" w:eastAsiaTheme="minorEastAsia" w:hAnsiTheme="minorHAnsi" w:cstheme="minorBidi"/>
              <w:noProof/>
              <w:lang w:eastAsia="en-AU"/>
            </w:rPr>
          </w:pPr>
          <w:hyperlink w:anchor="_Toc12960542" w:history="1">
            <w:r w:rsidRPr="003D269D">
              <w:rPr>
                <w:rStyle w:val="Hyperlink"/>
                <w:noProof/>
              </w:rPr>
              <w:t>Risk-benefit analysis</w:t>
            </w:r>
            <w:r>
              <w:rPr>
                <w:noProof/>
                <w:webHidden/>
              </w:rPr>
              <w:tab/>
            </w:r>
            <w:r>
              <w:rPr>
                <w:noProof/>
                <w:webHidden/>
              </w:rPr>
              <w:fldChar w:fldCharType="begin"/>
            </w:r>
            <w:r>
              <w:rPr>
                <w:noProof/>
                <w:webHidden/>
              </w:rPr>
              <w:instrText xml:space="preserve"> PAGEREF _Toc12960542 \h </w:instrText>
            </w:r>
            <w:r>
              <w:rPr>
                <w:noProof/>
                <w:webHidden/>
              </w:rPr>
            </w:r>
            <w:r>
              <w:rPr>
                <w:noProof/>
                <w:webHidden/>
              </w:rPr>
              <w:fldChar w:fldCharType="separate"/>
            </w:r>
            <w:r>
              <w:rPr>
                <w:noProof/>
                <w:webHidden/>
              </w:rPr>
              <w:t>32</w:t>
            </w:r>
            <w:r>
              <w:rPr>
                <w:noProof/>
                <w:webHidden/>
              </w:rPr>
              <w:fldChar w:fldCharType="end"/>
            </w:r>
          </w:hyperlink>
        </w:p>
        <w:p w14:paraId="7C062BE8" w14:textId="77777777" w:rsidR="00E41A89" w:rsidRDefault="00E41A89">
          <w:pPr>
            <w:pStyle w:val="TOC3"/>
            <w:rPr>
              <w:rFonts w:asciiTheme="minorHAnsi" w:eastAsiaTheme="minorEastAsia" w:hAnsiTheme="minorHAnsi" w:cstheme="minorBidi"/>
              <w:noProof/>
              <w:lang w:eastAsia="en-AU"/>
            </w:rPr>
          </w:pPr>
          <w:hyperlink w:anchor="_Toc12960543" w:history="1">
            <w:r w:rsidRPr="003D269D">
              <w:rPr>
                <w:rStyle w:val="Hyperlink"/>
                <w:noProof/>
              </w:rPr>
              <w:t>Outcome</w:t>
            </w:r>
            <w:r>
              <w:rPr>
                <w:noProof/>
                <w:webHidden/>
              </w:rPr>
              <w:tab/>
            </w:r>
            <w:r>
              <w:rPr>
                <w:noProof/>
                <w:webHidden/>
              </w:rPr>
              <w:fldChar w:fldCharType="begin"/>
            </w:r>
            <w:r>
              <w:rPr>
                <w:noProof/>
                <w:webHidden/>
              </w:rPr>
              <w:instrText xml:space="preserve"> PAGEREF _Toc12960543 \h </w:instrText>
            </w:r>
            <w:r>
              <w:rPr>
                <w:noProof/>
                <w:webHidden/>
              </w:rPr>
            </w:r>
            <w:r>
              <w:rPr>
                <w:noProof/>
                <w:webHidden/>
              </w:rPr>
              <w:fldChar w:fldCharType="separate"/>
            </w:r>
            <w:r>
              <w:rPr>
                <w:noProof/>
                <w:webHidden/>
              </w:rPr>
              <w:t>33</w:t>
            </w:r>
            <w:r>
              <w:rPr>
                <w:noProof/>
                <w:webHidden/>
              </w:rPr>
              <w:fldChar w:fldCharType="end"/>
            </w:r>
          </w:hyperlink>
        </w:p>
        <w:p w14:paraId="13CF6117" w14:textId="77777777" w:rsidR="00E41A89" w:rsidRDefault="00E41A89">
          <w:pPr>
            <w:pStyle w:val="TOC2"/>
            <w:rPr>
              <w:rFonts w:asciiTheme="minorHAnsi" w:eastAsiaTheme="minorEastAsia" w:hAnsiTheme="minorHAnsi" w:cstheme="minorBidi"/>
              <w:b w:val="0"/>
              <w:noProof/>
              <w:sz w:val="22"/>
              <w:lang w:eastAsia="en-AU"/>
            </w:rPr>
          </w:pPr>
          <w:hyperlink w:anchor="_Toc12960544" w:history="1">
            <w:r w:rsidRPr="003D269D">
              <w:rPr>
                <w:rStyle w:val="Hyperlink"/>
                <w:noProof/>
              </w:rPr>
              <w:t>Attachment 1. Product Information</w:t>
            </w:r>
            <w:r>
              <w:rPr>
                <w:noProof/>
                <w:webHidden/>
              </w:rPr>
              <w:tab/>
            </w:r>
            <w:r>
              <w:rPr>
                <w:noProof/>
                <w:webHidden/>
              </w:rPr>
              <w:fldChar w:fldCharType="begin"/>
            </w:r>
            <w:r>
              <w:rPr>
                <w:noProof/>
                <w:webHidden/>
              </w:rPr>
              <w:instrText xml:space="preserve"> PAGEREF _Toc12960544 \h </w:instrText>
            </w:r>
            <w:r>
              <w:rPr>
                <w:noProof/>
                <w:webHidden/>
              </w:rPr>
            </w:r>
            <w:r>
              <w:rPr>
                <w:noProof/>
                <w:webHidden/>
              </w:rPr>
              <w:fldChar w:fldCharType="separate"/>
            </w:r>
            <w:r>
              <w:rPr>
                <w:noProof/>
                <w:webHidden/>
              </w:rPr>
              <w:t>33</w:t>
            </w:r>
            <w:r>
              <w:rPr>
                <w:noProof/>
                <w:webHidden/>
              </w:rPr>
              <w:fldChar w:fldCharType="end"/>
            </w:r>
          </w:hyperlink>
        </w:p>
        <w:p w14:paraId="4C75433F" w14:textId="77777777" w:rsidR="003A7F6C" w:rsidRPr="00B811C6" w:rsidRDefault="00DB6124" w:rsidP="00B811C6">
          <w:pPr>
            <w:pStyle w:val="TOC2"/>
          </w:pPr>
          <w:r>
            <w:fldChar w:fldCharType="end"/>
          </w:r>
        </w:p>
      </w:sdtContent>
    </w:sdt>
    <w:bookmarkStart w:id="3" w:name="_Toc314842482" w:displacedByCustomXml="prev"/>
    <w:p w14:paraId="49A1AE04" w14:textId="77777777" w:rsidR="00FD119B" w:rsidRDefault="00FD119B">
      <w:pPr>
        <w:spacing w:before="0" w:after="200" w:line="0" w:lineRule="auto"/>
      </w:pPr>
      <w:r>
        <w:br w:type="page"/>
      </w:r>
    </w:p>
    <w:p w14:paraId="5A9D9908"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12960513"/>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E41A89" w:rsidRPr="00FD119B" w14:paraId="2F3B9E1D" w14:textId="77777777" w:rsidTr="001220E4">
        <w:trPr>
          <w:cnfStyle w:val="100000000000" w:firstRow="1" w:lastRow="0" w:firstColumn="0" w:lastColumn="0" w:oddVBand="0" w:evenVBand="0" w:oddHBand="0" w:evenHBand="0" w:firstRowFirstColumn="0" w:firstRowLastColumn="0" w:lastRowFirstColumn="0" w:lastRowLastColumn="0"/>
        </w:trPr>
        <w:tc>
          <w:tcPr>
            <w:tcW w:w="1890" w:type="dxa"/>
          </w:tcPr>
          <w:p w14:paraId="56BFC961" w14:textId="77777777" w:rsidR="00E41A89" w:rsidRPr="00FD119B" w:rsidRDefault="00E41A89" w:rsidP="001220E4">
            <w:pPr>
              <w:rPr>
                <w:lang w:eastAsia="en-US"/>
              </w:rPr>
            </w:pPr>
            <w:r w:rsidRPr="00FD119B">
              <w:rPr>
                <w:lang w:eastAsia="en-US"/>
              </w:rPr>
              <w:t>Abbreviation</w:t>
            </w:r>
          </w:p>
        </w:tc>
        <w:tc>
          <w:tcPr>
            <w:tcW w:w="6830" w:type="dxa"/>
          </w:tcPr>
          <w:p w14:paraId="169D6515" w14:textId="77777777" w:rsidR="00E41A89" w:rsidRPr="00FD119B" w:rsidRDefault="00E41A89" w:rsidP="001220E4">
            <w:pPr>
              <w:rPr>
                <w:lang w:eastAsia="en-US"/>
              </w:rPr>
            </w:pPr>
            <w:r w:rsidRPr="00FD119B">
              <w:rPr>
                <w:lang w:eastAsia="en-US"/>
              </w:rPr>
              <w:t>Meaning</w:t>
            </w:r>
          </w:p>
        </w:tc>
      </w:tr>
      <w:tr w:rsidR="00E41A89" w:rsidRPr="00BB5572" w14:paraId="4F14AC44" w14:textId="77777777" w:rsidTr="001220E4">
        <w:tc>
          <w:tcPr>
            <w:tcW w:w="1890" w:type="dxa"/>
          </w:tcPr>
          <w:p w14:paraId="1D2D7CF4" w14:textId="77777777" w:rsidR="00E41A89" w:rsidRPr="002046CF" w:rsidRDefault="00E41A89" w:rsidP="001220E4">
            <w:pPr>
              <w:rPr>
                <w:szCs w:val="22"/>
              </w:rPr>
            </w:pPr>
            <w:r w:rsidRPr="002046CF">
              <w:rPr>
                <w:szCs w:val="22"/>
              </w:rPr>
              <w:t>AE</w:t>
            </w:r>
          </w:p>
        </w:tc>
        <w:tc>
          <w:tcPr>
            <w:tcW w:w="6830" w:type="dxa"/>
          </w:tcPr>
          <w:p w14:paraId="751F5BE1" w14:textId="77777777" w:rsidR="00E41A89" w:rsidRPr="002046CF" w:rsidRDefault="00E41A89" w:rsidP="001220E4">
            <w:pPr>
              <w:rPr>
                <w:szCs w:val="22"/>
              </w:rPr>
            </w:pPr>
            <w:r w:rsidRPr="002046CF">
              <w:rPr>
                <w:szCs w:val="22"/>
              </w:rPr>
              <w:t>Adverse event</w:t>
            </w:r>
          </w:p>
        </w:tc>
      </w:tr>
      <w:tr w:rsidR="00E41A89" w:rsidRPr="00BB5572" w14:paraId="39CB4804" w14:textId="77777777" w:rsidTr="001220E4">
        <w:tc>
          <w:tcPr>
            <w:tcW w:w="1890" w:type="dxa"/>
          </w:tcPr>
          <w:p w14:paraId="67218B56" w14:textId="77777777" w:rsidR="00E41A89" w:rsidRPr="002046CF" w:rsidRDefault="00E41A89" w:rsidP="001220E4">
            <w:pPr>
              <w:rPr>
                <w:szCs w:val="22"/>
              </w:rPr>
            </w:pPr>
            <w:r w:rsidRPr="002046CF">
              <w:rPr>
                <w:szCs w:val="22"/>
              </w:rPr>
              <w:t>ALKP</w:t>
            </w:r>
          </w:p>
        </w:tc>
        <w:tc>
          <w:tcPr>
            <w:tcW w:w="6830" w:type="dxa"/>
          </w:tcPr>
          <w:p w14:paraId="0CEB4BE5" w14:textId="77777777" w:rsidR="00E41A89" w:rsidRPr="002046CF" w:rsidRDefault="00E41A89" w:rsidP="001220E4">
            <w:pPr>
              <w:rPr>
                <w:szCs w:val="22"/>
              </w:rPr>
            </w:pPr>
            <w:r w:rsidRPr="002046CF">
              <w:rPr>
                <w:szCs w:val="22"/>
              </w:rPr>
              <w:t>Alkaline phosphatase</w:t>
            </w:r>
          </w:p>
        </w:tc>
      </w:tr>
      <w:tr w:rsidR="00E41A89" w:rsidRPr="00BB5572" w14:paraId="4D3E51B3" w14:textId="77777777" w:rsidTr="001220E4">
        <w:tc>
          <w:tcPr>
            <w:tcW w:w="1890" w:type="dxa"/>
          </w:tcPr>
          <w:p w14:paraId="4696814B" w14:textId="77777777" w:rsidR="00E41A89" w:rsidRPr="002046CF" w:rsidRDefault="00E41A89" w:rsidP="001220E4">
            <w:pPr>
              <w:rPr>
                <w:szCs w:val="22"/>
              </w:rPr>
            </w:pPr>
            <w:r w:rsidRPr="002046CF">
              <w:rPr>
                <w:szCs w:val="22"/>
              </w:rPr>
              <w:t>ALT</w:t>
            </w:r>
          </w:p>
        </w:tc>
        <w:tc>
          <w:tcPr>
            <w:tcW w:w="6830" w:type="dxa"/>
          </w:tcPr>
          <w:p w14:paraId="16EAEACC" w14:textId="77777777" w:rsidR="00E41A89" w:rsidRPr="002046CF" w:rsidRDefault="00E41A89" w:rsidP="001220E4">
            <w:pPr>
              <w:rPr>
                <w:szCs w:val="22"/>
              </w:rPr>
            </w:pPr>
            <w:r w:rsidRPr="002046CF">
              <w:rPr>
                <w:szCs w:val="22"/>
              </w:rPr>
              <w:t>Alanine transaminase</w:t>
            </w:r>
          </w:p>
        </w:tc>
      </w:tr>
      <w:tr w:rsidR="00E41A89" w:rsidRPr="00BB5572" w14:paraId="46321CE7" w14:textId="77777777" w:rsidTr="001220E4">
        <w:tc>
          <w:tcPr>
            <w:tcW w:w="1890" w:type="dxa"/>
          </w:tcPr>
          <w:p w14:paraId="6AD125B4" w14:textId="77777777" w:rsidR="00E41A89" w:rsidRPr="002046CF" w:rsidRDefault="00E41A89" w:rsidP="001220E4">
            <w:pPr>
              <w:rPr>
                <w:szCs w:val="22"/>
              </w:rPr>
            </w:pPr>
            <w:r w:rsidRPr="002046CF">
              <w:rPr>
                <w:szCs w:val="22"/>
              </w:rPr>
              <w:t>ALC</w:t>
            </w:r>
          </w:p>
        </w:tc>
        <w:tc>
          <w:tcPr>
            <w:tcW w:w="6830" w:type="dxa"/>
          </w:tcPr>
          <w:p w14:paraId="74A056E2" w14:textId="77777777" w:rsidR="00E41A89" w:rsidRPr="002046CF" w:rsidRDefault="00E41A89" w:rsidP="001220E4">
            <w:pPr>
              <w:rPr>
                <w:szCs w:val="22"/>
              </w:rPr>
            </w:pPr>
            <w:r w:rsidRPr="002046CF">
              <w:rPr>
                <w:szCs w:val="22"/>
              </w:rPr>
              <w:t>Absolute lymphocyte count</w:t>
            </w:r>
          </w:p>
        </w:tc>
      </w:tr>
      <w:tr w:rsidR="00E41A89" w:rsidRPr="00BB5572" w14:paraId="6037A4A2" w14:textId="77777777" w:rsidTr="001220E4">
        <w:tc>
          <w:tcPr>
            <w:tcW w:w="1890" w:type="dxa"/>
          </w:tcPr>
          <w:p w14:paraId="0B8BAD0D" w14:textId="77777777" w:rsidR="00E41A89" w:rsidRPr="002046CF" w:rsidRDefault="00E41A89" w:rsidP="001220E4">
            <w:pPr>
              <w:rPr>
                <w:szCs w:val="22"/>
              </w:rPr>
            </w:pPr>
            <w:r w:rsidRPr="002046CF">
              <w:rPr>
                <w:szCs w:val="22"/>
              </w:rPr>
              <w:t>ANC</w:t>
            </w:r>
          </w:p>
        </w:tc>
        <w:tc>
          <w:tcPr>
            <w:tcW w:w="6830" w:type="dxa"/>
          </w:tcPr>
          <w:p w14:paraId="087A8B1E" w14:textId="77777777" w:rsidR="00E41A89" w:rsidRPr="002046CF" w:rsidRDefault="00E41A89" w:rsidP="001220E4">
            <w:pPr>
              <w:rPr>
                <w:szCs w:val="22"/>
              </w:rPr>
            </w:pPr>
            <w:r w:rsidRPr="002046CF">
              <w:rPr>
                <w:szCs w:val="22"/>
              </w:rPr>
              <w:t>Absolute neutrophil count</w:t>
            </w:r>
          </w:p>
        </w:tc>
      </w:tr>
      <w:tr w:rsidR="00E41A89" w:rsidRPr="00BB5572" w14:paraId="3B497001" w14:textId="77777777" w:rsidTr="001220E4">
        <w:tc>
          <w:tcPr>
            <w:tcW w:w="1890" w:type="dxa"/>
          </w:tcPr>
          <w:p w14:paraId="51B3D788" w14:textId="77777777" w:rsidR="00E41A89" w:rsidRPr="002046CF" w:rsidRDefault="00E41A89" w:rsidP="001220E4">
            <w:pPr>
              <w:rPr>
                <w:szCs w:val="22"/>
              </w:rPr>
            </w:pPr>
            <w:r w:rsidRPr="002046CF">
              <w:rPr>
                <w:szCs w:val="22"/>
              </w:rPr>
              <w:t>AST</w:t>
            </w:r>
          </w:p>
        </w:tc>
        <w:tc>
          <w:tcPr>
            <w:tcW w:w="6830" w:type="dxa"/>
          </w:tcPr>
          <w:p w14:paraId="7B605FD5" w14:textId="77777777" w:rsidR="00E41A89" w:rsidRPr="002046CF" w:rsidRDefault="00E41A89" w:rsidP="001220E4">
            <w:pPr>
              <w:rPr>
                <w:szCs w:val="22"/>
              </w:rPr>
            </w:pPr>
            <w:r w:rsidRPr="002046CF">
              <w:rPr>
                <w:szCs w:val="22"/>
              </w:rPr>
              <w:t>Aspartate transaminase</w:t>
            </w:r>
          </w:p>
        </w:tc>
      </w:tr>
      <w:tr w:rsidR="00E41A89" w:rsidRPr="00BB5572" w14:paraId="3C79C05D" w14:textId="77777777" w:rsidTr="001220E4">
        <w:tc>
          <w:tcPr>
            <w:tcW w:w="1890" w:type="dxa"/>
          </w:tcPr>
          <w:p w14:paraId="0B5AB959" w14:textId="77777777" w:rsidR="00E41A89" w:rsidRPr="002046CF" w:rsidRDefault="00E41A89" w:rsidP="001220E4">
            <w:pPr>
              <w:rPr>
                <w:szCs w:val="22"/>
              </w:rPr>
            </w:pPr>
            <w:r w:rsidRPr="002046CF">
              <w:rPr>
                <w:szCs w:val="22"/>
              </w:rPr>
              <w:t>BIL</w:t>
            </w:r>
          </w:p>
        </w:tc>
        <w:tc>
          <w:tcPr>
            <w:tcW w:w="6830" w:type="dxa"/>
          </w:tcPr>
          <w:p w14:paraId="32853CC9" w14:textId="77777777" w:rsidR="00E41A89" w:rsidRPr="002046CF" w:rsidRDefault="00E41A89" w:rsidP="001220E4">
            <w:pPr>
              <w:rPr>
                <w:szCs w:val="22"/>
              </w:rPr>
            </w:pPr>
            <w:r w:rsidRPr="002046CF">
              <w:rPr>
                <w:szCs w:val="22"/>
              </w:rPr>
              <w:t>Bilirubin</w:t>
            </w:r>
          </w:p>
        </w:tc>
      </w:tr>
      <w:tr w:rsidR="00E41A89" w:rsidRPr="00BB5572" w14:paraId="71CB27BA" w14:textId="77777777" w:rsidTr="001220E4">
        <w:tc>
          <w:tcPr>
            <w:tcW w:w="1890" w:type="dxa"/>
          </w:tcPr>
          <w:p w14:paraId="25D5855B" w14:textId="77777777" w:rsidR="00E41A89" w:rsidRPr="002046CF" w:rsidRDefault="00E41A89" w:rsidP="001220E4">
            <w:pPr>
              <w:rPr>
                <w:szCs w:val="22"/>
              </w:rPr>
            </w:pPr>
            <w:r w:rsidRPr="002046CF">
              <w:rPr>
                <w:szCs w:val="22"/>
              </w:rPr>
              <w:t>CI</w:t>
            </w:r>
          </w:p>
        </w:tc>
        <w:tc>
          <w:tcPr>
            <w:tcW w:w="6830" w:type="dxa"/>
          </w:tcPr>
          <w:p w14:paraId="0B69B82C" w14:textId="77777777" w:rsidR="00E41A89" w:rsidRPr="002046CF" w:rsidRDefault="00E41A89" w:rsidP="001220E4">
            <w:pPr>
              <w:rPr>
                <w:szCs w:val="22"/>
              </w:rPr>
            </w:pPr>
            <w:r w:rsidRPr="002046CF">
              <w:rPr>
                <w:szCs w:val="22"/>
              </w:rPr>
              <w:t>Confidence interval</w:t>
            </w:r>
          </w:p>
        </w:tc>
      </w:tr>
      <w:tr w:rsidR="00E41A89" w:rsidRPr="00BB5572" w14:paraId="411BD855" w14:textId="77777777" w:rsidTr="001220E4">
        <w:tc>
          <w:tcPr>
            <w:tcW w:w="1890" w:type="dxa"/>
          </w:tcPr>
          <w:p w14:paraId="19C0102C" w14:textId="77777777" w:rsidR="00E41A89" w:rsidRPr="002046CF" w:rsidRDefault="00E41A89" w:rsidP="001220E4">
            <w:pPr>
              <w:rPr>
                <w:szCs w:val="22"/>
              </w:rPr>
            </w:pPr>
            <w:r w:rsidRPr="002046CF">
              <w:rPr>
                <w:szCs w:val="22"/>
              </w:rPr>
              <w:t>CMI</w:t>
            </w:r>
          </w:p>
        </w:tc>
        <w:tc>
          <w:tcPr>
            <w:tcW w:w="6830" w:type="dxa"/>
          </w:tcPr>
          <w:p w14:paraId="7839165D" w14:textId="77777777" w:rsidR="00E41A89" w:rsidRPr="002046CF" w:rsidRDefault="00E41A89" w:rsidP="001220E4">
            <w:pPr>
              <w:rPr>
                <w:szCs w:val="22"/>
              </w:rPr>
            </w:pPr>
            <w:r w:rsidRPr="002046CF">
              <w:rPr>
                <w:szCs w:val="22"/>
              </w:rPr>
              <w:t>Consumer Medicines Information</w:t>
            </w:r>
          </w:p>
        </w:tc>
      </w:tr>
      <w:tr w:rsidR="00E41A89" w:rsidRPr="00BB5572" w14:paraId="3806FEF1" w14:textId="77777777" w:rsidTr="001220E4">
        <w:tc>
          <w:tcPr>
            <w:tcW w:w="1890" w:type="dxa"/>
          </w:tcPr>
          <w:p w14:paraId="644719F5" w14:textId="77777777" w:rsidR="00E41A89" w:rsidRPr="002046CF" w:rsidRDefault="00E41A89" w:rsidP="001220E4">
            <w:pPr>
              <w:rPr>
                <w:szCs w:val="22"/>
              </w:rPr>
            </w:pPr>
            <w:r w:rsidRPr="002046CF">
              <w:rPr>
                <w:szCs w:val="22"/>
              </w:rPr>
              <w:t>CR</w:t>
            </w:r>
          </w:p>
        </w:tc>
        <w:tc>
          <w:tcPr>
            <w:tcW w:w="6830" w:type="dxa"/>
          </w:tcPr>
          <w:p w14:paraId="16BBA71F" w14:textId="77777777" w:rsidR="00E41A89" w:rsidRPr="002046CF" w:rsidRDefault="00E41A89" w:rsidP="001220E4">
            <w:pPr>
              <w:rPr>
                <w:szCs w:val="22"/>
              </w:rPr>
            </w:pPr>
            <w:r w:rsidRPr="002046CF">
              <w:rPr>
                <w:szCs w:val="22"/>
              </w:rPr>
              <w:t>Complete Response</w:t>
            </w:r>
          </w:p>
        </w:tc>
      </w:tr>
      <w:tr w:rsidR="00E41A89" w:rsidRPr="00BB5572" w14:paraId="06EEE965" w14:textId="77777777" w:rsidTr="001220E4">
        <w:tc>
          <w:tcPr>
            <w:tcW w:w="1890" w:type="dxa"/>
          </w:tcPr>
          <w:p w14:paraId="7F6F439B" w14:textId="77777777" w:rsidR="00E41A89" w:rsidRPr="002046CF" w:rsidRDefault="00E41A89" w:rsidP="001220E4">
            <w:pPr>
              <w:rPr>
                <w:szCs w:val="22"/>
              </w:rPr>
            </w:pPr>
            <w:proofErr w:type="spellStart"/>
            <w:r w:rsidRPr="002046CF">
              <w:rPr>
                <w:szCs w:val="22"/>
              </w:rPr>
              <w:t>CrCl</w:t>
            </w:r>
            <w:proofErr w:type="spellEnd"/>
          </w:p>
        </w:tc>
        <w:tc>
          <w:tcPr>
            <w:tcW w:w="6830" w:type="dxa"/>
          </w:tcPr>
          <w:p w14:paraId="6A818C43" w14:textId="77777777" w:rsidR="00E41A89" w:rsidRPr="002046CF" w:rsidRDefault="00E41A89" w:rsidP="001220E4">
            <w:pPr>
              <w:rPr>
                <w:szCs w:val="22"/>
              </w:rPr>
            </w:pPr>
            <w:r w:rsidRPr="002046CF">
              <w:rPr>
                <w:szCs w:val="22"/>
              </w:rPr>
              <w:t>Creatinine clearance</w:t>
            </w:r>
          </w:p>
        </w:tc>
      </w:tr>
      <w:tr w:rsidR="00E41A89" w:rsidRPr="00BB5572" w14:paraId="22D93C06" w14:textId="77777777" w:rsidTr="001220E4">
        <w:tc>
          <w:tcPr>
            <w:tcW w:w="1890" w:type="dxa"/>
          </w:tcPr>
          <w:p w14:paraId="167C6F42" w14:textId="77777777" w:rsidR="00E41A89" w:rsidRPr="002046CF" w:rsidRDefault="00E41A89" w:rsidP="001220E4">
            <w:pPr>
              <w:rPr>
                <w:szCs w:val="22"/>
                <w:lang w:val="en-US"/>
              </w:rPr>
            </w:pPr>
            <w:r w:rsidRPr="002046CF">
              <w:rPr>
                <w:szCs w:val="22"/>
                <w:lang w:val="en-US"/>
              </w:rPr>
              <w:t>CT</w:t>
            </w:r>
          </w:p>
        </w:tc>
        <w:tc>
          <w:tcPr>
            <w:tcW w:w="6830" w:type="dxa"/>
          </w:tcPr>
          <w:p w14:paraId="3EC4E6DB" w14:textId="77777777" w:rsidR="00E41A89" w:rsidRPr="002046CF" w:rsidRDefault="00E41A89" w:rsidP="001220E4">
            <w:pPr>
              <w:rPr>
                <w:szCs w:val="22"/>
                <w:lang w:val="en-US"/>
              </w:rPr>
            </w:pPr>
            <w:r w:rsidRPr="002046CF">
              <w:rPr>
                <w:szCs w:val="22"/>
                <w:lang w:val="en-US"/>
              </w:rPr>
              <w:t>X-Ray computed tomography</w:t>
            </w:r>
          </w:p>
        </w:tc>
      </w:tr>
      <w:tr w:rsidR="00E41A89" w:rsidRPr="00BB5572" w14:paraId="43C401B1" w14:textId="77777777" w:rsidTr="001220E4">
        <w:tc>
          <w:tcPr>
            <w:tcW w:w="1890" w:type="dxa"/>
          </w:tcPr>
          <w:p w14:paraId="02E06B34" w14:textId="77777777" w:rsidR="00E41A89" w:rsidRPr="002046CF" w:rsidRDefault="00E41A89" w:rsidP="001220E4">
            <w:pPr>
              <w:rPr>
                <w:szCs w:val="22"/>
                <w:lang w:val="en-US"/>
              </w:rPr>
            </w:pPr>
            <w:r w:rsidRPr="002046CF">
              <w:rPr>
                <w:szCs w:val="22"/>
                <w:lang w:val="en-US"/>
              </w:rPr>
              <w:t>CTCAE</w:t>
            </w:r>
          </w:p>
        </w:tc>
        <w:tc>
          <w:tcPr>
            <w:tcW w:w="6830" w:type="dxa"/>
          </w:tcPr>
          <w:p w14:paraId="767D6621" w14:textId="77777777" w:rsidR="00E41A89" w:rsidRPr="002046CF" w:rsidRDefault="00E41A89" w:rsidP="001220E4">
            <w:pPr>
              <w:rPr>
                <w:szCs w:val="22"/>
                <w:lang w:val="en-US"/>
              </w:rPr>
            </w:pPr>
            <w:r w:rsidRPr="002046CF">
              <w:rPr>
                <w:szCs w:val="22"/>
                <w:lang w:val="en-US"/>
              </w:rPr>
              <w:t>Common terminology criteria for adverse events</w:t>
            </w:r>
          </w:p>
        </w:tc>
      </w:tr>
      <w:tr w:rsidR="00E41A89" w:rsidRPr="00BB5572" w14:paraId="3DF1C50C" w14:textId="77777777" w:rsidTr="001220E4">
        <w:tc>
          <w:tcPr>
            <w:tcW w:w="1890" w:type="dxa"/>
          </w:tcPr>
          <w:p w14:paraId="5181BDE3" w14:textId="77777777" w:rsidR="00E41A89" w:rsidRPr="002046CF" w:rsidRDefault="00E41A89" w:rsidP="001220E4">
            <w:pPr>
              <w:rPr>
                <w:szCs w:val="22"/>
                <w:lang w:val="en-US"/>
              </w:rPr>
            </w:pPr>
            <w:r w:rsidRPr="002046CF">
              <w:rPr>
                <w:szCs w:val="22"/>
                <w:lang w:val="en-US"/>
              </w:rPr>
              <w:t>DCR</w:t>
            </w:r>
          </w:p>
        </w:tc>
        <w:tc>
          <w:tcPr>
            <w:tcW w:w="6830" w:type="dxa"/>
          </w:tcPr>
          <w:p w14:paraId="795E9E74" w14:textId="77777777" w:rsidR="00E41A89" w:rsidRPr="002046CF" w:rsidRDefault="00E41A89" w:rsidP="001220E4">
            <w:pPr>
              <w:rPr>
                <w:szCs w:val="22"/>
                <w:lang w:val="en-US"/>
              </w:rPr>
            </w:pPr>
            <w:r w:rsidRPr="002046CF">
              <w:rPr>
                <w:szCs w:val="22"/>
                <w:lang w:val="en-US"/>
              </w:rPr>
              <w:t>Disease control rate</w:t>
            </w:r>
          </w:p>
        </w:tc>
      </w:tr>
      <w:tr w:rsidR="00E41A89" w:rsidRPr="00BB5572" w14:paraId="0E1B864B" w14:textId="77777777" w:rsidTr="001220E4">
        <w:tc>
          <w:tcPr>
            <w:tcW w:w="1890" w:type="dxa"/>
          </w:tcPr>
          <w:p w14:paraId="7F212F67" w14:textId="77777777" w:rsidR="00E41A89" w:rsidRPr="002046CF" w:rsidRDefault="00E41A89" w:rsidP="001220E4">
            <w:pPr>
              <w:rPr>
                <w:szCs w:val="22"/>
                <w:lang w:val="en-US"/>
              </w:rPr>
            </w:pPr>
            <w:r w:rsidRPr="002046CF">
              <w:rPr>
                <w:szCs w:val="22"/>
                <w:lang w:val="en-US"/>
              </w:rPr>
              <w:t>DLT</w:t>
            </w:r>
          </w:p>
        </w:tc>
        <w:tc>
          <w:tcPr>
            <w:tcW w:w="6830" w:type="dxa"/>
          </w:tcPr>
          <w:p w14:paraId="37247EA6" w14:textId="77777777" w:rsidR="00E41A89" w:rsidRPr="002046CF" w:rsidRDefault="00E41A89" w:rsidP="001220E4">
            <w:pPr>
              <w:rPr>
                <w:szCs w:val="22"/>
                <w:lang w:val="en-US"/>
              </w:rPr>
            </w:pPr>
            <w:r w:rsidRPr="002046CF">
              <w:rPr>
                <w:szCs w:val="22"/>
                <w:lang w:val="en-US"/>
              </w:rPr>
              <w:t>Dose limiting toxicity</w:t>
            </w:r>
          </w:p>
        </w:tc>
      </w:tr>
      <w:tr w:rsidR="00E41A89" w:rsidRPr="00BB5572" w14:paraId="01C454F4" w14:textId="77777777" w:rsidTr="001220E4">
        <w:tc>
          <w:tcPr>
            <w:tcW w:w="1890" w:type="dxa"/>
          </w:tcPr>
          <w:p w14:paraId="50FB9282" w14:textId="77777777" w:rsidR="00E41A89" w:rsidRPr="002046CF" w:rsidRDefault="00E41A89" w:rsidP="001220E4">
            <w:pPr>
              <w:rPr>
                <w:szCs w:val="22"/>
                <w:lang w:val="en-US"/>
              </w:rPr>
            </w:pPr>
            <w:proofErr w:type="spellStart"/>
            <w:r w:rsidRPr="002046CF">
              <w:rPr>
                <w:szCs w:val="22"/>
                <w:lang w:val="en-US"/>
              </w:rPr>
              <w:t>DoR</w:t>
            </w:r>
            <w:proofErr w:type="spellEnd"/>
          </w:p>
        </w:tc>
        <w:tc>
          <w:tcPr>
            <w:tcW w:w="6830" w:type="dxa"/>
          </w:tcPr>
          <w:p w14:paraId="5E3065F5" w14:textId="77777777" w:rsidR="00E41A89" w:rsidRPr="002046CF" w:rsidRDefault="00E41A89" w:rsidP="001220E4">
            <w:pPr>
              <w:rPr>
                <w:szCs w:val="22"/>
                <w:lang w:val="en-US"/>
              </w:rPr>
            </w:pPr>
            <w:r w:rsidRPr="002046CF">
              <w:rPr>
                <w:szCs w:val="22"/>
                <w:lang w:val="en-US"/>
              </w:rPr>
              <w:t>Duration of response</w:t>
            </w:r>
          </w:p>
        </w:tc>
      </w:tr>
      <w:tr w:rsidR="00E41A89" w:rsidRPr="00BB5572" w14:paraId="607F3F87" w14:textId="77777777" w:rsidTr="001220E4">
        <w:tc>
          <w:tcPr>
            <w:tcW w:w="1890" w:type="dxa"/>
          </w:tcPr>
          <w:p w14:paraId="63FBCC29" w14:textId="77777777" w:rsidR="00E41A89" w:rsidRPr="002046CF" w:rsidRDefault="00E41A89" w:rsidP="001220E4">
            <w:pPr>
              <w:rPr>
                <w:szCs w:val="22"/>
                <w:lang w:val="en-US"/>
              </w:rPr>
            </w:pPr>
            <w:r w:rsidRPr="002046CF">
              <w:rPr>
                <w:szCs w:val="22"/>
                <w:lang w:val="en-US"/>
              </w:rPr>
              <w:t>ECG</w:t>
            </w:r>
          </w:p>
        </w:tc>
        <w:tc>
          <w:tcPr>
            <w:tcW w:w="6830" w:type="dxa"/>
          </w:tcPr>
          <w:p w14:paraId="4DD43197" w14:textId="77777777" w:rsidR="00E41A89" w:rsidRPr="002046CF" w:rsidRDefault="00E41A89" w:rsidP="001220E4">
            <w:pPr>
              <w:rPr>
                <w:szCs w:val="22"/>
                <w:lang w:val="en-US"/>
              </w:rPr>
            </w:pPr>
            <w:r w:rsidRPr="002046CF">
              <w:rPr>
                <w:szCs w:val="22"/>
                <w:lang w:val="en-US"/>
              </w:rPr>
              <w:t>Electrocardiograph</w:t>
            </w:r>
          </w:p>
        </w:tc>
      </w:tr>
      <w:tr w:rsidR="00E41A89" w:rsidRPr="00BB5572" w14:paraId="30E48BFA" w14:textId="77777777" w:rsidTr="001220E4">
        <w:tc>
          <w:tcPr>
            <w:tcW w:w="1890" w:type="dxa"/>
          </w:tcPr>
          <w:p w14:paraId="0CB4F770" w14:textId="77777777" w:rsidR="00E41A89" w:rsidRPr="002046CF" w:rsidRDefault="00E41A89" w:rsidP="001220E4">
            <w:pPr>
              <w:rPr>
                <w:szCs w:val="22"/>
                <w:lang w:val="en-US"/>
              </w:rPr>
            </w:pPr>
            <w:r w:rsidRPr="002046CF">
              <w:rPr>
                <w:szCs w:val="22"/>
                <w:lang w:val="en-US"/>
              </w:rPr>
              <w:t>ECOG</w:t>
            </w:r>
          </w:p>
        </w:tc>
        <w:tc>
          <w:tcPr>
            <w:tcW w:w="6830" w:type="dxa"/>
          </w:tcPr>
          <w:p w14:paraId="15852B8D" w14:textId="77777777" w:rsidR="00E41A89" w:rsidRPr="002046CF" w:rsidRDefault="00E41A89" w:rsidP="001220E4">
            <w:pPr>
              <w:rPr>
                <w:szCs w:val="22"/>
                <w:lang w:val="en-US"/>
              </w:rPr>
            </w:pPr>
            <w:r w:rsidRPr="002046CF">
              <w:rPr>
                <w:szCs w:val="22"/>
                <w:lang w:val="en-US"/>
              </w:rPr>
              <w:t>Eastern Cooperative Oncology Group</w:t>
            </w:r>
          </w:p>
        </w:tc>
      </w:tr>
      <w:tr w:rsidR="00E41A89" w:rsidRPr="00BB5572" w14:paraId="3225D7CB" w14:textId="77777777" w:rsidTr="001220E4">
        <w:tc>
          <w:tcPr>
            <w:tcW w:w="1890" w:type="dxa"/>
          </w:tcPr>
          <w:p w14:paraId="4ADAC1CC" w14:textId="77777777" w:rsidR="00E41A89" w:rsidRPr="002046CF" w:rsidRDefault="00E41A89" w:rsidP="001220E4">
            <w:pPr>
              <w:rPr>
                <w:szCs w:val="22"/>
              </w:rPr>
            </w:pPr>
            <w:r w:rsidRPr="002046CF">
              <w:rPr>
                <w:szCs w:val="22"/>
              </w:rPr>
              <w:t>EMA</w:t>
            </w:r>
          </w:p>
        </w:tc>
        <w:tc>
          <w:tcPr>
            <w:tcW w:w="6830" w:type="dxa"/>
          </w:tcPr>
          <w:p w14:paraId="45498FFE" w14:textId="77777777" w:rsidR="00E41A89" w:rsidRPr="002046CF" w:rsidRDefault="00E41A89" w:rsidP="001220E4">
            <w:pPr>
              <w:rPr>
                <w:szCs w:val="22"/>
              </w:rPr>
            </w:pPr>
            <w:r w:rsidRPr="002046CF">
              <w:rPr>
                <w:szCs w:val="22"/>
              </w:rPr>
              <w:t>European Medicines Agency</w:t>
            </w:r>
          </w:p>
        </w:tc>
      </w:tr>
      <w:tr w:rsidR="00E41A89" w:rsidRPr="00BB5572" w14:paraId="1665F6C6" w14:textId="77777777" w:rsidTr="001220E4">
        <w:tc>
          <w:tcPr>
            <w:tcW w:w="1890" w:type="dxa"/>
          </w:tcPr>
          <w:p w14:paraId="70D45C63" w14:textId="77777777" w:rsidR="00E41A89" w:rsidRPr="002046CF" w:rsidRDefault="00E41A89" w:rsidP="001220E4">
            <w:pPr>
              <w:rPr>
                <w:szCs w:val="22"/>
              </w:rPr>
            </w:pPr>
            <w:r w:rsidRPr="002046CF">
              <w:rPr>
                <w:szCs w:val="22"/>
              </w:rPr>
              <w:t>EORTC</w:t>
            </w:r>
          </w:p>
        </w:tc>
        <w:tc>
          <w:tcPr>
            <w:tcW w:w="6830" w:type="dxa"/>
          </w:tcPr>
          <w:p w14:paraId="1DE93369" w14:textId="77777777" w:rsidR="00E41A89" w:rsidRPr="002046CF" w:rsidRDefault="00E41A89" w:rsidP="001220E4">
            <w:pPr>
              <w:rPr>
                <w:szCs w:val="22"/>
              </w:rPr>
            </w:pPr>
            <w:r w:rsidRPr="002046CF">
              <w:rPr>
                <w:szCs w:val="22"/>
              </w:rPr>
              <w:t>European Organisation for Research and Treatment of Cancer</w:t>
            </w:r>
          </w:p>
        </w:tc>
      </w:tr>
      <w:tr w:rsidR="00E41A89" w:rsidRPr="00BB5572" w14:paraId="2E7CE51D" w14:textId="77777777" w:rsidTr="001220E4">
        <w:tc>
          <w:tcPr>
            <w:tcW w:w="1890" w:type="dxa"/>
          </w:tcPr>
          <w:p w14:paraId="60B8C32C" w14:textId="77777777" w:rsidR="00E41A89" w:rsidRPr="002046CF" w:rsidRDefault="00E41A89" w:rsidP="001220E4">
            <w:pPr>
              <w:rPr>
                <w:szCs w:val="22"/>
              </w:rPr>
            </w:pPr>
            <w:r w:rsidRPr="002046CF">
              <w:rPr>
                <w:szCs w:val="22"/>
              </w:rPr>
              <w:t>FAS</w:t>
            </w:r>
          </w:p>
        </w:tc>
        <w:tc>
          <w:tcPr>
            <w:tcW w:w="6830" w:type="dxa"/>
          </w:tcPr>
          <w:p w14:paraId="2B24667F" w14:textId="77777777" w:rsidR="00E41A89" w:rsidRPr="002046CF" w:rsidRDefault="00E41A89" w:rsidP="001220E4">
            <w:pPr>
              <w:rPr>
                <w:szCs w:val="22"/>
              </w:rPr>
            </w:pPr>
            <w:r w:rsidRPr="002046CF">
              <w:rPr>
                <w:szCs w:val="22"/>
              </w:rPr>
              <w:t>Full analysis set</w:t>
            </w:r>
          </w:p>
        </w:tc>
      </w:tr>
      <w:tr w:rsidR="00E41A89" w:rsidRPr="00BB5572" w14:paraId="7EEDCE14" w14:textId="77777777" w:rsidTr="001220E4">
        <w:tc>
          <w:tcPr>
            <w:tcW w:w="1890" w:type="dxa"/>
          </w:tcPr>
          <w:p w14:paraId="086E4E40" w14:textId="77777777" w:rsidR="00E41A89" w:rsidRPr="002046CF" w:rsidRDefault="00E41A89" w:rsidP="001220E4">
            <w:pPr>
              <w:rPr>
                <w:szCs w:val="22"/>
              </w:rPr>
            </w:pPr>
            <w:r w:rsidRPr="002046CF">
              <w:rPr>
                <w:szCs w:val="22"/>
              </w:rPr>
              <w:t>FDA</w:t>
            </w:r>
          </w:p>
        </w:tc>
        <w:tc>
          <w:tcPr>
            <w:tcW w:w="6830" w:type="dxa"/>
          </w:tcPr>
          <w:p w14:paraId="0ABC9005" w14:textId="77777777" w:rsidR="00E41A89" w:rsidRPr="002046CF" w:rsidRDefault="00E41A89" w:rsidP="001220E4">
            <w:pPr>
              <w:rPr>
                <w:szCs w:val="22"/>
              </w:rPr>
            </w:pPr>
            <w:r w:rsidRPr="002046CF">
              <w:rPr>
                <w:szCs w:val="22"/>
              </w:rPr>
              <w:t>Food and Drug Administration</w:t>
            </w:r>
          </w:p>
        </w:tc>
      </w:tr>
      <w:tr w:rsidR="00E41A89" w:rsidRPr="00BB5572" w14:paraId="6722C143" w14:textId="77777777" w:rsidTr="001220E4">
        <w:tc>
          <w:tcPr>
            <w:tcW w:w="1890" w:type="dxa"/>
          </w:tcPr>
          <w:p w14:paraId="0407D34D" w14:textId="77777777" w:rsidR="00E41A89" w:rsidRPr="002046CF" w:rsidRDefault="00E41A89" w:rsidP="001220E4">
            <w:pPr>
              <w:rPr>
                <w:szCs w:val="22"/>
              </w:rPr>
            </w:pPr>
            <w:r w:rsidRPr="002046CF">
              <w:rPr>
                <w:szCs w:val="22"/>
              </w:rPr>
              <w:t>GCP</w:t>
            </w:r>
          </w:p>
        </w:tc>
        <w:tc>
          <w:tcPr>
            <w:tcW w:w="6830" w:type="dxa"/>
          </w:tcPr>
          <w:p w14:paraId="3B41D204" w14:textId="77777777" w:rsidR="00E41A89" w:rsidRPr="002046CF" w:rsidRDefault="00E41A89" w:rsidP="001220E4">
            <w:pPr>
              <w:rPr>
                <w:szCs w:val="22"/>
              </w:rPr>
            </w:pPr>
            <w:r w:rsidRPr="002046CF">
              <w:rPr>
                <w:szCs w:val="22"/>
              </w:rPr>
              <w:t>Good clinical practice</w:t>
            </w:r>
          </w:p>
        </w:tc>
      </w:tr>
      <w:tr w:rsidR="00E41A89" w:rsidRPr="00BB5572" w14:paraId="355B20D0" w14:textId="77777777" w:rsidTr="001220E4">
        <w:tc>
          <w:tcPr>
            <w:tcW w:w="1890" w:type="dxa"/>
          </w:tcPr>
          <w:p w14:paraId="3B5D1110" w14:textId="77777777" w:rsidR="00E41A89" w:rsidRPr="002046CF" w:rsidRDefault="00E41A89" w:rsidP="001220E4">
            <w:pPr>
              <w:rPr>
                <w:szCs w:val="22"/>
              </w:rPr>
            </w:pPr>
            <w:r w:rsidRPr="002046CF">
              <w:rPr>
                <w:szCs w:val="22"/>
              </w:rPr>
              <w:t>HR</w:t>
            </w:r>
          </w:p>
        </w:tc>
        <w:tc>
          <w:tcPr>
            <w:tcW w:w="6830" w:type="dxa"/>
          </w:tcPr>
          <w:p w14:paraId="7C6477F6" w14:textId="77777777" w:rsidR="00E41A89" w:rsidRPr="002046CF" w:rsidRDefault="00E41A89" w:rsidP="001220E4">
            <w:pPr>
              <w:rPr>
                <w:szCs w:val="22"/>
              </w:rPr>
            </w:pPr>
            <w:r w:rsidRPr="002046CF">
              <w:rPr>
                <w:szCs w:val="22"/>
              </w:rPr>
              <w:t>Hazard ratio</w:t>
            </w:r>
          </w:p>
        </w:tc>
      </w:tr>
      <w:tr w:rsidR="00E41A89" w:rsidRPr="00BB5572" w14:paraId="7D8DA6A5" w14:textId="77777777" w:rsidTr="001220E4">
        <w:tc>
          <w:tcPr>
            <w:tcW w:w="1890" w:type="dxa"/>
          </w:tcPr>
          <w:p w14:paraId="04069C90" w14:textId="77777777" w:rsidR="00E41A89" w:rsidRPr="002046CF" w:rsidRDefault="00E41A89" w:rsidP="001220E4">
            <w:pPr>
              <w:rPr>
                <w:szCs w:val="22"/>
              </w:rPr>
            </w:pPr>
            <w:r w:rsidRPr="002046CF">
              <w:rPr>
                <w:szCs w:val="22"/>
              </w:rPr>
              <w:t>ICH</w:t>
            </w:r>
          </w:p>
        </w:tc>
        <w:tc>
          <w:tcPr>
            <w:tcW w:w="6830" w:type="dxa"/>
          </w:tcPr>
          <w:p w14:paraId="0CB1015B" w14:textId="77777777" w:rsidR="00E41A89" w:rsidRPr="002046CF" w:rsidRDefault="00E41A89" w:rsidP="001220E4">
            <w:pPr>
              <w:rPr>
                <w:szCs w:val="22"/>
              </w:rPr>
            </w:pPr>
            <w:r w:rsidRPr="002046CF">
              <w:rPr>
                <w:szCs w:val="22"/>
              </w:rPr>
              <w:t>International Conference on Harmonisation</w:t>
            </w:r>
          </w:p>
        </w:tc>
      </w:tr>
      <w:tr w:rsidR="00E41A89" w:rsidRPr="00BB5572" w14:paraId="2CD9E267" w14:textId="77777777" w:rsidTr="001220E4">
        <w:tc>
          <w:tcPr>
            <w:tcW w:w="1890" w:type="dxa"/>
          </w:tcPr>
          <w:p w14:paraId="3E3EF6B0" w14:textId="77777777" w:rsidR="00E41A89" w:rsidRPr="002046CF" w:rsidRDefault="00E41A89" w:rsidP="001220E4">
            <w:pPr>
              <w:rPr>
                <w:szCs w:val="22"/>
              </w:rPr>
            </w:pPr>
            <w:r w:rsidRPr="002046CF">
              <w:rPr>
                <w:szCs w:val="22"/>
              </w:rPr>
              <w:t>ITT</w:t>
            </w:r>
          </w:p>
        </w:tc>
        <w:tc>
          <w:tcPr>
            <w:tcW w:w="6830" w:type="dxa"/>
          </w:tcPr>
          <w:p w14:paraId="108A8340" w14:textId="77777777" w:rsidR="00E41A89" w:rsidRPr="002046CF" w:rsidRDefault="00E41A89" w:rsidP="001220E4">
            <w:pPr>
              <w:rPr>
                <w:szCs w:val="22"/>
              </w:rPr>
            </w:pPr>
            <w:r w:rsidRPr="002046CF">
              <w:rPr>
                <w:szCs w:val="22"/>
              </w:rPr>
              <w:t>Intention to treat</w:t>
            </w:r>
          </w:p>
        </w:tc>
      </w:tr>
      <w:tr w:rsidR="00E41A89" w:rsidRPr="00BB5572" w14:paraId="50C4C60F" w14:textId="77777777" w:rsidTr="001220E4">
        <w:tc>
          <w:tcPr>
            <w:tcW w:w="1890" w:type="dxa"/>
          </w:tcPr>
          <w:p w14:paraId="3DCF4D14" w14:textId="77777777" w:rsidR="00E41A89" w:rsidRPr="002046CF" w:rsidRDefault="00E41A89" w:rsidP="001220E4">
            <w:pPr>
              <w:rPr>
                <w:szCs w:val="22"/>
              </w:rPr>
            </w:pPr>
            <w:r w:rsidRPr="002046CF">
              <w:rPr>
                <w:szCs w:val="22"/>
              </w:rPr>
              <w:t>IV</w:t>
            </w:r>
          </w:p>
        </w:tc>
        <w:tc>
          <w:tcPr>
            <w:tcW w:w="6830" w:type="dxa"/>
          </w:tcPr>
          <w:p w14:paraId="54CCD2EE" w14:textId="77777777" w:rsidR="00E41A89" w:rsidRPr="002046CF" w:rsidRDefault="00E41A89" w:rsidP="001220E4">
            <w:pPr>
              <w:rPr>
                <w:szCs w:val="22"/>
              </w:rPr>
            </w:pPr>
            <w:r w:rsidRPr="002046CF">
              <w:rPr>
                <w:szCs w:val="22"/>
              </w:rPr>
              <w:t>Intravenous</w:t>
            </w:r>
          </w:p>
        </w:tc>
      </w:tr>
      <w:tr w:rsidR="00E41A89" w:rsidRPr="00BB5572" w14:paraId="65DDF4CC" w14:textId="77777777" w:rsidTr="001220E4">
        <w:tc>
          <w:tcPr>
            <w:tcW w:w="1890" w:type="dxa"/>
          </w:tcPr>
          <w:p w14:paraId="27EEFFDF" w14:textId="77777777" w:rsidR="00E41A89" w:rsidRPr="002046CF" w:rsidRDefault="00E41A89" w:rsidP="001220E4">
            <w:pPr>
              <w:rPr>
                <w:szCs w:val="22"/>
              </w:rPr>
            </w:pPr>
            <w:r w:rsidRPr="002046CF">
              <w:rPr>
                <w:szCs w:val="22"/>
              </w:rPr>
              <w:t>IWRC</w:t>
            </w:r>
          </w:p>
        </w:tc>
        <w:tc>
          <w:tcPr>
            <w:tcW w:w="6830" w:type="dxa"/>
          </w:tcPr>
          <w:p w14:paraId="16DAE05C" w14:textId="77777777" w:rsidR="00E41A89" w:rsidRPr="002046CF" w:rsidRDefault="00E41A89" w:rsidP="001220E4">
            <w:pPr>
              <w:rPr>
                <w:szCs w:val="22"/>
              </w:rPr>
            </w:pPr>
            <w:r w:rsidRPr="002046CF">
              <w:rPr>
                <w:szCs w:val="22"/>
              </w:rPr>
              <w:t>International Workshop Response Criteria</w:t>
            </w:r>
          </w:p>
        </w:tc>
      </w:tr>
      <w:tr w:rsidR="00E41A89" w:rsidRPr="00BB5572" w14:paraId="1DC02CC7" w14:textId="77777777" w:rsidTr="001220E4">
        <w:tc>
          <w:tcPr>
            <w:tcW w:w="1890" w:type="dxa"/>
          </w:tcPr>
          <w:p w14:paraId="0F052BFA" w14:textId="77777777" w:rsidR="00E41A89" w:rsidRPr="002046CF" w:rsidRDefault="00E41A89" w:rsidP="001220E4">
            <w:pPr>
              <w:rPr>
                <w:szCs w:val="22"/>
              </w:rPr>
            </w:pPr>
            <w:r w:rsidRPr="002046CF">
              <w:rPr>
                <w:szCs w:val="22"/>
              </w:rPr>
              <w:t>L</w:t>
            </w:r>
          </w:p>
        </w:tc>
        <w:tc>
          <w:tcPr>
            <w:tcW w:w="6830" w:type="dxa"/>
          </w:tcPr>
          <w:p w14:paraId="5474BE95" w14:textId="77777777" w:rsidR="00E41A89" w:rsidRPr="002046CF" w:rsidRDefault="00E41A89" w:rsidP="001220E4">
            <w:pPr>
              <w:rPr>
                <w:szCs w:val="22"/>
              </w:rPr>
            </w:pPr>
            <w:r w:rsidRPr="002046CF">
              <w:rPr>
                <w:szCs w:val="22"/>
              </w:rPr>
              <w:t>Litre(s)</w:t>
            </w:r>
          </w:p>
        </w:tc>
      </w:tr>
      <w:tr w:rsidR="00E41A89" w:rsidRPr="00BB5572" w14:paraId="4C51EC0E" w14:textId="77777777" w:rsidTr="001220E4">
        <w:tc>
          <w:tcPr>
            <w:tcW w:w="1890" w:type="dxa"/>
          </w:tcPr>
          <w:p w14:paraId="70828F2E" w14:textId="77777777" w:rsidR="00E41A89" w:rsidRPr="002046CF" w:rsidRDefault="00E41A89" w:rsidP="001220E4">
            <w:pPr>
              <w:rPr>
                <w:szCs w:val="22"/>
              </w:rPr>
            </w:pPr>
            <w:r w:rsidRPr="002046CF">
              <w:rPr>
                <w:szCs w:val="22"/>
              </w:rPr>
              <w:t>LDH</w:t>
            </w:r>
          </w:p>
        </w:tc>
        <w:tc>
          <w:tcPr>
            <w:tcW w:w="6830" w:type="dxa"/>
          </w:tcPr>
          <w:p w14:paraId="5BBBBD16" w14:textId="77777777" w:rsidR="00E41A89" w:rsidRPr="002046CF" w:rsidRDefault="00E41A89" w:rsidP="001220E4">
            <w:pPr>
              <w:rPr>
                <w:szCs w:val="22"/>
              </w:rPr>
            </w:pPr>
            <w:r w:rsidRPr="002046CF">
              <w:rPr>
                <w:szCs w:val="22"/>
              </w:rPr>
              <w:t>Lactate dehydrogenase</w:t>
            </w:r>
          </w:p>
        </w:tc>
      </w:tr>
      <w:tr w:rsidR="00E41A89" w:rsidRPr="00BB5572" w14:paraId="392DDCEA" w14:textId="77777777" w:rsidTr="001220E4">
        <w:tc>
          <w:tcPr>
            <w:tcW w:w="1890" w:type="dxa"/>
          </w:tcPr>
          <w:p w14:paraId="7DD9A09C" w14:textId="77777777" w:rsidR="00E41A89" w:rsidRPr="002046CF" w:rsidRDefault="00E41A89" w:rsidP="001220E4">
            <w:pPr>
              <w:rPr>
                <w:szCs w:val="22"/>
              </w:rPr>
            </w:pPr>
            <w:r w:rsidRPr="002046CF">
              <w:rPr>
                <w:szCs w:val="22"/>
              </w:rPr>
              <w:t>LFTs</w:t>
            </w:r>
          </w:p>
        </w:tc>
        <w:tc>
          <w:tcPr>
            <w:tcW w:w="6830" w:type="dxa"/>
          </w:tcPr>
          <w:p w14:paraId="20F38479" w14:textId="77777777" w:rsidR="00E41A89" w:rsidRPr="002046CF" w:rsidRDefault="00E41A89" w:rsidP="001220E4">
            <w:pPr>
              <w:rPr>
                <w:szCs w:val="22"/>
              </w:rPr>
            </w:pPr>
            <w:r w:rsidRPr="002046CF">
              <w:rPr>
                <w:szCs w:val="22"/>
              </w:rPr>
              <w:t>Liver function tests</w:t>
            </w:r>
          </w:p>
        </w:tc>
      </w:tr>
      <w:tr w:rsidR="00E41A89" w:rsidRPr="00BB5572" w14:paraId="4D6F577D" w14:textId="77777777" w:rsidTr="001220E4">
        <w:tc>
          <w:tcPr>
            <w:tcW w:w="1890" w:type="dxa"/>
          </w:tcPr>
          <w:p w14:paraId="2F80D75F" w14:textId="77777777" w:rsidR="00E41A89" w:rsidRPr="002046CF" w:rsidRDefault="00E41A89" w:rsidP="001220E4">
            <w:pPr>
              <w:rPr>
                <w:szCs w:val="22"/>
              </w:rPr>
            </w:pPr>
            <w:r w:rsidRPr="002046CF">
              <w:rPr>
                <w:szCs w:val="22"/>
              </w:rPr>
              <w:t>MCL</w:t>
            </w:r>
          </w:p>
        </w:tc>
        <w:tc>
          <w:tcPr>
            <w:tcW w:w="6830" w:type="dxa"/>
          </w:tcPr>
          <w:p w14:paraId="7CD33398" w14:textId="77777777" w:rsidR="00E41A89" w:rsidRPr="002046CF" w:rsidRDefault="00E41A89" w:rsidP="001220E4">
            <w:pPr>
              <w:rPr>
                <w:szCs w:val="22"/>
              </w:rPr>
            </w:pPr>
            <w:r w:rsidRPr="002046CF">
              <w:rPr>
                <w:szCs w:val="22"/>
              </w:rPr>
              <w:t>Mantle cell lymphoma</w:t>
            </w:r>
          </w:p>
        </w:tc>
      </w:tr>
      <w:tr w:rsidR="00E41A89" w:rsidRPr="00BB5572" w14:paraId="10B40C3F" w14:textId="77777777" w:rsidTr="001220E4">
        <w:tc>
          <w:tcPr>
            <w:tcW w:w="1890" w:type="dxa"/>
          </w:tcPr>
          <w:p w14:paraId="437C2742" w14:textId="77777777" w:rsidR="00E41A89" w:rsidRPr="002046CF" w:rsidRDefault="00E41A89" w:rsidP="001220E4">
            <w:pPr>
              <w:rPr>
                <w:szCs w:val="22"/>
              </w:rPr>
            </w:pPr>
            <w:r w:rsidRPr="002046CF">
              <w:rPr>
                <w:szCs w:val="22"/>
              </w:rPr>
              <w:t>MEDRA</w:t>
            </w:r>
          </w:p>
        </w:tc>
        <w:tc>
          <w:tcPr>
            <w:tcW w:w="6830" w:type="dxa"/>
          </w:tcPr>
          <w:p w14:paraId="0CFAE872" w14:textId="77777777" w:rsidR="00E41A89" w:rsidRPr="002046CF" w:rsidRDefault="00E41A89" w:rsidP="001220E4">
            <w:pPr>
              <w:rPr>
                <w:szCs w:val="22"/>
              </w:rPr>
            </w:pPr>
            <w:r w:rsidRPr="002046CF">
              <w:rPr>
                <w:szCs w:val="22"/>
              </w:rPr>
              <w:t>Medical dictionary for regulatory activities</w:t>
            </w:r>
          </w:p>
        </w:tc>
      </w:tr>
      <w:tr w:rsidR="00E41A89" w:rsidRPr="00BB5572" w14:paraId="2654437C" w14:textId="77777777" w:rsidTr="001220E4">
        <w:tc>
          <w:tcPr>
            <w:tcW w:w="1890" w:type="dxa"/>
          </w:tcPr>
          <w:p w14:paraId="66469484" w14:textId="77777777" w:rsidR="00E41A89" w:rsidRPr="002046CF" w:rsidRDefault="00E41A89" w:rsidP="001220E4">
            <w:pPr>
              <w:rPr>
                <w:szCs w:val="22"/>
              </w:rPr>
            </w:pPr>
            <w:r w:rsidRPr="002046CF">
              <w:rPr>
                <w:szCs w:val="22"/>
              </w:rPr>
              <w:t>MIPI</w:t>
            </w:r>
          </w:p>
        </w:tc>
        <w:tc>
          <w:tcPr>
            <w:tcW w:w="6830" w:type="dxa"/>
          </w:tcPr>
          <w:p w14:paraId="3CBC7EAB" w14:textId="77777777" w:rsidR="00E41A89" w:rsidRPr="002046CF" w:rsidRDefault="00E41A89" w:rsidP="001220E4">
            <w:pPr>
              <w:rPr>
                <w:szCs w:val="22"/>
              </w:rPr>
            </w:pPr>
            <w:r w:rsidRPr="002046CF">
              <w:rPr>
                <w:szCs w:val="22"/>
              </w:rPr>
              <w:t>MCL International Prognostic Index</w:t>
            </w:r>
          </w:p>
        </w:tc>
      </w:tr>
      <w:tr w:rsidR="00E41A89" w:rsidRPr="00BB5572" w14:paraId="428F64EF" w14:textId="77777777" w:rsidTr="001220E4">
        <w:tc>
          <w:tcPr>
            <w:tcW w:w="1890" w:type="dxa"/>
          </w:tcPr>
          <w:p w14:paraId="09ADABF7" w14:textId="77777777" w:rsidR="00E41A89" w:rsidRPr="002046CF" w:rsidRDefault="00E41A89" w:rsidP="001220E4">
            <w:pPr>
              <w:rPr>
                <w:szCs w:val="22"/>
              </w:rPr>
            </w:pPr>
            <w:r w:rsidRPr="002046CF">
              <w:rPr>
                <w:szCs w:val="22"/>
              </w:rPr>
              <w:t>MRI</w:t>
            </w:r>
          </w:p>
        </w:tc>
        <w:tc>
          <w:tcPr>
            <w:tcW w:w="6830" w:type="dxa"/>
          </w:tcPr>
          <w:p w14:paraId="66AAD3E2" w14:textId="77777777" w:rsidR="00E41A89" w:rsidRPr="002046CF" w:rsidRDefault="00E41A89" w:rsidP="001220E4">
            <w:pPr>
              <w:rPr>
                <w:szCs w:val="22"/>
              </w:rPr>
            </w:pPr>
            <w:r w:rsidRPr="002046CF">
              <w:rPr>
                <w:szCs w:val="22"/>
              </w:rPr>
              <w:t>Magnetic Resonance Imaging</w:t>
            </w:r>
          </w:p>
        </w:tc>
      </w:tr>
      <w:tr w:rsidR="00E41A89" w:rsidRPr="00BB5572" w14:paraId="39A26E87" w14:textId="77777777" w:rsidTr="001220E4">
        <w:tc>
          <w:tcPr>
            <w:tcW w:w="1890" w:type="dxa"/>
          </w:tcPr>
          <w:p w14:paraId="12200AE1" w14:textId="77777777" w:rsidR="00E41A89" w:rsidRPr="002046CF" w:rsidRDefault="00E41A89" w:rsidP="001220E4">
            <w:pPr>
              <w:rPr>
                <w:szCs w:val="22"/>
              </w:rPr>
            </w:pPr>
            <w:r w:rsidRPr="002046CF">
              <w:rPr>
                <w:szCs w:val="22"/>
              </w:rPr>
              <w:t>MTD</w:t>
            </w:r>
          </w:p>
        </w:tc>
        <w:tc>
          <w:tcPr>
            <w:tcW w:w="6830" w:type="dxa"/>
          </w:tcPr>
          <w:p w14:paraId="724E1C59" w14:textId="77777777" w:rsidR="00E41A89" w:rsidRPr="002046CF" w:rsidRDefault="00E41A89" w:rsidP="001220E4">
            <w:pPr>
              <w:rPr>
                <w:szCs w:val="22"/>
              </w:rPr>
            </w:pPr>
            <w:r w:rsidRPr="002046CF">
              <w:rPr>
                <w:szCs w:val="22"/>
              </w:rPr>
              <w:t>Maximum Tolerated Dose</w:t>
            </w:r>
          </w:p>
        </w:tc>
      </w:tr>
      <w:tr w:rsidR="00E41A89" w:rsidRPr="00BB5572" w14:paraId="7EA82A22" w14:textId="77777777" w:rsidTr="001220E4">
        <w:tc>
          <w:tcPr>
            <w:tcW w:w="1890" w:type="dxa"/>
          </w:tcPr>
          <w:p w14:paraId="277715F9" w14:textId="77777777" w:rsidR="00E41A89" w:rsidRPr="002046CF" w:rsidRDefault="00E41A89" w:rsidP="001220E4">
            <w:pPr>
              <w:rPr>
                <w:szCs w:val="22"/>
              </w:rPr>
            </w:pPr>
            <w:r w:rsidRPr="002046CF">
              <w:rPr>
                <w:szCs w:val="22"/>
              </w:rPr>
              <w:t>NCI</w:t>
            </w:r>
          </w:p>
        </w:tc>
        <w:tc>
          <w:tcPr>
            <w:tcW w:w="6830" w:type="dxa"/>
          </w:tcPr>
          <w:p w14:paraId="1E92BEA3" w14:textId="77777777" w:rsidR="00E41A89" w:rsidRPr="002046CF" w:rsidRDefault="00E41A89" w:rsidP="001220E4">
            <w:pPr>
              <w:rPr>
                <w:szCs w:val="22"/>
              </w:rPr>
            </w:pPr>
            <w:r w:rsidRPr="002046CF">
              <w:rPr>
                <w:szCs w:val="22"/>
              </w:rPr>
              <w:t>National Cancer Institute</w:t>
            </w:r>
          </w:p>
        </w:tc>
      </w:tr>
      <w:tr w:rsidR="00E41A89" w:rsidRPr="00BB5572" w14:paraId="7549AE62" w14:textId="77777777" w:rsidTr="001220E4">
        <w:tc>
          <w:tcPr>
            <w:tcW w:w="1890" w:type="dxa"/>
          </w:tcPr>
          <w:p w14:paraId="14656007" w14:textId="77777777" w:rsidR="00E41A89" w:rsidRPr="002046CF" w:rsidRDefault="00E41A89" w:rsidP="001220E4">
            <w:pPr>
              <w:rPr>
                <w:szCs w:val="22"/>
              </w:rPr>
            </w:pPr>
            <w:r w:rsidRPr="002046CF">
              <w:rPr>
                <w:szCs w:val="22"/>
              </w:rPr>
              <w:t>NHL</w:t>
            </w:r>
          </w:p>
        </w:tc>
        <w:tc>
          <w:tcPr>
            <w:tcW w:w="6830" w:type="dxa"/>
          </w:tcPr>
          <w:p w14:paraId="1021A1D2" w14:textId="77777777" w:rsidR="00E41A89" w:rsidRPr="002046CF" w:rsidRDefault="00E41A89" w:rsidP="001220E4">
            <w:pPr>
              <w:rPr>
                <w:szCs w:val="22"/>
              </w:rPr>
            </w:pPr>
            <w:r w:rsidRPr="002046CF">
              <w:rPr>
                <w:szCs w:val="22"/>
              </w:rPr>
              <w:t>Non-Hodgkin’s Lymphoma</w:t>
            </w:r>
          </w:p>
        </w:tc>
      </w:tr>
      <w:tr w:rsidR="00E41A89" w:rsidRPr="00BB5572" w14:paraId="6D610681" w14:textId="77777777" w:rsidTr="001220E4">
        <w:tc>
          <w:tcPr>
            <w:tcW w:w="1890" w:type="dxa"/>
          </w:tcPr>
          <w:p w14:paraId="26B3CF2D" w14:textId="77777777" w:rsidR="00E41A89" w:rsidRPr="002046CF" w:rsidRDefault="00E41A89" w:rsidP="001220E4">
            <w:pPr>
              <w:rPr>
                <w:szCs w:val="22"/>
              </w:rPr>
            </w:pPr>
            <w:r w:rsidRPr="002046CF">
              <w:rPr>
                <w:szCs w:val="22"/>
              </w:rPr>
              <w:t>OD</w:t>
            </w:r>
          </w:p>
        </w:tc>
        <w:tc>
          <w:tcPr>
            <w:tcW w:w="6830" w:type="dxa"/>
          </w:tcPr>
          <w:p w14:paraId="5B1FC8A3" w14:textId="77777777" w:rsidR="00E41A89" w:rsidRPr="002046CF" w:rsidRDefault="00E41A89" w:rsidP="001220E4">
            <w:pPr>
              <w:rPr>
                <w:szCs w:val="22"/>
              </w:rPr>
            </w:pPr>
            <w:r w:rsidRPr="002046CF">
              <w:rPr>
                <w:szCs w:val="22"/>
              </w:rPr>
              <w:t>Once daily</w:t>
            </w:r>
          </w:p>
        </w:tc>
      </w:tr>
      <w:tr w:rsidR="00E41A89" w:rsidRPr="00BB5572" w14:paraId="6CAFC635" w14:textId="77777777" w:rsidTr="001220E4">
        <w:tc>
          <w:tcPr>
            <w:tcW w:w="1890" w:type="dxa"/>
          </w:tcPr>
          <w:p w14:paraId="3E437547" w14:textId="77777777" w:rsidR="00E41A89" w:rsidRPr="002046CF" w:rsidRDefault="00E41A89" w:rsidP="001220E4">
            <w:pPr>
              <w:rPr>
                <w:szCs w:val="22"/>
              </w:rPr>
            </w:pPr>
            <w:r w:rsidRPr="002046CF">
              <w:rPr>
                <w:szCs w:val="22"/>
              </w:rPr>
              <w:t>ORR</w:t>
            </w:r>
          </w:p>
        </w:tc>
        <w:tc>
          <w:tcPr>
            <w:tcW w:w="6830" w:type="dxa"/>
          </w:tcPr>
          <w:p w14:paraId="3CF70CB8" w14:textId="77777777" w:rsidR="00E41A89" w:rsidRPr="002046CF" w:rsidRDefault="00E41A89" w:rsidP="001220E4">
            <w:pPr>
              <w:rPr>
                <w:szCs w:val="22"/>
              </w:rPr>
            </w:pPr>
            <w:r w:rsidRPr="002046CF">
              <w:rPr>
                <w:szCs w:val="22"/>
              </w:rPr>
              <w:t>Overall response rate</w:t>
            </w:r>
          </w:p>
        </w:tc>
      </w:tr>
      <w:tr w:rsidR="00E41A89" w:rsidRPr="00BB5572" w14:paraId="79CE6832" w14:textId="77777777" w:rsidTr="001220E4">
        <w:tc>
          <w:tcPr>
            <w:tcW w:w="1890" w:type="dxa"/>
          </w:tcPr>
          <w:p w14:paraId="2E53D784" w14:textId="77777777" w:rsidR="00E41A89" w:rsidRPr="002046CF" w:rsidRDefault="00E41A89" w:rsidP="001220E4">
            <w:pPr>
              <w:rPr>
                <w:szCs w:val="22"/>
              </w:rPr>
            </w:pPr>
            <w:r w:rsidRPr="002046CF">
              <w:rPr>
                <w:szCs w:val="22"/>
              </w:rPr>
              <w:t>OS</w:t>
            </w:r>
          </w:p>
        </w:tc>
        <w:tc>
          <w:tcPr>
            <w:tcW w:w="6830" w:type="dxa"/>
          </w:tcPr>
          <w:p w14:paraId="617FAAF5" w14:textId="77777777" w:rsidR="00E41A89" w:rsidRPr="002046CF" w:rsidRDefault="00E41A89" w:rsidP="001220E4">
            <w:pPr>
              <w:rPr>
                <w:szCs w:val="22"/>
              </w:rPr>
            </w:pPr>
            <w:r w:rsidRPr="002046CF">
              <w:rPr>
                <w:szCs w:val="22"/>
              </w:rPr>
              <w:t>Overall Survival</w:t>
            </w:r>
          </w:p>
        </w:tc>
      </w:tr>
      <w:tr w:rsidR="00E41A89" w:rsidRPr="00BB5572" w14:paraId="7BEDC38D" w14:textId="77777777" w:rsidTr="001220E4">
        <w:tc>
          <w:tcPr>
            <w:tcW w:w="1890" w:type="dxa"/>
          </w:tcPr>
          <w:p w14:paraId="7E803547" w14:textId="77777777" w:rsidR="00E41A89" w:rsidRPr="002046CF" w:rsidRDefault="00E41A89" w:rsidP="001220E4">
            <w:pPr>
              <w:rPr>
                <w:szCs w:val="22"/>
              </w:rPr>
            </w:pPr>
            <w:r w:rsidRPr="002046CF">
              <w:rPr>
                <w:szCs w:val="22"/>
              </w:rPr>
              <w:t>PD</w:t>
            </w:r>
          </w:p>
        </w:tc>
        <w:tc>
          <w:tcPr>
            <w:tcW w:w="6830" w:type="dxa"/>
          </w:tcPr>
          <w:p w14:paraId="1788F362" w14:textId="77777777" w:rsidR="00E41A89" w:rsidRPr="002046CF" w:rsidRDefault="00E41A89" w:rsidP="001220E4">
            <w:pPr>
              <w:rPr>
                <w:szCs w:val="22"/>
              </w:rPr>
            </w:pPr>
            <w:r w:rsidRPr="002046CF">
              <w:rPr>
                <w:szCs w:val="22"/>
              </w:rPr>
              <w:t>Pharmacodynamics</w:t>
            </w:r>
          </w:p>
        </w:tc>
      </w:tr>
      <w:tr w:rsidR="00E41A89" w:rsidRPr="00BB5572" w14:paraId="6E87B301" w14:textId="77777777" w:rsidTr="001220E4">
        <w:tc>
          <w:tcPr>
            <w:tcW w:w="1890" w:type="dxa"/>
          </w:tcPr>
          <w:p w14:paraId="6B73E6F7" w14:textId="77777777" w:rsidR="00E41A89" w:rsidRPr="002046CF" w:rsidRDefault="00E41A89" w:rsidP="001220E4">
            <w:pPr>
              <w:rPr>
                <w:szCs w:val="22"/>
              </w:rPr>
            </w:pPr>
            <w:r w:rsidRPr="002046CF">
              <w:rPr>
                <w:szCs w:val="22"/>
              </w:rPr>
              <w:t>PFS</w:t>
            </w:r>
          </w:p>
        </w:tc>
        <w:tc>
          <w:tcPr>
            <w:tcW w:w="6830" w:type="dxa"/>
          </w:tcPr>
          <w:p w14:paraId="58707D67" w14:textId="77777777" w:rsidR="00E41A89" w:rsidRPr="002046CF" w:rsidRDefault="00E41A89" w:rsidP="001220E4">
            <w:pPr>
              <w:rPr>
                <w:szCs w:val="22"/>
              </w:rPr>
            </w:pPr>
            <w:r w:rsidRPr="002046CF">
              <w:rPr>
                <w:szCs w:val="22"/>
              </w:rPr>
              <w:t>Progression free survival</w:t>
            </w:r>
          </w:p>
        </w:tc>
      </w:tr>
      <w:tr w:rsidR="00E41A89" w:rsidRPr="00BB5572" w14:paraId="277868EB" w14:textId="77777777" w:rsidTr="001220E4">
        <w:tc>
          <w:tcPr>
            <w:tcW w:w="1890" w:type="dxa"/>
          </w:tcPr>
          <w:p w14:paraId="66EB1E5A" w14:textId="77777777" w:rsidR="00E41A89" w:rsidRPr="002046CF" w:rsidRDefault="00E41A89" w:rsidP="001220E4">
            <w:pPr>
              <w:rPr>
                <w:szCs w:val="22"/>
              </w:rPr>
            </w:pPr>
            <w:r w:rsidRPr="002046CF">
              <w:rPr>
                <w:szCs w:val="22"/>
              </w:rPr>
              <w:t>PI</w:t>
            </w:r>
          </w:p>
        </w:tc>
        <w:tc>
          <w:tcPr>
            <w:tcW w:w="6830" w:type="dxa"/>
          </w:tcPr>
          <w:p w14:paraId="64F85F99" w14:textId="77777777" w:rsidR="00E41A89" w:rsidRPr="002046CF" w:rsidRDefault="00E41A89" w:rsidP="001220E4">
            <w:pPr>
              <w:rPr>
                <w:szCs w:val="22"/>
              </w:rPr>
            </w:pPr>
            <w:r w:rsidRPr="002046CF">
              <w:rPr>
                <w:szCs w:val="22"/>
              </w:rPr>
              <w:t>Product Information</w:t>
            </w:r>
          </w:p>
        </w:tc>
      </w:tr>
      <w:tr w:rsidR="00E41A89" w:rsidRPr="00BB5572" w14:paraId="3B02923C" w14:textId="77777777" w:rsidTr="001220E4">
        <w:tc>
          <w:tcPr>
            <w:tcW w:w="1890" w:type="dxa"/>
          </w:tcPr>
          <w:p w14:paraId="515DCE45" w14:textId="77777777" w:rsidR="00E41A89" w:rsidRPr="002046CF" w:rsidRDefault="00E41A89" w:rsidP="001220E4">
            <w:pPr>
              <w:rPr>
                <w:szCs w:val="22"/>
              </w:rPr>
            </w:pPr>
            <w:r w:rsidRPr="002046CF">
              <w:rPr>
                <w:szCs w:val="22"/>
              </w:rPr>
              <w:t>PK</w:t>
            </w:r>
          </w:p>
        </w:tc>
        <w:tc>
          <w:tcPr>
            <w:tcW w:w="6830" w:type="dxa"/>
          </w:tcPr>
          <w:p w14:paraId="16BF112C" w14:textId="77777777" w:rsidR="00E41A89" w:rsidRPr="002046CF" w:rsidRDefault="00E41A89" w:rsidP="001220E4">
            <w:pPr>
              <w:rPr>
                <w:szCs w:val="22"/>
              </w:rPr>
            </w:pPr>
            <w:r w:rsidRPr="002046CF">
              <w:rPr>
                <w:szCs w:val="22"/>
              </w:rPr>
              <w:t>Pharmacokinetics</w:t>
            </w:r>
          </w:p>
        </w:tc>
      </w:tr>
      <w:tr w:rsidR="00E41A89" w:rsidRPr="00BB5572" w14:paraId="2B238BBC" w14:textId="77777777" w:rsidTr="001220E4">
        <w:tc>
          <w:tcPr>
            <w:tcW w:w="1890" w:type="dxa"/>
          </w:tcPr>
          <w:p w14:paraId="6CB0EC0C" w14:textId="77777777" w:rsidR="00E41A89" w:rsidRPr="002046CF" w:rsidRDefault="00E41A89" w:rsidP="001220E4">
            <w:pPr>
              <w:rPr>
                <w:szCs w:val="22"/>
              </w:rPr>
            </w:pPr>
            <w:r w:rsidRPr="002046CF">
              <w:rPr>
                <w:szCs w:val="22"/>
              </w:rPr>
              <w:t>PR</w:t>
            </w:r>
          </w:p>
        </w:tc>
        <w:tc>
          <w:tcPr>
            <w:tcW w:w="6830" w:type="dxa"/>
          </w:tcPr>
          <w:p w14:paraId="5A5C89E9" w14:textId="77777777" w:rsidR="00E41A89" w:rsidRPr="002046CF" w:rsidRDefault="00E41A89" w:rsidP="001220E4">
            <w:pPr>
              <w:rPr>
                <w:szCs w:val="22"/>
              </w:rPr>
            </w:pPr>
            <w:r w:rsidRPr="002046CF">
              <w:rPr>
                <w:szCs w:val="22"/>
              </w:rPr>
              <w:t>Partial Response</w:t>
            </w:r>
          </w:p>
        </w:tc>
      </w:tr>
      <w:tr w:rsidR="00E41A89" w:rsidRPr="00BB5572" w14:paraId="756D311A" w14:textId="77777777" w:rsidTr="001220E4">
        <w:tc>
          <w:tcPr>
            <w:tcW w:w="1890" w:type="dxa"/>
          </w:tcPr>
          <w:p w14:paraId="0DB467D8" w14:textId="77777777" w:rsidR="00E41A89" w:rsidRPr="002046CF" w:rsidRDefault="00E41A89" w:rsidP="001220E4">
            <w:pPr>
              <w:rPr>
                <w:szCs w:val="22"/>
              </w:rPr>
            </w:pPr>
            <w:proofErr w:type="spellStart"/>
            <w:r w:rsidRPr="002046CF">
              <w:rPr>
                <w:szCs w:val="22"/>
              </w:rPr>
              <w:t>QoL</w:t>
            </w:r>
            <w:proofErr w:type="spellEnd"/>
          </w:p>
        </w:tc>
        <w:tc>
          <w:tcPr>
            <w:tcW w:w="6830" w:type="dxa"/>
          </w:tcPr>
          <w:p w14:paraId="5D0073F4" w14:textId="77777777" w:rsidR="00E41A89" w:rsidRPr="002046CF" w:rsidRDefault="00E41A89" w:rsidP="001220E4">
            <w:pPr>
              <w:rPr>
                <w:szCs w:val="22"/>
              </w:rPr>
            </w:pPr>
            <w:r w:rsidRPr="002046CF">
              <w:rPr>
                <w:szCs w:val="22"/>
              </w:rPr>
              <w:t>Quality of Life</w:t>
            </w:r>
          </w:p>
        </w:tc>
      </w:tr>
      <w:tr w:rsidR="00E41A89" w:rsidRPr="00BB5572" w14:paraId="6BDD99EF" w14:textId="77777777" w:rsidTr="001220E4">
        <w:tc>
          <w:tcPr>
            <w:tcW w:w="1890" w:type="dxa"/>
          </w:tcPr>
          <w:p w14:paraId="7901AE00" w14:textId="77777777" w:rsidR="00E41A89" w:rsidRPr="002046CF" w:rsidRDefault="00E41A89" w:rsidP="001220E4">
            <w:pPr>
              <w:rPr>
                <w:szCs w:val="22"/>
              </w:rPr>
            </w:pPr>
            <w:r w:rsidRPr="002046CF">
              <w:rPr>
                <w:szCs w:val="22"/>
              </w:rPr>
              <w:t>R/R</w:t>
            </w:r>
          </w:p>
        </w:tc>
        <w:tc>
          <w:tcPr>
            <w:tcW w:w="6830" w:type="dxa"/>
          </w:tcPr>
          <w:p w14:paraId="507D2412" w14:textId="77777777" w:rsidR="00E41A89" w:rsidRPr="002046CF" w:rsidRDefault="00E41A89" w:rsidP="001220E4">
            <w:pPr>
              <w:rPr>
                <w:szCs w:val="22"/>
              </w:rPr>
            </w:pPr>
            <w:r w:rsidRPr="002046CF">
              <w:rPr>
                <w:szCs w:val="22"/>
              </w:rPr>
              <w:t>Relapsed and/or refractory</w:t>
            </w:r>
          </w:p>
        </w:tc>
      </w:tr>
      <w:tr w:rsidR="00E41A89" w:rsidRPr="00BB5572" w14:paraId="371D340F" w14:textId="77777777" w:rsidTr="001220E4">
        <w:tc>
          <w:tcPr>
            <w:tcW w:w="1890" w:type="dxa"/>
          </w:tcPr>
          <w:p w14:paraId="2F674609" w14:textId="77777777" w:rsidR="00E41A89" w:rsidRPr="002046CF" w:rsidRDefault="00E41A89" w:rsidP="001220E4">
            <w:pPr>
              <w:rPr>
                <w:szCs w:val="22"/>
              </w:rPr>
            </w:pPr>
            <w:r w:rsidRPr="002046CF">
              <w:rPr>
                <w:szCs w:val="22"/>
              </w:rPr>
              <w:t>SAE</w:t>
            </w:r>
          </w:p>
        </w:tc>
        <w:tc>
          <w:tcPr>
            <w:tcW w:w="6830" w:type="dxa"/>
          </w:tcPr>
          <w:p w14:paraId="27F68370" w14:textId="77777777" w:rsidR="00E41A89" w:rsidRPr="002046CF" w:rsidRDefault="00E41A89" w:rsidP="001220E4">
            <w:pPr>
              <w:rPr>
                <w:szCs w:val="22"/>
              </w:rPr>
            </w:pPr>
            <w:r w:rsidRPr="002046CF">
              <w:rPr>
                <w:szCs w:val="22"/>
              </w:rPr>
              <w:t>Serious Adverse Event</w:t>
            </w:r>
          </w:p>
        </w:tc>
      </w:tr>
      <w:tr w:rsidR="00E41A89" w:rsidRPr="00BB5572" w14:paraId="0C32F470" w14:textId="77777777" w:rsidTr="001220E4">
        <w:tc>
          <w:tcPr>
            <w:tcW w:w="1890" w:type="dxa"/>
          </w:tcPr>
          <w:p w14:paraId="7662EB27" w14:textId="77777777" w:rsidR="00E41A89" w:rsidRPr="002046CF" w:rsidRDefault="00E41A89" w:rsidP="001220E4">
            <w:pPr>
              <w:rPr>
                <w:szCs w:val="22"/>
              </w:rPr>
            </w:pPr>
            <w:r w:rsidRPr="002046CF">
              <w:rPr>
                <w:szCs w:val="22"/>
              </w:rPr>
              <w:t>SD</w:t>
            </w:r>
          </w:p>
        </w:tc>
        <w:tc>
          <w:tcPr>
            <w:tcW w:w="6830" w:type="dxa"/>
          </w:tcPr>
          <w:p w14:paraId="4BE430DA" w14:textId="77777777" w:rsidR="00E41A89" w:rsidRPr="002046CF" w:rsidRDefault="00E41A89" w:rsidP="001220E4">
            <w:pPr>
              <w:rPr>
                <w:szCs w:val="22"/>
              </w:rPr>
            </w:pPr>
            <w:r w:rsidRPr="002046CF">
              <w:rPr>
                <w:szCs w:val="22"/>
              </w:rPr>
              <w:t>Stable Disease</w:t>
            </w:r>
          </w:p>
        </w:tc>
      </w:tr>
      <w:tr w:rsidR="00E41A89" w:rsidRPr="00BB5572" w14:paraId="2AA38B28" w14:textId="77777777" w:rsidTr="001220E4">
        <w:tc>
          <w:tcPr>
            <w:tcW w:w="1890" w:type="dxa"/>
          </w:tcPr>
          <w:p w14:paraId="19D82CFB" w14:textId="77777777" w:rsidR="00E41A89" w:rsidRPr="002046CF" w:rsidRDefault="00E41A89" w:rsidP="001220E4">
            <w:pPr>
              <w:rPr>
                <w:szCs w:val="22"/>
              </w:rPr>
            </w:pPr>
            <w:r w:rsidRPr="002046CF">
              <w:rPr>
                <w:szCs w:val="22"/>
              </w:rPr>
              <w:t>TGA</w:t>
            </w:r>
          </w:p>
        </w:tc>
        <w:tc>
          <w:tcPr>
            <w:tcW w:w="6830" w:type="dxa"/>
          </w:tcPr>
          <w:p w14:paraId="154246D1" w14:textId="77777777" w:rsidR="00E41A89" w:rsidRPr="002046CF" w:rsidRDefault="00E41A89" w:rsidP="001220E4">
            <w:pPr>
              <w:rPr>
                <w:szCs w:val="22"/>
              </w:rPr>
            </w:pPr>
            <w:r w:rsidRPr="002046CF">
              <w:rPr>
                <w:szCs w:val="22"/>
              </w:rPr>
              <w:t>Therapeutic Goods Administration</w:t>
            </w:r>
          </w:p>
        </w:tc>
      </w:tr>
      <w:tr w:rsidR="00E41A89" w14:paraId="64EB44E3" w14:textId="77777777" w:rsidTr="001220E4">
        <w:tc>
          <w:tcPr>
            <w:tcW w:w="1890" w:type="dxa"/>
          </w:tcPr>
          <w:p w14:paraId="5F1E3F18" w14:textId="77777777" w:rsidR="00E41A89" w:rsidRPr="002046CF" w:rsidRDefault="00E41A89" w:rsidP="001220E4">
            <w:pPr>
              <w:rPr>
                <w:szCs w:val="22"/>
              </w:rPr>
            </w:pPr>
            <w:r w:rsidRPr="002046CF">
              <w:rPr>
                <w:szCs w:val="22"/>
              </w:rPr>
              <w:t>TTP</w:t>
            </w:r>
          </w:p>
        </w:tc>
        <w:tc>
          <w:tcPr>
            <w:tcW w:w="6830" w:type="dxa"/>
          </w:tcPr>
          <w:p w14:paraId="26675316" w14:textId="77777777" w:rsidR="00E41A89" w:rsidRPr="002046CF" w:rsidRDefault="00E41A89" w:rsidP="001220E4">
            <w:pPr>
              <w:rPr>
                <w:szCs w:val="22"/>
              </w:rPr>
            </w:pPr>
            <w:r w:rsidRPr="002046CF">
              <w:rPr>
                <w:szCs w:val="22"/>
              </w:rPr>
              <w:t>Time to Progression</w:t>
            </w:r>
          </w:p>
        </w:tc>
      </w:tr>
    </w:tbl>
    <w:p w14:paraId="48506489"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F2DA99F" w14:textId="77777777" w:rsidR="008E7846" w:rsidRDefault="00F53C07" w:rsidP="008E7846">
      <w:pPr>
        <w:pStyle w:val="Heading2"/>
      </w:pPr>
      <w:bookmarkStart w:id="9" w:name="_Toc12960514"/>
      <w:r>
        <w:lastRenderedPageBreak/>
        <w:t>I.</w:t>
      </w:r>
      <w:r w:rsidR="008E7846">
        <w:t xml:space="preserve"> Introduction to product submission</w:t>
      </w:r>
      <w:bookmarkEnd w:id="3"/>
      <w:bookmarkEnd w:id="0"/>
      <w:bookmarkEnd w:id="9"/>
    </w:p>
    <w:p w14:paraId="25D1080A" w14:textId="77777777" w:rsidR="008E7846" w:rsidRDefault="008E7846" w:rsidP="008E7846">
      <w:pPr>
        <w:pStyle w:val="Heading3"/>
        <w:rPr>
          <w:lang w:eastAsia="en-AU"/>
        </w:rPr>
      </w:pPr>
      <w:bookmarkStart w:id="10" w:name="_Toc247691502"/>
      <w:bookmarkStart w:id="11" w:name="_Toc314842483"/>
      <w:bookmarkStart w:id="12" w:name="_Toc12960515"/>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25B0BC05" w14:textId="77777777" w:rsidTr="003735BC">
        <w:tc>
          <w:tcPr>
            <w:tcW w:w="2907" w:type="dxa"/>
          </w:tcPr>
          <w:p w14:paraId="5F2E21D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7D58735" w14:textId="77777777" w:rsidR="008E7846" w:rsidRPr="003D1E62" w:rsidRDefault="00186D46" w:rsidP="001B5C90">
            <w:r>
              <w:t>Extension of indications</w:t>
            </w:r>
          </w:p>
        </w:tc>
      </w:tr>
      <w:tr w:rsidR="008E7846" w:rsidRPr="003D1E62" w14:paraId="53EF2381" w14:textId="77777777" w:rsidTr="003735BC">
        <w:tc>
          <w:tcPr>
            <w:tcW w:w="2907" w:type="dxa"/>
          </w:tcPr>
          <w:p w14:paraId="0829D566" w14:textId="77777777" w:rsidR="008E7846" w:rsidRPr="003D1E62" w:rsidRDefault="008E7846" w:rsidP="003D1E62">
            <w:r w:rsidRPr="003D1E62">
              <w:rPr>
                <w:i/>
              </w:rPr>
              <w:t>Decision</w:t>
            </w:r>
            <w:r w:rsidRPr="003D1E62">
              <w:t>:</w:t>
            </w:r>
          </w:p>
        </w:tc>
        <w:tc>
          <w:tcPr>
            <w:tcW w:w="6307" w:type="dxa"/>
          </w:tcPr>
          <w:p w14:paraId="47EC6BC4" w14:textId="77777777" w:rsidR="008E7846" w:rsidRPr="003D1E62" w:rsidRDefault="00186D46" w:rsidP="00186D46">
            <w:r>
              <w:t>Approved</w:t>
            </w:r>
          </w:p>
        </w:tc>
      </w:tr>
      <w:tr w:rsidR="008E7846" w:rsidRPr="003D1E62" w14:paraId="124E3AD7" w14:textId="77777777" w:rsidTr="003735BC">
        <w:tc>
          <w:tcPr>
            <w:tcW w:w="2907" w:type="dxa"/>
          </w:tcPr>
          <w:p w14:paraId="1831FBE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098D5C8" w14:textId="77777777" w:rsidR="008E7846" w:rsidRPr="003D1E62" w:rsidRDefault="00BA383D" w:rsidP="001B5C90">
            <w:r>
              <w:t>7 March 2016</w:t>
            </w:r>
          </w:p>
        </w:tc>
      </w:tr>
      <w:tr w:rsidR="00ED2922" w:rsidRPr="003D1E62" w14:paraId="72D328F3" w14:textId="77777777" w:rsidTr="003735BC">
        <w:tc>
          <w:tcPr>
            <w:tcW w:w="2907" w:type="dxa"/>
          </w:tcPr>
          <w:p w14:paraId="5E341422" w14:textId="77777777" w:rsidR="00ED2922" w:rsidRPr="00441C3F" w:rsidRDefault="00ED2922" w:rsidP="001B5C90">
            <w:pPr>
              <w:rPr>
                <w:i/>
              </w:rPr>
            </w:pPr>
            <w:r w:rsidRPr="00441C3F">
              <w:rPr>
                <w:i/>
              </w:rPr>
              <w:t>Date of entry onto ARTG</w:t>
            </w:r>
            <w:r w:rsidR="00500337">
              <w:rPr>
                <w:i/>
              </w:rPr>
              <w:t>:</w:t>
            </w:r>
          </w:p>
        </w:tc>
        <w:tc>
          <w:tcPr>
            <w:tcW w:w="6307" w:type="dxa"/>
          </w:tcPr>
          <w:p w14:paraId="0EF547E1" w14:textId="77777777" w:rsidR="00ED2922" w:rsidRPr="00441C3F" w:rsidRDefault="00BA383D" w:rsidP="00EC463D">
            <w:pPr>
              <w:rPr>
                <w:i/>
              </w:rPr>
            </w:pPr>
            <w:r>
              <w:t>16 March 2016</w:t>
            </w:r>
          </w:p>
        </w:tc>
      </w:tr>
      <w:tr w:rsidR="00500337" w:rsidRPr="003D1E62" w14:paraId="123CAEA9" w14:textId="77777777" w:rsidTr="003735BC">
        <w:tc>
          <w:tcPr>
            <w:tcW w:w="2907" w:type="dxa"/>
          </w:tcPr>
          <w:p w14:paraId="29D6E48B" w14:textId="77777777" w:rsidR="00500337" w:rsidRPr="00441C3F" w:rsidRDefault="00500337" w:rsidP="001B5C90">
            <w:pPr>
              <w:rPr>
                <w:i/>
              </w:rPr>
            </w:pPr>
            <w:r>
              <w:rPr>
                <w:i/>
              </w:rPr>
              <w:t>ARTG number(s):</w:t>
            </w:r>
          </w:p>
        </w:tc>
        <w:tc>
          <w:tcPr>
            <w:tcW w:w="6307" w:type="dxa"/>
          </w:tcPr>
          <w:p w14:paraId="340A827C" w14:textId="7EB55BCD" w:rsidR="00500337" w:rsidRPr="00441C3F" w:rsidRDefault="009724EC" w:rsidP="009724EC">
            <w:r>
              <w:t>132510, 132514, 132515</w:t>
            </w:r>
            <w:r w:rsidR="00521209">
              <w:t>,</w:t>
            </w:r>
            <w:r>
              <w:t xml:space="preserve">  132516</w:t>
            </w:r>
            <w:r w:rsidR="00521209">
              <w:t>, 229850, 229851 and 229852</w:t>
            </w:r>
          </w:p>
        </w:tc>
      </w:tr>
      <w:tr w:rsidR="003735BC" w:rsidRPr="003D1E62" w14:paraId="6A5AFFA5" w14:textId="77777777" w:rsidTr="003735BC">
        <w:tc>
          <w:tcPr>
            <w:tcW w:w="2907" w:type="dxa"/>
          </w:tcPr>
          <w:p w14:paraId="3D05342E"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0BAF97B0" w14:textId="77777777" w:rsidR="003735BC" w:rsidRPr="00487162" w:rsidRDefault="00186D46" w:rsidP="00186D46">
            <w:r>
              <w:t>No</w:t>
            </w:r>
          </w:p>
        </w:tc>
      </w:tr>
      <w:tr w:rsidR="008E7846" w:rsidRPr="00487162" w14:paraId="713F1841" w14:textId="77777777" w:rsidTr="00BF1190">
        <w:tc>
          <w:tcPr>
            <w:tcW w:w="2907" w:type="dxa"/>
          </w:tcPr>
          <w:p w14:paraId="7F9722F3" w14:textId="0E8FC355" w:rsidR="008E7846" w:rsidRPr="00487162" w:rsidRDefault="001B5C90" w:rsidP="00E45619">
            <w:pPr>
              <w:rPr>
                <w:i/>
              </w:rPr>
            </w:pPr>
            <w:r>
              <w:rPr>
                <w:i/>
              </w:rPr>
              <w:t>Active ingredient:</w:t>
            </w:r>
          </w:p>
        </w:tc>
        <w:tc>
          <w:tcPr>
            <w:tcW w:w="6307" w:type="dxa"/>
          </w:tcPr>
          <w:p w14:paraId="6424C24E" w14:textId="77777777" w:rsidR="008E7846" w:rsidRPr="00487162" w:rsidRDefault="00186D46" w:rsidP="00E45619">
            <w:r>
              <w:rPr>
                <w:rFonts w:cstheme="majorHAnsi"/>
              </w:rPr>
              <w:t>Lenalidomide</w:t>
            </w:r>
          </w:p>
        </w:tc>
      </w:tr>
      <w:tr w:rsidR="008E7846" w:rsidRPr="00487162" w14:paraId="48AC2E90" w14:textId="77777777" w:rsidTr="00BF1190">
        <w:tc>
          <w:tcPr>
            <w:tcW w:w="2907" w:type="dxa"/>
          </w:tcPr>
          <w:p w14:paraId="1C92615D" w14:textId="3C455119" w:rsidR="008E7846" w:rsidRPr="00487162" w:rsidRDefault="008E7846" w:rsidP="001B5C90">
            <w:pPr>
              <w:rPr>
                <w:i/>
              </w:rPr>
            </w:pPr>
            <w:r w:rsidRPr="00487162">
              <w:rPr>
                <w:i/>
              </w:rPr>
              <w:t>Product</w:t>
            </w:r>
            <w:r w:rsidR="001B5C90">
              <w:rPr>
                <w:i/>
              </w:rPr>
              <w:t xml:space="preserve"> name:</w:t>
            </w:r>
          </w:p>
        </w:tc>
        <w:tc>
          <w:tcPr>
            <w:tcW w:w="6307" w:type="dxa"/>
          </w:tcPr>
          <w:p w14:paraId="36ADE80E" w14:textId="77777777" w:rsidR="008E7846" w:rsidRPr="00487162" w:rsidRDefault="009724EC" w:rsidP="00E45619">
            <w:r>
              <w:t>Revlimid</w:t>
            </w:r>
          </w:p>
        </w:tc>
      </w:tr>
      <w:tr w:rsidR="008E7846" w:rsidRPr="00487162" w14:paraId="071AF54E" w14:textId="77777777" w:rsidTr="00BF1190">
        <w:tc>
          <w:tcPr>
            <w:tcW w:w="2907" w:type="dxa"/>
          </w:tcPr>
          <w:p w14:paraId="10831D1D"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1008A00" w14:textId="77777777" w:rsidR="008E7846" w:rsidRDefault="00186D46" w:rsidP="003174CD">
            <w:r w:rsidRPr="00186D46">
              <w:t>Celgene Pty Ltd</w:t>
            </w:r>
          </w:p>
          <w:p w14:paraId="5CBAD8C5" w14:textId="4A44EEEB" w:rsidR="003174CD" w:rsidRPr="00186D46" w:rsidRDefault="000D2002" w:rsidP="003174CD">
            <w:r>
              <w:rPr>
                <w:w w:val="105"/>
              </w:rPr>
              <w:t>Level 15, 60 City Road, Southbank, VIC 3006</w:t>
            </w:r>
          </w:p>
        </w:tc>
      </w:tr>
      <w:tr w:rsidR="008E7846" w:rsidRPr="00487162" w14:paraId="00A5B18A" w14:textId="77777777" w:rsidTr="00BF1190">
        <w:tc>
          <w:tcPr>
            <w:tcW w:w="2907" w:type="dxa"/>
          </w:tcPr>
          <w:p w14:paraId="30416EDA" w14:textId="518E881C" w:rsidR="008E7846" w:rsidRPr="00487162" w:rsidRDefault="001B5C90" w:rsidP="00E45619">
            <w:pPr>
              <w:rPr>
                <w:i/>
              </w:rPr>
            </w:pPr>
            <w:r>
              <w:rPr>
                <w:i/>
              </w:rPr>
              <w:t>Dose form:</w:t>
            </w:r>
          </w:p>
        </w:tc>
        <w:tc>
          <w:tcPr>
            <w:tcW w:w="6307" w:type="dxa"/>
          </w:tcPr>
          <w:p w14:paraId="59467FE7" w14:textId="68ADD216" w:rsidR="008E7846" w:rsidRPr="00487162" w:rsidRDefault="003D1528" w:rsidP="00E45619">
            <w:r>
              <w:t>Hard c</w:t>
            </w:r>
            <w:r w:rsidR="009724EC">
              <w:t>apsule</w:t>
            </w:r>
          </w:p>
        </w:tc>
      </w:tr>
      <w:tr w:rsidR="008E7846" w:rsidRPr="00487162" w14:paraId="4AD61AA5" w14:textId="77777777" w:rsidTr="00BF1190">
        <w:tc>
          <w:tcPr>
            <w:tcW w:w="2907" w:type="dxa"/>
          </w:tcPr>
          <w:p w14:paraId="6F98AED5" w14:textId="7CA11E5E" w:rsidR="008E7846" w:rsidRPr="00487162" w:rsidRDefault="008E7846" w:rsidP="00E45619">
            <w:pPr>
              <w:rPr>
                <w:i/>
              </w:rPr>
            </w:pPr>
            <w:r w:rsidRPr="00487162">
              <w:rPr>
                <w:i/>
              </w:rPr>
              <w:t>Strengths:</w:t>
            </w:r>
          </w:p>
        </w:tc>
        <w:tc>
          <w:tcPr>
            <w:tcW w:w="6307" w:type="dxa"/>
          </w:tcPr>
          <w:p w14:paraId="4F7807F5" w14:textId="4D380DEE" w:rsidR="008E7846" w:rsidRPr="00487162" w:rsidRDefault="008B4614" w:rsidP="00BA383D">
            <w:r>
              <w:t xml:space="preserve">2.5 mg, </w:t>
            </w:r>
            <w:r w:rsidR="009724EC">
              <w:t xml:space="preserve">5 mg, </w:t>
            </w:r>
            <w:r w:rsidR="00BA383D">
              <w:t>7.5</w:t>
            </w:r>
            <w:r w:rsidR="00AA49C0">
              <w:t xml:space="preserve"> mg, </w:t>
            </w:r>
            <w:r w:rsidR="00085F38">
              <w:t>10</w:t>
            </w:r>
            <w:r>
              <w:t xml:space="preserve"> </w:t>
            </w:r>
            <w:r w:rsidR="00085F38">
              <w:t>mg, 15</w:t>
            </w:r>
            <w:r>
              <w:t xml:space="preserve"> </w:t>
            </w:r>
            <w:r w:rsidR="00085F38">
              <w:t>mg</w:t>
            </w:r>
            <w:r w:rsidR="009724EC">
              <w:t xml:space="preserve"> </w:t>
            </w:r>
            <w:r>
              <w:t xml:space="preserve">20 mg </w:t>
            </w:r>
            <w:r w:rsidR="009724EC">
              <w:t>and 25 mg</w:t>
            </w:r>
          </w:p>
        </w:tc>
      </w:tr>
      <w:tr w:rsidR="008E7846" w:rsidRPr="00487162" w14:paraId="705F8392" w14:textId="77777777" w:rsidTr="00BF1190">
        <w:tc>
          <w:tcPr>
            <w:tcW w:w="2907" w:type="dxa"/>
          </w:tcPr>
          <w:p w14:paraId="12C90136" w14:textId="4C1709EA" w:rsidR="008E7846" w:rsidRPr="00487162" w:rsidRDefault="008E7846" w:rsidP="00E45619">
            <w:pPr>
              <w:rPr>
                <w:i/>
              </w:rPr>
            </w:pPr>
            <w:r w:rsidRPr="00487162">
              <w:rPr>
                <w:i/>
              </w:rPr>
              <w:t>Container:</w:t>
            </w:r>
          </w:p>
        </w:tc>
        <w:tc>
          <w:tcPr>
            <w:tcW w:w="6307" w:type="dxa"/>
          </w:tcPr>
          <w:p w14:paraId="44404338" w14:textId="77777777" w:rsidR="008E7846" w:rsidRPr="00487162" w:rsidRDefault="009724EC" w:rsidP="00E45619">
            <w:r>
              <w:t>Blister pack</w:t>
            </w:r>
          </w:p>
        </w:tc>
      </w:tr>
      <w:tr w:rsidR="008E7846" w:rsidRPr="00487162" w14:paraId="574A1DBD" w14:textId="77777777" w:rsidTr="00BF1190">
        <w:tc>
          <w:tcPr>
            <w:tcW w:w="2907" w:type="dxa"/>
          </w:tcPr>
          <w:p w14:paraId="1B477C24" w14:textId="2AE422F6" w:rsidR="008E7846" w:rsidRPr="00487162" w:rsidRDefault="008E7846" w:rsidP="00E45619">
            <w:pPr>
              <w:rPr>
                <w:i/>
              </w:rPr>
            </w:pPr>
            <w:r w:rsidRPr="00487162">
              <w:rPr>
                <w:i/>
              </w:rPr>
              <w:t>Pack size:</w:t>
            </w:r>
          </w:p>
        </w:tc>
        <w:tc>
          <w:tcPr>
            <w:tcW w:w="6307" w:type="dxa"/>
          </w:tcPr>
          <w:p w14:paraId="20722D8C" w14:textId="77777777" w:rsidR="008E7846" w:rsidRPr="00487162" w:rsidRDefault="003174CD" w:rsidP="003174CD">
            <w:r>
              <w:t>21</w:t>
            </w:r>
          </w:p>
        </w:tc>
      </w:tr>
      <w:tr w:rsidR="008E7846" w:rsidRPr="00487162" w14:paraId="4E5E3CE8" w14:textId="77777777" w:rsidTr="00BF1190">
        <w:tc>
          <w:tcPr>
            <w:tcW w:w="2907" w:type="dxa"/>
          </w:tcPr>
          <w:p w14:paraId="5163B93F"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9C67AB4" w14:textId="77777777" w:rsidR="008E7846" w:rsidRPr="003174CD" w:rsidRDefault="009724EC" w:rsidP="003174CD">
            <w:pPr>
              <w:rPr>
                <w:rFonts w:eastAsia="MS Mincho"/>
                <w:i/>
                <w:lang w:eastAsia="ja-JP"/>
              </w:rPr>
            </w:pPr>
            <w:r w:rsidRPr="003174CD">
              <w:rPr>
                <w:i/>
              </w:rPr>
              <w:t>Revlimid is indicated</w:t>
            </w:r>
            <w:r w:rsidR="00266E72">
              <w:rPr>
                <w:i/>
              </w:rPr>
              <w:t xml:space="preserve"> </w:t>
            </w:r>
            <w:r w:rsidRPr="003174CD">
              <w:rPr>
                <w:i/>
              </w:rPr>
              <w:t>for the</w:t>
            </w:r>
            <w:r w:rsidR="00266E72">
              <w:rPr>
                <w:i/>
              </w:rPr>
              <w:t xml:space="preserve"> </w:t>
            </w:r>
            <w:r w:rsidRPr="003174CD">
              <w:rPr>
                <w:i/>
              </w:rPr>
              <w:t>treatment</w:t>
            </w:r>
            <w:r w:rsidR="00266E72">
              <w:rPr>
                <w:i/>
              </w:rPr>
              <w:t xml:space="preserve"> </w:t>
            </w:r>
            <w:r w:rsidRPr="003174CD">
              <w:rPr>
                <w:i/>
              </w:rPr>
              <w:t>of patients</w:t>
            </w:r>
            <w:r w:rsidR="00266E72">
              <w:rPr>
                <w:i/>
              </w:rPr>
              <w:t xml:space="preserve"> </w:t>
            </w:r>
            <w:r w:rsidRPr="003174CD">
              <w:rPr>
                <w:i/>
              </w:rPr>
              <w:t>with relapsed and/or refractory mantle cell</w:t>
            </w:r>
            <w:r w:rsidRPr="003174CD">
              <w:rPr>
                <w:i/>
                <w:spacing w:val="-30"/>
              </w:rPr>
              <w:t xml:space="preserve"> </w:t>
            </w:r>
            <w:r w:rsidRPr="003174CD">
              <w:rPr>
                <w:i/>
              </w:rPr>
              <w:t>lymphoma.</w:t>
            </w:r>
          </w:p>
        </w:tc>
      </w:tr>
      <w:tr w:rsidR="008E7846" w:rsidRPr="00487162" w14:paraId="5F3477B7" w14:textId="77777777" w:rsidTr="00BF1190">
        <w:tc>
          <w:tcPr>
            <w:tcW w:w="2907" w:type="dxa"/>
          </w:tcPr>
          <w:p w14:paraId="10537151" w14:textId="3B75406E" w:rsidR="008E7846" w:rsidRPr="00487162" w:rsidRDefault="008E7846" w:rsidP="00E45619">
            <w:pPr>
              <w:rPr>
                <w:i/>
              </w:rPr>
            </w:pPr>
            <w:r w:rsidRPr="00487162">
              <w:rPr>
                <w:i/>
              </w:rPr>
              <w:t>Route of administration:</w:t>
            </w:r>
          </w:p>
        </w:tc>
        <w:tc>
          <w:tcPr>
            <w:tcW w:w="6307" w:type="dxa"/>
          </w:tcPr>
          <w:p w14:paraId="6C2EEC84" w14:textId="77777777" w:rsidR="008E7846" w:rsidRPr="00487162" w:rsidRDefault="009724EC" w:rsidP="00E45619">
            <w:r>
              <w:t>Oral (PO)</w:t>
            </w:r>
          </w:p>
        </w:tc>
      </w:tr>
      <w:tr w:rsidR="008E7846" w:rsidRPr="00487162" w14:paraId="5135789D" w14:textId="77777777" w:rsidTr="00BF1190">
        <w:tc>
          <w:tcPr>
            <w:tcW w:w="2907" w:type="dxa"/>
          </w:tcPr>
          <w:p w14:paraId="7AE199BE" w14:textId="77777777" w:rsidR="008E7846" w:rsidRPr="00487162" w:rsidRDefault="008E7846" w:rsidP="00E45619">
            <w:pPr>
              <w:rPr>
                <w:i/>
              </w:rPr>
            </w:pPr>
            <w:r w:rsidRPr="00487162">
              <w:rPr>
                <w:i/>
              </w:rPr>
              <w:t>Dosage:</w:t>
            </w:r>
          </w:p>
        </w:tc>
        <w:tc>
          <w:tcPr>
            <w:tcW w:w="6307" w:type="dxa"/>
          </w:tcPr>
          <w:p w14:paraId="3BD40E4D" w14:textId="1C359A26" w:rsidR="008E7846" w:rsidRPr="00487162" w:rsidRDefault="009724EC" w:rsidP="00BB2385">
            <w:r>
              <w:rPr>
                <w:w w:val="105"/>
              </w:rPr>
              <w:t>The recommended sta</w:t>
            </w:r>
            <w:r w:rsidR="00BB2385">
              <w:rPr>
                <w:w w:val="105"/>
              </w:rPr>
              <w:t>rt</w:t>
            </w:r>
            <w:r>
              <w:rPr>
                <w:w w:val="105"/>
              </w:rPr>
              <w:t>ing dose of lenalidomi</w:t>
            </w:r>
            <w:r w:rsidR="00BB2385">
              <w:rPr>
                <w:w w:val="105"/>
              </w:rPr>
              <w:t>d</w:t>
            </w:r>
            <w:r>
              <w:rPr>
                <w:w w:val="105"/>
              </w:rPr>
              <w:t>e is 25 mg orally once daily on Days 1-21 of repeating 28-</w:t>
            </w:r>
            <w:r w:rsidR="00BC1342">
              <w:rPr>
                <w:w w:val="105"/>
              </w:rPr>
              <w:t xml:space="preserve">day </w:t>
            </w:r>
            <w:r>
              <w:rPr>
                <w:w w:val="105"/>
              </w:rPr>
              <w:t>cycles. Treatment should be continued until disease progression or unacceptable toxicity. Dosing is continued or modified based upon clinical and laboratory findings</w:t>
            </w:r>
            <w:r w:rsidR="003174CD">
              <w:rPr>
                <w:w w:val="105"/>
              </w:rPr>
              <w:t xml:space="preserve"> (see PI Attachment 1</w:t>
            </w:r>
            <w:r>
              <w:rPr>
                <w:w w:val="105"/>
              </w:rPr>
              <w:t>). Recommended close adjustments for MCL patients are found in PI (Attachment 1).</w:t>
            </w:r>
          </w:p>
        </w:tc>
      </w:tr>
    </w:tbl>
    <w:p w14:paraId="0B60F44F" w14:textId="77777777" w:rsidR="008E7846" w:rsidRDefault="008E7846" w:rsidP="008E7846">
      <w:pPr>
        <w:pStyle w:val="Heading3"/>
      </w:pPr>
      <w:bookmarkStart w:id="13" w:name="_Toc247691503"/>
      <w:bookmarkStart w:id="14" w:name="_Toc314842484"/>
      <w:bookmarkStart w:id="15" w:name="_Toc12960516"/>
      <w:r>
        <w:t>Product background</w:t>
      </w:r>
      <w:bookmarkEnd w:id="13"/>
      <w:bookmarkEnd w:id="14"/>
      <w:bookmarkEnd w:id="15"/>
    </w:p>
    <w:p w14:paraId="218922F0" w14:textId="13827C5E" w:rsidR="0002459E" w:rsidRPr="00A234EB" w:rsidRDefault="00940A89" w:rsidP="00516496">
      <w:r w:rsidRPr="00A926B4">
        <w:t xml:space="preserve">This AusPAR describes the application by the sponsor to </w:t>
      </w:r>
      <w:r w:rsidR="0002459E" w:rsidRPr="00A234EB">
        <w:t xml:space="preserve">extend the registration of Revlimid (lenalidomide) </w:t>
      </w:r>
      <w:r w:rsidR="008B4614" w:rsidRPr="00A234EB">
        <w:t>2.5 mg, 5 mg, 7.5</w:t>
      </w:r>
      <w:r w:rsidR="00AA49C0" w:rsidRPr="00A234EB">
        <w:t xml:space="preserve"> mg</w:t>
      </w:r>
      <w:r w:rsidR="00AA49C0" w:rsidRPr="00A926B4">
        <w:t xml:space="preserve">, </w:t>
      </w:r>
      <w:r w:rsidR="008B4614" w:rsidRPr="00A234EB">
        <w:t>10 mg, 15 mg 20 mg and 25 mg</w:t>
      </w:r>
      <w:r w:rsidR="00D306A9">
        <w:t xml:space="preserve"> </w:t>
      </w:r>
      <w:r w:rsidR="003D1528" w:rsidRPr="00A234EB">
        <w:t xml:space="preserve">hard </w:t>
      </w:r>
      <w:r w:rsidR="0002459E" w:rsidRPr="00A234EB">
        <w:t>capsules</w:t>
      </w:r>
      <w:r w:rsidR="0002459E" w:rsidRPr="00A926B4">
        <w:t xml:space="preserve"> to include the </w:t>
      </w:r>
      <w:r w:rsidRPr="00A234EB">
        <w:t>following indication</w:t>
      </w:r>
      <w:r w:rsidR="0002459E" w:rsidRPr="00A234EB">
        <w:t>:</w:t>
      </w:r>
    </w:p>
    <w:p w14:paraId="250E196C" w14:textId="77777777" w:rsidR="008E7846" w:rsidRPr="0002459E" w:rsidRDefault="0002459E" w:rsidP="0002459E">
      <w:pPr>
        <w:ind w:firstLine="720"/>
        <w:rPr>
          <w:i/>
        </w:rPr>
      </w:pPr>
      <w:proofErr w:type="gramStart"/>
      <w:r w:rsidRPr="0002459E">
        <w:rPr>
          <w:i/>
        </w:rPr>
        <w:t>For the treatment of patients with relapsed and/or refractory mantle cell lymphoma.</w:t>
      </w:r>
      <w:proofErr w:type="gramEnd"/>
    </w:p>
    <w:p w14:paraId="28F1FB9C" w14:textId="77777777" w:rsidR="0002459E" w:rsidRDefault="0002459E" w:rsidP="0002459E">
      <w:r>
        <w:lastRenderedPageBreak/>
        <w:t xml:space="preserve">Lenalidomide is an antineoplastic agent with </w:t>
      </w:r>
      <w:r w:rsidRPr="00797E75">
        <w:t>a pleiotropic mechanism of action</w:t>
      </w:r>
      <w:r>
        <w:t xml:space="preserve"> that includes immunomodulatory and anti-angiogenic effects.</w:t>
      </w:r>
    </w:p>
    <w:p w14:paraId="664E4C10" w14:textId="77777777" w:rsidR="00007C96" w:rsidRDefault="0002459E" w:rsidP="00940A89">
      <w:r>
        <w:t>Revlimid is c</w:t>
      </w:r>
      <w:r w:rsidR="00007C96">
        <w:t>urrent</w:t>
      </w:r>
      <w:r>
        <w:t>ly approved for the following</w:t>
      </w:r>
      <w:r w:rsidR="00266E72">
        <w:t xml:space="preserve"> </w:t>
      </w:r>
      <w:r w:rsidR="00007C96">
        <w:t>indications:</w:t>
      </w:r>
    </w:p>
    <w:p w14:paraId="64C8EB16" w14:textId="77777777" w:rsidR="00007C96" w:rsidRPr="0002459E" w:rsidRDefault="00007C96" w:rsidP="0002459E">
      <w:pPr>
        <w:pStyle w:val="ListBullet"/>
        <w:rPr>
          <w:i/>
        </w:rPr>
      </w:pPr>
      <w:r w:rsidRPr="0002459E">
        <w:rPr>
          <w:i/>
        </w:rPr>
        <w:t>In combination with dexamethasone, for the treatment of multiple myeloma patients whose disease has progressed after one therapy;</w:t>
      </w:r>
    </w:p>
    <w:p w14:paraId="0AEF8CB4" w14:textId="77777777" w:rsidR="00007C96" w:rsidRPr="0002459E" w:rsidRDefault="00007C96" w:rsidP="0002459E">
      <w:pPr>
        <w:pStyle w:val="ListBullet"/>
        <w:rPr>
          <w:i/>
        </w:rPr>
      </w:pPr>
      <w:r w:rsidRPr="0002459E">
        <w:rPr>
          <w:i/>
        </w:rPr>
        <w:t>For the treatment of patients with transfusion-dependent anaemia due to low- or intermediate-1 risk myelodysplastic syndromes associated with a deletion 5q cytogenetic abnormality with or without additional cytogenetic abnormalities.</w:t>
      </w:r>
    </w:p>
    <w:p w14:paraId="22F58379" w14:textId="77777777" w:rsidR="00007C96" w:rsidRPr="00EF4151" w:rsidRDefault="0002459E" w:rsidP="0002459E">
      <w:r>
        <w:t>The c</w:t>
      </w:r>
      <w:r w:rsidR="00007C96" w:rsidRPr="00EF4151">
        <w:t>urrent</w:t>
      </w:r>
      <w:r>
        <w:t xml:space="preserve"> dosage regimen for Revlimid in Australia is as follows:</w:t>
      </w:r>
    </w:p>
    <w:p w14:paraId="2169C957" w14:textId="709CE7C2" w:rsidR="00007C96" w:rsidRPr="0002459E" w:rsidRDefault="00007C96" w:rsidP="0002459E">
      <w:pPr>
        <w:ind w:left="720"/>
        <w:rPr>
          <w:rFonts w:asciiTheme="minorHAnsi" w:hAnsiTheme="minorHAnsi"/>
          <w:i/>
        </w:rPr>
      </w:pPr>
      <w:r w:rsidRPr="0002459E">
        <w:rPr>
          <w:rFonts w:asciiTheme="minorHAnsi" w:hAnsiTheme="minorHAnsi"/>
          <w:i/>
        </w:rPr>
        <w:t>Previously treated multiple myeloma</w:t>
      </w:r>
    </w:p>
    <w:p w14:paraId="0A97DCA5" w14:textId="6D9B424E" w:rsidR="00085F38" w:rsidRDefault="00007C96" w:rsidP="0002459E">
      <w:pPr>
        <w:ind w:left="720"/>
        <w:rPr>
          <w:rFonts w:asciiTheme="minorHAnsi" w:hAnsiTheme="minorHAnsi"/>
          <w:i/>
        </w:rPr>
      </w:pPr>
      <w:r w:rsidRPr="0002459E">
        <w:rPr>
          <w:rFonts w:asciiTheme="minorHAnsi" w:hAnsiTheme="minorHAnsi"/>
          <w:i/>
        </w:rPr>
        <w:t>The recommended starting dose of lenalidomide is 25 mg orally once daily on days 1</w:t>
      </w:r>
      <w:r w:rsidR="00D306A9">
        <w:rPr>
          <w:rFonts w:asciiTheme="minorHAnsi" w:hAnsiTheme="minorHAnsi"/>
          <w:i/>
        </w:rPr>
        <w:noBreakHyphen/>
      </w:r>
      <w:r w:rsidRPr="0002459E">
        <w:rPr>
          <w:rFonts w:asciiTheme="minorHAnsi" w:hAnsiTheme="minorHAnsi"/>
          <w:i/>
        </w:rPr>
        <w:t>21 of repeated 28</w:t>
      </w:r>
      <w:r w:rsidR="00D306A9">
        <w:rPr>
          <w:rFonts w:asciiTheme="minorHAnsi" w:hAnsiTheme="minorHAnsi"/>
          <w:i/>
        </w:rPr>
        <w:t xml:space="preserve"> </w:t>
      </w:r>
      <w:r w:rsidRPr="0002459E">
        <w:rPr>
          <w:rFonts w:asciiTheme="minorHAnsi" w:hAnsiTheme="minorHAnsi"/>
          <w:i/>
        </w:rPr>
        <w:t>day cycles. The recommended dose of dexamethasone is 40 mg orally once daily on days 1-4, 9-12, and 17-20 of each 28</w:t>
      </w:r>
      <w:r w:rsidR="00D306A9">
        <w:rPr>
          <w:rFonts w:asciiTheme="minorHAnsi" w:hAnsiTheme="minorHAnsi"/>
          <w:i/>
        </w:rPr>
        <w:t xml:space="preserve"> </w:t>
      </w:r>
      <w:r w:rsidRPr="0002459E">
        <w:rPr>
          <w:rFonts w:asciiTheme="minorHAnsi" w:hAnsiTheme="minorHAnsi"/>
          <w:i/>
        </w:rPr>
        <w:t>day cycle for the first 4</w:t>
      </w:r>
      <w:r w:rsidR="00D306A9">
        <w:rPr>
          <w:rFonts w:asciiTheme="minorHAnsi" w:hAnsiTheme="minorHAnsi"/>
          <w:i/>
        </w:rPr>
        <w:t> </w:t>
      </w:r>
      <w:r w:rsidRPr="0002459E">
        <w:rPr>
          <w:rFonts w:asciiTheme="minorHAnsi" w:hAnsiTheme="minorHAnsi"/>
          <w:i/>
        </w:rPr>
        <w:t>cycles of therapy and then 40 mg once daily on days 1-4 every 28 days.</w:t>
      </w:r>
    </w:p>
    <w:p w14:paraId="4C0CE9AB" w14:textId="77777777" w:rsidR="00085F38" w:rsidRDefault="00085F38" w:rsidP="00085F38">
      <w:pPr>
        <w:ind w:left="720"/>
        <w:rPr>
          <w:i/>
        </w:rPr>
      </w:pPr>
      <w:r>
        <w:rPr>
          <w:i/>
        </w:rPr>
        <w:t>M</w:t>
      </w:r>
      <w:r w:rsidRPr="0002459E">
        <w:rPr>
          <w:i/>
        </w:rPr>
        <w:t>yelodysplastic syndromes</w:t>
      </w:r>
    </w:p>
    <w:p w14:paraId="197F848E" w14:textId="4E7402A0" w:rsidR="00085F38" w:rsidRPr="00D417F6" w:rsidRDefault="00085F38" w:rsidP="0002459E">
      <w:pPr>
        <w:ind w:left="720"/>
        <w:rPr>
          <w:rFonts w:asciiTheme="minorHAnsi" w:hAnsiTheme="minorHAnsi"/>
          <w:i/>
        </w:rPr>
      </w:pPr>
      <w:r w:rsidRPr="00516496">
        <w:rPr>
          <w:i/>
        </w:rPr>
        <w:t>The recommended starting dose of lenalidomide is 10 mg given orally once a day on Days 1 to 21 of repeating 28</w:t>
      </w:r>
      <w:r w:rsidR="00A926B4">
        <w:rPr>
          <w:i/>
        </w:rPr>
        <w:t xml:space="preserve"> </w:t>
      </w:r>
      <w:r w:rsidRPr="00516496">
        <w:rPr>
          <w:i/>
        </w:rPr>
        <w:t>day treatment cycles. Dosing is continued or modified based upon clinical and laboratory findings</w:t>
      </w:r>
    </w:p>
    <w:p w14:paraId="134FE144" w14:textId="784BAE49" w:rsidR="00007C96" w:rsidRDefault="0002459E" w:rsidP="0002459E">
      <w:r>
        <w:t>The sponsor has p</w:t>
      </w:r>
      <w:r w:rsidR="00007C96" w:rsidRPr="00EF4151">
        <w:t>roposed</w:t>
      </w:r>
      <w:r>
        <w:t xml:space="preserve"> the following dosage regimen</w:t>
      </w:r>
      <w:r w:rsidR="00007C96" w:rsidRPr="00EF4151">
        <w:t>:</w:t>
      </w:r>
    </w:p>
    <w:p w14:paraId="7A81BAF3" w14:textId="224E7C22" w:rsidR="00007C96" w:rsidRPr="0002459E" w:rsidRDefault="00007C96" w:rsidP="0002459E">
      <w:pPr>
        <w:ind w:left="720"/>
        <w:rPr>
          <w:i/>
        </w:rPr>
      </w:pPr>
      <w:r w:rsidRPr="0002459E">
        <w:rPr>
          <w:i/>
        </w:rPr>
        <w:t xml:space="preserve">The dosage regimen for MCL is 25 mg once daily on </w:t>
      </w:r>
      <w:r w:rsidR="00A926B4">
        <w:rPr>
          <w:i/>
        </w:rPr>
        <w:t>D</w:t>
      </w:r>
      <w:r w:rsidRPr="0002459E">
        <w:rPr>
          <w:i/>
        </w:rPr>
        <w:t>ays 1-21 of a 28</w:t>
      </w:r>
      <w:r w:rsidR="00A926B4">
        <w:rPr>
          <w:i/>
        </w:rPr>
        <w:t xml:space="preserve"> </w:t>
      </w:r>
      <w:r w:rsidRPr="0002459E">
        <w:rPr>
          <w:i/>
        </w:rPr>
        <w:t>day cycle. In the event of toxicity, stepwise dose reductions are recommended to as low as 5 mg every other day. It is proposed that treatment continue until disease progression or unacceptable toxicity occurs.</w:t>
      </w:r>
    </w:p>
    <w:p w14:paraId="5DEE06E5" w14:textId="3E208725" w:rsidR="0002459E" w:rsidRDefault="0002459E" w:rsidP="0002459E">
      <w:r>
        <w:t xml:space="preserve">The proposed lenalidomide dosage regimen is essentially the same as that registered for use in </w:t>
      </w:r>
      <w:r w:rsidR="003C7BD9">
        <w:t xml:space="preserve">multiple </w:t>
      </w:r>
      <w:r>
        <w:t xml:space="preserve">myeloma, except that the lowest recommended dose in </w:t>
      </w:r>
      <w:r w:rsidR="003C7BD9">
        <w:t xml:space="preserve">multiple </w:t>
      </w:r>
      <w:r>
        <w:t>myeloma is 5 mg every day.</w:t>
      </w:r>
    </w:p>
    <w:p w14:paraId="0F8B5A88" w14:textId="77777777" w:rsidR="00007C96" w:rsidRDefault="00007C96" w:rsidP="00007C96">
      <w:pPr>
        <w:rPr>
          <w:rFonts w:asciiTheme="minorHAnsi" w:hAnsiTheme="minorHAnsi"/>
        </w:rPr>
      </w:pPr>
      <w:r>
        <w:rPr>
          <w:rFonts w:asciiTheme="minorHAnsi" w:hAnsiTheme="minorHAnsi"/>
        </w:rPr>
        <w:t>For the existing and proposed indication, the PI states:</w:t>
      </w:r>
    </w:p>
    <w:p w14:paraId="701CD6FD" w14:textId="7C2CB7F3" w:rsidR="00007C96" w:rsidRPr="00516496" w:rsidRDefault="00007C96" w:rsidP="00516496">
      <w:pPr>
        <w:ind w:firstLine="720"/>
        <w:rPr>
          <w:rFonts w:asciiTheme="minorHAnsi" w:hAnsiTheme="minorHAnsi"/>
          <w:i/>
        </w:rPr>
      </w:pPr>
      <w:r w:rsidRPr="00516496">
        <w:rPr>
          <w:rFonts w:asciiTheme="minorHAnsi" w:hAnsiTheme="minorHAnsi"/>
          <w:i/>
        </w:rPr>
        <w:t>Treatment should be continued until disease progression or unacceptable toxicity.</w:t>
      </w:r>
    </w:p>
    <w:p w14:paraId="1D70A1F9" w14:textId="2E8576A7" w:rsidR="00007C96" w:rsidRDefault="00007C96" w:rsidP="00007C96">
      <w:r>
        <w:t xml:space="preserve">The following dosage forms and strengths are currently registered: capsules containing 5, 10, 15 and 25 mg. </w:t>
      </w:r>
      <w:r w:rsidR="00D417F6">
        <w:t>During this submission the sponsor proposed three additional strengths; 2.5 mg 7.5 mg and 20 mg</w:t>
      </w:r>
      <w:r w:rsidR="00A926B4">
        <w:t>.</w:t>
      </w:r>
    </w:p>
    <w:p w14:paraId="05027CE4" w14:textId="77777777" w:rsidR="008E7846" w:rsidRPr="003F31A2" w:rsidRDefault="00386150" w:rsidP="008E7846">
      <w:pPr>
        <w:pStyle w:val="Heading3"/>
      </w:pPr>
      <w:bookmarkStart w:id="16" w:name="_Toc314842485"/>
      <w:bookmarkStart w:id="17" w:name="_Toc247691504"/>
      <w:bookmarkStart w:id="18" w:name="_Toc12960517"/>
      <w:r>
        <w:t>Regulatory s</w:t>
      </w:r>
      <w:r w:rsidR="008E7846">
        <w:t>tatus</w:t>
      </w:r>
      <w:bookmarkEnd w:id="16"/>
      <w:bookmarkEnd w:id="17"/>
      <w:bookmarkEnd w:id="18"/>
    </w:p>
    <w:p w14:paraId="4B7DE97B" w14:textId="11FE4251" w:rsidR="00007C96" w:rsidRDefault="00007C96" w:rsidP="00007C96">
      <w:bookmarkStart w:id="19" w:name="_Toc247691505"/>
      <w:bookmarkStart w:id="20" w:name="_Toc314842486"/>
      <w:r>
        <w:t xml:space="preserve">The drug was initially registered by the TGA for use in </w:t>
      </w:r>
      <w:r w:rsidR="003C7BD9">
        <w:t xml:space="preserve">multiple </w:t>
      </w:r>
      <w:r>
        <w:t>myeloma in 2007. The myelodysplastic syndrome indication was approved in 2010.</w:t>
      </w:r>
    </w:p>
    <w:p w14:paraId="0692624B" w14:textId="77777777" w:rsidR="00516496" w:rsidRDefault="00007C96" w:rsidP="00516496">
      <w:r>
        <w:t>Lenalidomide was designated as an orphan drug for the treatment of patients with mantle cell lymphoma in January 2015</w:t>
      </w:r>
      <w:r w:rsidR="00010AA6">
        <w:t xml:space="preserve"> </w:t>
      </w:r>
      <w:r w:rsidR="002712EB">
        <w:t>in Australia</w:t>
      </w:r>
      <w:r w:rsidR="00010AA6">
        <w:t xml:space="preserve"> (in June 2009 </w:t>
      </w:r>
      <w:r w:rsidR="002712EB">
        <w:t xml:space="preserve">in the </w:t>
      </w:r>
      <w:r w:rsidR="00A234EB">
        <w:t>United States (</w:t>
      </w:r>
      <w:r w:rsidR="002712EB">
        <w:t>US</w:t>
      </w:r>
      <w:r w:rsidR="00A234EB">
        <w:t>)</w:t>
      </w:r>
      <w:r w:rsidR="002712EB">
        <w:t xml:space="preserve"> </w:t>
      </w:r>
      <w:r w:rsidR="00010AA6">
        <w:t xml:space="preserve">and </w:t>
      </w:r>
      <w:r w:rsidR="002712EB" w:rsidRPr="002712EB">
        <w:t xml:space="preserve">October 2011 </w:t>
      </w:r>
      <w:r w:rsidR="007C431D">
        <w:t xml:space="preserve">in the </w:t>
      </w:r>
      <w:r w:rsidR="00A234EB">
        <w:t>European Union</w:t>
      </w:r>
      <w:r w:rsidR="00516496">
        <w:t xml:space="preserve"> </w:t>
      </w:r>
      <w:r w:rsidR="00A234EB">
        <w:t>(</w:t>
      </w:r>
      <w:r w:rsidR="007C431D">
        <w:t>EU</w:t>
      </w:r>
      <w:r w:rsidR="00A234EB">
        <w:t>)</w:t>
      </w:r>
      <w:r w:rsidR="00010AA6">
        <w:t>).</w:t>
      </w:r>
    </w:p>
    <w:p w14:paraId="2AD88D52" w14:textId="38D19A62" w:rsidR="00924401" w:rsidRPr="00E31DD2" w:rsidRDefault="00924401" w:rsidP="00516496">
      <w:r w:rsidRPr="00E31DD2">
        <w:t xml:space="preserve">Lenalidomide has been approved for use in MCL by the </w:t>
      </w:r>
      <w:r w:rsidR="00A234EB">
        <w:t xml:space="preserve">US Food and Drug </w:t>
      </w:r>
      <w:proofErr w:type="spellStart"/>
      <w:r w:rsidR="00A234EB">
        <w:t>Administratin</w:t>
      </w:r>
      <w:proofErr w:type="spellEnd"/>
      <w:r w:rsidR="00A234EB">
        <w:t xml:space="preserve"> (</w:t>
      </w:r>
      <w:r w:rsidRPr="00E31DD2">
        <w:t>FDA</w:t>
      </w:r>
      <w:r w:rsidR="00A234EB">
        <w:t>)</w:t>
      </w:r>
      <w:r w:rsidRPr="00E31DD2">
        <w:t xml:space="preserve"> and</w:t>
      </w:r>
      <w:r w:rsidR="00A234EB">
        <w:t xml:space="preserve"> the European Medicines Agency</w:t>
      </w:r>
      <w:r w:rsidRPr="00E31DD2">
        <w:t xml:space="preserve"> </w:t>
      </w:r>
      <w:r w:rsidR="00A234EB">
        <w:t>(</w:t>
      </w:r>
      <w:r w:rsidRPr="00E31DD2">
        <w:t>EMA</w:t>
      </w:r>
      <w:r w:rsidR="00A234EB">
        <w:t>)</w:t>
      </w:r>
      <w:r w:rsidRPr="00E31DD2">
        <w:t>, albeit with varied wording of the indication</w:t>
      </w:r>
      <w:r w:rsidR="00A234EB">
        <w:t>.</w:t>
      </w:r>
    </w:p>
    <w:p w14:paraId="50B24CE4" w14:textId="0EC076A3" w:rsidR="00924401" w:rsidRDefault="001A0738" w:rsidP="00924401">
      <w:r>
        <w:t xml:space="preserve">The FDA </w:t>
      </w:r>
      <w:r w:rsidR="00BD3AAF">
        <w:t xml:space="preserve">approved </w:t>
      </w:r>
      <w:r w:rsidR="00010AA6">
        <w:t>the following indication</w:t>
      </w:r>
      <w:r>
        <w:t xml:space="preserve"> on the </w:t>
      </w:r>
      <w:r w:rsidR="00924401" w:rsidRPr="007B03E1">
        <w:t xml:space="preserve">5 </w:t>
      </w:r>
      <w:r w:rsidR="00BD3AAF" w:rsidRPr="007B03E1">
        <w:t>June 2013</w:t>
      </w:r>
      <w:r w:rsidR="00D417F6" w:rsidRPr="007B03E1">
        <w:t>.</w:t>
      </w:r>
      <w:r w:rsidR="00D417F6">
        <w:t xml:space="preserve"> The indication approved in the USA was different to that being proposed in Australia:</w:t>
      </w:r>
    </w:p>
    <w:p w14:paraId="633CB951" w14:textId="723BD282" w:rsidR="00924401" w:rsidRDefault="00B32870" w:rsidP="00924401">
      <w:pPr>
        <w:ind w:left="720"/>
        <w:rPr>
          <w:rFonts w:asciiTheme="minorHAnsi" w:hAnsiTheme="minorHAnsi"/>
        </w:rPr>
      </w:pPr>
      <w:r>
        <w:rPr>
          <w:i/>
        </w:rPr>
        <w:lastRenderedPageBreak/>
        <w:t>‘</w:t>
      </w:r>
      <w:r w:rsidR="00BD3AAF" w:rsidRPr="00F37FD5">
        <w:rPr>
          <w:i/>
        </w:rPr>
        <w:t xml:space="preserve">... </w:t>
      </w:r>
      <w:proofErr w:type="gramStart"/>
      <w:r w:rsidR="00BD3AAF" w:rsidRPr="00F37FD5">
        <w:rPr>
          <w:i/>
        </w:rPr>
        <w:t>for</w:t>
      </w:r>
      <w:proofErr w:type="gramEnd"/>
      <w:r w:rsidR="00BD3AAF" w:rsidRPr="00F37FD5">
        <w:rPr>
          <w:i/>
        </w:rPr>
        <w:t xml:space="preserve"> the treatment of patients with mantle cell lymphoma (MCL) whose disease has relapsed or progressed after two prior therapies, one of which included bortezomib.</w:t>
      </w:r>
      <w:r>
        <w:rPr>
          <w:i/>
        </w:rPr>
        <w:t>’</w:t>
      </w:r>
    </w:p>
    <w:p w14:paraId="04B7826D" w14:textId="610B6FB6" w:rsidR="00266597" w:rsidRDefault="00BD3AAF" w:rsidP="00924401">
      <w:r>
        <w:t xml:space="preserve">The USA approval </w:t>
      </w:r>
      <w:r w:rsidR="00010AA6">
        <w:t>has</w:t>
      </w:r>
      <w:r>
        <w:t xml:space="preserve"> been based on the results of a </w:t>
      </w:r>
      <w:r w:rsidR="00924401">
        <w:t>P</w:t>
      </w:r>
      <w:r w:rsidR="00BB2385">
        <w:t>h</w:t>
      </w:r>
      <w:r>
        <w:t>ase II, single</w:t>
      </w:r>
      <w:r w:rsidR="00924401">
        <w:t xml:space="preserve"> </w:t>
      </w:r>
      <w:r>
        <w:t>arm open</w:t>
      </w:r>
      <w:r w:rsidR="00924401">
        <w:t xml:space="preserve"> </w:t>
      </w:r>
      <w:r>
        <w:t xml:space="preserve">label study </w:t>
      </w:r>
      <w:r w:rsidRPr="00285BF5">
        <w:t>(</w:t>
      </w:r>
      <w:r w:rsidR="00895AA7">
        <w:t xml:space="preserve">Study </w:t>
      </w:r>
      <w:r w:rsidRPr="00285BF5">
        <w:t>MCL-001).</w:t>
      </w:r>
    </w:p>
    <w:p w14:paraId="77CD9751" w14:textId="7DD27ADD" w:rsidR="00D417F6" w:rsidRDefault="00D417F6" w:rsidP="00D417F6">
      <w:r>
        <w:t xml:space="preserve">The current application to the TGA is based mainly on a Phase II randomised controlled trial (Study </w:t>
      </w:r>
      <w:r w:rsidRPr="00285BF5">
        <w:t>MCL-002</w:t>
      </w:r>
      <w:r>
        <w:t>). In addition, bortezomib is not currently registered in Australia for the treatment of MCL.</w:t>
      </w:r>
    </w:p>
    <w:p w14:paraId="253301C7" w14:textId="7D6C1CDC" w:rsidR="00D417F6" w:rsidRDefault="00D417F6" w:rsidP="00D417F6">
      <w:r w:rsidRPr="00E31DD2">
        <w:t xml:space="preserve">In regard to the wording of the </w:t>
      </w:r>
      <w:r>
        <w:t>FDA indication for MCL, b</w:t>
      </w:r>
      <w:r w:rsidRPr="00E31DD2">
        <w:t xml:space="preserve">ortezomib was not approved for </w:t>
      </w:r>
      <w:r w:rsidR="006326F2">
        <w:t xml:space="preserve">use in MCL </w:t>
      </w:r>
      <w:r w:rsidRPr="00E31DD2">
        <w:t>in Australia when the current dossier was submitted</w:t>
      </w:r>
      <w:r>
        <w:t>, thus it is considered appropriate for the Australian indication to omit specific reference to it</w:t>
      </w:r>
      <w:r w:rsidRPr="00E31DD2">
        <w:t xml:space="preserve">. </w:t>
      </w:r>
      <w:r>
        <w:t>Furthermore, b</w:t>
      </w:r>
      <w:r w:rsidRPr="00E31DD2">
        <w:t>ortezomib is indicated for use in patients with previously untreated MCL in combination with rituximab, cyclophosphamid</w:t>
      </w:r>
      <w:r>
        <w:t>e, doxorubicin and prednisolone (noting the absence of a specific MCL indication for rituximab).</w:t>
      </w:r>
    </w:p>
    <w:p w14:paraId="010D0FC8" w14:textId="3A006406" w:rsidR="00924401" w:rsidRDefault="00924401" w:rsidP="00924401">
      <w:pPr>
        <w:rPr>
          <w:lang w:val="en-US"/>
        </w:rPr>
      </w:pPr>
      <w:r>
        <w:rPr>
          <w:lang w:val="en-US"/>
        </w:rPr>
        <w:t xml:space="preserve">A similar application to extend the indication for Revlimid was </w:t>
      </w:r>
      <w:r w:rsidR="00010AA6">
        <w:rPr>
          <w:lang w:val="en-US"/>
        </w:rPr>
        <w:t>approved in the EU</w:t>
      </w:r>
      <w:r w:rsidR="00DE5CA2">
        <w:rPr>
          <w:lang w:val="en-US"/>
        </w:rPr>
        <w:t xml:space="preserve"> </w:t>
      </w:r>
      <w:r w:rsidR="000610FB">
        <w:rPr>
          <w:lang w:val="en-US"/>
        </w:rPr>
        <w:t xml:space="preserve">on </w:t>
      </w:r>
      <w:r w:rsidR="00B24A87">
        <w:rPr>
          <w:lang w:val="en-US"/>
        </w:rPr>
        <w:t>8 July 2016</w:t>
      </w:r>
      <w:r w:rsidR="000610FB">
        <w:rPr>
          <w:lang w:val="en-US"/>
        </w:rPr>
        <w:t xml:space="preserve">. </w:t>
      </w:r>
      <w:r>
        <w:rPr>
          <w:lang w:val="en-US"/>
        </w:rPr>
        <w:t>The indication is as follows:</w:t>
      </w:r>
    </w:p>
    <w:p w14:paraId="56A1D4EF" w14:textId="6BDE6428" w:rsidR="000610FB" w:rsidRPr="00E95DE1" w:rsidRDefault="000610FB" w:rsidP="00516496">
      <w:pPr>
        <w:ind w:left="720"/>
        <w:rPr>
          <w:i/>
          <w:lang w:val="en-US"/>
        </w:rPr>
      </w:pPr>
      <w:r w:rsidRPr="000610FB">
        <w:rPr>
          <w:i/>
          <w:lang w:val="en-US"/>
        </w:rPr>
        <w:t>Revlimid as monotherapy is indicated for the treatment of adult patients with relapsed or refractory mantle</w:t>
      </w:r>
      <w:r>
        <w:rPr>
          <w:i/>
          <w:lang w:val="en-US"/>
        </w:rPr>
        <w:t xml:space="preserve"> </w:t>
      </w:r>
      <w:r w:rsidRPr="000610FB">
        <w:rPr>
          <w:i/>
          <w:lang w:val="en-US"/>
        </w:rPr>
        <w:t>cell lymphoma</w:t>
      </w:r>
      <w:r w:rsidR="00516496">
        <w:rPr>
          <w:i/>
          <w:lang w:val="en-US"/>
        </w:rPr>
        <w:t>.</w:t>
      </w:r>
    </w:p>
    <w:p w14:paraId="21888A09" w14:textId="45A4C56B" w:rsidR="00010AA6" w:rsidRDefault="00010AA6" w:rsidP="00BD3AAF">
      <w:r>
        <w:t xml:space="preserve">The </w:t>
      </w:r>
      <w:r w:rsidR="00D76B21">
        <w:t xml:space="preserve">EU </w:t>
      </w:r>
      <w:r>
        <w:t xml:space="preserve">approval has been based on the results of </w:t>
      </w:r>
      <w:r w:rsidR="00895AA7">
        <w:t xml:space="preserve">Study </w:t>
      </w:r>
      <w:r w:rsidR="000610FB">
        <w:t xml:space="preserve">MCL-002, </w:t>
      </w:r>
      <w:r>
        <w:t>a Phase II</w:t>
      </w:r>
      <w:r w:rsidR="000610FB">
        <w:t xml:space="preserve"> </w:t>
      </w:r>
      <w:r w:rsidR="000610FB" w:rsidRPr="009322ED">
        <w:t>randomi</w:t>
      </w:r>
      <w:r w:rsidR="00895AA7">
        <w:t>s</w:t>
      </w:r>
      <w:r w:rsidR="000610FB" w:rsidRPr="009322ED">
        <w:t>ed,</w:t>
      </w:r>
      <w:r w:rsidR="000610FB">
        <w:t xml:space="preserve"> open</w:t>
      </w:r>
      <w:r w:rsidR="00895AA7">
        <w:t xml:space="preserve"> </w:t>
      </w:r>
      <w:r w:rsidR="000610FB">
        <w:t>label,</w:t>
      </w:r>
      <w:r w:rsidR="00895AA7">
        <w:t xml:space="preserve"> </w:t>
      </w:r>
      <w:r w:rsidR="000610FB">
        <w:t>active controlled study</w:t>
      </w:r>
      <w:r w:rsidR="00A926B4">
        <w:t>.</w:t>
      </w:r>
    </w:p>
    <w:p w14:paraId="47D730C1" w14:textId="6F6FD2FB" w:rsidR="000610FB" w:rsidRDefault="000610FB" w:rsidP="000610FB">
      <w:r>
        <w:t>The current application to the TGA is based mainly on the same Phase II trial (Study</w:t>
      </w:r>
      <w:r w:rsidR="00895AA7">
        <w:t> </w:t>
      </w:r>
      <w:r w:rsidRPr="00285BF5">
        <w:t>MCL</w:t>
      </w:r>
      <w:r w:rsidR="00895AA7">
        <w:noBreakHyphen/>
      </w:r>
      <w:r w:rsidRPr="00285BF5">
        <w:t>002</w:t>
      </w:r>
      <w:r>
        <w:t>).</w:t>
      </w:r>
    </w:p>
    <w:p w14:paraId="781205A6" w14:textId="3A9499D7" w:rsidR="00007C96" w:rsidRDefault="00007C96" w:rsidP="00BD3AAF">
      <w:r>
        <w:t>A</w:t>
      </w:r>
      <w:r w:rsidRPr="0037247E">
        <w:t>gents that have received approval specifically for the second</w:t>
      </w:r>
      <w:r w:rsidR="00895AA7">
        <w:t xml:space="preserve"> </w:t>
      </w:r>
      <w:r w:rsidRPr="0037247E">
        <w:t xml:space="preserve">line treatment of MCL </w:t>
      </w:r>
      <w:r>
        <w:t xml:space="preserve">in Australia </w:t>
      </w:r>
      <w:r w:rsidRPr="0037247E">
        <w:t xml:space="preserve">are </w:t>
      </w:r>
      <w:proofErr w:type="spellStart"/>
      <w:r w:rsidRPr="0037247E">
        <w:t>temsirolimus</w:t>
      </w:r>
      <w:proofErr w:type="spellEnd"/>
      <w:r w:rsidRPr="0037247E">
        <w:t xml:space="preserve"> and </w:t>
      </w:r>
      <w:proofErr w:type="spellStart"/>
      <w:r w:rsidRPr="0037247E">
        <w:t>ibrutinib</w:t>
      </w:r>
      <w:proofErr w:type="spellEnd"/>
      <w:r w:rsidRPr="0037247E">
        <w:t>.</w:t>
      </w:r>
      <w:r>
        <w:t xml:space="preserve"> For patients with MCL who are ineligible for autologous stem cell transplantation, </w:t>
      </w:r>
      <w:proofErr w:type="spellStart"/>
      <w:r>
        <w:t>bendamustine</w:t>
      </w:r>
      <w:proofErr w:type="spellEnd"/>
      <w:r>
        <w:t xml:space="preserve"> is approved for use in Australia.</w:t>
      </w:r>
    </w:p>
    <w:p w14:paraId="666FB7F3" w14:textId="77777777" w:rsidR="008E7846" w:rsidRDefault="008E7846" w:rsidP="00940A89">
      <w:pPr>
        <w:pStyle w:val="Heading3"/>
      </w:pPr>
      <w:bookmarkStart w:id="21" w:name="_Toc12960518"/>
      <w:r>
        <w:t>Product Information</w:t>
      </w:r>
      <w:bookmarkEnd w:id="19"/>
      <w:bookmarkEnd w:id="20"/>
      <w:bookmarkEnd w:id="21"/>
    </w:p>
    <w:p w14:paraId="66F0CED9"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3F3C586A" w14:textId="77777777" w:rsidR="00500337" w:rsidRDefault="00500337" w:rsidP="00500337">
      <w:pPr>
        <w:pStyle w:val="Heading2"/>
      </w:pPr>
      <w:bookmarkStart w:id="24" w:name="_Toc504480011"/>
      <w:bookmarkStart w:id="25" w:name="_Toc12960519"/>
      <w:r>
        <w:t>II. Registration time line</w:t>
      </w:r>
      <w:bookmarkEnd w:id="24"/>
      <w:bookmarkEnd w:id="25"/>
    </w:p>
    <w:p w14:paraId="09189E79" w14:textId="77777777" w:rsidR="00500337" w:rsidRDefault="00500337" w:rsidP="00500337">
      <w:r>
        <w:t xml:space="preserve">The following table </w:t>
      </w:r>
      <w:r w:rsidR="00283551">
        <w:t xml:space="preserve">(Table 1) </w:t>
      </w:r>
      <w:r>
        <w:t>captures the key steps and dates for this application and which are detailed and discussed in this AusPAR and Attachment 2.</w:t>
      </w:r>
    </w:p>
    <w:p w14:paraId="108431C5" w14:textId="73CB42F1" w:rsidR="00283551" w:rsidRDefault="00A926B4" w:rsidP="00516496">
      <w:pPr>
        <w:pStyle w:val="TableTitle"/>
        <w:numPr>
          <w:ilvl w:val="0"/>
          <w:numId w:val="0"/>
        </w:numPr>
      </w:pPr>
      <w:r>
        <w:t xml:space="preserve">Table 1: </w:t>
      </w:r>
      <w:r w:rsidR="00283551">
        <w:t>Registration timeline for PM-2015-00772-1-4</w:t>
      </w:r>
    </w:p>
    <w:tbl>
      <w:tblPr>
        <w:tblStyle w:val="TableTGAblue"/>
        <w:tblW w:w="0" w:type="auto"/>
        <w:tblLook w:val="04A0" w:firstRow="1" w:lastRow="0" w:firstColumn="1" w:lastColumn="0" w:noHBand="0" w:noVBand="1"/>
      </w:tblPr>
      <w:tblGrid>
        <w:gridCol w:w="4360"/>
        <w:gridCol w:w="4360"/>
      </w:tblGrid>
      <w:tr w:rsidR="00500337" w14:paraId="7E39B29C"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3A7613AE" w14:textId="77777777" w:rsidR="00500337" w:rsidRDefault="00500337" w:rsidP="00500337">
            <w:pPr>
              <w:ind w:left="0" w:right="0"/>
            </w:pPr>
            <w:r>
              <w:t>Description</w:t>
            </w:r>
          </w:p>
        </w:tc>
        <w:tc>
          <w:tcPr>
            <w:tcW w:w="4360" w:type="dxa"/>
          </w:tcPr>
          <w:p w14:paraId="5EDDCE21" w14:textId="77777777" w:rsidR="00500337" w:rsidRDefault="00500337" w:rsidP="00500337">
            <w:pPr>
              <w:ind w:left="0" w:right="0"/>
            </w:pPr>
            <w:r>
              <w:t>Date</w:t>
            </w:r>
          </w:p>
        </w:tc>
      </w:tr>
      <w:tr w:rsidR="00500337" w14:paraId="0842F1E8" w14:textId="77777777" w:rsidTr="00500337">
        <w:tc>
          <w:tcPr>
            <w:tcW w:w="4360" w:type="dxa"/>
          </w:tcPr>
          <w:p w14:paraId="0685F6B9" w14:textId="77777777" w:rsidR="00500337" w:rsidRDefault="00500337" w:rsidP="00500337">
            <w:pPr>
              <w:ind w:left="0" w:right="0"/>
            </w:pPr>
            <w:r>
              <w:t>Submission dossier accepted and first round evaluation commenced</w:t>
            </w:r>
          </w:p>
        </w:tc>
        <w:tc>
          <w:tcPr>
            <w:tcW w:w="4360" w:type="dxa"/>
          </w:tcPr>
          <w:p w14:paraId="5C56C7FC" w14:textId="77777777" w:rsidR="00500337" w:rsidRDefault="00E95DE1" w:rsidP="00E95DE1">
            <w:pPr>
              <w:ind w:left="176" w:right="0"/>
            </w:pPr>
            <w:r w:rsidRPr="00182F8C">
              <w:t>1 June 2015</w:t>
            </w:r>
          </w:p>
        </w:tc>
      </w:tr>
      <w:tr w:rsidR="00500337" w14:paraId="157DE74A" w14:textId="77777777" w:rsidTr="00500337">
        <w:tc>
          <w:tcPr>
            <w:tcW w:w="4360" w:type="dxa"/>
          </w:tcPr>
          <w:p w14:paraId="0B46FF37" w14:textId="77777777" w:rsidR="00500337" w:rsidRDefault="00500337" w:rsidP="00500337">
            <w:pPr>
              <w:ind w:left="0" w:right="0"/>
            </w:pPr>
            <w:r>
              <w:t>First round evaluation completed</w:t>
            </w:r>
          </w:p>
        </w:tc>
        <w:tc>
          <w:tcPr>
            <w:tcW w:w="4360" w:type="dxa"/>
          </w:tcPr>
          <w:p w14:paraId="3DB9A1B8" w14:textId="77777777" w:rsidR="00500337" w:rsidRDefault="00E95DE1" w:rsidP="00E95DE1">
            <w:pPr>
              <w:ind w:left="176" w:right="0"/>
            </w:pPr>
            <w:r>
              <w:t>30 October 2015</w:t>
            </w:r>
          </w:p>
        </w:tc>
      </w:tr>
      <w:tr w:rsidR="00500337" w14:paraId="05E67D89" w14:textId="77777777" w:rsidTr="00500337">
        <w:tc>
          <w:tcPr>
            <w:tcW w:w="4360" w:type="dxa"/>
          </w:tcPr>
          <w:p w14:paraId="1A1EB463" w14:textId="77777777" w:rsidR="00500337" w:rsidRDefault="00500337" w:rsidP="00500337">
            <w:pPr>
              <w:ind w:left="0" w:right="0"/>
            </w:pPr>
            <w:r>
              <w:t>Sponsor provides responses on questions raised in first round evaluation</w:t>
            </w:r>
          </w:p>
        </w:tc>
        <w:tc>
          <w:tcPr>
            <w:tcW w:w="4360" w:type="dxa"/>
          </w:tcPr>
          <w:p w14:paraId="26FAFDC7" w14:textId="6016F4D7" w:rsidR="00500337" w:rsidRDefault="00085F38" w:rsidP="00E95DE1">
            <w:pPr>
              <w:ind w:left="176" w:right="0"/>
            </w:pPr>
            <w:r>
              <w:t>5</w:t>
            </w:r>
            <w:r w:rsidR="00852373">
              <w:t xml:space="preserve"> December 2015</w:t>
            </w:r>
          </w:p>
        </w:tc>
      </w:tr>
      <w:tr w:rsidR="00500337" w14:paraId="0C50058C" w14:textId="77777777" w:rsidTr="00500337">
        <w:tc>
          <w:tcPr>
            <w:tcW w:w="4360" w:type="dxa"/>
          </w:tcPr>
          <w:p w14:paraId="766A93C2" w14:textId="77777777" w:rsidR="00500337" w:rsidRDefault="00500337" w:rsidP="00500337">
            <w:pPr>
              <w:ind w:left="0" w:right="0"/>
            </w:pPr>
            <w:r>
              <w:t>Second round evaluation completed</w:t>
            </w:r>
          </w:p>
        </w:tc>
        <w:tc>
          <w:tcPr>
            <w:tcW w:w="4360" w:type="dxa"/>
          </w:tcPr>
          <w:p w14:paraId="71B37302" w14:textId="77777777" w:rsidR="00500337" w:rsidRDefault="00E95DE1" w:rsidP="00E95DE1">
            <w:pPr>
              <w:ind w:left="176" w:right="0"/>
            </w:pPr>
            <w:r>
              <w:t>4 February 2016</w:t>
            </w:r>
          </w:p>
        </w:tc>
      </w:tr>
      <w:tr w:rsidR="00500337" w14:paraId="2D83D25C" w14:textId="77777777" w:rsidTr="00500337">
        <w:tc>
          <w:tcPr>
            <w:tcW w:w="4360" w:type="dxa"/>
          </w:tcPr>
          <w:p w14:paraId="74F17C09" w14:textId="77777777" w:rsidR="00500337" w:rsidRDefault="00500337" w:rsidP="00500337">
            <w:pPr>
              <w:ind w:left="0" w:right="0"/>
            </w:pPr>
            <w:r>
              <w:lastRenderedPageBreak/>
              <w:t>Delegate’s Overall benefit-risk assessment and request for Advisory Committee advice</w:t>
            </w:r>
          </w:p>
        </w:tc>
        <w:tc>
          <w:tcPr>
            <w:tcW w:w="4360" w:type="dxa"/>
          </w:tcPr>
          <w:p w14:paraId="6F305D9A" w14:textId="6BBBB6C5" w:rsidR="00500337" w:rsidRDefault="00852373" w:rsidP="00E95DE1">
            <w:pPr>
              <w:ind w:left="176" w:right="0"/>
            </w:pPr>
            <w:r>
              <w:t>23</w:t>
            </w:r>
            <w:r w:rsidR="00BA383D">
              <w:t xml:space="preserve"> February 2016</w:t>
            </w:r>
          </w:p>
        </w:tc>
      </w:tr>
      <w:tr w:rsidR="00500337" w14:paraId="60318A08" w14:textId="77777777" w:rsidTr="00500337">
        <w:tc>
          <w:tcPr>
            <w:tcW w:w="4360" w:type="dxa"/>
          </w:tcPr>
          <w:p w14:paraId="3529DF2D" w14:textId="77777777" w:rsidR="00500337" w:rsidRDefault="00500337" w:rsidP="00500337">
            <w:pPr>
              <w:ind w:left="0" w:right="0"/>
            </w:pPr>
            <w:r>
              <w:t>Sponsor’s pre-Advisory Committee response</w:t>
            </w:r>
          </w:p>
        </w:tc>
        <w:tc>
          <w:tcPr>
            <w:tcW w:w="4360" w:type="dxa"/>
          </w:tcPr>
          <w:p w14:paraId="22638D54" w14:textId="77777777" w:rsidR="00500337" w:rsidRDefault="00E95DE1" w:rsidP="00E95DE1">
            <w:pPr>
              <w:ind w:left="176" w:right="0"/>
            </w:pPr>
            <w:r>
              <w:t>Not applicable.</w:t>
            </w:r>
          </w:p>
        </w:tc>
      </w:tr>
      <w:tr w:rsidR="00500337" w14:paraId="7ADAAD9E" w14:textId="77777777" w:rsidTr="00500337">
        <w:tc>
          <w:tcPr>
            <w:tcW w:w="4360" w:type="dxa"/>
          </w:tcPr>
          <w:p w14:paraId="67894FC9" w14:textId="77777777" w:rsidR="00500337" w:rsidRDefault="00500337" w:rsidP="00500337">
            <w:pPr>
              <w:ind w:left="0" w:right="0"/>
            </w:pPr>
            <w:r>
              <w:t>Advisory Committee meeting</w:t>
            </w:r>
          </w:p>
        </w:tc>
        <w:tc>
          <w:tcPr>
            <w:tcW w:w="4360" w:type="dxa"/>
          </w:tcPr>
          <w:p w14:paraId="19C6CE07" w14:textId="77777777" w:rsidR="00500337" w:rsidRDefault="00E95DE1" w:rsidP="00E95DE1">
            <w:pPr>
              <w:ind w:left="176" w:right="0"/>
            </w:pPr>
            <w:r>
              <w:t>Not applicable.</w:t>
            </w:r>
          </w:p>
        </w:tc>
      </w:tr>
      <w:tr w:rsidR="00E95DE1" w14:paraId="72AEA170" w14:textId="77777777" w:rsidTr="00500337">
        <w:tc>
          <w:tcPr>
            <w:tcW w:w="4360" w:type="dxa"/>
          </w:tcPr>
          <w:p w14:paraId="324386C0" w14:textId="77777777" w:rsidR="00E95DE1" w:rsidRDefault="00E95DE1" w:rsidP="00500337">
            <w:pPr>
              <w:ind w:left="0" w:right="0"/>
            </w:pPr>
            <w:r>
              <w:t>Registration decision (Outcome)</w:t>
            </w:r>
          </w:p>
        </w:tc>
        <w:tc>
          <w:tcPr>
            <w:tcW w:w="4360" w:type="dxa"/>
          </w:tcPr>
          <w:p w14:paraId="6395536E" w14:textId="77777777" w:rsidR="00E95DE1" w:rsidRPr="003D1E62" w:rsidRDefault="00E95DE1" w:rsidP="00E95DE1">
            <w:pPr>
              <w:ind w:left="176"/>
            </w:pPr>
            <w:r>
              <w:t>7 March 2016</w:t>
            </w:r>
          </w:p>
        </w:tc>
      </w:tr>
      <w:tr w:rsidR="00E95DE1" w14:paraId="2AD4E6A1" w14:textId="77777777" w:rsidTr="00500337">
        <w:tc>
          <w:tcPr>
            <w:tcW w:w="4360" w:type="dxa"/>
          </w:tcPr>
          <w:p w14:paraId="307436E8" w14:textId="77777777" w:rsidR="00E95DE1" w:rsidRDefault="00E95DE1" w:rsidP="00500337">
            <w:pPr>
              <w:ind w:left="0" w:right="0"/>
            </w:pPr>
            <w:r>
              <w:t>Completion of administrative activities and registration on ARTG</w:t>
            </w:r>
          </w:p>
        </w:tc>
        <w:tc>
          <w:tcPr>
            <w:tcW w:w="4360" w:type="dxa"/>
          </w:tcPr>
          <w:p w14:paraId="756B2770" w14:textId="77777777" w:rsidR="00E95DE1" w:rsidRPr="00441C3F" w:rsidRDefault="00E95DE1" w:rsidP="00E95DE1">
            <w:pPr>
              <w:ind w:left="176"/>
              <w:rPr>
                <w:i/>
              </w:rPr>
            </w:pPr>
            <w:r>
              <w:t>16 March 2016</w:t>
            </w:r>
          </w:p>
        </w:tc>
      </w:tr>
      <w:tr w:rsidR="00E95DE1" w14:paraId="54957EF2" w14:textId="77777777" w:rsidTr="00516496">
        <w:trPr>
          <w:cantSplit/>
        </w:trPr>
        <w:tc>
          <w:tcPr>
            <w:tcW w:w="4360" w:type="dxa"/>
          </w:tcPr>
          <w:p w14:paraId="44A07A8A" w14:textId="77777777" w:rsidR="00E95DE1" w:rsidRDefault="00E95DE1" w:rsidP="00500337">
            <w:pPr>
              <w:ind w:left="0" w:right="0"/>
            </w:pPr>
            <w:r>
              <w:t>Number of working days from submission dossier acceptance to registration decision*</w:t>
            </w:r>
          </w:p>
        </w:tc>
        <w:tc>
          <w:tcPr>
            <w:tcW w:w="4360" w:type="dxa"/>
          </w:tcPr>
          <w:p w14:paraId="5B89E7FB" w14:textId="77777777" w:rsidR="00E95DE1" w:rsidRDefault="00E95DE1" w:rsidP="00E95DE1">
            <w:pPr>
              <w:ind w:left="176" w:right="0"/>
            </w:pPr>
            <w:r>
              <w:t>159</w:t>
            </w:r>
          </w:p>
        </w:tc>
      </w:tr>
    </w:tbl>
    <w:p w14:paraId="0633DFF0"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0F229B62" w14:textId="77777777" w:rsidR="008E7846" w:rsidRPr="003602A9" w:rsidRDefault="00500337" w:rsidP="008E7846">
      <w:pPr>
        <w:pStyle w:val="Heading2"/>
        <w:ind w:left="-11"/>
      </w:pPr>
      <w:bookmarkStart w:id="26" w:name="_Toc12960520"/>
      <w:r>
        <w:t>I</w:t>
      </w:r>
      <w:r w:rsidR="008E7846">
        <w:t>II. Quality</w:t>
      </w:r>
      <w:bookmarkEnd w:id="1"/>
      <w:r w:rsidR="008E7846">
        <w:t xml:space="preserve"> findings</w:t>
      </w:r>
      <w:bookmarkEnd w:id="22"/>
      <w:bookmarkEnd w:id="23"/>
      <w:bookmarkEnd w:id="26"/>
    </w:p>
    <w:p w14:paraId="3DAFC3FC" w14:textId="77777777" w:rsidR="00940A89" w:rsidRPr="00940A89" w:rsidRDefault="00940A89" w:rsidP="00940A89">
      <w:bookmarkStart w:id="27" w:name="_Toc247691507"/>
      <w:bookmarkStart w:id="28" w:name="_Toc314842488"/>
      <w:r w:rsidRPr="00940A89">
        <w:t>There was no requirement for a quality evaluation in a submission of this type.</w:t>
      </w:r>
    </w:p>
    <w:p w14:paraId="1AFE7C08" w14:textId="77777777" w:rsidR="008E7846" w:rsidRDefault="008E7846" w:rsidP="008E7846">
      <w:pPr>
        <w:pStyle w:val="Heading2"/>
      </w:pPr>
      <w:bookmarkStart w:id="29" w:name="_Toc196046439"/>
      <w:bookmarkStart w:id="30" w:name="_Toc247691510"/>
      <w:bookmarkStart w:id="31" w:name="_Toc314842494"/>
      <w:bookmarkStart w:id="32" w:name="_Toc12960521"/>
      <w:bookmarkEnd w:id="27"/>
      <w:bookmarkEnd w:id="28"/>
      <w:r>
        <w:t>I</w:t>
      </w:r>
      <w:r w:rsidR="00500337">
        <w:t>V</w:t>
      </w:r>
      <w:r>
        <w:t>. Nonclinical</w:t>
      </w:r>
      <w:bookmarkEnd w:id="29"/>
      <w:r>
        <w:t xml:space="preserve"> findings</w:t>
      </w:r>
      <w:bookmarkEnd w:id="30"/>
      <w:bookmarkEnd w:id="31"/>
      <w:bookmarkEnd w:id="32"/>
    </w:p>
    <w:p w14:paraId="2FE8FE72" w14:textId="77777777" w:rsidR="00940A89" w:rsidRDefault="00940A89" w:rsidP="000E6196">
      <w:bookmarkStart w:id="33" w:name="_Toc247691511"/>
      <w:bookmarkStart w:id="34" w:name="_Toc314842495"/>
      <w:r>
        <w:t>There was no requirement for a nonclinical evaluation in a submission of this type.</w:t>
      </w:r>
    </w:p>
    <w:p w14:paraId="18763674" w14:textId="77777777" w:rsidR="008E7846" w:rsidRPr="00254787" w:rsidRDefault="008E7846" w:rsidP="008E7846">
      <w:pPr>
        <w:pStyle w:val="Heading2"/>
      </w:pPr>
      <w:bookmarkStart w:id="35" w:name="_Toc196046462"/>
      <w:bookmarkStart w:id="36" w:name="_Toc247691516"/>
      <w:bookmarkStart w:id="37" w:name="_Toc314842500"/>
      <w:bookmarkStart w:id="38" w:name="_Toc163441353"/>
      <w:bookmarkStart w:id="39" w:name="_Toc163441348"/>
      <w:bookmarkStart w:id="40" w:name="_Toc12960522"/>
      <w:bookmarkEnd w:id="33"/>
      <w:bookmarkEnd w:id="34"/>
      <w:r>
        <w:t xml:space="preserve">V. </w:t>
      </w:r>
      <w:r w:rsidRPr="00254787">
        <w:t>Clinical</w:t>
      </w:r>
      <w:bookmarkEnd w:id="35"/>
      <w:r>
        <w:t xml:space="preserve"> </w:t>
      </w:r>
      <w:r w:rsidR="003A7F6C">
        <w:t>f</w:t>
      </w:r>
      <w:r>
        <w:t>indings</w:t>
      </w:r>
      <w:bookmarkEnd w:id="36"/>
      <w:bookmarkEnd w:id="37"/>
      <w:bookmarkEnd w:id="40"/>
    </w:p>
    <w:p w14:paraId="0A13CE38" w14:textId="77777777" w:rsidR="00C80137" w:rsidRDefault="00C80137" w:rsidP="00D425BB">
      <w:bookmarkStart w:id="41" w:name="_Toc196046463"/>
      <w:r>
        <w:t xml:space="preserve">A summary of the </w:t>
      </w:r>
      <w:r w:rsidRPr="00FD70B8">
        <w:t>clinical findings is presented in this section.</w:t>
      </w:r>
    </w:p>
    <w:p w14:paraId="34DAF829" w14:textId="77777777" w:rsidR="008E7846" w:rsidRDefault="008E7846" w:rsidP="008E7846">
      <w:pPr>
        <w:pStyle w:val="Heading3"/>
      </w:pPr>
      <w:bookmarkStart w:id="42" w:name="_Toc247691517"/>
      <w:bookmarkStart w:id="43" w:name="_Toc314842501"/>
      <w:bookmarkStart w:id="44" w:name="_Toc12960523"/>
      <w:r w:rsidRPr="00254787">
        <w:t>Introduction</w:t>
      </w:r>
      <w:bookmarkEnd w:id="41"/>
      <w:bookmarkEnd w:id="42"/>
      <w:bookmarkEnd w:id="43"/>
      <w:bookmarkEnd w:id="44"/>
    </w:p>
    <w:p w14:paraId="4F6F111D" w14:textId="77777777" w:rsidR="00605AD4" w:rsidRDefault="00605AD4" w:rsidP="00605AD4">
      <w:pPr>
        <w:pStyle w:val="Heading4"/>
      </w:pPr>
      <w:bookmarkStart w:id="45" w:name="_Toc196046464"/>
      <w:bookmarkStart w:id="46" w:name="_Toc247691518"/>
      <w:bookmarkStart w:id="47" w:name="_Toc314842502"/>
      <w:r w:rsidRPr="00C362F1">
        <w:t xml:space="preserve">Clinical </w:t>
      </w:r>
      <w:r w:rsidR="00EF59DC" w:rsidRPr="00C362F1">
        <w:t>r</w:t>
      </w:r>
      <w:r w:rsidRPr="00C362F1">
        <w:t>ationale</w:t>
      </w:r>
    </w:p>
    <w:p w14:paraId="72F065AA" w14:textId="57C92BBE" w:rsidR="00007C96" w:rsidRDefault="00007C96" w:rsidP="00BD3AAF">
      <w:r>
        <w:t xml:space="preserve">Mantle cell lymphoma (MCL), a form of </w:t>
      </w:r>
      <w:r w:rsidR="00895AA7">
        <w:t>non</w:t>
      </w:r>
      <w:r>
        <w:t xml:space="preserve">-Hodgkin’s </w:t>
      </w:r>
      <w:r w:rsidR="00895AA7">
        <w:t xml:space="preserve">lymphoma </w:t>
      </w:r>
      <w:r>
        <w:t>(NHL), is a malignancy of mature (peripheral) B-lymphocytes. It represents about 5</w:t>
      </w:r>
      <w:r w:rsidR="00895AA7">
        <w:t xml:space="preserve"> to </w:t>
      </w:r>
      <w:r>
        <w:t>10% of all NHL</w:t>
      </w:r>
      <w:r w:rsidR="00D92785">
        <w:t xml:space="preserve"> cases</w:t>
      </w:r>
      <w:r>
        <w:t>. The median age at onset is 68 years and the disease is twice as common in males as in females. MCL usually presents with late stage disease with widespread lymphadenopathy, bone marrow involvement and splenomegaly. Involvement of the gastrointestinal tract is also common. Common symptoms include fevers, night sweats and weight loss (</w:t>
      </w:r>
      <w:r w:rsidR="00D92785">
        <w:t xml:space="preserve">referred to as </w:t>
      </w:r>
      <w:r w:rsidR="00B32870">
        <w:t>‘</w:t>
      </w:r>
      <w:r>
        <w:t>B symptoms</w:t>
      </w:r>
      <w:r w:rsidR="00B32870">
        <w:t>’</w:t>
      </w:r>
      <w:r>
        <w:t xml:space="preserve">) as well as anorexia and fatigue. </w:t>
      </w:r>
      <w:r w:rsidRPr="00FB1BA1">
        <w:t xml:space="preserve">The disease is usually staged using the Ann </w:t>
      </w:r>
      <w:proofErr w:type="spellStart"/>
      <w:r w:rsidRPr="00FB1BA1">
        <w:t>Arbor</w:t>
      </w:r>
      <w:proofErr w:type="spellEnd"/>
      <w:r w:rsidRPr="00FB1BA1">
        <w:t xml:space="preserve"> staging system (</w:t>
      </w:r>
      <w:r w:rsidR="00D92785">
        <w:t xml:space="preserve">see </w:t>
      </w:r>
      <w:r w:rsidR="00357AFC">
        <w:t>Table 2 below</w:t>
      </w:r>
      <w:r w:rsidR="00A926B4" w:rsidRPr="00FB1BA1">
        <w:t>)</w:t>
      </w:r>
      <w:r w:rsidR="00A926B4">
        <w:t>.</w:t>
      </w:r>
    </w:p>
    <w:p w14:paraId="0B792CB0" w14:textId="52A90F3A" w:rsidR="00BD3AAF" w:rsidRDefault="00A926B4" w:rsidP="00516496">
      <w:pPr>
        <w:pStyle w:val="TableTitle"/>
        <w:numPr>
          <w:ilvl w:val="0"/>
          <w:numId w:val="0"/>
        </w:numPr>
      </w:pPr>
      <w:bookmarkStart w:id="48" w:name="_Toc303022879"/>
      <w:r>
        <w:lastRenderedPageBreak/>
        <w:t xml:space="preserve">Table 2: </w:t>
      </w:r>
      <w:r w:rsidR="00BD3AAF">
        <w:t xml:space="preserve">Ann </w:t>
      </w:r>
      <w:proofErr w:type="spellStart"/>
      <w:r w:rsidR="00BD3AAF">
        <w:t>Arbor</w:t>
      </w:r>
      <w:proofErr w:type="spellEnd"/>
      <w:r w:rsidR="00BD3AAF">
        <w:t xml:space="preserve"> staging system</w:t>
      </w:r>
      <w:bookmarkEnd w:id="48"/>
      <w:r w:rsidR="00D92785">
        <w:t xml:space="preserve"> for lymphoma</w:t>
      </w:r>
    </w:p>
    <w:p w14:paraId="7E1909AB" w14:textId="146171B8" w:rsidR="00825BB0" w:rsidRPr="00895AA7" w:rsidRDefault="00BD3AAF" w:rsidP="00516496">
      <w:r>
        <w:rPr>
          <w:noProof/>
          <w:lang w:eastAsia="en-AU"/>
        </w:rPr>
        <w:drawing>
          <wp:inline distT="0" distB="0" distL="0" distR="0" wp14:anchorId="42822BD0" wp14:editId="07F4BAA5">
            <wp:extent cx="4988966" cy="3547872"/>
            <wp:effectExtent l="0" t="0" r="2540" b="0"/>
            <wp:docPr id="77" name="Picture 77" descr="Ann Arbor stag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image.slidesharecdn.com/chronicdiaarhea-110701060449-phpapp01/95/a-case-of-chronic-diarrhoea-33-728.jpg?cb=1309500422"/>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l="5441" t="12344" r="2113"/>
                    <a:stretch/>
                  </pic:blipFill>
                  <pic:spPr bwMode="auto">
                    <a:xfrm>
                      <a:off x="0" y="0"/>
                      <a:ext cx="4995966" cy="3552850"/>
                    </a:xfrm>
                    <a:prstGeom prst="rect">
                      <a:avLst/>
                    </a:prstGeom>
                    <a:noFill/>
                    <a:ln>
                      <a:noFill/>
                    </a:ln>
                    <a:extLst>
                      <a:ext uri="{53640926-AAD7-44D8-BBD7-CCE9431645EC}">
                        <a14:shadowObscured xmlns:a14="http://schemas.microsoft.com/office/drawing/2010/main"/>
                      </a:ext>
                    </a:extLst>
                  </pic:spPr>
                </pic:pic>
              </a:graphicData>
            </a:graphic>
          </wp:inline>
        </w:drawing>
      </w:r>
      <w:bookmarkStart w:id="49" w:name="_Toc303022880"/>
      <w:r w:rsidR="00825BB0" w:rsidRPr="00A234EB">
        <w:t>Prognosis is classified using the MCL International Prognostic Index (MIPI) scores (</w:t>
      </w:r>
      <w:r w:rsidR="001D4D0C">
        <w:t xml:space="preserve">see </w:t>
      </w:r>
      <w:r w:rsidR="00825BB0" w:rsidRPr="00A234EB">
        <w:t>Table 3 below). Another prognostic indicator is the Ki-67 index</w:t>
      </w:r>
      <w:r w:rsidR="004E3073">
        <w:t xml:space="preserve">. </w:t>
      </w:r>
      <w:r w:rsidR="004E3073" w:rsidRPr="006B66A7">
        <w:t>Ki-67 is a protein associated with cellular proliferation</w:t>
      </w:r>
      <w:proofErr w:type="gramStart"/>
      <w:r w:rsidR="004E3073">
        <w:t>.</w:t>
      </w:r>
      <w:r w:rsidR="00825BB0">
        <w:t>.</w:t>
      </w:r>
      <w:proofErr w:type="gramEnd"/>
      <w:r w:rsidR="004E3073">
        <w:t xml:space="preserve"> </w:t>
      </w:r>
      <w:r w:rsidR="004E3073" w:rsidRPr="00A234EB">
        <w:t>It is an indicator of how fast cells mature and is expressed in a range of 10% to 90%. The lower the percentage, the lower the speed of maturity is and the more indolent the disease.</w:t>
      </w:r>
    </w:p>
    <w:p w14:paraId="10922941" w14:textId="5A5DDBF7" w:rsidR="00BD3AAF" w:rsidRDefault="00A926B4" w:rsidP="009F2478">
      <w:pPr>
        <w:pStyle w:val="TableTitle"/>
        <w:numPr>
          <w:ilvl w:val="0"/>
          <w:numId w:val="0"/>
        </w:numPr>
      </w:pPr>
      <w:r>
        <w:t xml:space="preserve">Table 3: </w:t>
      </w:r>
      <w:r w:rsidR="00BD3AAF" w:rsidRPr="00142996">
        <w:t>MCL International Prognostic Index (MIPI) score</w:t>
      </w:r>
      <w:bookmarkEnd w:id="49"/>
    </w:p>
    <w:p w14:paraId="52454AD9" w14:textId="77777777" w:rsidR="00357AFC" w:rsidRDefault="00BD3AAF" w:rsidP="00BD3AAF">
      <w:r>
        <w:rPr>
          <w:noProof/>
          <w:lang w:eastAsia="en-AU"/>
        </w:rPr>
        <w:drawing>
          <wp:inline distT="0" distB="0" distL="0" distR="0" wp14:anchorId="6B8E20C9" wp14:editId="468C9D94">
            <wp:extent cx="4260272" cy="1596103"/>
            <wp:effectExtent l="0" t="0" r="6985" b="4445"/>
            <wp:docPr id="68" name="Picture 1" descr="MCL International Prognostic Index (MIPI)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679" r="1252" b="8236"/>
                    <a:stretch/>
                  </pic:blipFill>
                  <pic:spPr bwMode="auto">
                    <a:xfrm>
                      <a:off x="0" y="0"/>
                      <a:ext cx="4267067" cy="1598649"/>
                    </a:xfrm>
                    <a:prstGeom prst="rect">
                      <a:avLst/>
                    </a:prstGeom>
                    <a:noFill/>
                    <a:ln>
                      <a:noFill/>
                    </a:ln>
                    <a:extLst>
                      <a:ext uri="{53640926-AAD7-44D8-BBD7-CCE9431645EC}">
                        <a14:shadowObscured xmlns:a14="http://schemas.microsoft.com/office/drawing/2010/main"/>
                      </a:ext>
                    </a:extLst>
                  </pic:spPr>
                </pic:pic>
              </a:graphicData>
            </a:graphic>
          </wp:inline>
        </w:drawing>
      </w:r>
    </w:p>
    <w:p w14:paraId="4941342D" w14:textId="462A05CD" w:rsidR="00825BB0" w:rsidRDefault="00825BB0" w:rsidP="00BD3AAF">
      <w:r>
        <w:t xml:space="preserve">The disease is characterised by a high degree of genomic </w:t>
      </w:r>
      <w:proofErr w:type="gramStart"/>
      <w:r>
        <w:t>instability.</w:t>
      </w:r>
      <w:r w:rsidRPr="001D4D0C">
        <w:rPr>
          <w:rStyle w:val="FootnoteReference"/>
        </w:rPr>
        <w:footnoteReference w:id="1"/>
      </w:r>
      <w:r w:rsidR="001D4D0C" w:rsidRPr="009F2478">
        <w:rPr>
          <w:vertAlign w:val="superscript"/>
        </w:rPr>
        <w:t>,</w:t>
      </w:r>
      <w:r w:rsidRPr="001D4D0C">
        <w:rPr>
          <w:rStyle w:val="FootnoteReference"/>
        </w:rPr>
        <w:footnoteReference w:id="2"/>
      </w:r>
      <w:r w:rsidR="001D4D0C" w:rsidRPr="009F2478">
        <w:rPr>
          <w:vertAlign w:val="superscript"/>
        </w:rPr>
        <w:t>,</w:t>
      </w:r>
      <w:proofErr w:type="gramEnd"/>
      <w:r w:rsidRPr="001D4D0C">
        <w:rPr>
          <w:rStyle w:val="FootnoteReference"/>
        </w:rPr>
        <w:footnoteReference w:id="3"/>
      </w:r>
      <w:r w:rsidR="001D4D0C">
        <w:t xml:space="preserve"> </w:t>
      </w:r>
      <w:r>
        <w:t xml:space="preserve">The majority of MCL cases are associated with a chromosomal translocation, t (11,14) (q13, q32) that results in overexpression of cyclin-D1. This translocation is usually accompanied by other genetic alterations that affect the cell cycle, survival pathways and response to </w:t>
      </w:r>
      <w:r w:rsidRPr="00357AFC">
        <w:lastRenderedPageBreak/>
        <w:t>deoxyribonucleic acid</w:t>
      </w:r>
      <w:r>
        <w:rPr>
          <w:rStyle w:val="st1"/>
          <w:rFonts w:ascii="Arial" w:hAnsi="Arial" w:cs="Arial"/>
          <w:color w:val="545454"/>
        </w:rPr>
        <w:t xml:space="preserve"> (</w:t>
      </w:r>
      <w:r>
        <w:t>DNA) damage. The existence of MCL as a distinct form of NHL was only formalised in 1994.</w:t>
      </w:r>
      <w:r>
        <w:rPr>
          <w:rStyle w:val="FootnoteReference"/>
        </w:rPr>
        <w:footnoteReference w:id="4"/>
      </w:r>
    </w:p>
    <w:p w14:paraId="4755556D" w14:textId="4A5BB952" w:rsidR="00007C96" w:rsidRDefault="00825BB0" w:rsidP="00BD3AAF">
      <w:r>
        <w:t xml:space="preserve">Clinically, </w:t>
      </w:r>
      <w:r w:rsidR="00007C96">
        <w:t xml:space="preserve">MCL usually </w:t>
      </w:r>
      <w:r>
        <w:t xml:space="preserve">presents </w:t>
      </w:r>
      <w:r w:rsidR="00007C96">
        <w:t xml:space="preserve">an aggressive lymphoma, with short-lived responses to treatment and frequent relapses. No clear standard therapy has been established. First line therapy </w:t>
      </w:r>
      <w:r>
        <w:t xml:space="preserve">usually </w:t>
      </w:r>
      <w:r w:rsidR="00007C96">
        <w:t xml:space="preserve">depends on patient age and fitness. In younger fit patients, induction with intensive combination chemotherapy and consolidation with high dose therapy and autologous stem cell rescue may be used. After disease relapse, allogeneic stem cell transplantation may be appropriate for younger subjects. Otherwise, a wide variety of agents have been recommended for second-line therapy including </w:t>
      </w:r>
      <w:proofErr w:type="spellStart"/>
      <w:r w:rsidR="00007C96">
        <w:t>bendamustine</w:t>
      </w:r>
      <w:proofErr w:type="spellEnd"/>
      <w:r w:rsidR="00007C96">
        <w:t xml:space="preserve">, </w:t>
      </w:r>
      <w:proofErr w:type="spellStart"/>
      <w:r w:rsidR="00007C96">
        <w:t>bortezomib</w:t>
      </w:r>
      <w:proofErr w:type="spellEnd"/>
      <w:r w:rsidR="00007C96">
        <w:t xml:space="preserve">, </w:t>
      </w:r>
      <w:proofErr w:type="spellStart"/>
      <w:r w:rsidR="00007C96">
        <w:t>cladribine</w:t>
      </w:r>
      <w:proofErr w:type="spellEnd"/>
      <w:r w:rsidR="00007C96">
        <w:t xml:space="preserve"> and </w:t>
      </w:r>
      <w:proofErr w:type="spellStart"/>
      <w:r w:rsidR="00007C96">
        <w:t>fludarabine</w:t>
      </w:r>
      <w:proofErr w:type="spellEnd"/>
      <w:r w:rsidR="00007C96">
        <w:t xml:space="preserve"> with cyclophosphamide.</w:t>
      </w:r>
      <w:r w:rsidR="003070DD" w:rsidRPr="001D4D0C">
        <w:rPr>
          <w:rStyle w:val="FootnoteReference"/>
        </w:rPr>
        <w:footnoteReference w:id="5"/>
      </w:r>
      <w:r w:rsidR="001D4D0C" w:rsidRPr="009F2478">
        <w:rPr>
          <w:vertAlign w:val="superscript"/>
        </w:rPr>
        <w:t>,</w:t>
      </w:r>
      <w:r w:rsidR="003070DD">
        <w:rPr>
          <w:rStyle w:val="FootnoteReference"/>
        </w:rPr>
        <w:footnoteReference w:id="6"/>
      </w:r>
      <w:r w:rsidR="00007C96">
        <w:t xml:space="preserve"> In Australia, agents that have received approval specifically for the second-line treatment of MCL are </w:t>
      </w:r>
      <w:proofErr w:type="spellStart"/>
      <w:r w:rsidR="00007C96">
        <w:t>temsirolimus</w:t>
      </w:r>
      <w:proofErr w:type="spellEnd"/>
      <w:r w:rsidR="00007C96">
        <w:t xml:space="preserve"> and </w:t>
      </w:r>
      <w:proofErr w:type="spellStart"/>
      <w:r w:rsidR="00007C96">
        <w:t>ibrutinib</w:t>
      </w:r>
      <w:proofErr w:type="spellEnd"/>
      <w:r w:rsidR="00007C96">
        <w:t>.</w:t>
      </w:r>
      <w:r>
        <w:t xml:space="preserve"> For patients with MCL who are ineligible for autologous stem cell transplantation, </w:t>
      </w:r>
      <w:proofErr w:type="spellStart"/>
      <w:r>
        <w:t>bendamustine</w:t>
      </w:r>
      <w:proofErr w:type="spellEnd"/>
      <w:r>
        <w:t xml:space="preserve"> is approved for use in Australia.</w:t>
      </w:r>
    </w:p>
    <w:p w14:paraId="2FBB1456" w14:textId="77777777" w:rsidR="00007C96" w:rsidRDefault="00007C96" w:rsidP="00BD3AAF">
      <w:r>
        <w:t xml:space="preserve">Despite the variety of agents recommended, the natural history of the disease is one of repeated disease relapse. The sponsor’s rationale for developing lenalidomide for relapsed/refractory MCL is that </w:t>
      </w:r>
      <w:r w:rsidRPr="00BB0C7B">
        <w:t>a high</w:t>
      </w:r>
      <w:r>
        <w:t>,</w:t>
      </w:r>
      <w:r w:rsidRPr="00BB0C7B">
        <w:t xml:space="preserve"> unmet medical need for effective treatments remains</w:t>
      </w:r>
      <w:r>
        <w:t>, especially for elderly subjects and subjects with multiple relapses. Lenalidomide is an agent from a different drug class to existing agents, providing an alternative treatment option.</w:t>
      </w:r>
    </w:p>
    <w:p w14:paraId="3707E3A3" w14:textId="77777777" w:rsidR="00007C96" w:rsidRPr="00472FB2" w:rsidRDefault="00007C96" w:rsidP="00007C96">
      <w:pPr>
        <w:pStyle w:val="Heading4"/>
      </w:pPr>
      <w:bookmarkStart w:id="50" w:name="_Toc272414603"/>
      <w:bookmarkStart w:id="51" w:name="_Toc290846225"/>
      <w:bookmarkStart w:id="52" w:name="_Toc303022779"/>
      <w:r w:rsidRPr="00472FB2">
        <w:t>Formulation development</w:t>
      </w:r>
      <w:bookmarkEnd w:id="50"/>
      <w:bookmarkEnd w:id="51"/>
      <w:bookmarkEnd w:id="52"/>
    </w:p>
    <w:p w14:paraId="44B4A720" w14:textId="3BE14C31" w:rsidR="00007C96" w:rsidRDefault="00007C96" w:rsidP="00007C96">
      <w:r>
        <w:t xml:space="preserve">This submission is largely reliant on the results of a </w:t>
      </w:r>
      <w:r w:rsidR="00825BB0" w:rsidRPr="00825BB0">
        <w:t xml:space="preserve">Phase II randomised controlled trial </w:t>
      </w:r>
      <w:r>
        <w:t>(</w:t>
      </w:r>
      <w:r w:rsidR="003070DD">
        <w:t xml:space="preserve">Study </w:t>
      </w:r>
      <w:r>
        <w:t xml:space="preserve">MCL-002). This study used </w:t>
      </w:r>
      <w:r w:rsidRPr="00472FB2">
        <w:t xml:space="preserve">5, 10, 20, and 25 mg </w:t>
      </w:r>
      <w:r w:rsidR="00420671">
        <w:t xml:space="preserve">Revlimid </w:t>
      </w:r>
      <w:r w:rsidRPr="00472FB2">
        <w:t>capsules</w:t>
      </w:r>
      <w:r>
        <w:t>. However it was not stated whether the formulations of these capsules were identical to those of the products currently marketed in Australia.</w:t>
      </w:r>
    </w:p>
    <w:p w14:paraId="617C5854" w14:textId="77777777" w:rsidR="00605AD4" w:rsidRDefault="00605AD4" w:rsidP="00605AD4">
      <w:pPr>
        <w:pStyle w:val="Heading4"/>
      </w:pPr>
      <w:r w:rsidRPr="00605AD4">
        <w:t>Guidance</w:t>
      </w:r>
    </w:p>
    <w:p w14:paraId="7A558952" w14:textId="7BA8566E" w:rsidR="00007C96" w:rsidRDefault="00007C96" w:rsidP="00007C96">
      <w:r>
        <w:t xml:space="preserve">The following </w:t>
      </w:r>
      <w:r w:rsidR="003070DD">
        <w:t xml:space="preserve">EU </w:t>
      </w:r>
      <w:r>
        <w:t>guidelines, which have been adopted by the TGA, are considered relevant to the current application:</w:t>
      </w:r>
    </w:p>
    <w:p w14:paraId="3E8203D4" w14:textId="77777777" w:rsidR="00007C96" w:rsidRDefault="00007C96" w:rsidP="009F2478">
      <w:pPr>
        <w:pStyle w:val="ListBullet"/>
      </w:pPr>
      <w:r w:rsidRPr="006F216C">
        <w:t>Guideline on the evaluation of anticancer medicinal products in man</w:t>
      </w:r>
      <w:r>
        <w:t>;</w:t>
      </w:r>
      <w:r w:rsidR="003070DD">
        <w:rPr>
          <w:rStyle w:val="FootnoteReference"/>
        </w:rPr>
        <w:footnoteReference w:id="7"/>
      </w:r>
    </w:p>
    <w:p w14:paraId="1CD9AB5E" w14:textId="5E4AC9E2" w:rsidR="00007C96" w:rsidRDefault="00007C96" w:rsidP="009F2478">
      <w:pPr>
        <w:pStyle w:val="ListBullet"/>
      </w:pPr>
      <w:r w:rsidRPr="00D765F0">
        <w:t>Appendix 1 to the guideline on the evaluation of anticancer medicinal products in man</w:t>
      </w:r>
      <w:r w:rsidR="001D4D0C">
        <w:t>;</w:t>
      </w:r>
      <w:r w:rsidRPr="00D765F0">
        <w:t xml:space="preserve"> </w:t>
      </w:r>
      <w:r>
        <w:t>(</w:t>
      </w:r>
      <w:r w:rsidR="001D4D0C">
        <w:t>m</w:t>
      </w:r>
      <w:r w:rsidRPr="00D765F0">
        <w:t>ethodological consideration for using progression-free survival or disease-free survival in confirmatory trials</w:t>
      </w:r>
      <w:r>
        <w:t>);</w:t>
      </w:r>
      <w:r w:rsidR="003070DD">
        <w:rPr>
          <w:rStyle w:val="FootnoteReference"/>
        </w:rPr>
        <w:footnoteReference w:id="8"/>
      </w:r>
    </w:p>
    <w:p w14:paraId="658FF656" w14:textId="77777777" w:rsidR="00007C96" w:rsidRDefault="00007C96" w:rsidP="009F2478">
      <w:pPr>
        <w:pStyle w:val="ListBullet"/>
      </w:pPr>
      <w:r>
        <w:t xml:space="preserve">Points to consider on application with: 1. Meta-analyses; 2. </w:t>
      </w:r>
      <w:proofErr w:type="gramStart"/>
      <w:r>
        <w:t>One</w:t>
      </w:r>
      <w:proofErr w:type="gramEnd"/>
      <w:r>
        <w:t xml:space="preserve"> pivotal study.</w:t>
      </w:r>
      <w:r w:rsidR="003070DD">
        <w:rPr>
          <w:rStyle w:val="FootnoteReference"/>
        </w:rPr>
        <w:footnoteReference w:id="9"/>
      </w:r>
    </w:p>
    <w:p w14:paraId="5EEA1C21" w14:textId="77777777" w:rsidR="00500337" w:rsidRPr="00500337" w:rsidRDefault="00007C96" w:rsidP="00007C96">
      <w:r>
        <w:t>Compliance with these guidelines will be considered where appropriate in this review.</w:t>
      </w:r>
    </w:p>
    <w:p w14:paraId="5646047D" w14:textId="77777777" w:rsidR="00605AD4" w:rsidRDefault="00605AD4" w:rsidP="00605AD4">
      <w:pPr>
        <w:pStyle w:val="Heading4"/>
      </w:pPr>
      <w:r w:rsidRPr="00605AD4">
        <w:lastRenderedPageBreak/>
        <w:t>Contents of the clinical dossier</w:t>
      </w:r>
    </w:p>
    <w:p w14:paraId="57271BD5" w14:textId="77777777" w:rsidR="00BD3AAF" w:rsidRPr="00285BF5" w:rsidRDefault="00BD3AAF" w:rsidP="00BD3AAF">
      <w:r w:rsidRPr="00285BF5">
        <w:t>The submission contained the following clinical information:</w:t>
      </w:r>
    </w:p>
    <w:p w14:paraId="12638DDA" w14:textId="77777777" w:rsidR="00BD3AAF" w:rsidRPr="00285BF5" w:rsidRDefault="00BD3AAF" w:rsidP="009F2478">
      <w:pPr>
        <w:pStyle w:val="ListBullet"/>
      </w:pPr>
      <w:r w:rsidRPr="00285BF5">
        <w:t xml:space="preserve">One pivotal </w:t>
      </w:r>
      <w:r w:rsidR="003070DD">
        <w:t>Phase II</w:t>
      </w:r>
      <w:r w:rsidRPr="00285BF5">
        <w:t>, randomised controlled trial in subjects with relapsed or refractory MCL (</w:t>
      </w:r>
      <w:r w:rsidR="003070DD">
        <w:t xml:space="preserve">Study </w:t>
      </w:r>
      <w:r w:rsidRPr="00285BF5">
        <w:t>MCL-002)</w:t>
      </w:r>
      <w:r>
        <w:t>;</w:t>
      </w:r>
    </w:p>
    <w:p w14:paraId="1045A503" w14:textId="762FDB95" w:rsidR="00BD3AAF" w:rsidRPr="00285BF5" w:rsidRDefault="001D4D0C" w:rsidP="009F2478">
      <w:pPr>
        <w:pStyle w:val="ListBullet"/>
      </w:pPr>
      <w:r>
        <w:t>o</w:t>
      </w:r>
      <w:r w:rsidRPr="00285BF5">
        <w:t xml:space="preserve">ne </w:t>
      </w:r>
      <w:r w:rsidR="00BD3AAF" w:rsidRPr="00285BF5">
        <w:t xml:space="preserve">supportive </w:t>
      </w:r>
      <w:r w:rsidR="003070DD">
        <w:t>Phase II</w:t>
      </w:r>
      <w:r w:rsidR="00BD3AAF" w:rsidRPr="00285BF5">
        <w:t xml:space="preserve"> single</w:t>
      </w:r>
      <w:r w:rsidR="003070DD">
        <w:t xml:space="preserve"> </w:t>
      </w:r>
      <w:r w:rsidR="00BD3AAF" w:rsidRPr="00285BF5">
        <w:t>arm study in subjects with relapsed or refractory MCL (</w:t>
      </w:r>
      <w:r>
        <w:t xml:space="preserve">Study </w:t>
      </w:r>
      <w:r w:rsidR="00BD3AAF" w:rsidRPr="00285BF5">
        <w:t>MCL-001)</w:t>
      </w:r>
      <w:r w:rsidR="00BD3AAF">
        <w:t>;</w:t>
      </w:r>
    </w:p>
    <w:p w14:paraId="5AD81C23" w14:textId="2507E655" w:rsidR="00BD3AAF" w:rsidRDefault="001D4D0C" w:rsidP="009F2478">
      <w:pPr>
        <w:pStyle w:val="ListBullet"/>
      </w:pPr>
      <w:proofErr w:type="gramStart"/>
      <w:r>
        <w:t>t</w:t>
      </w:r>
      <w:r w:rsidRPr="00285BF5">
        <w:t>wo</w:t>
      </w:r>
      <w:proofErr w:type="gramEnd"/>
      <w:r w:rsidRPr="00285BF5">
        <w:t xml:space="preserve"> </w:t>
      </w:r>
      <w:r w:rsidR="00BD3AAF" w:rsidRPr="00285BF5">
        <w:t xml:space="preserve">supportive </w:t>
      </w:r>
      <w:r w:rsidR="003070DD">
        <w:t>Phase II</w:t>
      </w:r>
      <w:r w:rsidR="00BD3AAF" w:rsidRPr="00285BF5">
        <w:t xml:space="preserve"> single</w:t>
      </w:r>
      <w:r w:rsidR="003070DD">
        <w:t xml:space="preserve"> </w:t>
      </w:r>
      <w:r w:rsidR="00BD3AAF" w:rsidRPr="00285BF5">
        <w:t>arm studies in subjects with relapsed or refractory NHL (</w:t>
      </w:r>
      <w:r w:rsidR="003070DD">
        <w:t xml:space="preserve">Studies </w:t>
      </w:r>
      <w:r w:rsidR="00BD3AAF" w:rsidRPr="00285BF5">
        <w:t>NHL-002 and NHL-003)</w:t>
      </w:r>
      <w:r w:rsidR="00BD3AAF">
        <w:t>. A proportion of subjects in these studies had MCL;</w:t>
      </w:r>
      <w:r>
        <w:t xml:space="preserve"> and</w:t>
      </w:r>
    </w:p>
    <w:p w14:paraId="2FBC3F76" w14:textId="3B1C0074" w:rsidR="00BD3AAF" w:rsidRDefault="001D4D0C" w:rsidP="009F2478">
      <w:pPr>
        <w:pStyle w:val="ListBullet"/>
      </w:pPr>
      <w:proofErr w:type="gramStart"/>
      <w:r>
        <w:t>literature</w:t>
      </w:r>
      <w:proofErr w:type="gramEnd"/>
      <w:r>
        <w:t xml:space="preserve"> </w:t>
      </w:r>
      <w:r w:rsidR="00BD3AAF">
        <w:t>references.</w:t>
      </w:r>
    </w:p>
    <w:p w14:paraId="63DB560D" w14:textId="3C4A371C" w:rsidR="00500337" w:rsidRPr="00500337" w:rsidRDefault="003070DD" w:rsidP="00BD3AAF">
      <w:r>
        <w:t>The clinical submission</w:t>
      </w:r>
      <w:r w:rsidR="00BD3AAF">
        <w:t xml:space="preserve"> also included a summary of a </w:t>
      </w:r>
      <w:r>
        <w:t>Phase II</w:t>
      </w:r>
      <w:r w:rsidR="00BD3AAF">
        <w:t>I randomised placebo</w:t>
      </w:r>
      <w:r w:rsidR="001D4D0C">
        <w:t xml:space="preserve"> </w:t>
      </w:r>
      <w:r w:rsidR="00BD3AAF">
        <w:t>controlled trial of lenalidomide as maintenance therapy after first-line combination chemotherapy in subjects with MCL. This trial was abandoned after new data became available establishing that a placebo arm was no longer appropriate. Only 9 subjects were enrolled. This study has not been evaluated.</w:t>
      </w:r>
    </w:p>
    <w:p w14:paraId="708115CC" w14:textId="77777777" w:rsidR="00605AD4" w:rsidRDefault="00605AD4" w:rsidP="00605AD4">
      <w:pPr>
        <w:pStyle w:val="Heading4"/>
      </w:pPr>
      <w:r w:rsidRPr="00605AD4">
        <w:t>Paediatric data</w:t>
      </w:r>
    </w:p>
    <w:p w14:paraId="232E3496" w14:textId="4CF109B8" w:rsidR="00BD3AAF" w:rsidRDefault="00BD3AAF" w:rsidP="00BD3AAF">
      <w:r>
        <w:t>The submission did not include paediatric data. The sponsor obtained a waiver from the EMA on the grounds that the drug is likely</w:t>
      </w:r>
      <w:r w:rsidR="009F2478">
        <w:t xml:space="preserve"> </w:t>
      </w:r>
      <w:r>
        <w:t xml:space="preserve">to be </w:t>
      </w:r>
      <w:r w:rsidR="008E678A">
        <w:t>ineffective or un</w:t>
      </w:r>
      <w:r>
        <w:t xml:space="preserve">safe in </w:t>
      </w:r>
      <w:r w:rsidR="008E678A">
        <w:t xml:space="preserve">part or all of </w:t>
      </w:r>
      <w:r>
        <w:t xml:space="preserve">the paediatric population. No further information was provided. Lenalidomide had been designated as an orphan drug in the </w:t>
      </w:r>
      <w:r w:rsidR="001A0738">
        <w:t>USA</w:t>
      </w:r>
      <w:r>
        <w:t xml:space="preserve"> for the treatment of mantle cell lymphoma. The FDA does not require paediatric data</w:t>
      </w:r>
      <w:r w:rsidRPr="008F3F44">
        <w:t xml:space="preserve"> </w:t>
      </w:r>
      <w:r>
        <w:t>for orphan drugs.</w:t>
      </w:r>
    </w:p>
    <w:p w14:paraId="3EA43389" w14:textId="77777777" w:rsidR="00BD3AAF" w:rsidRDefault="00BD3AAF" w:rsidP="00B32870">
      <w:r>
        <w:t>Mantle cell lymphoma is a disease of adults. The absence of paediatric data for this application is acceptable.</w:t>
      </w:r>
    </w:p>
    <w:p w14:paraId="3C59EED4" w14:textId="77777777" w:rsidR="00605AD4" w:rsidRDefault="00605AD4" w:rsidP="00605AD4">
      <w:pPr>
        <w:pStyle w:val="Heading4"/>
      </w:pPr>
      <w:r w:rsidRPr="00605AD4">
        <w:t>Good clinical practice</w:t>
      </w:r>
    </w:p>
    <w:p w14:paraId="612C0F9C" w14:textId="560EA5FE" w:rsidR="00500337" w:rsidRPr="00500337" w:rsidRDefault="00BD3AAF" w:rsidP="00500337">
      <w:r w:rsidRPr="00DC403E">
        <w:t xml:space="preserve">For all the clinical studies included in this submission, the study reports included an assurance that they were conducted in adherence to Good Clinical Practice (GCP), as denoted in the International Conference on </w:t>
      </w:r>
      <w:r w:rsidR="001D4D0C" w:rsidRPr="00DC403E">
        <w:t>Harmoni</w:t>
      </w:r>
      <w:r w:rsidR="001D4D0C">
        <w:t>s</w:t>
      </w:r>
      <w:r w:rsidR="001D4D0C" w:rsidRPr="00DC403E">
        <w:t xml:space="preserve">ation </w:t>
      </w:r>
      <w:r w:rsidRPr="00DC403E">
        <w:t>(ICH) E6</w:t>
      </w:r>
      <w:r w:rsidR="001D4D0C">
        <w:t>;</w:t>
      </w:r>
      <w:r w:rsidR="001A0738">
        <w:rPr>
          <w:rStyle w:val="FootnoteReference"/>
        </w:rPr>
        <w:footnoteReference w:id="10"/>
      </w:r>
      <w:r w:rsidRPr="00DC403E">
        <w:t xml:space="preserve"> requirements for GCP and in accordance with the ethical principles outlined in the Declaration of Helsinki.</w:t>
      </w:r>
    </w:p>
    <w:p w14:paraId="725FB048" w14:textId="77777777" w:rsidR="008E7846" w:rsidRDefault="008E7846" w:rsidP="00605AD4">
      <w:pPr>
        <w:pStyle w:val="Heading3"/>
      </w:pPr>
      <w:bookmarkStart w:id="53" w:name="_Toc12960524"/>
      <w:r w:rsidRPr="00254787">
        <w:t>Pharmacokinetics</w:t>
      </w:r>
      <w:bookmarkEnd w:id="38"/>
      <w:bookmarkEnd w:id="45"/>
      <w:bookmarkEnd w:id="46"/>
      <w:bookmarkEnd w:id="47"/>
      <w:bookmarkEnd w:id="53"/>
    </w:p>
    <w:p w14:paraId="5BFAA77A" w14:textId="77777777" w:rsidR="00BD3AAF" w:rsidRPr="00BD3AAF" w:rsidRDefault="00BD3AAF" w:rsidP="00BD3AAF">
      <w:r>
        <w:t>No new pharmacokinetic data were presented in the submission.</w:t>
      </w:r>
    </w:p>
    <w:p w14:paraId="39F7CDC2" w14:textId="77777777" w:rsidR="00BD3AAF" w:rsidRDefault="008E7846" w:rsidP="00BD3AAF">
      <w:pPr>
        <w:pStyle w:val="Heading3"/>
      </w:pPr>
      <w:bookmarkStart w:id="54" w:name="_Toc196046481"/>
      <w:bookmarkStart w:id="55" w:name="_Toc247691520"/>
      <w:bookmarkStart w:id="56" w:name="_Toc314842503"/>
      <w:bookmarkStart w:id="57" w:name="_Toc12960525"/>
      <w:r w:rsidRPr="00254787">
        <w:t>Pharmacodynamics</w:t>
      </w:r>
      <w:bookmarkEnd w:id="39"/>
      <w:bookmarkEnd w:id="54"/>
      <w:bookmarkEnd w:id="55"/>
      <w:bookmarkEnd w:id="56"/>
      <w:bookmarkEnd w:id="57"/>
    </w:p>
    <w:p w14:paraId="729D6E87" w14:textId="77777777" w:rsidR="00BD3AAF" w:rsidRDefault="00BD3AAF" w:rsidP="00BD3AAF">
      <w:r>
        <w:t>No new pharmacodynamic data were presented in the submission.</w:t>
      </w:r>
    </w:p>
    <w:p w14:paraId="1CA63631" w14:textId="77777777" w:rsidR="008E7846" w:rsidRDefault="00605AD4" w:rsidP="00605AD4">
      <w:pPr>
        <w:pStyle w:val="Heading3"/>
      </w:pPr>
      <w:bookmarkStart w:id="58" w:name="_Toc12960526"/>
      <w:r>
        <w:t>Dosage selection for the pivotal studies</w:t>
      </w:r>
      <w:bookmarkEnd w:id="58"/>
    </w:p>
    <w:p w14:paraId="2F79C719" w14:textId="0B02EC6D" w:rsidR="00BD3AAF" w:rsidRPr="00390CCD" w:rsidRDefault="00BD3AAF" w:rsidP="00BD3AAF">
      <w:pPr>
        <w:autoSpaceDE w:val="0"/>
        <w:autoSpaceDN w:val="0"/>
        <w:adjustRightInd w:val="0"/>
      </w:pPr>
      <w:r w:rsidRPr="00390CCD">
        <w:t xml:space="preserve">The maximum tolerated dose of lenalidomide was previously established to be 25 mg in </w:t>
      </w:r>
      <w:r w:rsidR="00825BB0">
        <w:t xml:space="preserve">multiple </w:t>
      </w:r>
      <w:r w:rsidRPr="00390CCD">
        <w:t xml:space="preserve">myeloma patients. This dose was found to be active in </w:t>
      </w:r>
      <w:r w:rsidR="00BC4010">
        <w:t>relapse</w:t>
      </w:r>
      <w:r w:rsidR="00D76B21">
        <w:t>d</w:t>
      </w:r>
      <w:r w:rsidR="00BC4010">
        <w:t xml:space="preserve"> </w:t>
      </w:r>
      <w:r w:rsidR="00D76B21">
        <w:t>and/or</w:t>
      </w:r>
      <w:r w:rsidR="00BC4010">
        <w:t xml:space="preserve"> refractory (R/R) </w:t>
      </w:r>
      <w:r w:rsidRPr="00390CCD">
        <w:t xml:space="preserve">MCL in three </w:t>
      </w:r>
      <w:r w:rsidR="003070DD">
        <w:t>Phase II</w:t>
      </w:r>
      <w:r w:rsidRPr="00390CCD">
        <w:t xml:space="preserve"> studies (</w:t>
      </w:r>
      <w:r w:rsidR="001A0738">
        <w:t xml:space="preserve">Studies </w:t>
      </w:r>
      <w:r w:rsidRPr="00390CCD">
        <w:t>NHL-002, NHL-003 and MCL-001).</w:t>
      </w:r>
      <w:r>
        <w:t xml:space="preserve"> </w:t>
      </w:r>
      <w:r w:rsidRPr="00390CCD">
        <w:t>Based on these findings, the same dose schedule was selected for use in the pivotal study.</w:t>
      </w:r>
    </w:p>
    <w:p w14:paraId="6DD7E6FE" w14:textId="77777777" w:rsidR="008E7846" w:rsidRPr="00254787" w:rsidRDefault="008E7846" w:rsidP="008E7846">
      <w:pPr>
        <w:pStyle w:val="Heading3"/>
      </w:pPr>
      <w:bookmarkStart w:id="59" w:name="_Toc163441372"/>
      <w:bookmarkStart w:id="60" w:name="_Toc196046485"/>
      <w:bookmarkStart w:id="61" w:name="_Toc247691521"/>
      <w:bookmarkStart w:id="62" w:name="_Toc314842504"/>
      <w:bookmarkStart w:id="63" w:name="_Toc12960527"/>
      <w:r w:rsidRPr="00254787">
        <w:lastRenderedPageBreak/>
        <w:t>Efficacy</w:t>
      </w:r>
      <w:bookmarkEnd w:id="59"/>
      <w:bookmarkEnd w:id="60"/>
      <w:bookmarkEnd w:id="61"/>
      <w:bookmarkEnd w:id="62"/>
      <w:bookmarkEnd w:id="63"/>
    </w:p>
    <w:p w14:paraId="0EC5811B" w14:textId="77777777" w:rsidR="00605AD4" w:rsidRDefault="00605AD4" w:rsidP="00605AD4">
      <w:pPr>
        <w:pStyle w:val="Heading4"/>
      </w:pPr>
      <w:bookmarkStart w:id="64" w:name="_Toc184439992"/>
      <w:bookmarkStart w:id="65" w:name="_Toc184440279"/>
      <w:bookmarkStart w:id="66" w:name="_Toc184444657"/>
      <w:bookmarkStart w:id="67" w:name="_Toc196046487"/>
      <w:r>
        <w:t>Studies providing efficacy data</w:t>
      </w:r>
    </w:p>
    <w:p w14:paraId="49F6B2C3" w14:textId="77777777" w:rsidR="001A0738" w:rsidRPr="001A0738" w:rsidRDefault="001A0738" w:rsidP="001A0738">
      <w:r>
        <w:t>The following studies provided efficacy data:</w:t>
      </w:r>
    </w:p>
    <w:p w14:paraId="1834C765" w14:textId="46E67A3D" w:rsidR="00BD3AAF" w:rsidRDefault="00BD3AAF" w:rsidP="001A0738">
      <w:pPr>
        <w:pStyle w:val="ListBullet"/>
      </w:pPr>
      <w:bookmarkStart w:id="68" w:name="_Ref271037274"/>
      <w:bookmarkStart w:id="69" w:name="_Toc272414652"/>
      <w:bookmarkStart w:id="70" w:name="_Toc290846274"/>
      <w:bookmarkStart w:id="71" w:name="_Toc303022795"/>
      <w:r>
        <w:t>Pivotal efficacy stud</w:t>
      </w:r>
      <w:bookmarkEnd w:id="68"/>
      <w:bookmarkEnd w:id="69"/>
      <w:bookmarkEnd w:id="70"/>
      <w:r>
        <w:t>y</w:t>
      </w:r>
      <w:r w:rsidR="001A0738">
        <w:t>:</w:t>
      </w:r>
      <w:r>
        <w:t xml:space="preserve"> </w:t>
      </w:r>
      <w:r w:rsidR="001D4D0C">
        <w:t xml:space="preserve">Study </w:t>
      </w:r>
      <w:r>
        <w:t>MCL-002</w:t>
      </w:r>
      <w:bookmarkEnd w:id="71"/>
    </w:p>
    <w:p w14:paraId="3BD23E64" w14:textId="5AB40F87" w:rsidR="00BD3AAF" w:rsidRDefault="00BD3AAF" w:rsidP="001A0738">
      <w:pPr>
        <w:pStyle w:val="ListBullet"/>
      </w:pPr>
      <w:bookmarkStart w:id="72" w:name="_Ref271037188"/>
      <w:bookmarkStart w:id="73" w:name="_Ref271037210"/>
      <w:bookmarkStart w:id="74" w:name="_Toc272414655"/>
      <w:bookmarkStart w:id="75" w:name="_Toc290846277"/>
      <w:bookmarkStart w:id="76" w:name="_Toc303022809"/>
      <w:bookmarkStart w:id="77" w:name="_Toc241374311"/>
      <w:bookmarkStart w:id="78" w:name="_Ref243294291"/>
      <w:r>
        <w:t>Other efficacy studies</w:t>
      </w:r>
      <w:bookmarkEnd w:id="72"/>
      <w:bookmarkEnd w:id="73"/>
      <w:bookmarkEnd w:id="74"/>
      <w:bookmarkEnd w:id="75"/>
      <w:bookmarkEnd w:id="76"/>
      <w:r w:rsidR="001D4D0C">
        <w:t>:</w:t>
      </w:r>
    </w:p>
    <w:p w14:paraId="0BB04DDC" w14:textId="77777777" w:rsidR="00BD3AAF" w:rsidRPr="006D4CD7" w:rsidRDefault="00BD3AAF" w:rsidP="001A0738">
      <w:pPr>
        <w:pStyle w:val="ListBullet2"/>
      </w:pPr>
      <w:bookmarkStart w:id="79" w:name="_Toc290846278"/>
      <w:bookmarkStart w:id="80" w:name="_Toc303022810"/>
      <w:bookmarkEnd w:id="77"/>
      <w:bookmarkEnd w:id="78"/>
      <w:r w:rsidRPr="006D4CD7">
        <w:t xml:space="preserve">Study </w:t>
      </w:r>
      <w:bookmarkEnd w:id="79"/>
      <w:r>
        <w:t>MCL-001</w:t>
      </w:r>
      <w:bookmarkEnd w:id="80"/>
    </w:p>
    <w:p w14:paraId="05A7A800" w14:textId="77777777" w:rsidR="00BD3AAF" w:rsidRPr="00B24563" w:rsidRDefault="00BD3AAF" w:rsidP="001A0738">
      <w:pPr>
        <w:pStyle w:val="ListBullet2"/>
      </w:pPr>
      <w:bookmarkStart w:id="81" w:name="_Toc290846279"/>
      <w:bookmarkStart w:id="82" w:name="_Toc303022811"/>
      <w:r w:rsidRPr="00B24563">
        <w:t xml:space="preserve">Study </w:t>
      </w:r>
      <w:bookmarkEnd w:id="81"/>
      <w:r>
        <w:t>NHL-002</w:t>
      </w:r>
      <w:bookmarkEnd w:id="82"/>
    </w:p>
    <w:p w14:paraId="0BE4A886" w14:textId="52DBD60B" w:rsidR="00BD3AAF" w:rsidRPr="00F91B64" w:rsidRDefault="00BD3AAF" w:rsidP="001A0738">
      <w:pPr>
        <w:pStyle w:val="ListBullet2"/>
      </w:pPr>
      <w:bookmarkStart w:id="83" w:name="_Toc290846280"/>
      <w:bookmarkStart w:id="84" w:name="_Toc303022812"/>
      <w:r w:rsidRPr="00F91B64">
        <w:t xml:space="preserve">Study </w:t>
      </w:r>
      <w:bookmarkEnd w:id="83"/>
      <w:r>
        <w:t>NHL-003</w:t>
      </w:r>
      <w:bookmarkEnd w:id="84"/>
      <w:r w:rsidR="00A926B4">
        <w:t>.</w:t>
      </w:r>
    </w:p>
    <w:p w14:paraId="5E21C9B6" w14:textId="77777777" w:rsidR="008E7846" w:rsidRDefault="00605AD4" w:rsidP="00605AD4">
      <w:pPr>
        <w:pStyle w:val="Heading4"/>
      </w:pPr>
      <w:r w:rsidRPr="00C362F1">
        <w:t>Evaluator’s conclusions on efficacy</w:t>
      </w:r>
    </w:p>
    <w:p w14:paraId="51442B53" w14:textId="5390D5B3" w:rsidR="00BD3AAF" w:rsidRDefault="00BD3AAF" w:rsidP="00BD3AAF">
      <w:r>
        <w:t xml:space="preserve">The pivotal study </w:t>
      </w:r>
      <w:r w:rsidR="008E678A">
        <w:t>(</w:t>
      </w:r>
      <w:r w:rsidR="001D4D0C">
        <w:t xml:space="preserve">Study </w:t>
      </w:r>
      <w:r w:rsidR="00BC4010">
        <w:t>MCL-002</w:t>
      </w:r>
      <w:r w:rsidR="008E678A">
        <w:t>)</w:t>
      </w:r>
      <w:r w:rsidR="00BC4010">
        <w:t xml:space="preserve"> </w:t>
      </w:r>
      <w:r>
        <w:t xml:space="preserve">was well designed and executed. Although described as a </w:t>
      </w:r>
      <w:r w:rsidR="003070DD">
        <w:t>Phase II</w:t>
      </w:r>
      <w:r>
        <w:t xml:space="preserve"> study it had many design </w:t>
      </w:r>
      <w:proofErr w:type="gramStart"/>
      <w:r>
        <w:t xml:space="preserve">features </w:t>
      </w:r>
      <w:r w:rsidR="008E678A" w:rsidRPr="008E678A">
        <w:t xml:space="preserve"> </w:t>
      </w:r>
      <w:r w:rsidR="008E678A">
        <w:t>normally</w:t>
      </w:r>
      <w:proofErr w:type="gramEnd"/>
      <w:r w:rsidR="008E678A">
        <w:t xml:space="preserve"> associated with a Phase III oncology trial</w:t>
      </w:r>
      <w:r>
        <w:t xml:space="preserve">. </w:t>
      </w:r>
      <w:r w:rsidR="00BC4010">
        <w:t xml:space="preserve">The study </w:t>
      </w:r>
      <w:r>
        <w:t xml:space="preserve">demonstrated a statistically significant benefit in terms of </w:t>
      </w:r>
      <w:r w:rsidR="001A0738">
        <w:t>progressive free survival (</w:t>
      </w:r>
      <w:r>
        <w:t>PFS</w:t>
      </w:r>
      <w:r w:rsidR="001A0738">
        <w:t>)</w:t>
      </w:r>
      <w:r>
        <w:t xml:space="preserve">, which is an acceptable primary endpoint according to the relevant EMA guideline adopted by the TGA. The design of the pivotal study would have been improved if </w:t>
      </w:r>
      <w:proofErr w:type="spellStart"/>
      <w:r>
        <w:t>temsirolimus</w:t>
      </w:r>
      <w:proofErr w:type="spellEnd"/>
      <w:r>
        <w:t xml:space="preserve"> had been used as the comparator. However</w:t>
      </w:r>
      <w:r w:rsidR="00283551">
        <w:t>, the</w:t>
      </w:r>
      <w:r>
        <w:t xml:space="preserve"> investigator’s choice of therapy has previously been accepted as a comparator in </w:t>
      </w:r>
      <w:r w:rsidR="001A0738">
        <w:t xml:space="preserve">relapsed </w:t>
      </w:r>
      <w:r w:rsidR="00D76B21">
        <w:t>and/</w:t>
      </w:r>
      <w:r w:rsidR="001A0738">
        <w:t xml:space="preserve">or refractory (R/R) </w:t>
      </w:r>
      <w:r>
        <w:t>MCL by the TGA.</w:t>
      </w:r>
    </w:p>
    <w:p w14:paraId="3F3EF1AF" w14:textId="77777777" w:rsidR="00BD3AAF" w:rsidRDefault="00BD3AAF" w:rsidP="00BD3AAF">
      <w:r>
        <w:t xml:space="preserve">Lenalidomide was associated with a 37% reduction in the risk of a PFS event. Median PFS was prolonged by 3.5 months and the probability of being alive and free of disease progression at 12 months was almost doubled. The magnitude of the PFS benefit is considered clinically significant. </w:t>
      </w:r>
    </w:p>
    <w:p w14:paraId="6CCA9AF1" w14:textId="2DE66B19" w:rsidR="00BD3AAF" w:rsidRDefault="00BD3AAF" w:rsidP="00BD3AAF">
      <w:r>
        <w:t xml:space="preserve">The drug was not associated with a survival benefit. However, crossover of 47% of control subjects to the lenalidomide arm after disease progression may have confounded the overall survival </w:t>
      </w:r>
      <w:r w:rsidR="007A28BE">
        <w:t xml:space="preserve">(OS) </w:t>
      </w:r>
      <w:r>
        <w:t xml:space="preserve">analysis. There was no suggestion of an adverse effect of lenalidomide on </w:t>
      </w:r>
      <w:r w:rsidR="007A28BE">
        <w:t>OS</w:t>
      </w:r>
      <w:r>
        <w:t>. There were no clinically significant differences in quality of life between the lenalidomide</w:t>
      </w:r>
      <w:r w:rsidR="00BC4010">
        <w:t xml:space="preserve"> arm</w:t>
      </w:r>
      <w:r>
        <w:t xml:space="preserve"> and </w:t>
      </w:r>
      <w:r w:rsidR="00BC4010">
        <w:t xml:space="preserve">the </w:t>
      </w:r>
      <w:r>
        <w:t>control arm.</w:t>
      </w:r>
    </w:p>
    <w:p w14:paraId="33A6FD9F" w14:textId="7BA7784B" w:rsidR="00BD3AAF" w:rsidRDefault="00BD3AAF" w:rsidP="00BD3AAF">
      <w:r>
        <w:t>The findings of the pivotal study were supported by the results of three single</w:t>
      </w:r>
      <w:r w:rsidR="001A0738">
        <w:t xml:space="preserve"> </w:t>
      </w:r>
      <w:r>
        <w:t xml:space="preserve">arm </w:t>
      </w:r>
      <w:r w:rsidR="003070DD">
        <w:t>Phase II</w:t>
      </w:r>
      <w:r>
        <w:t xml:space="preserve"> studies, which all showed that lenalidomide was an active agent in MCL with response rates between 28% and 53%. Complete responses </w:t>
      </w:r>
      <w:r w:rsidR="007A28BE">
        <w:t xml:space="preserve">(CR) </w:t>
      </w:r>
      <w:r>
        <w:t>were achieved in a proportion of subjects in all these studies. The responses were durable with the median duration of response being &gt; 12 months in all studies.</w:t>
      </w:r>
    </w:p>
    <w:p w14:paraId="285C9029" w14:textId="77777777" w:rsidR="00BD3AAF" w:rsidRDefault="00BD3AAF" w:rsidP="00BD3AAF">
      <w:r>
        <w:t>Overall, the evidence to support the efficacy of lenalidomide in R/R MCL is considered adequate.</w:t>
      </w:r>
    </w:p>
    <w:p w14:paraId="02132EBE" w14:textId="62BEC9C2" w:rsidR="00BD3AAF" w:rsidRDefault="00BD3AAF" w:rsidP="00BD3AAF">
      <w:r>
        <w:t xml:space="preserve">By way of comparison, the pivotal study supporting registration of </w:t>
      </w:r>
      <w:proofErr w:type="spellStart"/>
      <w:r>
        <w:t>temsirolimus</w:t>
      </w:r>
      <w:proofErr w:type="spellEnd"/>
      <w:r>
        <w:t xml:space="preserve"> was associated with a 56% reduction in the risk of a PFS event, when compared with investigator’s choice of therapy. However, prolongation of median survival was comparable to that obtained with lenalidomide (4.8 months with </w:t>
      </w:r>
      <w:proofErr w:type="spellStart"/>
      <w:r>
        <w:t>temsirolimus</w:t>
      </w:r>
      <w:proofErr w:type="spellEnd"/>
      <w:r w:rsidR="001A0738">
        <w:t xml:space="preserve"> versus</w:t>
      </w:r>
      <w:r>
        <w:t xml:space="preserve"> 1.9</w:t>
      </w:r>
      <w:r w:rsidR="001D4D0C">
        <w:t> </w:t>
      </w:r>
      <w:r>
        <w:t>months with control).</w:t>
      </w:r>
      <w:r w:rsidR="001A0738" w:rsidRPr="001D4D0C">
        <w:rPr>
          <w:rStyle w:val="FootnoteReference"/>
        </w:rPr>
        <w:footnoteReference w:id="11"/>
      </w:r>
      <w:r w:rsidR="001D4D0C" w:rsidRPr="00FE46F1">
        <w:rPr>
          <w:vertAlign w:val="superscript"/>
        </w:rPr>
        <w:t>,</w:t>
      </w:r>
      <w:r w:rsidR="001A0738">
        <w:rPr>
          <w:rStyle w:val="FootnoteReference"/>
        </w:rPr>
        <w:footnoteReference w:id="12"/>
      </w:r>
      <w:r>
        <w:t xml:space="preserve"> Cross-trial comparison of response rates suggests that lenalidomide has at least comparable activity to </w:t>
      </w:r>
      <w:proofErr w:type="spellStart"/>
      <w:r>
        <w:t>temsirolimus</w:t>
      </w:r>
      <w:proofErr w:type="spellEnd"/>
      <w:r>
        <w:t xml:space="preserve"> in R/R MCL (</w:t>
      </w:r>
      <w:r w:rsidR="00283551">
        <w:t xml:space="preserve">overall </w:t>
      </w:r>
      <w:r w:rsidR="00283551">
        <w:lastRenderedPageBreak/>
        <w:t>response rate (</w:t>
      </w:r>
      <w:r>
        <w:t>ORR</w:t>
      </w:r>
      <w:r w:rsidR="00283551">
        <w:t>)</w:t>
      </w:r>
      <w:r>
        <w:t xml:space="preserve"> 40.0% with lenalidomide</w:t>
      </w:r>
      <w:r w:rsidR="001A0738">
        <w:t xml:space="preserve"> versus</w:t>
      </w:r>
      <w:r>
        <w:t xml:space="preserve"> 22.7% with </w:t>
      </w:r>
      <w:proofErr w:type="spellStart"/>
      <w:r>
        <w:t>temsirolimus</w:t>
      </w:r>
      <w:proofErr w:type="spellEnd"/>
      <w:r>
        <w:t xml:space="preserve">). The ORR obtained with </w:t>
      </w:r>
      <w:proofErr w:type="spellStart"/>
      <w:r>
        <w:t>ibrutinib</w:t>
      </w:r>
      <w:proofErr w:type="spellEnd"/>
      <w:r>
        <w:t xml:space="preserve"> was higher (67.6%).</w:t>
      </w:r>
      <w:r w:rsidR="00283551">
        <w:rPr>
          <w:rStyle w:val="FootnoteReference"/>
        </w:rPr>
        <w:footnoteReference w:id="13"/>
      </w:r>
    </w:p>
    <w:p w14:paraId="34F4EB31" w14:textId="77777777" w:rsidR="008E7846" w:rsidRPr="002E238E" w:rsidRDefault="008E7846" w:rsidP="008E7846">
      <w:pPr>
        <w:pStyle w:val="Heading3"/>
      </w:pPr>
      <w:bookmarkStart w:id="85" w:name="_Toc163441378"/>
      <w:bookmarkStart w:id="86" w:name="_Toc196046495"/>
      <w:bookmarkStart w:id="87" w:name="_Toc247691522"/>
      <w:bookmarkStart w:id="88" w:name="_Toc314842505"/>
      <w:bookmarkStart w:id="89" w:name="_Toc12960528"/>
      <w:bookmarkEnd w:id="64"/>
      <w:bookmarkEnd w:id="65"/>
      <w:bookmarkEnd w:id="66"/>
      <w:bookmarkEnd w:id="67"/>
      <w:r w:rsidRPr="00C362F1">
        <w:t>Safety</w:t>
      </w:r>
      <w:bookmarkEnd w:id="85"/>
      <w:bookmarkEnd w:id="86"/>
      <w:bookmarkEnd w:id="87"/>
      <w:bookmarkEnd w:id="88"/>
      <w:bookmarkEnd w:id="89"/>
    </w:p>
    <w:p w14:paraId="32EF8B2C" w14:textId="77777777" w:rsidR="00605AD4" w:rsidRDefault="00605AD4" w:rsidP="00605AD4">
      <w:pPr>
        <w:pStyle w:val="Heading4"/>
      </w:pPr>
      <w:bookmarkStart w:id="90" w:name="_Toc247691524"/>
      <w:bookmarkStart w:id="91" w:name="_Toc314842508"/>
      <w:bookmarkStart w:id="92" w:name="_Toc196046504"/>
      <w:bookmarkStart w:id="93" w:name="_Toc163441390"/>
      <w:r w:rsidRPr="00605AD4">
        <w:t>Studies providing safety data</w:t>
      </w:r>
    </w:p>
    <w:p w14:paraId="2ABAF5B2" w14:textId="77777777" w:rsidR="00BD3AAF" w:rsidRDefault="00BD3AAF" w:rsidP="00BD3AAF">
      <w:bookmarkStart w:id="94" w:name="_Ref268776745"/>
      <w:r>
        <w:t>The following studies provided evaluable safety data:</w:t>
      </w:r>
    </w:p>
    <w:p w14:paraId="617077EB" w14:textId="3A058E69" w:rsidR="00BD3AAF" w:rsidRPr="00027276" w:rsidRDefault="00BD3AAF" w:rsidP="00BD3AAF">
      <w:pPr>
        <w:pStyle w:val="Heading5"/>
      </w:pPr>
      <w:r w:rsidRPr="00027276">
        <w:t>Pivotal efficacy stud</w:t>
      </w:r>
      <w:bookmarkEnd w:id="94"/>
      <w:r>
        <w:t>y (</w:t>
      </w:r>
      <w:r w:rsidR="001D4D0C">
        <w:t xml:space="preserve">Study </w:t>
      </w:r>
      <w:r>
        <w:t>MCL-002)</w:t>
      </w:r>
    </w:p>
    <w:p w14:paraId="32B54C70" w14:textId="77777777" w:rsidR="00BD3AAF" w:rsidRDefault="00BD3AAF" w:rsidP="00BD3AAF">
      <w:r>
        <w:t>Study MCL-002 was the only study in the submission with a control arm, to allow a comparative assessment of safety. The following safety data were collected:</w:t>
      </w:r>
    </w:p>
    <w:p w14:paraId="704224E6" w14:textId="397D8CFE" w:rsidR="00BD3AAF" w:rsidRPr="00A877C2" w:rsidRDefault="00BD3AAF" w:rsidP="00BD3AAF">
      <w:pPr>
        <w:pStyle w:val="ListBullet"/>
      </w:pPr>
      <w:r>
        <w:t xml:space="preserve">General adverse events (AE) were assessed on </w:t>
      </w:r>
      <w:r w:rsidR="00283551">
        <w:t>D</w:t>
      </w:r>
      <w:r>
        <w:t xml:space="preserve">ays 1, 2 4, 8 and 15 of </w:t>
      </w:r>
      <w:r w:rsidR="00283551">
        <w:t>C</w:t>
      </w:r>
      <w:r>
        <w:t xml:space="preserve">ycle 1, on </w:t>
      </w:r>
      <w:r w:rsidR="00283551">
        <w:t>D</w:t>
      </w:r>
      <w:r>
        <w:t xml:space="preserve">ays 1 and 15 of </w:t>
      </w:r>
      <w:r w:rsidR="00283551">
        <w:t>C</w:t>
      </w:r>
      <w:r>
        <w:t xml:space="preserve">ycles 2 to 4, and then on </w:t>
      </w:r>
      <w:r w:rsidR="00283551">
        <w:t>D</w:t>
      </w:r>
      <w:r>
        <w:t xml:space="preserve">ay 1 of every subsequent cycle. AEs were graded using the National Cancer Institute Common Terminology Criteria for Adverse Events (NCI CTCAE) Version 3.0 </w:t>
      </w:r>
      <w:r>
        <w:rPr>
          <w:lang w:val="en-US"/>
        </w:rPr>
        <w:t>and</w:t>
      </w:r>
      <w:r w:rsidRPr="00ED5202">
        <w:rPr>
          <w:lang w:val="en-US"/>
        </w:rPr>
        <w:t xml:space="preserve"> were coded to </w:t>
      </w:r>
      <w:r w:rsidR="001D4D0C">
        <w:rPr>
          <w:lang w:val="en-US"/>
        </w:rPr>
        <w:t>S</w:t>
      </w:r>
      <w:r w:rsidR="001D4D0C" w:rsidRPr="00ED5202">
        <w:rPr>
          <w:lang w:val="en-US"/>
        </w:rPr>
        <w:t xml:space="preserve">ystem </w:t>
      </w:r>
      <w:r w:rsidR="00A823EB">
        <w:rPr>
          <w:lang w:val="en-US"/>
        </w:rPr>
        <w:t>O</w:t>
      </w:r>
      <w:r w:rsidR="00A823EB" w:rsidRPr="00ED5202">
        <w:rPr>
          <w:lang w:val="en-US"/>
        </w:rPr>
        <w:t xml:space="preserve">rgan </w:t>
      </w:r>
      <w:r w:rsidR="00A823EB">
        <w:rPr>
          <w:lang w:val="en-US"/>
        </w:rPr>
        <w:t>C</w:t>
      </w:r>
      <w:r w:rsidR="00A823EB" w:rsidRPr="00ED5202">
        <w:rPr>
          <w:lang w:val="en-US"/>
        </w:rPr>
        <w:t xml:space="preserve">lass </w:t>
      </w:r>
      <w:r w:rsidRPr="00ED5202">
        <w:rPr>
          <w:lang w:val="en-US"/>
        </w:rPr>
        <w:t>(SOC) and preferred terms (PT) using the Medical Dictionary for Regulatory Activities (</w:t>
      </w:r>
      <w:proofErr w:type="spellStart"/>
      <w:r w:rsidRPr="00ED5202">
        <w:rPr>
          <w:lang w:val="en-US"/>
        </w:rPr>
        <w:t>MedDRA</w:t>
      </w:r>
      <w:proofErr w:type="spellEnd"/>
      <w:r w:rsidRPr="00ED5202">
        <w:rPr>
          <w:lang w:val="en-US"/>
        </w:rPr>
        <w:t>).</w:t>
      </w:r>
    </w:p>
    <w:p w14:paraId="348E7EF2" w14:textId="2096AE36" w:rsidR="00BD3AAF" w:rsidRPr="00A877C2" w:rsidRDefault="00BD3AAF" w:rsidP="00BD3AAF">
      <w:pPr>
        <w:pStyle w:val="ListBullet"/>
      </w:pPr>
      <w:r>
        <w:rPr>
          <w:lang w:val="en-US"/>
        </w:rPr>
        <w:t xml:space="preserve">The following were </w:t>
      </w:r>
      <w:r w:rsidRPr="00A877C2">
        <w:t>AEs of particular interest (‘Selected AEs’): neutropaenia</w:t>
      </w:r>
      <w:r>
        <w:t>,</w:t>
      </w:r>
      <w:r w:rsidRPr="0008640B">
        <w:t xml:space="preserve"> infection</w:t>
      </w:r>
      <w:r>
        <w:t>,</w:t>
      </w:r>
      <w:r w:rsidRPr="0008640B">
        <w:t xml:space="preserve"> thrombocytop</w:t>
      </w:r>
      <w:r>
        <w:t>a</w:t>
      </w:r>
      <w:r w:rsidRPr="0008640B">
        <w:t>enia</w:t>
      </w:r>
      <w:r>
        <w:t>, bleeding, cardiac arrhythmias, cardiac failure, ischaemic heart disease (including myocardial infarction), venous thromboembolism (VTE) events, arterial thromboembolism (ATE) events, mixed thromboembolic events, renal failure, peripheral neuropathy, diarrhoea, constipation, cutaneous reactions, hypersensitivity and angioedema, hepatic disorders, tumour lysis syndrome (TLS), tumour flare reaction (TFR), teratogenicity, interstitial lung disease and second primary malignancies (SPM).</w:t>
      </w:r>
    </w:p>
    <w:p w14:paraId="59A8D943" w14:textId="77777777" w:rsidR="00BD3AAF" w:rsidRDefault="00BD3AAF" w:rsidP="00BD3AAF">
      <w:pPr>
        <w:pStyle w:val="ListBullet"/>
      </w:pPr>
      <w:r>
        <w:t xml:space="preserve">Laboratory tests were performed at screening/baseline, on </w:t>
      </w:r>
      <w:r w:rsidR="00283551">
        <w:t>D</w:t>
      </w:r>
      <w:r>
        <w:t xml:space="preserve">ays 1, 2 4, 8 and 15 of </w:t>
      </w:r>
      <w:r w:rsidR="00BB2385">
        <w:t>Cycle</w:t>
      </w:r>
      <w:r>
        <w:t xml:space="preserve"> 1, on </w:t>
      </w:r>
      <w:r w:rsidR="00283551">
        <w:t>D</w:t>
      </w:r>
      <w:r>
        <w:t xml:space="preserve">ays 1 and 15 of </w:t>
      </w:r>
      <w:r w:rsidR="00283551">
        <w:t>C</w:t>
      </w:r>
      <w:r>
        <w:t xml:space="preserve">ycles 2 to 4, on </w:t>
      </w:r>
      <w:r w:rsidR="00283551">
        <w:t>D</w:t>
      </w:r>
      <w:r>
        <w:t>ay 1 of every subsequent cycle and at treatment discontinuation. Tests conducted were:</w:t>
      </w:r>
    </w:p>
    <w:p w14:paraId="3DA3C6E4" w14:textId="77777777" w:rsidR="00BD3AAF" w:rsidRPr="00283551" w:rsidRDefault="00BD3AAF" w:rsidP="00BD3AAF">
      <w:pPr>
        <w:pStyle w:val="ListBullet2"/>
      </w:pPr>
      <w:r>
        <w:t>Haematology</w:t>
      </w:r>
      <w:r w:rsidR="00283551">
        <w:t>:</w:t>
      </w:r>
      <w:r>
        <w:t xml:space="preserve"> </w:t>
      </w:r>
      <w:r w:rsidR="00283551">
        <w:t xml:space="preserve">red </w:t>
      </w:r>
      <w:r w:rsidR="00283551" w:rsidRPr="00283551">
        <w:t>blood cell (</w:t>
      </w:r>
      <w:r w:rsidRPr="00283551">
        <w:t>RBC</w:t>
      </w:r>
      <w:r w:rsidR="00283551" w:rsidRPr="00283551">
        <w:t>)</w:t>
      </w:r>
      <w:r w:rsidRPr="00283551">
        <w:t xml:space="preserve"> count, haemoglobin, haematocrit, </w:t>
      </w:r>
      <w:r w:rsidR="00283551" w:rsidRPr="00283551">
        <w:t>mean corpuscular volume (</w:t>
      </w:r>
      <w:r w:rsidRPr="00283551">
        <w:t>MCV</w:t>
      </w:r>
      <w:r w:rsidR="00283551" w:rsidRPr="00283551">
        <w:t>)</w:t>
      </w:r>
      <w:r w:rsidRPr="00283551">
        <w:t xml:space="preserve">, </w:t>
      </w:r>
      <w:r w:rsidR="00283551" w:rsidRPr="00283551">
        <w:t>white blood cell count (</w:t>
      </w:r>
      <w:r w:rsidRPr="00283551">
        <w:t>WBC</w:t>
      </w:r>
      <w:r w:rsidR="00283551" w:rsidRPr="00283551">
        <w:t>)</w:t>
      </w:r>
      <w:r w:rsidRPr="00283551">
        <w:t xml:space="preserve"> count with differential, </w:t>
      </w:r>
      <w:r w:rsidR="00283551" w:rsidRPr="00283551">
        <w:t>absolute neutrophil count (</w:t>
      </w:r>
      <w:r w:rsidRPr="00283551">
        <w:t>ANC</w:t>
      </w:r>
      <w:r w:rsidR="00283551" w:rsidRPr="00283551">
        <w:t>)</w:t>
      </w:r>
      <w:r w:rsidRPr="00283551">
        <w:t xml:space="preserve">, </w:t>
      </w:r>
      <w:r w:rsidR="00283551" w:rsidRPr="00283551">
        <w:t>absolute lymphocyte count (</w:t>
      </w:r>
      <w:r w:rsidRPr="00283551">
        <w:t>ALC</w:t>
      </w:r>
      <w:r w:rsidR="00283551" w:rsidRPr="00283551">
        <w:t>)</w:t>
      </w:r>
      <w:r w:rsidRPr="00283551">
        <w:t>, and platelet count.</w:t>
      </w:r>
    </w:p>
    <w:p w14:paraId="4F11F3B7" w14:textId="77777777" w:rsidR="00BD3AAF" w:rsidRDefault="00BD3AAF" w:rsidP="00BD3AAF">
      <w:pPr>
        <w:pStyle w:val="ListBullet2"/>
      </w:pPr>
      <w:r>
        <w:t>Serum chemistry</w:t>
      </w:r>
      <w:r w:rsidR="00283551">
        <w:t>:</w:t>
      </w:r>
      <w:r>
        <w:t xml:space="preserve"> total protein, albumin, calcium, phosphorous, glucose, uric acid, total bilirubin, alkaline phosphatase, </w:t>
      </w:r>
      <w:r w:rsidR="00283551">
        <w:t>aspartate aminotransferase (</w:t>
      </w:r>
      <w:r>
        <w:t>AST</w:t>
      </w:r>
      <w:r w:rsidR="00283551">
        <w:t>)</w:t>
      </w:r>
      <w:r>
        <w:t xml:space="preserve">, </w:t>
      </w:r>
      <w:r w:rsidR="00283551">
        <w:t>alanine aminotransferase (</w:t>
      </w:r>
      <w:r>
        <w:t>ALT</w:t>
      </w:r>
      <w:r w:rsidR="00283551">
        <w:t>)</w:t>
      </w:r>
      <w:r>
        <w:t xml:space="preserve">, sodium, potassium, blood urea nitrogen, creatinine, and </w:t>
      </w:r>
      <w:r w:rsidR="00283551">
        <w:t>lactate dehydrogenase (</w:t>
      </w:r>
      <w:r>
        <w:t>LDH</w:t>
      </w:r>
      <w:r w:rsidR="00283551">
        <w:t>)</w:t>
      </w:r>
      <w:r>
        <w:t>.</w:t>
      </w:r>
    </w:p>
    <w:p w14:paraId="7EBF99FB" w14:textId="77777777" w:rsidR="00BD3AAF" w:rsidRDefault="00BD3AAF" w:rsidP="00BD3AAF">
      <w:pPr>
        <w:pStyle w:val="ListBullet"/>
      </w:pPr>
      <w:r>
        <w:t>Vital signs (</w:t>
      </w:r>
      <w:r w:rsidRPr="00CD6211">
        <w:t>weight, blood pressure, temperature, and pulse</w:t>
      </w:r>
      <w:r>
        <w:t>) were recorded at screening/baseline,</w:t>
      </w:r>
      <w:r w:rsidRPr="00CD6211">
        <w:t xml:space="preserve"> </w:t>
      </w:r>
      <w:r w:rsidR="00283551">
        <w:t>on D</w:t>
      </w:r>
      <w:r>
        <w:t>ay 1 of every cycle and at treatment discontinuation.</w:t>
      </w:r>
    </w:p>
    <w:p w14:paraId="17831E9C" w14:textId="77777777" w:rsidR="00BD3AAF" w:rsidRDefault="00BD3AAF" w:rsidP="00BD3AAF">
      <w:pPr>
        <w:pStyle w:val="Heading5"/>
      </w:pPr>
      <w:r>
        <w:t>Non-pivotal efficacy studies</w:t>
      </w:r>
    </w:p>
    <w:p w14:paraId="1C39F3DB" w14:textId="1EA72C9A" w:rsidR="00500337" w:rsidRPr="00500337" w:rsidRDefault="00BD3AAF" w:rsidP="00BD3AAF">
      <w:r>
        <w:t xml:space="preserve">The three </w:t>
      </w:r>
      <w:r w:rsidR="003070DD">
        <w:t>Phase II</w:t>
      </w:r>
      <w:r>
        <w:t xml:space="preserve"> single</w:t>
      </w:r>
      <w:r w:rsidR="00283551">
        <w:t xml:space="preserve"> </w:t>
      </w:r>
      <w:r>
        <w:t xml:space="preserve">arm studies also provided safety data. Safety data collected were similar to those collected in the pivotal study. Monitoring of thyroid function was included in </w:t>
      </w:r>
      <w:r w:rsidR="00283551">
        <w:t>S</w:t>
      </w:r>
      <w:r>
        <w:t>tudies NHL-002 and NHL-003</w:t>
      </w:r>
      <w:r w:rsidR="00A926B4">
        <w:t>.</w:t>
      </w:r>
    </w:p>
    <w:p w14:paraId="764CE056" w14:textId="77777777" w:rsidR="00605AD4" w:rsidRDefault="00605AD4" w:rsidP="00605AD4">
      <w:pPr>
        <w:pStyle w:val="Heading4"/>
      </w:pPr>
      <w:r w:rsidRPr="00605AD4">
        <w:lastRenderedPageBreak/>
        <w:t>Patient exposure</w:t>
      </w:r>
    </w:p>
    <w:p w14:paraId="7E4743E4" w14:textId="4DB4D17C" w:rsidR="00BD3AAF" w:rsidRDefault="00BD3AAF" w:rsidP="00BD3AAF">
      <w:r>
        <w:t>A total of 373 MCL subjects were treated with lenalidomide in the submitted studies</w:t>
      </w:r>
      <w:r w:rsidR="00283551">
        <w:t xml:space="preserve">; </w:t>
      </w:r>
      <w:r>
        <w:t>167</w:t>
      </w:r>
      <w:r w:rsidR="00A823EB">
        <w:t> </w:t>
      </w:r>
      <w:r>
        <w:t>in the pivotal study and 206 in the three single</w:t>
      </w:r>
      <w:r w:rsidR="00283551">
        <w:t xml:space="preserve"> </w:t>
      </w:r>
      <w:r>
        <w:t>arm studies. In the pivotal study</w:t>
      </w:r>
      <w:r w:rsidR="00283551">
        <w:t>,</w:t>
      </w:r>
      <w:r>
        <w:t xml:space="preserve"> 83</w:t>
      </w:r>
      <w:r w:rsidR="00A823EB">
        <w:t> </w:t>
      </w:r>
      <w:r>
        <w:t>subjects received treatment (investigator’s choice) in the control arm.</w:t>
      </w:r>
    </w:p>
    <w:p w14:paraId="0F047D63" w14:textId="77777777" w:rsidR="00BD3AAF" w:rsidRDefault="00BD3AAF" w:rsidP="00BD3AAF">
      <w:r>
        <w:t xml:space="preserve">Duration of exposure is summarised in </w:t>
      </w:r>
      <w:r w:rsidR="00283551">
        <w:t>Table 4</w:t>
      </w:r>
      <w:r>
        <w:t>. In the pivotal study the average duration of treatment in the lenalidomide arm was approximately double that of the control arm. Duration of treatment with lenalidomide was also longer in the pivotal study than in the single-arm studies (mean 46.6</w:t>
      </w:r>
      <w:r w:rsidR="001A0738">
        <w:t xml:space="preserve"> versus</w:t>
      </w:r>
      <w:r>
        <w:t xml:space="preserve"> 35.5 weeks). Mean relative dose intensity for lenalidomide was 80</w:t>
      </w:r>
      <w:r w:rsidR="00283551">
        <w:t xml:space="preserve"> to </w:t>
      </w:r>
      <w:r>
        <w:t>90%.</w:t>
      </w:r>
    </w:p>
    <w:p w14:paraId="3A4B06AC" w14:textId="7B95D92E" w:rsidR="00283551" w:rsidRDefault="00661A9F" w:rsidP="0050164D">
      <w:pPr>
        <w:pStyle w:val="TableTitle"/>
        <w:numPr>
          <w:ilvl w:val="0"/>
          <w:numId w:val="0"/>
        </w:numPr>
      </w:pPr>
      <w:r>
        <w:t xml:space="preserve">Table 4: </w:t>
      </w:r>
      <w:r w:rsidR="00283551">
        <w:t>Exposure to treatment</w:t>
      </w:r>
    </w:p>
    <w:p w14:paraId="6B4BC7CD" w14:textId="77777777" w:rsidR="00283551" w:rsidRDefault="00283551" w:rsidP="00BB2385">
      <w:r>
        <w:rPr>
          <w:noProof/>
          <w:lang w:eastAsia="en-AU"/>
        </w:rPr>
        <w:drawing>
          <wp:inline distT="0" distB="0" distL="0" distR="0" wp14:anchorId="1B861999" wp14:editId="0290CC77">
            <wp:extent cx="5235704" cy="6597065"/>
            <wp:effectExtent l="0" t="0" r="3175" b="0"/>
            <wp:docPr id="54" name="Picture 1" descr="Exposure to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585" cy="6600695"/>
                    </a:xfrm>
                    <a:prstGeom prst="rect">
                      <a:avLst/>
                    </a:prstGeom>
                    <a:noFill/>
                    <a:ln>
                      <a:noFill/>
                    </a:ln>
                  </pic:spPr>
                </pic:pic>
              </a:graphicData>
            </a:graphic>
          </wp:inline>
        </w:drawing>
      </w:r>
    </w:p>
    <w:p w14:paraId="553D0313" w14:textId="01B870C3" w:rsidR="00BD3AAF" w:rsidRDefault="00BD3AAF" w:rsidP="00BD3AAF">
      <w:r>
        <w:t>Dose reductions and interruptions occurred more commonly with lenalidomide than with control treatment in the pivotal study (</w:t>
      </w:r>
      <w:r w:rsidR="00A823EB">
        <w:t xml:space="preserve">see </w:t>
      </w:r>
      <w:r w:rsidR="00283551">
        <w:t>Table 5</w:t>
      </w:r>
      <w:r>
        <w:t>).</w:t>
      </w:r>
    </w:p>
    <w:p w14:paraId="20ABD6A2" w14:textId="3EB9A71B" w:rsidR="00283551" w:rsidRDefault="00661A9F" w:rsidP="0050164D">
      <w:pPr>
        <w:pStyle w:val="TableTitle"/>
        <w:numPr>
          <w:ilvl w:val="0"/>
          <w:numId w:val="0"/>
        </w:numPr>
      </w:pPr>
      <w:r>
        <w:lastRenderedPageBreak/>
        <w:t xml:space="preserve">Table 5: </w:t>
      </w:r>
      <w:r w:rsidR="00283551">
        <w:t>Dose reductions and interruptions</w:t>
      </w:r>
    </w:p>
    <w:p w14:paraId="7B55B973" w14:textId="77777777" w:rsidR="00283551" w:rsidRDefault="00283551" w:rsidP="00283551">
      <w:r>
        <w:rPr>
          <w:noProof/>
          <w:lang w:eastAsia="en-AU"/>
        </w:rPr>
        <w:drawing>
          <wp:inline distT="0" distB="0" distL="0" distR="0" wp14:anchorId="0800A875" wp14:editId="1C4B3EF7">
            <wp:extent cx="4871512" cy="4634346"/>
            <wp:effectExtent l="0" t="0" r="5715" b="0"/>
            <wp:docPr id="55" name="Picture 2" descr="Dose reductions and interru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4375" cy="4637069"/>
                    </a:xfrm>
                    <a:prstGeom prst="rect">
                      <a:avLst/>
                    </a:prstGeom>
                    <a:noFill/>
                    <a:ln>
                      <a:noFill/>
                    </a:ln>
                  </pic:spPr>
                </pic:pic>
              </a:graphicData>
            </a:graphic>
          </wp:inline>
        </w:drawing>
      </w:r>
    </w:p>
    <w:p w14:paraId="22B85E40" w14:textId="77777777" w:rsidR="00605AD4" w:rsidRPr="000C20D5" w:rsidRDefault="00605AD4" w:rsidP="00605AD4">
      <w:pPr>
        <w:pStyle w:val="Heading4"/>
      </w:pPr>
      <w:r w:rsidRPr="000C20D5">
        <w:t>Safety issues with the potential for major regulatory impact</w:t>
      </w:r>
    </w:p>
    <w:p w14:paraId="16047F44" w14:textId="77777777" w:rsidR="00BD3AAF" w:rsidRPr="00EB6B01" w:rsidRDefault="00BD3AAF" w:rsidP="00BD3AAF">
      <w:pPr>
        <w:pStyle w:val="Heading5"/>
      </w:pPr>
      <w:bookmarkStart w:id="95" w:name="_Toc272414681"/>
      <w:bookmarkStart w:id="96" w:name="_Toc290846319"/>
      <w:bookmarkStart w:id="97" w:name="_Toc303022852"/>
      <w:r w:rsidRPr="000C20D5">
        <w:t>Liver toxicity</w:t>
      </w:r>
      <w:bookmarkEnd w:id="95"/>
      <w:bookmarkEnd w:id="96"/>
      <w:bookmarkEnd w:id="97"/>
    </w:p>
    <w:p w14:paraId="45930827" w14:textId="7C797D2D" w:rsidR="00BD3AAF" w:rsidRDefault="00BD3AAF" w:rsidP="00BD3AAF">
      <w:pPr>
        <w:autoSpaceDE w:val="0"/>
        <w:autoSpaceDN w:val="0"/>
        <w:adjustRightInd w:val="0"/>
      </w:pPr>
      <w:r>
        <w:t xml:space="preserve">As noted above, lenalidomide is </w:t>
      </w:r>
      <w:r w:rsidR="004A601C">
        <w:t>associated with hepatotoxicity.</w:t>
      </w:r>
      <w:r>
        <w:t xml:space="preserve"> The incidence of </w:t>
      </w:r>
      <w:r w:rsidR="00283551">
        <w:t>G</w:t>
      </w:r>
      <w:r>
        <w:t>rade 3 or 4 abnormalities of liver function tests was low in the studies in this submission.</w:t>
      </w:r>
    </w:p>
    <w:p w14:paraId="34AC9FB4" w14:textId="77777777" w:rsidR="00BD3AAF" w:rsidRPr="00C525C4" w:rsidRDefault="00BD3AAF" w:rsidP="00BD3AAF">
      <w:pPr>
        <w:pStyle w:val="Heading5"/>
      </w:pPr>
      <w:bookmarkStart w:id="98" w:name="_Toc272414682"/>
      <w:bookmarkStart w:id="99" w:name="_Toc290846320"/>
      <w:bookmarkStart w:id="100" w:name="_Toc303022853"/>
      <w:r w:rsidRPr="00C525C4">
        <w:t>Haematological toxicity</w:t>
      </w:r>
      <w:bookmarkEnd w:id="98"/>
      <w:bookmarkEnd w:id="99"/>
      <w:bookmarkEnd w:id="100"/>
    </w:p>
    <w:p w14:paraId="5D778691" w14:textId="0FA9B856" w:rsidR="00BD3AAF" w:rsidRDefault="00BD3AAF" w:rsidP="00BD3AAF">
      <w:pPr>
        <w:autoSpaceDE w:val="0"/>
        <w:autoSpaceDN w:val="0"/>
        <w:adjustRightInd w:val="0"/>
      </w:pPr>
      <w:r>
        <w:t xml:space="preserve">Lenalidomide is also associated with haematological toxicity. As shown in </w:t>
      </w:r>
      <w:r w:rsidR="000F467B">
        <w:t>Table 6</w:t>
      </w:r>
      <w:r w:rsidR="00283551">
        <w:t>; G</w:t>
      </w:r>
      <w:r>
        <w:t>rade 3 or 4 cytopaenias were common.</w:t>
      </w:r>
    </w:p>
    <w:p w14:paraId="4D726222" w14:textId="0521258D" w:rsidR="000F467B" w:rsidRPr="000F467B" w:rsidRDefault="00661A9F" w:rsidP="0050164D">
      <w:pPr>
        <w:pStyle w:val="TableTitle"/>
        <w:numPr>
          <w:ilvl w:val="0"/>
          <w:numId w:val="0"/>
        </w:numPr>
      </w:pPr>
      <w:r>
        <w:lastRenderedPageBreak/>
        <w:t xml:space="preserve">Table 6: </w:t>
      </w:r>
      <w:r w:rsidR="00283551">
        <w:t xml:space="preserve">Study </w:t>
      </w:r>
      <w:r w:rsidR="00BB2385">
        <w:t xml:space="preserve">MCL-002 </w:t>
      </w:r>
      <w:r w:rsidR="00A823EB">
        <w:t xml:space="preserve">laboratory </w:t>
      </w:r>
      <w:r w:rsidR="00BB2385">
        <w:t>tests</w:t>
      </w:r>
      <w:r w:rsidR="00A823EB">
        <w:t>;</w:t>
      </w:r>
      <w:r w:rsidR="00BB2385">
        <w:t xml:space="preserve"> </w:t>
      </w:r>
      <w:r w:rsidR="00A823EB">
        <w:t>s</w:t>
      </w:r>
      <w:r w:rsidR="000F467B">
        <w:t>hifts in haematology parameters from Baseline Grade 0, 1 or 2 to post</w:t>
      </w:r>
      <w:r w:rsidR="00A823EB">
        <w:t>-</w:t>
      </w:r>
      <w:r w:rsidR="000F467B">
        <w:t xml:space="preserve">Baseline Grade 3 or 4 abnormalities (normalised values) </w:t>
      </w:r>
      <w:r w:rsidR="00BB2385">
        <w:t xml:space="preserve">in </w:t>
      </w:r>
      <w:r w:rsidR="00A823EB">
        <w:t>the s</w:t>
      </w:r>
      <w:r w:rsidR="000F467B">
        <w:t>afety population</w:t>
      </w:r>
    </w:p>
    <w:p w14:paraId="382B9D0D" w14:textId="77777777" w:rsidR="00283551" w:rsidRPr="002215A9" w:rsidRDefault="00283551" w:rsidP="00BB2385">
      <w:r>
        <w:rPr>
          <w:noProof/>
          <w:lang w:eastAsia="en-AU"/>
        </w:rPr>
        <w:drawing>
          <wp:inline distT="0" distB="0" distL="0" distR="0" wp14:anchorId="0DBB4584" wp14:editId="6466A198">
            <wp:extent cx="5479472" cy="2208145"/>
            <wp:effectExtent l="0" t="0" r="6985" b="1905"/>
            <wp:docPr id="75" name="Picture 10" descr="Study MCL-002 Laboratory tests Haematology&#10;Shifts in haematology parameters from Baseline Grade 0, 1 or 2 to post Baseline Grade 3 or 4 abnormalities (normalised values) Safety popu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2249" cy="2209264"/>
                    </a:xfrm>
                    <a:prstGeom prst="rect">
                      <a:avLst/>
                    </a:prstGeom>
                    <a:noFill/>
                    <a:ln>
                      <a:noFill/>
                    </a:ln>
                  </pic:spPr>
                </pic:pic>
              </a:graphicData>
            </a:graphic>
          </wp:inline>
        </w:drawing>
      </w:r>
    </w:p>
    <w:p w14:paraId="7C34C85F" w14:textId="77777777" w:rsidR="00BD3AAF" w:rsidRPr="00C525C4" w:rsidRDefault="00BD3AAF" w:rsidP="00BD3AAF">
      <w:pPr>
        <w:pStyle w:val="Heading5"/>
      </w:pPr>
      <w:bookmarkStart w:id="101" w:name="_Toc272414683"/>
      <w:bookmarkStart w:id="102" w:name="_Toc290846321"/>
      <w:bookmarkStart w:id="103" w:name="_Toc303022854"/>
      <w:r w:rsidRPr="00C525C4">
        <w:t>Serious skin reactions</w:t>
      </w:r>
      <w:bookmarkEnd w:id="101"/>
      <w:bookmarkEnd w:id="102"/>
      <w:bookmarkEnd w:id="103"/>
    </w:p>
    <w:p w14:paraId="0FF7DDC0" w14:textId="77777777" w:rsidR="00BD3AAF" w:rsidRDefault="00BD3AAF" w:rsidP="00BD3AAF">
      <w:pPr>
        <w:autoSpaceDE w:val="0"/>
        <w:autoSpaceDN w:val="0"/>
        <w:adjustRightInd w:val="0"/>
      </w:pPr>
      <w:r>
        <w:t>Serious skin reactions are known to occur with lenalidomide. The current PI indicates that cases of Stevens-Johnson syndrome and toxic epidermal necrolysis (TEN) have been reported from post-marketing experience. Among the 373 MCL subjects treated with lenalidomide in the studies included in this submission, there were 4 subjects who reported a total of five serious skin AEs (drug reaction, exfoliative dermatitis, rash, macular rash and ‘skin toxicity’).</w:t>
      </w:r>
    </w:p>
    <w:p w14:paraId="3302BE55" w14:textId="77777777" w:rsidR="00BD3AAF" w:rsidRPr="00C525C4" w:rsidRDefault="00BD3AAF" w:rsidP="00BD3AAF">
      <w:pPr>
        <w:pStyle w:val="Heading5"/>
      </w:pPr>
      <w:bookmarkStart w:id="104" w:name="_Toc272414684"/>
      <w:bookmarkStart w:id="105" w:name="_Toc290846322"/>
      <w:bookmarkStart w:id="106" w:name="_Toc303022855"/>
      <w:r w:rsidRPr="00C525C4">
        <w:t>Cardiovascular safety</w:t>
      </w:r>
      <w:bookmarkEnd w:id="104"/>
      <w:bookmarkEnd w:id="105"/>
      <w:bookmarkEnd w:id="106"/>
    </w:p>
    <w:p w14:paraId="0B4C8378" w14:textId="63AA4ADE" w:rsidR="00BD3AAF" w:rsidRDefault="00BD3AAF" w:rsidP="00BD3AAF">
      <w:pPr>
        <w:autoSpaceDE w:val="0"/>
        <w:autoSpaceDN w:val="0"/>
        <w:adjustRightInd w:val="0"/>
      </w:pPr>
      <w:r>
        <w:t xml:space="preserve">Lenalidomide is associated with serious cardiovascular toxicity, including venous and arterial thromboembolism. As shown in </w:t>
      </w:r>
      <w:r w:rsidR="000F467B">
        <w:t>Table 7</w:t>
      </w:r>
      <w:r>
        <w:t>, such events occurred more commonly in the lenalidomide arm of the pivotal study than in the control arm.</w:t>
      </w:r>
    </w:p>
    <w:p w14:paraId="115C5C1A" w14:textId="090F0E17" w:rsidR="000F467B" w:rsidRDefault="00661A9F" w:rsidP="0050164D">
      <w:pPr>
        <w:pStyle w:val="TableTitle"/>
        <w:numPr>
          <w:ilvl w:val="0"/>
          <w:numId w:val="0"/>
        </w:numPr>
      </w:pPr>
      <w:bookmarkStart w:id="107" w:name="_Toc303022910"/>
      <w:r>
        <w:lastRenderedPageBreak/>
        <w:t xml:space="preserve">Table 7: </w:t>
      </w:r>
      <w:r w:rsidR="000F467B">
        <w:t>Adverse events of special interest</w:t>
      </w:r>
      <w:r w:rsidR="00A823EB">
        <w:t xml:space="preserve">; </w:t>
      </w:r>
      <w:r w:rsidR="000F467B">
        <w:t>Selected</w:t>
      </w:r>
      <w:r>
        <w:t xml:space="preserve"> </w:t>
      </w:r>
      <w:r w:rsidR="000F467B">
        <w:t>AE</w:t>
      </w:r>
      <w:r w:rsidR="00A823EB">
        <w:t>s</w:t>
      </w:r>
      <w:bookmarkEnd w:id="107"/>
    </w:p>
    <w:p w14:paraId="1F460C31" w14:textId="77777777" w:rsidR="000F467B" w:rsidRDefault="000F467B" w:rsidP="000F467B">
      <w:r>
        <w:rPr>
          <w:noProof/>
          <w:lang w:eastAsia="en-AU"/>
        </w:rPr>
        <w:drawing>
          <wp:inline distT="0" distB="0" distL="0" distR="0" wp14:anchorId="50523519" wp14:editId="7CCBDF63">
            <wp:extent cx="4901719" cy="4921581"/>
            <wp:effectExtent l="0" t="0" r="0" b="0"/>
            <wp:docPr id="71" name="Picture 6" descr="Adverse events of special interest Selected’ 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04203" cy="4924076"/>
                    </a:xfrm>
                    <a:prstGeom prst="rect">
                      <a:avLst/>
                    </a:prstGeom>
                    <a:noFill/>
                    <a:ln>
                      <a:noFill/>
                    </a:ln>
                  </pic:spPr>
                </pic:pic>
              </a:graphicData>
            </a:graphic>
          </wp:inline>
        </w:drawing>
      </w:r>
    </w:p>
    <w:p w14:paraId="5D4E76DC" w14:textId="77777777" w:rsidR="00BD3AAF" w:rsidRPr="00C525C4" w:rsidRDefault="00BD3AAF" w:rsidP="00BD3AAF">
      <w:pPr>
        <w:pStyle w:val="Heading5"/>
      </w:pPr>
      <w:bookmarkStart w:id="108" w:name="_Toc241374323"/>
      <w:bookmarkStart w:id="109" w:name="_Toc272414685"/>
      <w:bookmarkStart w:id="110" w:name="_Toc290846323"/>
      <w:bookmarkStart w:id="111" w:name="_Toc303022856"/>
      <w:r w:rsidRPr="00C525C4">
        <w:t>Unwanted immunological events</w:t>
      </w:r>
      <w:bookmarkEnd w:id="108"/>
      <w:bookmarkEnd w:id="109"/>
      <w:bookmarkEnd w:id="110"/>
      <w:bookmarkEnd w:id="111"/>
    </w:p>
    <w:p w14:paraId="2632C591" w14:textId="77777777" w:rsidR="00BD3AAF" w:rsidRDefault="00BD3AAF" w:rsidP="00BD3AAF">
      <w:pPr>
        <w:autoSpaceDE w:val="0"/>
        <w:autoSpaceDN w:val="0"/>
        <w:adjustRightInd w:val="0"/>
      </w:pPr>
      <w:r>
        <w:t>Hypersensitivity and angioedema events were more common in the control arm in the pivotal study (7.2%</w:t>
      </w:r>
      <w:r w:rsidR="001A0738">
        <w:t xml:space="preserve"> versus</w:t>
      </w:r>
      <w:r>
        <w:t xml:space="preserve"> 4.8%). There were no cases of serious hypersensitivity or anaphylaxis among lenalidomide</w:t>
      </w:r>
      <w:r w:rsidR="000F467B">
        <w:t xml:space="preserve"> </w:t>
      </w:r>
      <w:r>
        <w:t>treated subjects in the submitted studies.</w:t>
      </w:r>
    </w:p>
    <w:p w14:paraId="04D217E2" w14:textId="77777777" w:rsidR="00BD3AAF" w:rsidRPr="0098689D" w:rsidRDefault="00BD3AAF" w:rsidP="00BD3AAF">
      <w:pPr>
        <w:pStyle w:val="Heading4"/>
      </w:pPr>
      <w:bookmarkStart w:id="112" w:name="_Toc272414686"/>
      <w:bookmarkStart w:id="113" w:name="_Ref273005527"/>
      <w:bookmarkStart w:id="114" w:name="_Toc290846324"/>
      <w:bookmarkStart w:id="115" w:name="_Toc303022857"/>
      <w:r w:rsidRPr="0098689D">
        <w:t>Other safety issues</w:t>
      </w:r>
      <w:bookmarkEnd w:id="112"/>
      <w:bookmarkEnd w:id="113"/>
      <w:bookmarkEnd w:id="114"/>
      <w:bookmarkEnd w:id="115"/>
    </w:p>
    <w:p w14:paraId="0AEAE22A" w14:textId="77777777" w:rsidR="00BD3AAF" w:rsidRPr="0098689D" w:rsidRDefault="00BD3AAF" w:rsidP="00BD3AAF">
      <w:pPr>
        <w:pStyle w:val="Heading5"/>
      </w:pPr>
      <w:bookmarkStart w:id="116" w:name="_Toc241374322"/>
      <w:bookmarkStart w:id="117" w:name="_Ref272331212"/>
      <w:bookmarkStart w:id="118" w:name="_Toc272414687"/>
      <w:bookmarkStart w:id="119" w:name="_Toc290846325"/>
      <w:bookmarkStart w:id="120" w:name="_Toc303022858"/>
      <w:r w:rsidRPr="0098689D">
        <w:t>Safety in special populations</w:t>
      </w:r>
      <w:bookmarkEnd w:id="116"/>
      <w:bookmarkEnd w:id="117"/>
      <w:bookmarkEnd w:id="118"/>
      <w:bookmarkEnd w:id="119"/>
      <w:bookmarkEnd w:id="120"/>
    </w:p>
    <w:p w14:paraId="6FF32D69" w14:textId="46AC1162" w:rsidR="00500337" w:rsidRPr="00500337" w:rsidRDefault="000F467B" w:rsidP="00BD3AAF">
      <w:r>
        <w:t xml:space="preserve">In </w:t>
      </w:r>
      <w:r w:rsidR="00A06FDF">
        <w:t xml:space="preserve">the </w:t>
      </w:r>
      <w:r w:rsidR="00BD3AAF">
        <w:t xml:space="preserve">Summary of Clinical Safety the sponsor included various analyses of AE incidence in various subgroups. These showed that there were small increases in the incidence of </w:t>
      </w:r>
      <w:r>
        <w:t>G</w:t>
      </w:r>
      <w:r w:rsidR="00BD3AAF">
        <w:t>rade 3 or 4 AEs in subjects with moderate renal impairment compared to subjects with normal renal function, in subjects aged &gt; 65 years compared to subjects aged &lt;</w:t>
      </w:r>
      <w:r w:rsidR="00A823EB">
        <w:t> </w:t>
      </w:r>
      <w:r w:rsidR="00BD3AAF">
        <w:t>65</w:t>
      </w:r>
      <w:r w:rsidR="00A823EB">
        <w:t> </w:t>
      </w:r>
      <w:r w:rsidR="00BD3AAF">
        <w:t>years and in females compared to males</w:t>
      </w:r>
    </w:p>
    <w:p w14:paraId="5F221246" w14:textId="40EE18AC" w:rsidR="00605AD4" w:rsidRDefault="00663A87" w:rsidP="00605AD4">
      <w:pPr>
        <w:pStyle w:val="Heading4"/>
      </w:pPr>
      <w:r w:rsidRPr="00605AD4">
        <w:t>Post marketing</w:t>
      </w:r>
      <w:r w:rsidR="00605AD4" w:rsidRPr="00605AD4">
        <w:t xml:space="preserve"> data</w:t>
      </w:r>
    </w:p>
    <w:p w14:paraId="3923EE75" w14:textId="77777777" w:rsidR="00500337" w:rsidRPr="00500337" w:rsidRDefault="00BD3AAF" w:rsidP="00BD3AAF">
      <w:pPr>
        <w:autoSpaceDE w:val="0"/>
        <w:autoSpaceDN w:val="0"/>
        <w:adjustRightInd w:val="0"/>
      </w:pPr>
      <w:r>
        <w:t xml:space="preserve">There were no post-marketing data included in </w:t>
      </w:r>
      <w:r w:rsidR="000F467B">
        <w:t>clinical part</w:t>
      </w:r>
      <w:r>
        <w:t xml:space="preserve"> of the submission.</w:t>
      </w:r>
    </w:p>
    <w:p w14:paraId="327FCEFA" w14:textId="77777777" w:rsidR="00605AD4" w:rsidRPr="00605AD4" w:rsidRDefault="00605AD4" w:rsidP="00605AD4">
      <w:pPr>
        <w:pStyle w:val="Heading4"/>
      </w:pPr>
      <w:r w:rsidRPr="00605AD4">
        <w:t>Evaluator’s conclusions on safety</w:t>
      </w:r>
    </w:p>
    <w:p w14:paraId="6C3429CE" w14:textId="093554CF" w:rsidR="00BD3AAF" w:rsidRDefault="00BD3AAF" w:rsidP="00BD3AAF">
      <w:pPr>
        <w:rPr>
          <w:lang w:val="en-US"/>
        </w:rPr>
      </w:pPr>
      <w:r>
        <w:rPr>
          <w:lang w:val="en-US"/>
        </w:rPr>
        <w:t xml:space="preserve">The safety profile of lenalidomide in MCL subjects was consistent with that previously observed in patients with </w:t>
      </w:r>
      <w:r w:rsidR="00A06FDF">
        <w:rPr>
          <w:lang w:val="en-US"/>
        </w:rPr>
        <w:t xml:space="preserve">multiple </w:t>
      </w:r>
      <w:r>
        <w:rPr>
          <w:lang w:val="en-US"/>
        </w:rPr>
        <w:t xml:space="preserve">myeloma and myelodysplastic syndromes. </w:t>
      </w:r>
      <w:r w:rsidRPr="00D059AA">
        <w:rPr>
          <w:lang w:val="en-US"/>
        </w:rPr>
        <w:t xml:space="preserve">No new </w:t>
      </w:r>
      <w:r w:rsidRPr="00D059AA">
        <w:rPr>
          <w:lang w:val="en-US"/>
        </w:rPr>
        <w:lastRenderedPageBreak/>
        <w:t>safety signals were identified.</w:t>
      </w:r>
      <w:r>
        <w:rPr>
          <w:lang w:val="en-US"/>
        </w:rPr>
        <w:t xml:space="preserve"> Compared to the single</w:t>
      </w:r>
      <w:r w:rsidR="00A06FDF">
        <w:rPr>
          <w:lang w:val="en-US"/>
        </w:rPr>
        <w:t>-</w:t>
      </w:r>
      <w:r>
        <w:rPr>
          <w:lang w:val="en-US"/>
        </w:rPr>
        <w:t xml:space="preserve">agent regimens used as comparators in the pivotal study, lenalidomide was associated with a higher incidence of adverse events, </w:t>
      </w:r>
      <w:r w:rsidR="000F467B">
        <w:rPr>
          <w:lang w:val="en-US"/>
        </w:rPr>
        <w:t>G</w:t>
      </w:r>
      <w:r>
        <w:rPr>
          <w:lang w:val="en-US"/>
        </w:rPr>
        <w:t>rade 3 or 4 adverse events and serious adverse events. However, the proportion of subjects having to permanently discontinue treatment due to an AE was not increased, suggesting that lenalidomide toxicity can be adequately managed with dose delays and dose reductions.</w:t>
      </w:r>
    </w:p>
    <w:p w14:paraId="2834ADA3" w14:textId="77777777" w:rsidR="00BD3AAF" w:rsidRPr="00D059AA" w:rsidRDefault="00BD3AAF" w:rsidP="00BD3AAF">
      <w:pPr>
        <w:rPr>
          <w:lang w:val="en-US"/>
        </w:rPr>
      </w:pPr>
      <w:r>
        <w:rPr>
          <w:lang w:val="en-US"/>
        </w:rPr>
        <w:t>Compared to control treatments, lenalidomide was associated with a small increase in on-treatment deaths that were not due to disease progression. However, during follow-up such deaths were more common in the control arm.</w:t>
      </w:r>
    </w:p>
    <w:p w14:paraId="07F60BFA" w14:textId="1439D6A3" w:rsidR="00605AD4" w:rsidRPr="00605AD4" w:rsidRDefault="00BD3AAF" w:rsidP="00BD3AAF">
      <w:r>
        <w:rPr>
          <w:lang w:val="en-US"/>
        </w:rPr>
        <w:t>The safety profile of lenalidomide observed in the three single</w:t>
      </w:r>
      <w:r w:rsidR="000F467B">
        <w:rPr>
          <w:lang w:val="en-US"/>
        </w:rPr>
        <w:t xml:space="preserve"> </w:t>
      </w:r>
      <w:r>
        <w:rPr>
          <w:lang w:val="en-US"/>
        </w:rPr>
        <w:t>arm studies was consistent with that observed in the pivotal study</w:t>
      </w:r>
      <w:r w:rsidR="00A823EB">
        <w:rPr>
          <w:lang w:val="en-US"/>
        </w:rPr>
        <w:t>.</w:t>
      </w:r>
    </w:p>
    <w:p w14:paraId="05362D6C" w14:textId="6B0CCE1C" w:rsidR="00605AD4" w:rsidRDefault="00605AD4" w:rsidP="00605AD4">
      <w:pPr>
        <w:pStyle w:val="Heading3"/>
        <w:rPr>
          <w:rFonts w:eastAsia="Cambria"/>
        </w:rPr>
      </w:pPr>
      <w:bookmarkStart w:id="121" w:name="_Toc12960529"/>
      <w:r w:rsidRPr="006471F4">
        <w:rPr>
          <w:rFonts w:eastAsia="Cambria"/>
        </w:rPr>
        <w:t xml:space="preserve">First </w:t>
      </w:r>
      <w:r w:rsidR="00E41A89" w:rsidRPr="006471F4">
        <w:rPr>
          <w:rFonts w:eastAsia="Cambria"/>
        </w:rPr>
        <w:t>round benefit-risk assessment</w:t>
      </w:r>
      <w:bookmarkEnd w:id="121"/>
    </w:p>
    <w:p w14:paraId="0A79332C" w14:textId="77777777" w:rsidR="00BD3AAF" w:rsidRDefault="00BD3AAF" w:rsidP="00BD3AAF">
      <w:pPr>
        <w:pStyle w:val="Heading4"/>
      </w:pPr>
      <w:bookmarkStart w:id="122" w:name="_Toc236802592"/>
      <w:bookmarkStart w:id="123" w:name="_Toc241374331"/>
      <w:bookmarkStart w:id="124" w:name="_Ref272160836"/>
      <w:bookmarkStart w:id="125" w:name="_Toc272414693"/>
      <w:bookmarkStart w:id="126" w:name="_Toc290846331"/>
      <w:bookmarkStart w:id="127" w:name="_Toc303022861"/>
      <w:r>
        <w:t>First round assessment of benefits</w:t>
      </w:r>
      <w:bookmarkEnd w:id="122"/>
      <w:bookmarkEnd w:id="123"/>
      <w:bookmarkEnd w:id="124"/>
      <w:bookmarkEnd w:id="125"/>
      <w:bookmarkEnd w:id="126"/>
      <w:bookmarkEnd w:id="127"/>
    </w:p>
    <w:p w14:paraId="66ACD588" w14:textId="3B13A35A" w:rsidR="00BD3AAF" w:rsidRDefault="00BD3AAF" w:rsidP="00BD3AAF">
      <w:r>
        <w:t xml:space="preserve">The benefits of lenalidomide for the treatment of </w:t>
      </w:r>
      <w:r w:rsidR="004A601C">
        <w:t xml:space="preserve">relapsed or refractory </w:t>
      </w:r>
      <w:r>
        <w:t>MCL are:</w:t>
      </w:r>
    </w:p>
    <w:p w14:paraId="0F88A53D" w14:textId="77777777" w:rsidR="00BD3AAF" w:rsidRDefault="00BD3AAF" w:rsidP="00BD3AAF">
      <w:pPr>
        <w:pStyle w:val="ListBullet"/>
      </w:pPr>
      <w:r>
        <w:t>A significant reduction in the risk of a PFS event (disease progression or death) when compared to single</w:t>
      </w:r>
      <w:r w:rsidR="000F467B">
        <w:t xml:space="preserve"> </w:t>
      </w:r>
      <w:r>
        <w:t>agent chemotherapy. Median PFS is prolonged by approximately 3.5 months and the chance of being free of a PFS event at 12 months is almost doubled.</w:t>
      </w:r>
    </w:p>
    <w:p w14:paraId="0837DF0B" w14:textId="77777777" w:rsidR="00BD3AAF" w:rsidRDefault="00BD3AAF" w:rsidP="00BD3AAF">
      <w:pPr>
        <w:pStyle w:val="Heading4"/>
      </w:pPr>
      <w:bookmarkStart w:id="128" w:name="_Toc236802596"/>
      <w:bookmarkStart w:id="129" w:name="_Toc241374334"/>
      <w:bookmarkStart w:id="130" w:name="_Ref272160964"/>
      <w:bookmarkStart w:id="131" w:name="_Toc272414694"/>
      <w:bookmarkStart w:id="132" w:name="_Toc290846332"/>
      <w:bookmarkStart w:id="133" w:name="_Toc303022862"/>
      <w:r>
        <w:t>First round assessment of risks</w:t>
      </w:r>
      <w:bookmarkEnd w:id="128"/>
      <w:bookmarkEnd w:id="129"/>
      <w:bookmarkEnd w:id="130"/>
      <w:bookmarkEnd w:id="131"/>
      <w:bookmarkEnd w:id="132"/>
      <w:bookmarkEnd w:id="133"/>
    </w:p>
    <w:p w14:paraId="62746037" w14:textId="7B6E7EB2" w:rsidR="00BD3AAF" w:rsidRDefault="00BD3AAF" w:rsidP="00BD3AAF">
      <w:r>
        <w:t xml:space="preserve">The risks of lenalidomide for the treatment of </w:t>
      </w:r>
      <w:r w:rsidR="004A601C">
        <w:t>relapsed or refractory</w:t>
      </w:r>
      <w:r w:rsidR="00A06FDF">
        <w:t xml:space="preserve"> </w:t>
      </w:r>
      <w:r>
        <w:t>MCL are:</w:t>
      </w:r>
    </w:p>
    <w:p w14:paraId="259C192A" w14:textId="77777777" w:rsidR="00BD3AAF" w:rsidRDefault="00BD3AAF" w:rsidP="00BD3AAF">
      <w:pPr>
        <w:pStyle w:val="ListBullet"/>
      </w:pPr>
      <w:r>
        <w:t xml:space="preserve">An increased incidence of AEs, </w:t>
      </w:r>
      <w:r w:rsidR="000F467B">
        <w:t>G</w:t>
      </w:r>
      <w:r>
        <w:t>rade 3 or 4 AEs and serious AEs (compared to single</w:t>
      </w:r>
      <w:r w:rsidR="000F467B">
        <w:t xml:space="preserve"> </w:t>
      </w:r>
      <w:r>
        <w:t>agent chemotherapy). The AEs observed in MCL subjects treated with lenalidomide were similar in type to those previously observed in other indications. The AEs appear manageable with dose interruptions.</w:t>
      </w:r>
    </w:p>
    <w:p w14:paraId="707E2B69" w14:textId="77777777" w:rsidR="00BD3AAF" w:rsidRDefault="00BD3AAF" w:rsidP="00BD3AAF">
      <w:pPr>
        <w:pStyle w:val="Heading4"/>
      </w:pPr>
      <w:bookmarkStart w:id="134" w:name="_Toc236802597"/>
      <w:bookmarkStart w:id="135" w:name="_Toc241374335"/>
      <w:bookmarkStart w:id="136" w:name="_Toc272414695"/>
      <w:bookmarkStart w:id="137" w:name="_Toc290846333"/>
      <w:bookmarkStart w:id="138" w:name="_Toc303022863"/>
      <w:r>
        <w:t>First round assessment of benefit-risk balance</w:t>
      </w:r>
      <w:bookmarkEnd w:id="134"/>
      <w:bookmarkEnd w:id="135"/>
      <w:bookmarkEnd w:id="136"/>
      <w:bookmarkEnd w:id="137"/>
      <w:bookmarkEnd w:id="138"/>
    </w:p>
    <w:p w14:paraId="33543C1A" w14:textId="58FF6C0C" w:rsidR="00BD3AAF" w:rsidRPr="00BD3AAF" w:rsidRDefault="00BD3AAF" w:rsidP="00BD3AAF">
      <w:r>
        <w:t xml:space="preserve">The benefit-risk balance of lenalidomide in </w:t>
      </w:r>
      <w:r w:rsidR="004A601C">
        <w:t>relapsed or refractory</w:t>
      </w:r>
      <w:r w:rsidR="004A601C" w:rsidDel="004A601C">
        <w:t xml:space="preserve"> </w:t>
      </w:r>
      <w:r>
        <w:t>MCL is considered favourable.</w:t>
      </w:r>
    </w:p>
    <w:p w14:paraId="41928D15" w14:textId="77777777" w:rsidR="00605AD4" w:rsidRPr="00605AD4" w:rsidRDefault="00605AD4" w:rsidP="00B32870">
      <w:pPr>
        <w:pStyle w:val="Heading4"/>
      </w:pPr>
      <w:r w:rsidRPr="00605AD4">
        <w:t xml:space="preserve">First </w:t>
      </w:r>
      <w:r w:rsidR="00B32870">
        <w:t>r</w:t>
      </w:r>
      <w:r w:rsidRPr="00605AD4">
        <w:t xml:space="preserve">ound </w:t>
      </w:r>
      <w:r w:rsidR="00B32870">
        <w:t>r</w:t>
      </w:r>
      <w:r w:rsidRPr="00605AD4">
        <w:t xml:space="preserve">ecommendation </w:t>
      </w:r>
      <w:r w:rsidR="00B32870">
        <w:t>r</w:t>
      </w:r>
      <w:r w:rsidRPr="00605AD4">
        <w:t xml:space="preserve">egarding </w:t>
      </w:r>
      <w:r w:rsidR="00B32870">
        <w:t>a</w:t>
      </w:r>
      <w:r w:rsidRPr="00605AD4">
        <w:t>uthorisation</w:t>
      </w:r>
    </w:p>
    <w:p w14:paraId="2E3B3E17" w14:textId="77777777" w:rsidR="00BD3AAF" w:rsidRDefault="000F467B" w:rsidP="00BD3AAF">
      <w:r>
        <w:t xml:space="preserve">The clinical evaluator </w:t>
      </w:r>
      <w:r w:rsidR="00BD3AAF">
        <w:t>recommended that the application be approved.</w:t>
      </w:r>
    </w:p>
    <w:p w14:paraId="31C9BB91" w14:textId="30F59C1B" w:rsidR="002F5122" w:rsidRDefault="002F5122" w:rsidP="002F5122">
      <w:pPr>
        <w:pStyle w:val="Heading3"/>
      </w:pPr>
      <w:bookmarkStart w:id="139" w:name="_Toc12960531"/>
      <w:r w:rsidRPr="002F5122">
        <w:t xml:space="preserve">Clinical </w:t>
      </w:r>
      <w:r w:rsidR="00E41A89">
        <w:t>q</w:t>
      </w:r>
      <w:r w:rsidRPr="002F5122">
        <w:t>uestions</w:t>
      </w:r>
      <w:bookmarkEnd w:id="139"/>
    </w:p>
    <w:p w14:paraId="232D80E5" w14:textId="77777777" w:rsidR="00BD3AAF" w:rsidRPr="00472FB2" w:rsidRDefault="00BD3AAF" w:rsidP="00BD3AAF">
      <w:pPr>
        <w:pStyle w:val="Heading4"/>
      </w:pPr>
      <w:bookmarkStart w:id="140" w:name="_Toc303022870"/>
      <w:r w:rsidRPr="00472FB2">
        <w:t>General</w:t>
      </w:r>
      <w:bookmarkEnd w:id="140"/>
    </w:p>
    <w:p w14:paraId="23B69527" w14:textId="77777777" w:rsidR="00BD3AAF" w:rsidRPr="00663A87" w:rsidRDefault="00BD3AAF" w:rsidP="00FE46F1">
      <w:pPr>
        <w:rPr>
          <w:i/>
        </w:rPr>
      </w:pPr>
      <w:r w:rsidRPr="00663A87">
        <w:rPr>
          <w:i/>
        </w:rPr>
        <w:t>Please provide an assurance that the capsule formulations used in study MCL-002 were identical to those currently marketed in Australia.</w:t>
      </w:r>
    </w:p>
    <w:p w14:paraId="2E84C958" w14:textId="77777777" w:rsidR="00BD3AAF" w:rsidRPr="00DA2176" w:rsidRDefault="00BD3AAF" w:rsidP="00BD3AAF">
      <w:pPr>
        <w:pStyle w:val="Heading4"/>
      </w:pPr>
      <w:bookmarkStart w:id="141" w:name="_Toc272414704"/>
      <w:bookmarkStart w:id="142" w:name="_Toc290846344"/>
      <w:bookmarkStart w:id="143" w:name="_Toc303022871"/>
      <w:r w:rsidRPr="00DA2176">
        <w:t>Efficacy</w:t>
      </w:r>
      <w:bookmarkEnd w:id="141"/>
      <w:bookmarkEnd w:id="142"/>
      <w:bookmarkEnd w:id="143"/>
    </w:p>
    <w:p w14:paraId="372CF615" w14:textId="09EBD926" w:rsidR="00BD3AAF" w:rsidRPr="00663A87" w:rsidRDefault="00BD3AAF" w:rsidP="00663A87">
      <w:pPr>
        <w:rPr>
          <w:i/>
        </w:rPr>
      </w:pPr>
      <w:r w:rsidRPr="00663A87">
        <w:rPr>
          <w:i/>
        </w:rPr>
        <w:t xml:space="preserve">Table 4 in the study report for </w:t>
      </w:r>
      <w:r w:rsidR="00A823EB">
        <w:rPr>
          <w:i/>
        </w:rPr>
        <w:t xml:space="preserve">Study </w:t>
      </w:r>
      <w:r w:rsidRPr="00663A87">
        <w:rPr>
          <w:i/>
        </w:rPr>
        <w:t>MCL-002 cites a number of references to support the choice of comparator agents. These references are summarised in the following table</w:t>
      </w:r>
      <w:r w:rsidR="000F467B" w:rsidRPr="00663A87">
        <w:rPr>
          <w:i/>
        </w:rPr>
        <w:t xml:space="preserve"> (Table 8):</w:t>
      </w:r>
    </w:p>
    <w:p w14:paraId="52E9578C" w14:textId="2AFAD156" w:rsidR="00BD3AAF" w:rsidRDefault="00661A9F" w:rsidP="00663A87">
      <w:pPr>
        <w:pStyle w:val="TableTitle"/>
        <w:numPr>
          <w:ilvl w:val="0"/>
          <w:numId w:val="0"/>
        </w:numPr>
      </w:pPr>
      <w:r>
        <w:lastRenderedPageBreak/>
        <w:t xml:space="preserve">Table 8: </w:t>
      </w:r>
      <w:r w:rsidR="00B32870">
        <w:t>References submitted in support of the choice of comparator agents</w:t>
      </w:r>
    </w:p>
    <w:tbl>
      <w:tblPr>
        <w:tblStyle w:val="TableTGAblue"/>
        <w:tblW w:w="8613" w:type="dxa"/>
        <w:tblLook w:val="04A0" w:firstRow="1" w:lastRow="0" w:firstColumn="1" w:lastColumn="0" w:noHBand="0" w:noVBand="1"/>
      </w:tblPr>
      <w:tblGrid>
        <w:gridCol w:w="1668"/>
        <w:gridCol w:w="1701"/>
        <w:gridCol w:w="5244"/>
      </w:tblGrid>
      <w:tr w:rsidR="00BD3AAF" w:rsidRPr="004C42E6" w14:paraId="54D26F84" w14:textId="77777777" w:rsidTr="00E41A89">
        <w:trPr>
          <w:cnfStyle w:val="100000000000" w:firstRow="1" w:lastRow="0" w:firstColumn="0" w:lastColumn="0" w:oddVBand="0" w:evenVBand="0" w:oddHBand="0" w:evenHBand="0" w:firstRowFirstColumn="0" w:firstRowLastColumn="0" w:lastRowFirstColumn="0" w:lastRowLastColumn="0"/>
          <w:cantSplit/>
        </w:trPr>
        <w:tc>
          <w:tcPr>
            <w:tcW w:w="1668" w:type="dxa"/>
          </w:tcPr>
          <w:p w14:paraId="5CD0807B" w14:textId="77777777" w:rsidR="00BD3AAF" w:rsidRPr="004C42E6" w:rsidRDefault="00BD3AAF" w:rsidP="00E41A89">
            <w:pPr>
              <w:ind w:left="0"/>
            </w:pPr>
            <w:r w:rsidRPr="004C42E6">
              <w:t>Regimen</w:t>
            </w:r>
          </w:p>
        </w:tc>
        <w:tc>
          <w:tcPr>
            <w:tcW w:w="1701" w:type="dxa"/>
          </w:tcPr>
          <w:p w14:paraId="45DDDABB" w14:textId="77777777" w:rsidR="00BD3AAF" w:rsidRPr="004C42E6" w:rsidRDefault="00BD3AAF" w:rsidP="00E41A89">
            <w:pPr>
              <w:ind w:left="24"/>
            </w:pPr>
            <w:r w:rsidRPr="004C42E6">
              <w:t>Reference</w:t>
            </w:r>
          </w:p>
        </w:tc>
        <w:tc>
          <w:tcPr>
            <w:tcW w:w="5244" w:type="dxa"/>
          </w:tcPr>
          <w:p w14:paraId="6B1D0EEC" w14:textId="77777777" w:rsidR="00BD3AAF" w:rsidRPr="004C42E6" w:rsidRDefault="00BD3AAF" w:rsidP="00E41A89">
            <w:pPr>
              <w:ind w:left="34"/>
            </w:pPr>
            <w:r w:rsidRPr="004C42E6">
              <w:t>Comments</w:t>
            </w:r>
          </w:p>
        </w:tc>
      </w:tr>
      <w:tr w:rsidR="00BD3AAF" w:rsidRPr="004C42E6" w14:paraId="7BB8E2DC" w14:textId="77777777" w:rsidTr="00E41A89">
        <w:tc>
          <w:tcPr>
            <w:tcW w:w="1668" w:type="dxa"/>
            <w:vMerge w:val="restart"/>
          </w:tcPr>
          <w:p w14:paraId="280CF77E" w14:textId="77777777" w:rsidR="00BD3AAF" w:rsidRPr="004C42E6" w:rsidRDefault="00BD3AAF" w:rsidP="00E41A89">
            <w:pPr>
              <w:ind w:left="0"/>
            </w:pPr>
            <w:proofErr w:type="spellStart"/>
            <w:r w:rsidRPr="004C42E6">
              <w:t>Chlorambucil</w:t>
            </w:r>
            <w:proofErr w:type="spellEnd"/>
          </w:p>
        </w:tc>
        <w:tc>
          <w:tcPr>
            <w:tcW w:w="1701" w:type="dxa"/>
          </w:tcPr>
          <w:p w14:paraId="147F5CC4" w14:textId="2401C3CB" w:rsidR="00BD3AAF" w:rsidRPr="004C42E6" w:rsidRDefault="00BD3AAF" w:rsidP="00E41A89">
            <w:pPr>
              <w:ind w:left="24"/>
            </w:pPr>
            <w:r w:rsidRPr="004C42E6">
              <w:t xml:space="preserve">Rai </w:t>
            </w:r>
            <w:r w:rsidR="00A823EB">
              <w:t>(</w:t>
            </w:r>
            <w:r w:rsidRPr="004C42E6">
              <w:t>2000</w:t>
            </w:r>
            <w:r w:rsidR="00A823EB">
              <w:t>);</w:t>
            </w:r>
            <w:r w:rsidR="00661A9F">
              <w:rPr>
                <w:rStyle w:val="FootnoteReference"/>
              </w:rPr>
              <w:footnoteReference w:id="14"/>
            </w:r>
          </w:p>
        </w:tc>
        <w:tc>
          <w:tcPr>
            <w:tcW w:w="5244" w:type="dxa"/>
          </w:tcPr>
          <w:p w14:paraId="75168352" w14:textId="77777777" w:rsidR="00BD3AAF" w:rsidRPr="004C42E6" w:rsidRDefault="00BD3AAF" w:rsidP="00E41A89">
            <w:pPr>
              <w:ind w:left="34"/>
            </w:pPr>
            <w:r w:rsidRPr="004C42E6">
              <w:t xml:space="preserve">Study in patients with </w:t>
            </w:r>
            <w:r w:rsidRPr="00BB2385">
              <w:rPr>
                <w:i/>
              </w:rPr>
              <w:t>chronic lymphocytic leukaemia</w:t>
            </w:r>
            <w:r w:rsidRPr="004C42E6">
              <w:t xml:space="preserve">. Comparison of </w:t>
            </w:r>
            <w:proofErr w:type="spellStart"/>
            <w:r w:rsidRPr="004C42E6">
              <w:t>fludarabine</w:t>
            </w:r>
            <w:proofErr w:type="spellEnd"/>
            <w:r w:rsidR="001A0738">
              <w:t xml:space="preserve"> versus</w:t>
            </w:r>
            <w:r w:rsidRPr="004C42E6">
              <w:t xml:space="preserve"> </w:t>
            </w:r>
            <w:proofErr w:type="spellStart"/>
            <w:r w:rsidRPr="004C42E6">
              <w:t>chlorambucil</w:t>
            </w:r>
            <w:proofErr w:type="spellEnd"/>
          </w:p>
        </w:tc>
      </w:tr>
      <w:tr w:rsidR="00BD3AAF" w:rsidRPr="004C42E6" w14:paraId="0788820E" w14:textId="77777777" w:rsidTr="00E41A89">
        <w:tc>
          <w:tcPr>
            <w:tcW w:w="1668" w:type="dxa"/>
            <w:vMerge/>
          </w:tcPr>
          <w:p w14:paraId="7EE41EB5" w14:textId="77777777" w:rsidR="00BD3AAF" w:rsidRPr="004C42E6" w:rsidRDefault="00BD3AAF" w:rsidP="00E41A89">
            <w:pPr>
              <w:ind w:left="0"/>
            </w:pPr>
          </w:p>
        </w:tc>
        <w:tc>
          <w:tcPr>
            <w:tcW w:w="1701" w:type="dxa"/>
          </w:tcPr>
          <w:p w14:paraId="107B11A6" w14:textId="72C10C19" w:rsidR="00BD3AAF" w:rsidRPr="004C42E6" w:rsidRDefault="00BD3AAF" w:rsidP="00E41A89">
            <w:pPr>
              <w:ind w:left="24"/>
            </w:pPr>
            <w:proofErr w:type="spellStart"/>
            <w:r w:rsidRPr="004C42E6">
              <w:t>Ardeshna</w:t>
            </w:r>
            <w:proofErr w:type="spellEnd"/>
            <w:r w:rsidRPr="004C42E6">
              <w:t xml:space="preserve"> </w:t>
            </w:r>
            <w:r w:rsidR="00A823EB">
              <w:t>(</w:t>
            </w:r>
            <w:r w:rsidRPr="004C42E6">
              <w:t>2003</w:t>
            </w:r>
            <w:r w:rsidR="00A823EB">
              <w:t>);</w:t>
            </w:r>
            <w:r w:rsidR="00661A9F">
              <w:rPr>
                <w:rStyle w:val="FootnoteReference"/>
              </w:rPr>
              <w:footnoteReference w:id="15"/>
            </w:r>
          </w:p>
        </w:tc>
        <w:tc>
          <w:tcPr>
            <w:tcW w:w="5244" w:type="dxa"/>
          </w:tcPr>
          <w:p w14:paraId="5C60C593" w14:textId="77777777" w:rsidR="00BD3AAF" w:rsidRPr="004C42E6" w:rsidRDefault="00BD3AAF" w:rsidP="00E41A89">
            <w:pPr>
              <w:ind w:left="34"/>
            </w:pPr>
            <w:r w:rsidRPr="004C42E6">
              <w:t xml:space="preserve">Study in patients with asymptomatic advanced stage low-grade NHL. </w:t>
            </w:r>
            <w:r w:rsidRPr="00BB2385">
              <w:rPr>
                <w:i/>
              </w:rPr>
              <w:t>No MCL subjects included.</w:t>
            </w:r>
            <w:r w:rsidRPr="004C42E6">
              <w:t xml:space="preserve"> Comparison of </w:t>
            </w:r>
            <w:proofErr w:type="spellStart"/>
            <w:r w:rsidRPr="004C42E6">
              <w:t>chlorambucil</w:t>
            </w:r>
            <w:proofErr w:type="spellEnd"/>
            <w:r w:rsidR="001A0738">
              <w:t xml:space="preserve"> versus</w:t>
            </w:r>
            <w:r w:rsidRPr="004C42E6">
              <w:t xml:space="preserve"> observation.</w:t>
            </w:r>
          </w:p>
        </w:tc>
      </w:tr>
      <w:tr w:rsidR="00BD3AAF" w:rsidRPr="004C42E6" w14:paraId="5A02082C" w14:textId="77777777" w:rsidTr="00E41A89">
        <w:tc>
          <w:tcPr>
            <w:tcW w:w="1668" w:type="dxa"/>
          </w:tcPr>
          <w:p w14:paraId="1AF20AE9" w14:textId="77777777" w:rsidR="00BD3AAF" w:rsidRPr="004C42E6" w:rsidRDefault="00BD3AAF" w:rsidP="00E41A89">
            <w:pPr>
              <w:ind w:left="0"/>
            </w:pPr>
            <w:r w:rsidRPr="004C42E6">
              <w:t>Rituximab</w:t>
            </w:r>
          </w:p>
        </w:tc>
        <w:tc>
          <w:tcPr>
            <w:tcW w:w="1701" w:type="dxa"/>
          </w:tcPr>
          <w:p w14:paraId="52994C7C" w14:textId="37F6478B" w:rsidR="00BD3AAF" w:rsidRPr="004C42E6" w:rsidRDefault="00BD3AAF" w:rsidP="00E41A89">
            <w:pPr>
              <w:ind w:left="24"/>
            </w:pPr>
            <w:proofErr w:type="spellStart"/>
            <w:r w:rsidRPr="004C42E6">
              <w:t>Ghielmini</w:t>
            </w:r>
            <w:proofErr w:type="spellEnd"/>
            <w:r w:rsidRPr="004C42E6">
              <w:t xml:space="preserve"> 2000</w:t>
            </w:r>
            <w:r w:rsidR="00A823EB">
              <w:t>;</w:t>
            </w:r>
            <w:r w:rsidR="00661A9F">
              <w:rPr>
                <w:rStyle w:val="FootnoteReference"/>
              </w:rPr>
              <w:footnoteReference w:id="16"/>
            </w:r>
          </w:p>
        </w:tc>
        <w:tc>
          <w:tcPr>
            <w:tcW w:w="5244" w:type="dxa"/>
          </w:tcPr>
          <w:p w14:paraId="5E180198" w14:textId="77777777" w:rsidR="00BD3AAF" w:rsidRPr="004C42E6" w:rsidRDefault="00BD3AAF" w:rsidP="00E41A89">
            <w:pPr>
              <w:ind w:left="34"/>
            </w:pPr>
            <w:r w:rsidRPr="004C42E6">
              <w:t xml:space="preserve">Single arm study of rituximab monotherapy in subjects with follicular or mantle cell lymphoma. MCL subjects were either previously untreated (n=9) or R/R (n=33). Response rate in MCL </w:t>
            </w:r>
            <w:r>
              <w:t xml:space="preserve">overall </w:t>
            </w:r>
            <w:r w:rsidRPr="004C42E6">
              <w:t xml:space="preserve">was </w:t>
            </w:r>
            <w:r w:rsidRPr="00FE46F1">
              <w:rPr>
                <w:i/>
              </w:rPr>
              <w:t>22%.</w:t>
            </w:r>
          </w:p>
        </w:tc>
      </w:tr>
      <w:tr w:rsidR="00BD3AAF" w:rsidRPr="004C42E6" w14:paraId="195E54D6" w14:textId="77777777" w:rsidTr="00E41A89">
        <w:tc>
          <w:tcPr>
            <w:tcW w:w="1668" w:type="dxa"/>
          </w:tcPr>
          <w:p w14:paraId="1B0065AA" w14:textId="77777777" w:rsidR="00BD3AAF" w:rsidRPr="004C42E6" w:rsidRDefault="00BD3AAF" w:rsidP="00E41A89">
            <w:pPr>
              <w:ind w:left="0"/>
            </w:pPr>
            <w:r w:rsidRPr="004C42E6">
              <w:t>Cytarabine</w:t>
            </w:r>
          </w:p>
        </w:tc>
        <w:tc>
          <w:tcPr>
            <w:tcW w:w="1701" w:type="dxa"/>
          </w:tcPr>
          <w:p w14:paraId="7948F0E3" w14:textId="7EF5BCB3" w:rsidR="00BD3AAF" w:rsidRPr="004C42E6" w:rsidRDefault="00BD3AAF" w:rsidP="00E41A89">
            <w:pPr>
              <w:ind w:left="24"/>
            </w:pPr>
            <w:proofErr w:type="spellStart"/>
            <w:r w:rsidRPr="004C42E6">
              <w:t>Kantarjian</w:t>
            </w:r>
            <w:proofErr w:type="spellEnd"/>
            <w:r w:rsidRPr="004C42E6">
              <w:t xml:space="preserve"> </w:t>
            </w:r>
            <w:r w:rsidR="00A823EB">
              <w:t>(</w:t>
            </w:r>
            <w:r w:rsidRPr="004C42E6">
              <w:t>1983</w:t>
            </w:r>
            <w:r w:rsidR="00A823EB">
              <w:t>);</w:t>
            </w:r>
            <w:r w:rsidR="00661A9F">
              <w:rPr>
                <w:rStyle w:val="FootnoteReference"/>
              </w:rPr>
              <w:footnoteReference w:id="17"/>
            </w:r>
          </w:p>
        </w:tc>
        <w:tc>
          <w:tcPr>
            <w:tcW w:w="5244" w:type="dxa"/>
          </w:tcPr>
          <w:p w14:paraId="7E4E3543" w14:textId="77777777" w:rsidR="00BD3AAF" w:rsidRPr="004C42E6" w:rsidRDefault="00BD3AAF" w:rsidP="00E41A89">
            <w:pPr>
              <w:ind w:left="34"/>
            </w:pPr>
            <w:r w:rsidRPr="004C42E6">
              <w:t xml:space="preserve">Single arm study in subjects with refractory NHL. Study pre-dates the classification of MCL as a distinct clinical entity (1994). </w:t>
            </w:r>
            <w:r w:rsidRPr="00BB2385">
              <w:rPr>
                <w:i/>
              </w:rPr>
              <w:t>Unlikely to have included any MCL subjects.</w:t>
            </w:r>
          </w:p>
        </w:tc>
      </w:tr>
      <w:tr w:rsidR="00BD3AAF" w:rsidRPr="004C42E6" w14:paraId="3EC98A23" w14:textId="77777777" w:rsidTr="00E41A89">
        <w:tc>
          <w:tcPr>
            <w:tcW w:w="1668" w:type="dxa"/>
          </w:tcPr>
          <w:p w14:paraId="52E95535" w14:textId="77777777" w:rsidR="00BD3AAF" w:rsidRPr="004C42E6" w:rsidRDefault="00BD3AAF" w:rsidP="00E41A89">
            <w:pPr>
              <w:ind w:left="0"/>
            </w:pPr>
            <w:r w:rsidRPr="004C42E6">
              <w:t>Gemcitabine</w:t>
            </w:r>
          </w:p>
        </w:tc>
        <w:tc>
          <w:tcPr>
            <w:tcW w:w="1701" w:type="dxa"/>
          </w:tcPr>
          <w:p w14:paraId="5C76A652" w14:textId="249F9B7A" w:rsidR="00BD3AAF" w:rsidRPr="004C42E6" w:rsidRDefault="00BD3AAF" w:rsidP="00E41A89">
            <w:pPr>
              <w:ind w:left="24"/>
            </w:pPr>
            <w:proofErr w:type="spellStart"/>
            <w:r w:rsidRPr="004C42E6">
              <w:t>Dumontet</w:t>
            </w:r>
            <w:proofErr w:type="spellEnd"/>
            <w:r w:rsidRPr="004C42E6">
              <w:t xml:space="preserve"> </w:t>
            </w:r>
            <w:r w:rsidR="00A823EB">
              <w:t>(</w:t>
            </w:r>
            <w:r w:rsidRPr="004C42E6">
              <w:t>2001</w:t>
            </w:r>
            <w:r w:rsidR="00A823EB">
              <w:t>);</w:t>
            </w:r>
            <w:r w:rsidR="00661A9F">
              <w:rPr>
                <w:rStyle w:val="FootnoteReference"/>
              </w:rPr>
              <w:footnoteReference w:id="18"/>
            </w:r>
          </w:p>
        </w:tc>
        <w:tc>
          <w:tcPr>
            <w:tcW w:w="5244" w:type="dxa"/>
          </w:tcPr>
          <w:p w14:paraId="4ED79059" w14:textId="77777777" w:rsidR="00BD3AAF" w:rsidRPr="004C42E6" w:rsidRDefault="00BD3AAF" w:rsidP="00E41A89">
            <w:pPr>
              <w:ind w:left="34"/>
            </w:pPr>
            <w:r w:rsidRPr="004C42E6">
              <w:t xml:space="preserve">Single arm study in 33 subjects with R/R low grade NHL. 11 MCL patients were included. Response rate in MCL was </w:t>
            </w:r>
            <w:r w:rsidRPr="00FE46F1">
              <w:rPr>
                <w:i/>
              </w:rPr>
              <w:t>30%.</w:t>
            </w:r>
          </w:p>
        </w:tc>
      </w:tr>
      <w:tr w:rsidR="00BD3AAF" w:rsidRPr="004C42E6" w14:paraId="22778AB3" w14:textId="77777777" w:rsidTr="00E41A89">
        <w:tc>
          <w:tcPr>
            <w:tcW w:w="1668" w:type="dxa"/>
            <w:vMerge w:val="restart"/>
          </w:tcPr>
          <w:p w14:paraId="54C53874" w14:textId="77777777" w:rsidR="00BD3AAF" w:rsidRPr="004C42E6" w:rsidRDefault="00BD3AAF" w:rsidP="00E41A89">
            <w:pPr>
              <w:ind w:left="0"/>
            </w:pPr>
            <w:proofErr w:type="spellStart"/>
            <w:r w:rsidRPr="004C42E6">
              <w:t>Fludarabine</w:t>
            </w:r>
            <w:proofErr w:type="spellEnd"/>
            <w:r w:rsidRPr="004C42E6">
              <w:t xml:space="preserve"> IV</w:t>
            </w:r>
          </w:p>
        </w:tc>
        <w:tc>
          <w:tcPr>
            <w:tcW w:w="1701" w:type="dxa"/>
          </w:tcPr>
          <w:p w14:paraId="2D13AEE1" w14:textId="4E92F60F" w:rsidR="00BD3AAF" w:rsidRPr="004C42E6" w:rsidRDefault="00BD3AAF" w:rsidP="00E41A89">
            <w:pPr>
              <w:ind w:left="24"/>
            </w:pPr>
            <w:proofErr w:type="spellStart"/>
            <w:r w:rsidRPr="004C42E6">
              <w:t>Decaudin</w:t>
            </w:r>
            <w:proofErr w:type="spellEnd"/>
            <w:r w:rsidRPr="004C42E6">
              <w:t xml:space="preserve"> </w:t>
            </w:r>
            <w:r w:rsidR="00A823EB">
              <w:t>(</w:t>
            </w:r>
            <w:r w:rsidRPr="004C42E6">
              <w:t>1998</w:t>
            </w:r>
            <w:r w:rsidR="00A823EB">
              <w:t>);</w:t>
            </w:r>
            <w:r w:rsidR="00661A9F">
              <w:rPr>
                <w:rStyle w:val="FootnoteReference"/>
              </w:rPr>
              <w:footnoteReference w:id="19"/>
            </w:r>
          </w:p>
        </w:tc>
        <w:tc>
          <w:tcPr>
            <w:tcW w:w="5244" w:type="dxa"/>
          </w:tcPr>
          <w:p w14:paraId="6728C76D" w14:textId="77777777" w:rsidR="00BD3AAF" w:rsidRPr="004C42E6" w:rsidRDefault="00BD3AAF" w:rsidP="00E41A89">
            <w:pPr>
              <w:ind w:left="34"/>
            </w:pPr>
            <w:r w:rsidRPr="004C42E6">
              <w:t xml:space="preserve">Single arm study in 15 subjects with MCL. 2 subjects were previously untreated. </w:t>
            </w:r>
            <w:r w:rsidR="007A28BE">
              <w:t>ORR</w:t>
            </w:r>
            <w:r w:rsidRPr="004C42E6">
              <w:t xml:space="preserve"> was </w:t>
            </w:r>
            <w:r w:rsidRPr="00FE46F1">
              <w:rPr>
                <w:i/>
              </w:rPr>
              <w:t>33%.</w:t>
            </w:r>
          </w:p>
        </w:tc>
      </w:tr>
      <w:tr w:rsidR="00BD3AAF" w:rsidRPr="004C42E6" w14:paraId="7A78E334" w14:textId="77777777" w:rsidTr="00E41A89">
        <w:trPr>
          <w:cantSplit/>
        </w:trPr>
        <w:tc>
          <w:tcPr>
            <w:tcW w:w="1668" w:type="dxa"/>
            <w:vMerge/>
          </w:tcPr>
          <w:p w14:paraId="5F10B04B" w14:textId="77777777" w:rsidR="00BD3AAF" w:rsidRPr="004C42E6" w:rsidRDefault="00BD3AAF" w:rsidP="00E41A89">
            <w:pPr>
              <w:ind w:left="0"/>
            </w:pPr>
          </w:p>
        </w:tc>
        <w:tc>
          <w:tcPr>
            <w:tcW w:w="1701" w:type="dxa"/>
          </w:tcPr>
          <w:p w14:paraId="1E482116" w14:textId="12A5D56F" w:rsidR="00BD3AAF" w:rsidRPr="004C42E6" w:rsidRDefault="00BD3AAF" w:rsidP="00E41A89">
            <w:pPr>
              <w:ind w:left="24"/>
            </w:pPr>
            <w:proofErr w:type="spellStart"/>
            <w:r w:rsidRPr="004C42E6">
              <w:t>Zinzani</w:t>
            </w:r>
            <w:proofErr w:type="spellEnd"/>
            <w:r w:rsidRPr="004C42E6">
              <w:t xml:space="preserve"> </w:t>
            </w:r>
            <w:r w:rsidR="009079B7">
              <w:rPr>
                <w:rStyle w:val="FootnoteReference"/>
              </w:rPr>
              <w:footnoteReference w:id="20"/>
            </w:r>
          </w:p>
        </w:tc>
        <w:tc>
          <w:tcPr>
            <w:tcW w:w="5244" w:type="dxa"/>
          </w:tcPr>
          <w:p w14:paraId="502A1BCA" w14:textId="77777777" w:rsidR="00BD3AAF" w:rsidRPr="004C42E6" w:rsidRDefault="00BD3AAF" w:rsidP="00E41A89">
            <w:pPr>
              <w:ind w:left="34"/>
            </w:pPr>
            <w:r w:rsidRPr="004C42E6">
              <w:t xml:space="preserve">Randomised study of </w:t>
            </w:r>
            <w:proofErr w:type="spellStart"/>
            <w:r w:rsidRPr="004C42E6">
              <w:t>fludarabine</w:t>
            </w:r>
            <w:proofErr w:type="spellEnd"/>
            <w:r w:rsidRPr="004C42E6">
              <w:t xml:space="preserve"> alone</w:t>
            </w:r>
            <w:r w:rsidR="001A0738">
              <w:t xml:space="preserve"> versus</w:t>
            </w:r>
            <w:r w:rsidRPr="004C42E6">
              <w:t xml:space="preserve"> </w:t>
            </w:r>
            <w:proofErr w:type="spellStart"/>
            <w:r w:rsidRPr="004C42E6">
              <w:t>fludarabine</w:t>
            </w:r>
            <w:proofErr w:type="spellEnd"/>
            <w:r w:rsidRPr="004C42E6">
              <w:t xml:space="preserve"> + idarubicin in subjects with </w:t>
            </w:r>
            <w:r w:rsidRPr="00BB2385">
              <w:rPr>
                <w:i/>
              </w:rPr>
              <w:t>newly diagnosed</w:t>
            </w:r>
            <w:r w:rsidRPr="004C42E6">
              <w:t xml:space="preserve"> indolent NHL or MCL. 11 MCL subjects received </w:t>
            </w:r>
            <w:proofErr w:type="spellStart"/>
            <w:r w:rsidRPr="004C42E6">
              <w:t>fludarabine</w:t>
            </w:r>
            <w:proofErr w:type="spellEnd"/>
            <w:r w:rsidRPr="004C42E6">
              <w:t xml:space="preserve"> alone. </w:t>
            </w:r>
            <w:r w:rsidR="007A28BE">
              <w:t>ORR</w:t>
            </w:r>
            <w:r w:rsidRPr="004C42E6">
              <w:t xml:space="preserve"> was 72%.</w:t>
            </w:r>
          </w:p>
        </w:tc>
      </w:tr>
      <w:tr w:rsidR="00BD3AAF" w:rsidRPr="004C42E6" w14:paraId="207278E2" w14:textId="77777777" w:rsidTr="00E41A89">
        <w:tc>
          <w:tcPr>
            <w:tcW w:w="1668" w:type="dxa"/>
          </w:tcPr>
          <w:p w14:paraId="0AB14565" w14:textId="77777777" w:rsidR="00BD3AAF" w:rsidRPr="004C42E6" w:rsidRDefault="00BD3AAF" w:rsidP="00E41A89">
            <w:pPr>
              <w:ind w:left="0"/>
            </w:pPr>
            <w:proofErr w:type="spellStart"/>
            <w:r w:rsidRPr="004C42E6">
              <w:t>Fludarabine</w:t>
            </w:r>
            <w:proofErr w:type="spellEnd"/>
            <w:r w:rsidRPr="004C42E6">
              <w:t xml:space="preserve"> </w:t>
            </w:r>
            <w:r w:rsidRPr="004C42E6">
              <w:lastRenderedPageBreak/>
              <w:t>PO</w:t>
            </w:r>
          </w:p>
        </w:tc>
        <w:tc>
          <w:tcPr>
            <w:tcW w:w="1701" w:type="dxa"/>
          </w:tcPr>
          <w:p w14:paraId="4DBFDEC6" w14:textId="0FD5A84A" w:rsidR="00BD3AAF" w:rsidRPr="004C42E6" w:rsidRDefault="00BD3AAF" w:rsidP="00E41A89">
            <w:pPr>
              <w:ind w:left="24"/>
            </w:pPr>
            <w:proofErr w:type="spellStart"/>
            <w:r w:rsidRPr="004C42E6">
              <w:lastRenderedPageBreak/>
              <w:t>Tobinai</w:t>
            </w:r>
            <w:proofErr w:type="spellEnd"/>
            <w:r w:rsidRPr="004C42E6">
              <w:t xml:space="preserve"> </w:t>
            </w:r>
            <w:r w:rsidR="00A823EB">
              <w:lastRenderedPageBreak/>
              <w:t>(</w:t>
            </w:r>
            <w:r w:rsidRPr="004C42E6">
              <w:t>2006</w:t>
            </w:r>
            <w:r w:rsidR="00A823EB">
              <w:t>);</w:t>
            </w:r>
          </w:p>
        </w:tc>
        <w:tc>
          <w:tcPr>
            <w:tcW w:w="5244" w:type="dxa"/>
          </w:tcPr>
          <w:p w14:paraId="54D23CC7" w14:textId="77777777" w:rsidR="00BD3AAF" w:rsidRPr="004C42E6" w:rsidRDefault="00BD3AAF" w:rsidP="00E41A89">
            <w:pPr>
              <w:ind w:left="34"/>
            </w:pPr>
            <w:r w:rsidRPr="004C42E6">
              <w:lastRenderedPageBreak/>
              <w:t xml:space="preserve">Single arm study in subjects with relapsed indolent NHL or MCL. Only 6 MCL subjects </w:t>
            </w:r>
            <w:r w:rsidRPr="004C42E6">
              <w:lastRenderedPageBreak/>
              <w:t xml:space="preserve">included. </w:t>
            </w:r>
            <w:r w:rsidR="007A28BE">
              <w:t>ORR</w:t>
            </w:r>
            <w:r w:rsidRPr="004C42E6">
              <w:t xml:space="preserve"> </w:t>
            </w:r>
            <w:r>
              <w:t xml:space="preserve">in these subjects </w:t>
            </w:r>
            <w:r w:rsidRPr="00366A0C">
              <w:t>was 17%.</w:t>
            </w:r>
          </w:p>
        </w:tc>
      </w:tr>
    </w:tbl>
    <w:p w14:paraId="4E9BE7D5" w14:textId="090E1991" w:rsidR="0069583A" w:rsidRPr="00366A0C" w:rsidRDefault="0069583A" w:rsidP="00366A0C">
      <w:pPr>
        <w:rPr>
          <w:lang w:val="fr-FR"/>
        </w:rPr>
      </w:pPr>
    </w:p>
    <w:p w14:paraId="49AFAFD8" w14:textId="77777777" w:rsidR="00BD3AAF" w:rsidRPr="00366A0C" w:rsidRDefault="00BD3AAF" w:rsidP="00B32870">
      <w:pPr>
        <w:rPr>
          <w:i/>
        </w:rPr>
      </w:pPr>
      <w:r w:rsidRPr="00366A0C">
        <w:rPr>
          <w:i/>
        </w:rPr>
        <w:t xml:space="preserve">A number of these studies were not conducted in subjects with MCL. Others included subjects with previously untreated MCL, and all the studies enrolled only small numbers of subjects with R/R MCL. Overall the evidence cited to support the use of these agents for the treatment of R/R MCL is poor. Are there any other studies that support the use of these comparator regimens in the treatment of </w:t>
      </w:r>
      <w:r w:rsidR="000F467B" w:rsidRPr="00366A0C">
        <w:rPr>
          <w:i/>
        </w:rPr>
        <w:t>R/R</w:t>
      </w:r>
      <w:r w:rsidRPr="00366A0C">
        <w:rPr>
          <w:i/>
        </w:rPr>
        <w:t xml:space="preserve"> MCL?</w:t>
      </w:r>
    </w:p>
    <w:p w14:paraId="73F9D126" w14:textId="77777777" w:rsidR="002F5122" w:rsidRPr="00366A0C" w:rsidRDefault="00BD3AAF" w:rsidP="00B32870">
      <w:pPr>
        <w:rPr>
          <w:i/>
        </w:rPr>
      </w:pPr>
      <w:r w:rsidRPr="00366A0C">
        <w:rPr>
          <w:i/>
        </w:rPr>
        <w:t>The comparator regimens were chosen on the advice of a scientific steering committee. Please provide details of the membership/expertise of this committee.</w:t>
      </w:r>
    </w:p>
    <w:p w14:paraId="51D99D48" w14:textId="6A365D0E" w:rsidR="00605AD4" w:rsidRDefault="00605AD4" w:rsidP="00605AD4">
      <w:pPr>
        <w:pStyle w:val="Heading3"/>
        <w:rPr>
          <w:rFonts w:eastAsia="Cambria"/>
        </w:rPr>
      </w:pPr>
      <w:bookmarkStart w:id="144" w:name="_Toc12960532"/>
      <w:r w:rsidRPr="006471F4">
        <w:rPr>
          <w:rFonts w:eastAsia="Cambria"/>
        </w:rPr>
        <w:t xml:space="preserve">Second </w:t>
      </w:r>
      <w:r w:rsidR="00E41A89" w:rsidRPr="006471F4">
        <w:rPr>
          <w:rFonts w:eastAsia="Cambria"/>
        </w:rPr>
        <w:t>round evaluation</w:t>
      </w:r>
      <w:bookmarkEnd w:id="144"/>
    </w:p>
    <w:p w14:paraId="2473C460" w14:textId="77777777" w:rsidR="000F467B" w:rsidRPr="000F467B" w:rsidRDefault="000F467B" w:rsidP="000F467B">
      <w:r>
        <w:t>The second round evaluation summarises the sponsor’s responses to the clinical questions (listed above) and the evaluator’s comments on the sponsor’s responses.</w:t>
      </w:r>
    </w:p>
    <w:p w14:paraId="08415BF6" w14:textId="77777777" w:rsidR="00BD3AAF" w:rsidRPr="00472FB2" w:rsidRDefault="00BD3AAF" w:rsidP="00B32870">
      <w:pPr>
        <w:pStyle w:val="Heading4"/>
      </w:pPr>
      <w:r w:rsidRPr="00472FB2">
        <w:t>General</w:t>
      </w:r>
    </w:p>
    <w:p w14:paraId="4E71B1FA" w14:textId="77777777" w:rsidR="00BD3AAF" w:rsidRPr="00FE46F1" w:rsidRDefault="00BD3AAF" w:rsidP="00B32870">
      <w:pPr>
        <w:pStyle w:val="Numberbullet0"/>
        <w:numPr>
          <w:ilvl w:val="0"/>
          <w:numId w:val="42"/>
        </w:numPr>
        <w:rPr>
          <w:b/>
          <w:i/>
        </w:rPr>
      </w:pPr>
      <w:r w:rsidRPr="00FE46F1">
        <w:rPr>
          <w:b/>
          <w:i/>
        </w:rPr>
        <w:t>Please provide an assurance that the capsule formulations used in study MCL-002 were identical to those currently marketed in Australia.</w:t>
      </w:r>
    </w:p>
    <w:p w14:paraId="7AC593D7" w14:textId="77777777" w:rsidR="00BD3AAF" w:rsidRPr="007D607A" w:rsidRDefault="00B32870" w:rsidP="00B32870">
      <w:pPr>
        <w:pStyle w:val="Heading6"/>
        <w:rPr>
          <w:b/>
        </w:rPr>
      </w:pPr>
      <w:r>
        <w:t>Sponsor response</w:t>
      </w:r>
    </w:p>
    <w:p w14:paraId="08C59F03" w14:textId="77777777" w:rsidR="00BD3AAF" w:rsidRDefault="00B32870" w:rsidP="00B32870">
      <w:r>
        <w:t>The sponsor</w:t>
      </w:r>
      <w:r w:rsidR="00BD3AAF">
        <w:t xml:space="preserve"> confirms that the capsule formulations used in Study MCL-002 were identical to those currently marketed in Australia.</w:t>
      </w:r>
    </w:p>
    <w:p w14:paraId="2071EBF7" w14:textId="77777777" w:rsidR="00BD3AAF" w:rsidRPr="007D607A" w:rsidRDefault="00BD3AAF" w:rsidP="00B32870">
      <w:pPr>
        <w:pStyle w:val="Heading6"/>
      </w:pPr>
      <w:r w:rsidRPr="007D607A">
        <w:t>Evaluator comment</w:t>
      </w:r>
    </w:p>
    <w:p w14:paraId="4D762D35" w14:textId="77777777" w:rsidR="00BD3AAF" w:rsidRPr="007D607A" w:rsidRDefault="00BD3AAF" w:rsidP="00BD3AAF">
      <w:pPr>
        <w:tabs>
          <w:tab w:val="left" w:pos="426"/>
        </w:tabs>
        <w:jc w:val="both"/>
        <w:rPr>
          <w:rFonts w:asciiTheme="minorHAnsi" w:hAnsiTheme="minorHAnsi" w:cstheme="minorHAnsi"/>
        </w:rPr>
      </w:pPr>
      <w:r w:rsidRPr="007D607A">
        <w:rPr>
          <w:rFonts w:asciiTheme="minorHAnsi" w:hAnsiTheme="minorHAnsi" w:cstheme="minorHAnsi"/>
        </w:rPr>
        <w:t>The absence of a difference in formulations is noted.</w:t>
      </w:r>
    </w:p>
    <w:p w14:paraId="49B13939" w14:textId="77777777" w:rsidR="00BD3AAF" w:rsidRPr="00DA2176" w:rsidRDefault="00BD3AAF" w:rsidP="00B32870">
      <w:pPr>
        <w:pStyle w:val="Heading4"/>
      </w:pPr>
      <w:r w:rsidRPr="00DA2176">
        <w:t>Efficacy</w:t>
      </w:r>
    </w:p>
    <w:p w14:paraId="2EED19EC" w14:textId="5B2D27D2" w:rsidR="000F467B" w:rsidRPr="00FE46F1" w:rsidRDefault="000F467B" w:rsidP="000F467B">
      <w:pPr>
        <w:pStyle w:val="Numberbullet0"/>
        <w:rPr>
          <w:b/>
          <w:i/>
        </w:rPr>
      </w:pPr>
      <w:r w:rsidRPr="00FE46F1">
        <w:rPr>
          <w:b/>
          <w:i/>
        </w:rPr>
        <w:t>Table 4 in the study report for MCL-002 cites a number of references to support the choice of comparator agents. These references are summarised in Table 8</w:t>
      </w:r>
      <w:r w:rsidR="00A823EB" w:rsidRPr="00FE46F1">
        <w:rPr>
          <w:b/>
          <w:i/>
        </w:rPr>
        <w:t xml:space="preserve"> </w:t>
      </w:r>
      <w:r w:rsidR="00A823EB" w:rsidRPr="00FE46F1">
        <w:rPr>
          <w:b/>
        </w:rPr>
        <w:t>(see above)</w:t>
      </w:r>
      <w:r w:rsidR="00366A0C" w:rsidRPr="00FE46F1">
        <w:rPr>
          <w:b/>
          <w:i/>
        </w:rPr>
        <w:t>.</w:t>
      </w:r>
    </w:p>
    <w:p w14:paraId="590840E2" w14:textId="77777777" w:rsidR="00BD3AAF" w:rsidRPr="00FE46F1" w:rsidRDefault="00BD3AAF" w:rsidP="00366A0C">
      <w:pPr>
        <w:ind w:left="425"/>
        <w:rPr>
          <w:b/>
          <w:i/>
        </w:rPr>
      </w:pPr>
      <w:r w:rsidRPr="00FE46F1">
        <w:rPr>
          <w:b/>
          <w:i/>
        </w:rPr>
        <w:t xml:space="preserve">A number of these studies were not conducted in subjects with MCL. Others included subjects with previously untreated MCL, and all the studies enrolled only small numbers of subjects with R/R MCL. Overall the evidence cited to support the use of these agents for the treatment of R/R MCL is poor. Are there any other studies that support the use of these comparator regimens in the treatment of </w:t>
      </w:r>
      <w:r w:rsidR="000F467B" w:rsidRPr="00FE46F1">
        <w:rPr>
          <w:b/>
          <w:i/>
        </w:rPr>
        <w:t>R/R</w:t>
      </w:r>
      <w:r w:rsidRPr="00FE46F1">
        <w:rPr>
          <w:b/>
          <w:i/>
        </w:rPr>
        <w:t xml:space="preserve"> MCL?</w:t>
      </w:r>
    </w:p>
    <w:p w14:paraId="2CAE0940" w14:textId="77777777" w:rsidR="00BD3AAF" w:rsidRPr="007D607A" w:rsidRDefault="00BD3AAF" w:rsidP="00B32870">
      <w:pPr>
        <w:pStyle w:val="Heading6"/>
      </w:pPr>
      <w:r w:rsidRPr="007D607A">
        <w:t>Sponsor response</w:t>
      </w:r>
    </w:p>
    <w:p w14:paraId="2BA5AC5A" w14:textId="5A8901B5" w:rsidR="00BD3AAF" w:rsidRDefault="00BD3AAF" w:rsidP="00B32870">
      <w:r>
        <w:t xml:space="preserve">The studies cited in </w:t>
      </w:r>
      <w:r w:rsidR="000F467B">
        <w:t>the table</w:t>
      </w:r>
      <w:r>
        <w:t xml:space="preserve"> (</w:t>
      </w:r>
      <w:r w:rsidR="000F467B">
        <w:t xml:space="preserve">names </w:t>
      </w:r>
      <w:r w:rsidRPr="000F467B">
        <w:rPr>
          <w:i/>
        </w:rPr>
        <w:t>Overview of Dosage of Investigator’s Choice Drugs</w:t>
      </w:r>
      <w:r>
        <w:t xml:space="preserve">) of the </w:t>
      </w:r>
      <w:r w:rsidR="00B13C45">
        <w:t xml:space="preserve">Study </w:t>
      </w:r>
      <w:r>
        <w:t xml:space="preserve">MCL-002 </w:t>
      </w:r>
      <w:r w:rsidR="00B13C45">
        <w:t>clinical study report</w:t>
      </w:r>
      <w:r>
        <w:t xml:space="preserve">, as well as in the </w:t>
      </w:r>
      <w:r w:rsidR="00B13C45">
        <w:t xml:space="preserve">clinical study protocol </w:t>
      </w:r>
      <w:r>
        <w:t xml:space="preserve">of </w:t>
      </w:r>
      <w:r w:rsidR="00B13C45">
        <w:t xml:space="preserve">Study </w:t>
      </w:r>
      <w:r>
        <w:t xml:space="preserve">MCL-002 were primarily included as references for the recommended dosing for each of the agents included in the </w:t>
      </w:r>
      <w:r w:rsidR="00B13C45">
        <w:t xml:space="preserve">control arm </w:t>
      </w:r>
      <w:r>
        <w:t>rather than as references for the activity of these agents as monotherapy in patients with relapsed or refractory mantle cell lymphoma (R/R MCL).</w:t>
      </w:r>
    </w:p>
    <w:p w14:paraId="0DD1B2D8" w14:textId="621BD4D2" w:rsidR="00BD3AAF" w:rsidRDefault="00BD3AAF" w:rsidP="00B32870">
      <w:r>
        <w:t xml:space="preserve">Importantly, the selection of single agents for the best investigator’s choice (BIC) in the </w:t>
      </w:r>
      <w:r w:rsidR="00B13C45">
        <w:t xml:space="preserve">control arm </w:t>
      </w:r>
      <w:r>
        <w:t xml:space="preserve">of Study MCL-002 was based on both the published clinical treatment </w:t>
      </w:r>
      <w:r>
        <w:lastRenderedPageBreak/>
        <w:t>guidelines at the time</w:t>
      </w:r>
      <w:r w:rsidR="00B13C45">
        <w:t>,</w:t>
      </w:r>
      <w:r w:rsidR="00FC2FDA">
        <w:rPr>
          <w:rStyle w:val="FootnoteReference"/>
        </w:rPr>
        <w:footnoteReference w:id="21"/>
      </w:r>
      <w:r>
        <w:t xml:space="preserve"> and the advice of the </w:t>
      </w:r>
      <w:r w:rsidR="00B13C45">
        <w:t xml:space="preserve">Study </w:t>
      </w:r>
      <w:r>
        <w:t>MCL-002 Scientific Steering Committee (SSC).</w:t>
      </w:r>
    </w:p>
    <w:p w14:paraId="40C6BA26" w14:textId="4D8EEE3A" w:rsidR="00BD3AAF" w:rsidRDefault="00BD3AAF" w:rsidP="00B32870">
      <w:r>
        <w:t xml:space="preserve">At the time Study MCL-002 was designed (2008), primarily from </w:t>
      </w:r>
      <w:r w:rsidR="00BB2385">
        <w:t>an</w:t>
      </w:r>
      <w:r>
        <w:t xml:space="preserve"> </w:t>
      </w:r>
      <w:r w:rsidR="00FC2FDA">
        <w:t>EU</w:t>
      </w:r>
      <w:r>
        <w:t xml:space="preserve"> perspective, and initiated (May 2009), there were no approved treatments for R/R MCL in the EU. Therefore, agents for the </w:t>
      </w:r>
      <w:r w:rsidR="00B13C45">
        <w:t>c</w:t>
      </w:r>
      <w:r>
        <w:t xml:space="preserve">ontrol </w:t>
      </w:r>
      <w:r w:rsidR="00B13C45">
        <w:t xml:space="preserve">arm </w:t>
      </w:r>
      <w:r>
        <w:t xml:space="preserve">of Study MCL-002 were selected to reflect standard clinical practice in Europe at the time of study design. To prevent excessive heterogeneity in the </w:t>
      </w:r>
      <w:r w:rsidR="00B13C45">
        <w:t xml:space="preserve">control arm </w:t>
      </w:r>
      <w:r>
        <w:t>and to allow for a meaningful comparison with lenalidomide, the list of compounds was restricted to the 5 single agents that were most widely used and available in Europe at the time.</w:t>
      </w:r>
    </w:p>
    <w:p w14:paraId="22E007B1" w14:textId="77777777" w:rsidR="00BD3AAF" w:rsidRDefault="00BD3AAF" w:rsidP="00B32870">
      <w:r>
        <w:t xml:space="preserve">Rituximab, gemcitabine, </w:t>
      </w:r>
      <w:proofErr w:type="spellStart"/>
      <w:r>
        <w:t>fludarabine</w:t>
      </w:r>
      <w:proofErr w:type="spellEnd"/>
      <w:r>
        <w:t xml:space="preserve">, </w:t>
      </w:r>
      <w:proofErr w:type="spellStart"/>
      <w:r>
        <w:t>chlorambucil</w:t>
      </w:r>
      <w:proofErr w:type="spellEnd"/>
      <w:r>
        <w:t xml:space="preserve"> and </w:t>
      </w:r>
      <w:proofErr w:type="spellStart"/>
      <w:r>
        <w:t>cytarabine</w:t>
      </w:r>
      <w:proofErr w:type="spellEnd"/>
      <w:r>
        <w:t xml:space="preserve"> had previously demonstrated clinical activity in a variety of B-cell lymphomas including R/R MCL, as outlined below:</w:t>
      </w:r>
    </w:p>
    <w:p w14:paraId="0793DA82" w14:textId="77777777" w:rsidR="00BD3AAF" w:rsidRDefault="00BD3AAF" w:rsidP="00B32870">
      <w:pPr>
        <w:pStyle w:val="ListBullet"/>
      </w:pPr>
      <w:r>
        <w:t>Rituximab single</w:t>
      </w:r>
      <w:r w:rsidR="00FC2FDA">
        <w:t xml:space="preserve"> </w:t>
      </w:r>
      <w:r>
        <w:t>agent therapy resulted in an ORR of 27% in patients with R/R MCL.</w:t>
      </w:r>
      <w:r w:rsidR="00FC2FDA">
        <w:rPr>
          <w:rStyle w:val="FootnoteReference"/>
        </w:rPr>
        <w:footnoteReference w:id="22"/>
      </w:r>
      <w:r>
        <w:t xml:space="preserve"> Furthermore, rituximab monotherapy is a commonly used therapy in patients with significant comorbidities due to its good tolerability.</w:t>
      </w:r>
      <w:r w:rsidR="00437F21">
        <w:rPr>
          <w:rStyle w:val="FootnoteReference"/>
        </w:rPr>
        <w:footnoteReference w:id="23"/>
      </w:r>
    </w:p>
    <w:p w14:paraId="4E327276" w14:textId="77777777" w:rsidR="00BD3AAF" w:rsidRDefault="00BD3AAF" w:rsidP="00B32870">
      <w:pPr>
        <w:pStyle w:val="ListBullet"/>
      </w:pPr>
      <w:r>
        <w:t>Gemcitabine single-agent therapy demonstrated an ORR of 30% in patients with R/R MCL (2</w:t>
      </w:r>
      <w:r w:rsidR="00437F21">
        <w:t xml:space="preserve"> </w:t>
      </w:r>
      <w:r>
        <w:t>CR and 1 partial response [PR] in 10 R/R MCL patients).</w:t>
      </w:r>
      <w:r w:rsidR="00437F21">
        <w:rPr>
          <w:rStyle w:val="FootnoteReference"/>
        </w:rPr>
        <w:footnoteReference w:id="24"/>
      </w:r>
    </w:p>
    <w:p w14:paraId="005DEC6B" w14:textId="77777777" w:rsidR="00BD3AAF" w:rsidRDefault="00BD3AAF" w:rsidP="00B32870">
      <w:pPr>
        <w:pStyle w:val="ListBullet"/>
      </w:pPr>
      <w:proofErr w:type="spellStart"/>
      <w:r>
        <w:t>Fludarabine</w:t>
      </w:r>
      <w:proofErr w:type="spellEnd"/>
      <w:r>
        <w:t xml:space="preserve"> single-agent therapy has shown an ORR of 72% in patients with R/R MCL (27% CR, 45% PR).</w:t>
      </w:r>
      <w:r w:rsidR="00437F21">
        <w:rPr>
          <w:rStyle w:val="FootnoteReference"/>
        </w:rPr>
        <w:footnoteReference w:id="25"/>
      </w:r>
    </w:p>
    <w:p w14:paraId="2E43664A" w14:textId="77777777" w:rsidR="00BD3AAF" w:rsidRDefault="00BD3AAF" w:rsidP="00B32870">
      <w:pPr>
        <w:pStyle w:val="ListBullet"/>
      </w:pPr>
      <w:proofErr w:type="spellStart"/>
      <w:r>
        <w:t>Chlorambucil</w:t>
      </w:r>
      <w:proofErr w:type="spellEnd"/>
      <w:r>
        <w:t xml:space="preserve"> is used as single-agent therapy in R/R MCL patients.</w:t>
      </w:r>
      <w:r w:rsidR="00D9259A">
        <w:rPr>
          <w:rStyle w:val="FootnoteReference"/>
        </w:rPr>
        <w:footnoteReference w:id="26"/>
      </w:r>
    </w:p>
    <w:p w14:paraId="6AB7FF2C" w14:textId="77777777" w:rsidR="00BD3AAF" w:rsidRDefault="00BD3AAF" w:rsidP="00B32870">
      <w:pPr>
        <w:pStyle w:val="ListBullet"/>
      </w:pPr>
      <w:r>
        <w:t>Cytarabine single</w:t>
      </w:r>
      <w:r w:rsidR="00D9259A">
        <w:t xml:space="preserve"> </w:t>
      </w:r>
      <w:r>
        <w:t>agent therapy in R/R non-Hodgkin’s lymphoma (NHL) resulted in an ORR of 29% and a significantly prolonged survival in responders.</w:t>
      </w:r>
      <w:r w:rsidR="000613A6">
        <w:rPr>
          <w:rStyle w:val="FootnoteReference"/>
        </w:rPr>
        <w:footnoteReference w:id="27"/>
      </w:r>
    </w:p>
    <w:p w14:paraId="2FC51E7E" w14:textId="77777777" w:rsidR="00BD3AAF" w:rsidRDefault="00BD3AAF" w:rsidP="00B32870">
      <w:r>
        <w:t xml:space="preserve">In addition, rituximab, gemcitabine, </w:t>
      </w:r>
      <w:proofErr w:type="spellStart"/>
      <w:r>
        <w:t>fludarabine</w:t>
      </w:r>
      <w:proofErr w:type="spellEnd"/>
      <w:r>
        <w:t xml:space="preserve">, </w:t>
      </w:r>
      <w:proofErr w:type="spellStart"/>
      <w:r>
        <w:t>chlorambucil</w:t>
      </w:r>
      <w:proofErr w:type="spellEnd"/>
      <w:r>
        <w:t xml:space="preserve">, and </w:t>
      </w:r>
      <w:proofErr w:type="spellStart"/>
      <w:r>
        <w:t>cytarabine</w:t>
      </w:r>
      <w:proofErr w:type="spellEnd"/>
      <w:r>
        <w:t xml:space="preserve"> had been used as comparators in other studies in R/R MCL.</w:t>
      </w:r>
      <w:r w:rsidR="000613A6">
        <w:rPr>
          <w:rStyle w:val="FootnoteReference"/>
        </w:rPr>
        <w:footnoteReference w:id="28"/>
      </w:r>
      <w:r>
        <w:t xml:space="preserve"> The </w:t>
      </w:r>
      <w:r w:rsidR="00D9259A">
        <w:t>sponsor</w:t>
      </w:r>
      <w:r>
        <w:t xml:space="preserve"> is not aware of other clinical trials evaluating the single</w:t>
      </w:r>
      <w:r w:rsidR="00D9259A">
        <w:t xml:space="preserve"> </w:t>
      </w:r>
      <w:r>
        <w:t>agent clinical activity of the 5 substances.</w:t>
      </w:r>
    </w:p>
    <w:p w14:paraId="382F83A4" w14:textId="2139FEA5" w:rsidR="00BD3AAF" w:rsidRDefault="00BD3AAF" w:rsidP="00B32870">
      <w:r>
        <w:t>In Study MCL-002, an exploratory ad</w:t>
      </w:r>
      <w:r w:rsidR="008A7FDA">
        <w:t xml:space="preserve"> </w:t>
      </w:r>
      <w:r>
        <w:t xml:space="preserve">hoc analysis of efficacy (PFS) of the different drugs within the </w:t>
      </w:r>
      <w:r w:rsidR="00B13C45">
        <w:t xml:space="preserve">control arm </w:t>
      </w:r>
      <w:r>
        <w:t>was performed (</w:t>
      </w:r>
      <w:r w:rsidR="00B13C45">
        <w:t xml:space="preserve">see </w:t>
      </w:r>
      <w:r>
        <w:t xml:space="preserve">Table </w:t>
      </w:r>
      <w:r w:rsidR="008A7FDA">
        <w:t>9</w:t>
      </w:r>
      <w:r>
        <w:t>).</w:t>
      </w:r>
    </w:p>
    <w:p w14:paraId="11DA0971" w14:textId="645D94A1" w:rsidR="00B32870" w:rsidRDefault="009079B7" w:rsidP="00366A0C">
      <w:pPr>
        <w:pStyle w:val="TableTitle"/>
        <w:numPr>
          <w:ilvl w:val="0"/>
          <w:numId w:val="0"/>
        </w:numPr>
      </w:pPr>
      <w:r>
        <w:lastRenderedPageBreak/>
        <w:t xml:space="preserve">Table 9: </w:t>
      </w:r>
      <w:r w:rsidR="00B32870">
        <w:t>Summary of PFS by individual investigator’s choice drug ITT population Central review</w:t>
      </w:r>
    </w:p>
    <w:p w14:paraId="74A8E5E0" w14:textId="77777777" w:rsidR="00BD3AAF" w:rsidRDefault="00BD3AAF" w:rsidP="00BD3AAF">
      <w:r>
        <w:rPr>
          <w:noProof/>
          <w:lang w:eastAsia="en-AU"/>
        </w:rPr>
        <w:drawing>
          <wp:inline distT="0" distB="0" distL="0" distR="0" wp14:anchorId="3445DAF7" wp14:editId="76EE1543">
            <wp:extent cx="4772891" cy="1258681"/>
            <wp:effectExtent l="0" t="0" r="8890" b="0"/>
            <wp:docPr id="78" name="Picture 78" descr="Summary of PFS by individual investigator’s choice drug ITT population Centr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lum bright="-20000" contrast="40000"/>
                      <a:extLst>
                        <a:ext uri="{28A0092B-C50C-407E-A947-70E740481C1C}">
                          <a14:useLocalDpi xmlns:a14="http://schemas.microsoft.com/office/drawing/2010/main" val="0"/>
                        </a:ext>
                      </a:extLst>
                    </a:blip>
                    <a:srcRect t="19565" b="9131"/>
                    <a:stretch/>
                  </pic:blipFill>
                  <pic:spPr bwMode="auto">
                    <a:xfrm>
                      <a:off x="0" y="0"/>
                      <a:ext cx="4775310" cy="1259319"/>
                    </a:xfrm>
                    <a:prstGeom prst="rect">
                      <a:avLst/>
                    </a:prstGeom>
                    <a:noFill/>
                    <a:ln>
                      <a:noFill/>
                    </a:ln>
                    <a:extLst>
                      <a:ext uri="{53640926-AAD7-44D8-BBD7-CCE9431645EC}">
                        <a14:shadowObscured xmlns:a14="http://schemas.microsoft.com/office/drawing/2010/main"/>
                      </a:ext>
                    </a:extLst>
                  </pic:spPr>
                </pic:pic>
              </a:graphicData>
            </a:graphic>
          </wp:inline>
        </w:drawing>
      </w:r>
    </w:p>
    <w:p w14:paraId="0E87BA90" w14:textId="2239A748" w:rsidR="00BD3AAF" w:rsidRDefault="00BD3AAF" w:rsidP="00B32870">
      <w:r>
        <w:t xml:space="preserve">In summary, rituximab, gemcitabine, </w:t>
      </w:r>
      <w:proofErr w:type="spellStart"/>
      <w:r>
        <w:t>fludarabine</w:t>
      </w:r>
      <w:proofErr w:type="spellEnd"/>
      <w:r>
        <w:t xml:space="preserve">, </w:t>
      </w:r>
      <w:proofErr w:type="spellStart"/>
      <w:r>
        <w:t>chlorambucil</w:t>
      </w:r>
      <w:proofErr w:type="spellEnd"/>
      <w:r>
        <w:t xml:space="preserve">, and </w:t>
      </w:r>
      <w:proofErr w:type="spellStart"/>
      <w:r>
        <w:t>cytarabine</w:t>
      </w:r>
      <w:proofErr w:type="spellEnd"/>
      <w:r>
        <w:t xml:space="preserve"> were selected as clinically relevant single</w:t>
      </w:r>
      <w:r w:rsidR="008A7FDA">
        <w:t xml:space="preserve"> </w:t>
      </w:r>
      <w:r>
        <w:t xml:space="preserve">agent choices for the </w:t>
      </w:r>
      <w:r w:rsidR="00B13C45">
        <w:t>c</w:t>
      </w:r>
      <w:r>
        <w:t xml:space="preserve">ontrol </w:t>
      </w:r>
      <w:r w:rsidR="00B13C45">
        <w:t>a</w:t>
      </w:r>
      <w:r>
        <w:t>rm of Study MCL-002 based on both clinical treatment guidelines and the advice of the SSC. Importantly, all comparator agents had previously shown clinical activity in a variety of B-cell lymphomas including R/R MCL and also within Study MCL-002. The BIC comparator arm of Study</w:t>
      </w:r>
      <w:r w:rsidR="00B13C45">
        <w:t> </w:t>
      </w:r>
      <w:r>
        <w:t>MCL-002 therefore allows for a valid and clinically meaningful comparison with lenalidomide, adding to the certainty of demonstration of lenalidomide benefit.</w:t>
      </w:r>
    </w:p>
    <w:p w14:paraId="080CE747" w14:textId="77777777" w:rsidR="00BD3AAF" w:rsidRPr="00C413E1" w:rsidRDefault="00BD3AAF" w:rsidP="00B32870">
      <w:pPr>
        <w:pStyle w:val="Heading6"/>
      </w:pPr>
      <w:r w:rsidRPr="00C413E1">
        <w:t>Evaluator comment</w:t>
      </w:r>
    </w:p>
    <w:p w14:paraId="721154C6" w14:textId="77777777" w:rsidR="00BD3AAF" w:rsidRPr="00C413E1" w:rsidRDefault="00BD3AAF" w:rsidP="00B32870">
      <w:r w:rsidRPr="00C413E1">
        <w:t xml:space="preserve">The explanation as to the method of determining the suitability of comparators against </w:t>
      </w:r>
      <w:r w:rsidR="008A7FDA">
        <w:t>l</w:t>
      </w:r>
      <w:r w:rsidRPr="00C413E1">
        <w:t>enalidomide is satisfactory.</w:t>
      </w:r>
    </w:p>
    <w:p w14:paraId="1DEE22CC" w14:textId="77777777" w:rsidR="00BD3AAF" w:rsidRPr="00B32870" w:rsidRDefault="00BD3AAF" w:rsidP="00B32870">
      <w:pPr>
        <w:pStyle w:val="Numberbullet0"/>
        <w:rPr>
          <w:b/>
          <w:i/>
        </w:rPr>
      </w:pPr>
      <w:r w:rsidRPr="00B32870">
        <w:rPr>
          <w:b/>
          <w:i/>
        </w:rPr>
        <w:t>The comparator regimens were chosen on the advice of a scientific steering committee. Please provide details of the membership/expertise of this committee.</w:t>
      </w:r>
    </w:p>
    <w:p w14:paraId="53B9B11E" w14:textId="77777777" w:rsidR="00BD3AAF" w:rsidRPr="007D607A" w:rsidRDefault="00BD3AAF" w:rsidP="00B32870">
      <w:pPr>
        <w:pStyle w:val="Heading6"/>
      </w:pPr>
      <w:r w:rsidRPr="007D607A">
        <w:t>Sponsor response</w:t>
      </w:r>
    </w:p>
    <w:p w14:paraId="15CCB0E8" w14:textId="18D33479" w:rsidR="00BD3AAF" w:rsidRDefault="00BD3AAF" w:rsidP="00B32870">
      <w:r>
        <w:t xml:space="preserve">The </w:t>
      </w:r>
      <w:r w:rsidR="00B13C45">
        <w:t xml:space="preserve">Study </w:t>
      </w:r>
      <w:r>
        <w:t>MCL-002 Scientific Steering Committee (SSC) was compos</w:t>
      </w:r>
      <w:r w:rsidR="008A7FDA">
        <w:t>ed of 3</w:t>
      </w:r>
      <w:r w:rsidR="00B13C45">
        <w:t> </w:t>
      </w:r>
      <w:r w:rsidR="008A7FDA">
        <w:t>internationally recognis</w:t>
      </w:r>
      <w:r>
        <w:t xml:space="preserve">ed experts in the field of mantle cell lymphoma, who participated as investigators in Study MCL-002 and had prior experience serving on other SSCs or as principal investigators. The composition of the </w:t>
      </w:r>
      <w:r w:rsidR="00B13C45">
        <w:t xml:space="preserve">Study </w:t>
      </w:r>
      <w:r>
        <w:t xml:space="preserve">MCL-002 SSC is described in the SSC Charter, which </w:t>
      </w:r>
      <w:r w:rsidR="008A7FDA">
        <w:t>and t</w:t>
      </w:r>
      <w:r>
        <w:t xml:space="preserve">he CVs of the SSC Chairperson and members </w:t>
      </w:r>
      <w:r w:rsidR="008A7FDA">
        <w:t>were</w:t>
      </w:r>
      <w:r>
        <w:t xml:space="preserve"> provided.</w:t>
      </w:r>
    </w:p>
    <w:p w14:paraId="68AB620F" w14:textId="77777777" w:rsidR="00BD3AAF" w:rsidRPr="00C413E1" w:rsidRDefault="00BD3AAF" w:rsidP="00B32870">
      <w:pPr>
        <w:pStyle w:val="Heading6"/>
      </w:pPr>
      <w:r w:rsidRPr="00C413E1">
        <w:t>Evaluator comment</w:t>
      </w:r>
    </w:p>
    <w:p w14:paraId="11DDD8FB" w14:textId="77777777" w:rsidR="00BD3AAF" w:rsidRPr="00C413E1" w:rsidRDefault="00BD3AAF" w:rsidP="00BD3AAF">
      <w:pPr>
        <w:rPr>
          <w:rFonts w:asciiTheme="minorHAnsi" w:hAnsiTheme="minorHAnsi" w:cstheme="minorHAnsi"/>
        </w:rPr>
      </w:pPr>
      <w:r w:rsidRPr="00C413E1">
        <w:rPr>
          <w:rFonts w:asciiTheme="minorHAnsi" w:hAnsiTheme="minorHAnsi" w:cstheme="minorHAnsi"/>
        </w:rPr>
        <w:t>The membership and expertise of the steering group is noted.</w:t>
      </w:r>
    </w:p>
    <w:p w14:paraId="06D9CE82" w14:textId="74948B6E" w:rsidR="00605AD4" w:rsidRPr="00605AD4" w:rsidRDefault="00605AD4" w:rsidP="00546154">
      <w:pPr>
        <w:pStyle w:val="Heading3"/>
        <w:rPr>
          <w:rFonts w:eastAsia="Cambria"/>
        </w:rPr>
      </w:pPr>
      <w:bookmarkStart w:id="145" w:name="_Toc12960533"/>
      <w:r w:rsidRPr="00605AD4">
        <w:rPr>
          <w:rFonts w:eastAsia="Cambria"/>
        </w:rPr>
        <w:t xml:space="preserve">Second </w:t>
      </w:r>
      <w:r w:rsidR="00E41A89" w:rsidRPr="00605AD4">
        <w:rPr>
          <w:rFonts w:eastAsia="Cambria"/>
        </w:rPr>
        <w:t>round benefit-risk assessment</w:t>
      </w:r>
      <w:bookmarkEnd w:id="145"/>
    </w:p>
    <w:p w14:paraId="6CD402FA" w14:textId="77777777" w:rsidR="00BD3AAF" w:rsidRPr="00B32870" w:rsidRDefault="00BD3AAF" w:rsidP="00BD3AAF">
      <w:bookmarkStart w:id="146" w:name="_Toc290663810"/>
      <w:bookmarkStart w:id="147" w:name="_Toc290663966"/>
      <w:bookmarkStart w:id="148" w:name="_Toc290664559"/>
      <w:bookmarkStart w:id="149" w:name="_Toc290664868"/>
      <w:bookmarkStart w:id="150" w:name="_Toc290665024"/>
      <w:bookmarkStart w:id="151" w:name="_Toc290665752"/>
      <w:bookmarkStart w:id="152" w:name="_Toc290665925"/>
      <w:bookmarkStart w:id="153" w:name="_Toc290669473"/>
      <w:bookmarkStart w:id="154" w:name="_Toc290669646"/>
      <w:bookmarkStart w:id="155" w:name="_Toc290715963"/>
      <w:bookmarkStart w:id="156" w:name="_Toc290716136"/>
      <w:bookmarkStart w:id="157" w:name="_Toc290731463"/>
      <w:bookmarkStart w:id="158" w:name="_Toc290731636"/>
      <w:bookmarkStart w:id="159" w:name="_Toc290731957"/>
      <w:bookmarkStart w:id="160" w:name="_Toc290732278"/>
      <w:bookmarkStart w:id="161" w:name="_Toc290663811"/>
      <w:bookmarkStart w:id="162" w:name="_Toc290663967"/>
      <w:bookmarkStart w:id="163" w:name="_Toc290664560"/>
      <w:bookmarkStart w:id="164" w:name="_Toc290664869"/>
      <w:bookmarkStart w:id="165" w:name="_Toc290665025"/>
      <w:bookmarkStart w:id="166" w:name="_Toc290665753"/>
      <w:bookmarkStart w:id="167" w:name="_Toc290665926"/>
      <w:bookmarkStart w:id="168" w:name="_Toc290669474"/>
      <w:bookmarkStart w:id="169" w:name="_Toc290669647"/>
      <w:bookmarkStart w:id="170" w:name="_Toc290715964"/>
      <w:bookmarkStart w:id="171" w:name="_Toc290716137"/>
      <w:bookmarkStart w:id="172" w:name="_Toc290731464"/>
      <w:bookmarkStart w:id="173" w:name="_Toc290731637"/>
      <w:bookmarkStart w:id="174" w:name="_Toc290731958"/>
      <w:bookmarkStart w:id="175" w:name="_Toc29073227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CE67B5">
        <w:t xml:space="preserve">No changes to </w:t>
      </w:r>
      <w:r w:rsidRPr="00B32870">
        <w:t xml:space="preserve">the </w:t>
      </w:r>
      <w:r w:rsidR="008A7FDA">
        <w:t xml:space="preserve">first round </w:t>
      </w:r>
      <w:r w:rsidRPr="00B32870">
        <w:t xml:space="preserve">benefit-risk assessment </w:t>
      </w:r>
      <w:r w:rsidR="008A7FDA">
        <w:t>were</w:t>
      </w:r>
      <w:r w:rsidRPr="00B32870">
        <w:t xml:space="preserve"> identified following the response to the round one </w:t>
      </w:r>
      <w:proofErr w:type="gramStart"/>
      <w:r w:rsidRPr="00B32870">
        <w:t>questions</w:t>
      </w:r>
      <w:proofErr w:type="gramEnd"/>
      <w:r w:rsidRPr="00B32870">
        <w:t>.</w:t>
      </w:r>
    </w:p>
    <w:p w14:paraId="1C83220A" w14:textId="7990CC16" w:rsidR="00BD3AAF" w:rsidRPr="001279D6" w:rsidRDefault="00B32870" w:rsidP="00B32870">
      <w:pPr>
        <w:pStyle w:val="Heading3"/>
      </w:pPr>
      <w:bookmarkStart w:id="176" w:name="_Ref272160677"/>
      <w:bookmarkStart w:id="177" w:name="_Toc272414713"/>
      <w:bookmarkStart w:id="178" w:name="_Toc290846352"/>
      <w:bookmarkStart w:id="179" w:name="_Toc303022874"/>
      <w:bookmarkStart w:id="180" w:name="_Toc12960534"/>
      <w:r>
        <w:t>Second round recommendation regarding authorisation</w:t>
      </w:r>
      <w:bookmarkEnd w:id="176"/>
      <w:bookmarkEnd w:id="177"/>
      <w:bookmarkEnd w:id="178"/>
      <w:bookmarkEnd w:id="179"/>
      <w:bookmarkEnd w:id="180"/>
    </w:p>
    <w:p w14:paraId="6DBD9ECA" w14:textId="42F268CB" w:rsidR="00BD3AAF" w:rsidRDefault="00BD3AAF" w:rsidP="00B32870">
      <w:r w:rsidRPr="005C17E0">
        <w:t>It is recommended t</w:t>
      </w:r>
      <w:r>
        <w:t>hat the application be approved. The wording of the indication</w:t>
      </w:r>
      <w:r w:rsidR="009079B7">
        <w:t>:</w:t>
      </w:r>
    </w:p>
    <w:p w14:paraId="1E819E53" w14:textId="77777777" w:rsidR="00605AD4" w:rsidRPr="00B32870" w:rsidRDefault="00BD3AAF" w:rsidP="00B32870">
      <w:pPr>
        <w:ind w:left="720"/>
        <w:rPr>
          <w:i/>
        </w:rPr>
      </w:pPr>
      <w:r w:rsidRPr="00B32870">
        <w:rPr>
          <w:i/>
        </w:rPr>
        <w:t>Revlimid is indicated for the treatment of patients with relapsed and/or refractory mantle cell lymphoma.</w:t>
      </w:r>
    </w:p>
    <w:p w14:paraId="6DA3A234" w14:textId="77777777" w:rsidR="008E7846" w:rsidRPr="00E41208" w:rsidRDefault="008E7846" w:rsidP="00546154">
      <w:pPr>
        <w:pStyle w:val="Heading2"/>
      </w:pPr>
      <w:bookmarkStart w:id="181" w:name="_Toc12960535"/>
      <w:r w:rsidRPr="00E41208">
        <w:lastRenderedPageBreak/>
        <w:t>V</w:t>
      </w:r>
      <w:r w:rsidR="00500337">
        <w:t>I</w:t>
      </w:r>
      <w:r w:rsidRPr="00E41208">
        <w:t xml:space="preserve">. Pharmacovigilance </w:t>
      </w:r>
      <w:r>
        <w:t>f</w:t>
      </w:r>
      <w:r w:rsidRPr="00E41208">
        <w:t>indings</w:t>
      </w:r>
      <w:bookmarkEnd w:id="90"/>
      <w:bookmarkEnd w:id="91"/>
      <w:bookmarkEnd w:id="181"/>
    </w:p>
    <w:p w14:paraId="39928CBE" w14:textId="68AB16E0" w:rsidR="00186D46" w:rsidRDefault="00386150" w:rsidP="008E7846">
      <w:pPr>
        <w:pStyle w:val="Heading3"/>
        <w:rPr>
          <w:rFonts w:asciiTheme="minorHAnsi" w:hAnsiTheme="minorHAnsi" w:cstheme="majorHAnsi"/>
          <w:sz w:val="24"/>
          <w:szCs w:val="24"/>
        </w:rPr>
      </w:pPr>
      <w:bookmarkStart w:id="182" w:name="_Toc247691526"/>
      <w:bookmarkStart w:id="183" w:name="_Toc314842509"/>
      <w:bookmarkStart w:id="184" w:name="_Toc12960536"/>
      <w:r w:rsidRPr="006471F4">
        <w:rPr>
          <w:lang w:eastAsia="en-AU"/>
        </w:rPr>
        <w:t>Risk m</w:t>
      </w:r>
      <w:r w:rsidR="008E7846" w:rsidRPr="006471F4">
        <w:rPr>
          <w:lang w:eastAsia="en-AU"/>
        </w:rPr>
        <w:t xml:space="preserve">anagement </w:t>
      </w:r>
      <w:r w:rsidRPr="006471F4">
        <w:rPr>
          <w:lang w:eastAsia="en-AU"/>
        </w:rPr>
        <w:t>p</w:t>
      </w:r>
      <w:r w:rsidR="008E7846" w:rsidRPr="006471F4">
        <w:rPr>
          <w:lang w:eastAsia="en-AU"/>
        </w:rPr>
        <w:t>lan</w:t>
      </w:r>
      <w:bookmarkEnd w:id="182"/>
      <w:bookmarkEnd w:id="183"/>
      <w:bookmarkEnd w:id="184"/>
    </w:p>
    <w:p w14:paraId="462E2592" w14:textId="77777777" w:rsidR="00186D46" w:rsidRDefault="00186D46" w:rsidP="00186D46">
      <w:r>
        <w:t xml:space="preserve">The Risk Management Plan (RMP) evaluator </w:t>
      </w:r>
      <w:r w:rsidRPr="00502C09">
        <w:t>consider</w:t>
      </w:r>
      <w:r>
        <w:t>ed</w:t>
      </w:r>
      <w:r w:rsidRPr="00502C09">
        <w:t xml:space="preserve"> the following documents</w:t>
      </w:r>
      <w:r w:rsidRPr="00186D46">
        <w:t xml:space="preserve"> </w:t>
      </w:r>
      <w:r>
        <w:t>submitted by the sponsor:</w:t>
      </w:r>
    </w:p>
    <w:p w14:paraId="736435FE" w14:textId="77777777" w:rsidR="008E7846" w:rsidRDefault="00186D46" w:rsidP="00186D46">
      <w:pPr>
        <w:pStyle w:val="ListBullet"/>
      </w:pPr>
      <w:r w:rsidRPr="00E32D7A">
        <w:t xml:space="preserve">EU RMP version 25 (dated 17 October 2014, </w:t>
      </w:r>
      <w:r w:rsidR="008A7FDA">
        <w:t>data lock point (</w:t>
      </w:r>
      <w:r w:rsidRPr="00E32D7A">
        <w:t>DLP</w:t>
      </w:r>
      <w:r w:rsidR="008A7FDA">
        <w:t>)</w:t>
      </w:r>
      <w:r w:rsidRPr="00E32D7A">
        <w:t xml:space="preserve"> 26 December 2013) with an Australian Specific Annex version 2.0 (dated 30 April 2015)</w:t>
      </w:r>
    </w:p>
    <w:p w14:paraId="667836F3" w14:textId="048FFD29" w:rsidR="00186D46" w:rsidRDefault="00186D46" w:rsidP="00186D46">
      <w:pPr>
        <w:pStyle w:val="ListBullet"/>
      </w:pPr>
      <w:r w:rsidRPr="00E32D7A">
        <w:t>EU RMP version 27 (dated 18 August 2015, DLP 26 December 2014) with an Australian Specific Annex versi</w:t>
      </w:r>
      <w:r w:rsidR="0095081E">
        <w:t xml:space="preserve">on 4.0 (dated 3 December 2015). </w:t>
      </w:r>
      <w:r w:rsidR="00366A0C" w:rsidRPr="00E32D7A">
        <w:t>N</w:t>
      </w:r>
      <w:r w:rsidR="00366A0C">
        <w:t xml:space="preserve">o </w:t>
      </w:r>
      <w:r w:rsidRPr="00E32D7A">
        <w:t xml:space="preserve">updated RMP documents submitted with the </w:t>
      </w:r>
      <w:r w:rsidR="008A7FDA">
        <w:t>sponsor’s</w:t>
      </w:r>
      <w:r w:rsidRPr="00E32D7A">
        <w:t xml:space="preserve"> response</w:t>
      </w:r>
      <w:r>
        <w:t>.</w:t>
      </w:r>
    </w:p>
    <w:p w14:paraId="2CE0F4DA" w14:textId="77777777" w:rsidR="00456765" w:rsidRDefault="00456765" w:rsidP="00D249A7">
      <w:pPr>
        <w:pStyle w:val="Heading4"/>
        <w:rPr>
          <w:lang w:eastAsia="en-AU"/>
        </w:rPr>
      </w:pPr>
      <w:bookmarkStart w:id="185" w:name="_Toc247691527"/>
      <w:bookmarkStart w:id="186" w:name="_Toc314842510"/>
      <w:r>
        <w:rPr>
          <w:lang w:eastAsia="en-AU"/>
        </w:rPr>
        <w:t>Summary of RMP evaluation</w:t>
      </w:r>
      <w:r>
        <w:rPr>
          <w:rStyle w:val="FootnoteReference"/>
          <w:lang w:eastAsia="en-AU"/>
        </w:rPr>
        <w:footnoteReference w:id="29"/>
      </w:r>
    </w:p>
    <w:p w14:paraId="4D1E0A3D" w14:textId="77777777" w:rsidR="00D249A7" w:rsidRDefault="00D249A7" w:rsidP="00D249A7">
      <w:pPr>
        <w:rPr>
          <w:lang w:eastAsia="en-AU"/>
        </w:rPr>
      </w:pPr>
      <w:r>
        <w:rPr>
          <w:lang w:eastAsia="en-AU"/>
        </w:rPr>
        <w:t xml:space="preserve">The following table summarises the recommendation made by the RMP evaluator in the first round RMP evaluation, the sponsor’s response (or summary of the response) </w:t>
      </w:r>
      <w:r w:rsidR="008A7FDA">
        <w:rPr>
          <w:lang w:eastAsia="en-AU"/>
        </w:rPr>
        <w:t xml:space="preserve">to the recommendations </w:t>
      </w:r>
      <w:r>
        <w:rPr>
          <w:lang w:eastAsia="en-AU"/>
        </w:rPr>
        <w:t>and the evaluator’s comments on the sponsor’s response.</w:t>
      </w:r>
    </w:p>
    <w:p w14:paraId="12B37867" w14:textId="533E3922" w:rsidR="009079B7" w:rsidRPr="00D249A7" w:rsidRDefault="009079B7" w:rsidP="00366A0C">
      <w:pPr>
        <w:pStyle w:val="TableTitle"/>
        <w:numPr>
          <w:ilvl w:val="0"/>
          <w:numId w:val="0"/>
        </w:numPr>
        <w:rPr>
          <w:lang w:eastAsia="en-AU"/>
        </w:rPr>
      </w:pPr>
      <w:r>
        <w:rPr>
          <w:lang w:eastAsia="en-AU"/>
        </w:rPr>
        <w:t xml:space="preserve">Table 10: Evaluation of </w:t>
      </w:r>
      <w:proofErr w:type="gramStart"/>
      <w:r>
        <w:rPr>
          <w:lang w:eastAsia="en-AU"/>
        </w:rPr>
        <w:t>sponsors</w:t>
      </w:r>
      <w:proofErr w:type="gramEnd"/>
      <w:r>
        <w:rPr>
          <w:lang w:eastAsia="en-AU"/>
        </w:rPr>
        <w:t xml:space="preserve"> response to evaluation of the RMP</w:t>
      </w:r>
    </w:p>
    <w:tbl>
      <w:tblPr>
        <w:tblStyle w:val="TableTGAblue"/>
        <w:tblW w:w="5101" w:type="pct"/>
        <w:jc w:val="center"/>
        <w:tblLayout w:type="fixed"/>
        <w:tblLook w:val="04A0" w:firstRow="1" w:lastRow="0" w:firstColumn="1" w:lastColumn="0" w:noHBand="0" w:noVBand="1"/>
      </w:tblPr>
      <w:tblGrid>
        <w:gridCol w:w="3597"/>
        <w:gridCol w:w="3404"/>
        <w:gridCol w:w="1895"/>
      </w:tblGrid>
      <w:tr w:rsidR="00D249A7" w:rsidRPr="00D249A7" w14:paraId="11DCA964" w14:textId="77777777" w:rsidTr="00E41A89">
        <w:trPr>
          <w:cnfStyle w:val="100000000000" w:firstRow="1" w:lastRow="0" w:firstColumn="0" w:lastColumn="0" w:oddVBand="0" w:evenVBand="0" w:oddHBand="0" w:evenHBand="0" w:firstRowFirstColumn="0" w:firstRowLastColumn="0" w:lastRowFirstColumn="0" w:lastRowLastColumn="0"/>
          <w:jc w:val="center"/>
        </w:trPr>
        <w:tc>
          <w:tcPr>
            <w:tcW w:w="2022" w:type="pct"/>
            <w:noWrap/>
          </w:tcPr>
          <w:p w14:paraId="147BA519" w14:textId="77777777" w:rsidR="00D249A7" w:rsidRPr="00D249A7" w:rsidRDefault="00D249A7" w:rsidP="00D249A7">
            <w:pPr>
              <w:rPr>
                <w:sz w:val="20"/>
                <w:szCs w:val="20"/>
              </w:rPr>
            </w:pPr>
            <w:r w:rsidRPr="00D249A7">
              <w:rPr>
                <w:sz w:val="20"/>
                <w:szCs w:val="20"/>
              </w:rPr>
              <w:t>Recommendation in RMP evaluation report</w:t>
            </w:r>
          </w:p>
        </w:tc>
        <w:tc>
          <w:tcPr>
            <w:tcW w:w="1913" w:type="pct"/>
            <w:noWrap/>
          </w:tcPr>
          <w:p w14:paraId="667968E0" w14:textId="77777777" w:rsidR="00D249A7" w:rsidRPr="00D249A7" w:rsidRDefault="00D249A7" w:rsidP="00D249A7">
            <w:pPr>
              <w:jc w:val="center"/>
              <w:rPr>
                <w:rFonts w:asciiTheme="minorHAnsi" w:hAnsiTheme="minorHAnsi"/>
                <w:sz w:val="20"/>
                <w:szCs w:val="20"/>
              </w:rPr>
            </w:pPr>
            <w:r w:rsidRPr="00D249A7">
              <w:rPr>
                <w:rFonts w:asciiTheme="minorHAnsi" w:hAnsiTheme="minorHAnsi"/>
                <w:sz w:val="20"/>
                <w:szCs w:val="20"/>
              </w:rPr>
              <w:t>Sponsor’s response (or summary of the response)</w:t>
            </w:r>
          </w:p>
        </w:tc>
        <w:tc>
          <w:tcPr>
            <w:tcW w:w="1065" w:type="pct"/>
            <w:noWrap/>
          </w:tcPr>
          <w:p w14:paraId="5AB94D70" w14:textId="77777777" w:rsidR="00D249A7" w:rsidRPr="00D249A7" w:rsidRDefault="00D249A7" w:rsidP="00007C96">
            <w:pPr>
              <w:jc w:val="center"/>
              <w:rPr>
                <w:rFonts w:asciiTheme="minorHAnsi" w:hAnsiTheme="minorHAnsi"/>
                <w:sz w:val="20"/>
                <w:szCs w:val="20"/>
              </w:rPr>
            </w:pPr>
            <w:r w:rsidRPr="00D249A7">
              <w:rPr>
                <w:rFonts w:asciiTheme="minorHAnsi" w:hAnsiTheme="minorHAnsi"/>
                <w:sz w:val="20"/>
                <w:szCs w:val="20"/>
              </w:rPr>
              <w:t>RMP evaluator’s comment</w:t>
            </w:r>
          </w:p>
        </w:tc>
      </w:tr>
      <w:tr w:rsidR="00D249A7" w:rsidRPr="00D249A7" w14:paraId="1E9E3C2E"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95B23CA" w14:textId="77777777" w:rsidR="00D249A7" w:rsidRPr="008A7FDA" w:rsidRDefault="00D249A7" w:rsidP="008A7FDA">
            <w:pPr>
              <w:pStyle w:val="Numberbullet0"/>
              <w:numPr>
                <w:ilvl w:val="0"/>
                <w:numId w:val="43"/>
              </w:numPr>
              <w:rPr>
                <w:sz w:val="20"/>
                <w:szCs w:val="20"/>
              </w:rPr>
            </w:pPr>
            <w:r w:rsidRPr="008A7FDA">
              <w:rPr>
                <w:sz w:val="20"/>
                <w:szCs w:val="20"/>
              </w:rPr>
              <w:t xml:space="preserve">Safety considerations may be raised by the nonclinical and clinical evaluators. It is important to ensure that the information provided in response to these </w:t>
            </w:r>
            <w:r w:rsidR="00BB2385" w:rsidRPr="008A7FDA">
              <w:rPr>
                <w:sz w:val="20"/>
                <w:szCs w:val="20"/>
              </w:rPr>
              <w:t>includes</w:t>
            </w:r>
            <w:r w:rsidRPr="008A7FDA">
              <w:rPr>
                <w:sz w:val="20"/>
                <w:szCs w:val="20"/>
              </w:rPr>
              <w:t xml:space="preserve"> a consideration of the relevance for the Risk Management Plan, and any specific information needed to address this issue in the RMP.</w:t>
            </w:r>
            <w:r w:rsidR="00266E72">
              <w:rPr>
                <w:sz w:val="20"/>
                <w:szCs w:val="20"/>
              </w:rPr>
              <w:t xml:space="preserve"> </w:t>
            </w:r>
            <w:r w:rsidRPr="008A7FDA">
              <w:rPr>
                <w:bCs/>
                <w:sz w:val="20"/>
                <w:szCs w:val="20"/>
              </w:rPr>
              <w:t xml:space="preserve">For any safety considerations so raised, </w:t>
            </w:r>
            <w:r w:rsidRPr="008A7FDA">
              <w:rPr>
                <w:sz w:val="20"/>
                <w:szCs w:val="20"/>
              </w:rPr>
              <w:t>the sponsor should</w:t>
            </w:r>
            <w:r w:rsidRPr="008A7FDA">
              <w:rPr>
                <w:bCs/>
                <w:sz w:val="20"/>
                <w:szCs w:val="20"/>
              </w:rPr>
              <w:t xml:space="preserve"> provide information that is relevant and necessary to address the issue in </w:t>
            </w:r>
            <w:r w:rsidRPr="008A7FDA">
              <w:rPr>
                <w:bCs/>
                <w:sz w:val="20"/>
                <w:szCs w:val="20"/>
              </w:rPr>
              <w:lastRenderedPageBreak/>
              <w:t>the RMP.</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878DAA5" w14:textId="77777777" w:rsidR="00D249A7" w:rsidRPr="00D249A7" w:rsidRDefault="00D249A7" w:rsidP="00007C96">
            <w:pPr>
              <w:spacing w:before="100" w:beforeAutospacing="1" w:after="100" w:afterAutospacing="1"/>
              <w:rPr>
                <w:rFonts w:asciiTheme="minorHAnsi" w:hAnsiTheme="minorHAnsi"/>
                <w:sz w:val="20"/>
                <w:szCs w:val="20"/>
              </w:rPr>
            </w:pPr>
            <w:r w:rsidRPr="00D249A7">
              <w:rPr>
                <w:rFonts w:asciiTheme="minorHAnsi" w:hAnsiTheme="minorHAnsi"/>
                <w:sz w:val="20"/>
                <w:szCs w:val="20"/>
              </w:rPr>
              <w:lastRenderedPageBreak/>
              <w:t>There have been no safety considerations raised at this time by the clinical evaluator that impact the Risk Management Plan (RMP).</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F68B2BF" w14:textId="77777777" w:rsidR="00D249A7" w:rsidRPr="00D249A7" w:rsidRDefault="00D249A7" w:rsidP="00007C96">
            <w:pPr>
              <w:spacing w:before="100" w:beforeAutospacing="1" w:after="100" w:afterAutospacing="1"/>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53138D00"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7776EAD" w14:textId="77777777" w:rsidR="00D249A7" w:rsidRPr="00D249A7" w:rsidRDefault="00D249A7" w:rsidP="00D249A7">
            <w:pPr>
              <w:pStyle w:val="Numberbullet0"/>
              <w:ind w:left="230" w:hanging="230"/>
              <w:rPr>
                <w:rFonts w:cstheme="minorHAnsi"/>
                <w:i/>
                <w:sz w:val="20"/>
                <w:szCs w:val="20"/>
              </w:rPr>
            </w:pPr>
            <w:r w:rsidRPr="00D249A7">
              <w:rPr>
                <w:sz w:val="20"/>
                <w:szCs w:val="20"/>
              </w:rPr>
              <w:lastRenderedPageBreak/>
              <w:t xml:space="preserve">Previously the sponsor advised the TGA that the EU Pharmacovigilance Risk Assessment Committee (PRAC) requested that 2 distinct MDS </w:t>
            </w:r>
            <w:proofErr w:type="spellStart"/>
            <w:r w:rsidRPr="00D249A7">
              <w:rPr>
                <w:sz w:val="20"/>
                <w:szCs w:val="20"/>
              </w:rPr>
              <w:t>PASSes</w:t>
            </w:r>
            <w:proofErr w:type="spellEnd"/>
            <w:r w:rsidRPr="00D249A7">
              <w:rPr>
                <w:sz w:val="20"/>
                <w:szCs w:val="20"/>
              </w:rPr>
              <w:t xml:space="preserve"> be conducted</w:t>
            </w:r>
            <w:r>
              <w:rPr>
                <w:sz w:val="20"/>
                <w:szCs w:val="20"/>
              </w:rPr>
              <w:t>;</w:t>
            </w:r>
            <w:r w:rsidRPr="00D249A7">
              <w:rPr>
                <w:sz w:val="20"/>
                <w:szCs w:val="20"/>
              </w:rPr>
              <w:t xml:space="preserve"> a prospective MDS disease registry and a retrospective Revlimid Drug Utilisation Study.</w:t>
            </w:r>
            <w:r w:rsidR="00266E72">
              <w:rPr>
                <w:sz w:val="20"/>
                <w:szCs w:val="20"/>
              </w:rPr>
              <w:t xml:space="preserve"> </w:t>
            </w:r>
            <w:r w:rsidRPr="00D249A7">
              <w:rPr>
                <w:sz w:val="20"/>
                <w:szCs w:val="20"/>
              </w:rPr>
              <w:t>This has been reflected in an update to the EU RMP but not the ASA.</w:t>
            </w:r>
            <w:r w:rsidR="00266E72">
              <w:rPr>
                <w:sz w:val="20"/>
                <w:szCs w:val="20"/>
              </w:rPr>
              <w:t xml:space="preserve"> </w:t>
            </w:r>
            <w:r w:rsidRPr="00D249A7">
              <w:rPr>
                <w:sz w:val="20"/>
                <w:szCs w:val="20"/>
              </w:rPr>
              <w:t>This discrepancy should be corrected.</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BDDC500" w14:textId="77777777" w:rsidR="00D249A7" w:rsidRPr="00D249A7" w:rsidRDefault="00D249A7" w:rsidP="007A28BE">
            <w:pPr>
              <w:rPr>
                <w:rFonts w:asciiTheme="minorHAnsi" w:hAnsiTheme="minorHAnsi"/>
                <w:i/>
                <w:sz w:val="20"/>
                <w:szCs w:val="20"/>
              </w:rPr>
            </w:pPr>
            <w:r w:rsidRPr="00D249A7">
              <w:rPr>
                <w:rFonts w:asciiTheme="minorHAnsi" w:hAnsiTheme="minorHAnsi"/>
                <w:i/>
                <w:sz w:val="20"/>
                <w:szCs w:val="20"/>
              </w:rPr>
              <w:t>The Australian Specific Annex (ASA) has been updated to reflect that 2 distinct</w:t>
            </w:r>
            <w:r w:rsidR="007A28BE">
              <w:rPr>
                <w:rFonts w:asciiTheme="minorHAnsi" w:hAnsiTheme="minorHAnsi"/>
                <w:i/>
                <w:sz w:val="20"/>
                <w:szCs w:val="20"/>
              </w:rPr>
              <w:t xml:space="preserve"> </w:t>
            </w:r>
            <w:r w:rsidRPr="00D249A7">
              <w:rPr>
                <w:rFonts w:asciiTheme="minorHAnsi" w:hAnsiTheme="minorHAnsi"/>
                <w:i/>
                <w:sz w:val="20"/>
                <w:szCs w:val="20"/>
              </w:rPr>
              <w:t>myelodysplastic syndromes (MDS) post-authorisation safety studies (</w:t>
            </w:r>
            <w:proofErr w:type="spellStart"/>
            <w:r w:rsidRPr="00D249A7">
              <w:rPr>
                <w:rFonts w:asciiTheme="minorHAnsi" w:hAnsiTheme="minorHAnsi"/>
                <w:i/>
                <w:sz w:val="20"/>
                <w:szCs w:val="20"/>
              </w:rPr>
              <w:t>PASSes</w:t>
            </w:r>
            <w:proofErr w:type="spellEnd"/>
            <w:r w:rsidRPr="00D249A7">
              <w:rPr>
                <w:rFonts w:asciiTheme="minorHAnsi" w:hAnsiTheme="minorHAnsi"/>
                <w:i/>
                <w:sz w:val="20"/>
                <w:szCs w:val="20"/>
              </w:rPr>
              <w:t>) are being conducted in the</w:t>
            </w:r>
            <w:r>
              <w:rPr>
                <w:rFonts w:asciiTheme="minorHAnsi" w:hAnsiTheme="minorHAnsi"/>
                <w:i/>
                <w:sz w:val="20"/>
                <w:szCs w:val="20"/>
              </w:rPr>
              <w:t xml:space="preserve"> EU. A copy of the updated ASA was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5DB8F42"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603F52D3"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015116B" w14:textId="77777777" w:rsidR="00D249A7" w:rsidRPr="00D249A7" w:rsidRDefault="00D249A7" w:rsidP="00D249A7">
            <w:pPr>
              <w:pStyle w:val="Numberbullet0"/>
              <w:ind w:left="230" w:hanging="230"/>
              <w:rPr>
                <w:sz w:val="20"/>
                <w:szCs w:val="20"/>
              </w:rPr>
            </w:pPr>
            <w:r w:rsidRPr="00D249A7">
              <w:rPr>
                <w:sz w:val="20"/>
                <w:szCs w:val="20"/>
              </w:rPr>
              <w:t xml:space="preserve">Given the milestones for the revised pooled analysis activity investigating VTE have passed the sponsor should provide an update of the outcome of this activity in </w:t>
            </w:r>
            <w:r>
              <w:rPr>
                <w:sz w:val="20"/>
                <w:szCs w:val="20"/>
              </w:rPr>
              <w:t xml:space="preserve">your </w:t>
            </w:r>
            <w:r w:rsidRPr="00D249A7">
              <w:rPr>
                <w:sz w:val="20"/>
                <w:szCs w:val="20"/>
              </w:rPr>
              <w:t>response.</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349F63C"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t>The final report on the pooled analysis of Revlimid clinical trial data to determine the</w:t>
            </w:r>
            <w:r>
              <w:rPr>
                <w:rFonts w:asciiTheme="minorHAnsi" w:hAnsiTheme="minorHAnsi"/>
                <w:i/>
                <w:sz w:val="20"/>
                <w:szCs w:val="20"/>
              </w:rPr>
              <w:t xml:space="preserve"> </w:t>
            </w:r>
            <w:r w:rsidRPr="00D249A7">
              <w:rPr>
                <w:rFonts w:asciiTheme="minorHAnsi" w:hAnsiTheme="minorHAnsi"/>
                <w:i/>
                <w:sz w:val="20"/>
                <w:szCs w:val="20"/>
              </w:rPr>
              <w:t>incidence of venous thromboembolism (VTE) and arterial thromboembolism (ATE) in</w:t>
            </w:r>
            <w:r>
              <w:rPr>
                <w:rFonts w:asciiTheme="minorHAnsi" w:hAnsiTheme="minorHAnsi"/>
                <w:i/>
                <w:sz w:val="20"/>
                <w:szCs w:val="20"/>
              </w:rPr>
              <w:t xml:space="preserve"> </w:t>
            </w:r>
            <w:r w:rsidRPr="00D249A7">
              <w:rPr>
                <w:rFonts w:asciiTheme="minorHAnsi" w:hAnsiTheme="minorHAnsi"/>
                <w:i/>
                <w:sz w:val="20"/>
                <w:szCs w:val="20"/>
              </w:rPr>
              <w:t>patients with multiple myeloma was submitted to the United States Food and Drug</w:t>
            </w:r>
            <w:r>
              <w:rPr>
                <w:rFonts w:asciiTheme="minorHAnsi" w:hAnsiTheme="minorHAnsi"/>
                <w:i/>
                <w:sz w:val="20"/>
                <w:szCs w:val="20"/>
              </w:rPr>
              <w:t xml:space="preserve"> </w:t>
            </w:r>
            <w:r w:rsidRPr="00D249A7">
              <w:rPr>
                <w:rFonts w:asciiTheme="minorHAnsi" w:hAnsiTheme="minorHAnsi"/>
                <w:i/>
                <w:sz w:val="20"/>
                <w:szCs w:val="20"/>
              </w:rPr>
              <w:t>Administration (US FDA) on 31 Mar</w:t>
            </w:r>
            <w:r>
              <w:rPr>
                <w:rFonts w:asciiTheme="minorHAnsi" w:hAnsiTheme="minorHAnsi"/>
                <w:i/>
                <w:sz w:val="20"/>
                <w:szCs w:val="20"/>
              </w:rPr>
              <w:t>ch</w:t>
            </w:r>
            <w:r w:rsidRPr="00D249A7">
              <w:rPr>
                <w:rFonts w:asciiTheme="minorHAnsi" w:hAnsiTheme="minorHAnsi"/>
                <w:i/>
                <w:sz w:val="20"/>
                <w:szCs w:val="20"/>
              </w:rPr>
              <w:t xml:space="preserve"> 2014. Based on this analysis, minor label</w:t>
            </w:r>
            <w:r>
              <w:rPr>
                <w:rFonts w:asciiTheme="minorHAnsi" w:hAnsiTheme="minorHAnsi"/>
                <w:i/>
                <w:sz w:val="20"/>
                <w:szCs w:val="20"/>
              </w:rPr>
              <w:t xml:space="preserve"> </w:t>
            </w:r>
            <w:r w:rsidRPr="00D249A7">
              <w:rPr>
                <w:rFonts w:asciiTheme="minorHAnsi" w:hAnsiTheme="minorHAnsi"/>
                <w:i/>
                <w:sz w:val="20"/>
                <w:szCs w:val="20"/>
              </w:rPr>
              <w:t>amendments were proposed to the Revlimid US package insert (PI) and approved by the</w:t>
            </w:r>
            <w:r>
              <w:rPr>
                <w:rFonts w:asciiTheme="minorHAnsi" w:hAnsiTheme="minorHAnsi"/>
                <w:i/>
                <w:sz w:val="20"/>
                <w:szCs w:val="20"/>
              </w:rPr>
              <w:t xml:space="preserve"> </w:t>
            </w:r>
            <w:r w:rsidRPr="00D249A7">
              <w:rPr>
                <w:rFonts w:asciiTheme="minorHAnsi" w:hAnsiTheme="minorHAnsi"/>
                <w:i/>
                <w:sz w:val="20"/>
                <w:szCs w:val="20"/>
              </w:rPr>
              <w:t>FDA in September 2014. The Revlimid Australian product information was also updated</w:t>
            </w:r>
            <w:r>
              <w:rPr>
                <w:rFonts w:asciiTheme="minorHAnsi" w:hAnsiTheme="minorHAnsi"/>
                <w:i/>
                <w:sz w:val="20"/>
                <w:szCs w:val="20"/>
              </w:rPr>
              <w:t xml:space="preserve"> </w:t>
            </w:r>
            <w:r w:rsidRPr="00D249A7">
              <w:rPr>
                <w:rFonts w:asciiTheme="minorHAnsi" w:hAnsiTheme="minorHAnsi"/>
                <w:i/>
                <w:sz w:val="20"/>
                <w:szCs w:val="20"/>
              </w:rPr>
              <w:t>in September 2014 to add new precautionary text on myocardial infarction and update the existing precaution on ven</w:t>
            </w:r>
            <w:r>
              <w:rPr>
                <w:rFonts w:asciiTheme="minorHAnsi" w:hAnsiTheme="minorHAnsi"/>
                <w:i/>
                <w:sz w:val="20"/>
                <w:szCs w:val="20"/>
              </w:rPr>
              <w:t>ous and arterial thromboembolism.</w:t>
            </w:r>
          </w:p>
          <w:p w14:paraId="377836C3"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t>The changes to the Australian and US PI analyses and proposals for the US PI do not have</w:t>
            </w:r>
            <w:r>
              <w:rPr>
                <w:rFonts w:asciiTheme="minorHAnsi" w:hAnsiTheme="minorHAnsi"/>
                <w:i/>
                <w:sz w:val="20"/>
                <w:szCs w:val="20"/>
              </w:rPr>
              <w:t xml:space="preserve"> </w:t>
            </w:r>
            <w:r w:rsidRPr="00D249A7">
              <w:rPr>
                <w:rFonts w:asciiTheme="minorHAnsi" w:hAnsiTheme="minorHAnsi"/>
                <w:i/>
                <w:sz w:val="20"/>
                <w:szCs w:val="20"/>
              </w:rPr>
              <w:t>any impact on the safety concern and are consistent with the information presented in the</w:t>
            </w:r>
            <w:r>
              <w:rPr>
                <w:rFonts w:asciiTheme="minorHAnsi" w:hAnsiTheme="minorHAnsi"/>
                <w:i/>
                <w:sz w:val="20"/>
                <w:szCs w:val="20"/>
              </w:rPr>
              <w:t xml:space="preserve"> </w:t>
            </w:r>
            <w:r w:rsidRPr="00D249A7">
              <w:rPr>
                <w:rFonts w:asciiTheme="minorHAnsi" w:hAnsiTheme="minorHAnsi"/>
                <w:i/>
                <w:sz w:val="20"/>
                <w:szCs w:val="20"/>
              </w:rPr>
              <w:t>RMP and the routine and additional risk minimisation measures remain the same.</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9D99DF3"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p w14:paraId="4C8D3537"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The sponsor is reminded to update the RMP documentation whenever required to ensure it reflects milestone dates and activity status.</w:t>
            </w:r>
          </w:p>
        </w:tc>
      </w:tr>
      <w:tr w:rsidR="00D249A7" w:rsidRPr="00D249A7" w14:paraId="51C7E27E"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8594C4E" w14:textId="77777777" w:rsidR="00D249A7" w:rsidRPr="00D249A7" w:rsidRDefault="00D249A7" w:rsidP="00D249A7">
            <w:pPr>
              <w:pStyle w:val="Numberbullet0"/>
              <w:ind w:left="230" w:hanging="230"/>
              <w:rPr>
                <w:sz w:val="20"/>
                <w:szCs w:val="20"/>
              </w:rPr>
            </w:pPr>
            <w:r w:rsidRPr="00D249A7">
              <w:rPr>
                <w:sz w:val="20"/>
                <w:szCs w:val="20"/>
              </w:rPr>
              <w:t xml:space="preserve">The sponsor should ensure that the status of each activity is clearly reflected in the EU RMP and the ASA </w:t>
            </w:r>
            <w:proofErr w:type="spellStart"/>
            <w:r w:rsidRPr="00D249A7">
              <w:rPr>
                <w:sz w:val="20"/>
                <w:szCs w:val="20"/>
              </w:rPr>
              <w:t>eg</w:t>
            </w:r>
            <w:proofErr w:type="spellEnd"/>
            <w:r w:rsidRPr="00D249A7">
              <w:rPr>
                <w:sz w:val="20"/>
                <w:szCs w:val="20"/>
              </w:rPr>
              <w:t xml:space="preserve"> ongoing, planned, etc.</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4D13C82"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t>The status of additional pharmacovigilance activities in the EU RMP is provided in</w:t>
            </w:r>
            <w:r>
              <w:rPr>
                <w:rFonts w:asciiTheme="minorHAnsi" w:hAnsiTheme="minorHAnsi"/>
                <w:i/>
                <w:sz w:val="20"/>
                <w:szCs w:val="20"/>
              </w:rPr>
              <w:t xml:space="preserve"> </w:t>
            </w:r>
            <w:r w:rsidRPr="00D249A7">
              <w:rPr>
                <w:rFonts w:asciiTheme="minorHAnsi" w:hAnsiTheme="minorHAnsi"/>
                <w:i/>
                <w:sz w:val="20"/>
                <w:szCs w:val="20"/>
              </w:rPr>
              <w:t>Section 5. The ASA has been updated to better reflect the status of each additional pharmacovigilance activ</w:t>
            </w:r>
            <w:r>
              <w:rPr>
                <w:rFonts w:asciiTheme="minorHAnsi" w:hAnsiTheme="minorHAnsi"/>
                <w:i/>
                <w:sz w:val="20"/>
                <w:szCs w:val="20"/>
              </w:rPr>
              <w:t>ity. A copy of the updated ASA wa</w:t>
            </w:r>
            <w:r w:rsidRPr="00D249A7">
              <w:rPr>
                <w:rFonts w:asciiTheme="minorHAnsi" w:hAnsiTheme="minorHAnsi"/>
                <w:i/>
                <w:sz w:val="20"/>
                <w:szCs w:val="20"/>
              </w:rPr>
              <w:t>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A0AF78E"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63390350"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C48E8CA" w14:textId="77777777" w:rsidR="00D249A7" w:rsidRPr="00D249A7" w:rsidRDefault="00D249A7" w:rsidP="00D249A7">
            <w:pPr>
              <w:pStyle w:val="Numberbullet0"/>
              <w:ind w:left="230" w:hanging="230"/>
              <w:rPr>
                <w:sz w:val="20"/>
                <w:szCs w:val="20"/>
              </w:rPr>
            </w:pPr>
            <w:r w:rsidRPr="00D249A7">
              <w:rPr>
                <w:sz w:val="20"/>
                <w:szCs w:val="20"/>
              </w:rPr>
              <w:t xml:space="preserve">As outlined in the </w:t>
            </w:r>
            <w:r w:rsidRPr="00D249A7">
              <w:rPr>
                <w:sz w:val="20"/>
                <w:szCs w:val="20"/>
              </w:rPr>
              <w:lastRenderedPageBreak/>
              <w:t>previous lenalidomide RMP evaluation, Table 2 of the ASA contains numerous incorrect references to sections of the draft PI.</w:t>
            </w:r>
            <w:r w:rsidR="00266E72">
              <w:rPr>
                <w:sz w:val="20"/>
                <w:szCs w:val="20"/>
              </w:rPr>
              <w:t xml:space="preserve"> </w:t>
            </w:r>
            <w:r w:rsidRPr="00D249A7">
              <w:rPr>
                <w:sz w:val="20"/>
                <w:szCs w:val="20"/>
              </w:rPr>
              <w:t>These errors should be corrected in a revision to the ASA.</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417989A"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lastRenderedPageBreak/>
              <w:t xml:space="preserve">Table 2 of the ASA has been updated to </w:t>
            </w:r>
            <w:r w:rsidRPr="00D249A7">
              <w:rPr>
                <w:rFonts w:asciiTheme="minorHAnsi" w:hAnsiTheme="minorHAnsi"/>
                <w:i/>
                <w:sz w:val="20"/>
                <w:szCs w:val="20"/>
              </w:rPr>
              <w:lastRenderedPageBreak/>
              <w:t xml:space="preserve">ensure correct referencing to the PI. A copy of the </w:t>
            </w:r>
            <w:r>
              <w:rPr>
                <w:rFonts w:asciiTheme="minorHAnsi" w:hAnsiTheme="minorHAnsi"/>
                <w:i/>
                <w:sz w:val="20"/>
                <w:szCs w:val="20"/>
              </w:rPr>
              <w:t>updated ASA wa</w:t>
            </w:r>
            <w:r w:rsidRPr="00D249A7">
              <w:rPr>
                <w:rFonts w:asciiTheme="minorHAnsi" w:hAnsiTheme="minorHAnsi"/>
                <w:i/>
                <w:sz w:val="20"/>
                <w:szCs w:val="20"/>
              </w:rPr>
              <w:t>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846124D"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lastRenderedPageBreak/>
              <w:t xml:space="preserve">This is </w:t>
            </w:r>
            <w:r w:rsidRPr="00D249A7">
              <w:rPr>
                <w:rFonts w:asciiTheme="minorHAnsi" w:hAnsiTheme="minorHAnsi"/>
                <w:sz w:val="20"/>
                <w:szCs w:val="20"/>
              </w:rPr>
              <w:lastRenderedPageBreak/>
              <w:t>acceptable from an RMP perspective.</w:t>
            </w:r>
          </w:p>
        </w:tc>
      </w:tr>
      <w:tr w:rsidR="00D249A7" w:rsidRPr="00D249A7" w14:paraId="19CE986A"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D41111F" w14:textId="77777777" w:rsidR="00D249A7" w:rsidRPr="00D249A7" w:rsidRDefault="00D249A7" w:rsidP="0095081E">
            <w:pPr>
              <w:pStyle w:val="Numberbullet0"/>
              <w:ind w:left="230" w:hanging="230"/>
              <w:rPr>
                <w:sz w:val="20"/>
                <w:szCs w:val="20"/>
              </w:rPr>
            </w:pPr>
            <w:r w:rsidRPr="00D249A7">
              <w:rPr>
                <w:sz w:val="20"/>
                <w:szCs w:val="20"/>
              </w:rPr>
              <w:lastRenderedPageBreak/>
              <w:t>The risk minimisation plan sections 3.1 and 3.2 of the ASA contains information on the additional pharmacovigilance activities (</w:t>
            </w:r>
            <w:proofErr w:type="spellStart"/>
            <w:r w:rsidRPr="00D249A7">
              <w:rPr>
                <w:sz w:val="20"/>
                <w:szCs w:val="20"/>
              </w:rPr>
              <w:t>PASSes</w:t>
            </w:r>
            <w:proofErr w:type="spellEnd"/>
            <w:r w:rsidRPr="00D249A7">
              <w:rPr>
                <w:sz w:val="20"/>
                <w:szCs w:val="20"/>
              </w:rPr>
              <w:t>/Registries) which are more appropriate for and should be re-located to the pharmacovigilance section 2.2 of the ASA.</w:t>
            </w:r>
            <w:r w:rsidR="00266E72">
              <w:rPr>
                <w:sz w:val="20"/>
                <w:szCs w:val="20"/>
              </w:rPr>
              <w:t xml:space="preserve"> </w:t>
            </w:r>
            <w:r w:rsidRPr="00D249A7">
              <w:rPr>
                <w:sz w:val="20"/>
                <w:szCs w:val="20"/>
              </w:rPr>
              <w:t xml:space="preserve">The ASA should be revised accordingly and to reflect the information regarding these activities in the updated EU RMP (see </w:t>
            </w:r>
            <w:r w:rsidR="0095081E">
              <w:rPr>
                <w:sz w:val="20"/>
                <w:szCs w:val="20"/>
              </w:rPr>
              <w:t>R</w:t>
            </w:r>
            <w:r w:rsidRPr="00D249A7">
              <w:rPr>
                <w:sz w:val="20"/>
                <w:szCs w:val="20"/>
              </w:rPr>
              <w:t>ecommendation 2, above).</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43A8BCE"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t xml:space="preserve">Information on the additional pharmacovigilance activities has been updated and re-located to the pharmacovigilance section of the </w:t>
            </w:r>
            <w:r>
              <w:rPr>
                <w:rFonts w:asciiTheme="minorHAnsi" w:hAnsiTheme="minorHAnsi"/>
                <w:i/>
                <w:sz w:val="20"/>
                <w:szCs w:val="20"/>
              </w:rPr>
              <w:t>ASA. A copy of the updated ASA wa</w:t>
            </w:r>
            <w:r w:rsidRPr="00D249A7">
              <w:rPr>
                <w:rFonts w:asciiTheme="minorHAnsi" w:hAnsiTheme="minorHAnsi"/>
                <w:i/>
                <w:sz w:val="20"/>
                <w:szCs w:val="20"/>
              </w:rPr>
              <w:t>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5124ADC"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0AF57438"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5B9E0B8" w14:textId="77777777" w:rsidR="00D249A7" w:rsidRPr="00D249A7" w:rsidRDefault="00D249A7" w:rsidP="00D249A7">
            <w:pPr>
              <w:pStyle w:val="Numberbullet0"/>
              <w:ind w:left="230" w:hanging="230"/>
              <w:rPr>
                <w:sz w:val="20"/>
                <w:szCs w:val="20"/>
              </w:rPr>
            </w:pPr>
            <w:r w:rsidRPr="00D249A7">
              <w:rPr>
                <w:sz w:val="20"/>
                <w:szCs w:val="20"/>
              </w:rPr>
              <w:t xml:space="preserve">It is noted that the sponsor committed to a number of updates to the ASA as part of the evaluation of RMP documentation associated with </w:t>
            </w:r>
            <w:r>
              <w:rPr>
                <w:sz w:val="20"/>
                <w:szCs w:val="20"/>
              </w:rPr>
              <w:t>a previous submission</w:t>
            </w:r>
            <w:r w:rsidRPr="00D249A7">
              <w:rPr>
                <w:sz w:val="20"/>
                <w:szCs w:val="20"/>
              </w:rPr>
              <w:t>.</w:t>
            </w:r>
            <w:r w:rsidR="00266E72">
              <w:rPr>
                <w:sz w:val="20"/>
                <w:szCs w:val="20"/>
              </w:rPr>
              <w:t xml:space="preserve"> </w:t>
            </w:r>
            <w:r w:rsidRPr="00D249A7">
              <w:rPr>
                <w:sz w:val="20"/>
                <w:szCs w:val="20"/>
              </w:rPr>
              <w:t>It is expected that the ASA is revised accordingly and included in response for this submission, also including any revisions resulting from this evaluation.</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6EEADE3"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t xml:space="preserve">The ASA has been amended to include all updates committed to in </w:t>
            </w:r>
            <w:r>
              <w:rPr>
                <w:rFonts w:asciiTheme="minorHAnsi" w:hAnsiTheme="minorHAnsi"/>
                <w:i/>
                <w:sz w:val="20"/>
                <w:szCs w:val="20"/>
              </w:rPr>
              <w:t>a previous</w:t>
            </w:r>
            <w:r w:rsidRPr="00D249A7">
              <w:rPr>
                <w:rFonts w:asciiTheme="minorHAnsi" w:hAnsiTheme="minorHAnsi"/>
                <w:i/>
                <w:sz w:val="20"/>
                <w:szCs w:val="20"/>
              </w:rPr>
              <w:t xml:space="preserve"> submission. A copy of the updated A</w:t>
            </w:r>
            <w:r>
              <w:rPr>
                <w:rFonts w:asciiTheme="minorHAnsi" w:hAnsiTheme="minorHAnsi"/>
                <w:i/>
                <w:sz w:val="20"/>
                <w:szCs w:val="20"/>
              </w:rPr>
              <w:t>SA wa</w:t>
            </w:r>
            <w:r w:rsidRPr="00D249A7">
              <w:rPr>
                <w:rFonts w:asciiTheme="minorHAnsi" w:hAnsiTheme="minorHAnsi"/>
                <w:i/>
                <w:sz w:val="20"/>
                <w:szCs w:val="20"/>
              </w:rPr>
              <w:t>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D91BC66"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76A65655"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5782FD6" w14:textId="77777777" w:rsidR="00D249A7" w:rsidRPr="00D249A7" w:rsidRDefault="00D249A7" w:rsidP="00D249A7">
            <w:pPr>
              <w:pStyle w:val="Numberbullet0"/>
              <w:ind w:left="230" w:hanging="230"/>
              <w:rPr>
                <w:sz w:val="20"/>
                <w:szCs w:val="20"/>
              </w:rPr>
            </w:pPr>
            <w:r w:rsidRPr="00D249A7">
              <w:rPr>
                <w:sz w:val="20"/>
                <w:szCs w:val="20"/>
              </w:rPr>
              <w:t xml:space="preserve">As outlined in the RMP guidance (dated 4 May 2015) on the TGA website the ASA should include a risk minimisation activities table detailing all planned risk minimisation measures in the Australian context and </w:t>
            </w:r>
            <w:r w:rsidRPr="00D249A7">
              <w:rPr>
                <w:sz w:val="20"/>
                <w:szCs w:val="20"/>
              </w:rPr>
              <w:lastRenderedPageBreak/>
              <w:t>the EU-RMP context.</w:t>
            </w:r>
            <w:r w:rsidR="00266E72">
              <w:rPr>
                <w:sz w:val="20"/>
                <w:szCs w:val="20"/>
              </w:rPr>
              <w:t xml:space="preserve"> </w:t>
            </w:r>
            <w:r w:rsidRPr="00D249A7">
              <w:rPr>
                <w:sz w:val="20"/>
                <w:szCs w:val="20"/>
              </w:rPr>
              <w:t>This table should include a comparison of the actual content and wording of the EU S</w:t>
            </w:r>
            <w:r w:rsidR="007A28BE">
              <w:rPr>
                <w:sz w:val="20"/>
                <w:szCs w:val="20"/>
              </w:rPr>
              <w:t>ummary of Product Characteristics (</w:t>
            </w:r>
            <w:proofErr w:type="spellStart"/>
            <w:r w:rsidR="007A28BE">
              <w:rPr>
                <w:sz w:val="20"/>
                <w:szCs w:val="20"/>
              </w:rPr>
              <w:t>S</w:t>
            </w:r>
            <w:r w:rsidRPr="00D249A7">
              <w:rPr>
                <w:sz w:val="20"/>
                <w:szCs w:val="20"/>
              </w:rPr>
              <w:t>mPC</w:t>
            </w:r>
            <w:proofErr w:type="spellEnd"/>
            <w:r w:rsidR="007A28BE">
              <w:rPr>
                <w:sz w:val="20"/>
                <w:szCs w:val="20"/>
              </w:rPr>
              <w:t>)</w:t>
            </w:r>
            <w:r w:rsidRPr="00D249A7">
              <w:rPr>
                <w:sz w:val="20"/>
                <w:szCs w:val="20"/>
              </w:rPr>
              <w:t xml:space="preserve"> and the proposed Australian PI </w:t>
            </w:r>
            <w:r>
              <w:rPr>
                <w:sz w:val="20"/>
                <w:szCs w:val="20"/>
              </w:rPr>
              <w:t>and</w:t>
            </w:r>
            <w:r w:rsidRPr="00D249A7">
              <w:rPr>
                <w:sz w:val="20"/>
                <w:szCs w:val="20"/>
              </w:rPr>
              <w:t xml:space="preserve"> </w:t>
            </w:r>
            <w:r w:rsidR="007A28BE" w:rsidRPr="00BB5572">
              <w:rPr>
                <w:sz w:val="20"/>
                <w:szCs w:val="20"/>
              </w:rPr>
              <w:t>Consumer Medicines Inform</w:t>
            </w:r>
            <w:r w:rsidR="00BB2385">
              <w:rPr>
                <w:sz w:val="20"/>
                <w:szCs w:val="20"/>
              </w:rPr>
              <w:t xml:space="preserve">ation </w:t>
            </w:r>
            <w:r w:rsidR="007A28BE">
              <w:rPr>
                <w:sz w:val="20"/>
                <w:szCs w:val="20"/>
              </w:rPr>
              <w:t>(</w:t>
            </w:r>
            <w:r w:rsidRPr="00D249A7">
              <w:rPr>
                <w:sz w:val="20"/>
                <w:szCs w:val="20"/>
              </w:rPr>
              <w:t>CMI</w:t>
            </w:r>
            <w:r w:rsidR="007A28BE">
              <w:rPr>
                <w:sz w:val="20"/>
                <w:szCs w:val="20"/>
              </w:rPr>
              <w:t>)</w:t>
            </w:r>
            <w:r w:rsidRPr="00D249A7">
              <w:rPr>
                <w:sz w:val="20"/>
                <w:szCs w:val="20"/>
              </w:rPr>
              <w:t xml:space="preserve"> for all of the specified ongoing safety concerns and missing information to identify and provide reasons for any observed differences; particularly where it appears the EU </w:t>
            </w:r>
            <w:proofErr w:type="spellStart"/>
            <w:r w:rsidRPr="00D249A7">
              <w:rPr>
                <w:sz w:val="20"/>
                <w:szCs w:val="20"/>
              </w:rPr>
              <w:t>SmPC</w:t>
            </w:r>
            <w:proofErr w:type="spellEnd"/>
            <w:r w:rsidRPr="00D249A7">
              <w:rPr>
                <w:sz w:val="20"/>
                <w:szCs w:val="20"/>
              </w:rPr>
              <w:t xml:space="preserve"> is more restrictive.</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ECFCDA7"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lastRenderedPageBreak/>
              <w:t>Table 2 in the ASA has been replaced with a table comparing the risk minimisation information in the EU-RMP context and the Australian context. A copy of the updated</w:t>
            </w:r>
            <w:r>
              <w:rPr>
                <w:rFonts w:asciiTheme="minorHAnsi" w:hAnsiTheme="minorHAnsi"/>
                <w:i/>
                <w:sz w:val="20"/>
                <w:szCs w:val="20"/>
              </w:rPr>
              <w:t xml:space="preserve"> ASA wa</w:t>
            </w:r>
            <w:r w:rsidRPr="00D249A7">
              <w:rPr>
                <w:rFonts w:asciiTheme="minorHAnsi" w:hAnsiTheme="minorHAnsi"/>
                <w:i/>
                <w:sz w:val="20"/>
                <w:szCs w:val="20"/>
              </w:rPr>
              <w:t>s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5116040"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p>
        </w:tc>
      </w:tr>
      <w:tr w:rsidR="00D249A7" w:rsidRPr="00D249A7" w14:paraId="0F17A74F"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64AE7F9" w14:textId="77777777" w:rsidR="00D249A7" w:rsidRPr="00D249A7" w:rsidRDefault="00D249A7" w:rsidP="00D249A7">
            <w:pPr>
              <w:pStyle w:val="Numberbullet0"/>
              <w:ind w:left="230" w:hanging="230"/>
              <w:rPr>
                <w:sz w:val="20"/>
                <w:szCs w:val="20"/>
              </w:rPr>
            </w:pPr>
            <w:r w:rsidRPr="00D249A7">
              <w:rPr>
                <w:sz w:val="20"/>
                <w:szCs w:val="20"/>
              </w:rPr>
              <w:lastRenderedPageBreak/>
              <w:t xml:space="preserve">The sponsor should amend </w:t>
            </w:r>
            <w:proofErr w:type="gramStart"/>
            <w:r w:rsidRPr="00D249A7">
              <w:rPr>
                <w:sz w:val="20"/>
                <w:szCs w:val="20"/>
              </w:rPr>
              <w:t xml:space="preserve">the </w:t>
            </w:r>
            <w:proofErr w:type="spellStart"/>
            <w:r w:rsidRPr="00D249A7">
              <w:rPr>
                <w:sz w:val="20"/>
                <w:szCs w:val="20"/>
              </w:rPr>
              <w:t>i</w:t>
            </w:r>
            <w:proofErr w:type="spellEnd"/>
            <w:proofErr w:type="gramEnd"/>
            <w:r w:rsidRPr="00D249A7">
              <w:rPr>
                <w:sz w:val="20"/>
                <w:szCs w:val="20"/>
              </w:rPr>
              <w:t>-access materials as necessary to incorporate information on the new indication.</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2B22747" w14:textId="77777777" w:rsidR="00D249A7" w:rsidRPr="00D249A7" w:rsidRDefault="00D249A7" w:rsidP="00007C96">
            <w:pPr>
              <w:rPr>
                <w:rFonts w:asciiTheme="minorHAnsi" w:hAnsiTheme="minorHAnsi"/>
                <w:i/>
                <w:sz w:val="20"/>
                <w:szCs w:val="20"/>
              </w:rPr>
            </w:pPr>
            <w:r>
              <w:rPr>
                <w:rFonts w:asciiTheme="minorHAnsi" w:hAnsiTheme="minorHAnsi"/>
                <w:i/>
                <w:sz w:val="20"/>
                <w:szCs w:val="20"/>
              </w:rPr>
              <w:t>The sponsor</w:t>
            </w:r>
            <w:r w:rsidRPr="00D249A7">
              <w:rPr>
                <w:rFonts w:asciiTheme="minorHAnsi" w:hAnsiTheme="minorHAnsi"/>
                <w:i/>
                <w:sz w:val="20"/>
                <w:szCs w:val="20"/>
              </w:rPr>
              <w:t xml:space="preserve"> that </w:t>
            </w:r>
            <w:proofErr w:type="gramStart"/>
            <w:r w:rsidRPr="00D249A7">
              <w:rPr>
                <w:rFonts w:asciiTheme="minorHAnsi" w:hAnsiTheme="minorHAnsi"/>
                <w:i/>
                <w:sz w:val="20"/>
                <w:szCs w:val="20"/>
              </w:rPr>
              <w:t xml:space="preserve">the </w:t>
            </w:r>
            <w:proofErr w:type="spellStart"/>
            <w:r w:rsidRPr="00D249A7">
              <w:rPr>
                <w:rFonts w:asciiTheme="minorHAnsi" w:hAnsiTheme="minorHAnsi"/>
                <w:i/>
                <w:sz w:val="20"/>
                <w:szCs w:val="20"/>
              </w:rPr>
              <w:t>i</w:t>
            </w:r>
            <w:proofErr w:type="spellEnd"/>
            <w:proofErr w:type="gramEnd"/>
            <w:r w:rsidRPr="00D249A7">
              <w:rPr>
                <w:rFonts w:asciiTheme="minorHAnsi" w:hAnsiTheme="minorHAnsi"/>
                <w:i/>
                <w:sz w:val="20"/>
                <w:szCs w:val="20"/>
              </w:rPr>
              <w:t xml:space="preserve">-access materials will be reviewed and updated as required </w:t>
            </w:r>
            <w:r w:rsidR="00BB2385" w:rsidRPr="00D249A7">
              <w:rPr>
                <w:rFonts w:asciiTheme="minorHAnsi" w:hAnsiTheme="minorHAnsi"/>
                <w:i/>
                <w:sz w:val="20"/>
                <w:szCs w:val="20"/>
              </w:rPr>
              <w:t>reflecting</w:t>
            </w:r>
            <w:r w:rsidRPr="00D249A7">
              <w:rPr>
                <w:rFonts w:asciiTheme="minorHAnsi" w:hAnsiTheme="minorHAnsi"/>
                <w:i/>
                <w:sz w:val="20"/>
                <w:szCs w:val="20"/>
              </w:rPr>
              <w:t xml:space="preserve"> relevant information from all approved indications.</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799B73E"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r w:rsidR="00266E72">
              <w:rPr>
                <w:rFonts w:asciiTheme="minorHAnsi" w:hAnsiTheme="minorHAnsi"/>
                <w:sz w:val="20"/>
                <w:szCs w:val="20"/>
              </w:rPr>
              <w:t xml:space="preserve"> </w:t>
            </w:r>
            <w:r w:rsidRPr="00D249A7">
              <w:rPr>
                <w:rFonts w:asciiTheme="minorHAnsi" w:hAnsiTheme="minorHAnsi"/>
                <w:sz w:val="20"/>
                <w:szCs w:val="20"/>
              </w:rPr>
              <w:t>When the materials are revised they should be attached to the ASA and submitted to the TGA.</w:t>
            </w:r>
          </w:p>
        </w:tc>
      </w:tr>
      <w:tr w:rsidR="00D249A7" w:rsidRPr="00D249A7" w14:paraId="047501BE"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97A36C0" w14:textId="77777777" w:rsidR="00D249A7" w:rsidRPr="00D249A7" w:rsidRDefault="00D249A7" w:rsidP="00D249A7">
            <w:pPr>
              <w:pStyle w:val="Numberbullet0"/>
              <w:ind w:left="88" w:hanging="88"/>
              <w:rPr>
                <w:sz w:val="20"/>
                <w:szCs w:val="20"/>
              </w:rPr>
            </w:pPr>
            <w:r w:rsidRPr="00D249A7">
              <w:rPr>
                <w:sz w:val="20"/>
                <w:szCs w:val="20"/>
              </w:rPr>
              <w:t>The sponsor has previously confirmed that the implementation of the educational program, as part of the risk minimisation plan is ongoing.</w:t>
            </w:r>
            <w:r w:rsidR="00266E72">
              <w:rPr>
                <w:sz w:val="20"/>
                <w:szCs w:val="20"/>
              </w:rPr>
              <w:t xml:space="preserve"> </w:t>
            </w:r>
            <w:r w:rsidRPr="00D249A7">
              <w:rPr>
                <w:sz w:val="20"/>
                <w:szCs w:val="20"/>
              </w:rPr>
              <w:t xml:space="preserve">As also recommended for </w:t>
            </w:r>
            <w:r>
              <w:rPr>
                <w:sz w:val="20"/>
                <w:szCs w:val="20"/>
              </w:rPr>
              <w:t xml:space="preserve">a previous </w:t>
            </w:r>
            <w:r w:rsidRPr="00D249A7">
              <w:rPr>
                <w:sz w:val="20"/>
                <w:szCs w:val="20"/>
              </w:rPr>
              <w:t>submission the educational materials should be amended as appropriate to reflect the changes sought in this application including information on risks specific to Mantle Cell Lymphoma.</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0932E4F" w14:textId="77777777" w:rsidR="00D249A7" w:rsidRPr="00D249A7" w:rsidRDefault="00D249A7" w:rsidP="00007C96">
            <w:pPr>
              <w:rPr>
                <w:rFonts w:asciiTheme="minorHAnsi" w:hAnsiTheme="minorHAnsi"/>
                <w:i/>
                <w:sz w:val="20"/>
                <w:szCs w:val="20"/>
              </w:rPr>
            </w:pPr>
            <w:r>
              <w:rPr>
                <w:rFonts w:asciiTheme="minorHAnsi" w:hAnsiTheme="minorHAnsi"/>
                <w:i/>
                <w:sz w:val="20"/>
                <w:szCs w:val="20"/>
              </w:rPr>
              <w:t>The sponsor</w:t>
            </w:r>
            <w:r w:rsidRPr="00D249A7">
              <w:rPr>
                <w:rFonts w:asciiTheme="minorHAnsi" w:hAnsiTheme="minorHAnsi"/>
                <w:i/>
                <w:sz w:val="20"/>
                <w:szCs w:val="20"/>
              </w:rPr>
              <w:t xml:space="preserve"> advises that the educational materials will be reviewed and updated as required to reflect relevant information from all approved indications.</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96435E9"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t>This is acceptable from an RMP perspective.</w:t>
            </w:r>
            <w:r w:rsidR="00266E72">
              <w:rPr>
                <w:rFonts w:asciiTheme="minorHAnsi" w:hAnsiTheme="minorHAnsi"/>
                <w:sz w:val="20"/>
                <w:szCs w:val="20"/>
              </w:rPr>
              <w:t xml:space="preserve"> </w:t>
            </w:r>
            <w:r w:rsidRPr="00D249A7">
              <w:rPr>
                <w:rFonts w:asciiTheme="minorHAnsi" w:hAnsiTheme="minorHAnsi"/>
                <w:sz w:val="20"/>
                <w:szCs w:val="20"/>
              </w:rPr>
              <w:t>When the materials are revised they should be attached to the ASA and submitted to the TGA.</w:t>
            </w:r>
          </w:p>
        </w:tc>
      </w:tr>
      <w:tr w:rsidR="00D249A7" w:rsidRPr="00D249A7" w14:paraId="556AB392" w14:textId="77777777" w:rsidTr="00E41A89">
        <w:trPr>
          <w:jc w:val="center"/>
        </w:trPr>
        <w:tc>
          <w:tcPr>
            <w:tcW w:w="202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7D089B0" w14:textId="77777777" w:rsidR="00D249A7" w:rsidRPr="00D249A7" w:rsidRDefault="00D249A7" w:rsidP="00D249A7">
            <w:pPr>
              <w:pStyle w:val="Numberbullet0"/>
              <w:ind w:left="88" w:hanging="88"/>
              <w:rPr>
                <w:rFonts w:cstheme="minorHAnsi"/>
                <w:sz w:val="20"/>
                <w:szCs w:val="20"/>
              </w:rPr>
            </w:pPr>
            <w:r w:rsidRPr="00D249A7">
              <w:rPr>
                <w:sz w:val="20"/>
                <w:szCs w:val="20"/>
              </w:rPr>
              <w:t xml:space="preserve">For completeness, a description of the educational materials should also be included in </w:t>
            </w:r>
            <w:r w:rsidRPr="00D249A7">
              <w:rPr>
                <w:sz w:val="20"/>
                <w:szCs w:val="20"/>
              </w:rPr>
              <w:lastRenderedPageBreak/>
              <w:t>the risk minimisation section of the ASA.</w:t>
            </w:r>
            <w:r w:rsidR="00266E72">
              <w:rPr>
                <w:sz w:val="20"/>
                <w:szCs w:val="20"/>
              </w:rPr>
              <w:t xml:space="preserve"> </w:t>
            </w:r>
            <w:r w:rsidRPr="00D249A7">
              <w:rPr>
                <w:sz w:val="20"/>
                <w:szCs w:val="20"/>
              </w:rPr>
              <w:t>This should include what types of educational materials are used (patient management guide, patient/carer information, apps etc.), and information on how the educational materials are distributed and how their effectiveness is assessed.</w:t>
            </w:r>
          </w:p>
        </w:tc>
        <w:tc>
          <w:tcPr>
            <w:tcW w:w="19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63EF4D9" w14:textId="77777777" w:rsidR="00D249A7" w:rsidRPr="00D249A7" w:rsidRDefault="00D249A7" w:rsidP="00D249A7">
            <w:pPr>
              <w:rPr>
                <w:rFonts w:asciiTheme="minorHAnsi" w:hAnsiTheme="minorHAnsi"/>
                <w:i/>
                <w:sz w:val="20"/>
                <w:szCs w:val="20"/>
              </w:rPr>
            </w:pPr>
            <w:r w:rsidRPr="00D249A7">
              <w:rPr>
                <w:rFonts w:asciiTheme="minorHAnsi" w:hAnsiTheme="minorHAnsi"/>
                <w:i/>
                <w:sz w:val="20"/>
                <w:szCs w:val="20"/>
              </w:rPr>
              <w:lastRenderedPageBreak/>
              <w:t xml:space="preserve">Information on educational materials has been added to the risk minimization section of the </w:t>
            </w:r>
            <w:r>
              <w:rPr>
                <w:rFonts w:asciiTheme="minorHAnsi" w:hAnsiTheme="minorHAnsi"/>
                <w:i/>
                <w:sz w:val="20"/>
                <w:szCs w:val="20"/>
              </w:rPr>
              <w:t xml:space="preserve">ASA. A copy of the updated </w:t>
            </w:r>
            <w:r>
              <w:rPr>
                <w:rFonts w:asciiTheme="minorHAnsi" w:hAnsiTheme="minorHAnsi"/>
                <w:i/>
                <w:sz w:val="20"/>
                <w:szCs w:val="20"/>
              </w:rPr>
              <w:lastRenderedPageBreak/>
              <w:t>ASA was</w:t>
            </w:r>
            <w:r w:rsidRPr="00D249A7">
              <w:rPr>
                <w:rFonts w:asciiTheme="minorHAnsi" w:hAnsiTheme="minorHAnsi"/>
                <w:i/>
                <w:sz w:val="20"/>
                <w:szCs w:val="20"/>
              </w:rPr>
              <w:t xml:space="preserve"> provided.</w:t>
            </w:r>
          </w:p>
        </w:tc>
        <w:tc>
          <w:tcPr>
            <w:tcW w:w="106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8440B1A" w14:textId="77777777" w:rsidR="00D249A7" w:rsidRPr="00D249A7" w:rsidRDefault="00D249A7" w:rsidP="00007C96">
            <w:pPr>
              <w:rPr>
                <w:rFonts w:asciiTheme="minorHAnsi" w:hAnsiTheme="minorHAnsi"/>
                <w:sz w:val="20"/>
                <w:szCs w:val="20"/>
              </w:rPr>
            </w:pPr>
            <w:r w:rsidRPr="00D249A7">
              <w:rPr>
                <w:rFonts w:asciiTheme="minorHAnsi" w:hAnsiTheme="minorHAnsi"/>
                <w:sz w:val="20"/>
                <w:szCs w:val="20"/>
              </w:rPr>
              <w:lastRenderedPageBreak/>
              <w:t xml:space="preserve">This is acceptable from an RMP </w:t>
            </w:r>
            <w:r w:rsidRPr="00D249A7">
              <w:rPr>
                <w:rFonts w:asciiTheme="minorHAnsi" w:hAnsiTheme="minorHAnsi"/>
                <w:sz w:val="20"/>
                <w:szCs w:val="20"/>
              </w:rPr>
              <w:lastRenderedPageBreak/>
              <w:t>perspective.</w:t>
            </w:r>
          </w:p>
        </w:tc>
      </w:tr>
    </w:tbl>
    <w:p w14:paraId="7977BAAF" w14:textId="77777777" w:rsidR="00456765" w:rsidRPr="00B32870" w:rsidRDefault="00456765" w:rsidP="00B32870">
      <w:pPr>
        <w:pStyle w:val="Heading5"/>
      </w:pPr>
      <w:bookmarkStart w:id="187" w:name="_Toc477354123"/>
      <w:r>
        <w:lastRenderedPageBreak/>
        <w:t>New and outstanding recommendations from second round evaluation</w:t>
      </w:r>
      <w:bookmarkEnd w:id="187"/>
    </w:p>
    <w:p w14:paraId="0141B2D4" w14:textId="22EFBA41" w:rsidR="00186D46" w:rsidRDefault="00186D46" w:rsidP="00D249A7">
      <w:pPr>
        <w:pStyle w:val="Heading6"/>
      </w:pPr>
      <w:r w:rsidRPr="00502C09">
        <w:t>Issues in relation to the RMP</w:t>
      </w:r>
    </w:p>
    <w:p w14:paraId="50762E2E" w14:textId="77777777" w:rsidR="00186D46" w:rsidRPr="002F31B6" w:rsidRDefault="00186D46" w:rsidP="00D249A7">
      <w:r w:rsidRPr="002F31B6">
        <w:t>There are no outstanding issues in relation to the RMP for this submission.</w:t>
      </w:r>
    </w:p>
    <w:p w14:paraId="60D67945" w14:textId="61C91778" w:rsidR="00186D46" w:rsidRPr="002F31B6" w:rsidRDefault="00186D46" w:rsidP="009724EC">
      <w:r w:rsidRPr="002F31B6">
        <w:t xml:space="preserve">If this application is approved the sponsor has committed to revising the educational programme and </w:t>
      </w:r>
      <w:proofErr w:type="spellStart"/>
      <w:r w:rsidRPr="002F31B6">
        <w:t>i</w:t>
      </w:r>
      <w:proofErr w:type="spellEnd"/>
      <w:r w:rsidRPr="002F31B6">
        <w:t>-access materials</w:t>
      </w:r>
      <w:r w:rsidR="00B13C45">
        <w:t xml:space="preserve"> as necessary.</w:t>
      </w:r>
      <w:r w:rsidR="00E07116">
        <w:rPr>
          <w:rStyle w:val="FootnoteReference"/>
        </w:rPr>
        <w:footnoteReference w:id="30"/>
      </w:r>
      <w:r w:rsidRPr="002F31B6">
        <w:t xml:space="preserve"> Once revised</w:t>
      </w:r>
      <w:r>
        <w:t>,</w:t>
      </w:r>
      <w:r w:rsidRPr="002F31B6">
        <w:t xml:space="preserve"> these should be attached to the ASA and submitted to the TGA.</w:t>
      </w:r>
    </w:p>
    <w:p w14:paraId="1EF73A37" w14:textId="77777777" w:rsidR="00186D46" w:rsidRPr="002F31B6" w:rsidRDefault="00186D46" w:rsidP="00B32870">
      <w:pPr>
        <w:pStyle w:val="Heading5"/>
      </w:pPr>
      <w:r w:rsidRPr="002F31B6">
        <w:t xml:space="preserve">Advice from the </w:t>
      </w:r>
      <w:r w:rsidRPr="00B32870">
        <w:rPr>
          <w:rStyle w:val="st1"/>
        </w:rPr>
        <w:t>Advisory</w:t>
      </w:r>
      <w:r w:rsidRPr="002F31B6">
        <w:rPr>
          <w:rStyle w:val="st1"/>
          <w:rFonts w:asciiTheme="minorHAnsi" w:hAnsiTheme="minorHAnsi" w:cstheme="majorHAnsi"/>
          <w:color w:val="000000"/>
        </w:rPr>
        <w:t xml:space="preserve"> Committee on the Safety of Medicines</w:t>
      </w:r>
      <w:r w:rsidRPr="002F31B6">
        <w:rPr>
          <w:rStyle w:val="st1"/>
          <w:rFonts w:asciiTheme="minorHAnsi" w:hAnsiTheme="minorHAnsi" w:cstheme="majorHAnsi"/>
          <w:color w:val="222222"/>
        </w:rPr>
        <w:t xml:space="preserve"> (</w:t>
      </w:r>
      <w:r w:rsidRPr="002F31B6">
        <w:rPr>
          <w:rStyle w:val="st1"/>
          <w:rFonts w:asciiTheme="minorHAnsi" w:hAnsiTheme="minorHAnsi" w:cstheme="majorHAnsi"/>
          <w:color w:val="000000"/>
        </w:rPr>
        <w:t>ACSOM</w:t>
      </w:r>
      <w:r w:rsidRPr="002F31B6">
        <w:rPr>
          <w:rStyle w:val="st1"/>
          <w:rFonts w:asciiTheme="minorHAnsi" w:hAnsiTheme="minorHAnsi" w:cstheme="majorHAnsi"/>
          <w:color w:val="222222"/>
        </w:rPr>
        <w:t>)</w:t>
      </w:r>
    </w:p>
    <w:p w14:paraId="0D8103E9" w14:textId="77777777" w:rsidR="00186D46" w:rsidRPr="00502C09" w:rsidRDefault="00186D46" w:rsidP="00B32870">
      <w:r w:rsidRPr="002F31B6">
        <w:t>ACSOM advice was not sought for this submission.</w:t>
      </w:r>
    </w:p>
    <w:p w14:paraId="297FB067" w14:textId="77777777" w:rsidR="00186D46" w:rsidRPr="00502C09" w:rsidRDefault="00186D46" w:rsidP="00186D46">
      <w:pPr>
        <w:pStyle w:val="Heading5"/>
      </w:pPr>
      <w:r w:rsidRPr="00502C09">
        <w:t>Comments on the safety specification of the RMP</w:t>
      </w:r>
    </w:p>
    <w:p w14:paraId="229F2015" w14:textId="77777777" w:rsidR="00186D46" w:rsidRPr="00502C09" w:rsidRDefault="00D249A7" w:rsidP="009724EC">
      <w:r>
        <w:t>From the c</w:t>
      </w:r>
      <w:r w:rsidR="00186D46" w:rsidRPr="00502C09">
        <w:t xml:space="preserve">linical </w:t>
      </w:r>
      <w:r>
        <w:t>e</w:t>
      </w:r>
      <w:r w:rsidR="00186D46" w:rsidRPr="00502C09">
        <w:t xml:space="preserve">valuation </w:t>
      </w:r>
      <w:r>
        <w:t>r</w:t>
      </w:r>
      <w:r w:rsidR="00186D46" w:rsidRPr="00502C09">
        <w:t>eport</w:t>
      </w:r>
      <w:r>
        <w:t>:</w:t>
      </w:r>
    </w:p>
    <w:p w14:paraId="4D9E961A" w14:textId="77777777" w:rsidR="00186D46" w:rsidRPr="00E07116" w:rsidRDefault="00186D46" w:rsidP="00E07116">
      <w:pPr>
        <w:ind w:left="720"/>
        <w:rPr>
          <w:i/>
        </w:rPr>
      </w:pPr>
      <w:r w:rsidRPr="00E07116">
        <w:rPr>
          <w:i/>
        </w:rPr>
        <w:t>The important identified risks and important potential risks listed in the Risk Management Plan are considered appropriate.</w:t>
      </w:r>
    </w:p>
    <w:p w14:paraId="57F1406E" w14:textId="7A9637D9" w:rsidR="00186D46" w:rsidRPr="00502C09" w:rsidRDefault="00186D46" w:rsidP="00186D46">
      <w:pPr>
        <w:pStyle w:val="Heading5"/>
      </w:pPr>
      <w:r w:rsidRPr="00502C09">
        <w:t>Key changes to the updated RMP</w:t>
      </w:r>
    </w:p>
    <w:p w14:paraId="5D41A5C2" w14:textId="77777777" w:rsidR="00186D46" w:rsidRPr="00E32D7A" w:rsidRDefault="00186D46" w:rsidP="00186D46">
      <w:pPr>
        <w:rPr>
          <w:highlight w:val="yellow"/>
        </w:rPr>
      </w:pPr>
      <w:r w:rsidRPr="00E32D7A">
        <w:t>EU RMP version 25 (dated 17 October 2014, DLP 26 December 2013) with an Australian Specific Annex version 2.0 (dated 30 April 2015</w:t>
      </w:r>
      <w:r w:rsidR="00C144B0">
        <w:t xml:space="preserve"> </w:t>
      </w:r>
      <w:r w:rsidRPr="00E32D7A">
        <w:t>has been superseded by:</w:t>
      </w:r>
    </w:p>
    <w:p w14:paraId="3A80EF99" w14:textId="77777777" w:rsidR="00186D46" w:rsidRPr="00E32D7A" w:rsidRDefault="00186D46" w:rsidP="00186D46">
      <w:r w:rsidRPr="00E32D7A">
        <w:rPr>
          <w:rFonts w:cstheme="majorHAnsi"/>
        </w:rPr>
        <w:t xml:space="preserve">EU RMP version 27 (dated 18 August 2015, DLP 26 December 2014) with an Australian Specific Annex version 4.0 (dated 3 December 2015) </w:t>
      </w:r>
    </w:p>
    <w:p w14:paraId="7F749E8A" w14:textId="77777777" w:rsidR="00186D46" w:rsidRPr="0095081E" w:rsidRDefault="00186D46" w:rsidP="00186D46">
      <w:r w:rsidRPr="00E32D7A">
        <w:t xml:space="preserve">Key changes from the version evaluated </w:t>
      </w:r>
      <w:r>
        <w:t>in the first round</w:t>
      </w:r>
      <w:r w:rsidRPr="00E32D7A">
        <w:t xml:space="preserve"> </w:t>
      </w:r>
      <w:r w:rsidR="00E07116">
        <w:t xml:space="preserve">to that of the second round </w:t>
      </w:r>
      <w:r w:rsidR="00E07116" w:rsidRPr="0095081E">
        <w:t xml:space="preserve">evaluation </w:t>
      </w:r>
      <w:r w:rsidRPr="0095081E">
        <w:t>are summarised below:</w:t>
      </w:r>
    </w:p>
    <w:p w14:paraId="37F30BCB" w14:textId="5CC05CBF" w:rsidR="00E07116" w:rsidRPr="0095081E" w:rsidRDefault="00AC61DE" w:rsidP="00366A0C">
      <w:pPr>
        <w:pStyle w:val="TableTitle"/>
        <w:numPr>
          <w:ilvl w:val="0"/>
          <w:numId w:val="0"/>
        </w:numPr>
      </w:pPr>
      <w:r>
        <w:rPr>
          <w:lang w:eastAsia="en-AU"/>
        </w:rPr>
        <w:t xml:space="preserve">Table 11: </w:t>
      </w:r>
      <w:r w:rsidR="00E07116" w:rsidRPr="0095081E">
        <w:rPr>
          <w:lang w:eastAsia="en-AU"/>
        </w:rPr>
        <w:t>Summary of key changes between</w:t>
      </w:r>
      <w:r w:rsidR="00266E72" w:rsidRPr="0095081E">
        <w:rPr>
          <w:lang w:eastAsia="en-AU"/>
        </w:rPr>
        <w:t xml:space="preserve"> </w:t>
      </w:r>
      <w:r w:rsidR="00E07116" w:rsidRPr="0095081E">
        <w:rPr>
          <w:lang w:eastAsia="en-AU"/>
        </w:rPr>
        <w:t>EU RMP v25/ASAv2 and EU RMP v27/ASA v4</w:t>
      </w:r>
    </w:p>
    <w:tbl>
      <w:tblPr>
        <w:tblStyle w:val="TableTGAblue"/>
        <w:tblW w:w="0" w:type="auto"/>
        <w:tblLook w:val="04A0" w:firstRow="1" w:lastRow="0" w:firstColumn="1" w:lastColumn="0" w:noHBand="0" w:noVBand="1"/>
      </w:tblPr>
      <w:tblGrid>
        <w:gridCol w:w="2342"/>
        <w:gridCol w:w="6378"/>
      </w:tblGrid>
      <w:tr w:rsidR="00266E72" w:rsidRPr="00502C09" w14:paraId="16FC840F" w14:textId="77777777" w:rsidTr="00266E72">
        <w:trPr>
          <w:cnfStyle w:val="100000000000" w:firstRow="1" w:lastRow="0" w:firstColumn="0" w:lastColumn="0" w:oddVBand="0" w:evenVBand="0" w:oddHBand="0" w:evenHBand="0" w:firstRowFirstColumn="0" w:firstRowLastColumn="0" w:lastRowFirstColumn="0" w:lastRowLastColumn="0"/>
          <w:trHeight w:val="270"/>
        </w:trPr>
        <w:tc>
          <w:tcPr>
            <w:tcW w:w="2123" w:type="dxa"/>
          </w:tcPr>
          <w:p w14:paraId="021847BC" w14:textId="77777777" w:rsidR="00266E72" w:rsidRPr="00E32D7A" w:rsidRDefault="00266E72" w:rsidP="00186D46"/>
        </w:tc>
        <w:tc>
          <w:tcPr>
            <w:tcW w:w="6597" w:type="dxa"/>
          </w:tcPr>
          <w:p w14:paraId="7884BABB" w14:textId="77777777" w:rsidR="00266E72" w:rsidRPr="00E32D7A" w:rsidRDefault="00266E72" w:rsidP="00186D46">
            <w:r>
              <w:t>Key change</w:t>
            </w:r>
          </w:p>
        </w:tc>
      </w:tr>
      <w:tr w:rsidR="00186D46" w:rsidRPr="00502C09" w14:paraId="735D9260" w14:textId="77777777" w:rsidTr="00266E72">
        <w:trPr>
          <w:trHeight w:val="270"/>
        </w:trPr>
        <w:tc>
          <w:tcPr>
            <w:tcW w:w="2123" w:type="dxa"/>
            <w:hideMark/>
          </w:tcPr>
          <w:p w14:paraId="7063020C" w14:textId="77777777" w:rsidR="00186D46" w:rsidRPr="00E32D7A" w:rsidRDefault="00186D46" w:rsidP="00186D46">
            <w:r w:rsidRPr="00E32D7A">
              <w:t>Safety specification</w:t>
            </w:r>
          </w:p>
        </w:tc>
        <w:tc>
          <w:tcPr>
            <w:tcW w:w="6597" w:type="dxa"/>
          </w:tcPr>
          <w:p w14:paraId="215274F5" w14:textId="77777777" w:rsidR="00186D46" w:rsidRPr="00E32D7A" w:rsidRDefault="00186D46" w:rsidP="00186D46">
            <w:r w:rsidRPr="00E32D7A">
              <w:t>Nil significant material changes</w:t>
            </w:r>
            <w:r>
              <w:t xml:space="preserve"> observed</w:t>
            </w:r>
          </w:p>
        </w:tc>
      </w:tr>
      <w:tr w:rsidR="00186D46" w:rsidRPr="00502C09" w14:paraId="0D38264B" w14:textId="77777777" w:rsidTr="00266E72">
        <w:trPr>
          <w:trHeight w:val="524"/>
        </w:trPr>
        <w:tc>
          <w:tcPr>
            <w:tcW w:w="2123" w:type="dxa"/>
            <w:hideMark/>
          </w:tcPr>
          <w:p w14:paraId="67C54FA1" w14:textId="77777777" w:rsidR="00186D46" w:rsidRPr="00E32D7A" w:rsidRDefault="00186D46" w:rsidP="00186D46">
            <w:r w:rsidRPr="00E32D7A">
              <w:t>Pharmacovigilance activities</w:t>
            </w:r>
          </w:p>
        </w:tc>
        <w:tc>
          <w:tcPr>
            <w:tcW w:w="6597" w:type="dxa"/>
          </w:tcPr>
          <w:p w14:paraId="178CBCEA" w14:textId="77777777" w:rsidR="00186D46" w:rsidRPr="00E32D7A" w:rsidRDefault="00186D46" w:rsidP="00186D46">
            <w:r w:rsidRPr="00E32D7A">
              <w:t>Nil significant material changes</w:t>
            </w:r>
            <w:r>
              <w:t xml:space="preserve"> observed</w:t>
            </w:r>
          </w:p>
        </w:tc>
      </w:tr>
      <w:tr w:rsidR="00186D46" w:rsidRPr="00502C09" w14:paraId="0B199908" w14:textId="77777777" w:rsidTr="00266E72">
        <w:trPr>
          <w:trHeight w:val="524"/>
        </w:trPr>
        <w:tc>
          <w:tcPr>
            <w:tcW w:w="2123" w:type="dxa"/>
          </w:tcPr>
          <w:p w14:paraId="3E21B116" w14:textId="77777777" w:rsidR="00186D46" w:rsidRPr="00E32D7A" w:rsidRDefault="00186D46" w:rsidP="00186D46">
            <w:r w:rsidRPr="00E32D7A">
              <w:lastRenderedPageBreak/>
              <w:t>Risk minimisation activities</w:t>
            </w:r>
          </w:p>
        </w:tc>
        <w:tc>
          <w:tcPr>
            <w:tcW w:w="6597" w:type="dxa"/>
          </w:tcPr>
          <w:p w14:paraId="2D93686B" w14:textId="77777777" w:rsidR="00186D46" w:rsidRPr="00E32D7A" w:rsidRDefault="00186D46" w:rsidP="00186D46">
            <w:r w:rsidRPr="00E32D7A">
              <w:t>Nil significant material changes</w:t>
            </w:r>
            <w:r>
              <w:t xml:space="preserve"> observed</w:t>
            </w:r>
          </w:p>
        </w:tc>
      </w:tr>
      <w:tr w:rsidR="00186D46" w:rsidRPr="00502C09" w14:paraId="4746DB3F" w14:textId="77777777" w:rsidTr="00266E72">
        <w:trPr>
          <w:trHeight w:val="524"/>
        </w:trPr>
        <w:tc>
          <w:tcPr>
            <w:tcW w:w="2123" w:type="dxa"/>
          </w:tcPr>
          <w:p w14:paraId="7010784F" w14:textId="77777777" w:rsidR="00186D46" w:rsidRPr="00E32D7A" w:rsidRDefault="00186D46" w:rsidP="00186D46">
            <w:r w:rsidRPr="00E32D7A">
              <w:t>ASA</w:t>
            </w:r>
          </w:p>
        </w:tc>
        <w:tc>
          <w:tcPr>
            <w:tcW w:w="6597" w:type="dxa"/>
          </w:tcPr>
          <w:p w14:paraId="42E45593" w14:textId="2483D1B3" w:rsidR="00186D46" w:rsidRPr="00E32D7A" w:rsidRDefault="00186D46" w:rsidP="00186D46">
            <w:pPr>
              <w:pStyle w:val="ListBullet"/>
            </w:pPr>
            <w:r w:rsidRPr="00E32D7A">
              <w:t>Added information to reflect newly approved indication (</w:t>
            </w:r>
            <w:r w:rsidR="001C502B" w:rsidRPr="00E32D7A">
              <w:t>newly diagnosed multiple myeloma</w:t>
            </w:r>
            <w:r w:rsidRPr="00E32D7A">
              <w:t>)</w:t>
            </w:r>
          </w:p>
          <w:p w14:paraId="4CB3D160" w14:textId="77777777" w:rsidR="00186D46" w:rsidRPr="00E32D7A" w:rsidRDefault="00186D46" w:rsidP="00186D46">
            <w:pPr>
              <w:pStyle w:val="ListBullet"/>
            </w:pPr>
            <w:r w:rsidRPr="00E32D7A">
              <w:t>Updated details of nominated person</w:t>
            </w:r>
          </w:p>
          <w:p w14:paraId="29743C13" w14:textId="77777777" w:rsidR="00186D46" w:rsidRPr="00E32D7A" w:rsidRDefault="00186D46" w:rsidP="00186D46">
            <w:pPr>
              <w:pStyle w:val="ListBullet"/>
            </w:pPr>
            <w:r w:rsidRPr="00E32D7A">
              <w:t>Added information on additional pharmacovigilance activities in respo</w:t>
            </w:r>
            <w:r>
              <w:t>nse to evaluation report</w:t>
            </w:r>
          </w:p>
          <w:p w14:paraId="6B316377" w14:textId="77777777" w:rsidR="00186D46" w:rsidRPr="00E32D7A" w:rsidRDefault="00186D46" w:rsidP="00186D46">
            <w:pPr>
              <w:pStyle w:val="ListBullet"/>
            </w:pPr>
            <w:r w:rsidRPr="00E32D7A">
              <w:t>Added information on educational materials to</w:t>
            </w:r>
            <w:r>
              <w:t xml:space="preserve"> risk minimisation plan section</w:t>
            </w:r>
          </w:p>
          <w:p w14:paraId="60C1BFC5" w14:textId="77777777" w:rsidR="00186D46" w:rsidRPr="00E32D7A" w:rsidRDefault="00186D46" w:rsidP="00186D46">
            <w:pPr>
              <w:pStyle w:val="ListBullet"/>
            </w:pPr>
            <w:r w:rsidRPr="00E32D7A">
              <w:t>Replaced table 2 with a risk minimisation table comparing ac</w:t>
            </w:r>
            <w:r>
              <w:t>tivities in Australia to the EU</w:t>
            </w:r>
          </w:p>
          <w:p w14:paraId="03E6C602" w14:textId="77777777" w:rsidR="00186D46" w:rsidRPr="00E32D7A" w:rsidRDefault="00186D46" w:rsidP="00186D46">
            <w:pPr>
              <w:pStyle w:val="ListBullet"/>
            </w:pPr>
            <w:r w:rsidRPr="00E32D7A">
              <w:t>Added new appe</w:t>
            </w:r>
            <w:r>
              <w:t>ndix with educational materials</w:t>
            </w:r>
          </w:p>
        </w:tc>
      </w:tr>
    </w:tbl>
    <w:p w14:paraId="0455D349" w14:textId="77777777" w:rsidR="00186D46" w:rsidRDefault="00186D46" w:rsidP="00266E72">
      <w:r w:rsidRPr="00E32D7A">
        <w:t>The evaluator has no objection to the above changes and recommends to the Delegate that the updated version is implemented (see below)</w:t>
      </w:r>
    </w:p>
    <w:p w14:paraId="6B97515D" w14:textId="77777777" w:rsidR="00186D46" w:rsidRPr="00BB4B51" w:rsidRDefault="00186D46" w:rsidP="00186D46">
      <w:pPr>
        <w:pStyle w:val="Heading4"/>
      </w:pPr>
      <w:bookmarkStart w:id="188" w:name="_Toc477354124"/>
      <w:r>
        <w:t>Proposed wording for conditions of registration</w:t>
      </w:r>
      <w:bookmarkEnd w:id="188"/>
    </w:p>
    <w:p w14:paraId="27193F51" w14:textId="77777777" w:rsidR="00186D46" w:rsidRPr="00502C09" w:rsidRDefault="00186D46" w:rsidP="00C144B0">
      <w:pPr>
        <w:pStyle w:val="Heading5"/>
      </w:pPr>
      <w:r w:rsidRPr="00502C09">
        <w:t>RMP</w:t>
      </w:r>
    </w:p>
    <w:p w14:paraId="0E9EDAE0" w14:textId="77777777" w:rsidR="00186D46" w:rsidRPr="00502C09" w:rsidRDefault="00186D46" w:rsidP="009724EC">
      <w:r w:rsidRPr="00502C09">
        <w:t>Any changes to which the sponsor agreed become part of the risk management system, whether they are included in the currently available version of the RMP document, or not included, inadvertently or otherwise.</w:t>
      </w:r>
      <w:r w:rsidR="009724EC">
        <w:t xml:space="preserve"> </w:t>
      </w:r>
      <w:r w:rsidRPr="00502C09">
        <w:t>The suggested wording is:</w:t>
      </w:r>
    </w:p>
    <w:p w14:paraId="7F3F6BAF" w14:textId="77777777" w:rsidR="00456765" w:rsidRPr="009724EC" w:rsidRDefault="00186D46" w:rsidP="009724EC">
      <w:pPr>
        <w:ind w:left="720"/>
        <w:rPr>
          <w:i/>
        </w:rPr>
      </w:pPr>
      <w:r w:rsidRPr="009724EC">
        <w:rPr>
          <w:i/>
        </w:rPr>
        <w:t>Implement EU RMP version 27 (dated 18 August 2015, DLP 26 December 2014) with an Australian Specific Annex version 4.0 (dated 3 December 2015) and any future updates as a condition of registration.</w:t>
      </w:r>
    </w:p>
    <w:p w14:paraId="3F130E23" w14:textId="77777777" w:rsidR="008E7846" w:rsidRPr="00792A32" w:rsidRDefault="008E7846" w:rsidP="008E7846">
      <w:pPr>
        <w:pStyle w:val="Heading2"/>
      </w:pPr>
      <w:bookmarkStart w:id="189" w:name="_Toc12960537"/>
      <w:r>
        <w:t>V</w:t>
      </w:r>
      <w:r w:rsidR="00456765">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2"/>
      <w:bookmarkEnd w:id="185"/>
      <w:bookmarkEnd w:id="186"/>
      <w:bookmarkEnd w:id="189"/>
    </w:p>
    <w:p w14:paraId="59122E67" w14:textId="77777777" w:rsidR="008E7846" w:rsidRDefault="008E7846" w:rsidP="008E7846">
      <w:bookmarkStart w:id="190" w:name="_Toc247691528"/>
      <w:r>
        <w:t xml:space="preserve">The submission was summarised in the following </w:t>
      </w:r>
      <w:r w:rsidRPr="00EF5C48">
        <w:t xml:space="preserve">Delegate’s </w:t>
      </w:r>
      <w:r>
        <w:t>overview</w:t>
      </w:r>
      <w:r w:rsidRPr="00EF5C48">
        <w:t xml:space="preserve"> and recommendation</w:t>
      </w:r>
      <w:r>
        <w:t>s:</w:t>
      </w:r>
    </w:p>
    <w:p w14:paraId="298B0F85" w14:textId="77777777" w:rsidR="008E7846" w:rsidRDefault="008E7846" w:rsidP="008E7846">
      <w:pPr>
        <w:pStyle w:val="Heading3"/>
      </w:pPr>
      <w:bookmarkStart w:id="191" w:name="_Toc314842511"/>
      <w:bookmarkStart w:id="192" w:name="_Toc12960538"/>
      <w:r>
        <w:t>Quality</w:t>
      </w:r>
      <w:bookmarkEnd w:id="190"/>
      <w:bookmarkEnd w:id="191"/>
      <w:bookmarkEnd w:id="192"/>
    </w:p>
    <w:p w14:paraId="56DF1C95" w14:textId="77777777" w:rsidR="00E45619" w:rsidRDefault="008E7846" w:rsidP="003A7F6C">
      <w:r>
        <w:t>There was no requirement for a quality evaluation in a submission of this type.</w:t>
      </w:r>
    </w:p>
    <w:p w14:paraId="485873F8" w14:textId="77777777" w:rsidR="008E7846" w:rsidRDefault="008E7846" w:rsidP="008E7846">
      <w:pPr>
        <w:pStyle w:val="Heading3"/>
      </w:pPr>
      <w:bookmarkStart w:id="193" w:name="_Toc314842512"/>
      <w:bookmarkStart w:id="194" w:name="_Toc12960539"/>
      <w:r>
        <w:t>Nonclinical</w:t>
      </w:r>
      <w:bookmarkEnd w:id="193"/>
      <w:bookmarkEnd w:id="194"/>
    </w:p>
    <w:p w14:paraId="0465C3E5" w14:textId="77777777" w:rsidR="008E7846" w:rsidRDefault="008E7846" w:rsidP="008E7846">
      <w:r>
        <w:t>There was no requirement for a nonclinical evaluation in a submission of this type.</w:t>
      </w:r>
    </w:p>
    <w:p w14:paraId="4F18D0A7" w14:textId="77777777" w:rsidR="008E7846" w:rsidRDefault="008E7846" w:rsidP="008E7846">
      <w:pPr>
        <w:pStyle w:val="Heading3"/>
      </w:pPr>
      <w:bookmarkStart w:id="195" w:name="_Toc247691530"/>
      <w:bookmarkStart w:id="196" w:name="_Toc314842513"/>
      <w:bookmarkStart w:id="197" w:name="_Toc12960540"/>
      <w:r>
        <w:t>Clinical</w:t>
      </w:r>
      <w:bookmarkEnd w:id="195"/>
      <w:bookmarkEnd w:id="196"/>
      <w:bookmarkEnd w:id="197"/>
    </w:p>
    <w:p w14:paraId="060973CF" w14:textId="77777777" w:rsidR="00007C96" w:rsidRPr="00A44C05" w:rsidRDefault="00007C96" w:rsidP="00007C96">
      <w:r w:rsidRPr="00A44C05">
        <w:t xml:space="preserve">The clinical evaluator recommended registration of </w:t>
      </w:r>
      <w:r w:rsidR="00266E72">
        <w:t>l</w:t>
      </w:r>
      <w:r w:rsidRPr="00A44C05">
        <w:t>enalidomide for the indication:</w:t>
      </w:r>
    </w:p>
    <w:p w14:paraId="33AC7736" w14:textId="77777777" w:rsidR="00007C96" w:rsidRDefault="00007C96" w:rsidP="00266E72">
      <w:pPr>
        <w:ind w:left="720"/>
      </w:pPr>
      <w:r w:rsidRPr="00266E72">
        <w:rPr>
          <w:i/>
        </w:rPr>
        <w:t>Revlimid is indicated for the treatment of patients with relapsed and/or refractory mantle cell lymphoma.</w:t>
      </w:r>
    </w:p>
    <w:p w14:paraId="7A661021" w14:textId="77777777" w:rsidR="00007C96" w:rsidRDefault="00007C96" w:rsidP="00007C96">
      <w:pPr>
        <w:pStyle w:val="Heading4"/>
      </w:pPr>
      <w:r w:rsidRPr="003F08CF">
        <w:lastRenderedPageBreak/>
        <w:t>Pharmacology</w:t>
      </w:r>
    </w:p>
    <w:p w14:paraId="3885C710" w14:textId="77777777" w:rsidR="00007C96" w:rsidRDefault="00007C96" w:rsidP="00007C96">
      <w:r>
        <w:t>No new data were presented for evaluation.</w:t>
      </w:r>
    </w:p>
    <w:p w14:paraId="7F327B10" w14:textId="77777777" w:rsidR="00007C96" w:rsidRDefault="00007C96" w:rsidP="00007C96">
      <w:pPr>
        <w:pStyle w:val="Heading4"/>
      </w:pPr>
      <w:r w:rsidRPr="003F08CF">
        <w:t>Efficacy</w:t>
      </w:r>
    </w:p>
    <w:p w14:paraId="4EA8153D" w14:textId="46F47671" w:rsidR="00007C96" w:rsidRDefault="00B32870" w:rsidP="00007C96">
      <w:pPr>
        <w:pStyle w:val="Heading5"/>
      </w:pPr>
      <w:r>
        <w:t xml:space="preserve">Pivotal study </w:t>
      </w:r>
      <w:r w:rsidR="001C502B">
        <w:t>(Study</w:t>
      </w:r>
      <w:r>
        <w:t>MCL-002</w:t>
      </w:r>
      <w:r w:rsidR="001C502B">
        <w:t>)</w:t>
      </w:r>
    </w:p>
    <w:p w14:paraId="2143ABE4" w14:textId="77777777" w:rsidR="00007C96" w:rsidRDefault="00007C96" w:rsidP="00007C96">
      <w:r w:rsidRPr="002F07C2">
        <w:t xml:space="preserve">This </w:t>
      </w:r>
      <w:r w:rsidR="00266E72">
        <w:t>P</w:t>
      </w:r>
      <w:r w:rsidRPr="002F07C2">
        <w:t xml:space="preserve">hase </w:t>
      </w:r>
      <w:r w:rsidR="00266E72">
        <w:t>II</w:t>
      </w:r>
      <w:r w:rsidRPr="002F07C2">
        <w:t xml:space="preserve"> study was a randomised controlled, open</w:t>
      </w:r>
      <w:r w:rsidR="00266E72">
        <w:t xml:space="preserve"> </w:t>
      </w:r>
      <w:r w:rsidRPr="002F07C2">
        <w:t xml:space="preserve">label trial comparing </w:t>
      </w:r>
      <w:r w:rsidR="00266E72">
        <w:t>l</w:t>
      </w:r>
      <w:r w:rsidRPr="002F07C2">
        <w:t>enalidomide monotherapy versus investigator choice of single agent in patients with relapsed or refractory MCL, with PFS as the primary outcome measure.</w:t>
      </w:r>
      <w:r>
        <w:t xml:space="preserve"> Patients who were candidates for further intensive chemotherapy or eligible for stem-cell transplant were excluded.</w:t>
      </w:r>
    </w:p>
    <w:p w14:paraId="3C25FE6E" w14:textId="77777777" w:rsidR="00007C96" w:rsidRDefault="00007C96" w:rsidP="00007C96">
      <w:r>
        <w:t xml:space="preserve">Crossover from control to </w:t>
      </w:r>
      <w:r w:rsidR="00266E72">
        <w:t>l</w:t>
      </w:r>
      <w:r>
        <w:t>enalidomide arm was permitted following disease progression.</w:t>
      </w:r>
    </w:p>
    <w:p w14:paraId="189E8912" w14:textId="77777777" w:rsidR="00007C96" w:rsidRDefault="00007C96" w:rsidP="00007C96">
      <w:r>
        <w:t>Baseline demographics were generally balanced between treatment arms; baseline disease characteristics were similar</w:t>
      </w:r>
      <w:r w:rsidR="00266E72">
        <w:t xml:space="preserve"> and</w:t>
      </w:r>
      <w:r>
        <w:t xml:space="preserve"> differences across categories were not consistently in favour of one arm over the other.</w:t>
      </w:r>
    </w:p>
    <w:p w14:paraId="14FD397B" w14:textId="1ED3D3EE" w:rsidR="00007C96" w:rsidRDefault="00007C96" w:rsidP="00007C96">
      <w:r>
        <w:t xml:space="preserve">The primary outcome of the study demonstrated a benefit from treatment with </w:t>
      </w:r>
      <w:r w:rsidR="00266E72">
        <w:t>l</w:t>
      </w:r>
      <w:r>
        <w:t>enalidomide on PFS</w:t>
      </w:r>
      <w:r w:rsidR="00266E72">
        <w:t>;</w:t>
      </w:r>
      <w:r>
        <w:t xml:space="preserve"> stratified HR </w:t>
      </w:r>
      <w:r w:rsidRPr="00BC4F7A">
        <w:t>= 0.63; 95% CI: 0.43 – 0.90; p</w:t>
      </w:r>
      <w:r w:rsidR="00AC61DE">
        <w:t xml:space="preserve"> </w:t>
      </w:r>
      <w:r w:rsidRPr="00BC4F7A">
        <w:t>=</w:t>
      </w:r>
      <w:r w:rsidR="00AC61DE">
        <w:t xml:space="preserve"> </w:t>
      </w:r>
      <w:r w:rsidRPr="00BC4F7A">
        <w:t>0.012</w:t>
      </w:r>
      <w:r>
        <w:t>. The difference in duration of PFS was 3.5 months.</w:t>
      </w:r>
    </w:p>
    <w:p w14:paraId="5192D12A" w14:textId="0BFFFF94" w:rsidR="00007C96" w:rsidRDefault="00007C96" w:rsidP="00007C96">
      <w:r>
        <w:t xml:space="preserve">The probability of </w:t>
      </w:r>
      <w:r w:rsidR="004A601C">
        <w:t xml:space="preserve">survival </w:t>
      </w:r>
      <w:r>
        <w:t>at one year was increased in the lenalidomide arm (41%) as compared to the control arm (21%).</w:t>
      </w:r>
    </w:p>
    <w:p w14:paraId="086F1BEB" w14:textId="77777777" w:rsidR="00007C96" w:rsidRPr="002F07C2" w:rsidRDefault="00007C96" w:rsidP="00007C96">
      <w:r>
        <w:t>No definitive conclusions of the effect of lenalidomide when compared against the individual regimen chosen for the control arm could be ascertained due to small patient populations for each therapy.</w:t>
      </w:r>
    </w:p>
    <w:p w14:paraId="298EA9D0" w14:textId="77777777" w:rsidR="00007C96" w:rsidRDefault="00007C96" w:rsidP="00007C96">
      <w:pPr>
        <w:pStyle w:val="Heading6"/>
      </w:pPr>
      <w:r>
        <w:t>Secondary outcomes</w:t>
      </w:r>
    </w:p>
    <w:p w14:paraId="6115672E" w14:textId="76FC970C" w:rsidR="00007C96" w:rsidRDefault="00007C96" w:rsidP="007A28BE">
      <w:r>
        <w:t xml:space="preserve">Among the control arm, 47% crossed over to lenalidomide following disease progression. No difference in </w:t>
      </w:r>
      <w:r w:rsidR="007A28BE">
        <w:t>OS</w:t>
      </w:r>
      <w:r>
        <w:t xml:space="preserve"> was observed between treatment arms</w:t>
      </w:r>
      <w:r w:rsidR="00266E72">
        <w:t>;</w:t>
      </w:r>
      <w:r>
        <w:t xml:space="preserve"> HR 0.89 (95% CI 0.62, 1.28), p</w:t>
      </w:r>
      <w:r w:rsidR="00AC61DE">
        <w:t> </w:t>
      </w:r>
      <w:r>
        <w:t>=</w:t>
      </w:r>
      <w:r w:rsidR="00AC61DE">
        <w:t xml:space="preserve"> </w:t>
      </w:r>
      <w:r>
        <w:t>0.519.</w:t>
      </w:r>
    </w:p>
    <w:p w14:paraId="0D2428A7" w14:textId="77777777" w:rsidR="00007C96" w:rsidRDefault="00007C96" w:rsidP="007A28BE">
      <w:r w:rsidRPr="00A60163">
        <w:t xml:space="preserve">ORR was statistically significantly higher in the </w:t>
      </w:r>
      <w:r w:rsidR="00266E72">
        <w:t>l</w:t>
      </w:r>
      <w:r w:rsidRPr="00A60163">
        <w:t>enalidomide arm (40.0%</w:t>
      </w:r>
      <w:r w:rsidR="001A0738">
        <w:t xml:space="preserve"> versus</w:t>
      </w:r>
      <w:r w:rsidRPr="00A60163">
        <w:t xml:space="preserve"> 10.7%). C</w:t>
      </w:r>
      <w:r w:rsidR="007A28BE">
        <w:t>R</w:t>
      </w:r>
      <w:r>
        <w:t xml:space="preserve"> </w:t>
      </w:r>
      <w:r w:rsidR="00BB2385">
        <w:t>was</w:t>
      </w:r>
      <w:r>
        <w:t xml:space="preserve"> only seen in the l</w:t>
      </w:r>
      <w:r w:rsidRPr="00A60163">
        <w:t>enalidomide arm (4.7%).</w:t>
      </w:r>
    </w:p>
    <w:p w14:paraId="3F385972" w14:textId="533B8FBC" w:rsidR="00007C96" w:rsidRDefault="00007C96" w:rsidP="007A28BE">
      <w:r>
        <w:t xml:space="preserve">Median time to progression was 9.1 months for the </w:t>
      </w:r>
      <w:r w:rsidR="00266E72">
        <w:t>l</w:t>
      </w:r>
      <w:r>
        <w:t xml:space="preserve">enalidomide arm as compared to 5.7 months for controls. Similarly time to treatment failure was longer for those receiving </w:t>
      </w:r>
      <w:r w:rsidR="00C92DA5">
        <w:t xml:space="preserve">lenalidomide </w:t>
      </w:r>
      <w:r>
        <w:t>(5.6 months) as compared to controls (4.1 months).</w:t>
      </w:r>
    </w:p>
    <w:p w14:paraId="6FCC4EE4" w14:textId="77777777" w:rsidR="00007C96" w:rsidRDefault="00007C96" w:rsidP="007A28BE">
      <w:r w:rsidRPr="00A60163">
        <w:t>The outcomes of duration of response and duration of stable disease were no different between the treatment arms.</w:t>
      </w:r>
    </w:p>
    <w:p w14:paraId="0BFB70ED" w14:textId="77777777" w:rsidR="00007C96" w:rsidRDefault="00007C96" w:rsidP="007A28BE">
      <w:pPr>
        <w:rPr>
          <w:b/>
        </w:rPr>
      </w:pPr>
      <w:r>
        <w:t xml:space="preserve">Supportive evidence of efficacy was observed from three single arm </w:t>
      </w:r>
      <w:r w:rsidR="00266E72">
        <w:t>P</w:t>
      </w:r>
      <w:r>
        <w:t xml:space="preserve">hase </w:t>
      </w:r>
      <w:r w:rsidR="00266E72">
        <w:t>II</w:t>
      </w:r>
      <w:r>
        <w:t xml:space="preserve"> studies, with no deterioration in quality of life associated with lenalidomide use.</w:t>
      </w:r>
    </w:p>
    <w:p w14:paraId="4827DD62" w14:textId="77777777" w:rsidR="00007C96" w:rsidRDefault="00007C96" w:rsidP="00007C96">
      <w:pPr>
        <w:pStyle w:val="Heading4"/>
      </w:pPr>
      <w:r w:rsidRPr="003F08CF">
        <w:t>Safety</w:t>
      </w:r>
    </w:p>
    <w:p w14:paraId="3C64D5AA" w14:textId="77777777" w:rsidR="00007C96" w:rsidRPr="000126A1" w:rsidRDefault="00007C96" w:rsidP="00007C96">
      <w:r w:rsidRPr="000126A1">
        <w:t xml:space="preserve">Safety was assessed for a total of 373 patients with MCL across the four submitted studies. </w:t>
      </w:r>
    </w:p>
    <w:p w14:paraId="0365A52A" w14:textId="77777777" w:rsidR="00007C96" w:rsidRDefault="00007C96" w:rsidP="00007C96">
      <w:pPr>
        <w:spacing w:before="0" w:after="0" w:line="240" w:lineRule="auto"/>
        <w:rPr>
          <w:rFonts w:asciiTheme="minorHAnsi" w:hAnsiTheme="minorHAnsi"/>
        </w:rPr>
      </w:pPr>
      <w:r>
        <w:rPr>
          <w:rFonts w:asciiTheme="minorHAnsi" w:hAnsiTheme="minorHAnsi"/>
        </w:rPr>
        <w:t>There were no dedicated studies of the safety of lenalidomide in comparison with alternative therapies.</w:t>
      </w:r>
    </w:p>
    <w:p w14:paraId="6D7DFDE4" w14:textId="77777777" w:rsidR="00007C96" w:rsidRDefault="00007C96" w:rsidP="00007C96">
      <w:pPr>
        <w:pStyle w:val="Heading5"/>
      </w:pPr>
      <w:r>
        <w:t>Pivotal study</w:t>
      </w:r>
    </w:p>
    <w:p w14:paraId="15821887" w14:textId="77777777" w:rsidR="00007C96" w:rsidRDefault="00007C96" w:rsidP="00007C96">
      <w:r>
        <w:t>The duration of exposure was longer in the lenalidomide arm (24.3 months) in comparison to control (13.1 months).</w:t>
      </w:r>
    </w:p>
    <w:p w14:paraId="3AF3C0E5" w14:textId="77777777" w:rsidR="00007C96" w:rsidRDefault="00007C96" w:rsidP="00007C96">
      <w:r w:rsidRPr="000126A1">
        <w:t>The incidence of AEs was higher in the lenalidomide arm</w:t>
      </w:r>
      <w:r>
        <w:t xml:space="preserve"> that the heterogeneous group of control therapies</w:t>
      </w:r>
      <w:r w:rsidRPr="000126A1">
        <w:t xml:space="preserve"> (95.2%</w:t>
      </w:r>
      <w:r w:rsidR="001A0738">
        <w:t xml:space="preserve"> versus</w:t>
      </w:r>
      <w:r w:rsidRPr="000126A1">
        <w:t xml:space="preserve"> 83.1%). </w:t>
      </w:r>
      <w:r>
        <w:t xml:space="preserve">The incidence of AEs standardised to duration of exposure were not presented in the </w:t>
      </w:r>
      <w:r w:rsidR="00266E72">
        <w:t>clinical evaluation report</w:t>
      </w:r>
      <w:r>
        <w:t>.</w:t>
      </w:r>
    </w:p>
    <w:p w14:paraId="343BE077" w14:textId="77777777" w:rsidR="00007C96" w:rsidRDefault="00007C96" w:rsidP="00007C96">
      <w:r>
        <w:lastRenderedPageBreak/>
        <w:t xml:space="preserve">The incidence of </w:t>
      </w:r>
      <w:r w:rsidR="00266E72">
        <w:t>G</w:t>
      </w:r>
      <w:r>
        <w:t>rade 3 or 4 AEs were also higher in the lenalidomide arm, notwithstanding the increased duration of exposure. The most commonly occurring treatment related AEs in the lenalidomide arm were consistent with those already known: n</w:t>
      </w:r>
      <w:r w:rsidRPr="000C7339">
        <w:t>eutrop</w:t>
      </w:r>
      <w:r>
        <w:t xml:space="preserve">aenia and febrile neutropaenia; </w:t>
      </w:r>
      <w:r w:rsidRPr="000C7339">
        <w:t>diarrhoea, c</w:t>
      </w:r>
      <w:r>
        <w:t>onstipation and abdominal pain; skin toxicities; fatigue/asthenia and pulmonary embolism.</w:t>
      </w:r>
    </w:p>
    <w:p w14:paraId="781F15CF" w14:textId="77777777" w:rsidR="00007C96" w:rsidRDefault="00007C96" w:rsidP="00007C96">
      <w:r>
        <w:t>Among patients that crossed over to lenalidomide, the incidence of treatment related AEs was 76.9%.</w:t>
      </w:r>
    </w:p>
    <w:p w14:paraId="5B94AB92" w14:textId="77777777" w:rsidR="00007C96" w:rsidRDefault="00266E72" w:rsidP="00007C96">
      <w:pPr>
        <w:pStyle w:val="Heading5"/>
      </w:pPr>
      <w:r>
        <w:t>Deaths</w:t>
      </w:r>
    </w:p>
    <w:p w14:paraId="7186E62A" w14:textId="77777777" w:rsidR="00007C96" w:rsidRDefault="00007C96" w:rsidP="00007C96">
      <w:r>
        <w:t xml:space="preserve">Noting the absence of </w:t>
      </w:r>
      <w:r w:rsidR="007A28BE">
        <w:t>OS</w:t>
      </w:r>
      <w:r>
        <w:t xml:space="preserve"> observed in the pivotal study, there were 128 deaths among the 250 patients among the safety population:</w:t>
      </w:r>
    </w:p>
    <w:p w14:paraId="5F38C933" w14:textId="77777777" w:rsidR="00007C96" w:rsidRPr="000C7339" w:rsidRDefault="00007C96" w:rsidP="00007C96">
      <w:pPr>
        <w:pStyle w:val="ListBullet"/>
      </w:pPr>
      <w:r>
        <w:t>I</w:t>
      </w:r>
      <w:r w:rsidRPr="000C7339">
        <w:t>n the lenalidomide group there were 83 deaths (49.7%)</w:t>
      </w:r>
      <w:r w:rsidR="00266E72">
        <w:t>;</w:t>
      </w:r>
      <w:r w:rsidRPr="000C7339">
        <w:t xml:space="preserve"> 15 during tr</w:t>
      </w:r>
      <w:r w:rsidR="00266E72">
        <w:t>eatment and 68 during follow-up.</w:t>
      </w:r>
    </w:p>
    <w:p w14:paraId="208B91C1" w14:textId="77777777" w:rsidR="00266E72" w:rsidRDefault="00007C96" w:rsidP="00007C96">
      <w:pPr>
        <w:pStyle w:val="ListBullet"/>
      </w:pPr>
      <w:r w:rsidRPr="000C7339">
        <w:t>In the control treatment only group there were 22 deaths (50.0%)</w:t>
      </w:r>
      <w:r w:rsidR="00266E72">
        <w:t>;</w:t>
      </w:r>
      <w:r w:rsidRPr="000C7339">
        <w:t xml:space="preserve"> 2 during treatment and 20 during follow-up</w:t>
      </w:r>
      <w:r w:rsidR="00266E72">
        <w:t>.</w:t>
      </w:r>
    </w:p>
    <w:p w14:paraId="256365FE" w14:textId="77777777" w:rsidR="00007C96" w:rsidRDefault="00007C96" w:rsidP="00007C96">
      <w:pPr>
        <w:pStyle w:val="ListBullet"/>
      </w:pPr>
      <w:r w:rsidRPr="000C7339">
        <w:t>In the control/lenalidomide crossover group there were 23 deaths (59.0%)</w:t>
      </w:r>
      <w:r w:rsidR="00266E72">
        <w:t>;</w:t>
      </w:r>
      <w:r w:rsidRPr="000C7339">
        <w:t xml:space="preserve"> 2 during crossover lenalidomide treatment and 21 during subsequent follow-up.</w:t>
      </w:r>
    </w:p>
    <w:p w14:paraId="714C82AF" w14:textId="77777777" w:rsidR="00007C96" w:rsidRDefault="00007C96" w:rsidP="00007C96">
      <w:r>
        <w:t>Causes of death other than those related to MCL included events related to thromboembolism</w:t>
      </w:r>
      <w:r w:rsidR="00266E72">
        <w:t xml:space="preserve"> which is</w:t>
      </w:r>
      <w:r>
        <w:t xml:space="preserve"> a risk already reported.</w:t>
      </w:r>
    </w:p>
    <w:p w14:paraId="1F3E635F" w14:textId="77777777" w:rsidR="00007C96" w:rsidRDefault="00007C96" w:rsidP="00007C96">
      <w:r>
        <w:t>Among all studies, deaths due to treatment toxicity were uncommon.</w:t>
      </w:r>
    </w:p>
    <w:p w14:paraId="3776E74A" w14:textId="77777777" w:rsidR="00007C96" w:rsidRPr="00B568EA" w:rsidRDefault="00007C96" w:rsidP="00007C96">
      <w:r w:rsidRPr="00B568EA">
        <w:t>The proportion of patients discontinuing therapy was similar between treatment arms in the pivotal study. For those receiving lenalidomide, the reasons for discontinuation were due to adverse events already known.</w:t>
      </w:r>
    </w:p>
    <w:p w14:paraId="6793C910" w14:textId="77777777" w:rsidR="00007C96" w:rsidRPr="00F12FDC" w:rsidRDefault="00007C96" w:rsidP="00007C96">
      <w:r w:rsidRPr="00F12FDC">
        <w:t xml:space="preserve">Adverse events of special interest and adverse laboratory parameter changes </w:t>
      </w:r>
      <w:r>
        <w:t xml:space="preserve">observed in the current studies </w:t>
      </w:r>
      <w:r w:rsidRPr="00F12FDC">
        <w:t>were consistent with the known profile of lenalidomide.</w:t>
      </w:r>
    </w:p>
    <w:p w14:paraId="2B955A15" w14:textId="77777777" w:rsidR="00007C96" w:rsidRPr="008E16F0" w:rsidRDefault="00007C96" w:rsidP="00007C96">
      <w:r w:rsidRPr="00F12FDC">
        <w:t>No new safety signals were identified during the course of th</w:t>
      </w:r>
      <w:r>
        <w:t>e studies in patients with MCL.</w:t>
      </w:r>
    </w:p>
    <w:p w14:paraId="1BADA75B" w14:textId="77777777" w:rsidR="008E7846" w:rsidRDefault="00386150" w:rsidP="007B6132">
      <w:pPr>
        <w:pStyle w:val="Heading3"/>
        <w:rPr>
          <w:lang w:eastAsia="en-AU"/>
        </w:rPr>
      </w:pPr>
      <w:bookmarkStart w:id="198" w:name="_Toc314842514"/>
      <w:bookmarkStart w:id="199" w:name="_Toc12960541"/>
      <w:r>
        <w:rPr>
          <w:lang w:eastAsia="en-AU"/>
        </w:rPr>
        <w:t>Risk m</w:t>
      </w:r>
      <w:r w:rsidR="008E7846">
        <w:rPr>
          <w:lang w:eastAsia="en-AU"/>
        </w:rPr>
        <w:t xml:space="preserve">anagement </w:t>
      </w:r>
      <w:r>
        <w:rPr>
          <w:lang w:eastAsia="en-AU"/>
        </w:rPr>
        <w:t>p</w:t>
      </w:r>
      <w:r w:rsidR="008E7846">
        <w:rPr>
          <w:lang w:eastAsia="en-AU"/>
        </w:rPr>
        <w:t>lan</w:t>
      </w:r>
      <w:bookmarkEnd w:id="198"/>
      <w:bookmarkEnd w:id="199"/>
    </w:p>
    <w:p w14:paraId="6FFA0BB9" w14:textId="77777777" w:rsidR="00007C96" w:rsidRPr="00112777" w:rsidRDefault="00007C96" w:rsidP="00007C96">
      <w:r w:rsidRPr="00112777">
        <w:t>The RMP evaluation was satisfactorily concluded after two round</w:t>
      </w:r>
      <w:r>
        <w:t>s</w:t>
      </w:r>
      <w:r w:rsidRPr="00112777">
        <w:t xml:space="preserve"> of evaluation.</w:t>
      </w:r>
    </w:p>
    <w:p w14:paraId="66A0A4DA" w14:textId="77777777" w:rsidR="00007C96" w:rsidRPr="00112777" w:rsidRDefault="00007C96" w:rsidP="00007C96">
      <w:r w:rsidRPr="00112777">
        <w:t>The Delegate concurs with the wording of the proposed condition of registration:</w:t>
      </w:r>
    </w:p>
    <w:p w14:paraId="3BE127B9" w14:textId="77777777" w:rsidR="008E7846" w:rsidRPr="00266E72" w:rsidRDefault="00007C96" w:rsidP="00266E72">
      <w:pPr>
        <w:ind w:left="720"/>
        <w:rPr>
          <w:i/>
        </w:rPr>
      </w:pPr>
      <w:r w:rsidRPr="00266E72">
        <w:rPr>
          <w:i/>
        </w:rPr>
        <w:t>Implement EU RMP version 27 (dated 18 August 2015, DLP 26 December 2014) with an Australian Specific Annex version 4.0 (dated 3 December 2015) and any future updates as a condition of registration.</w:t>
      </w:r>
    </w:p>
    <w:p w14:paraId="47BDA698" w14:textId="77777777" w:rsidR="008E7846" w:rsidRDefault="00AA0ED0" w:rsidP="008E7846">
      <w:pPr>
        <w:pStyle w:val="Heading3"/>
      </w:pPr>
      <w:bookmarkStart w:id="200" w:name="_Toc247691531"/>
      <w:bookmarkStart w:id="201" w:name="_Toc314842515"/>
      <w:bookmarkStart w:id="202" w:name="_Toc196046505"/>
      <w:bookmarkStart w:id="203" w:name="_Toc196046949"/>
      <w:bookmarkStart w:id="204" w:name="_Toc12960542"/>
      <w:r>
        <w:t>Risk-benefit a</w:t>
      </w:r>
      <w:r w:rsidR="008E7846">
        <w:t>nalysis</w:t>
      </w:r>
      <w:bookmarkEnd w:id="200"/>
      <w:bookmarkEnd w:id="201"/>
      <w:bookmarkEnd w:id="204"/>
    </w:p>
    <w:p w14:paraId="51ACEC82" w14:textId="2F05FA30" w:rsidR="00D23139" w:rsidRPr="00007C96" w:rsidRDefault="00D23139" w:rsidP="00007C96">
      <w:pPr>
        <w:pStyle w:val="Heading4"/>
      </w:pPr>
      <w:r w:rsidRPr="00D23139">
        <w:t>Delegate’s considerations</w:t>
      </w:r>
    </w:p>
    <w:p w14:paraId="71FA2884" w14:textId="77777777" w:rsidR="00007C96" w:rsidRDefault="00007C96" w:rsidP="00007C96">
      <w:pPr>
        <w:pStyle w:val="Heading5"/>
      </w:pPr>
      <w:r>
        <w:t>Efficacy</w:t>
      </w:r>
    </w:p>
    <w:p w14:paraId="24F1425F" w14:textId="77777777" w:rsidR="00007C96" w:rsidRDefault="00007C96" w:rsidP="00007C96">
      <w:r w:rsidRPr="00A93C3B">
        <w:t>The totality of the evidence presented in the dossier is supportive to extend the registered indications of lenalidomide to include treatment of patients with relapsed/refractory MCL.</w:t>
      </w:r>
    </w:p>
    <w:p w14:paraId="568BF813" w14:textId="77777777" w:rsidR="00007C96" w:rsidRDefault="00007C96" w:rsidP="00007C96">
      <w:r>
        <w:t xml:space="preserve">In comparison, the registration of </w:t>
      </w:r>
      <w:proofErr w:type="spellStart"/>
      <w:r>
        <w:t>ibrutinib</w:t>
      </w:r>
      <w:proofErr w:type="spellEnd"/>
      <w:r>
        <w:t xml:space="preserve"> for patients with relapsed MCL (including patients previously treated with lenalidomide) was based on a single</w:t>
      </w:r>
      <w:r w:rsidR="00A80672">
        <w:t xml:space="preserve"> </w:t>
      </w:r>
      <w:r>
        <w:t xml:space="preserve">arm </w:t>
      </w:r>
      <w:r w:rsidR="00A80672">
        <w:t>P</w:t>
      </w:r>
      <w:r>
        <w:t xml:space="preserve">hase </w:t>
      </w:r>
      <w:r w:rsidR="00A80672">
        <w:t>II</w:t>
      </w:r>
      <w:r>
        <w:t xml:space="preserve"> study in 111 patients, which reported an ORR of 67.6%, CR of 20.7% and duration of response of 17.5 months, however, PFS was not reported for this study.</w:t>
      </w:r>
    </w:p>
    <w:p w14:paraId="52B8C845" w14:textId="77777777" w:rsidR="00007C96" w:rsidRDefault="00007C96" w:rsidP="00007C96">
      <w:pPr>
        <w:pStyle w:val="Heading5"/>
      </w:pPr>
      <w:r>
        <w:lastRenderedPageBreak/>
        <w:t>Safety</w:t>
      </w:r>
    </w:p>
    <w:p w14:paraId="15E7D0F7" w14:textId="77777777" w:rsidR="00007C96" w:rsidRDefault="00007C96" w:rsidP="00007C96">
      <w:r w:rsidRPr="008E16F0">
        <w:t>The risks associated with lenalidomide in studies of patients with MCL are consistent with those for the currently registered indications.</w:t>
      </w:r>
    </w:p>
    <w:p w14:paraId="79485BA9" w14:textId="15F3D420" w:rsidR="00007C96" w:rsidRDefault="00007C96" w:rsidP="00007C96">
      <w:r>
        <w:t xml:space="preserve">For clarity, the </w:t>
      </w:r>
      <w:r w:rsidRPr="00366A0C">
        <w:rPr>
          <w:i/>
        </w:rPr>
        <w:t>Adverse Event</w:t>
      </w:r>
      <w:r>
        <w:t xml:space="preserve"> section of the </w:t>
      </w:r>
      <w:r w:rsidR="00A80672">
        <w:t>PI</w:t>
      </w:r>
      <w:r>
        <w:t xml:space="preserve"> has been amended to report the events seen in patients with MCL (</w:t>
      </w:r>
      <w:r w:rsidR="00A80672">
        <w:t>S</w:t>
      </w:r>
      <w:r>
        <w:t>tudies MCL-002 and MCL-001) separate from the profile in existing indications.</w:t>
      </w:r>
      <w:r w:rsidR="00266E72">
        <w:t xml:space="preserve"> </w:t>
      </w:r>
      <w:r>
        <w:t xml:space="preserve">However, owing to the commonality of </w:t>
      </w:r>
      <w:r w:rsidR="001C502B">
        <w:t xml:space="preserve">adverse drug reactions </w:t>
      </w:r>
      <w:r>
        <w:t>between indications, these have been presented in a single table.</w:t>
      </w:r>
    </w:p>
    <w:p w14:paraId="67F14A9E" w14:textId="77777777" w:rsidR="00456765" w:rsidRPr="00456765" w:rsidRDefault="00007C96" w:rsidP="00007C96">
      <w:r w:rsidRPr="008E16F0">
        <w:t>No post-marketing data was presented in the current submission.</w:t>
      </w:r>
    </w:p>
    <w:p w14:paraId="2EC882B7" w14:textId="77777777" w:rsidR="00D23139" w:rsidRDefault="00A22D57" w:rsidP="00D23139">
      <w:pPr>
        <w:pStyle w:val="Heading4"/>
      </w:pPr>
      <w:r>
        <w:t>Request for AC</w:t>
      </w:r>
      <w:r w:rsidR="00D23139" w:rsidRPr="00D23139">
        <w:t>M advice</w:t>
      </w:r>
    </w:p>
    <w:p w14:paraId="5D4B6EDC" w14:textId="77777777" w:rsidR="00456765" w:rsidRPr="00456765" w:rsidRDefault="00007C96" w:rsidP="00456765">
      <w:r>
        <w:t>Advice was not requested</w:t>
      </w:r>
      <w:r w:rsidR="00B32870">
        <w:t xml:space="preserve"> by the Delegate</w:t>
      </w:r>
      <w:r>
        <w:t>.</w:t>
      </w:r>
    </w:p>
    <w:p w14:paraId="31E8D998" w14:textId="77777777" w:rsidR="00A80672" w:rsidRDefault="00A80672" w:rsidP="00A80672">
      <w:pPr>
        <w:pStyle w:val="Heading4"/>
      </w:pPr>
      <w:r w:rsidRPr="00D23139">
        <w:t>Proposed action</w:t>
      </w:r>
    </w:p>
    <w:p w14:paraId="4CF076BB" w14:textId="77777777" w:rsidR="00A80672" w:rsidRDefault="00A80672" w:rsidP="00A80672">
      <w:r w:rsidRPr="008E16F0">
        <w:t xml:space="preserve">The Delegate </w:t>
      </w:r>
      <w:r>
        <w:t xml:space="preserve">proposed to </w:t>
      </w:r>
      <w:r w:rsidRPr="008E16F0">
        <w:t>approve the submission to extend the indicat</w:t>
      </w:r>
      <w:r>
        <w:t>ions of lenalidomide.</w:t>
      </w:r>
    </w:p>
    <w:p w14:paraId="4007CDF5" w14:textId="77777777" w:rsidR="00A80672" w:rsidRDefault="00A80672" w:rsidP="00A80672">
      <w:pPr>
        <w:pStyle w:val="Heading5"/>
      </w:pPr>
      <w:r>
        <w:t>Conditions of registration</w:t>
      </w:r>
    </w:p>
    <w:p w14:paraId="06750AAC" w14:textId="77777777" w:rsidR="00A80672" w:rsidRPr="008E16F0" w:rsidRDefault="00A80672" w:rsidP="00A80672">
      <w:r>
        <w:t>A</w:t>
      </w:r>
      <w:r w:rsidRPr="008E16F0">
        <w:t>s per the RMP section</w:t>
      </w:r>
      <w:r>
        <w:t xml:space="preserve"> (</w:t>
      </w:r>
      <w:r w:rsidRPr="008E16F0">
        <w:t>see above</w:t>
      </w:r>
      <w:r>
        <w:t>)</w:t>
      </w:r>
      <w:r w:rsidRPr="008E16F0">
        <w:t>.</w:t>
      </w:r>
    </w:p>
    <w:p w14:paraId="532713B8" w14:textId="3B0467F1" w:rsidR="00D23139" w:rsidRPr="0095081E" w:rsidRDefault="00456765" w:rsidP="00D23139">
      <w:pPr>
        <w:pStyle w:val="Heading4"/>
      </w:pPr>
      <w:r w:rsidRPr="0095081E">
        <w:t xml:space="preserve">Response from </w:t>
      </w:r>
      <w:r w:rsidR="00E41A89">
        <w:t>s</w:t>
      </w:r>
      <w:r w:rsidRPr="0095081E">
        <w:t>ponsor</w:t>
      </w:r>
    </w:p>
    <w:p w14:paraId="1D2C4C44" w14:textId="77777777" w:rsidR="00FB779B" w:rsidRPr="0095081E" w:rsidRDefault="00FB779B" w:rsidP="00FB779B">
      <w:r w:rsidRPr="0095081E">
        <w:t>Not applicable.</w:t>
      </w:r>
    </w:p>
    <w:p w14:paraId="47769F0D" w14:textId="77777777" w:rsidR="008E7846" w:rsidRDefault="008E7846" w:rsidP="008E7846">
      <w:pPr>
        <w:pStyle w:val="Heading4"/>
      </w:pPr>
      <w:r>
        <w:t>Advisory Committee Considerations</w:t>
      </w:r>
      <w:r w:rsidR="00456765">
        <w:rPr>
          <w:rStyle w:val="FootnoteReference"/>
        </w:rPr>
        <w:footnoteReference w:id="31"/>
      </w:r>
    </w:p>
    <w:p w14:paraId="2CC0811A" w14:textId="461D9070" w:rsidR="00456765" w:rsidRPr="00A322B3" w:rsidRDefault="00456765" w:rsidP="00456765">
      <w:r>
        <w:rPr>
          <w:bCs/>
        </w:rPr>
        <w:t xml:space="preserve">The Delegate did not refer this application to the Advisory Committee </w:t>
      </w:r>
      <w:proofErr w:type="spellStart"/>
      <w:r>
        <w:rPr>
          <w:bCs/>
        </w:rPr>
        <w:t>onMedicines</w:t>
      </w:r>
      <w:proofErr w:type="spellEnd"/>
      <w:r>
        <w:rPr>
          <w:bCs/>
        </w:rPr>
        <w:t xml:space="preserve"> (ACM) for advice.</w:t>
      </w:r>
    </w:p>
    <w:p w14:paraId="702591F1" w14:textId="77777777" w:rsidR="008E7846" w:rsidRDefault="008E7846" w:rsidP="008E7846">
      <w:pPr>
        <w:pStyle w:val="Heading3"/>
      </w:pPr>
      <w:bookmarkStart w:id="205" w:name="_Toc247691532"/>
      <w:bookmarkStart w:id="206" w:name="_Toc314842516"/>
      <w:bookmarkStart w:id="207" w:name="_Toc12960543"/>
      <w:bookmarkEnd w:id="93"/>
      <w:bookmarkEnd w:id="202"/>
      <w:bookmarkEnd w:id="203"/>
      <w:r>
        <w:t>Outcome</w:t>
      </w:r>
      <w:bookmarkEnd w:id="205"/>
      <w:bookmarkEnd w:id="206"/>
      <w:bookmarkEnd w:id="207"/>
    </w:p>
    <w:p w14:paraId="6C5CC009" w14:textId="77777777" w:rsidR="00586578" w:rsidRPr="00586578" w:rsidRDefault="00586578" w:rsidP="00586578">
      <w:r w:rsidRPr="00A80672">
        <w:t>Based on a review of quality, safety and efficacy, TGA approved the registration of Revlimid (Lenalidomide) 5, 10, 15 and 25 mg capsule hard for oral administration for the new indications</w:t>
      </w:r>
      <w:r>
        <w:t>:</w:t>
      </w:r>
    </w:p>
    <w:p w14:paraId="3D401247" w14:textId="77777777" w:rsidR="00D23139" w:rsidRPr="00586578" w:rsidRDefault="003174CD" w:rsidP="00586578">
      <w:pPr>
        <w:ind w:left="720"/>
        <w:rPr>
          <w:i/>
        </w:rPr>
      </w:pPr>
      <w:bookmarkStart w:id="208" w:name="_Toc247691533"/>
      <w:bookmarkStart w:id="209" w:name="_Toc314842517"/>
      <w:r w:rsidRPr="00586578">
        <w:rPr>
          <w:i/>
        </w:rPr>
        <w:t>Revlimid is indicated for</w:t>
      </w:r>
      <w:r w:rsidR="00266E72" w:rsidRPr="00586578">
        <w:rPr>
          <w:i/>
        </w:rPr>
        <w:t xml:space="preserve"> </w:t>
      </w:r>
      <w:r w:rsidRPr="00586578">
        <w:rPr>
          <w:i/>
        </w:rPr>
        <w:t>the</w:t>
      </w:r>
      <w:r w:rsidR="00266E72" w:rsidRPr="00586578">
        <w:rPr>
          <w:i/>
        </w:rPr>
        <w:t xml:space="preserve"> </w:t>
      </w:r>
      <w:r w:rsidRPr="00586578">
        <w:rPr>
          <w:i/>
        </w:rPr>
        <w:t>treatment</w:t>
      </w:r>
      <w:r w:rsidR="00266E72" w:rsidRPr="00586578">
        <w:rPr>
          <w:i/>
        </w:rPr>
        <w:t xml:space="preserve"> </w:t>
      </w:r>
      <w:r w:rsidRPr="00586578">
        <w:rPr>
          <w:i/>
        </w:rPr>
        <w:t>of patients</w:t>
      </w:r>
      <w:r w:rsidR="00266E72" w:rsidRPr="00586578">
        <w:rPr>
          <w:i/>
        </w:rPr>
        <w:t xml:space="preserve"> </w:t>
      </w:r>
      <w:r w:rsidRPr="00586578">
        <w:rPr>
          <w:i/>
        </w:rPr>
        <w:t>with relapsed and/or refractory mantle cell</w:t>
      </w:r>
      <w:r w:rsidRPr="00586578">
        <w:rPr>
          <w:i/>
          <w:spacing w:val="-30"/>
        </w:rPr>
        <w:t xml:space="preserve"> </w:t>
      </w:r>
      <w:r w:rsidRPr="00586578">
        <w:rPr>
          <w:i/>
        </w:rPr>
        <w:t>lymphoma.</w:t>
      </w:r>
    </w:p>
    <w:p w14:paraId="5E0A151E" w14:textId="77777777" w:rsidR="00D23139" w:rsidRPr="00D23139" w:rsidRDefault="00D23139" w:rsidP="00D23139">
      <w:pPr>
        <w:pStyle w:val="Heading4"/>
      </w:pPr>
      <w:r w:rsidRPr="00D23139">
        <w:t>Specific conditions of registration applying to these goods</w:t>
      </w:r>
    </w:p>
    <w:p w14:paraId="43D90C3F" w14:textId="2C264ED4" w:rsidR="003174CD" w:rsidRPr="00051FEE" w:rsidRDefault="003174CD" w:rsidP="00051FEE">
      <w:pPr>
        <w:pStyle w:val="ListBullet"/>
      </w:pPr>
      <w:r w:rsidRPr="00051FEE">
        <w:t xml:space="preserve">The </w:t>
      </w:r>
      <w:r w:rsidR="00A80672" w:rsidRPr="00051FEE">
        <w:t>Revlimid</w:t>
      </w:r>
      <w:r w:rsidRPr="00051FEE">
        <w:t xml:space="preserve"> EU-Risk Management Plan (RMP), version 27, (dated 18 August 2015, DLP 26 December 2014), with an Australian Specific Annex 4.0 (dated </w:t>
      </w:r>
      <w:r w:rsidRPr="00051FEE">
        <w:lastRenderedPageBreak/>
        <w:t>3</w:t>
      </w:r>
      <w:r w:rsidR="001C502B">
        <w:t> </w:t>
      </w:r>
      <w:r w:rsidRPr="00051FEE">
        <w:t>December</w:t>
      </w:r>
      <w:r w:rsidR="001C502B">
        <w:t> </w:t>
      </w:r>
      <w:r w:rsidRPr="00051FEE">
        <w:t>2015), and any subsequent revisions, as agreed with the TGA will be implemented in Australia.</w:t>
      </w:r>
    </w:p>
    <w:p w14:paraId="78B79963" w14:textId="77777777" w:rsidR="008E7846" w:rsidRDefault="00A80B5B" w:rsidP="00D23139">
      <w:pPr>
        <w:pStyle w:val="Heading2"/>
      </w:pPr>
      <w:bookmarkStart w:id="210" w:name="_Toc12960544"/>
      <w:proofErr w:type="gramStart"/>
      <w:r>
        <w:t>Attachment 1.</w:t>
      </w:r>
      <w:proofErr w:type="gramEnd"/>
      <w:r>
        <w:t xml:space="preserve"> </w:t>
      </w:r>
      <w:r w:rsidR="008E7846">
        <w:t xml:space="preserve">Product </w:t>
      </w:r>
      <w:r w:rsidR="00AA0ED0">
        <w:t>I</w:t>
      </w:r>
      <w:r w:rsidR="008E7846">
        <w:t>nformation</w:t>
      </w:r>
      <w:bookmarkEnd w:id="208"/>
      <w:bookmarkEnd w:id="209"/>
      <w:bookmarkEnd w:id="210"/>
    </w:p>
    <w:p w14:paraId="36845643" w14:textId="77777777" w:rsidR="00C80137" w:rsidRDefault="006136D7" w:rsidP="00C80137">
      <w:pPr>
        <w:rPr>
          <w:color w:val="000000"/>
          <w:lang w:eastAsia="en-AU"/>
        </w:rPr>
      </w:pPr>
      <w:r w:rsidRPr="002B3624">
        <w:t xml:space="preserve">The </w:t>
      </w:r>
      <w:r>
        <w:t>PI</w:t>
      </w:r>
      <w:r w:rsidRPr="002B3624">
        <w:t xml:space="preserve"> for </w:t>
      </w:r>
      <w:r w:rsidR="003174CD">
        <w:t>Revlimid</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7C6B9B" w:rsidRPr="007C6B9B">
        <w:t>&gt;.</w:t>
      </w:r>
    </w:p>
    <w:p w14:paraId="0DEE2661" w14:textId="77777777" w:rsidR="00C80137" w:rsidRPr="001D043B" w:rsidRDefault="00C80137" w:rsidP="003174CD">
      <w:pPr>
        <w:autoSpaceDE w:val="0"/>
        <w:autoSpaceDN w:val="0"/>
        <w:adjustRightInd w:val="0"/>
        <w:spacing w:after="0"/>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AC282DF" w14:textId="77777777" w:rsidTr="00A05FA4">
        <w:trPr>
          <w:trHeight w:hRule="exact" w:val="704"/>
        </w:trPr>
        <w:tc>
          <w:tcPr>
            <w:tcW w:w="9175" w:type="dxa"/>
          </w:tcPr>
          <w:p w14:paraId="04430925" w14:textId="77777777" w:rsidR="001C32CD" w:rsidRPr="00487162" w:rsidRDefault="001C32CD" w:rsidP="00A05FA4">
            <w:pPr>
              <w:pStyle w:val="TGASignoff"/>
            </w:pPr>
            <w:r w:rsidRPr="00487162">
              <w:lastRenderedPageBreak/>
              <w:t>Therapeutic Goods Administration</w:t>
            </w:r>
          </w:p>
        </w:tc>
      </w:tr>
      <w:tr w:rsidR="001C32CD" w:rsidRPr="004C239D" w14:paraId="5A49C789" w14:textId="77777777" w:rsidTr="00A05FA4">
        <w:trPr>
          <w:trHeight w:val="1221"/>
        </w:trPr>
        <w:tc>
          <w:tcPr>
            <w:tcW w:w="9175" w:type="dxa"/>
            <w:tcMar>
              <w:top w:w="28" w:type="dxa"/>
            </w:tcMar>
          </w:tcPr>
          <w:p w14:paraId="332361DB" w14:textId="77777777" w:rsidR="001C32CD" w:rsidRPr="00487162" w:rsidRDefault="001C32CD" w:rsidP="00A05FA4">
            <w:pPr>
              <w:pStyle w:val="Address"/>
            </w:pPr>
            <w:r w:rsidRPr="00487162">
              <w:t>PO Box 100 Woden ACT 2606 Australia</w:t>
            </w:r>
          </w:p>
          <w:p w14:paraId="6F6DD4EA" w14:textId="77777777" w:rsidR="001C32CD" w:rsidRPr="00487162" w:rsidRDefault="001C32CD" w:rsidP="00A05FA4">
            <w:pPr>
              <w:pStyle w:val="Address"/>
            </w:pPr>
            <w:r w:rsidRPr="00487162">
              <w:t xml:space="preserve">Email: </w:t>
            </w:r>
            <w:hyperlink r:id="rId28" w:history="1">
              <w:r w:rsidRPr="004C239D">
                <w:rPr>
                  <w:rStyle w:val="Hyperlink"/>
                </w:rPr>
                <w:t>info@tga.gov.au</w:t>
              </w:r>
            </w:hyperlink>
            <w:r w:rsidR="00266E72">
              <w:t xml:space="preserve"> </w:t>
            </w:r>
            <w:r w:rsidRPr="00487162">
              <w:t>Phone: 1800 020 653</w:t>
            </w:r>
            <w:r w:rsidR="00266E72">
              <w:t xml:space="preserve"> </w:t>
            </w:r>
            <w:r w:rsidRPr="00487162">
              <w:t>Fax: 02 6232 8605</w:t>
            </w:r>
          </w:p>
          <w:p w14:paraId="638E0459" w14:textId="77777777" w:rsidR="001C32CD" w:rsidRPr="004C239D" w:rsidRDefault="00E41A89"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5B78C09D"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7BE3A8" w15:done="0"/>
  <w15:commentEx w15:paraId="664DF4EB" w15:done="0"/>
  <w15:commentEx w15:paraId="489ACDB5" w15:done="0"/>
  <w15:commentEx w15:paraId="07C02C30" w15:done="0"/>
  <w15:commentEx w15:paraId="30626AC9" w15:done="0"/>
  <w15:commentEx w15:paraId="524E969D" w15:done="0"/>
  <w15:commentEx w15:paraId="5538BF2A" w15:done="0"/>
  <w15:commentEx w15:paraId="15B0436E" w15:done="0"/>
  <w15:commentEx w15:paraId="37832676" w15:done="0"/>
  <w15:commentEx w15:paraId="3D67616C" w15:done="0"/>
  <w15:commentEx w15:paraId="71DE5563" w15:done="0"/>
  <w15:commentEx w15:paraId="4AA78101" w15:done="0"/>
  <w15:commentEx w15:paraId="7DF1A949" w15:done="0"/>
  <w15:commentEx w15:paraId="419D484F" w15:done="0"/>
  <w15:commentEx w15:paraId="78BE302A" w15:done="0"/>
  <w15:commentEx w15:paraId="70CD55D6" w15:done="0"/>
  <w15:commentEx w15:paraId="3E1F902A" w15:done="0"/>
  <w15:commentEx w15:paraId="17E71517" w15:done="0"/>
  <w15:commentEx w15:paraId="7DA683ED" w15:done="0"/>
  <w15:commentEx w15:paraId="73E6949E" w15:done="0"/>
  <w15:commentEx w15:paraId="74D865CF" w15:done="0"/>
  <w15:commentEx w15:paraId="5D6015BA" w15:done="0"/>
  <w15:commentEx w15:paraId="678A958F" w15:done="0"/>
  <w15:commentEx w15:paraId="750C672F" w15:done="0"/>
  <w15:commentEx w15:paraId="1463B45D" w15:done="0"/>
  <w15:commentEx w15:paraId="424B8B76" w15:done="0"/>
  <w15:commentEx w15:paraId="6FD3A885" w15:done="0"/>
  <w15:commentEx w15:paraId="6731FE57" w15:done="0"/>
  <w15:commentEx w15:paraId="3D840E41" w15:done="0"/>
  <w15:commentEx w15:paraId="5FD2DBA3" w15:done="0"/>
  <w15:commentEx w15:paraId="7CD40912" w15:done="0"/>
  <w15:commentEx w15:paraId="1F9C74AB" w15:done="0"/>
  <w15:commentEx w15:paraId="2A43E64F" w15:done="0"/>
  <w15:commentEx w15:paraId="3353EA66" w15:done="0"/>
  <w15:commentEx w15:paraId="765F6CCF" w15:done="0"/>
  <w15:commentEx w15:paraId="270B9821" w15:done="0"/>
  <w15:commentEx w15:paraId="57C0F8F0" w15:done="0"/>
  <w15:commentEx w15:paraId="58EB7BE6" w15:done="0"/>
  <w15:commentEx w15:paraId="237B60F8" w15:done="0"/>
  <w15:commentEx w15:paraId="35CFF0C5" w15:done="0"/>
  <w15:commentEx w15:paraId="652364A9" w15:done="0"/>
  <w15:commentEx w15:paraId="1F8BCEC4" w15:done="0"/>
  <w15:commentEx w15:paraId="062385A8" w15:done="0"/>
  <w15:commentEx w15:paraId="299810F7" w15:done="0"/>
  <w15:commentEx w15:paraId="37EA108A" w15:done="0"/>
  <w15:commentEx w15:paraId="634E2859" w15:done="0"/>
  <w15:commentEx w15:paraId="35137C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BE3A8" w16cid:durableId="20508864"/>
  <w16cid:commentId w16cid:paraId="664DF4EB" w16cid:durableId="205088AD"/>
  <w16cid:commentId w16cid:paraId="489ACDB5" w16cid:durableId="2028E561"/>
  <w16cid:commentId w16cid:paraId="07C02C30" w16cid:durableId="204DE9E2"/>
  <w16cid:commentId w16cid:paraId="30626AC9" w16cid:durableId="2017DB31"/>
  <w16cid:commentId w16cid:paraId="524E969D" w16cid:durableId="204DE9E4"/>
  <w16cid:commentId w16cid:paraId="5538BF2A" w16cid:durableId="2028E609"/>
  <w16cid:commentId w16cid:paraId="15B0436E" w16cid:durableId="2055E5B9"/>
  <w16cid:commentId w16cid:paraId="37832676" w16cid:durableId="204DE9E6"/>
  <w16cid:commentId w16cid:paraId="3D67616C" w16cid:durableId="204DE9E7"/>
  <w16cid:commentId w16cid:paraId="71DE5563" w16cid:durableId="204DE9E8"/>
  <w16cid:commentId w16cid:paraId="4AA78101" w16cid:durableId="2017DB1C"/>
  <w16cid:commentId w16cid:paraId="7DF1A949" w16cid:durableId="204DE9EA"/>
  <w16cid:commentId w16cid:paraId="419D484F" w16cid:durableId="201E5475"/>
  <w16cid:commentId w16cid:paraId="78BE302A" w16cid:durableId="204DE9EC"/>
  <w16cid:commentId w16cid:paraId="70CD55D6" w16cid:durableId="2028E680"/>
  <w16cid:commentId w16cid:paraId="3E1F902A" w16cid:durableId="204DE9EE"/>
  <w16cid:commentId w16cid:paraId="17E71517" w16cid:durableId="2028E6A7"/>
  <w16cid:commentId w16cid:paraId="7DA683ED" w16cid:durableId="204DE9F0"/>
  <w16cid:commentId w16cid:paraId="73E6949E" w16cid:durableId="204DE9F1"/>
  <w16cid:commentId w16cid:paraId="74D865CF" w16cid:durableId="201946F6"/>
  <w16cid:commentId w16cid:paraId="5D6015BA" w16cid:durableId="2055E3F8"/>
  <w16cid:commentId w16cid:paraId="678A958F" w16cid:durableId="204DE9F3"/>
  <w16cid:commentId w16cid:paraId="750C672F" w16cid:durableId="204DE9F4"/>
  <w16cid:commentId w16cid:paraId="1463B45D" w16cid:durableId="2055E3DA"/>
  <w16cid:commentId w16cid:paraId="424B8B76" w16cid:durableId="201947B2"/>
  <w16cid:commentId w16cid:paraId="6FD3A885" w16cid:durableId="204DE9F6"/>
  <w16cid:commentId w16cid:paraId="6731FE57" w16cid:durableId="20194A0E"/>
  <w16cid:commentId w16cid:paraId="3D840E41" w16cid:durableId="204DE9F8"/>
  <w16cid:commentId w16cid:paraId="5FD2DBA3" w16cid:durableId="204DE9F9"/>
  <w16cid:commentId w16cid:paraId="7CD40912" w16cid:durableId="204DE9FA"/>
  <w16cid:commentId w16cid:paraId="1F9C74AB" w16cid:durableId="204DE9FB"/>
  <w16cid:commentId w16cid:paraId="2A43E64F" w16cid:durableId="204DE9FC"/>
  <w16cid:commentId w16cid:paraId="3353EA66" w16cid:durableId="2019397E"/>
  <w16cid:commentId w16cid:paraId="765F6CCF" w16cid:durableId="204DE9FE"/>
  <w16cid:commentId w16cid:paraId="270B9821" w16cid:durableId="2050899F"/>
  <w16cid:commentId w16cid:paraId="57C0F8F0" w16cid:durableId="2055E467"/>
  <w16cid:commentId w16cid:paraId="58EB7BE6" w16cid:durableId="204DE9FF"/>
  <w16cid:commentId w16cid:paraId="237B60F8" w16cid:durableId="2055E622"/>
  <w16cid:commentId w16cid:paraId="35CFF0C5" w16cid:durableId="204DEA00"/>
  <w16cid:commentId w16cid:paraId="652364A9" w16cid:durableId="204DEA01"/>
  <w16cid:commentId w16cid:paraId="1F8BCEC4" w16cid:durableId="204DEA02"/>
  <w16cid:commentId w16cid:paraId="062385A8" w16cid:durableId="204DEA03"/>
  <w16cid:commentId w16cid:paraId="299810F7" w16cid:durableId="204DEA04"/>
  <w16cid:commentId w16cid:paraId="37EA108A" w16cid:durableId="204DEA05"/>
  <w16cid:commentId w16cid:paraId="634E2859" w16cid:durableId="204DEA06"/>
  <w16cid:commentId w16cid:paraId="35137CB7" w16cid:durableId="20508A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25466" w14:textId="77777777" w:rsidR="00366A0C" w:rsidRDefault="00366A0C" w:rsidP="00C40A36">
      <w:pPr>
        <w:spacing w:after="0"/>
      </w:pPr>
      <w:r>
        <w:separator/>
      </w:r>
    </w:p>
  </w:endnote>
  <w:endnote w:type="continuationSeparator" w:id="0">
    <w:p w14:paraId="59464434" w14:textId="77777777" w:rsidR="00366A0C" w:rsidRDefault="00366A0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66A0C" w:rsidRPr="00487162" w14:paraId="1AC7AEED" w14:textId="77777777" w:rsidTr="00DB750B">
      <w:trPr>
        <w:trHeight w:val="269"/>
      </w:trPr>
      <w:tc>
        <w:tcPr>
          <w:tcW w:w="7371" w:type="dxa"/>
          <w:tcMar>
            <w:top w:w="142" w:type="dxa"/>
            <w:bottom w:w="0" w:type="dxa"/>
          </w:tcMar>
        </w:tcPr>
        <w:p w14:paraId="6005C105" w14:textId="76EFD0C0" w:rsidR="00366A0C" w:rsidRPr="00487162" w:rsidRDefault="00366A0C" w:rsidP="00C901DD">
          <w:pPr>
            <w:pStyle w:val="Footer"/>
          </w:pPr>
          <w:r w:rsidRPr="00487162">
            <w:t>AusPA</w:t>
          </w:r>
          <w:r>
            <w:t xml:space="preserve">R Revlimid </w:t>
          </w:r>
          <w:r>
            <w:rPr>
              <w:rFonts w:cstheme="majorHAnsi"/>
            </w:rPr>
            <w:t>Lenalidomide</w:t>
          </w:r>
          <w:r>
            <w:t xml:space="preserve"> </w:t>
          </w:r>
          <w:r w:rsidRPr="00186D46">
            <w:rPr>
              <w:rFonts w:asciiTheme="minorHAnsi" w:hAnsiTheme="minorHAnsi" w:cs="Arial"/>
              <w:szCs w:val="17"/>
            </w:rPr>
            <w:t>Celgene Pty Ltd</w:t>
          </w:r>
          <w:r>
            <w:t xml:space="preserve"> PM-2015</w:t>
          </w:r>
          <w:r w:rsidRPr="00487162">
            <w:t>-</w:t>
          </w:r>
          <w:r w:rsidR="00FE46F1">
            <w:t>00772-1-4</w:t>
          </w:r>
          <w:r w:rsidR="00FE46F1">
            <w:br/>
            <w:t>FINAL 6</w:t>
          </w:r>
          <w:r>
            <w:t xml:space="preserve"> May 2019</w:t>
          </w:r>
        </w:p>
      </w:tc>
      <w:tc>
        <w:tcPr>
          <w:tcW w:w="1490" w:type="dxa"/>
          <w:tcMar>
            <w:top w:w="142" w:type="dxa"/>
            <w:bottom w:w="0" w:type="dxa"/>
          </w:tcMar>
        </w:tcPr>
        <w:p w14:paraId="57CAD12E" w14:textId="77777777" w:rsidR="00366A0C" w:rsidRPr="00487162" w:rsidRDefault="00366A0C" w:rsidP="00DB750B">
          <w:pPr>
            <w:pStyle w:val="Footer"/>
            <w:jc w:val="right"/>
          </w:pPr>
          <w:r w:rsidRPr="00487162">
            <w:t xml:space="preserve">Page </w:t>
          </w:r>
          <w:r>
            <w:fldChar w:fldCharType="begin"/>
          </w:r>
          <w:r>
            <w:instrText xml:space="preserve"> PAGE  \* Arabic </w:instrText>
          </w:r>
          <w:r>
            <w:fldChar w:fldCharType="separate"/>
          </w:r>
          <w:r w:rsidR="00E41A89">
            <w:rPr>
              <w:noProof/>
            </w:rPr>
            <w:t>3</w:t>
          </w:r>
          <w:r>
            <w:fldChar w:fldCharType="end"/>
          </w:r>
          <w:r w:rsidRPr="00487162">
            <w:t xml:space="preserve"> of </w:t>
          </w:r>
          <w:r>
            <w:rPr>
              <w:noProof/>
            </w:rPr>
            <w:fldChar w:fldCharType="begin"/>
          </w:r>
          <w:r>
            <w:rPr>
              <w:noProof/>
            </w:rPr>
            <w:instrText xml:space="preserve"> NUMPAGES  \* Arabic </w:instrText>
          </w:r>
          <w:r>
            <w:rPr>
              <w:noProof/>
            </w:rPr>
            <w:fldChar w:fldCharType="separate"/>
          </w:r>
          <w:r w:rsidR="00E41A89">
            <w:rPr>
              <w:noProof/>
            </w:rPr>
            <w:t>34</w:t>
          </w:r>
          <w:r>
            <w:rPr>
              <w:noProof/>
            </w:rPr>
            <w:fldChar w:fldCharType="end"/>
          </w:r>
        </w:p>
      </w:tc>
    </w:tr>
  </w:tbl>
  <w:p w14:paraId="798E6C12" w14:textId="77777777" w:rsidR="00366A0C" w:rsidRDefault="00366A0C"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66A0C" w:rsidRPr="00487162" w14:paraId="32DF30FB" w14:textId="77777777" w:rsidTr="00E45619">
      <w:trPr>
        <w:trHeight w:val="269"/>
      </w:trPr>
      <w:tc>
        <w:tcPr>
          <w:tcW w:w="4519" w:type="dxa"/>
          <w:tcBorders>
            <w:top w:val="single" w:sz="4" w:space="0" w:color="auto"/>
          </w:tcBorders>
          <w:tcMar>
            <w:top w:w="142" w:type="dxa"/>
            <w:bottom w:w="0" w:type="dxa"/>
          </w:tcMar>
        </w:tcPr>
        <w:p w14:paraId="162BBB35" w14:textId="77777777" w:rsidR="00366A0C" w:rsidRPr="00487162" w:rsidRDefault="00366A0C" w:rsidP="00FE1DEE">
          <w:pPr>
            <w:pStyle w:val="Footer"/>
          </w:pPr>
          <w:r w:rsidRPr="00487162">
            <w:t>Document title, Part #, Section # - Section title</w:t>
          </w:r>
        </w:p>
        <w:p w14:paraId="26B9917C" w14:textId="77777777" w:rsidR="00366A0C" w:rsidRPr="00487162" w:rsidRDefault="00366A0C" w:rsidP="00FE1DEE">
          <w:pPr>
            <w:pStyle w:val="Footer"/>
          </w:pPr>
          <w:r w:rsidRPr="00487162">
            <w:t>V1.0 October 2010</w:t>
          </w:r>
        </w:p>
      </w:tc>
      <w:tc>
        <w:tcPr>
          <w:tcW w:w="4342" w:type="dxa"/>
          <w:tcBorders>
            <w:top w:val="single" w:sz="4" w:space="0" w:color="auto"/>
          </w:tcBorders>
          <w:tcMar>
            <w:top w:w="142" w:type="dxa"/>
            <w:bottom w:w="0" w:type="dxa"/>
          </w:tcMar>
        </w:tcPr>
        <w:p w14:paraId="380F027C" w14:textId="77777777" w:rsidR="00366A0C" w:rsidRPr="00487162" w:rsidRDefault="00366A0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tc>
    </w:tr>
  </w:tbl>
  <w:p w14:paraId="3766D02C" w14:textId="77777777" w:rsidR="00366A0C" w:rsidRDefault="00366A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88B9" w14:textId="77777777" w:rsidR="00366A0C" w:rsidRPr="001C32CD" w:rsidRDefault="00366A0C"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66A0C" w14:paraId="00C09427" w14:textId="77777777" w:rsidTr="0010601F">
      <w:trPr>
        <w:trHeight w:val="108"/>
      </w:trPr>
      <w:tc>
        <w:tcPr>
          <w:tcW w:w="8875" w:type="dxa"/>
          <w:gridSpan w:val="2"/>
          <w:tcBorders>
            <w:bottom w:val="single" w:sz="4" w:space="0" w:color="auto"/>
          </w:tcBorders>
          <w:tcMar>
            <w:right w:w="284" w:type="dxa"/>
          </w:tcMar>
        </w:tcPr>
        <w:p w14:paraId="18412774" w14:textId="77777777" w:rsidR="00366A0C" w:rsidRDefault="00366A0C" w:rsidP="006E08B3">
          <w:pPr>
            <w:pStyle w:val="Heading3"/>
          </w:pPr>
          <w:r>
            <w:t>Copyright</w:t>
          </w:r>
        </w:p>
        <w:p w14:paraId="1693523A" w14:textId="77777777" w:rsidR="00366A0C" w:rsidRDefault="00366A0C" w:rsidP="006E08B3">
          <w:r>
            <w:rPr>
              <w:rFonts w:cs="Arial"/>
            </w:rPr>
            <w:t>©</w:t>
          </w:r>
          <w:r>
            <w:t xml:space="preserve"> Commonwealth of Australia [add year]</w:t>
          </w:r>
        </w:p>
        <w:p w14:paraId="2CC640AE" w14:textId="77777777" w:rsidR="00366A0C" w:rsidRDefault="00366A0C" w:rsidP="006E08B3"/>
        <w:p w14:paraId="4CAC233C" w14:textId="77777777" w:rsidR="00366A0C" w:rsidRDefault="00366A0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2D08E57" w14:textId="77777777" w:rsidR="00366A0C" w:rsidRDefault="00366A0C" w:rsidP="006E08B3"/>
        <w:p w14:paraId="15F15568" w14:textId="77777777" w:rsidR="00366A0C" w:rsidRDefault="00366A0C" w:rsidP="006E08B3">
          <w:pPr>
            <w:pStyle w:val="Heading3"/>
          </w:pPr>
          <w:r>
            <w:t>Confidentiality</w:t>
          </w:r>
        </w:p>
        <w:p w14:paraId="66663A4B" w14:textId="77777777" w:rsidR="00366A0C" w:rsidRDefault="00366A0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AD732F9" w14:textId="77777777" w:rsidR="00366A0C" w:rsidRDefault="00366A0C" w:rsidP="006E08B3"/>
        <w:p w14:paraId="2CCB7198" w14:textId="77777777" w:rsidR="00366A0C" w:rsidRDefault="00366A0C" w:rsidP="006E08B3">
          <w:r>
            <w:t>For submission made by individuals, all personal details, other than your name, will be removed from your submission before it is published on the TGA’s Internet site.</w:t>
          </w:r>
        </w:p>
        <w:p w14:paraId="13D1A6DE" w14:textId="77777777" w:rsidR="00366A0C" w:rsidRDefault="00366A0C" w:rsidP="006E08B3"/>
        <w:p w14:paraId="6CFB5389" w14:textId="77777777" w:rsidR="00366A0C" w:rsidRDefault="00366A0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66A0C" w14:paraId="37C3252C" w14:textId="77777777" w:rsidTr="0010601F">
      <w:trPr>
        <w:trHeight w:val="417"/>
      </w:trPr>
      <w:tc>
        <w:tcPr>
          <w:tcW w:w="4519" w:type="dxa"/>
          <w:tcBorders>
            <w:top w:val="single" w:sz="4" w:space="0" w:color="auto"/>
          </w:tcBorders>
          <w:tcMar>
            <w:top w:w="142" w:type="dxa"/>
            <w:bottom w:w="0" w:type="dxa"/>
          </w:tcMar>
        </w:tcPr>
        <w:p w14:paraId="77004680" w14:textId="77777777" w:rsidR="00366A0C" w:rsidRDefault="00366A0C" w:rsidP="006E08B3">
          <w:r>
            <w:t>Document title, Part #, Section # - Section title</w:t>
          </w:r>
        </w:p>
        <w:p w14:paraId="609D8E64" w14:textId="77777777" w:rsidR="00366A0C" w:rsidRDefault="00366A0C" w:rsidP="006E08B3">
          <w:r>
            <w:t>V1.0 October 2010</w:t>
          </w:r>
        </w:p>
      </w:tc>
      <w:tc>
        <w:tcPr>
          <w:tcW w:w="4356" w:type="dxa"/>
          <w:tcBorders>
            <w:top w:val="single" w:sz="4" w:space="0" w:color="auto"/>
          </w:tcBorders>
          <w:tcMar>
            <w:top w:w="142" w:type="dxa"/>
            <w:bottom w:w="0" w:type="dxa"/>
          </w:tcMar>
        </w:tcPr>
        <w:p w14:paraId="176C7B4E" w14:textId="77777777" w:rsidR="00366A0C" w:rsidRDefault="00366A0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Pr>
              <w:noProof/>
            </w:rPr>
            <w:t>35</w:t>
          </w:r>
          <w:r>
            <w:rPr>
              <w:noProof/>
            </w:rPr>
            <w:fldChar w:fldCharType="end"/>
          </w:r>
          <w:r>
            <w:t xml:space="preserve"> </w:t>
          </w:r>
        </w:p>
      </w:tc>
    </w:tr>
  </w:tbl>
  <w:p w14:paraId="5475C78C" w14:textId="77777777" w:rsidR="00366A0C" w:rsidRDefault="00366A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A5AA4" w14:textId="77777777" w:rsidR="00366A0C" w:rsidRDefault="00366A0C" w:rsidP="00C40A36">
      <w:pPr>
        <w:spacing w:after="0"/>
      </w:pPr>
      <w:r>
        <w:separator/>
      </w:r>
    </w:p>
  </w:footnote>
  <w:footnote w:type="continuationSeparator" w:id="0">
    <w:p w14:paraId="7E831C90" w14:textId="77777777" w:rsidR="00366A0C" w:rsidRDefault="00366A0C" w:rsidP="00C40A36">
      <w:pPr>
        <w:spacing w:after="0"/>
      </w:pPr>
      <w:r>
        <w:continuationSeparator/>
      </w:r>
    </w:p>
  </w:footnote>
  <w:footnote w:id="1">
    <w:p w14:paraId="4AE74183" w14:textId="604032C5" w:rsidR="00366A0C" w:rsidRPr="00357AFC" w:rsidRDefault="00366A0C" w:rsidP="00A926B4">
      <w:pPr>
        <w:pStyle w:val="FootnoteText"/>
      </w:pPr>
      <w:r>
        <w:rPr>
          <w:rStyle w:val="FootnoteReference"/>
        </w:rPr>
        <w:footnoteRef/>
      </w:r>
      <w:r>
        <w:t xml:space="preserve"> </w:t>
      </w:r>
      <w:proofErr w:type="spellStart"/>
      <w:proofErr w:type="gramStart"/>
      <w:r w:rsidRPr="00357AFC">
        <w:t>Rajabi</w:t>
      </w:r>
      <w:proofErr w:type="spellEnd"/>
      <w:r w:rsidRPr="00357AFC">
        <w:t xml:space="preserve"> B and </w:t>
      </w:r>
      <w:proofErr w:type="spellStart"/>
      <w:r w:rsidRPr="00357AFC">
        <w:t>Sweetenham</w:t>
      </w:r>
      <w:proofErr w:type="spellEnd"/>
      <w:r w:rsidRPr="00357AFC">
        <w:t xml:space="preserve"> JW.</w:t>
      </w:r>
      <w:proofErr w:type="gramEnd"/>
      <w:r w:rsidRPr="00357AFC">
        <w:t xml:space="preserve"> Mantle cell lymphoma: observation to transplantation. </w:t>
      </w:r>
      <w:proofErr w:type="spellStart"/>
      <w:r w:rsidRPr="00366A0C">
        <w:rPr>
          <w:i/>
        </w:rPr>
        <w:t>Ther</w:t>
      </w:r>
      <w:proofErr w:type="spellEnd"/>
      <w:r w:rsidRPr="00366A0C">
        <w:rPr>
          <w:i/>
        </w:rPr>
        <w:t xml:space="preserve"> </w:t>
      </w:r>
      <w:proofErr w:type="spellStart"/>
      <w:r w:rsidRPr="00366A0C">
        <w:rPr>
          <w:i/>
        </w:rPr>
        <w:t>Adv</w:t>
      </w:r>
      <w:proofErr w:type="spellEnd"/>
      <w:r w:rsidRPr="00366A0C">
        <w:rPr>
          <w:i/>
        </w:rPr>
        <w:t xml:space="preserve"> </w:t>
      </w:r>
      <w:proofErr w:type="spellStart"/>
      <w:r w:rsidRPr="00366A0C">
        <w:rPr>
          <w:i/>
        </w:rPr>
        <w:t>Hematol</w:t>
      </w:r>
      <w:proofErr w:type="spellEnd"/>
      <w:r w:rsidRPr="00357AFC">
        <w:t xml:space="preserve"> 2015; 6</w:t>
      </w:r>
      <w:r>
        <w:t>:</w:t>
      </w:r>
      <w:r w:rsidRPr="00357AFC">
        <w:t xml:space="preserve"> 37– 48</w:t>
      </w:r>
    </w:p>
  </w:footnote>
  <w:footnote w:id="2">
    <w:p w14:paraId="24C9089F" w14:textId="2C145496" w:rsidR="00366A0C" w:rsidRPr="00366A0C" w:rsidRDefault="00366A0C" w:rsidP="00366A0C">
      <w:pPr>
        <w:pStyle w:val="FootnoteText"/>
      </w:pPr>
      <w:r>
        <w:rPr>
          <w:rStyle w:val="FootnoteReference"/>
        </w:rPr>
        <w:footnoteRef/>
      </w:r>
      <w:r>
        <w:t xml:space="preserve"> </w:t>
      </w:r>
      <w:r w:rsidRPr="00357AFC">
        <w:rPr>
          <w:rStyle w:val="FootnoteTextChar"/>
        </w:rPr>
        <w:t xml:space="preserve">Wang Y and Ma S. Risk Factors for </w:t>
      </w:r>
      <w:proofErr w:type="spellStart"/>
      <w:r w:rsidRPr="00357AFC">
        <w:rPr>
          <w:rStyle w:val="FootnoteTextChar"/>
        </w:rPr>
        <w:t>Etiology</w:t>
      </w:r>
      <w:proofErr w:type="spellEnd"/>
      <w:r w:rsidRPr="00357AFC">
        <w:rPr>
          <w:rStyle w:val="FootnoteTextChar"/>
        </w:rPr>
        <w:t xml:space="preserve"> and Prognosis of Mantle Cell Lymphoma. </w:t>
      </w:r>
      <w:r w:rsidRPr="00366A0C">
        <w:rPr>
          <w:rStyle w:val="FootnoteTextChar"/>
          <w:i/>
        </w:rPr>
        <w:t xml:space="preserve">Expert Rev </w:t>
      </w:r>
      <w:proofErr w:type="spellStart"/>
      <w:r w:rsidRPr="00366A0C">
        <w:rPr>
          <w:rStyle w:val="FootnoteTextChar"/>
          <w:i/>
        </w:rPr>
        <w:t>Hematol</w:t>
      </w:r>
      <w:proofErr w:type="spellEnd"/>
      <w:r w:rsidRPr="00366A0C">
        <w:rPr>
          <w:rStyle w:val="FootnoteTextChar"/>
          <w:i/>
        </w:rPr>
        <w:t>.</w:t>
      </w:r>
      <w:r w:rsidRPr="00357AFC">
        <w:rPr>
          <w:rStyle w:val="FootnoteTextChar"/>
        </w:rPr>
        <w:t xml:space="preserve"> 2014; 7: 233–243</w:t>
      </w:r>
    </w:p>
  </w:footnote>
  <w:footnote w:id="3">
    <w:p w14:paraId="4F5C80EC" w14:textId="41260CC9" w:rsidR="00366A0C" w:rsidRPr="00357AFC" w:rsidRDefault="00366A0C">
      <w:pPr>
        <w:pStyle w:val="FootnoteText"/>
      </w:pPr>
      <w:r>
        <w:rPr>
          <w:rStyle w:val="FootnoteReference"/>
        </w:rPr>
        <w:footnoteRef/>
      </w:r>
      <w:r>
        <w:t xml:space="preserve"> </w:t>
      </w:r>
      <w:proofErr w:type="spellStart"/>
      <w:proofErr w:type="gramStart"/>
      <w:r w:rsidRPr="00357AFC">
        <w:t>Saba</w:t>
      </w:r>
      <w:proofErr w:type="spellEnd"/>
      <w:r w:rsidRPr="00357AFC">
        <w:t xml:space="preserve"> N and</w:t>
      </w:r>
      <w:r>
        <w:t xml:space="preserve"> </w:t>
      </w:r>
      <w:proofErr w:type="spellStart"/>
      <w:r w:rsidRPr="00357AFC">
        <w:t>Wiestner</w:t>
      </w:r>
      <w:proofErr w:type="spellEnd"/>
      <w:r w:rsidRPr="00357AFC">
        <w:t xml:space="preserve"> A.</w:t>
      </w:r>
      <w:proofErr w:type="gramEnd"/>
      <w:r w:rsidRPr="00357AFC">
        <w:t xml:space="preserve"> Do Mantle Cell Lymphomas have an “Achilles Heel”? </w:t>
      </w:r>
      <w:proofErr w:type="spellStart"/>
      <w:r w:rsidRPr="00366A0C">
        <w:rPr>
          <w:i/>
        </w:rPr>
        <w:t>Curr</w:t>
      </w:r>
      <w:proofErr w:type="spellEnd"/>
      <w:r w:rsidRPr="00366A0C">
        <w:rPr>
          <w:i/>
        </w:rPr>
        <w:t xml:space="preserve"> </w:t>
      </w:r>
      <w:proofErr w:type="spellStart"/>
      <w:r w:rsidRPr="00366A0C">
        <w:rPr>
          <w:i/>
        </w:rPr>
        <w:t>Opin</w:t>
      </w:r>
      <w:proofErr w:type="spellEnd"/>
      <w:r w:rsidRPr="00366A0C">
        <w:rPr>
          <w:i/>
        </w:rPr>
        <w:t xml:space="preserve"> </w:t>
      </w:r>
      <w:proofErr w:type="spellStart"/>
      <w:r w:rsidRPr="00366A0C">
        <w:rPr>
          <w:i/>
        </w:rPr>
        <w:t>Hematol</w:t>
      </w:r>
      <w:proofErr w:type="spellEnd"/>
      <w:r w:rsidRPr="00357AFC">
        <w:t xml:space="preserve"> 2014; 21: 350–357.</w:t>
      </w:r>
    </w:p>
  </w:footnote>
  <w:footnote w:id="4">
    <w:p w14:paraId="5AFE87FE" w14:textId="6BC54B6A" w:rsidR="00366A0C" w:rsidRDefault="00366A0C" w:rsidP="00825BB0">
      <w:pPr>
        <w:pStyle w:val="FootnoteText"/>
      </w:pPr>
      <w:r>
        <w:rPr>
          <w:rStyle w:val="FootnoteReference"/>
        </w:rPr>
        <w:footnoteRef/>
      </w:r>
      <w:r w:rsidRPr="00366A0C">
        <w:rPr>
          <w:lang w:val="fr-CH"/>
        </w:rPr>
        <w:t xml:space="preserve"> </w:t>
      </w:r>
      <w:proofErr w:type="spellStart"/>
      <w:r w:rsidRPr="00366A0C">
        <w:rPr>
          <w:lang w:val="fr-CH"/>
        </w:rPr>
        <w:t>Armitage</w:t>
      </w:r>
      <w:proofErr w:type="spellEnd"/>
      <w:r w:rsidRPr="00366A0C">
        <w:rPr>
          <w:lang w:val="fr-CH"/>
        </w:rPr>
        <w:t xml:space="preserve"> JO, et al. </w:t>
      </w:r>
      <w:proofErr w:type="gramStart"/>
      <w:r w:rsidRPr="00357AFC">
        <w:t>Mantle Cell Lymphoma.</w:t>
      </w:r>
      <w:proofErr w:type="gramEnd"/>
      <w:r w:rsidRPr="00357AFC">
        <w:t xml:space="preserve"> In: Text Atlas of Lymphomas. </w:t>
      </w:r>
      <w:proofErr w:type="gramStart"/>
      <w:r w:rsidRPr="00357AFC">
        <w:t>Revised edition.</w:t>
      </w:r>
      <w:proofErr w:type="gramEnd"/>
      <w:r w:rsidRPr="00357AFC">
        <w:t xml:space="preserve"> London: Martin </w:t>
      </w:r>
      <w:proofErr w:type="spellStart"/>
      <w:r w:rsidRPr="00357AFC">
        <w:t>Duntz</w:t>
      </w:r>
      <w:proofErr w:type="spellEnd"/>
      <w:r w:rsidRPr="00357AFC">
        <w:t xml:space="preserve"> Ltd, 2002, pp 61-67.</w:t>
      </w:r>
    </w:p>
  </w:footnote>
  <w:footnote w:id="5">
    <w:p w14:paraId="5A794CBB" w14:textId="77777777" w:rsidR="00366A0C" w:rsidRPr="003070DD" w:rsidRDefault="00366A0C">
      <w:pPr>
        <w:pStyle w:val="FootnoteText"/>
      </w:pPr>
      <w:r>
        <w:rPr>
          <w:rStyle w:val="FootnoteReference"/>
        </w:rPr>
        <w:footnoteRef/>
      </w:r>
      <w:r>
        <w:t xml:space="preserve"> </w:t>
      </w:r>
      <w:r w:rsidRPr="003070DD">
        <w:t xml:space="preserve">National Comprehensive Care Network (NCCN). NCCN Clinical Practice Guidelines in Oncology – Non-Hodgkin’s Lymphomas. </w:t>
      </w:r>
      <w:proofErr w:type="gramStart"/>
      <w:r w:rsidRPr="003070DD">
        <w:t>Version 2.2015 (2015).</w:t>
      </w:r>
      <w:proofErr w:type="gramEnd"/>
      <w:r w:rsidRPr="003070DD">
        <w:t xml:space="preserve"> Available from: </w:t>
      </w:r>
      <w:hyperlink r:id="rId1" w:anchor="site" w:history="1">
        <w:r w:rsidRPr="003070DD">
          <w:t>http://www.nccn.org/professionals/physician_gls/f_guidelines.asp#site</w:t>
        </w:r>
      </w:hyperlink>
    </w:p>
  </w:footnote>
  <w:footnote w:id="6">
    <w:p w14:paraId="7A8177F3" w14:textId="3D184A59" w:rsidR="00366A0C" w:rsidRDefault="00366A0C">
      <w:pPr>
        <w:pStyle w:val="FootnoteText"/>
      </w:pPr>
      <w:r>
        <w:rPr>
          <w:rStyle w:val="FootnoteReference"/>
        </w:rPr>
        <w:footnoteRef/>
      </w:r>
      <w:r>
        <w:t xml:space="preserve"> </w:t>
      </w:r>
      <w:proofErr w:type="spellStart"/>
      <w:r>
        <w:t>Dreyling</w:t>
      </w:r>
      <w:proofErr w:type="spellEnd"/>
      <w:r>
        <w:t xml:space="preserve"> M, et al. Newly diagnosed and </w:t>
      </w:r>
      <w:proofErr w:type="gramStart"/>
      <w:r>
        <w:t>relapsed</w:t>
      </w:r>
      <w:proofErr w:type="gramEnd"/>
      <w:r>
        <w:t xml:space="preserve"> mantle cell lymphoma: ESMO Clinical Practice Guidelines for diagnosis, treatment and follow-up</w:t>
      </w:r>
      <w:r w:rsidRPr="00366A0C">
        <w:rPr>
          <w:i/>
        </w:rPr>
        <w:t xml:space="preserve">. </w:t>
      </w:r>
      <w:proofErr w:type="gramStart"/>
      <w:r w:rsidRPr="00366A0C">
        <w:rPr>
          <w:i/>
        </w:rPr>
        <w:t>Annals of Oncology</w:t>
      </w:r>
      <w:r>
        <w:t>.</w:t>
      </w:r>
      <w:proofErr w:type="gramEnd"/>
      <w:r>
        <w:t xml:space="preserve"> 2014; 25 (</w:t>
      </w:r>
      <w:proofErr w:type="spellStart"/>
      <w:r>
        <w:t>Suppl</w:t>
      </w:r>
      <w:proofErr w:type="spellEnd"/>
      <w:r>
        <w:t xml:space="preserve"> 3): iii83–iii92.</w:t>
      </w:r>
    </w:p>
  </w:footnote>
  <w:footnote w:id="7">
    <w:p w14:paraId="53E39332" w14:textId="74902676" w:rsidR="00366A0C" w:rsidRPr="003070DD" w:rsidRDefault="00366A0C" w:rsidP="000613A6">
      <w:pPr>
        <w:pStyle w:val="EndnoteText"/>
        <w:tabs>
          <w:tab w:val="left" w:pos="0"/>
        </w:tabs>
        <w:rPr>
          <w:rStyle w:val="FootnoteTextChar"/>
        </w:rPr>
      </w:pPr>
      <w:r>
        <w:rPr>
          <w:rStyle w:val="FootnoteReference"/>
        </w:rPr>
        <w:footnoteRef/>
      </w:r>
      <w:r>
        <w:t xml:space="preserve"> </w:t>
      </w:r>
      <w:proofErr w:type="gramStart"/>
      <w:r w:rsidRPr="003070DD">
        <w:rPr>
          <w:rStyle w:val="FootnoteTextChar"/>
        </w:rPr>
        <w:t>European Medicines Agency.</w:t>
      </w:r>
      <w:proofErr w:type="gramEnd"/>
      <w:r w:rsidRPr="003070DD">
        <w:rPr>
          <w:rStyle w:val="FootnoteTextChar"/>
        </w:rPr>
        <w:t xml:space="preserve"> </w:t>
      </w:r>
      <w:proofErr w:type="gramStart"/>
      <w:r w:rsidRPr="003070DD">
        <w:rPr>
          <w:rStyle w:val="FootnoteTextChar"/>
        </w:rPr>
        <w:t>Guideline on the evaluation of anticancer medicinal products in man.</w:t>
      </w:r>
      <w:proofErr w:type="gramEnd"/>
      <w:r w:rsidRPr="003070DD">
        <w:rPr>
          <w:rStyle w:val="FootnoteTextChar"/>
        </w:rPr>
        <w:t xml:space="preserve"> </w:t>
      </w:r>
      <w:r>
        <w:rPr>
          <w:rStyle w:val="FootnoteTextChar"/>
        </w:rPr>
        <w:t>E</w:t>
      </w:r>
      <w:r w:rsidRPr="003070DD">
        <w:rPr>
          <w:rStyle w:val="FootnoteTextChar"/>
        </w:rPr>
        <w:t>MA/CHMP/205/95/Rev.4; (2012).</w:t>
      </w:r>
    </w:p>
  </w:footnote>
  <w:footnote w:id="8">
    <w:p w14:paraId="5C92D0FC" w14:textId="59207E44" w:rsidR="00366A0C" w:rsidRPr="003070DD" w:rsidRDefault="00366A0C" w:rsidP="000613A6">
      <w:pPr>
        <w:pStyle w:val="EndnoteText"/>
        <w:tabs>
          <w:tab w:val="left" w:pos="0"/>
        </w:tabs>
        <w:rPr>
          <w:rStyle w:val="FootnoteTextChar"/>
        </w:rPr>
      </w:pPr>
      <w:r>
        <w:rPr>
          <w:rStyle w:val="FootnoteReference"/>
        </w:rPr>
        <w:footnoteRef/>
      </w:r>
      <w:r>
        <w:t xml:space="preserve"> </w:t>
      </w:r>
      <w:proofErr w:type="gramStart"/>
      <w:r w:rsidRPr="003070DD">
        <w:rPr>
          <w:rStyle w:val="FootnoteTextChar"/>
        </w:rPr>
        <w:t>European Medicines Agency.</w:t>
      </w:r>
      <w:proofErr w:type="gramEnd"/>
      <w:r w:rsidRPr="003070DD">
        <w:rPr>
          <w:rStyle w:val="FootnoteTextChar"/>
        </w:rPr>
        <w:t xml:space="preserve"> </w:t>
      </w:r>
      <w:proofErr w:type="gramStart"/>
      <w:r w:rsidRPr="003070DD">
        <w:rPr>
          <w:rStyle w:val="FootnoteTextChar"/>
        </w:rPr>
        <w:t>Appendix 1 to the guideline on the evaluation of anticancer medicinal products in man.</w:t>
      </w:r>
      <w:proofErr w:type="gramEnd"/>
      <w:r w:rsidRPr="003070DD">
        <w:rPr>
          <w:rStyle w:val="FootnoteTextChar"/>
        </w:rPr>
        <w:t xml:space="preserve"> </w:t>
      </w:r>
      <w:proofErr w:type="gramStart"/>
      <w:r w:rsidRPr="003070DD">
        <w:rPr>
          <w:rStyle w:val="FootnoteTextChar"/>
        </w:rPr>
        <w:t>Methodological consideration for using progression-free survival (PFS) or disease-free survival (DFS) in confirmatory trials.</w:t>
      </w:r>
      <w:proofErr w:type="gramEnd"/>
      <w:r w:rsidRPr="003070DD">
        <w:rPr>
          <w:rStyle w:val="FootnoteTextChar"/>
        </w:rPr>
        <w:t xml:space="preserve"> EMA/CHMP/27994/2008/Rev.1; (2012).</w:t>
      </w:r>
    </w:p>
  </w:footnote>
  <w:footnote w:id="9">
    <w:p w14:paraId="07683C00" w14:textId="4E98EB37" w:rsidR="00366A0C" w:rsidRPr="003070DD" w:rsidRDefault="00366A0C">
      <w:pPr>
        <w:pStyle w:val="FootnoteText"/>
      </w:pPr>
      <w:r>
        <w:rPr>
          <w:rStyle w:val="FootnoteReference"/>
        </w:rPr>
        <w:footnoteRef/>
      </w:r>
      <w:r>
        <w:t xml:space="preserve"> </w:t>
      </w:r>
      <w:proofErr w:type="gramStart"/>
      <w:r w:rsidRPr="003070DD">
        <w:t>European Medicines Agency.</w:t>
      </w:r>
      <w:proofErr w:type="gramEnd"/>
      <w:r>
        <w:t xml:space="preserve"> </w:t>
      </w:r>
      <w:proofErr w:type="gramStart"/>
      <w:r w:rsidRPr="003070DD">
        <w:t>Points to consider on application with 1.</w:t>
      </w:r>
      <w:proofErr w:type="gramEnd"/>
      <w:r w:rsidRPr="003070DD">
        <w:t xml:space="preserve"> </w:t>
      </w:r>
      <w:proofErr w:type="gramStart"/>
      <w:r w:rsidRPr="003070DD">
        <w:t>Meta-analyses; 2.</w:t>
      </w:r>
      <w:proofErr w:type="gramEnd"/>
      <w:r w:rsidRPr="003070DD">
        <w:t xml:space="preserve"> </w:t>
      </w:r>
      <w:proofErr w:type="gramStart"/>
      <w:r w:rsidRPr="003070DD">
        <w:t>One pivotal study; CPMP/EWP/2330/99 (2001).</w:t>
      </w:r>
      <w:proofErr w:type="gramEnd"/>
    </w:p>
  </w:footnote>
  <w:footnote w:id="10">
    <w:p w14:paraId="44D2876B" w14:textId="77777777" w:rsidR="00366A0C" w:rsidRPr="001A0738" w:rsidRDefault="00366A0C">
      <w:pPr>
        <w:pStyle w:val="FootnoteText"/>
      </w:pPr>
      <w:r>
        <w:rPr>
          <w:rStyle w:val="FootnoteReference"/>
        </w:rPr>
        <w:footnoteRef/>
      </w:r>
      <w:r>
        <w:t xml:space="preserve"> </w:t>
      </w:r>
      <w:r w:rsidRPr="001A0738">
        <w:t>Guideline for Good Clinical Practice ICH E6</w:t>
      </w:r>
    </w:p>
  </w:footnote>
  <w:footnote w:id="11">
    <w:p w14:paraId="5BA1EF48" w14:textId="77777777" w:rsidR="00366A0C" w:rsidRPr="001A0738" w:rsidRDefault="00366A0C" w:rsidP="00BB2385">
      <w:pPr>
        <w:pStyle w:val="EndnoteText"/>
        <w:tabs>
          <w:tab w:val="left" w:pos="0"/>
        </w:tabs>
        <w:rPr>
          <w:rStyle w:val="FootnoteTextChar"/>
          <w:lang w:val="en-US"/>
        </w:rPr>
      </w:pPr>
      <w:r>
        <w:rPr>
          <w:rStyle w:val="FootnoteReference"/>
        </w:rPr>
        <w:footnoteRef/>
      </w:r>
      <w:r>
        <w:t xml:space="preserve"> </w:t>
      </w:r>
      <w:proofErr w:type="gramStart"/>
      <w:r w:rsidRPr="001A0738">
        <w:rPr>
          <w:rStyle w:val="FootnoteTextChar"/>
        </w:rPr>
        <w:t>Therapeutic Goods Administration.</w:t>
      </w:r>
      <w:proofErr w:type="gramEnd"/>
      <w:r w:rsidRPr="001A0738">
        <w:rPr>
          <w:rStyle w:val="FootnoteTextChar"/>
        </w:rPr>
        <w:t xml:space="preserve"> </w:t>
      </w:r>
      <w:proofErr w:type="spellStart"/>
      <w:proofErr w:type="gramStart"/>
      <w:r w:rsidRPr="001A0738">
        <w:rPr>
          <w:rStyle w:val="FootnoteTextChar"/>
        </w:rPr>
        <w:t>Temsirolimus</w:t>
      </w:r>
      <w:proofErr w:type="spellEnd"/>
      <w:r w:rsidRPr="001A0738">
        <w:rPr>
          <w:rStyle w:val="FootnoteTextChar"/>
        </w:rPr>
        <w:t xml:space="preserve"> product information.</w:t>
      </w:r>
      <w:proofErr w:type="gramEnd"/>
      <w:r w:rsidRPr="001A0738">
        <w:rPr>
          <w:rStyle w:val="FootnoteTextChar"/>
        </w:rPr>
        <w:t xml:space="preserve"> Available from: </w:t>
      </w:r>
      <w:hyperlink r:id="rId2" w:history="1">
        <w:r w:rsidRPr="001A0738">
          <w:rPr>
            <w:rStyle w:val="FootnoteTextChar"/>
          </w:rPr>
          <w:t>https://www.ebs.tga.gov.au/ebs/picmi/picmirepository.nsf/PICMI?OpenForm&amp;t=pi&amp;q=temsirolimus</w:t>
        </w:r>
      </w:hyperlink>
    </w:p>
  </w:footnote>
  <w:footnote w:id="12">
    <w:p w14:paraId="6E658E12" w14:textId="5D89FC8A" w:rsidR="00366A0C" w:rsidRPr="001A0738" w:rsidRDefault="00366A0C" w:rsidP="00BB2385">
      <w:pPr>
        <w:pStyle w:val="FootnoteText"/>
        <w:tabs>
          <w:tab w:val="left" w:pos="0"/>
        </w:tabs>
      </w:pPr>
      <w:r>
        <w:rPr>
          <w:rStyle w:val="FootnoteReference"/>
        </w:rPr>
        <w:footnoteRef/>
      </w:r>
      <w:r w:rsidRPr="00366A0C">
        <w:rPr>
          <w:lang w:val="fr-FR"/>
        </w:rPr>
        <w:t xml:space="preserve"> Hess G, et al. </w:t>
      </w:r>
      <w:r w:rsidRPr="001A0738">
        <w:t xml:space="preserve">Phase III Study to Evaluate </w:t>
      </w:r>
      <w:proofErr w:type="spellStart"/>
      <w:r w:rsidRPr="001A0738">
        <w:t>Temsirolimus</w:t>
      </w:r>
      <w:proofErr w:type="spellEnd"/>
      <w:r w:rsidRPr="001A0738">
        <w:t xml:space="preserve"> Compared </w:t>
      </w:r>
      <w:proofErr w:type="gramStart"/>
      <w:r w:rsidRPr="001A0738">
        <w:t>With</w:t>
      </w:r>
      <w:proofErr w:type="gramEnd"/>
      <w:r w:rsidRPr="001A0738">
        <w:t xml:space="preserve"> Investigator’s Choice Therapy for the Treatment of Relapsed or Refractory Mantle Cell Lymphoma.</w:t>
      </w:r>
      <w:r>
        <w:t xml:space="preserve"> </w:t>
      </w:r>
      <w:r w:rsidRPr="00366A0C">
        <w:rPr>
          <w:i/>
        </w:rPr>
        <w:t xml:space="preserve">J </w:t>
      </w:r>
      <w:proofErr w:type="spellStart"/>
      <w:r w:rsidRPr="00366A0C">
        <w:rPr>
          <w:i/>
        </w:rPr>
        <w:t>Clin</w:t>
      </w:r>
      <w:proofErr w:type="spellEnd"/>
      <w:r w:rsidRPr="00366A0C">
        <w:rPr>
          <w:i/>
        </w:rPr>
        <w:t xml:space="preserve"> </w:t>
      </w:r>
      <w:proofErr w:type="spellStart"/>
      <w:r w:rsidRPr="00366A0C">
        <w:rPr>
          <w:i/>
        </w:rPr>
        <w:t>Oncol</w:t>
      </w:r>
      <w:proofErr w:type="spellEnd"/>
      <w:r w:rsidRPr="001A0738">
        <w:t xml:space="preserve"> 2009; 27: 3822-3829</w:t>
      </w:r>
    </w:p>
  </w:footnote>
  <w:footnote w:id="13">
    <w:p w14:paraId="49083E7A" w14:textId="77777777" w:rsidR="00366A0C" w:rsidRPr="00283551" w:rsidRDefault="00366A0C" w:rsidP="00BB2385">
      <w:pPr>
        <w:pStyle w:val="EndnoteText"/>
        <w:tabs>
          <w:tab w:val="left" w:pos="0"/>
        </w:tabs>
        <w:rPr>
          <w:rStyle w:val="FootnoteTextChar"/>
          <w:lang w:val="en-US"/>
        </w:rPr>
      </w:pPr>
      <w:r>
        <w:rPr>
          <w:rStyle w:val="FootnoteReference"/>
        </w:rPr>
        <w:footnoteRef/>
      </w:r>
      <w:r>
        <w:t xml:space="preserve"> </w:t>
      </w:r>
      <w:proofErr w:type="gramStart"/>
      <w:r w:rsidRPr="00283551">
        <w:rPr>
          <w:rStyle w:val="FootnoteTextChar"/>
        </w:rPr>
        <w:t>Therapeutic Goods Administration.</w:t>
      </w:r>
      <w:proofErr w:type="gramEnd"/>
      <w:r w:rsidRPr="00283551">
        <w:rPr>
          <w:rStyle w:val="FootnoteTextChar"/>
        </w:rPr>
        <w:t xml:space="preserve"> </w:t>
      </w:r>
      <w:proofErr w:type="spellStart"/>
      <w:proofErr w:type="gramStart"/>
      <w:r w:rsidRPr="00283551">
        <w:rPr>
          <w:rStyle w:val="FootnoteTextChar"/>
        </w:rPr>
        <w:t>Ibrutinib</w:t>
      </w:r>
      <w:proofErr w:type="spellEnd"/>
      <w:r w:rsidRPr="00283551">
        <w:rPr>
          <w:rStyle w:val="FootnoteTextChar"/>
        </w:rPr>
        <w:t xml:space="preserve"> product information.</w:t>
      </w:r>
      <w:proofErr w:type="gramEnd"/>
      <w:r w:rsidRPr="00283551">
        <w:rPr>
          <w:rStyle w:val="FootnoteTextChar"/>
        </w:rPr>
        <w:t xml:space="preserve"> Available from: </w:t>
      </w:r>
      <w:hyperlink r:id="rId3" w:history="1">
        <w:r w:rsidRPr="00283551">
          <w:rPr>
            <w:rStyle w:val="FootnoteTextChar"/>
          </w:rPr>
          <w:t>https://www.ebs.tga.gov.au/ebs/picmi/picmirepository.nsf/PICMI?OpenForm&amp;t=pi&amp;q=ibrutinib</w:t>
        </w:r>
      </w:hyperlink>
    </w:p>
  </w:footnote>
  <w:footnote w:id="14">
    <w:p w14:paraId="2D98B675" w14:textId="5F20A66E" w:rsidR="00366A0C" w:rsidRPr="00366A0C" w:rsidRDefault="00366A0C" w:rsidP="00FE46F1">
      <w:pPr>
        <w:pStyle w:val="TableDescription"/>
        <w:spacing w:before="0"/>
        <w:ind w:left="142" w:hanging="142"/>
        <w:rPr>
          <w:lang w:val="en-US"/>
        </w:rPr>
      </w:pPr>
      <w:r>
        <w:rPr>
          <w:rStyle w:val="FootnoteReference"/>
        </w:rPr>
        <w:footnoteRef/>
      </w:r>
      <w:r>
        <w:t xml:space="preserve"> </w:t>
      </w:r>
      <w:r w:rsidRPr="00BE3903">
        <w:t xml:space="preserve">Rai KR, et al. </w:t>
      </w:r>
      <w:proofErr w:type="spellStart"/>
      <w:r w:rsidRPr="00BE3903">
        <w:t>Fludarabine</w:t>
      </w:r>
      <w:proofErr w:type="spellEnd"/>
      <w:r>
        <w:t xml:space="preserve"> </w:t>
      </w:r>
      <w:r w:rsidRPr="00BE3903">
        <w:t xml:space="preserve">compared with </w:t>
      </w:r>
      <w:proofErr w:type="spellStart"/>
      <w:r w:rsidRPr="00BE3903">
        <w:t>chlorambucil</w:t>
      </w:r>
      <w:proofErr w:type="spellEnd"/>
      <w:r w:rsidRPr="00BE3903">
        <w:t xml:space="preserve"> as primary therapy for chronic lymphocytic </w:t>
      </w:r>
      <w:proofErr w:type="spellStart"/>
      <w:r w:rsidRPr="00BE3903">
        <w:t>leukemia</w:t>
      </w:r>
      <w:proofErr w:type="spellEnd"/>
      <w:r w:rsidRPr="00BE3903">
        <w:t xml:space="preserve">. </w:t>
      </w:r>
      <w:r w:rsidRPr="00366A0C">
        <w:rPr>
          <w:i/>
        </w:rPr>
        <w:t xml:space="preserve">N </w:t>
      </w:r>
      <w:proofErr w:type="spellStart"/>
      <w:r w:rsidRPr="00366A0C">
        <w:rPr>
          <w:i/>
        </w:rPr>
        <w:t>Engl</w:t>
      </w:r>
      <w:proofErr w:type="spellEnd"/>
      <w:r w:rsidRPr="00366A0C">
        <w:rPr>
          <w:i/>
        </w:rPr>
        <w:t xml:space="preserve"> J Med</w:t>
      </w:r>
      <w:r w:rsidRPr="00BE3903">
        <w:t xml:space="preserve"> 2000;</w:t>
      </w:r>
      <w:r>
        <w:t xml:space="preserve"> </w:t>
      </w:r>
      <w:r w:rsidRPr="00BE3903">
        <w:t>343:</w:t>
      </w:r>
      <w:r>
        <w:t xml:space="preserve"> </w:t>
      </w:r>
      <w:r w:rsidRPr="00BE3903">
        <w:t>1750-</w:t>
      </w:r>
      <w:r>
        <w:t>175</w:t>
      </w:r>
      <w:r w:rsidRPr="00BE3903">
        <w:t>7.</w:t>
      </w:r>
    </w:p>
  </w:footnote>
  <w:footnote w:id="15">
    <w:p w14:paraId="0D367113" w14:textId="19F12C16" w:rsidR="00366A0C" w:rsidRPr="00A234EB" w:rsidRDefault="00366A0C" w:rsidP="00FE46F1">
      <w:pPr>
        <w:pStyle w:val="TableDescription"/>
        <w:spacing w:before="0"/>
        <w:ind w:left="142" w:hanging="142"/>
      </w:pPr>
      <w:r>
        <w:rPr>
          <w:rStyle w:val="FootnoteReference"/>
        </w:rPr>
        <w:footnoteRef/>
      </w:r>
      <w:r>
        <w:t xml:space="preserve"> </w:t>
      </w:r>
      <w:proofErr w:type="spellStart"/>
      <w:r w:rsidRPr="00BE3903">
        <w:t>Ardeshna</w:t>
      </w:r>
      <w:proofErr w:type="spellEnd"/>
      <w:r w:rsidRPr="00BE3903">
        <w:t xml:space="preserve"> KM, et al. Long-term effect of a watch and wait policy versus immediate systemic treatment for asymptomatic advanced-stage non-Hodgkin lymphoma: a randomised controlled trial. </w:t>
      </w:r>
      <w:proofErr w:type="gramStart"/>
      <w:r w:rsidRPr="00366A0C">
        <w:rPr>
          <w:i/>
        </w:rPr>
        <w:t>Lancet.</w:t>
      </w:r>
      <w:proofErr w:type="gramEnd"/>
      <w:r w:rsidRPr="00BE3903">
        <w:t xml:space="preserve"> </w:t>
      </w:r>
      <w:proofErr w:type="gramStart"/>
      <w:r w:rsidRPr="00BE3903">
        <w:t>2003</w:t>
      </w:r>
      <w:r>
        <w:t>; 362</w:t>
      </w:r>
      <w:r w:rsidRPr="00BE3903">
        <w:t>:</w:t>
      </w:r>
      <w:r>
        <w:t xml:space="preserve"> </w:t>
      </w:r>
      <w:r w:rsidRPr="00BE3903">
        <w:t>516-22.</w:t>
      </w:r>
      <w:proofErr w:type="gramEnd"/>
    </w:p>
  </w:footnote>
  <w:footnote w:id="16">
    <w:p w14:paraId="486D8FB1" w14:textId="5A348B09" w:rsidR="00366A0C" w:rsidRPr="00366A0C" w:rsidRDefault="00366A0C" w:rsidP="00FE46F1">
      <w:pPr>
        <w:pStyle w:val="TableDescription"/>
        <w:spacing w:before="0"/>
        <w:ind w:left="142" w:hanging="142"/>
        <w:rPr>
          <w:lang w:val="en-US"/>
        </w:rPr>
      </w:pPr>
      <w:r>
        <w:rPr>
          <w:rStyle w:val="FootnoteReference"/>
        </w:rPr>
        <w:footnoteRef/>
      </w:r>
      <w:r>
        <w:t xml:space="preserve"> </w:t>
      </w:r>
      <w:proofErr w:type="spellStart"/>
      <w:r w:rsidRPr="00BE3903">
        <w:t>Ghielmini</w:t>
      </w:r>
      <w:proofErr w:type="spellEnd"/>
      <w:r w:rsidRPr="00BE3903">
        <w:t xml:space="preserve"> M, et al. </w:t>
      </w:r>
      <w:proofErr w:type="gramStart"/>
      <w:r w:rsidRPr="00BE3903">
        <w:t>The effect of Rituximab on patients with follicular and mantle-cell lymphoma.</w:t>
      </w:r>
      <w:proofErr w:type="gramEnd"/>
      <w:r w:rsidRPr="00BE3903">
        <w:t xml:space="preserve"> </w:t>
      </w:r>
      <w:proofErr w:type="gramStart"/>
      <w:r w:rsidRPr="00BE3903">
        <w:t>Swiss Group for Clinical Cancer Research (SAKK).</w:t>
      </w:r>
      <w:proofErr w:type="gramEnd"/>
      <w:r w:rsidRPr="00BE3903">
        <w:t xml:space="preserve"> </w:t>
      </w:r>
      <w:r w:rsidRPr="00366A0C">
        <w:rPr>
          <w:i/>
        </w:rPr>
        <w:t xml:space="preserve">Ann </w:t>
      </w:r>
      <w:proofErr w:type="spellStart"/>
      <w:r w:rsidRPr="00366A0C">
        <w:rPr>
          <w:i/>
        </w:rPr>
        <w:t>Oncol</w:t>
      </w:r>
      <w:proofErr w:type="spellEnd"/>
      <w:r w:rsidRPr="00366A0C">
        <w:rPr>
          <w:i/>
        </w:rPr>
        <w:t>.</w:t>
      </w:r>
      <w:r w:rsidRPr="00BE3903">
        <w:t xml:space="preserve"> 2000;</w:t>
      </w:r>
      <w:r>
        <w:t xml:space="preserve"> </w:t>
      </w:r>
      <w:r w:rsidRPr="00BE3903">
        <w:t xml:space="preserve">11 </w:t>
      </w:r>
      <w:proofErr w:type="spellStart"/>
      <w:r w:rsidRPr="00BE3903">
        <w:t>Suppl</w:t>
      </w:r>
      <w:proofErr w:type="spellEnd"/>
      <w:r w:rsidRPr="00BE3903">
        <w:t xml:space="preserve"> 1:</w:t>
      </w:r>
      <w:r>
        <w:t xml:space="preserve"> </w:t>
      </w:r>
      <w:r w:rsidRPr="00BE3903">
        <w:t>123-</w:t>
      </w:r>
      <w:r>
        <w:t>12</w:t>
      </w:r>
      <w:r w:rsidRPr="00BE3903">
        <w:t>6.</w:t>
      </w:r>
    </w:p>
  </w:footnote>
  <w:footnote w:id="17">
    <w:p w14:paraId="7EF3A7B7" w14:textId="3955FE2E" w:rsidR="00366A0C" w:rsidRPr="00366A0C" w:rsidRDefault="00366A0C" w:rsidP="00FE46F1">
      <w:pPr>
        <w:pStyle w:val="TableDescription"/>
        <w:spacing w:before="0"/>
        <w:ind w:left="142" w:hanging="142"/>
        <w:rPr>
          <w:lang w:val="en-US"/>
        </w:rPr>
      </w:pPr>
      <w:r>
        <w:rPr>
          <w:rStyle w:val="FootnoteReference"/>
        </w:rPr>
        <w:footnoteRef/>
      </w:r>
      <w:r>
        <w:t xml:space="preserve"> </w:t>
      </w:r>
      <w:proofErr w:type="spellStart"/>
      <w:r w:rsidRPr="00BE3903">
        <w:t>Kantarjian</w:t>
      </w:r>
      <w:proofErr w:type="spellEnd"/>
      <w:r w:rsidRPr="00BE3903">
        <w:t xml:space="preserve"> H, et al.</w:t>
      </w:r>
      <w:r>
        <w:t xml:space="preserve"> </w:t>
      </w:r>
      <w:r w:rsidRPr="00BE3903">
        <w:t xml:space="preserve">High-dose cytosine arabinoside in non-Hodgkin’s lymphoma. </w:t>
      </w:r>
      <w:proofErr w:type="gramStart"/>
      <w:r w:rsidRPr="00366A0C">
        <w:rPr>
          <w:i/>
        </w:rPr>
        <w:t xml:space="preserve">J </w:t>
      </w:r>
      <w:proofErr w:type="spellStart"/>
      <w:r w:rsidRPr="00366A0C">
        <w:rPr>
          <w:i/>
        </w:rPr>
        <w:t>Clin</w:t>
      </w:r>
      <w:proofErr w:type="spellEnd"/>
      <w:r w:rsidRPr="00366A0C">
        <w:rPr>
          <w:i/>
        </w:rPr>
        <w:t xml:space="preserve"> </w:t>
      </w:r>
      <w:proofErr w:type="spellStart"/>
      <w:r w:rsidRPr="00366A0C">
        <w:rPr>
          <w:i/>
        </w:rPr>
        <w:t>Oncol</w:t>
      </w:r>
      <w:proofErr w:type="spellEnd"/>
      <w:r>
        <w:t xml:space="preserve"> 1983; </w:t>
      </w:r>
      <w:r w:rsidRPr="00BE3903">
        <w:t>1:</w:t>
      </w:r>
      <w:r>
        <w:t xml:space="preserve"> </w:t>
      </w:r>
      <w:r w:rsidRPr="00BE3903">
        <w:t>689-</w:t>
      </w:r>
      <w:r>
        <w:t>6</w:t>
      </w:r>
      <w:r w:rsidRPr="00BE3903">
        <w:t>94.</w:t>
      </w:r>
      <w:proofErr w:type="gramEnd"/>
    </w:p>
  </w:footnote>
  <w:footnote w:id="18">
    <w:p w14:paraId="64A6ACD4" w14:textId="689B2E19" w:rsidR="00366A0C" w:rsidRPr="00366A0C" w:rsidRDefault="00366A0C" w:rsidP="00FE46F1">
      <w:pPr>
        <w:pStyle w:val="TableDescription"/>
        <w:spacing w:before="0"/>
        <w:ind w:left="142" w:hanging="142"/>
        <w:rPr>
          <w:lang w:val="en-US"/>
        </w:rPr>
      </w:pPr>
      <w:r>
        <w:rPr>
          <w:rStyle w:val="FootnoteReference"/>
        </w:rPr>
        <w:footnoteRef/>
      </w:r>
      <w:r>
        <w:t xml:space="preserve"> </w:t>
      </w:r>
      <w:proofErr w:type="spellStart"/>
      <w:r w:rsidRPr="00CB0706">
        <w:rPr>
          <w:lang w:val="fr-FR"/>
        </w:rPr>
        <w:t>Dumontet</w:t>
      </w:r>
      <w:proofErr w:type="spellEnd"/>
      <w:r w:rsidRPr="00CB0706">
        <w:rPr>
          <w:lang w:val="fr-FR"/>
        </w:rPr>
        <w:t xml:space="preserve"> C, et al. </w:t>
      </w:r>
      <w:proofErr w:type="gramStart"/>
      <w:r w:rsidRPr="00BE3903">
        <w:t>Gemcitabine as a single agent in the treatment of relapsed or refractory low-grade non-Hodgkin’s lymphoma.</w:t>
      </w:r>
      <w:proofErr w:type="gramEnd"/>
      <w:r w:rsidRPr="00BE3903">
        <w:t xml:space="preserve"> </w:t>
      </w:r>
      <w:r w:rsidRPr="00366A0C">
        <w:rPr>
          <w:i/>
        </w:rPr>
        <w:t xml:space="preserve">Br J </w:t>
      </w:r>
      <w:proofErr w:type="spellStart"/>
      <w:r w:rsidRPr="00366A0C">
        <w:rPr>
          <w:i/>
        </w:rPr>
        <w:t>Haematol</w:t>
      </w:r>
      <w:proofErr w:type="spellEnd"/>
      <w:r w:rsidRPr="00BE3903">
        <w:t xml:space="preserve"> 2001;</w:t>
      </w:r>
      <w:r>
        <w:t xml:space="preserve"> </w:t>
      </w:r>
      <w:r w:rsidRPr="00BE3903">
        <w:t>113:</w:t>
      </w:r>
      <w:r>
        <w:t xml:space="preserve"> </w:t>
      </w:r>
      <w:r w:rsidRPr="00BE3903">
        <w:t>772-</w:t>
      </w:r>
      <w:r>
        <w:t>77</w:t>
      </w:r>
      <w:r w:rsidRPr="00BE3903">
        <w:t>8.</w:t>
      </w:r>
    </w:p>
  </w:footnote>
  <w:footnote w:id="19">
    <w:p w14:paraId="2D3C6053" w14:textId="6C243EF0" w:rsidR="00366A0C" w:rsidRPr="00366A0C" w:rsidRDefault="00366A0C" w:rsidP="00FE46F1">
      <w:pPr>
        <w:pStyle w:val="TableDescription"/>
        <w:spacing w:before="0"/>
        <w:ind w:left="142" w:hanging="142"/>
        <w:rPr>
          <w:lang w:val="en-US"/>
        </w:rPr>
      </w:pPr>
      <w:r>
        <w:rPr>
          <w:rStyle w:val="FootnoteReference"/>
        </w:rPr>
        <w:footnoteRef/>
      </w:r>
      <w:r>
        <w:t xml:space="preserve"> </w:t>
      </w:r>
      <w:proofErr w:type="spellStart"/>
      <w:r w:rsidRPr="00BE3903">
        <w:t>Decaudin</w:t>
      </w:r>
      <w:proofErr w:type="spellEnd"/>
      <w:r w:rsidRPr="00BE3903">
        <w:t xml:space="preserve"> D, et al. (1998). Phase II trial of </w:t>
      </w:r>
      <w:proofErr w:type="spellStart"/>
      <w:r w:rsidRPr="00BE3903">
        <w:t>fludarabine</w:t>
      </w:r>
      <w:proofErr w:type="spellEnd"/>
      <w:r w:rsidRPr="00BE3903">
        <w:t xml:space="preserve"> monophosphate in patients with mantle-cell lymphomas. </w:t>
      </w:r>
      <w:r w:rsidRPr="00366A0C">
        <w:rPr>
          <w:i/>
          <w:lang w:val="fr-FR"/>
        </w:rPr>
        <w:t xml:space="preserve">J Clin </w:t>
      </w:r>
      <w:proofErr w:type="spellStart"/>
      <w:r w:rsidRPr="00366A0C">
        <w:rPr>
          <w:i/>
          <w:lang w:val="fr-FR"/>
        </w:rPr>
        <w:t>Oncol</w:t>
      </w:r>
      <w:proofErr w:type="spellEnd"/>
      <w:r w:rsidRPr="00CB0706">
        <w:rPr>
          <w:lang w:val="fr-FR"/>
        </w:rPr>
        <w:t xml:space="preserve">. </w:t>
      </w:r>
      <w:r>
        <w:rPr>
          <w:lang w:val="fr-FR"/>
        </w:rPr>
        <w:t xml:space="preserve">1998; </w:t>
      </w:r>
      <w:r w:rsidRPr="00CB0706">
        <w:rPr>
          <w:lang w:val="fr-FR"/>
        </w:rPr>
        <w:t>16:</w:t>
      </w:r>
      <w:r>
        <w:rPr>
          <w:lang w:val="fr-FR"/>
        </w:rPr>
        <w:t xml:space="preserve"> </w:t>
      </w:r>
      <w:r w:rsidRPr="00CB0706">
        <w:rPr>
          <w:lang w:val="fr-FR"/>
        </w:rPr>
        <w:t>579-83</w:t>
      </w:r>
    </w:p>
  </w:footnote>
  <w:footnote w:id="20">
    <w:p w14:paraId="65DB7895" w14:textId="3D35D0B4" w:rsidR="00366A0C" w:rsidRPr="00366A0C" w:rsidRDefault="00366A0C" w:rsidP="00FE46F1">
      <w:pPr>
        <w:pStyle w:val="TableDescription"/>
        <w:spacing w:before="0"/>
        <w:ind w:left="142" w:hanging="142"/>
        <w:rPr>
          <w:lang w:val="en-US"/>
        </w:rPr>
      </w:pPr>
      <w:r>
        <w:rPr>
          <w:rStyle w:val="FootnoteReference"/>
        </w:rPr>
        <w:footnoteRef/>
      </w:r>
      <w:r>
        <w:t xml:space="preserve"> </w:t>
      </w:r>
      <w:proofErr w:type="spellStart"/>
      <w:r w:rsidRPr="00CB0706">
        <w:rPr>
          <w:lang w:val="fr-FR"/>
        </w:rPr>
        <w:t>Zinzani</w:t>
      </w:r>
      <w:proofErr w:type="spellEnd"/>
      <w:r w:rsidRPr="00CB0706">
        <w:rPr>
          <w:lang w:val="fr-FR"/>
        </w:rPr>
        <w:t xml:space="preserve"> PL, et al. </w:t>
      </w:r>
      <w:r w:rsidRPr="00BE3903">
        <w:t xml:space="preserve">Randomized trial of </w:t>
      </w:r>
      <w:proofErr w:type="spellStart"/>
      <w:r w:rsidRPr="00BE3903">
        <w:t>fludarabine</w:t>
      </w:r>
      <w:proofErr w:type="spellEnd"/>
      <w:r w:rsidRPr="00BE3903">
        <w:t xml:space="preserve"> versus </w:t>
      </w:r>
      <w:proofErr w:type="spellStart"/>
      <w:r w:rsidRPr="00BE3903">
        <w:t>fludarabine</w:t>
      </w:r>
      <w:proofErr w:type="spellEnd"/>
      <w:r w:rsidRPr="00BE3903">
        <w:t xml:space="preserve"> and idarubicin as frontline treatment in patients with indolent or mantle-cell lymphoma. </w:t>
      </w:r>
      <w:proofErr w:type="gramStart"/>
      <w:r w:rsidRPr="00366A0C">
        <w:rPr>
          <w:i/>
        </w:rPr>
        <w:t xml:space="preserve">J </w:t>
      </w:r>
      <w:proofErr w:type="spellStart"/>
      <w:r w:rsidRPr="00366A0C">
        <w:rPr>
          <w:i/>
        </w:rPr>
        <w:t>Clin</w:t>
      </w:r>
      <w:proofErr w:type="spellEnd"/>
      <w:r w:rsidRPr="00366A0C">
        <w:rPr>
          <w:i/>
        </w:rPr>
        <w:t xml:space="preserve"> </w:t>
      </w:r>
      <w:proofErr w:type="spellStart"/>
      <w:r w:rsidRPr="00366A0C">
        <w:rPr>
          <w:i/>
        </w:rPr>
        <w:t>Oncol</w:t>
      </w:r>
      <w:proofErr w:type="spellEnd"/>
      <w:r w:rsidRPr="00366A0C">
        <w:rPr>
          <w:i/>
        </w:rPr>
        <w:t>.</w:t>
      </w:r>
      <w:proofErr w:type="gramEnd"/>
      <w:r w:rsidRPr="00BE3903">
        <w:t xml:space="preserve"> 2000</w:t>
      </w:r>
      <w:proofErr w:type="gramStart"/>
      <w:r w:rsidRPr="00BE3903">
        <w:t>;18:773</w:t>
      </w:r>
      <w:proofErr w:type="gramEnd"/>
      <w:r w:rsidRPr="00BE3903">
        <w:t>-</w:t>
      </w:r>
      <w:r>
        <w:t>77</w:t>
      </w:r>
      <w:r w:rsidRPr="00BE3903">
        <w:t>9.</w:t>
      </w:r>
    </w:p>
  </w:footnote>
  <w:footnote w:id="21">
    <w:p w14:paraId="5C51A490" w14:textId="5494554B" w:rsidR="00366A0C" w:rsidRPr="000613A6" w:rsidRDefault="00366A0C" w:rsidP="00586578">
      <w:pPr>
        <w:spacing w:before="0" w:after="0" w:line="240" w:lineRule="auto"/>
        <w:rPr>
          <w:rStyle w:val="FootnoteTextChar"/>
        </w:rPr>
      </w:pPr>
      <w:r>
        <w:rPr>
          <w:rStyle w:val="FootnoteReference"/>
        </w:rPr>
        <w:footnoteRef/>
      </w:r>
      <w:r>
        <w:t xml:space="preserve"> </w:t>
      </w:r>
      <w:proofErr w:type="spellStart"/>
      <w:proofErr w:type="gramStart"/>
      <w:r w:rsidRPr="000613A6">
        <w:rPr>
          <w:rStyle w:val="FootnoteTextChar"/>
        </w:rPr>
        <w:t>Dreyling</w:t>
      </w:r>
      <w:proofErr w:type="spellEnd"/>
      <w:r w:rsidRPr="000613A6">
        <w:rPr>
          <w:rStyle w:val="FootnoteTextChar"/>
        </w:rPr>
        <w:t xml:space="preserve"> M, </w:t>
      </w:r>
      <w:r>
        <w:rPr>
          <w:rStyle w:val="FootnoteTextChar"/>
        </w:rPr>
        <w:t>et al</w:t>
      </w:r>
      <w:r w:rsidRPr="000613A6">
        <w:rPr>
          <w:rStyle w:val="FootnoteTextChar"/>
        </w:rPr>
        <w:t>; European MCL Network.</w:t>
      </w:r>
      <w:proofErr w:type="gramEnd"/>
      <w:r w:rsidRPr="000613A6">
        <w:rPr>
          <w:rStyle w:val="FootnoteTextChar"/>
        </w:rPr>
        <w:t xml:space="preserve"> Current treatment standards and future strategies in mantle cell lymphoma. </w:t>
      </w:r>
      <w:r w:rsidRPr="00366A0C">
        <w:rPr>
          <w:rStyle w:val="FootnoteTextChar"/>
          <w:i/>
        </w:rPr>
        <w:t xml:space="preserve">Ann </w:t>
      </w:r>
      <w:proofErr w:type="spellStart"/>
      <w:r w:rsidRPr="00366A0C">
        <w:rPr>
          <w:rStyle w:val="FootnoteTextChar"/>
          <w:i/>
        </w:rPr>
        <w:t>Oncol</w:t>
      </w:r>
      <w:proofErr w:type="spellEnd"/>
      <w:r w:rsidRPr="000613A6">
        <w:rPr>
          <w:rStyle w:val="FootnoteTextChar"/>
        </w:rPr>
        <w:t xml:space="preserve"> 2008a; </w:t>
      </w:r>
      <w:proofErr w:type="spellStart"/>
      <w:r w:rsidRPr="000613A6">
        <w:rPr>
          <w:rStyle w:val="FootnoteTextChar"/>
        </w:rPr>
        <w:t>Suppl</w:t>
      </w:r>
      <w:proofErr w:type="spellEnd"/>
      <w:r w:rsidRPr="000613A6">
        <w:rPr>
          <w:rStyle w:val="FootnoteTextChar"/>
        </w:rPr>
        <w:t xml:space="preserve"> 4:iv41-4.</w:t>
      </w:r>
    </w:p>
  </w:footnote>
  <w:footnote w:id="22">
    <w:p w14:paraId="432304C6" w14:textId="5998F829" w:rsidR="00366A0C" w:rsidRPr="00437F21" w:rsidRDefault="00366A0C" w:rsidP="00586578">
      <w:pPr>
        <w:spacing w:before="0" w:after="0" w:line="240" w:lineRule="auto"/>
        <w:rPr>
          <w:rStyle w:val="FootnoteTextChar"/>
        </w:rPr>
      </w:pPr>
      <w:r>
        <w:rPr>
          <w:rStyle w:val="FootnoteReference"/>
        </w:rPr>
        <w:footnoteRef/>
      </w:r>
      <w:r>
        <w:t xml:space="preserve"> </w:t>
      </w:r>
      <w:proofErr w:type="spellStart"/>
      <w:r w:rsidRPr="00437F21">
        <w:rPr>
          <w:rStyle w:val="FootnoteTextChar"/>
        </w:rPr>
        <w:t>Ghielmini</w:t>
      </w:r>
      <w:proofErr w:type="spellEnd"/>
      <w:r w:rsidRPr="00437F21">
        <w:rPr>
          <w:rStyle w:val="FootnoteTextChar"/>
        </w:rPr>
        <w:t xml:space="preserve"> M et al (2005). Effect of single-agent rituximab given at the standard schedule or as prolonged treatment in patients with mantle cell lymphoma: A study of the Swiss group for clinical cancer research (SAKK). </w:t>
      </w:r>
      <w:r w:rsidRPr="00366A0C">
        <w:rPr>
          <w:rStyle w:val="FootnoteTextChar"/>
          <w:i/>
        </w:rPr>
        <w:t xml:space="preserve">J Clinical Oncology </w:t>
      </w:r>
      <w:r>
        <w:rPr>
          <w:rStyle w:val="FootnoteTextChar"/>
        </w:rPr>
        <w:t xml:space="preserve">2005; </w:t>
      </w:r>
      <w:r w:rsidRPr="00437F21">
        <w:rPr>
          <w:rStyle w:val="FootnoteTextChar"/>
        </w:rPr>
        <w:t>23:</w:t>
      </w:r>
      <w:r>
        <w:rPr>
          <w:rStyle w:val="FootnoteTextChar"/>
        </w:rPr>
        <w:t xml:space="preserve"> </w:t>
      </w:r>
      <w:r w:rsidRPr="00437F21">
        <w:rPr>
          <w:rStyle w:val="FootnoteTextChar"/>
        </w:rPr>
        <w:t>705-711.</w:t>
      </w:r>
      <w:r w:rsidRPr="00437F21">
        <w:rPr>
          <w:rStyle w:val="FootnoteTextChar"/>
          <w:noProof/>
          <w:lang w:eastAsia="en-AU"/>
        </w:rPr>
        <mc:AlternateContent>
          <mc:Choice Requires="wps">
            <w:drawing>
              <wp:inline distT="0" distB="0" distL="0" distR="0" wp14:anchorId="29332B73" wp14:editId="2B16930D">
                <wp:extent cx="6985" cy="6985"/>
                <wp:effectExtent l="0" t="0" r="0" b="0"/>
                <wp:docPr id="3" name="Rectangle 3" descr="https://d.adroll.com/cm/aol/out?advertisable=LLPQ5HHSUVEWFM7V47PQJ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DA702" id="Rectangle 3" o:spid="_x0000_s1026" alt="https://d.adroll.com/cm/aol/out?advertisable=LLPQ5HHSUVEWFM7V47PQJU"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" filled="f" stroked="f">
                <o:lock v:ext="edit" aspectratio="t"/>
                <w10:anchorlock/>
              </v:rect>
            </w:pict>
          </mc:Fallback>
        </mc:AlternateContent>
      </w:r>
    </w:p>
  </w:footnote>
  <w:footnote w:id="23">
    <w:p w14:paraId="317AFF51" w14:textId="798BFEA5" w:rsidR="00366A0C" w:rsidRPr="00437F21" w:rsidRDefault="00366A0C" w:rsidP="00586578">
      <w:pPr>
        <w:pStyle w:val="FootnoteText"/>
      </w:pPr>
      <w:r>
        <w:rPr>
          <w:rStyle w:val="FootnoteReference"/>
        </w:rPr>
        <w:footnoteRef/>
      </w:r>
      <w:r>
        <w:t xml:space="preserve"> </w:t>
      </w:r>
      <w:proofErr w:type="spellStart"/>
      <w:proofErr w:type="gramStart"/>
      <w:r w:rsidRPr="00437F21">
        <w:t>Doorduijn</w:t>
      </w:r>
      <w:proofErr w:type="spellEnd"/>
      <w:r w:rsidRPr="00437F21">
        <w:t xml:space="preserve"> JK and </w:t>
      </w:r>
      <w:proofErr w:type="spellStart"/>
      <w:r w:rsidRPr="00437F21">
        <w:t>Kluin-Nelemans</w:t>
      </w:r>
      <w:proofErr w:type="spellEnd"/>
      <w:r w:rsidRPr="00437F21">
        <w:t xml:space="preserve"> HC, 2013.</w:t>
      </w:r>
      <w:proofErr w:type="gramEnd"/>
      <w:r w:rsidRPr="00437F21">
        <w:t xml:space="preserve"> </w:t>
      </w:r>
      <w:proofErr w:type="gramStart"/>
      <w:r w:rsidRPr="00437F21">
        <w:t>Management of mantle cell lymphoma in the elderly patient.</w:t>
      </w:r>
      <w:proofErr w:type="gramEnd"/>
      <w:r w:rsidRPr="00437F21">
        <w:t xml:space="preserve"> </w:t>
      </w:r>
      <w:r w:rsidRPr="00366A0C">
        <w:rPr>
          <w:i/>
        </w:rPr>
        <w:t>Clinical interventions in ageing</w:t>
      </w:r>
      <w:r w:rsidRPr="00437F21">
        <w:t xml:space="preserve"> </w:t>
      </w:r>
      <w:r>
        <w:t xml:space="preserve">2013; </w:t>
      </w:r>
      <w:r w:rsidRPr="00437F21">
        <w:t>8:</w:t>
      </w:r>
      <w:r>
        <w:t xml:space="preserve"> </w:t>
      </w:r>
      <w:r w:rsidRPr="00437F21">
        <w:t>1229-1236.</w:t>
      </w:r>
    </w:p>
  </w:footnote>
  <w:footnote w:id="24">
    <w:p w14:paraId="56A182AB" w14:textId="5C751589" w:rsidR="00366A0C" w:rsidRPr="00366A0C" w:rsidRDefault="00366A0C">
      <w:pPr>
        <w:pStyle w:val="FootnoteText"/>
        <w:rPr>
          <w:lang w:val="fr-FR"/>
        </w:rPr>
      </w:pPr>
      <w:r>
        <w:rPr>
          <w:rStyle w:val="FootnoteReference"/>
        </w:rPr>
        <w:footnoteRef/>
      </w:r>
      <w:r>
        <w:t xml:space="preserve"> </w:t>
      </w:r>
      <w:proofErr w:type="spellStart"/>
      <w:r w:rsidRPr="00437F21">
        <w:t>Dumontet</w:t>
      </w:r>
      <w:proofErr w:type="spellEnd"/>
      <w:r w:rsidRPr="00437F21">
        <w:t xml:space="preserve"> C et al (2002). </w:t>
      </w:r>
      <w:proofErr w:type="gramStart"/>
      <w:r w:rsidRPr="00437F21">
        <w:t>Gemcitabine as a single agent in the treatment of relapsed or refractory low‐grade non‐Hodgkin's lymphoma.</w:t>
      </w:r>
      <w:proofErr w:type="gramEnd"/>
      <w:r w:rsidRPr="00437F21">
        <w:t xml:space="preserve"> </w:t>
      </w:r>
      <w:r w:rsidRPr="00366A0C">
        <w:rPr>
          <w:i/>
          <w:lang w:val="fr-FR"/>
        </w:rPr>
        <w:t>BJH</w:t>
      </w:r>
      <w:r w:rsidRPr="00366A0C">
        <w:rPr>
          <w:lang w:val="fr-FR"/>
        </w:rPr>
        <w:t xml:space="preserve"> </w:t>
      </w:r>
      <w:r>
        <w:rPr>
          <w:lang w:val="fr-FR"/>
        </w:rPr>
        <w:t xml:space="preserve">2002; </w:t>
      </w:r>
      <w:r w:rsidRPr="00366A0C">
        <w:rPr>
          <w:lang w:val="fr-FR"/>
        </w:rPr>
        <w:t>113: 772-778</w:t>
      </w:r>
    </w:p>
  </w:footnote>
  <w:footnote w:id="25">
    <w:p w14:paraId="0D1EB576" w14:textId="1D69943C" w:rsidR="00366A0C" w:rsidRPr="000613A6" w:rsidRDefault="00366A0C" w:rsidP="000613A6">
      <w:pPr>
        <w:autoSpaceDE w:val="0"/>
        <w:autoSpaceDN w:val="0"/>
        <w:adjustRightInd w:val="0"/>
        <w:spacing w:before="0" w:after="0" w:line="240" w:lineRule="auto"/>
        <w:rPr>
          <w:rStyle w:val="FootnoteTextChar"/>
        </w:rPr>
      </w:pPr>
      <w:r>
        <w:rPr>
          <w:rStyle w:val="FootnoteReference"/>
        </w:rPr>
        <w:footnoteRef/>
      </w:r>
      <w:r w:rsidRPr="00366A0C">
        <w:rPr>
          <w:lang w:val="fr-FR"/>
        </w:rPr>
        <w:t xml:space="preserve"> </w:t>
      </w:r>
      <w:proofErr w:type="spellStart"/>
      <w:r w:rsidRPr="00366A0C">
        <w:rPr>
          <w:rStyle w:val="FootnoteTextChar"/>
          <w:lang w:val="fr-FR"/>
        </w:rPr>
        <w:t>Zinzani</w:t>
      </w:r>
      <w:proofErr w:type="spellEnd"/>
      <w:r w:rsidRPr="00366A0C">
        <w:rPr>
          <w:rStyle w:val="FootnoteTextChar"/>
          <w:lang w:val="fr-FR"/>
        </w:rPr>
        <w:t xml:space="preserve"> PL, et al. </w:t>
      </w:r>
      <w:proofErr w:type="spellStart"/>
      <w:r w:rsidRPr="000613A6">
        <w:rPr>
          <w:rStyle w:val="FootnoteTextChar"/>
        </w:rPr>
        <w:t>Fludarabine</w:t>
      </w:r>
      <w:proofErr w:type="spellEnd"/>
      <w:r w:rsidRPr="000613A6">
        <w:rPr>
          <w:rStyle w:val="FootnoteTextChar"/>
        </w:rPr>
        <w:t xml:space="preserve">: an active agent in the treatment of previously-treated and untreated low-grade non-Hodgkin’s lymphoma. </w:t>
      </w:r>
      <w:proofErr w:type="gramStart"/>
      <w:r w:rsidRPr="00366A0C">
        <w:rPr>
          <w:rStyle w:val="FootnoteTextChar"/>
          <w:i/>
        </w:rPr>
        <w:t xml:space="preserve">Ann </w:t>
      </w:r>
      <w:proofErr w:type="spellStart"/>
      <w:r w:rsidRPr="00366A0C">
        <w:rPr>
          <w:rStyle w:val="FootnoteTextChar"/>
          <w:i/>
        </w:rPr>
        <w:t>Oncol</w:t>
      </w:r>
      <w:proofErr w:type="spellEnd"/>
      <w:r w:rsidRPr="000613A6">
        <w:rPr>
          <w:rStyle w:val="FootnoteTextChar"/>
        </w:rPr>
        <w:t xml:space="preserve"> 1993;</w:t>
      </w:r>
      <w:r>
        <w:rPr>
          <w:rStyle w:val="FootnoteTextChar"/>
        </w:rPr>
        <w:t xml:space="preserve"> </w:t>
      </w:r>
      <w:r w:rsidRPr="000613A6">
        <w:rPr>
          <w:rStyle w:val="FootnoteTextChar"/>
        </w:rPr>
        <w:t>4:</w:t>
      </w:r>
      <w:r>
        <w:rPr>
          <w:rStyle w:val="FootnoteTextChar"/>
        </w:rPr>
        <w:t xml:space="preserve"> </w:t>
      </w:r>
      <w:r w:rsidRPr="000613A6">
        <w:rPr>
          <w:rStyle w:val="FootnoteTextChar"/>
        </w:rPr>
        <w:t>575-</w:t>
      </w:r>
      <w:r>
        <w:rPr>
          <w:rStyle w:val="FootnoteTextChar"/>
        </w:rPr>
        <w:t>57</w:t>
      </w:r>
      <w:r w:rsidRPr="000613A6">
        <w:rPr>
          <w:rStyle w:val="FootnoteTextChar"/>
        </w:rPr>
        <w:t>8.</w:t>
      </w:r>
      <w:proofErr w:type="gramEnd"/>
    </w:p>
  </w:footnote>
  <w:footnote w:id="26">
    <w:p w14:paraId="6E243373" w14:textId="48DAA9F3" w:rsidR="00366A0C" w:rsidRPr="00D9259A" w:rsidRDefault="00366A0C" w:rsidP="00D9259A">
      <w:pPr>
        <w:pStyle w:val="FootnoteText"/>
      </w:pPr>
      <w:r>
        <w:rPr>
          <w:rStyle w:val="FootnoteReference"/>
        </w:rPr>
        <w:footnoteRef/>
      </w:r>
      <w:hyperlink r:id="rId4" w:history="1">
        <w:r w:rsidRPr="00D9259A">
          <w:rPr>
            <w:rStyle w:val="Hyperlink"/>
            <w:color w:val="auto"/>
            <w:u w:val="none"/>
          </w:rPr>
          <w:t>Rai KR</w:t>
        </w:r>
      </w:hyperlink>
      <w:r w:rsidRPr="00D9259A">
        <w:t xml:space="preserve"> et al (2000). </w:t>
      </w:r>
      <w:proofErr w:type="spellStart"/>
      <w:r w:rsidRPr="00D9259A">
        <w:t>Fludarabine</w:t>
      </w:r>
      <w:proofErr w:type="spellEnd"/>
      <w:r w:rsidRPr="00D9259A">
        <w:t xml:space="preserve"> compared with </w:t>
      </w:r>
      <w:proofErr w:type="spellStart"/>
      <w:r w:rsidRPr="00D9259A">
        <w:t>chlorambucil</w:t>
      </w:r>
      <w:proofErr w:type="spellEnd"/>
      <w:r w:rsidRPr="00D9259A">
        <w:t xml:space="preserve"> as primary therapy for chronic lymphocytic </w:t>
      </w:r>
      <w:proofErr w:type="spellStart"/>
      <w:r w:rsidRPr="00D9259A">
        <w:t>leukemia</w:t>
      </w:r>
      <w:proofErr w:type="spellEnd"/>
      <w:r w:rsidRPr="00D9259A">
        <w:t xml:space="preserve">. </w:t>
      </w:r>
      <w:hyperlink r:id="rId5" w:tooltip="The New England journal of medicine." w:history="1">
        <w:r w:rsidRPr="00366A0C">
          <w:rPr>
            <w:rStyle w:val="Hyperlink"/>
            <w:i/>
            <w:color w:val="auto"/>
            <w:u w:val="none"/>
          </w:rPr>
          <w:t>N Engl J Med.</w:t>
        </w:r>
      </w:hyperlink>
      <w:r w:rsidRPr="00D9259A">
        <w:t xml:space="preserve"> </w:t>
      </w:r>
      <w:r>
        <w:t xml:space="preserve">2000; </w:t>
      </w:r>
      <w:r w:rsidRPr="00D9259A">
        <w:t>14;343:</w:t>
      </w:r>
      <w:r>
        <w:t xml:space="preserve"> </w:t>
      </w:r>
      <w:r w:rsidRPr="00D9259A">
        <w:t>1750-</w:t>
      </w:r>
      <w:r>
        <w:t>175</w:t>
      </w:r>
      <w:r w:rsidRPr="00D9259A">
        <w:t>7</w:t>
      </w:r>
    </w:p>
  </w:footnote>
  <w:footnote w:id="27">
    <w:p w14:paraId="7DD6BCD5" w14:textId="7DBF0BBF" w:rsidR="00366A0C" w:rsidRPr="00FE46F1" w:rsidRDefault="00366A0C" w:rsidP="000613A6">
      <w:pPr>
        <w:pStyle w:val="FootnoteText"/>
        <w:rPr>
          <w:lang w:val="fr-FR"/>
        </w:rPr>
      </w:pPr>
      <w:r>
        <w:rPr>
          <w:rStyle w:val="FootnoteReference"/>
        </w:rPr>
        <w:footnoteRef/>
      </w:r>
      <w:r>
        <w:t xml:space="preserve"> </w:t>
      </w:r>
      <w:proofErr w:type="spellStart"/>
      <w:r>
        <w:t>Kantarjian</w:t>
      </w:r>
      <w:proofErr w:type="spellEnd"/>
      <w:r>
        <w:t xml:space="preserve"> H </w:t>
      </w:r>
      <w:proofErr w:type="gramStart"/>
      <w:r>
        <w:t>et</w:t>
      </w:r>
      <w:proofErr w:type="gramEnd"/>
      <w:r>
        <w:t xml:space="preserve"> </w:t>
      </w:r>
      <w:proofErr w:type="spellStart"/>
      <w:r>
        <w:t>al.High</w:t>
      </w:r>
      <w:proofErr w:type="spellEnd"/>
      <w:r>
        <w:t>-dose cytosine arabinoside in non-Hodgkin’s lymphoma</w:t>
      </w:r>
      <w:r w:rsidRPr="00FE46F1">
        <w:rPr>
          <w:i/>
        </w:rPr>
        <w:t xml:space="preserve">. </w:t>
      </w:r>
      <w:r w:rsidRPr="00FE46F1">
        <w:rPr>
          <w:i/>
          <w:lang w:val="fr-FR"/>
        </w:rPr>
        <w:t xml:space="preserve">J Clin </w:t>
      </w:r>
      <w:proofErr w:type="spellStart"/>
      <w:r w:rsidRPr="00FE46F1">
        <w:rPr>
          <w:i/>
          <w:lang w:val="fr-FR"/>
        </w:rPr>
        <w:t>Oncol</w:t>
      </w:r>
      <w:proofErr w:type="spellEnd"/>
      <w:r w:rsidRPr="00FE46F1">
        <w:rPr>
          <w:lang w:val="fr-FR"/>
        </w:rPr>
        <w:t xml:space="preserve"> 1983;1:689-</w:t>
      </w:r>
      <w:r>
        <w:rPr>
          <w:lang w:val="fr-FR"/>
        </w:rPr>
        <w:t>6</w:t>
      </w:r>
      <w:r w:rsidRPr="00FE46F1">
        <w:rPr>
          <w:lang w:val="fr-FR"/>
        </w:rPr>
        <w:t>94.</w:t>
      </w:r>
    </w:p>
  </w:footnote>
  <w:footnote w:id="28">
    <w:p w14:paraId="32173389" w14:textId="253287BD" w:rsidR="00366A0C" w:rsidRPr="000613A6" w:rsidRDefault="00366A0C" w:rsidP="000613A6">
      <w:pPr>
        <w:autoSpaceDE w:val="0"/>
        <w:autoSpaceDN w:val="0"/>
        <w:adjustRightInd w:val="0"/>
        <w:spacing w:before="0" w:after="0" w:line="240" w:lineRule="auto"/>
        <w:rPr>
          <w:rStyle w:val="FootnoteTextChar"/>
        </w:rPr>
      </w:pPr>
      <w:r>
        <w:rPr>
          <w:rStyle w:val="FootnoteReference"/>
        </w:rPr>
        <w:footnoteRef/>
      </w:r>
      <w:r w:rsidRPr="00FE46F1">
        <w:rPr>
          <w:lang w:val="fr-FR"/>
        </w:rPr>
        <w:t xml:space="preserve"> </w:t>
      </w:r>
      <w:r w:rsidRPr="00FE46F1">
        <w:rPr>
          <w:rStyle w:val="FootnoteTextChar"/>
          <w:lang w:val="fr-FR"/>
        </w:rPr>
        <w:t xml:space="preserve">Hess G, et al. </w:t>
      </w:r>
      <w:r w:rsidRPr="000613A6">
        <w:rPr>
          <w:rStyle w:val="FootnoteTextChar"/>
        </w:rPr>
        <w:t xml:space="preserve">Phase III study to evaluate </w:t>
      </w:r>
      <w:proofErr w:type="spellStart"/>
      <w:r w:rsidRPr="000613A6">
        <w:rPr>
          <w:rStyle w:val="FootnoteTextChar"/>
        </w:rPr>
        <w:t>temsirolimus</w:t>
      </w:r>
      <w:proofErr w:type="spellEnd"/>
      <w:r w:rsidRPr="000613A6">
        <w:rPr>
          <w:rStyle w:val="FootnoteTextChar"/>
        </w:rPr>
        <w:t xml:space="preserve"> compared with investigator’s choice therapy for the treatment of relapsed or refractory mantle cell lymphoma. </w:t>
      </w:r>
      <w:r w:rsidRPr="00FE46F1">
        <w:rPr>
          <w:rStyle w:val="FootnoteTextChar"/>
          <w:i/>
        </w:rPr>
        <w:t xml:space="preserve">J </w:t>
      </w:r>
      <w:proofErr w:type="spellStart"/>
      <w:r w:rsidRPr="00FE46F1">
        <w:rPr>
          <w:rStyle w:val="FootnoteTextChar"/>
          <w:i/>
        </w:rPr>
        <w:t>Clin</w:t>
      </w:r>
      <w:proofErr w:type="spellEnd"/>
      <w:r w:rsidRPr="00FE46F1">
        <w:rPr>
          <w:rStyle w:val="FootnoteTextChar"/>
          <w:i/>
        </w:rPr>
        <w:t xml:space="preserve"> </w:t>
      </w:r>
      <w:proofErr w:type="spellStart"/>
      <w:r w:rsidRPr="00FE46F1">
        <w:rPr>
          <w:rStyle w:val="FootnoteTextChar"/>
          <w:i/>
        </w:rPr>
        <w:t>Oncol</w:t>
      </w:r>
      <w:proofErr w:type="spellEnd"/>
      <w:r w:rsidRPr="000613A6">
        <w:rPr>
          <w:rStyle w:val="FootnoteTextChar"/>
        </w:rPr>
        <w:t xml:space="preserve"> 2009;</w:t>
      </w:r>
      <w:r>
        <w:rPr>
          <w:rStyle w:val="FootnoteTextChar"/>
        </w:rPr>
        <w:t xml:space="preserve"> </w:t>
      </w:r>
      <w:r w:rsidRPr="000613A6">
        <w:rPr>
          <w:rStyle w:val="FootnoteTextChar"/>
        </w:rPr>
        <w:t>27:</w:t>
      </w:r>
      <w:r>
        <w:rPr>
          <w:rStyle w:val="FootnoteTextChar"/>
        </w:rPr>
        <w:t xml:space="preserve"> </w:t>
      </w:r>
      <w:r w:rsidRPr="000613A6">
        <w:rPr>
          <w:rStyle w:val="FootnoteTextChar"/>
        </w:rPr>
        <w:t>3822-</w:t>
      </w:r>
      <w:r>
        <w:rPr>
          <w:rStyle w:val="FootnoteTextChar"/>
        </w:rPr>
        <w:t>382</w:t>
      </w:r>
      <w:r w:rsidRPr="000613A6">
        <w:rPr>
          <w:rStyle w:val="FootnoteTextChar"/>
        </w:rPr>
        <w:t>9.</w:t>
      </w:r>
    </w:p>
  </w:footnote>
  <w:footnote w:id="29">
    <w:p w14:paraId="3F20E7DC" w14:textId="77777777" w:rsidR="00366A0C" w:rsidRDefault="00366A0C" w:rsidP="00456765">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6C6BBBA2" w14:textId="77777777" w:rsidR="00366A0C" w:rsidRDefault="00366A0C" w:rsidP="00456765">
      <w:pPr>
        <w:pStyle w:val="FootnoteText"/>
      </w:pPr>
      <w:r w:rsidRPr="00F12492">
        <w:rPr>
          <w:i/>
        </w:rPr>
        <w:t>Routine pharmacovigilance</w:t>
      </w:r>
      <w:r>
        <w:t xml:space="preserve"> practices involve the following activities:</w:t>
      </w:r>
    </w:p>
    <w:p w14:paraId="7C0A3873" w14:textId="77777777" w:rsidR="00366A0C" w:rsidRDefault="00366A0C" w:rsidP="00456765">
      <w:pPr>
        <w:pStyle w:val="FootnoteText"/>
        <w:numPr>
          <w:ilvl w:val="0"/>
          <w:numId w:val="28"/>
        </w:numPr>
      </w:pPr>
      <w:r>
        <w:t>All suspected adverse reactions that are reported to the personnel of the company are collected and collated in an accessible manner;</w:t>
      </w:r>
    </w:p>
    <w:p w14:paraId="2F2484B2" w14:textId="77777777" w:rsidR="00366A0C" w:rsidRDefault="00366A0C" w:rsidP="00456765">
      <w:pPr>
        <w:pStyle w:val="FootnoteText"/>
        <w:numPr>
          <w:ilvl w:val="0"/>
          <w:numId w:val="28"/>
        </w:numPr>
      </w:pPr>
      <w:r>
        <w:t>Reporting to regulatory authorities;</w:t>
      </w:r>
    </w:p>
    <w:p w14:paraId="27037051" w14:textId="77777777" w:rsidR="00366A0C" w:rsidRDefault="00366A0C" w:rsidP="00456765">
      <w:pPr>
        <w:pStyle w:val="FootnoteText"/>
        <w:numPr>
          <w:ilvl w:val="0"/>
          <w:numId w:val="28"/>
        </w:numPr>
      </w:pPr>
      <w:r>
        <w:t xml:space="preserve">Continuous monitoring of the safety profiles of approved products including signal detection and updating of </w:t>
      </w:r>
      <w:proofErr w:type="spellStart"/>
      <w:r>
        <w:t>labeling</w:t>
      </w:r>
      <w:proofErr w:type="spellEnd"/>
      <w:r>
        <w:t>;</w:t>
      </w:r>
    </w:p>
    <w:p w14:paraId="49F88A20" w14:textId="77777777" w:rsidR="00366A0C" w:rsidRDefault="00366A0C" w:rsidP="00456765">
      <w:pPr>
        <w:pStyle w:val="FootnoteText"/>
        <w:numPr>
          <w:ilvl w:val="0"/>
          <w:numId w:val="28"/>
        </w:numPr>
      </w:pPr>
      <w:r>
        <w:t>Submission of PSURs;</w:t>
      </w:r>
    </w:p>
    <w:p w14:paraId="5ED7B807" w14:textId="77777777" w:rsidR="00366A0C" w:rsidRPr="00F12492" w:rsidRDefault="00366A0C" w:rsidP="00456765">
      <w:pPr>
        <w:pStyle w:val="FootnoteText"/>
        <w:numPr>
          <w:ilvl w:val="0"/>
          <w:numId w:val="28"/>
        </w:numPr>
        <w:rPr>
          <w:lang w:val="en-US"/>
        </w:rPr>
      </w:pPr>
      <w:r>
        <w:t>Meeting other local regulatory agency requirements.</w:t>
      </w:r>
    </w:p>
  </w:footnote>
  <w:footnote w:id="30">
    <w:p w14:paraId="14BBCC8C" w14:textId="77777777" w:rsidR="00366A0C" w:rsidRPr="00E07116" w:rsidRDefault="00366A0C">
      <w:pPr>
        <w:pStyle w:val="FootnoteText"/>
      </w:pPr>
      <w:r>
        <w:rPr>
          <w:rStyle w:val="FootnoteReference"/>
        </w:rPr>
        <w:footnoteRef/>
      </w:r>
      <w:r>
        <w:t xml:space="preserve"> </w:t>
      </w:r>
      <w:proofErr w:type="spellStart"/>
      <w:proofErr w:type="gramStart"/>
      <w:r w:rsidRPr="00E07116">
        <w:t>i</w:t>
      </w:r>
      <w:proofErr w:type="spellEnd"/>
      <w:r w:rsidRPr="00E07116">
        <w:t>-access</w:t>
      </w:r>
      <w:proofErr w:type="gramEnd"/>
      <w:r w:rsidRPr="00E07116">
        <w:t xml:space="preserve"> is the online library catalogue of Vision Australia.</w:t>
      </w:r>
    </w:p>
  </w:footnote>
  <w:footnote w:id="31">
    <w:p w14:paraId="03A2CED6" w14:textId="77777777" w:rsidR="00366A0C" w:rsidRDefault="00366A0C"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7E58F28" w14:textId="77777777" w:rsidR="00366A0C" w:rsidRPr="00456765" w:rsidRDefault="00366A0C"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60593" w14:textId="77777777" w:rsidR="00366A0C" w:rsidRDefault="00366A0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AD6A0" w14:textId="77777777" w:rsidR="00366A0C" w:rsidRDefault="00366A0C">
    <w:pPr>
      <w:rPr>
        <w:noProof/>
        <w:lang w:eastAsia="en-AU"/>
      </w:rPr>
    </w:pPr>
    <w:r w:rsidRPr="00347824">
      <w:rPr>
        <w:noProof/>
        <w:lang w:eastAsia="en-AU"/>
      </w:rPr>
      <w:drawing>
        <wp:anchor distT="0" distB="0" distL="114300" distR="114300" simplePos="0" relativeHeight="251659264" behindDoc="1" locked="0" layoutInCell="1" allowOverlap="1" wp14:anchorId="3D1677EA" wp14:editId="220327A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DC8B328" w14:textId="77777777" w:rsidR="00366A0C" w:rsidRDefault="00366A0C" w:rsidP="00593AD1">
    <w:pPr>
      <w:pStyle w:val="HeaderNoLine"/>
    </w:pPr>
    <w:r>
      <w:rPr>
        <w:noProof/>
        <w:lang w:eastAsia="en-AU"/>
      </w:rPr>
      <w:drawing>
        <wp:inline distT="0" distB="0" distL="0" distR="0" wp14:anchorId="6E14C466" wp14:editId="2DBF66A1">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A8030" w14:textId="77777777" w:rsidR="00366A0C" w:rsidRDefault="00366A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951D" w14:textId="77777777" w:rsidR="00366A0C" w:rsidRDefault="00366A0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DAFA" w14:textId="77777777" w:rsidR="00366A0C" w:rsidRDefault="00366A0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535EE" w14:textId="77777777" w:rsidR="00366A0C" w:rsidRDefault="00366A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BD0D" w14:textId="77777777" w:rsidR="00366A0C" w:rsidRDefault="00366A0C"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756DD" w14:textId="77777777" w:rsidR="00366A0C" w:rsidRDefault="00366A0C" w:rsidP="006E08B3">
    <w:r>
      <w:t>Therapeutic Goods Administration</w:t>
    </w:r>
  </w:p>
  <w:p w14:paraId="236C159B" w14:textId="77777777" w:rsidR="00366A0C" w:rsidRDefault="00366A0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0F3607C"/>
    <w:multiLevelType w:val="hybridMultilevel"/>
    <w:tmpl w:val="8EB8CC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830521"/>
    <w:multiLevelType w:val="hybridMultilevel"/>
    <w:tmpl w:val="A9D2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C3E77"/>
    <w:multiLevelType w:val="hybridMultilevel"/>
    <w:tmpl w:val="391A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F13E9"/>
    <w:multiLevelType w:val="multilevel"/>
    <w:tmpl w:val="7EE0F48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07D705F"/>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42271511"/>
    <w:multiLevelType w:val="hybridMultilevel"/>
    <w:tmpl w:val="3934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A26597"/>
    <w:multiLevelType w:val="hybridMultilevel"/>
    <w:tmpl w:val="1B4A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9A719F"/>
    <w:multiLevelType w:val="hybridMultilevel"/>
    <w:tmpl w:val="4DF62E2A"/>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5F3A031B"/>
    <w:multiLevelType w:val="hybridMultilevel"/>
    <w:tmpl w:val="DC821CC4"/>
    <w:lvl w:ilvl="0" w:tplc="66C059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AD41E57"/>
    <w:multiLevelType w:val="hybridMultilevel"/>
    <w:tmpl w:val="37729BD6"/>
    <w:lvl w:ilvl="0" w:tplc="FDFC3B42">
      <w:start w:val="1"/>
      <w:numFmt w:val="decimal"/>
      <w:pStyle w:val="TableTitle"/>
      <w:lvlText w:val="Table %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B862192"/>
    <w:multiLevelType w:val="hybridMultilevel"/>
    <w:tmpl w:val="40B6DFEA"/>
    <w:lvl w:ilvl="0" w:tplc="B20CFF16">
      <w:start w:val="1"/>
      <w:numFmt w:val="decimal"/>
      <w:lvlText w:val="%1."/>
      <w:lvlJc w:val="left"/>
      <w:pPr>
        <w:ind w:left="678" w:hanging="563"/>
      </w:pPr>
      <w:rPr>
        <w:rFonts w:ascii="Times New Roman" w:eastAsia="Times New Roman" w:hAnsi="Times New Roman" w:cs="Times New Roman" w:hint="default"/>
        <w:w w:val="110"/>
        <w:sz w:val="22"/>
        <w:szCs w:val="22"/>
      </w:rPr>
    </w:lvl>
    <w:lvl w:ilvl="1" w:tplc="7A743C08">
      <w:start w:val="1"/>
      <w:numFmt w:val="lowerLetter"/>
      <w:lvlText w:val="(%2)"/>
      <w:lvlJc w:val="left"/>
      <w:pPr>
        <w:ind w:left="1275" w:hanging="565"/>
      </w:pPr>
      <w:rPr>
        <w:rFonts w:ascii="Times New Roman" w:eastAsia="Times New Roman" w:hAnsi="Times New Roman" w:cs="Times New Roman" w:hint="default"/>
        <w:spacing w:val="-1"/>
        <w:w w:val="106"/>
        <w:sz w:val="22"/>
        <w:szCs w:val="22"/>
      </w:rPr>
    </w:lvl>
    <w:lvl w:ilvl="2" w:tplc="68A4F20E">
      <w:numFmt w:val="bullet"/>
      <w:lvlText w:val="•"/>
      <w:lvlJc w:val="left"/>
      <w:pPr>
        <w:ind w:left="2234" w:hanging="565"/>
      </w:pPr>
    </w:lvl>
    <w:lvl w:ilvl="3" w:tplc="96884634">
      <w:numFmt w:val="bullet"/>
      <w:lvlText w:val="•"/>
      <w:lvlJc w:val="left"/>
      <w:pPr>
        <w:ind w:left="3189" w:hanging="565"/>
      </w:pPr>
    </w:lvl>
    <w:lvl w:ilvl="4" w:tplc="B7E45638">
      <w:numFmt w:val="bullet"/>
      <w:lvlText w:val="•"/>
      <w:lvlJc w:val="left"/>
      <w:pPr>
        <w:ind w:left="4144" w:hanging="565"/>
      </w:pPr>
    </w:lvl>
    <w:lvl w:ilvl="5" w:tplc="2336256C">
      <w:numFmt w:val="bullet"/>
      <w:lvlText w:val="•"/>
      <w:lvlJc w:val="left"/>
      <w:pPr>
        <w:ind w:left="5099" w:hanging="565"/>
      </w:pPr>
    </w:lvl>
    <w:lvl w:ilvl="6" w:tplc="E7BE09BC">
      <w:numFmt w:val="bullet"/>
      <w:lvlText w:val="•"/>
      <w:lvlJc w:val="left"/>
      <w:pPr>
        <w:ind w:left="6054" w:hanging="565"/>
      </w:pPr>
    </w:lvl>
    <w:lvl w:ilvl="7" w:tplc="CAA6D860">
      <w:numFmt w:val="bullet"/>
      <w:lvlText w:val="•"/>
      <w:lvlJc w:val="left"/>
      <w:pPr>
        <w:ind w:left="7009" w:hanging="565"/>
      </w:pPr>
    </w:lvl>
    <w:lvl w:ilvl="8" w:tplc="71DEF594">
      <w:numFmt w:val="bullet"/>
      <w:lvlText w:val="•"/>
      <w:lvlJc w:val="left"/>
      <w:pPr>
        <w:ind w:left="7963" w:hanging="565"/>
      </w:p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4"/>
  </w:num>
  <w:num w:numId="17">
    <w:abstractNumId w:val="4"/>
  </w:num>
  <w:num w:numId="18">
    <w:abstractNumId w:val="4"/>
  </w:num>
  <w:num w:numId="19">
    <w:abstractNumId w:val="8"/>
  </w:num>
  <w:num w:numId="20">
    <w:abstractNumId w:val="8"/>
  </w:num>
  <w:num w:numId="21">
    <w:abstractNumId w:val="8"/>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5"/>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4"/>
  </w:num>
  <w:num w:numId="32">
    <w:abstractNumId w:val="20"/>
  </w:num>
  <w:num w:numId="33">
    <w:abstractNumId w:val="11"/>
  </w:num>
  <w:num w:numId="3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0"/>
  </w:num>
  <w:num w:numId="38">
    <w:abstractNumId w:val="12"/>
  </w:num>
  <w:num w:numId="39">
    <w:abstractNumId w:val="13"/>
  </w:num>
  <w:num w:numId="40">
    <w:abstractNumId w:val="6"/>
  </w:num>
  <w:num w:numId="41">
    <w:abstractNumId w:val="17"/>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iver Manzke">
    <w15:presenceInfo w15:providerId="AD" w15:userId="S-1-5-21-1880968551-1748812925-4072233598-51594"/>
  </w15:person>
  <w15:person w15:author="Sandhya Duggan">
    <w15:presenceInfo w15:providerId="AD" w15:userId="S-1-5-21-1880968551-1748812925-4072233598-52261"/>
  </w15:person>
  <w15:person w15:author="Thibaut Dumont">
    <w15:presenceInfo w15:providerId="AD" w15:userId="S-1-5-21-1880968551-1748812925-4072233598-179278"/>
  </w15:person>
  <w15:person w15:author="Suzette Dowling">
    <w15:presenceInfo w15:providerId="AD" w15:userId="S-1-5-21-1880968551-1748812925-4072233598-17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55"/>
    <w:rsid w:val="00002031"/>
    <w:rsid w:val="00004734"/>
    <w:rsid w:val="00006B22"/>
    <w:rsid w:val="00007C96"/>
    <w:rsid w:val="00010AA6"/>
    <w:rsid w:val="0001276A"/>
    <w:rsid w:val="0002459E"/>
    <w:rsid w:val="000246AE"/>
    <w:rsid w:val="00025C67"/>
    <w:rsid w:val="00044772"/>
    <w:rsid w:val="00051FEE"/>
    <w:rsid w:val="0005559E"/>
    <w:rsid w:val="000604D6"/>
    <w:rsid w:val="000610FB"/>
    <w:rsid w:val="000613A6"/>
    <w:rsid w:val="000734D8"/>
    <w:rsid w:val="00077775"/>
    <w:rsid w:val="00085F38"/>
    <w:rsid w:val="00090471"/>
    <w:rsid w:val="00096AA7"/>
    <w:rsid w:val="000A3AED"/>
    <w:rsid w:val="000B3532"/>
    <w:rsid w:val="000B3A75"/>
    <w:rsid w:val="000C00C2"/>
    <w:rsid w:val="000C20D5"/>
    <w:rsid w:val="000C690F"/>
    <w:rsid w:val="000D1295"/>
    <w:rsid w:val="000D2002"/>
    <w:rsid w:val="000D391B"/>
    <w:rsid w:val="000D3D6D"/>
    <w:rsid w:val="000D4FC7"/>
    <w:rsid w:val="000E6196"/>
    <w:rsid w:val="000F467B"/>
    <w:rsid w:val="000F4869"/>
    <w:rsid w:val="000F5B42"/>
    <w:rsid w:val="000F6E6F"/>
    <w:rsid w:val="0010601F"/>
    <w:rsid w:val="0010788A"/>
    <w:rsid w:val="00107A31"/>
    <w:rsid w:val="00110EA5"/>
    <w:rsid w:val="00112F56"/>
    <w:rsid w:val="001152AB"/>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52BD"/>
    <w:rsid w:val="0017693F"/>
    <w:rsid w:val="0018110E"/>
    <w:rsid w:val="00181684"/>
    <w:rsid w:val="00182F8C"/>
    <w:rsid w:val="001843C6"/>
    <w:rsid w:val="001850E0"/>
    <w:rsid w:val="00186D46"/>
    <w:rsid w:val="001A0738"/>
    <w:rsid w:val="001A2158"/>
    <w:rsid w:val="001A451A"/>
    <w:rsid w:val="001A525F"/>
    <w:rsid w:val="001B09F9"/>
    <w:rsid w:val="001B5C90"/>
    <w:rsid w:val="001B6448"/>
    <w:rsid w:val="001C32CD"/>
    <w:rsid w:val="001C502B"/>
    <w:rsid w:val="001C776E"/>
    <w:rsid w:val="001D2984"/>
    <w:rsid w:val="001D4D0C"/>
    <w:rsid w:val="001E07CF"/>
    <w:rsid w:val="001E59F1"/>
    <w:rsid w:val="001F0EA6"/>
    <w:rsid w:val="001F2CEE"/>
    <w:rsid w:val="001F49EB"/>
    <w:rsid w:val="001F6CBA"/>
    <w:rsid w:val="00201D4E"/>
    <w:rsid w:val="002076C9"/>
    <w:rsid w:val="00220B8A"/>
    <w:rsid w:val="002257F3"/>
    <w:rsid w:val="00233456"/>
    <w:rsid w:val="002339A5"/>
    <w:rsid w:val="00257848"/>
    <w:rsid w:val="00266597"/>
    <w:rsid w:val="00266E72"/>
    <w:rsid w:val="0027084A"/>
    <w:rsid w:val="002712EB"/>
    <w:rsid w:val="00283551"/>
    <w:rsid w:val="00286434"/>
    <w:rsid w:val="00286C59"/>
    <w:rsid w:val="00291957"/>
    <w:rsid w:val="002942D1"/>
    <w:rsid w:val="0029501A"/>
    <w:rsid w:val="002A3721"/>
    <w:rsid w:val="002B1638"/>
    <w:rsid w:val="002B3624"/>
    <w:rsid w:val="002C3C42"/>
    <w:rsid w:val="002D0952"/>
    <w:rsid w:val="002E40B3"/>
    <w:rsid w:val="002E4C9A"/>
    <w:rsid w:val="002F11F8"/>
    <w:rsid w:val="002F3F56"/>
    <w:rsid w:val="002F44B5"/>
    <w:rsid w:val="002F5122"/>
    <w:rsid w:val="003070DD"/>
    <w:rsid w:val="00311AC0"/>
    <w:rsid w:val="003137B8"/>
    <w:rsid w:val="00316861"/>
    <w:rsid w:val="003174CD"/>
    <w:rsid w:val="003176FC"/>
    <w:rsid w:val="0032583B"/>
    <w:rsid w:val="00327883"/>
    <w:rsid w:val="00335504"/>
    <w:rsid w:val="003402B2"/>
    <w:rsid w:val="00340C18"/>
    <w:rsid w:val="003442FD"/>
    <w:rsid w:val="00347824"/>
    <w:rsid w:val="00347DC9"/>
    <w:rsid w:val="00347F4A"/>
    <w:rsid w:val="00350567"/>
    <w:rsid w:val="003521E8"/>
    <w:rsid w:val="00357AFC"/>
    <w:rsid w:val="00366A0C"/>
    <w:rsid w:val="00370CE3"/>
    <w:rsid w:val="003728F3"/>
    <w:rsid w:val="003735BC"/>
    <w:rsid w:val="00374711"/>
    <w:rsid w:val="0037496E"/>
    <w:rsid w:val="003765F0"/>
    <w:rsid w:val="003813E9"/>
    <w:rsid w:val="00383221"/>
    <w:rsid w:val="00386150"/>
    <w:rsid w:val="003874CE"/>
    <w:rsid w:val="00390900"/>
    <w:rsid w:val="003A7F6C"/>
    <w:rsid w:val="003B4D60"/>
    <w:rsid w:val="003B7E39"/>
    <w:rsid w:val="003C58DC"/>
    <w:rsid w:val="003C7BD9"/>
    <w:rsid w:val="003D1528"/>
    <w:rsid w:val="003D1E62"/>
    <w:rsid w:val="003E0B99"/>
    <w:rsid w:val="003E2486"/>
    <w:rsid w:val="003E3208"/>
    <w:rsid w:val="003F0B04"/>
    <w:rsid w:val="0040134E"/>
    <w:rsid w:val="00420671"/>
    <w:rsid w:val="004334C7"/>
    <w:rsid w:val="00437F21"/>
    <w:rsid w:val="00440A2D"/>
    <w:rsid w:val="00441C3F"/>
    <w:rsid w:val="00451EC0"/>
    <w:rsid w:val="004564A7"/>
    <w:rsid w:val="00456765"/>
    <w:rsid w:val="004617BF"/>
    <w:rsid w:val="00463658"/>
    <w:rsid w:val="004637A0"/>
    <w:rsid w:val="004722CC"/>
    <w:rsid w:val="004778B8"/>
    <w:rsid w:val="004936E4"/>
    <w:rsid w:val="00494E60"/>
    <w:rsid w:val="00497487"/>
    <w:rsid w:val="004A601C"/>
    <w:rsid w:val="004A6189"/>
    <w:rsid w:val="004A7390"/>
    <w:rsid w:val="004B4C0E"/>
    <w:rsid w:val="004B7B76"/>
    <w:rsid w:val="004C239D"/>
    <w:rsid w:val="004C2DCA"/>
    <w:rsid w:val="004C61D2"/>
    <w:rsid w:val="004E3073"/>
    <w:rsid w:val="004E439B"/>
    <w:rsid w:val="004F0C4A"/>
    <w:rsid w:val="004F0F38"/>
    <w:rsid w:val="004F47D6"/>
    <w:rsid w:val="00500337"/>
    <w:rsid w:val="0050164D"/>
    <w:rsid w:val="00501921"/>
    <w:rsid w:val="00516496"/>
    <w:rsid w:val="00521209"/>
    <w:rsid w:val="00530354"/>
    <w:rsid w:val="0053625B"/>
    <w:rsid w:val="005434C6"/>
    <w:rsid w:val="00543B39"/>
    <w:rsid w:val="00546154"/>
    <w:rsid w:val="00550096"/>
    <w:rsid w:val="00555280"/>
    <w:rsid w:val="00557FF9"/>
    <w:rsid w:val="00562327"/>
    <w:rsid w:val="005711D5"/>
    <w:rsid w:val="00576378"/>
    <w:rsid w:val="00577130"/>
    <w:rsid w:val="005776D5"/>
    <w:rsid w:val="00577945"/>
    <w:rsid w:val="00577E38"/>
    <w:rsid w:val="00585322"/>
    <w:rsid w:val="005857C6"/>
    <w:rsid w:val="00586578"/>
    <w:rsid w:val="00592F6E"/>
    <w:rsid w:val="00593AD1"/>
    <w:rsid w:val="005A68B6"/>
    <w:rsid w:val="005C5570"/>
    <w:rsid w:val="005C79A4"/>
    <w:rsid w:val="005D5442"/>
    <w:rsid w:val="005F2521"/>
    <w:rsid w:val="00603F32"/>
    <w:rsid w:val="00605AD4"/>
    <w:rsid w:val="006136D7"/>
    <w:rsid w:val="00625A6E"/>
    <w:rsid w:val="00632398"/>
    <w:rsid w:val="006326F2"/>
    <w:rsid w:val="006378DD"/>
    <w:rsid w:val="00640FC3"/>
    <w:rsid w:val="00642020"/>
    <w:rsid w:val="006471F4"/>
    <w:rsid w:val="0065337B"/>
    <w:rsid w:val="0065419D"/>
    <w:rsid w:val="006603BC"/>
    <w:rsid w:val="006604D8"/>
    <w:rsid w:val="00661A9F"/>
    <w:rsid w:val="00663A87"/>
    <w:rsid w:val="00664A5B"/>
    <w:rsid w:val="0066735C"/>
    <w:rsid w:val="006763D2"/>
    <w:rsid w:val="00680C08"/>
    <w:rsid w:val="006916A0"/>
    <w:rsid w:val="006931B1"/>
    <w:rsid w:val="0069583A"/>
    <w:rsid w:val="006A15C0"/>
    <w:rsid w:val="006C3E2A"/>
    <w:rsid w:val="006C642F"/>
    <w:rsid w:val="006D03E5"/>
    <w:rsid w:val="006D5D3E"/>
    <w:rsid w:val="006E08B3"/>
    <w:rsid w:val="006F17AC"/>
    <w:rsid w:val="006F25B8"/>
    <w:rsid w:val="006F572E"/>
    <w:rsid w:val="007046D6"/>
    <w:rsid w:val="0070523F"/>
    <w:rsid w:val="00705DB0"/>
    <w:rsid w:val="00722B57"/>
    <w:rsid w:val="00730F8A"/>
    <w:rsid w:val="00735A8C"/>
    <w:rsid w:val="0074253D"/>
    <w:rsid w:val="0074429B"/>
    <w:rsid w:val="00747476"/>
    <w:rsid w:val="007615BC"/>
    <w:rsid w:val="00762F05"/>
    <w:rsid w:val="007652FF"/>
    <w:rsid w:val="00770CAC"/>
    <w:rsid w:val="00770EF1"/>
    <w:rsid w:val="00773EF7"/>
    <w:rsid w:val="00774E1D"/>
    <w:rsid w:val="007765D8"/>
    <w:rsid w:val="0077675A"/>
    <w:rsid w:val="00780355"/>
    <w:rsid w:val="007819FD"/>
    <w:rsid w:val="00781DB5"/>
    <w:rsid w:val="00785717"/>
    <w:rsid w:val="00785721"/>
    <w:rsid w:val="00793A59"/>
    <w:rsid w:val="007A28BE"/>
    <w:rsid w:val="007A46F5"/>
    <w:rsid w:val="007B03E1"/>
    <w:rsid w:val="007B6132"/>
    <w:rsid w:val="007B6E9F"/>
    <w:rsid w:val="007C01D7"/>
    <w:rsid w:val="007C1216"/>
    <w:rsid w:val="007C1AF7"/>
    <w:rsid w:val="007C431D"/>
    <w:rsid w:val="007C6B9B"/>
    <w:rsid w:val="00805D27"/>
    <w:rsid w:val="00806DCB"/>
    <w:rsid w:val="00821776"/>
    <w:rsid w:val="00825BB0"/>
    <w:rsid w:val="008321F5"/>
    <w:rsid w:val="00832369"/>
    <w:rsid w:val="00834660"/>
    <w:rsid w:val="00836BC2"/>
    <w:rsid w:val="0085156D"/>
    <w:rsid w:val="00852373"/>
    <w:rsid w:val="00852B28"/>
    <w:rsid w:val="0085641B"/>
    <w:rsid w:val="00857136"/>
    <w:rsid w:val="00875A6B"/>
    <w:rsid w:val="00885B11"/>
    <w:rsid w:val="00886D15"/>
    <w:rsid w:val="00887DD8"/>
    <w:rsid w:val="00891BA9"/>
    <w:rsid w:val="00895AA7"/>
    <w:rsid w:val="00896018"/>
    <w:rsid w:val="008960DD"/>
    <w:rsid w:val="0089635C"/>
    <w:rsid w:val="008A2B9D"/>
    <w:rsid w:val="008A3D9F"/>
    <w:rsid w:val="008A5E0B"/>
    <w:rsid w:val="008A6D59"/>
    <w:rsid w:val="008A7FDA"/>
    <w:rsid w:val="008B4614"/>
    <w:rsid w:val="008B4B03"/>
    <w:rsid w:val="008B596F"/>
    <w:rsid w:val="008C159F"/>
    <w:rsid w:val="008C1623"/>
    <w:rsid w:val="008C1850"/>
    <w:rsid w:val="008C51A9"/>
    <w:rsid w:val="008E0931"/>
    <w:rsid w:val="008E678A"/>
    <w:rsid w:val="008E7846"/>
    <w:rsid w:val="008F02E5"/>
    <w:rsid w:val="008F1CCC"/>
    <w:rsid w:val="008F2967"/>
    <w:rsid w:val="008F6943"/>
    <w:rsid w:val="00902A21"/>
    <w:rsid w:val="009079B7"/>
    <w:rsid w:val="0091523F"/>
    <w:rsid w:val="00920330"/>
    <w:rsid w:val="009219D7"/>
    <w:rsid w:val="00922D53"/>
    <w:rsid w:val="00923B70"/>
    <w:rsid w:val="00924401"/>
    <w:rsid w:val="00924482"/>
    <w:rsid w:val="00926E55"/>
    <w:rsid w:val="00930237"/>
    <w:rsid w:val="0093531A"/>
    <w:rsid w:val="00937C17"/>
    <w:rsid w:val="00940A89"/>
    <w:rsid w:val="00946EA5"/>
    <w:rsid w:val="0095081E"/>
    <w:rsid w:val="0095508E"/>
    <w:rsid w:val="00963C08"/>
    <w:rsid w:val="0096670A"/>
    <w:rsid w:val="009724EC"/>
    <w:rsid w:val="009752A5"/>
    <w:rsid w:val="0098585A"/>
    <w:rsid w:val="009A4CED"/>
    <w:rsid w:val="009A690D"/>
    <w:rsid w:val="009B1D12"/>
    <w:rsid w:val="009B416B"/>
    <w:rsid w:val="009C4BD5"/>
    <w:rsid w:val="009D7B77"/>
    <w:rsid w:val="009E0BB0"/>
    <w:rsid w:val="009E3FBB"/>
    <w:rsid w:val="009E4100"/>
    <w:rsid w:val="009F2478"/>
    <w:rsid w:val="009F7353"/>
    <w:rsid w:val="00A04F85"/>
    <w:rsid w:val="00A05FA4"/>
    <w:rsid w:val="00A06FDF"/>
    <w:rsid w:val="00A102E4"/>
    <w:rsid w:val="00A12C42"/>
    <w:rsid w:val="00A14DF7"/>
    <w:rsid w:val="00A22D57"/>
    <w:rsid w:val="00A234EB"/>
    <w:rsid w:val="00A3246D"/>
    <w:rsid w:val="00A36FA7"/>
    <w:rsid w:val="00A44DDB"/>
    <w:rsid w:val="00A475B7"/>
    <w:rsid w:val="00A47AF7"/>
    <w:rsid w:val="00A47C3E"/>
    <w:rsid w:val="00A50226"/>
    <w:rsid w:val="00A60BAD"/>
    <w:rsid w:val="00A64F7F"/>
    <w:rsid w:val="00A77F87"/>
    <w:rsid w:val="00A80672"/>
    <w:rsid w:val="00A80B5B"/>
    <w:rsid w:val="00A823EB"/>
    <w:rsid w:val="00A84E36"/>
    <w:rsid w:val="00A91D2B"/>
    <w:rsid w:val="00A926B4"/>
    <w:rsid w:val="00A964D1"/>
    <w:rsid w:val="00AA0ED0"/>
    <w:rsid w:val="00AA49C0"/>
    <w:rsid w:val="00AC2B40"/>
    <w:rsid w:val="00AC2BB2"/>
    <w:rsid w:val="00AC2C3C"/>
    <w:rsid w:val="00AC512D"/>
    <w:rsid w:val="00AC61DE"/>
    <w:rsid w:val="00AD0083"/>
    <w:rsid w:val="00AD3935"/>
    <w:rsid w:val="00AE65EB"/>
    <w:rsid w:val="00AE67A7"/>
    <w:rsid w:val="00AF1D94"/>
    <w:rsid w:val="00AF4FD3"/>
    <w:rsid w:val="00AF60C5"/>
    <w:rsid w:val="00B009C6"/>
    <w:rsid w:val="00B01548"/>
    <w:rsid w:val="00B018C2"/>
    <w:rsid w:val="00B13C45"/>
    <w:rsid w:val="00B13EBD"/>
    <w:rsid w:val="00B21D29"/>
    <w:rsid w:val="00B24A87"/>
    <w:rsid w:val="00B25034"/>
    <w:rsid w:val="00B32870"/>
    <w:rsid w:val="00B33588"/>
    <w:rsid w:val="00B33863"/>
    <w:rsid w:val="00B37D17"/>
    <w:rsid w:val="00B4175E"/>
    <w:rsid w:val="00B41C85"/>
    <w:rsid w:val="00B452CE"/>
    <w:rsid w:val="00B54C25"/>
    <w:rsid w:val="00B769AA"/>
    <w:rsid w:val="00B76B91"/>
    <w:rsid w:val="00B77EB1"/>
    <w:rsid w:val="00B811C6"/>
    <w:rsid w:val="00B855B0"/>
    <w:rsid w:val="00B92E08"/>
    <w:rsid w:val="00BA383D"/>
    <w:rsid w:val="00BB2385"/>
    <w:rsid w:val="00BC1342"/>
    <w:rsid w:val="00BC4010"/>
    <w:rsid w:val="00BC622A"/>
    <w:rsid w:val="00BD3AAF"/>
    <w:rsid w:val="00BE0A78"/>
    <w:rsid w:val="00BE3903"/>
    <w:rsid w:val="00BE79F0"/>
    <w:rsid w:val="00BF046D"/>
    <w:rsid w:val="00BF1190"/>
    <w:rsid w:val="00BF3774"/>
    <w:rsid w:val="00BF5D04"/>
    <w:rsid w:val="00C009AA"/>
    <w:rsid w:val="00C1164D"/>
    <w:rsid w:val="00C144B0"/>
    <w:rsid w:val="00C16861"/>
    <w:rsid w:val="00C1798C"/>
    <w:rsid w:val="00C346AB"/>
    <w:rsid w:val="00C362F1"/>
    <w:rsid w:val="00C404A6"/>
    <w:rsid w:val="00C40A36"/>
    <w:rsid w:val="00C44419"/>
    <w:rsid w:val="00C45E7B"/>
    <w:rsid w:val="00C471B1"/>
    <w:rsid w:val="00C6316B"/>
    <w:rsid w:val="00C634A9"/>
    <w:rsid w:val="00C64586"/>
    <w:rsid w:val="00C70D53"/>
    <w:rsid w:val="00C7131A"/>
    <w:rsid w:val="00C73D0B"/>
    <w:rsid w:val="00C772FF"/>
    <w:rsid w:val="00C80137"/>
    <w:rsid w:val="00C801AF"/>
    <w:rsid w:val="00C80256"/>
    <w:rsid w:val="00C901DD"/>
    <w:rsid w:val="00C92DA5"/>
    <w:rsid w:val="00C94CD4"/>
    <w:rsid w:val="00C9747E"/>
    <w:rsid w:val="00CB6BC0"/>
    <w:rsid w:val="00CC1B7C"/>
    <w:rsid w:val="00CC727F"/>
    <w:rsid w:val="00CF15C3"/>
    <w:rsid w:val="00CF2B6F"/>
    <w:rsid w:val="00CF2F3E"/>
    <w:rsid w:val="00CF58B6"/>
    <w:rsid w:val="00D0062D"/>
    <w:rsid w:val="00D017ED"/>
    <w:rsid w:val="00D040D3"/>
    <w:rsid w:val="00D04C65"/>
    <w:rsid w:val="00D07D6A"/>
    <w:rsid w:val="00D201D2"/>
    <w:rsid w:val="00D208D8"/>
    <w:rsid w:val="00D224FE"/>
    <w:rsid w:val="00D23139"/>
    <w:rsid w:val="00D249A7"/>
    <w:rsid w:val="00D306A9"/>
    <w:rsid w:val="00D417F6"/>
    <w:rsid w:val="00D425BB"/>
    <w:rsid w:val="00D453FA"/>
    <w:rsid w:val="00D6493E"/>
    <w:rsid w:val="00D7195D"/>
    <w:rsid w:val="00D7301E"/>
    <w:rsid w:val="00D76B21"/>
    <w:rsid w:val="00D83AE1"/>
    <w:rsid w:val="00D855D4"/>
    <w:rsid w:val="00D902C9"/>
    <w:rsid w:val="00D9259A"/>
    <w:rsid w:val="00D92785"/>
    <w:rsid w:val="00D93466"/>
    <w:rsid w:val="00DA1124"/>
    <w:rsid w:val="00DB06B8"/>
    <w:rsid w:val="00DB6124"/>
    <w:rsid w:val="00DB750B"/>
    <w:rsid w:val="00DB75B7"/>
    <w:rsid w:val="00DC6E02"/>
    <w:rsid w:val="00DD28CD"/>
    <w:rsid w:val="00DE02AE"/>
    <w:rsid w:val="00DE39D1"/>
    <w:rsid w:val="00DE5CA2"/>
    <w:rsid w:val="00DF1D7F"/>
    <w:rsid w:val="00DF4BE4"/>
    <w:rsid w:val="00E02382"/>
    <w:rsid w:val="00E02FB4"/>
    <w:rsid w:val="00E07116"/>
    <w:rsid w:val="00E11302"/>
    <w:rsid w:val="00E13FC7"/>
    <w:rsid w:val="00E20571"/>
    <w:rsid w:val="00E235F7"/>
    <w:rsid w:val="00E23659"/>
    <w:rsid w:val="00E239D4"/>
    <w:rsid w:val="00E26130"/>
    <w:rsid w:val="00E40B22"/>
    <w:rsid w:val="00E41A89"/>
    <w:rsid w:val="00E44ED1"/>
    <w:rsid w:val="00E45619"/>
    <w:rsid w:val="00E4588F"/>
    <w:rsid w:val="00E46DA3"/>
    <w:rsid w:val="00E51BB1"/>
    <w:rsid w:val="00E60432"/>
    <w:rsid w:val="00E624A5"/>
    <w:rsid w:val="00E64BA4"/>
    <w:rsid w:val="00E7344E"/>
    <w:rsid w:val="00E82665"/>
    <w:rsid w:val="00E95DE1"/>
    <w:rsid w:val="00EB0798"/>
    <w:rsid w:val="00EB40AD"/>
    <w:rsid w:val="00EB586E"/>
    <w:rsid w:val="00EB5FC8"/>
    <w:rsid w:val="00EC463D"/>
    <w:rsid w:val="00EC7A85"/>
    <w:rsid w:val="00ED2922"/>
    <w:rsid w:val="00ED3CAD"/>
    <w:rsid w:val="00ED5A41"/>
    <w:rsid w:val="00EE1DE8"/>
    <w:rsid w:val="00EE22BF"/>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4660"/>
    <w:rsid w:val="00F66DF2"/>
    <w:rsid w:val="00F80E40"/>
    <w:rsid w:val="00F848D9"/>
    <w:rsid w:val="00FA5069"/>
    <w:rsid w:val="00FA5B82"/>
    <w:rsid w:val="00FA639E"/>
    <w:rsid w:val="00FB779B"/>
    <w:rsid w:val="00FC1B83"/>
    <w:rsid w:val="00FC1FCA"/>
    <w:rsid w:val="00FC25E4"/>
    <w:rsid w:val="00FC2FDA"/>
    <w:rsid w:val="00FC4EF7"/>
    <w:rsid w:val="00FC7040"/>
    <w:rsid w:val="00FD0824"/>
    <w:rsid w:val="00FD119B"/>
    <w:rsid w:val="00FD1EDC"/>
    <w:rsid w:val="00FE1DEE"/>
    <w:rsid w:val="00FE46F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A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D3AA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1686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0613A6"/>
    <w:pPr>
      <w:keepNext/>
      <w:numPr>
        <w:numId w:val="44"/>
      </w:numPr>
      <w:ind w:left="0" w:firstLine="0"/>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186D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186D46"/>
  </w:style>
  <w:style w:type="table" w:customStyle="1" w:styleId="TableTGAblue1">
    <w:name w:val="Table TGA blue1"/>
    <w:basedOn w:val="TableNormal"/>
    <w:uiPriority w:val="99"/>
    <w:qFormat/>
    <w:rsid w:val="00186D46"/>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BodyText">
    <w:name w:val="Body Text"/>
    <w:basedOn w:val="Normal"/>
    <w:link w:val="BodyTextChar"/>
    <w:uiPriority w:val="1"/>
    <w:qFormat/>
    <w:rsid w:val="009724EC"/>
    <w:pPr>
      <w:widowControl w:val="0"/>
      <w:autoSpaceDE w:val="0"/>
      <w:autoSpaceDN w:val="0"/>
      <w:spacing w:before="0" w:after="0" w:line="240" w:lineRule="auto"/>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9724EC"/>
    <w:rPr>
      <w:rFonts w:ascii="Times New Roman" w:eastAsia="Times New Roman" w:hAnsi="Times New Roman" w:cs="Times New Roman"/>
      <w:sz w:val="20"/>
      <w:szCs w:val="20"/>
      <w:lang w:val="en-US"/>
    </w:rPr>
  </w:style>
  <w:style w:type="paragraph" w:customStyle="1" w:styleId="Abbreviations">
    <w:name w:val="Abbreviations"/>
    <w:basedOn w:val="Normal"/>
    <w:rsid w:val="00007C9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Comment1">
    <w:name w:val="Comment 1"/>
    <w:basedOn w:val="Normal"/>
    <w:next w:val="Normal"/>
    <w:qFormat/>
    <w:rsid w:val="00007C96"/>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1">
    <w:name w:val="Bullet 1"/>
    <w:basedOn w:val="Normal"/>
    <w:rsid w:val="00BD3AAF"/>
    <w:pPr>
      <w:numPr>
        <w:numId w:val="37"/>
      </w:numPr>
      <w:spacing w:after="0" w:line="240" w:lineRule="auto"/>
    </w:pPr>
    <w:rPr>
      <w:rFonts w:eastAsia="Times New Roman"/>
      <w:kern w:val="24"/>
      <w:szCs w:val="24"/>
      <w:lang w:eastAsia="en-AU"/>
    </w:rPr>
  </w:style>
  <w:style w:type="paragraph" w:customStyle="1" w:styleId="Bullet2">
    <w:name w:val="Bullet 2"/>
    <w:basedOn w:val="Bullet1"/>
    <w:rsid w:val="00BD3AAF"/>
    <w:pPr>
      <w:numPr>
        <w:numId w:val="38"/>
      </w:numPr>
    </w:pPr>
  </w:style>
  <w:style w:type="character" w:customStyle="1" w:styleId="Heading8Char">
    <w:name w:val="Heading 8 Char"/>
    <w:basedOn w:val="DefaultParagraphFont"/>
    <w:link w:val="Heading8"/>
    <w:uiPriority w:val="9"/>
    <w:semiHidden/>
    <w:rsid w:val="00BD3AAF"/>
    <w:rPr>
      <w:rFonts w:asciiTheme="majorHAnsi" w:eastAsiaTheme="majorEastAsia" w:hAnsiTheme="majorHAnsi" w:cstheme="majorBidi"/>
      <w:color w:val="404040" w:themeColor="text1" w:themeTint="BF"/>
      <w:sz w:val="20"/>
      <w:szCs w:val="20"/>
    </w:rPr>
  </w:style>
  <w:style w:type="character" w:styleId="Emphasis">
    <w:name w:val="Emphasis"/>
    <w:basedOn w:val="DefaultParagraphFont"/>
    <w:uiPriority w:val="20"/>
    <w:qFormat/>
    <w:rsid w:val="001A0738"/>
    <w:rPr>
      <w:b/>
      <w:bCs/>
      <w:i w:val="0"/>
      <w:iCs w:val="0"/>
    </w:rPr>
  </w:style>
  <w:style w:type="character" w:customStyle="1" w:styleId="ilfuvd">
    <w:name w:val="ilfuvd"/>
    <w:basedOn w:val="DefaultParagraphFont"/>
    <w:rsid w:val="00283551"/>
  </w:style>
  <w:style w:type="paragraph" w:customStyle="1" w:styleId="Default">
    <w:name w:val="Default"/>
    <w:rsid w:val="00A64F7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D3AA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1686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0613A6"/>
    <w:pPr>
      <w:keepNext/>
      <w:numPr>
        <w:numId w:val="44"/>
      </w:numPr>
      <w:ind w:left="0" w:firstLine="0"/>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186D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186D46"/>
  </w:style>
  <w:style w:type="table" w:customStyle="1" w:styleId="TableTGAblue1">
    <w:name w:val="Table TGA blue1"/>
    <w:basedOn w:val="TableNormal"/>
    <w:uiPriority w:val="99"/>
    <w:qFormat/>
    <w:rsid w:val="00186D46"/>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BodyText">
    <w:name w:val="Body Text"/>
    <w:basedOn w:val="Normal"/>
    <w:link w:val="BodyTextChar"/>
    <w:uiPriority w:val="1"/>
    <w:qFormat/>
    <w:rsid w:val="009724EC"/>
    <w:pPr>
      <w:widowControl w:val="0"/>
      <w:autoSpaceDE w:val="0"/>
      <w:autoSpaceDN w:val="0"/>
      <w:spacing w:before="0" w:after="0" w:line="240" w:lineRule="auto"/>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9724EC"/>
    <w:rPr>
      <w:rFonts w:ascii="Times New Roman" w:eastAsia="Times New Roman" w:hAnsi="Times New Roman" w:cs="Times New Roman"/>
      <w:sz w:val="20"/>
      <w:szCs w:val="20"/>
      <w:lang w:val="en-US"/>
    </w:rPr>
  </w:style>
  <w:style w:type="paragraph" w:customStyle="1" w:styleId="Abbreviations">
    <w:name w:val="Abbreviations"/>
    <w:basedOn w:val="Normal"/>
    <w:rsid w:val="00007C9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Comment1">
    <w:name w:val="Comment 1"/>
    <w:basedOn w:val="Normal"/>
    <w:next w:val="Normal"/>
    <w:qFormat/>
    <w:rsid w:val="00007C96"/>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1">
    <w:name w:val="Bullet 1"/>
    <w:basedOn w:val="Normal"/>
    <w:rsid w:val="00BD3AAF"/>
    <w:pPr>
      <w:numPr>
        <w:numId w:val="37"/>
      </w:numPr>
      <w:spacing w:after="0" w:line="240" w:lineRule="auto"/>
    </w:pPr>
    <w:rPr>
      <w:rFonts w:eastAsia="Times New Roman"/>
      <w:kern w:val="24"/>
      <w:szCs w:val="24"/>
      <w:lang w:eastAsia="en-AU"/>
    </w:rPr>
  </w:style>
  <w:style w:type="paragraph" w:customStyle="1" w:styleId="Bullet2">
    <w:name w:val="Bullet 2"/>
    <w:basedOn w:val="Bullet1"/>
    <w:rsid w:val="00BD3AAF"/>
    <w:pPr>
      <w:numPr>
        <w:numId w:val="38"/>
      </w:numPr>
    </w:pPr>
  </w:style>
  <w:style w:type="character" w:customStyle="1" w:styleId="Heading8Char">
    <w:name w:val="Heading 8 Char"/>
    <w:basedOn w:val="DefaultParagraphFont"/>
    <w:link w:val="Heading8"/>
    <w:uiPriority w:val="9"/>
    <w:semiHidden/>
    <w:rsid w:val="00BD3AAF"/>
    <w:rPr>
      <w:rFonts w:asciiTheme="majorHAnsi" w:eastAsiaTheme="majorEastAsia" w:hAnsiTheme="majorHAnsi" w:cstheme="majorBidi"/>
      <w:color w:val="404040" w:themeColor="text1" w:themeTint="BF"/>
      <w:sz w:val="20"/>
      <w:szCs w:val="20"/>
    </w:rPr>
  </w:style>
  <w:style w:type="character" w:styleId="Emphasis">
    <w:name w:val="Emphasis"/>
    <w:basedOn w:val="DefaultParagraphFont"/>
    <w:uiPriority w:val="20"/>
    <w:qFormat/>
    <w:rsid w:val="001A0738"/>
    <w:rPr>
      <w:b/>
      <w:bCs/>
      <w:i w:val="0"/>
      <w:iCs w:val="0"/>
    </w:rPr>
  </w:style>
  <w:style w:type="character" w:customStyle="1" w:styleId="ilfuvd">
    <w:name w:val="ilfuvd"/>
    <w:basedOn w:val="DefaultParagraphFont"/>
    <w:rsid w:val="00283551"/>
  </w:style>
  <w:style w:type="paragraph" w:customStyle="1" w:styleId="Default">
    <w:name w:val="Default"/>
    <w:rsid w:val="00A64F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9330">
      <w:bodyDiv w:val="1"/>
      <w:marLeft w:val="0"/>
      <w:marRight w:val="0"/>
      <w:marTop w:val="0"/>
      <w:marBottom w:val="0"/>
      <w:divBdr>
        <w:top w:val="none" w:sz="0" w:space="0" w:color="auto"/>
        <w:left w:val="none" w:sz="0" w:space="0" w:color="auto"/>
        <w:bottom w:val="none" w:sz="0" w:space="0" w:color="auto"/>
        <w:right w:val="none" w:sz="0" w:space="0" w:color="auto"/>
      </w:divBdr>
    </w:div>
    <w:div w:id="124006674">
      <w:bodyDiv w:val="1"/>
      <w:marLeft w:val="0"/>
      <w:marRight w:val="0"/>
      <w:marTop w:val="0"/>
      <w:marBottom w:val="0"/>
      <w:divBdr>
        <w:top w:val="none" w:sz="0" w:space="0" w:color="auto"/>
        <w:left w:val="none" w:sz="0" w:space="0" w:color="auto"/>
        <w:bottom w:val="none" w:sz="0" w:space="0" w:color="auto"/>
        <w:right w:val="none" w:sz="0" w:space="0" w:color="auto"/>
      </w:divBdr>
    </w:div>
    <w:div w:id="343440528">
      <w:bodyDiv w:val="1"/>
      <w:marLeft w:val="0"/>
      <w:marRight w:val="0"/>
      <w:marTop w:val="0"/>
      <w:marBottom w:val="0"/>
      <w:divBdr>
        <w:top w:val="none" w:sz="0" w:space="0" w:color="auto"/>
        <w:left w:val="none" w:sz="0" w:space="0" w:color="auto"/>
        <w:bottom w:val="none" w:sz="0" w:space="0" w:color="auto"/>
        <w:right w:val="none" w:sz="0" w:space="0" w:color="auto"/>
      </w:divBdr>
    </w:div>
    <w:div w:id="592515348">
      <w:bodyDiv w:val="1"/>
      <w:marLeft w:val="0"/>
      <w:marRight w:val="0"/>
      <w:marTop w:val="0"/>
      <w:marBottom w:val="0"/>
      <w:divBdr>
        <w:top w:val="none" w:sz="0" w:space="0" w:color="auto"/>
        <w:left w:val="none" w:sz="0" w:space="0" w:color="auto"/>
        <w:bottom w:val="none" w:sz="0" w:space="0" w:color="auto"/>
        <w:right w:val="none" w:sz="0" w:space="0" w:color="auto"/>
      </w:divBdr>
    </w:div>
    <w:div w:id="624969945">
      <w:bodyDiv w:val="1"/>
      <w:marLeft w:val="0"/>
      <w:marRight w:val="0"/>
      <w:marTop w:val="0"/>
      <w:marBottom w:val="0"/>
      <w:divBdr>
        <w:top w:val="none" w:sz="0" w:space="0" w:color="auto"/>
        <w:left w:val="none" w:sz="0" w:space="0" w:color="auto"/>
        <w:bottom w:val="none" w:sz="0" w:space="0" w:color="auto"/>
        <w:right w:val="none" w:sz="0" w:space="0" w:color="auto"/>
      </w:divBdr>
    </w:div>
    <w:div w:id="759910076">
      <w:bodyDiv w:val="1"/>
      <w:marLeft w:val="0"/>
      <w:marRight w:val="0"/>
      <w:marTop w:val="0"/>
      <w:marBottom w:val="0"/>
      <w:divBdr>
        <w:top w:val="none" w:sz="0" w:space="0" w:color="auto"/>
        <w:left w:val="none" w:sz="0" w:space="0" w:color="auto"/>
        <w:bottom w:val="none" w:sz="0" w:space="0" w:color="auto"/>
        <w:right w:val="none" w:sz="0" w:space="0" w:color="auto"/>
      </w:divBdr>
    </w:div>
    <w:div w:id="1039471898">
      <w:bodyDiv w:val="1"/>
      <w:marLeft w:val="0"/>
      <w:marRight w:val="0"/>
      <w:marTop w:val="0"/>
      <w:marBottom w:val="0"/>
      <w:divBdr>
        <w:top w:val="none" w:sz="0" w:space="0" w:color="auto"/>
        <w:left w:val="none" w:sz="0" w:space="0" w:color="auto"/>
        <w:bottom w:val="none" w:sz="0" w:space="0" w:color="auto"/>
        <w:right w:val="none" w:sz="0" w:space="0" w:color="auto"/>
      </w:divBdr>
      <w:divsChild>
        <w:div w:id="2064866552">
          <w:marLeft w:val="0"/>
          <w:marRight w:val="1"/>
          <w:marTop w:val="0"/>
          <w:marBottom w:val="0"/>
          <w:divBdr>
            <w:top w:val="none" w:sz="0" w:space="0" w:color="auto"/>
            <w:left w:val="none" w:sz="0" w:space="0" w:color="auto"/>
            <w:bottom w:val="none" w:sz="0" w:space="0" w:color="auto"/>
            <w:right w:val="none" w:sz="0" w:space="0" w:color="auto"/>
          </w:divBdr>
          <w:divsChild>
            <w:div w:id="1940991239">
              <w:marLeft w:val="0"/>
              <w:marRight w:val="0"/>
              <w:marTop w:val="0"/>
              <w:marBottom w:val="0"/>
              <w:divBdr>
                <w:top w:val="none" w:sz="0" w:space="0" w:color="auto"/>
                <w:left w:val="none" w:sz="0" w:space="0" w:color="auto"/>
                <w:bottom w:val="none" w:sz="0" w:space="0" w:color="auto"/>
                <w:right w:val="none" w:sz="0" w:space="0" w:color="auto"/>
              </w:divBdr>
              <w:divsChild>
                <w:div w:id="1903171585">
                  <w:marLeft w:val="0"/>
                  <w:marRight w:val="1"/>
                  <w:marTop w:val="0"/>
                  <w:marBottom w:val="0"/>
                  <w:divBdr>
                    <w:top w:val="none" w:sz="0" w:space="0" w:color="auto"/>
                    <w:left w:val="none" w:sz="0" w:space="0" w:color="auto"/>
                    <w:bottom w:val="none" w:sz="0" w:space="0" w:color="auto"/>
                    <w:right w:val="none" w:sz="0" w:space="0" w:color="auto"/>
                  </w:divBdr>
                  <w:divsChild>
                    <w:div w:id="1210728475">
                      <w:marLeft w:val="0"/>
                      <w:marRight w:val="0"/>
                      <w:marTop w:val="0"/>
                      <w:marBottom w:val="0"/>
                      <w:divBdr>
                        <w:top w:val="none" w:sz="0" w:space="0" w:color="auto"/>
                        <w:left w:val="none" w:sz="0" w:space="0" w:color="auto"/>
                        <w:bottom w:val="none" w:sz="0" w:space="0" w:color="auto"/>
                        <w:right w:val="none" w:sz="0" w:space="0" w:color="auto"/>
                      </w:divBdr>
                      <w:divsChild>
                        <w:div w:id="2068650328">
                          <w:marLeft w:val="0"/>
                          <w:marRight w:val="0"/>
                          <w:marTop w:val="0"/>
                          <w:marBottom w:val="0"/>
                          <w:divBdr>
                            <w:top w:val="none" w:sz="0" w:space="0" w:color="auto"/>
                            <w:left w:val="none" w:sz="0" w:space="0" w:color="auto"/>
                            <w:bottom w:val="none" w:sz="0" w:space="0" w:color="auto"/>
                            <w:right w:val="none" w:sz="0" w:space="0" w:color="auto"/>
                          </w:divBdr>
                          <w:divsChild>
                            <w:div w:id="678311319">
                              <w:marLeft w:val="0"/>
                              <w:marRight w:val="0"/>
                              <w:marTop w:val="120"/>
                              <w:marBottom w:val="360"/>
                              <w:divBdr>
                                <w:top w:val="none" w:sz="0" w:space="0" w:color="auto"/>
                                <w:left w:val="none" w:sz="0" w:space="0" w:color="auto"/>
                                <w:bottom w:val="none" w:sz="0" w:space="0" w:color="auto"/>
                                <w:right w:val="none" w:sz="0" w:space="0" w:color="auto"/>
                              </w:divBdr>
                              <w:divsChild>
                                <w:div w:id="1090545329">
                                  <w:marLeft w:val="0"/>
                                  <w:marRight w:val="0"/>
                                  <w:marTop w:val="0"/>
                                  <w:marBottom w:val="0"/>
                                  <w:divBdr>
                                    <w:top w:val="none" w:sz="0" w:space="0" w:color="auto"/>
                                    <w:left w:val="none" w:sz="0" w:space="0" w:color="auto"/>
                                    <w:bottom w:val="none" w:sz="0" w:space="0" w:color="auto"/>
                                    <w:right w:val="none" w:sz="0" w:space="0" w:color="auto"/>
                                  </w:divBdr>
                                </w:div>
                                <w:div w:id="1176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286832">
      <w:bodyDiv w:val="1"/>
      <w:marLeft w:val="0"/>
      <w:marRight w:val="0"/>
      <w:marTop w:val="0"/>
      <w:marBottom w:val="0"/>
      <w:divBdr>
        <w:top w:val="none" w:sz="0" w:space="0" w:color="auto"/>
        <w:left w:val="none" w:sz="0" w:space="0" w:color="auto"/>
        <w:bottom w:val="none" w:sz="0" w:space="0" w:color="auto"/>
        <w:right w:val="none" w:sz="0" w:space="0" w:color="auto"/>
      </w:divBdr>
    </w:div>
    <w:div w:id="1183979841">
      <w:bodyDiv w:val="1"/>
      <w:marLeft w:val="0"/>
      <w:marRight w:val="0"/>
      <w:marTop w:val="0"/>
      <w:marBottom w:val="0"/>
      <w:divBdr>
        <w:top w:val="none" w:sz="0" w:space="0" w:color="auto"/>
        <w:left w:val="none" w:sz="0" w:space="0" w:color="auto"/>
        <w:bottom w:val="none" w:sz="0" w:space="0" w:color="auto"/>
        <w:right w:val="none" w:sz="0" w:space="0" w:color="auto"/>
      </w:divBdr>
    </w:div>
    <w:div w:id="1408185457">
      <w:bodyDiv w:val="1"/>
      <w:marLeft w:val="0"/>
      <w:marRight w:val="0"/>
      <w:marTop w:val="0"/>
      <w:marBottom w:val="0"/>
      <w:divBdr>
        <w:top w:val="none" w:sz="0" w:space="0" w:color="auto"/>
        <w:left w:val="none" w:sz="0" w:space="0" w:color="auto"/>
        <w:bottom w:val="none" w:sz="0" w:space="0" w:color="auto"/>
        <w:right w:val="none" w:sz="0" w:space="0" w:color="auto"/>
      </w:divBdr>
      <w:divsChild>
        <w:div w:id="1817185753">
          <w:marLeft w:val="0"/>
          <w:marRight w:val="0"/>
          <w:marTop w:val="0"/>
          <w:marBottom w:val="0"/>
          <w:divBdr>
            <w:top w:val="none" w:sz="0" w:space="0" w:color="auto"/>
            <w:left w:val="none" w:sz="0" w:space="0" w:color="auto"/>
            <w:bottom w:val="none" w:sz="0" w:space="0" w:color="auto"/>
            <w:right w:val="none" w:sz="0" w:space="0" w:color="auto"/>
          </w:divBdr>
          <w:divsChild>
            <w:div w:id="1215584568">
              <w:marLeft w:val="0"/>
              <w:marRight w:val="0"/>
              <w:marTop w:val="0"/>
              <w:marBottom w:val="0"/>
              <w:divBdr>
                <w:top w:val="none" w:sz="0" w:space="0" w:color="auto"/>
                <w:left w:val="none" w:sz="0" w:space="0" w:color="auto"/>
                <w:bottom w:val="none" w:sz="0" w:space="0" w:color="auto"/>
                <w:right w:val="none" w:sz="0" w:space="0" w:color="auto"/>
              </w:divBdr>
              <w:divsChild>
                <w:div w:id="1758211938">
                  <w:marLeft w:val="0"/>
                  <w:marRight w:val="0"/>
                  <w:marTop w:val="0"/>
                  <w:marBottom w:val="0"/>
                  <w:divBdr>
                    <w:top w:val="none" w:sz="0" w:space="0" w:color="auto"/>
                    <w:left w:val="none" w:sz="0" w:space="0" w:color="auto"/>
                    <w:bottom w:val="none" w:sz="0" w:space="0" w:color="auto"/>
                    <w:right w:val="none" w:sz="0" w:space="0" w:color="auto"/>
                  </w:divBdr>
                  <w:divsChild>
                    <w:div w:id="471875491">
                      <w:marLeft w:val="0"/>
                      <w:marRight w:val="0"/>
                      <w:marTop w:val="0"/>
                      <w:marBottom w:val="0"/>
                      <w:divBdr>
                        <w:top w:val="none" w:sz="0" w:space="0" w:color="auto"/>
                        <w:left w:val="none" w:sz="0" w:space="0" w:color="auto"/>
                        <w:bottom w:val="none" w:sz="0" w:space="0" w:color="auto"/>
                        <w:right w:val="none" w:sz="0" w:space="0" w:color="auto"/>
                      </w:divBdr>
                      <w:divsChild>
                        <w:div w:id="1620837704">
                          <w:marLeft w:val="0"/>
                          <w:marRight w:val="0"/>
                          <w:marTop w:val="0"/>
                          <w:marBottom w:val="0"/>
                          <w:divBdr>
                            <w:top w:val="none" w:sz="0" w:space="0" w:color="auto"/>
                            <w:left w:val="none" w:sz="0" w:space="0" w:color="auto"/>
                            <w:bottom w:val="none" w:sz="0" w:space="0" w:color="auto"/>
                            <w:right w:val="none" w:sz="0" w:space="0" w:color="auto"/>
                          </w:divBdr>
                          <w:divsChild>
                            <w:div w:id="767585156">
                              <w:marLeft w:val="0"/>
                              <w:marRight w:val="0"/>
                              <w:marTop w:val="0"/>
                              <w:marBottom w:val="0"/>
                              <w:divBdr>
                                <w:top w:val="none" w:sz="0" w:space="0" w:color="auto"/>
                                <w:left w:val="none" w:sz="0" w:space="0" w:color="auto"/>
                                <w:bottom w:val="none" w:sz="0" w:space="0" w:color="auto"/>
                                <w:right w:val="none" w:sz="0" w:space="0" w:color="auto"/>
                              </w:divBdr>
                              <w:divsChild>
                                <w:div w:id="1129710170">
                                  <w:marLeft w:val="-225"/>
                                  <w:marRight w:val="-225"/>
                                  <w:marTop w:val="0"/>
                                  <w:marBottom w:val="0"/>
                                  <w:divBdr>
                                    <w:top w:val="none" w:sz="0" w:space="0" w:color="auto"/>
                                    <w:left w:val="none" w:sz="0" w:space="0" w:color="auto"/>
                                    <w:bottom w:val="none" w:sz="0" w:space="0" w:color="auto"/>
                                    <w:right w:val="none" w:sz="0" w:space="0" w:color="auto"/>
                                  </w:divBdr>
                                  <w:divsChild>
                                    <w:div w:id="535167365">
                                      <w:marLeft w:val="0"/>
                                      <w:marRight w:val="0"/>
                                      <w:marTop w:val="0"/>
                                      <w:marBottom w:val="0"/>
                                      <w:divBdr>
                                        <w:top w:val="none" w:sz="0" w:space="0" w:color="auto"/>
                                        <w:left w:val="none" w:sz="0" w:space="0" w:color="auto"/>
                                        <w:bottom w:val="none" w:sz="0" w:space="0" w:color="auto"/>
                                        <w:right w:val="none" w:sz="0" w:space="0" w:color="auto"/>
                                      </w:divBdr>
                                      <w:divsChild>
                                        <w:div w:id="1717196927">
                                          <w:marLeft w:val="0"/>
                                          <w:marRight w:val="0"/>
                                          <w:marTop w:val="0"/>
                                          <w:marBottom w:val="0"/>
                                          <w:divBdr>
                                            <w:top w:val="none" w:sz="0" w:space="0" w:color="auto"/>
                                            <w:left w:val="none" w:sz="0" w:space="0" w:color="auto"/>
                                            <w:bottom w:val="none" w:sz="0" w:space="0" w:color="auto"/>
                                            <w:right w:val="none" w:sz="0" w:space="0" w:color="auto"/>
                                          </w:divBdr>
                                          <w:divsChild>
                                            <w:div w:id="1351373519">
                                              <w:marLeft w:val="-225"/>
                                              <w:marRight w:val="-225"/>
                                              <w:marTop w:val="0"/>
                                              <w:marBottom w:val="0"/>
                                              <w:divBdr>
                                                <w:top w:val="none" w:sz="0" w:space="0" w:color="auto"/>
                                                <w:left w:val="none" w:sz="0" w:space="0" w:color="auto"/>
                                                <w:bottom w:val="none" w:sz="0" w:space="0" w:color="auto"/>
                                                <w:right w:val="none" w:sz="0" w:space="0" w:color="auto"/>
                                              </w:divBdr>
                                              <w:divsChild>
                                                <w:div w:id="602349762">
                                                  <w:marLeft w:val="0"/>
                                                  <w:marRight w:val="0"/>
                                                  <w:marTop w:val="0"/>
                                                  <w:marBottom w:val="0"/>
                                                  <w:divBdr>
                                                    <w:top w:val="none" w:sz="0" w:space="0" w:color="auto"/>
                                                    <w:left w:val="none" w:sz="0" w:space="0" w:color="auto"/>
                                                    <w:bottom w:val="none" w:sz="0" w:space="0" w:color="auto"/>
                                                    <w:right w:val="none" w:sz="0" w:space="0" w:color="auto"/>
                                                  </w:divBdr>
                                                  <w:divsChild>
                                                    <w:div w:id="1765030990">
                                                      <w:marLeft w:val="0"/>
                                                      <w:marRight w:val="0"/>
                                                      <w:marTop w:val="0"/>
                                                      <w:marBottom w:val="0"/>
                                                      <w:divBdr>
                                                        <w:top w:val="none" w:sz="0" w:space="0" w:color="auto"/>
                                                        <w:left w:val="none" w:sz="0" w:space="0" w:color="auto"/>
                                                        <w:bottom w:val="none" w:sz="0" w:space="0" w:color="auto"/>
                                                        <w:right w:val="none" w:sz="0" w:space="0" w:color="auto"/>
                                                      </w:divBdr>
                                                      <w:divsChild>
                                                        <w:div w:id="760301539">
                                                          <w:marLeft w:val="0"/>
                                                          <w:marRight w:val="0"/>
                                                          <w:marTop w:val="0"/>
                                                          <w:marBottom w:val="0"/>
                                                          <w:divBdr>
                                                            <w:top w:val="none" w:sz="0" w:space="0" w:color="auto"/>
                                                            <w:left w:val="none" w:sz="0" w:space="0" w:color="auto"/>
                                                            <w:bottom w:val="none" w:sz="0" w:space="0" w:color="auto"/>
                                                            <w:right w:val="none" w:sz="0" w:space="0" w:color="auto"/>
                                                          </w:divBdr>
                                                          <w:divsChild>
                                                            <w:div w:id="1890267619">
                                                              <w:marLeft w:val="0"/>
                                                              <w:marRight w:val="0"/>
                                                              <w:marTop w:val="0"/>
                                                              <w:marBottom w:val="0"/>
                                                              <w:divBdr>
                                                                <w:top w:val="none" w:sz="0" w:space="0" w:color="auto"/>
                                                                <w:left w:val="none" w:sz="0" w:space="0" w:color="auto"/>
                                                                <w:bottom w:val="none" w:sz="0" w:space="0" w:color="auto"/>
                                                                <w:right w:val="none" w:sz="0" w:space="0" w:color="auto"/>
                                                              </w:divBdr>
                                                              <w:divsChild>
                                                                <w:div w:id="1656296197">
                                                                  <w:marLeft w:val="0"/>
                                                                  <w:marRight w:val="0"/>
                                                                  <w:marTop w:val="0"/>
                                                                  <w:marBottom w:val="0"/>
                                                                  <w:divBdr>
                                                                    <w:top w:val="none" w:sz="0" w:space="0" w:color="auto"/>
                                                                    <w:left w:val="none" w:sz="0" w:space="0" w:color="auto"/>
                                                                    <w:bottom w:val="none" w:sz="0" w:space="0" w:color="auto"/>
                                                                    <w:right w:val="none" w:sz="0" w:space="0" w:color="auto"/>
                                                                  </w:divBdr>
                                                                  <w:divsChild>
                                                                    <w:div w:id="107087465">
                                                                      <w:marLeft w:val="0"/>
                                                                      <w:marRight w:val="0"/>
                                                                      <w:marTop w:val="0"/>
                                                                      <w:marBottom w:val="0"/>
                                                                      <w:divBdr>
                                                                        <w:top w:val="none" w:sz="0" w:space="0" w:color="auto"/>
                                                                        <w:left w:val="none" w:sz="0" w:space="0" w:color="auto"/>
                                                                        <w:bottom w:val="none" w:sz="0" w:space="0" w:color="auto"/>
                                                                        <w:right w:val="none" w:sz="0" w:space="0" w:color="auto"/>
                                                                      </w:divBdr>
                                                                    </w:div>
                                                                  </w:divsChild>
                                                                </w:div>
                                                                <w:div w:id="1436750153">
                                                                  <w:marLeft w:val="0"/>
                                                                  <w:marRight w:val="0"/>
                                                                  <w:marTop w:val="0"/>
                                                                  <w:marBottom w:val="0"/>
                                                                  <w:divBdr>
                                                                    <w:top w:val="none" w:sz="0" w:space="0" w:color="auto"/>
                                                                    <w:left w:val="none" w:sz="0" w:space="0" w:color="auto"/>
                                                                    <w:bottom w:val="none" w:sz="0" w:space="0" w:color="auto"/>
                                                                    <w:right w:val="none" w:sz="0" w:space="0" w:color="auto"/>
                                                                  </w:divBdr>
                                                                  <w:divsChild>
                                                                    <w:div w:id="617612280">
                                                                      <w:marLeft w:val="0"/>
                                                                      <w:marRight w:val="0"/>
                                                                      <w:marTop w:val="0"/>
                                                                      <w:marBottom w:val="0"/>
                                                                      <w:divBdr>
                                                                        <w:top w:val="none" w:sz="0" w:space="0" w:color="auto"/>
                                                                        <w:left w:val="none" w:sz="0" w:space="0" w:color="auto"/>
                                                                        <w:bottom w:val="none" w:sz="0" w:space="0" w:color="auto"/>
                                                                        <w:right w:val="none" w:sz="0" w:space="0" w:color="auto"/>
                                                                      </w:divBdr>
                                                                    </w:div>
                                                                  </w:divsChild>
                                                                </w:div>
                                                                <w:div w:id="818887151">
                                                                  <w:marLeft w:val="0"/>
                                                                  <w:marRight w:val="0"/>
                                                                  <w:marTop w:val="0"/>
                                                                  <w:marBottom w:val="0"/>
                                                                  <w:divBdr>
                                                                    <w:top w:val="none" w:sz="0" w:space="0" w:color="auto"/>
                                                                    <w:left w:val="none" w:sz="0" w:space="0" w:color="auto"/>
                                                                    <w:bottom w:val="none" w:sz="0" w:space="0" w:color="auto"/>
                                                                    <w:right w:val="none" w:sz="0" w:space="0" w:color="auto"/>
                                                                  </w:divBdr>
                                                                  <w:divsChild>
                                                                    <w:div w:id="431367015">
                                                                      <w:marLeft w:val="0"/>
                                                                      <w:marRight w:val="0"/>
                                                                      <w:marTop w:val="0"/>
                                                                      <w:marBottom w:val="0"/>
                                                                      <w:divBdr>
                                                                        <w:top w:val="none" w:sz="0" w:space="0" w:color="auto"/>
                                                                        <w:left w:val="none" w:sz="0" w:space="0" w:color="auto"/>
                                                                        <w:bottom w:val="none" w:sz="0" w:space="0" w:color="auto"/>
                                                                        <w:right w:val="none" w:sz="0" w:space="0" w:color="auto"/>
                                                                      </w:divBdr>
                                                                    </w:div>
                                                                  </w:divsChild>
                                                                </w:div>
                                                                <w:div w:id="374474358">
                                                                  <w:marLeft w:val="0"/>
                                                                  <w:marRight w:val="0"/>
                                                                  <w:marTop w:val="0"/>
                                                                  <w:marBottom w:val="0"/>
                                                                  <w:divBdr>
                                                                    <w:top w:val="none" w:sz="0" w:space="0" w:color="auto"/>
                                                                    <w:left w:val="none" w:sz="0" w:space="0" w:color="auto"/>
                                                                    <w:bottom w:val="none" w:sz="0" w:space="0" w:color="auto"/>
                                                                    <w:right w:val="none" w:sz="0" w:space="0" w:color="auto"/>
                                                                  </w:divBdr>
                                                                  <w:divsChild>
                                                                    <w:div w:id="218520866">
                                                                      <w:marLeft w:val="0"/>
                                                                      <w:marRight w:val="0"/>
                                                                      <w:marTop w:val="0"/>
                                                                      <w:marBottom w:val="0"/>
                                                                      <w:divBdr>
                                                                        <w:top w:val="none" w:sz="0" w:space="0" w:color="auto"/>
                                                                        <w:left w:val="none" w:sz="0" w:space="0" w:color="auto"/>
                                                                        <w:bottom w:val="none" w:sz="0" w:space="0" w:color="auto"/>
                                                                        <w:right w:val="none" w:sz="0" w:space="0" w:color="auto"/>
                                                                      </w:divBdr>
                                                                    </w:div>
                                                                  </w:divsChild>
                                                                </w:div>
                                                                <w:div w:id="1459032666">
                                                                  <w:marLeft w:val="0"/>
                                                                  <w:marRight w:val="0"/>
                                                                  <w:marTop w:val="0"/>
                                                                  <w:marBottom w:val="0"/>
                                                                  <w:divBdr>
                                                                    <w:top w:val="none" w:sz="0" w:space="0" w:color="auto"/>
                                                                    <w:left w:val="none" w:sz="0" w:space="0" w:color="auto"/>
                                                                    <w:bottom w:val="none" w:sz="0" w:space="0" w:color="auto"/>
                                                                    <w:right w:val="none" w:sz="0" w:space="0" w:color="auto"/>
                                                                  </w:divBdr>
                                                                  <w:divsChild>
                                                                    <w:div w:id="1951547248">
                                                                      <w:marLeft w:val="0"/>
                                                                      <w:marRight w:val="0"/>
                                                                      <w:marTop w:val="0"/>
                                                                      <w:marBottom w:val="0"/>
                                                                      <w:divBdr>
                                                                        <w:top w:val="none" w:sz="0" w:space="0" w:color="auto"/>
                                                                        <w:left w:val="none" w:sz="0" w:space="0" w:color="auto"/>
                                                                        <w:bottom w:val="none" w:sz="0" w:space="0" w:color="auto"/>
                                                                        <w:right w:val="none" w:sz="0" w:space="0" w:color="auto"/>
                                                                      </w:divBdr>
                                                                    </w:div>
                                                                  </w:divsChild>
                                                                </w:div>
                                                                <w:div w:id="1899247389">
                                                                  <w:marLeft w:val="0"/>
                                                                  <w:marRight w:val="0"/>
                                                                  <w:marTop w:val="0"/>
                                                                  <w:marBottom w:val="0"/>
                                                                  <w:divBdr>
                                                                    <w:top w:val="none" w:sz="0" w:space="0" w:color="auto"/>
                                                                    <w:left w:val="none" w:sz="0" w:space="0" w:color="auto"/>
                                                                    <w:bottom w:val="none" w:sz="0" w:space="0" w:color="auto"/>
                                                                    <w:right w:val="none" w:sz="0" w:space="0" w:color="auto"/>
                                                                  </w:divBdr>
                                                                  <w:divsChild>
                                                                    <w:div w:id="352613040">
                                                                      <w:marLeft w:val="0"/>
                                                                      <w:marRight w:val="0"/>
                                                                      <w:marTop w:val="0"/>
                                                                      <w:marBottom w:val="0"/>
                                                                      <w:divBdr>
                                                                        <w:top w:val="none" w:sz="0" w:space="0" w:color="auto"/>
                                                                        <w:left w:val="none" w:sz="0" w:space="0" w:color="auto"/>
                                                                        <w:bottom w:val="none" w:sz="0" w:space="0" w:color="auto"/>
                                                                        <w:right w:val="none" w:sz="0" w:space="0" w:color="auto"/>
                                                                      </w:divBdr>
                                                                    </w:div>
                                                                  </w:divsChild>
                                                                </w:div>
                                                                <w:div w:id="1288127165">
                                                                  <w:marLeft w:val="0"/>
                                                                  <w:marRight w:val="0"/>
                                                                  <w:marTop w:val="0"/>
                                                                  <w:marBottom w:val="0"/>
                                                                  <w:divBdr>
                                                                    <w:top w:val="none" w:sz="0" w:space="0" w:color="auto"/>
                                                                    <w:left w:val="none" w:sz="0" w:space="0" w:color="auto"/>
                                                                    <w:bottom w:val="none" w:sz="0" w:space="0" w:color="auto"/>
                                                                    <w:right w:val="none" w:sz="0" w:space="0" w:color="auto"/>
                                                                  </w:divBdr>
                                                                  <w:divsChild>
                                                                    <w:div w:id="1925187683">
                                                                      <w:marLeft w:val="0"/>
                                                                      <w:marRight w:val="0"/>
                                                                      <w:marTop w:val="0"/>
                                                                      <w:marBottom w:val="0"/>
                                                                      <w:divBdr>
                                                                        <w:top w:val="none" w:sz="0" w:space="0" w:color="auto"/>
                                                                        <w:left w:val="none" w:sz="0" w:space="0" w:color="auto"/>
                                                                        <w:bottom w:val="none" w:sz="0" w:space="0" w:color="auto"/>
                                                                        <w:right w:val="none" w:sz="0" w:space="0" w:color="auto"/>
                                                                      </w:divBdr>
                                                                    </w:div>
                                                                  </w:divsChild>
                                                                </w:div>
                                                                <w:div w:id="260798481">
                                                                  <w:marLeft w:val="0"/>
                                                                  <w:marRight w:val="0"/>
                                                                  <w:marTop w:val="0"/>
                                                                  <w:marBottom w:val="0"/>
                                                                  <w:divBdr>
                                                                    <w:top w:val="none" w:sz="0" w:space="0" w:color="auto"/>
                                                                    <w:left w:val="none" w:sz="0" w:space="0" w:color="auto"/>
                                                                    <w:bottom w:val="none" w:sz="0" w:space="0" w:color="auto"/>
                                                                    <w:right w:val="none" w:sz="0" w:space="0" w:color="auto"/>
                                                                  </w:divBdr>
                                                                  <w:divsChild>
                                                                    <w:div w:id="1787506031">
                                                                      <w:marLeft w:val="0"/>
                                                                      <w:marRight w:val="0"/>
                                                                      <w:marTop w:val="0"/>
                                                                      <w:marBottom w:val="0"/>
                                                                      <w:divBdr>
                                                                        <w:top w:val="none" w:sz="0" w:space="0" w:color="auto"/>
                                                                        <w:left w:val="none" w:sz="0" w:space="0" w:color="auto"/>
                                                                        <w:bottom w:val="none" w:sz="0" w:space="0" w:color="auto"/>
                                                                        <w:right w:val="none" w:sz="0" w:space="0" w:color="auto"/>
                                                                      </w:divBdr>
                                                                    </w:div>
                                                                  </w:divsChild>
                                                                </w:div>
                                                                <w:div w:id="2131316045">
                                                                  <w:marLeft w:val="0"/>
                                                                  <w:marRight w:val="0"/>
                                                                  <w:marTop w:val="0"/>
                                                                  <w:marBottom w:val="0"/>
                                                                  <w:divBdr>
                                                                    <w:top w:val="none" w:sz="0" w:space="0" w:color="auto"/>
                                                                    <w:left w:val="none" w:sz="0" w:space="0" w:color="auto"/>
                                                                    <w:bottom w:val="none" w:sz="0" w:space="0" w:color="auto"/>
                                                                    <w:right w:val="none" w:sz="0" w:space="0" w:color="auto"/>
                                                                  </w:divBdr>
                                                                  <w:divsChild>
                                                                    <w:div w:id="1324892755">
                                                                      <w:marLeft w:val="0"/>
                                                                      <w:marRight w:val="0"/>
                                                                      <w:marTop w:val="0"/>
                                                                      <w:marBottom w:val="0"/>
                                                                      <w:divBdr>
                                                                        <w:top w:val="none" w:sz="0" w:space="0" w:color="auto"/>
                                                                        <w:left w:val="none" w:sz="0" w:space="0" w:color="auto"/>
                                                                        <w:bottom w:val="none" w:sz="0" w:space="0" w:color="auto"/>
                                                                        <w:right w:val="none" w:sz="0" w:space="0" w:color="auto"/>
                                                                      </w:divBdr>
                                                                    </w:div>
                                                                  </w:divsChild>
                                                                </w:div>
                                                                <w:div w:id="222184873">
                                                                  <w:marLeft w:val="0"/>
                                                                  <w:marRight w:val="0"/>
                                                                  <w:marTop w:val="0"/>
                                                                  <w:marBottom w:val="0"/>
                                                                  <w:divBdr>
                                                                    <w:top w:val="none" w:sz="0" w:space="0" w:color="auto"/>
                                                                    <w:left w:val="none" w:sz="0" w:space="0" w:color="auto"/>
                                                                    <w:bottom w:val="none" w:sz="0" w:space="0" w:color="auto"/>
                                                                    <w:right w:val="none" w:sz="0" w:space="0" w:color="auto"/>
                                                                  </w:divBdr>
                                                                  <w:divsChild>
                                                                    <w:div w:id="7648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5072">
                                                              <w:marLeft w:val="0"/>
                                                              <w:marRight w:val="0"/>
                                                              <w:marTop w:val="0"/>
                                                              <w:marBottom w:val="0"/>
                                                              <w:divBdr>
                                                                <w:top w:val="none" w:sz="0" w:space="0" w:color="auto"/>
                                                                <w:left w:val="none" w:sz="0" w:space="0" w:color="auto"/>
                                                                <w:bottom w:val="none" w:sz="0" w:space="0" w:color="auto"/>
                                                                <w:right w:val="none" w:sz="0" w:space="0" w:color="auto"/>
                                                              </w:divBdr>
                                                              <w:divsChild>
                                                                <w:div w:id="2049645745">
                                                                  <w:marLeft w:val="0"/>
                                                                  <w:marRight w:val="0"/>
                                                                  <w:marTop w:val="0"/>
                                                                  <w:marBottom w:val="0"/>
                                                                  <w:divBdr>
                                                                    <w:top w:val="none" w:sz="0" w:space="0" w:color="auto"/>
                                                                    <w:left w:val="none" w:sz="0" w:space="0" w:color="auto"/>
                                                                    <w:bottom w:val="none" w:sz="0" w:space="0" w:color="auto"/>
                                                                    <w:right w:val="none" w:sz="0" w:space="0" w:color="auto"/>
                                                                  </w:divBdr>
                                                                  <w:divsChild>
                                                                    <w:div w:id="1293825948">
                                                                      <w:marLeft w:val="0"/>
                                                                      <w:marRight w:val="0"/>
                                                                      <w:marTop w:val="0"/>
                                                                      <w:marBottom w:val="0"/>
                                                                      <w:divBdr>
                                                                        <w:top w:val="none" w:sz="0" w:space="0" w:color="auto"/>
                                                                        <w:left w:val="none" w:sz="0" w:space="0" w:color="auto"/>
                                                                        <w:bottom w:val="none" w:sz="0" w:space="0" w:color="auto"/>
                                                                        <w:right w:val="none" w:sz="0" w:space="0" w:color="auto"/>
                                                                      </w:divBdr>
                                                                      <w:divsChild>
                                                                        <w:div w:id="1184973931">
                                                                          <w:marLeft w:val="0"/>
                                                                          <w:marRight w:val="0"/>
                                                                          <w:marTop w:val="0"/>
                                                                          <w:marBottom w:val="0"/>
                                                                          <w:divBdr>
                                                                            <w:top w:val="none" w:sz="0" w:space="0" w:color="auto"/>
                                                                            <w:left w:val="none" w:sz="0" w:space="0" w:color="auto"/>
                                                                            <w:bottom w:val="none" w:sz="0" w:space="0" w:color="auto"/>
                                                                            <w:right w:val="none" w:sz="0" w:space="0" w:color="auto"/>
                                                                          </w:divBdr>
                                                                          <w:divsChild>
                                                                            <w:div w:id="1737901132">
                                                                              <w:marLeft w:val="0"/>
                                                                              <w:marRight w:val="0"/>
                                                                              <w:marTop w:val="0"/>
                                                                              <w:marBottom w:val="0"/>
                                                                              <w:divBdr>
                                                                                <w:top w:val="none" w:sz="0" w:space="0" w:color="auto"/>
                                                                                <w:left w:val="none" w:sz="0" w:space="0" w:color="auto"/>
                                                                                <w:bottom w:val="none" w:sz="0" w:space="0" w:color="auto"/>
                                                                                <w:right w:val="none" w:sz="0" w:space="0" w:color="auto"/>
                                                                              </w:divBdr>
                                                                            </w:div>
                                                                          </w:divsChild>
                                                                        </w:div>
                                                                        <w:div w:id="12276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261539">
      <w:bodyDiv w:val="1"/>
      <w:marLeft w:val="0"/>
      <w:marRight w:val="0"/>
      <w:marTop w:val="0"/>
      <w:marBottom w:val="0"/>
      <w:divBdr>
        <w:top w:val="none" w:sz="0" w:space="0" w:color="auto"/>
        <w:left w:val="none" w:sz="0" w:space="0" w:color="auto"/>
        <w:bottom w:val="none" w:sz="0" w:space="0" w:color="auto"/>
        <w:right w:val="none" w:sz="0" w:space="0" w:color="auto"/>
      </w:divBdr>
      <w:divsChild>
        <w:div w:id="1728650384">
          <w:marLeft w:val="0"/>
          <w:marRight w:val="0"/>
          <w:marTop w:val="0"/>
          <w:marBottom w:val="0"/>
          <w:divBdr>
            <w:top w:val="none" w:sz="0" w:space="0" w:color="auto"/>
            <w:left w:val="none" w:sz="0" w:space="0" w:color="auto"/>
            <w:bottom w:val="none" w:sz="0" w:space="0" w:color="auto"/>
            <w:right w:val="none" w:sz="0" w:space="0" w:color="auto"/>
          </w:divBdr>
          <w:divsChild>
            <w:div w:id="1251164360">
              <w:marLeft w:val="0"/>
              <w:marRight w:val="0"/>
              <w:marTop w:val="0"/>
              <w:marBottom w:val="0"/>
              <w:divBdr>
                <w:top w:val="none" w:sz="0" w:space="0" w:color="auto"/>
                <w:left w:val="none" w:sz="0" w:space="0" w:color="auto"/>
                <w:bottom w:val="none" w:sz="0" w:space="0" w:color="auto"/>
                <w:right w:val="none" w:sz="0" w:space="0" w:color="auto"/>
              </w:divBdr>
              <w:divsChild>
                <w:div w:id="2141914614">
                  <w:marLeft w:val="0"/>
                  <w:marRight w:val="0"/>
                  <w:marTop w:val="0"/>
                  <w:marBottom w:val="0"/>
                  <w:divBdr>
                    <w:top w:val="none" w:sz="0" w:space="0" w:color="auto"/>
                    <w:left w:val="none" w:sz="0" w:space="0" w:color="auto"/>
                    <w:bottom w:val="none" w:sz="0" w:space="0" w:color="auto"/>
                    <w:right w:val="none" w:sz="0" w:space="0" w:color="auto"/>
                  </w:divBdr>
                  <w:divsChild>
                    <w:div w:id="40399923">
                      <w:marLeft w:val="0"/>
                      <w:marRight w:val="0"/>
                      <w:marTop w:val="0"/>
                      <w:marBottom w:val="0"/>
                      <w:divBdr>
                        <w:top w:val="none" w:sz="0" w:space="0" w:color="auto"/>
                        <w:left w:val="none" w:sz="0" w:space="0" w:color="auto"/>
                        <w:bottom w:val="none" w:sz="0" w:space="0" w:color="auto"/>
                        <w:right w:val="none" w:sz="0" w:space="0" w:color="auto"/>
                      </w:divBdr>
                      <w:divsChild>
                        <w:div w:id="5257407">
                          <w:marLeft w:val="0"/>
                          <w:marRight w:val="0"/>
                          <w:marTop w:val="0"/>
                          <w:marBottom w:val="0"/>
                          <w:divBdr>
                            <w:top w:val="none" w:sz="0" w:space="0" w:color="auto"/>
                            <w:left w:val="none" w:sz="0" w:space="0" w:color="auto"/>
                            <w:bottom w:val="none" w:sz="0" w:space="0" w:color="auto"/>
                            <w:right w:val="none" w:sz="0" w:space="0" w:color="auto"/>
                          </w:divBdr>
                          <w:divsChild>
                            <w:div w:id="5205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54028">
      <w:bodyDiv w:val="1"/>
      <w:marLeft w:val="0"/>
      <w:marRight w:val="0"/>
      <w:marTop w:val="0"/>
      <w:marBottom w:val="0"/>
      <w:divBdr>
        <w:top w:val="none" w:sz="0" w:space="0" w:color="auto"/>
        <w:left w:val="none" w:sz="0" w:space="0" w:color="auto"/>
        <w:bottom w:val="none" w:sz="0" w:space="0" w:color="auto"/>
        <w:right w:val="none" w:sz="0" w:space="0" w:color="auto"/>
      </w:divBdr>
    </w:div>
    <w:div w:id="2042240671">
      <w:bodyDiv w:val="1"/>
      <w:marLeft w:val="0"/>
      <w:marRight w:val="0"/>
      <w:marTop w:val="0"/>
      <w:marBottom w:val="0"/>
      <w:divBdr>
        <w:top w:val="none" w:sz="0" w:space="0" w:color="auto"/>
        <w:left w:val="none" w:sz="0" w:space="0" w:color="auto"/>
        <w:bottom w:val="none" w:sz="0" w:space="0" w:color="auto"/>
        <w:right w:val="none" w:sz="0" w:space="0" w:color="auto"/>
      </w:divBdr>
    </w:div>
    <w:div w:id="2053529392">
      <w:bodyDiv w:val="1"/>
      <w:marLeft w:val="0"/>
      <w:marRight w:val="0"/>
      <w:marTop w:val="0"/>
      <w:marBottom w:val="0"/>
      <w:divBdr>
        <w:top w:val="none" w:sz="0" w:space="0" w:color="auto"/>
        <w:left w:val="none" w:sz="0" w:space="0" w:color="auto"/>
        <w:bottom w:val="none" w:sz="0" w:space="0" w:color="auto"/>
        <w:right w:val="none" w:sz="0" w:space="0" w:color="auto"/>
      </w:divBdr>
      <w:divsChild>
        <w:div w:id="1483737959">
          <w:marLeft w:val="0"/>
          <w:marRight w:val="0"/>
          <w:marTop w:val="0"/>
          <w:marBottom w:val="0"/>
          <w:divBdr>
            <w:top w:val="none" w:sz="0" w:space="0" w:color="auto"/>
            <w:left w:val="none" w:sz="0" w:space="0" w:color="auto"/>
            <w:bottom w:val="none" w:sz="0" w:space="0" w:color="auto"/>
            <w:right w:val="none" w:sz="0" w:space="0" w:color="auto"/>
          </w:divBdr>
          <w:divsChild>
            <w:div w:id="2087919697">
              <w:marLeft w:val="0"/>
              <w:marRight w:val="0"/>
              <w:marTop w:val="300"/>
              <w:marBottom w:val="0"/>
              <w:divBdr>
                <w:top w:val="single" w:sz="6" w:space="0" w:color="DDDDDD"/>
                <w:left w:val="single" w:sz="6" w:space="0" w:color="DDDDDD"/>
                <w:bottom w:val="single" w:sz="6" w:space="0" w:color="DDDDDD"/>
                <w:right w:val="single" w:sz="6" w:space="0" w:color="DDDDDD"/>
              </w:divBdr>
              <w:divsChild>
                <w:div w:id="1554930200">
                  <w:marLeft w:val="0"/>
                  <w:marRight w:val="0"/>
                  <w:marTop w:val="0"/>
                  <w:marBottom w:val="0"/>
                  <w:divBdr>
                    <w:top w:val="none" w:sz="0" w:space="0" w:color="auto"/>
                    <w:left w:val="none" w:sz="0" w:space="0" w:color="auto"/>
                    <w:bottom w:val="none" w:sz="0" w:space="0" w:color="auto"/>
                    <w:right w:val="none" w:sz="0" w:space="0" w:color="auto"/>
                  </w:divBdr>
                  <w:divsChild>
                    <w:div w:id="1923448259">
                      <w:marLeft w:val="0"/>
                      <w:marRight w:val="0"/>
                      <w:marTop w:val="0"/>
                      <w:marBottom w:val="0"/>
                      <w:divBdr>
                        <w:top w:val="none" w:sz="0" w:space="0" w:color="auto"/>
                        <w:left w:val="none" w:sz="0" w:space="0" w:color="auto"/>
                        <w:bottom w:val="none" w:sz="0" w:space="0" w:color="auto"/>
                        <w:right w:val="none" w:sz="0" w:space="0" w:color="auto"/>
                      </w:divBdr>
                      <w:divsChild>
                        <w:div w:id="299188758">
                          <w:marLeft w:val="0"/>
                          <w:marRight w:val="0"/>
                          <w:marTop w:val="0"/>
                          <w:marBottom w:val="0"/>
                          <w:divBdr>
                            <w:top w:val="none" w:sz="0" w:space="0" w:color="auto"/>
                            <w:left w:val="none" w:sz="0" w:space="0" w:color="auto"/>
                            <w:bottom w:val="none" w:sz="0" w:space="0" w:color="auto"/>
                            <w:right w:val="none" w:sz="0" w:space="0" w:color="auto"/>
                          </w:divBdr>
                          <w:divsChild>
                            <w:div w:id="244264637">
                              <w:marLeft w:val="0"/>
                              <w:marRight w:val="0"/>
                              <w:marTop w:val="0"/>
                              <w:marBottom w:val="0"/>
                              <w:divBdr>
                                <w:top w:val="none" w:sz="0" w:space="0" w:color="auto"/>
                                <w:left w:val="none" w:sz="0" w:space="0" w:color="auto"/>
                                <w:bottom w:val="none" w:sz="0" w:space="0" w:color="auto"/>
                                <w:right w:val="none" w:sz="0" w:space="0" w:color="auto"/>
                              </w:divBdr>
                              <w:divsChild>
                                <w:div w:id="1582175714">
                                  <w:marLeft w:val="0"/>
                                  <w:marRight w:val="0"/>
                                  <w:marTop w:val="0"/>
                                  <w:marBottom w:val="0"/>
                                  <w:divBdr>
                                    <w:top w:val="none" w:sz="0" w:space="0" w:color="auto"/>
                                    <w:left w:val="none" w:sz="0" w:space="0" w:color="auto"/>
                                    <w:bottom w:val="none" w:sz="0" w:space="0" w:color="auto"/>
                                    <w:right w:val="none" w:sz="0" w:space="0" w:color="auto"/>
                                  </w:divBdr>
                                  <w:divsChild>
                                    <w:div w:id="375280156">
                                      <w:marLeft w:val="0"/>
                                      <w:marRight w:val="0"/>
                                      <w:marTop w:val="0"/>
                                      <w:marBottom w:val="0"/>
                                      <w:divBdr>
                                        <w:top w:val="none" w:sz="0" w:space="0" w:color="auto"/>
                                        <w:left w:val="none" w:sz="0" w:space="0" w:color="auto"/>
                                        <w:bottom w:val="none" w:sz="0" w:space="0" w:color="auto"/>
                                        <w:right w:val="none" w:sz="0" w:space="0" w:color="auto"/>
                                      </w:divBdr>
                                    </w:div>
                                    <w:div w:id="600068360">
                                      <w:marLeft w:val="0"/>
                                      <w:marRight w:val="0"/>
                                      <w:marTop w:val="0"/>
                                      <w:marBottom w:val="0"/>
                                      <w:divBdr>
                                        <w:top w:val="none" w:sz="0" w:space="0" w:color="auto"/>
                                        <w:left w:val="none" w:sz="0" w:space="0" w:color="auto"/>
                                        <w:bottom w:val="none" w:sz="0" w:space="0" w:color="auto"/>
                                        <w:right w:val="none" w:sz="0" w:space="0" w:color="auto"/>
                                      </w:divBdr>
                                    </w:div>
                                    <w:div w:id="7556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4.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png"/><Relationship Id="rId29" Type="http://schemas.openxmlformats.org/officeDocument/2006/relationships/hyperlink" Target="https://www.tga.gov.au"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image" Target="media/image9.emf"/><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ICMI?OpenForm&amp;t=pi&amp;q=ibrutinib" TargetMode="External"/><Relationship Id="rId2" Type="http://schemas.openxmlformats.org/officeDocument/2006/relationships/hyperlink" Target="https://www.ebs.tga.gov.au/ebs/picmi/picmirepository.nsf/PICMI?OpenForm&amp;t=pi&amp;q=temsirolimus" TargetMode="External"/><Relationship Id="rId1" Type="http://schemas.openxmlformats.org/officeDocument/2006/relationships/hyperlink" Target="http://www.nccn.org/professionals/physician_gls/f_guidelines.asp" TargetMode="External"/><Relationship Id="rId5" Type="http://schemas.openxmlformats.org/officeDocument/2006/relationships/hyperlink" Target="https://www.ncbi.nlm.nih.gov/pubmed/11114313" TargetMode="External"/><Relationship Id="rId4" Type="http://schemas.openxmlformats.org/officeDocument/2006/relationships/hyperlink" Target="https://www.ncbi.nlm.nih.gov/pubmed/?term=Rai%20KR%5BAuthor%5D&amp;cauthor=true&amp;cauthor_uid=111143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901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2BDA-0527-4591-95B9-2EBC95D0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15</TotalTime>
  <Pages>34</Pages>
  <Words>8552</Words>
  <Characters>48752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Australian Public Assessment Report for Lenalidomide</vt:lpstr>
    </vt:vector>
  </TitlesOfParts>
  <Company>Department of Health Therapeutic Goods Administration</Company>
  <LinksUpToDate>false</LinksUpToDate>
  <CharactersWithSpaces>57190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Lenalidomide</dc:title>
  <dc:subject>prescription medicines</dc:subject>
  <dc:creator>Therapeutic Goods Administration</dc:creator>
  <cp:keywords>AusPARs</cp:keywords>
  <cp:lastModifiedBy>LACK, Janet</cp:lastModifiedBy>
  <cp:revision>4</cp:revision>
  <cp:lastPrinted>2015-09-22T23:39:00Z</cp:lastPrinted>
  <dcterms:created xsi:type="dcterms:W3CDTF">2019-07-02T01:33:00Z</dcterms:created>
  <dcterms:modified xsi:type="dcterms:W3CDTF">2019-07-02T01:49:00Z</dcterms:modified>
  <cp:category/>
</cp:coreProperties>
</file>