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57B1E" w14:textId="3656184B" w:rsidR="00F83B12" w:rsidRDefault="00F83B12" w:rsidP="003531A6">
      <w:pPr>
        <w:pStyle w:val="BodyText"/>
      </w:pPr>
      <w:r w:rsidRPr="004F3422">
        <w:rPr>
          <w:noProof/>
          <w:lang w:eastAsia="en-AU"/>
        </w:rPr>
        <mc:AlternateContent>
          <mc:Choice Requires="wps">
            <w:drawing>
              <wp:inline distT="0" distB="0" distL="0" distR="0" wp14:anchorId="5A8121D0" wp14:editId="26FB0267">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18B6A0" w14:textId="77777777" w:rsidR="003531A6" w:rsidRPr="00BE2A26" w:rsidRDefault="003531A6" w:rsidP="00F83B12">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A8121D0"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0C18B6A0" w14:textId="77777777" w:rsidR="003531A6" w:rsidRPr="00BE2A26" w:rsidRDefault="003531A6" w:rsidP="00F83B12">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4F3422">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4F3422">
          <w:rPr>
            <w:rStyle w:val="Hyperlink"/>
            <w:rFonts w:asciiTheme="majorHAnsi" w:hAnsiTheme="majorHAnsi"/>
          </w:rPr>
          <w:t>www.tga.gov.au/reporting-problems</w:t>
        </w:r>
      </w:hyperlink>
      <w:r w:rsidRPr="004F3422">
        <w:t>.</w:t>
      </w:r>
    </w:p>
    <w:p w14:paraId="1FEED48F" w14:textId="77777777" w:rsidR="003531A6" w:rsidRPr="004F3422" w:rsidRDefault="003531A6" w:rsidP="003531A6">
      <w:pPr>
        <w:pStyle w:val="BodyText"/>
      </w:pPr>
    </w:p>
    <w:p w14:paraId="2866D939" w14:textId="295F8C39" w:rsidR="00835476" w:rsidRPr="004F3422" w:rsidRDefault="00D85D9B" w:rsidP="00D85D9B">
      <w:pPr>
        <w:pStyle w:val="Heading1"/>
        <w:numPr>
          <w:ilvl w:val="0"/>
          <w:numId w:val="0"/>
        </w:numPr>
        <w:jc w:val="center"/>
      </w:pPr>
      <w:r w:rsidRPr="004F3422">
        <w:t xml:space="preserve">Australian </w:t>
      </w:r>
      <w:r w:rsidR="00835476" w:rsidRPr="004F3422">
        <w:t>PRODUCT INFORMATION</w:t>
      </w:r>
      <w:r w:rsidRPr="004F3422">
        <w:t xml:space="preserve"> – </w:t>
      </w:r>
      <w:r w:rsidR="005A741C" w:rsidRPr="004F3422">
        <w:t>Dayvigo</w:t>
      </w:r>
      <w:r w:rsidR="0021584E" w:rsidRPr="004F3422">
        <w:rPr>
          <w:vertAlign w:val="superscript"/>
        </w:rPr>
        <w:t xml:space="preserve">® </w:t>
      </w:r>
      <w:r w:rsidR="001D51FB" w:rsidRPr="004F3422">
        <w:t>(</w:t>
      </w:r>
      <w:r w:rsidR="005A741C" w:rsidRPr="004F3422">
        <w:t>Lemborexant</w:t>
      </w:r>
      <w:r w:rsidR="001D51FB" w:rsidRPr="004F3422">
        <w:t>)</w:t>
      </w:r>
      <w:r w:rsidR="002821A2" w:rsidRPr="004F3422">
        <w:t xml:space="preserve"> </w:t>
      </w:r>
      <w:r w:rsidR="002E13F1">
        <w:t>film coated</w:t>
      </w:r>
      <w:r w:rsidR="002821A2" w:rsidRPr="004F3422">
        <w:t xml:space="preserve"> tablets</w:t>
      </w:r>
    </w:p>
    <w:p w14:paraId="2866D93C" w14:textId="5DFD1E3F" w:rsidR="00835476" w:rsidRPr="004F3422" w:rsidRDefault="00835476" w:rsidP="00D85D9B">
      <w:pPr>
        <w:pStyle w:val="Heading1"/>
      </w:pPr>
      <w:r w:rsidRPr="004F3422">
        <w:t xml:space="preserve">Name of the </w:t>
      </w:r>
      <w:r w:rsidR="000B27D5">
        <w:t>m</w:t>
      </w:r>
      <w:r w:rsidR="00392005">
        <w:t>edicine</w:t>
      </w:r>
    </w:p>
    <w:p w14:paraId="7F080A85" w14:textId="48F69AD9" w:rsidR="0021584E" w:rsidRPr="004F3422" w:rsidRDefault="005A741C" w:rsidP="0021584E">
      <w:pPr>
        <w:pStyle w:val="BodyText"/>
      </w:pPr>
      <w:r w:rsidRPr="004F3422">
        <w:t>Lemborexant</w:t>
      </w:r>
    </w:p>
    <w:p w14:paraId="26E12BB8" w14:textId="77777777" w:rsidR="005732BF" w:rsidRPr="004F3422" w:rsidRDefault="005732BF" w:rsidP="0021584E">
      <w:pPr>
        <w:pStyle w:val="BodyText"/>
      </w:pPr>
    </w:p>
    <w:p w14:paraId="2012C208" w14:textId="588E693E" w:rsidR="00D85D9B" w:rsidRPr="004F3422" w:rsidRDefault="00D85D9B" w:rsidP="00D85D9B">
      <w:pPr>
        <w:pStyle w:val="Heading1"/>
        <w:ind w:left="431" w:hanging="431"/>
      </w:pPr>
      <w:r w:rsidRPr="004F3422">
        <w:t>Qualitative and quantitative composition</w:t>
      </w:r>
    </w:p>
    <w:p w14:paraId="21110AED" w14:textId="3CF77C16" w:rsidR="005A741C" w:rsidRPr="004F3422" w:rsidRDefault="005A741C" w:rsidP="005A741C">
      <w:pPr>
        <w:pStyle w:val="BodyText"/>
      </w:pPr>
      <w:r w:rsidRPr="004F3422">
        <w:t>Each 5</w:t>
      </w:r>
      <w:r w:rsidR="005317E4">
        <w:t> mg</w:t>
      </w:r>
      <w:r w:rsidRPr="004F3422">
        <w:t xml:space="preserve"> DAYVIGO </w:t>
      </w:r>
      <w:r w:rsidR="002E13F1">
        <w:t>film coated</w:t>
      </w:r>
      <w:r w:rsidRPr="004F3422">
        <w:t xml:space="preserve"> tablet contains 5</w:t>
      </w:r>
      <w:r w:rsidR="005317E4">
        <w:t> mg</w:t>
      </w:r>
      <w:r w:rsidRPr="004F3422">
        <w:t xml:space="preserve"> lemborexant</w:t>
      </w:r>
    </w:p>
    <w:p w14:paraId="0AE5091D" w14:textId="77777777" w:rsidR="005A741C" w:rsidRPr="004F3422" w:rsidRDefault="005A741C" w:rsidP="005A741C">
      <w:pPr>
        <w:pStyle w:val="BodyText"/>
      </w:pPr>
    </w:p>
    <w:p w14:paraId="75CCD824" w14:textId="3427DBB1" w:rsidR="005A741C" w:rsidRPr="004F3422" w:rsidRDefault="005A741C" w:rsidP="005A741C">
      <w:pPr>
        <w:pStyle w:val="BodyText"/>
      </w:pPr>
      <w:r w:rsidRPr="004F3422">
        <w:t>Each 10</w:t>
      </w:r>
      <w:r w:rsidR="005317E4">
        <w:t> mg</w:t>
      </w:r>
      <w:r w:rsidRPr="004F3422">
        <w:t xml:space="preserve"> DAYVIGO </w:t>
      </w:r>
      <w:r w:rsidR="002E13F1">
        <w:t>film coated</w:t>
      </w:r>
      <w:r w:rsidRPr="004F3422">
        <w:t xml:space="preserve"> tablet contains 10</w:t>
      </w:r>
      <w:r w:rsidR="005317E4">
        <w:t> mg</w:t>
      </w:r>
      <w:r w:rsidRPr="004F3422">
        <w:t xml:space="preserve"> lemborexant</w:t>
      </w:r>
    </w:p>
    <w:p w14:paraId="2D6EB29F" w14:textId="77777777" w:rsidR="00D227AD" w:rsidRPr="004F3422" w:rsidRDefault="00D227AD" w:rsidP="002821A2">
      <w:pPr>
        <w:pStyle w:val="BodyText"/>
      </w:pPr>
    </w:p>
    <w:p w14:paraId="42AAC7B5" w14:textId="014AA12E" w:rsidR="002821A2" w:rsidRPr="00F866DE" w:rsidRDefault="002821A2" w:rsidP="002821A2">
      <w:pPr>
        <w:pStyle w:val="BodyText"/>
      </w:pPr>
      <w:r w:rsidRPr="004F3422">
        <w:t xml:space="preserve">For the full list of excipients, see Section </w:t>
      </w:r>
      <w:r w:rsidRPr="004F3422">
        <w:fldChar w:fldCharType="begin"/>
      </w:r>
      <w:r w:rsidRPr="004F3422">
        <w:instrText xml:space="preserve"> REF _Ref503187308 \r \h </w:instrText>
      </w:r>
      <w:r w:rsidRPr="004F3422">
        <w:fldChar w:fldCharType="separate"/>
      </w:r>
      <w:r w:rsidR="003A0FF4">
        <w:t>6.1</w:t>
      </w:r>
      <w:r w:rsidRPr="004F3422">
        <w:fldChar w:fldCharType="end"/>
      </w:r>
      <w:r w:rsidRPr="004F3422">
        <w:t xml:space="preserve"> </w:t>
      </w:r>
      <w:r w:rsidR="003862D9" w:rsidRPr="004F3422">
        <w:fldChar w:fldCharType="begin"/>
      </w:r>
      <w:r w:rsidR="003862D9" w:rsidRPr="004F3422">
        <w:instrText xml:space="preserve"> REF _Ref38373062 \h </w:instrText>
      </w:r>
      <w:r w:rsidR="003862D9" w:rsidRPr="004F3422">
        <w:fldChar w:fldCharType="separate"/>
      </w:r>
      <w:r w:rsidR="003A0FF4" w:rsidRPr="00F866DE">
        <w:t>List of excipients</w:t>
      </w:r>
      <w:r w:rsidR="003862D9" w:rsidRPr="004F3422">
        <w:fldChar w:fldCharType="end"/>
      </w:r>
      <w:r w:rsidRPr="00F866DE">
        <w:t>.</w:t>
      </w:r>
    </w:p>
    <w:p w14:paraId="6185D90A" w14:textId="77777777" w:rsidR="002821A2" w:rsidRPr="00F866DE" w:rsidRDefault="002821A2" w:rsidP="002821A2">
      <w:pPr>
        <w:pStyle w:val="BodyText"/>
      </w:pPr>
    </w:p>
    <w:p w14:paraId="375C8F90" w14:textId="3EBE7174" w:rsidR="00DC5E06" w:rsidRPr="004F3422" w:rsidRDefault="00DC5E06" w:rsidP="00DC5E06">
      <w:pPr>
        <w:pStyle w:val="Heading1"/>
        <w:ind w:left="431" w:hanging="431"/>
      </w:pPr>
      <w:r w:rsidRPr="004F3422">
        <w:t>Pharmaceutical form</w:t>
      </w:r>
    </w:p>
    <w:p w14:paraId="0C6D1FF5" w14:textId="0E5C53FC" w:rsidR="002821A2" w:rsidRPr="004F3422" w:rsidRDefault="005A741C" w:rsidP="002821A2">
      <w:pPr>
        <w:pStyle w:val="BodyText"/>
      </w:pPr>
      <w:r w:rsidRPr="004F3422">
        <w:t>DAYVIGO</w:t>
      </w:r>
      <w:r w:rsidR="002821A2" w:rsidRPr="004F3422">
        <w:t xml:space="preserve"> </w:t>
      </w:r>
      <w:r w:rsidRPr="004F3422">
        <w:t>5</w:t>
      </w:r>
      <w:r w:rsidR="005317E4">
        <w:t> mg</w:t>
      </w:r>
      <w:r w:rsidR="002821A2" w:rsidRPr="004F3422">
        <w:t xml:space="preserve"> </w:t>
      </w:r>
      <w:r w:rsidR="002E13F1">
        <w:t>film coated</w:t>
      </w:r>
      <w:r w:rsidR="002821A2" w:rsidRPr="004F3422">
        <w:t xml:space="preserve"> tablets are </w:t>
      </w:r>
      <w:r w:rsidRPr="004F3422">
        <w:t xml:space="preserve">pale yellow, round, biconvex, </w:t>
      </w:r>
      <w:r w:rsidR="002E13F1">
        <w:t>film coated</w:t>
      </w:r>
      <w:r w:rsidRPr="004F3422">
        <w:t xml:space="preserve"> tablets, and debossed with "5" on one side and "LЄM" on the other side.</w:t>
      </w:r>
    </w:p>
    <w:p w14:paraId="310F1670" w14:textId="77777777" w:rsidR="002821A2" w:rsidRPr="004F3422" w:rsidRDefault="002821A2" w:rsidP="002821A2">
      <w:pPr>
        <w:pStyle w:val="BodyText"/>
      </w:pPr>
    </w:p>
    <w:p w14:paraId="11FE500E" w14:textId="2DAB46A1" w:rsidR="002821A2" w:rsidRPr="004F3422" w:rsidRDefault="005A741C" w:rsidP="002821A2">
      <w:pPr>
        <w:pStyle w:val="BodyText"/>
      </w:pPr>
      <w:r w:rsidRPr="004F3422">
        <w:t>DAYVIGO 10</w:t>
      </w:r>
      <w:r w:rsidR="005317E4">
        <w:t> mg</w:t>
      </w:r>
      <w:r w:rsidR="002821A2" w:rsidRPr="004F3422">
        <w:t xml:space="preserve"> </w:t>
      </w:r>
      <w:r w:rsidR="002E13F1">
        <w:t>film coated</w:t>
      </w:r>
      <w:r w:rsidR="002821A2" w:rsidRPr="004F3422">
        <w:t xml:space="preserve"> tablets are </w:t>
      </w:r>
      <w:r w:rsidRPr="004F3422">
        <w:t xml:space="preserve">orange, round, biconvex, </w:t>
      </w:r>
      <w:r w:rsidR="002E13F1">
        <w:t>film coated</w:t>
      </w:r>
      <w:r w:rsidRPr="004F3422">
        <w:t xml:space="preserve"> tablets, and debossed with "10" on one side and "LЄM" on the other side.</w:t>
      </w:r>
    </w:p>
    <w:p w14:paraId="6321511E" w14:textId="77777777" w:rsidR="009E54CE" w:rsidRPr="004F3422" w:rsidRDefault="009E54CE" w:rsidP="002821A2">
      <w:pPr>
        <w:pStyle w:val="BodyText"/>
      </w:pPr>
    </w:p>
    <w:p w14:paraId="1F9F55D2" w14:textId="77777777" w:rsidR="00DC5E06" w:rsidRPr="004F3422" w:rsidRDefault="00DC5E06" w:rsidP="00DC5E06">
      <w:pPr>
        <w:pStyle w:val="Heading1"/>
        <w:ind w:left="431" w:hanging="431"/>
      </w:pPr>
      <w:r w:rsidRPr="004F3422">
        <w:t>Clinical particulars</w:t>
      </w:r>
    </w:p>
    <w:p w14:paraId="2F5576E3" w14:textId="46AC0962" w:rsidR="00DC5E06" w:rsidRPr="004F3422" w:rsidRDefault="00DC5E06" w:rsidP="00DC5E06">
      <w:pPr>
        <w:pStyle w:val="Heading2"/>
        <w:ind w:left="578" w:hanging="578"/>
      </w:pPr>
      <w:r w:rsidRPr="004F3422">
        <w:t xml:space="preserve">Therapeutic indications </w:t>
      </w:r>
    </w:p>
    <w:p w14:paraId="2C9261B5" w14:textId="4E58F8D1" w:rsidR="005732BF" w:rsidRPr="004F3422" w:rsidRDefault="005A741C" w:rsidP="005A741C">
      <w:pPr>
        <w:pStyle w:val="BodyText"/>
      </w:pPr>
      <w:r w:rsidRPr="004F3422">
        <w:t>DAYVIGO is indicated for the treatment of</w:t>
      </w:r>
      <w:r w:rsidR="00737DAA" w:rsidRPr="004F3422">
        <w:t xml:space="preserve"> </w:t>
      </w:r>
      <w:r w:rsidRPr="004F3422">
        <w:t>insomnia, characteri</w:t>
      </w:r>
      <w:r w:rsidR="000557C6">
        <w:t>s</w:t>
      </w:r>
      <w:r w:rsidRPr="004F3422">
        <w:t>ed by difficulties with sleep onset and/or sleep maintenance</w:t>
      </w:r>
      <w:r w:rsidR="00F61214">
        <w:t xml:space="preserve"> </w:t>
      </w:r>
      <w:r w:rsidR="006241A3">
        <w:t>in accordance with</w:t>
      </w:r>
      <w:r w:rsidR="007C06A8">
        <w:t xml:space="preserve"> </w:t>
      </w:r>
      <w:r w:rsidR="00011F1D">
        <w:t xml:space="preserve">latest </w:t>
      </w:r>
      <w:r w:rsidR="00F61214">
        <w:t>DSM criteria</w:t>
      </w:r>
      <w:r w:rsidRPr="004F3422">
        <w:t>.</w:t>
      </w:r>
    </w:p>
    <w:p w14:paraId="628A2446" w14:textId="0058E5B7" w:rsidR="005A741C" w:rsidRPr="004F3422" w:rsidRDefault="005A741C" w:rsidP="005A741C">
      <w:pPr>
        <w:pStyle w:val="BodyText"/>
      </w:pPr>
    </w:p>
    <w:p w14:paraId="6E88711A" w14:textId="333E2004" w:rsidR="00DC5E06" w:rsidRPr="004F3422" w:rsidRDefault="00DC5E06" w:rsidP="00DC5E06">
      <w:pPr>
        <w:pStyle w:val="Heading2"/>
      </w:pPr>
      <w:bookmarkStart w:id="0" w:name="_Ref503529038"/>
      <w:bookmarkStart w:id="1" w:name="_Ref38373297"/>
      <w:r w:rsidRPr="004F3422">
        <w:t>Dose and method of administration</w:t>
      </w:r>
      <w:bookmarkEnd w:id="0"/>
      <w:bookmarkEnd w:id="1"/>
    </w:p>
    <w:p w14:paraId="6F306FAE" w14:textId="1E8A4128" w:rsidR="005A741C" w:rsidRPr="004F3422" w:rsidRDefault="00090376" w:rsidP="005A741C">
      <w:pPr>
        <w:pStyle w:val="BodyText"/>
        <w:rPr>
          <w:rFonts w:eastAsia="MS Mincho"/>
          <w:szCs w:val="24"/>
          <w:lang w:eastAsia="ja-JP"/>
        </w:rPr>
      </w:pPr>
      <w:r>
        <w:rPr>
          <w:rFonts w:eastAsia="MS Mincho"/>
          <w:szCs w:val="24"/>
          <w:lang w:eastAsia="ja-JP"/>
        </w:rPr>
        <w:t xml:space="preserve">The recommended dose of </w:t>
      </w:r>
      <w:r w:rsidR="005A741C" w:rsidRPr="00F866DE">
        <w:rPr>
          <w:rFonts w:eastAsia="MS Mincho"/>
          <w:szCs w:val="24"/>
          <w:lang w:eastAsia="ja-JP"/>
        </w:rPr>
        <w:t>DAYVIGO is 5</w:t>
      </w:r>
      <w:r w:rsidR="005317E4">
        <w:rPr>
          <w:rFonts w:eastAsia="MS Mincho"/>
          <w:szCs w:val="24"/>
          <w:lang w:eastAsia="ja-JP"/>
        </w:rPr>
        <w:t> mg</w:t>
      </w:r>
      <w:r w:rsidR="005A741C" w:rsidRPr="00F866DE">
        <w:rPr>
          <w:rFonts w:eastAsia="MS Mincho"/>
          <w:szCs w:val="24"/>
          <w:lang w:eastAsia="ja-JP"/>
        </w:rPr>
        <w:t>, taken no more than once per night and within a few minutes before going to bed, with at least 7</w:t>
      </w:r>
      <w:r w:rsidR="003B2F8E">
        <w:rPr>
          <w:rFonts w:eastAsia="MS Mincho"/>
          <w:szCs w:val="24"/>
          <w:lang w:eastAsia="ja-JP"/>
        </w:rPr>
        <w:t> </w:t>
      </w:r>
      <w:r w:rsidR="005A741C" w:rsidRPr="00F866DE">
        <w:rPr>
          <w:rFonts w:eastAsia="MS Mincho"/>
          <w:szCs w:val="24"/>
          <w:lang w:eastAsia="ja-JP"/>
        </w:rPr>
        <w:t>hours remaining before the planned time of awakening. If the 5</w:t>
      </w:r>
      <w:r w:rsidR="005317E4">
        <w:rPr>
          <w:rFonts w:eastAsia="MS Mincho"/>
          <w:szCs w:val="24"/>
          <w:lang w:eastAsia="ja-JP"/>
        </w:rPr>
        <w:t> mg</w:t>
      </w:r>
      <w:r w:rsidR="005A741C" w:rsidRPr="00F866DE">
        <w:rPr>
          <w:rFonts w:eastAsia="MS Mincho"/>
          <w:szCs w:val="24"/>
          <w:lang w:eastAsia="ja-JP"/>
        </w:rPr>
        <w:t xml:space="preserve"> dose is well-tolera</w:t>
      </w:r>
      <w:r w:rsidR="005A741C" w:rsidRPr="004F3422">
        <w:rPr>
          <w:rFonts w:eastAsia="MS Mincho"/>
          <w:szCs w:val="24"/>
          <w:lang w:eastAsia="ja-JP"/>
        </w:rPr>
        <w:t>ted but greater effect is needed, the dose can be increased to 10</w:t>
      </w:r>
      <w:r w:rsidR="005317E4">
        <w:rPr>
          <w:rFonts w:eastAsia="MS Mincho"/>
          <w:szCs w:val="24"/>
          <w:lang w:eastAsia="ja-JP"/>
        </w:rPr>
        <w:t> mg</w:t>
      </w:r>
      <w:r w:rsidR="005A741C" w:rsidRPr="004F3422">
        <w:rPr>
          <w:rFonts w:eastAsia="MS Mincho"/>
          <w:szCs w:val="24"/>
          <w:lang w:eastAsia="ja-JP"/>
        </w:rPr>
        <w:t xml:space="preserve"> once daily</w:t>
      </w:r>
      <w:r w:rsidR="00FF4F9C">
        <w:rPr>
          <w:rFonts w:eastAsia="MS Mincho"/>
          <w:szCs w:val="24"/>
          <w:lang w:eastAsia="ja-JP"/>
        </w:rPr>
        <w:t>, the maximum recommended dose</w:t>
      </w:r>
      <w:r w:rsidR="005A741C" w:rsidRPr="004F3422">
        <w:rPr>
          <w:rFonts w:eastAsia="MS Mincho"/>
          <w:szCs w:val="24"/>
          <w:lang w:eastAsia="ja-JP"/>
        </w:rPr>
        <w:t>.</w:t>
      </w:r>
      <w:r w:rsidR="00491F6B">
        <w:rPr>
          <w:rFonts w:eastAsia="MS Mincho"/>
          <w:szCs w:val="24"/>
          <w:lang w:eastAsia="ja-JP"/>
        </w:rPr>
        <w:t xml:space="preserve"> </w:t>
      </w:r>
      <w:r w:rsidR="00FF4F9C" w:rsidRPr="00011F1D">
        <w:rPr>
          <w:rFonts w:eastAsia="MS Mincho"/>
          <w:b/>
          <w:bCs/>
          <w:szCs w:val="24"/>
          <w:lang w:eastAsia="ja-JP"/>
        </w:rPr>
        <w:t>DAYVIGO should be used at the lowest dose and for the shortest duration as clinically indicated.</w:t>
      </w:r>
      <w:r w:rsidR="00FF4F9C">
        <w:rPr>
          <w:rFonts w:eastAsia="MS Mincho"/>
          <w:szCs w:val="24"/>
          <w:lang w:eastAsia="ja-JP"/>
        </w:rPr>
        <w:t xml:space="preserve"> </w:t>
      </w:r>
    </w:p>
    <w:p w14:paraId="7A6022D0" w14:textId="77777777" w:rsidR="005A741C" w:rsidRPr="004F3422" w:rsidRDefault="005A741C" w:rsidP="005A741C">
      <w:pPr>
        <w:pStyle w:val="BodyText"/>
        <w:rPr>
          <w:rFonts w:eastAsia="MS Mincho"/>
          <w:szCs w:val="24"/>
          <w:lang w:eastAsia="ja-JP"/>
        </w:rPr>
      </w:pPr>
    </w:p>
    <w:p w14:paraId="228A2D98" w14:textId="5EB3A2DA" w:rsidR="00B3371A" w:rsidRPr="004D715C" w:rsidRDefault="00B3371A" w:rsidP="004D715C">
      <w:pPr>
        <w:pStyle w:val="BodyText"/>
        <w:rPr>
          <w:rFonts w:eastAsia="MS Mincho"/>
          <w:szCs w:val="24"/>
          <w:lang w:eastAsia="ja-JP"/>
        </w:rPr>
      </w:pPr>
    </w:p>
    <w:p w14:paraId="1852325D" w14:textId="7F08D25C" w:rsidR="005A741C" w:rsidRPr="004F3422" w:rsidRDefault="005A741C" w:rsidP="005A741C">
      <w:pPr>
        <w:pStyle w:val="BodyText"/>
        <w:rPr>
          <w:rFonts w:eastAsia="MS Mincho"/>
          <w:szCs w:val="24"/>
          <w:lang w:eastAsia="ja-JP"/>
        </w:rPr>
      </w:pPr>
      <w:r w:rsidRPr="004F3422">
        <w:rPr>
          <w:rFonts w:eastAsia="MS Mincho"/>
          <w:szCs w:val="24"/>
          <w:lang w:eastAsia="ja-JP"/>
        </w:rPr>
        <w:t xml:space="preserve">Time to sleep onset may be delayed if taken with or soon after a meal (see Section </w:t>
      </w:r>
      <w:r w:rsidRPr="00F866DE">
        <w:rPr>
          <w:rFonts w:eastAsia="MS Mincho"/>
          <w:szCs w:val="24"/>
          <w:lang w:eastAsia="ja-JP"/>
        </w:rPr>
        <w:fldChar w:fldCharType="begin"/>
      </w:r>
      <w:r w:rsidRPr="004F3422">
        <w:rPr>
          <w:rFonts w:eastAsia="MS Mincho"/>
          <w:szCs w:val="24"/>
          <w:lang w:eastAsia="ja-JP"/>
        </w:rPr>
        <w:instrText xml:space="preserve"> REF _Ref2178479 \r \h </w:instrText>
      </w:r>
      <w:r w:rsidRPr="00F866DE">
        <w:rPr>
          <w:rFonts w:eastAsia="MS Mincho"/>
          <w:szCs w:val="24"/>
          <w:lang w:eastAsia="ja-JP"/>
        </w:rPr>
      </w:r>
      <w:r w:rsidRPr="00F866DE">
        <w:rPr>
          <w:rFonts w:eastAsia="MS Mincho"/>
          <w:szCs w:val="24"/>
          <w:lang w:eastAsia="ja-JP"/>
        </w:rPr>
        <w:fldChar w:fldCharType="separate"/>
      </w:r>
      <w:r w:rsidR="003A0FF4">
        <w:rPr>
          <w:rFonts w:eastAsia="MS Mincho"/>
          <w:szCs w:val="24"/>
          <w:lang w:eastAsia="ja-JP"/>
        </w:rPr>
        <w:t>5.2</w:t>
      </w:r>
      <w:r w:rsidRPr="00F866DE">
        <w:rPr>
          <w:rFonts w:eastAsia="MS Mincho"/>
          <w:szCs w:val="24"/>
          <w:lang w:eastAsia="ja-JP"/>
        </w:rPr>
        <w:fldChar w:fldCharType="end"/>
      </w:r>
      <w:r w:rsidRPr="004F3422">
        <w:rPr>
          <w:rFonts w:eastAsia="MS Mincho"/>
          <w:szCs w:val="24"/>
          <w:lang w:eastAsia="ja-JP"/>
        </w:rPr>
        <w:t xml:space="preserve"> </w:t>
      </w:r>
      <w:r w:rsidRPr="00F866DE">
        <w:rPr>
          <w:rFonts w:eastAsia="MS Mincho"/>
          <w:szCs w:val="24"/>
          <w:lang w:eastAsia="ja-JP"/>
        </w:rPr>
        <w:fldChar w:fldCharType="begin"/>
      </w:r>
      <w:r w:rsidRPr="004F3422">
        <w:rPr>
          <w:rFonts w:eastAsia="MS Mincho"/>
          <w:szCs w:val="24"/>
          <w:lang w:eastAsia="ja-JP"/>
        </w:rPr>
        <w:instrText xml:space="preserve"> REF _Ref2178479 \h </w:instrText>
      </w:r>
      <w:r w:rsidRPr="00F866DE">
        <w:rPr>
          <w:rFonts w:eastAsia="MS Mincho"/>
          <w:szCs w:val="24"/>
          <w:lang w:eastAsia="ja-JP"/>
        </w:rPr>
      </w:r>
      <w:r w:rsidRPr="00F866DE">
        <w:rPr>
          <w:rFonts w:eastAsia="MS Mincho"/>
          <w:szCs w:val="24"/>
          <w:lang w:eastAsia="ja-JP"/>
        </w:rPr>
        <w:fldChar w:fldCharType="separate"/>
      </w:r>
      <w:r w:rsidR="003A0FF4" w:rsidRPr="00F866DE">
        <w:t>Pharmacokinetic properties</w:t>
      </w:r>
      <w:r w:rsidRPr="00F866DE">
        <w:rPr>
          <w:rFonts w:eastAsia="MS Mincho"/>
          <w:szCs w:val="24"/>
          <w:lang w:eastAsia="ja-JP"/>
        </w:rPr>
        <w:fldChar w:fldCharType="end"/>
      </w:r>
      <w:r w:rsidRPr="004F3422">
        <w:rPr>
          <w:rFonts w:eastAsia="MS Mincho"/>
          <w:szCs w:val="24"/>
          <w:lang w:eastAsia="ja-JP"/>
        </w:rPr>
        <w:t>).</w:t>
      </w:r>
    </w:p>
    <w:p w14:paraId="12A552CC" w14:textId="77777777" w:rsidR="005A741C" w:rsidRPr="00F866DE" w:rsidRDefault="005A741C" w:rsidP="005A741C">
      <w:pPr>
        <w:pStyle w:val="BodyText"/>
        <w:rPr>
          <w:rFonts w:eastAsia="MS Mincho"/>
          <w:szCs w:val="24"/>
          <w:lang w:eastAsia="ja-JP"/>
        </w:rPr>
      </w:pPr>
    </w:p>
    <w:p w14:paraId="4F0D6E3C" w14:textId="00F26B82" w:rsidR="005858F0" w:rsidRPr="00F866DE" w:rsidRDefault="005A741C" w:rsidP="005A741C">
      <w:pPr>
        <w:pStyle w:val="BodyText"/>
        <w:rPr>
          <w:lang w:eastAsia="ja-JP"/>
        </w:rPr>
      </w:pPr>
      <w:r w:rsidRPr="004F3422">
        <w:rPr>
          <w:rFonts w:eastAsia="MS Mincho"/>
          <w:szCs w:val="24"/>
          <w:lang w:eastAsia="ja-JP"/>
        </w:rPr>
        <w:t xml:space="preserve">Patients should be advised not to consume alcohol in combination with </w:t>
      </w:r>
      <w:r w:rsidR="006A3A08" w:rsidRPr="004F3422">
        <w:rPr>
          <w:rFonts w:eastAsia="MS Mincho"/>
          <w:szCs w:val="24"/>
          <w:lang w:eastAsia="ja-JP"/>
        </w:rPr>
        <w:t>DAYVIGO</w:t>
      </w:r>
      <w:r w:rsidRPr="004F3422">
        <w:rPr>
          <w:rFonts w:eastAsia="MS Mincho"/>
          <w:szCs w:val="24"/>
          <w:lang w:eastAsia="ja-JP"/>
        </w:rPr>
        <w:t xml:space="preserve"> (see </w:t>
      </w:r>
      <w:r w:rsidRPr="00F866DE">
        <w:rPr>
          <w:lang w:eastAsia="ja-JP"/>
        </w:rPr>
        <w:t xml:space="preserve">Section </w:t>
      </w:r>
      <w:r w:rsidRPr="00F866DE">
        <w:rPr>
          <w:lang w:eastAsia="ja-JP"/>
        </w:rPr>
        <w:fldChar w:fldCharType="begin"/>
      </w:r>
      <w:r w:rsidRPr="004F3422">
        <w:rPr>
          <w:lang w:eastAsia="ja-JP"/>
        </w:rPr>
        <w:instrText xml:space="preserve"> REF _Ref503187121 \r \h </w:instrText>
      </w:r>
      <w:r w:rsidRPr="00F866DE">
        <w:rPr>
          <w:lang w:eastAsia="ja-JP"/>
        </w:rPr>
      </w:r>
      <w:r w:rsidRPr="00F866DE">
        <w:rPr>
          <w:lang w:eastAsia="ja-JP"/>
        </w:rPr>
        <w:fldChar w:fldCharType="separate"/>
      </w:r>
      <w:r w:rsidR="003A0FF4">
        <w:rPr>
          <w:lang w:eastAsia="ja-JP"/>
        </w:rPr>
        <w:t>4.5</w:t>
      </w:r>
      <w:r w:rsidRPr="00F866DE">
        <w:rPr>
          <w:lang w:eastAsia="ja-JP"/>
        </w:rPr>
        <w:fldChar w:fldCharType="end"/>
      </w:r>
      <w:r w:rsidRPr="004F3422">
        <w:rPr>
          <w:lang w:eastAsia="ja-JP"/>
        </w:rPr>
        <w:t xml:space="preserve">, </w:t>
      </w:r>
      <w:r w:rsidRPr="00F866DE">
        <w:rPr>
          <w:lang w:eastAsia="ja-JP"/>
        </w:rPr>
        <w:fldChar w:fldCharType="begin"/>
      </w:r>
      <w:r w:rsidRPr="004F3422">
        <w:rPr>
          <w:lang w:eastAsia="ja-JP"/>
        </w:rPr>
        <w:instrText xml:space="preserve"> REF _Ref503187121 \h </w:instrText>
      </w:r>
      <w:r w:rsidRPr="00F866DE">
        <w:rPr>
          <w:lang w:eastAsia="ja-JP"/>
        </w:rPr>
      </w:r>
      <w:r w:rsidRPr="00F866DE">
        <w:rPr>
          <w:lang w:eastAsia="ja-JP"/>
        </w:rPr>
        <w:fldChar w:fldCharType="separate"/>
      </w:r>
      <w:r w:rsidR="003A0FF4" w:rsidRPr="004F3422">
        <w:t>Interactions with other medicines and other forms of interactions</w:t>
      </w:r>
      <w:r w:rsidRPr="00F866DE">
        <w:rPr>
          <w:lang w:eastAsia="ja-JP"/>
        </w:rPr>
        <w:fldChar w:fldCharType="end"/>
      </w:r>
      <w:r w:rsidRPr="004F3422">
        <w:rPr>
          <w:lang w:eastAsia="ja-JP"/>
        </w:rPr>
        <w:t xml:space="preserve">, </w:t>
      </w:r>
      <w:r w:rsidRPr="00F866DE">
        <w:t>Section</w:t>
      </w:r>
      <w:r w:rsidRPr="00F866DE">
        <w:rPr>
          <w:lang w:eastAsia="ja-JP"/>
        </w:rPr>
        <w:t xml:space="preserve"> </w:t>
      </w:r>
      <w:r w:rsidRPr="00F866DE">
        <w:rPr>
          <w:lang w:eastAsia="ja-JP"/>
        </w:rPr>
        <w:fldChar w:fldCharType="begin"/>
      </w:r>
      <w:r w:rsidRPr="004F3422">
        <w:rPr>
          <w:lang w:eastAsia="ja-JP"/>
        </w:rPr>
        <w:instrText xml:space="preserve"> REF _Ref2178479 \r \h </w:instrText>
      </w:r>
      <w:r w:rsidRPr="00F866DE">
        <w:rPr>
          <w:lang w:eastAsia="ja-JP"/>
        </w:rPr>
      </w:r>
      <w:r w:rsidRPr="00F866DE">
        <w:rPr>
          <w:lang w:eastAsia="ja-JP"/>
        </w:rPr>
        <w:fldChar w:fldCharType="separate"/>
      </w:r>
      <w:r w:rsidR="003A0FF4">
        <w:rPr>
          <w:lang w:eastAsia="ja-JP"/>
        </w:rPr>
        <w:t>5.2</w:t>
      </w:r>
      <w:r w:rsidRPr="00F866DE">
        <w:rPr>
          <w:lang w:eastAsia="ja-JP"/>
        </w:rPr>
        <w:fldChar w:fldCharType="end"/>
      </w:r>
      <w:r w:rsidRPr="004F3422">
        <w:rPr>
          <w:lang w:eastAsia="ja-JP"/>
        </w:rPr>
        <w:t xml:space="preserve"> </w:t>
      </w:r>
      <w:r w:rsidRPr="00F866DE">
        <w:rPr>
          <w:lang w:eastAsia="ja-JP"/>
        </w:rPr>
        <w:fldChar w:fldCharType="begin"/>
      </w:r>
      <w:r w:rsidRPr="004F3422">
        <w:rPr>
          <w:lang w:eastAsia="ja-JP"/>
        </w:rPr>
        <w:instrText xml:space="preserve"> REF _Ref2178479 \h </w:instrText>
      </w:r>
      <w:r w:rsidRPr="00F866DE">
        <w:rPr>
          <w:lang w:eastAsia="ja-JP"/>
        </w:rPr>
      </w:r>
      <w:r w:rsidRPr="00F866DE">
        <w:rPr>
          <w:lang w:eastAsia="ja-JP"/>
        </w:rPr>
        <w:fldChar w:fldCharType="separate"/>
      </w:r>
      <w:r w:rsidR="003A0FF4" w:rsidRPr="00F866DE">
        <w:t>Pharmacokinetic properties</w:t>
      </w:r>
      <w:r w:rsidRPr="00F866DE">
        <w:rPr>
          <w:lang w:eastAsia="ja-JP"/>
        </w:rPr>
        <w:fldChar w:fldCharType="end"/>
      </w:r>
      <w:r w:rsidRPr="004F3422">
        <w:rPr>
          <w:lang w:eastAsia="ja-JP"/>
        </w:rPr>
        <w:t>).</w:t>
      </w:r>
    </w:p>
    <w:p w14:paraId="4763F5FD" w14:textId="2ACA2332" w:rsidR="005A741C" w:rsidRPr="00F866DE" w:rsidRDefault="005A741C" w:rsidP="005A741C">
      <w:pPr>
        <w:pStyle w:val="BodyText"/>
        <w:rPr>
          <w:rFonts w:eastAsia="MS Mincho"/>
          <w:szCs w:val="24"/>
          <w:lang w:eastAsia="ja-JP"/>
        </w:rPr>
      </w:pPr>
    </w:p>
    <w:p w14:paraId="2E4B0A5C" w14:textId="3F023627" w:rsidR="005A741C" w:rsidRPr="004F3422" w:rsidRDefault="005A741C" w:rsidP="005A741C">
      <w:pPr>
        <w:pStyle w:val="Heading3"/>
        <w:rPr>
          <w:lang w:eastAsia="ja-JP"/>
        </w:rPr>
      </w:pPr>
      <w:r w:rsidRPr="004F3422">
        <w:rPr>
          <w:lang w:eastAsia="ja-JP"/>
        </w:rPr>
        <w:t>Use with CYP3A Inhibitors</w:t>
      </w:r>
    </w:p>
    <w:p w14:paraId="3FD1B7E4" w14:textId="529C31F8" w:rsidR="0047588E" w:rsidRPr="004F3422" w:rsidRDefault="0047588E" w:rsidP="0047588E">
      <w:pPr>
        <w:pStyle w:val="Heading4"/>
        <w:rPr>
          <w:lang w:eastAsia="ja-JP"/>
        </w:rPr>
      </w:pPr>
      <w:r w:rsidRPr="004F3422">
        <w:rPr>
          <w:lang w:eastAsia="ja-JP"/>
        </w:rPr>
        <w:t>Co-administration with Moderate or Strong CYP3A Inhibitors</w:t>
      </w:r>
    </w:p>
    <w:p w14:paraId="656D75C7" w14:textId="410314B1" w:rsidR="0047588E" w:rsidRPr="004F3422" w:rsidRDefault="005A741C" w:rsidP="005A741C">
      <w:pPr>
        <w:pStyle w:val="BodyText"/>
        <w:rPr>
          <w:rFonts w:eastAsia="MS Mincho"/>
          <w:szCs w:val="24"/>
          <w:lang w:eastAsia="ja-JP"/>
        </w:rPr>
      </w:pPr>
      <w:r w:rsidRPr="004F3422">
        <w:rPr>
          <w:rFonts w:eastAsia="MS Mincho"/>
          <w:szCs w:val="24"/>
          <w:lang w:eastAsia="ja-JP"/>
        </w:rPr>
        <w:t xml:space="preserve">Avoid concomitant use of DAYVIGO with </w:t>
      </w:r>
      <w:r w:rsidR="002D3610" w:rsidRPr="004F3422">
        <w:rPr>
          <w:rFonts w:eastAsia="MS Mincho"/>
          <w:szCs w:val="24"/>
          <w:lang w:eastAsia="ja-JP"/>
        </w:rPr>
        <w:t>moderate or strong</w:t>
      </w:r>
      <w:r w:rsidRPr="004F3422">
        <w:rPr>
          <w:rFonts w:eastAsia="MS Mincho"/>
          <w:szCs w:val="24"/>
          <w:lang w:eastAsia="ja-JP"/>
        </w:rPr>
        <w:t xml:space="preserve"> CYP3A inhibitors (see </w:t>
      </w:r>
      <w:r w:rsidRPr="004F3422">
        <w:rPr>
          <w:lang w:eastAsia="ja-JP"/>
        </w:rPr>
        <w:t xml:space="preserve">Section </w:t>
      </w:r>
      <w:r w:rsidRPr="00F866DE">
        <w:rPr>
          <w:lang w:eastAsia="ja-JP"/>
        </w:rPr>
        <w:fldChar w:fldCharType="begin"/>
      </w:r>
      <w:r w:rsidRPr="004F3422">
        <w:rPr>
          <w:lang w:eastAsia="ja-JP"/>
        </w:rPr>
        <w:instrText xml:space="preserve"> REF _Ref503187121 \r \h </w:instrText>
      </w:r>
      <w:r w:rsidRPr="00F866DE">
        <w:rPr>
          <w:lang w:eastAsia="ja-JP"/>
        </w:rPr>
      </w:r>
      <w:r w:rsidRPr="00F866DE">
        <w:rPr>
          <w:lang w:eastAsia="ja-JP"/>
        </w:rPr>
        <w:fldChar w:fldCharType="separate"/>
      </w:r>
      <w:r w:rsidR="003A0FF4">
        <w:rPr>
          <w:lang w:eastAsia="ja-JP"/>
        </w:rPr>
        <w:t>4.5</w:t>
      </w:r>
      <w:r w:rsidRPr="00F866DE">
        <w:rPr>
          <w:lang w:eastAsia="ja-JP"/>
        </w:rPr>
        <w:fldChar w:fldCharType="end"/>
      </w:r>
      <w:r w:rsidRPr="00F866DE">
        <w:rPr>
          <w:lang w:eastAsia="ja-JP"/>
        </w:rPr>
        <w:t xml:space="preserve"> </w:t>
      </w:r>
      <w:r w:rsidRPr="00F866DE">
        <w:rPr>
          <w:lang w:eastAsia="ja-JP"/>
        </w:rPr>
        <w:fldChar w:fldCharType="begin"/>
      </w:r>
      <w:r w:rsidRPr="004F3422">
        <w:rPr>
          <w:lang w:eastAsia="ja-JP"/>
        </w:rPr>
        <w:instrText xml:space="preserve"> REF _Ref503187121 \h </w:instrText>
      </w:r>
      <w:r w:rsidRPr="00F866DE">
        <w:rPr>
          <w:lang w:eastAsia="ja-JP"/>
        </w:rPr>
      </w:r>
      <w:r w:rsidRPr="00F866DE">
        <w:rPr>
          <w:lang w:eastAsia="ja-JP"/>
        </w:rPr>
        <w:fldChar w:fldCharType="separate"/>
      </w:r>
      <w:r w:rsidR="003A0FF4" w:rsidRPr="004F3422">
        <w:t>Interactions with other medicines and other forms of interactions</w:t>
      </w:r>
      <w:r w:rsidRPr="00F866DE">
        <w:rPr>
          <w:lang w:eastAsia="ja-JP"/>
        </w:rPr>
        <w:fldChar w:fldCharType="end"/>
      </w:r>
      <w:r w:rsidRPr="004F3422">
        <w:rPr>
          <w:lang w:eastAsia="ja-JP"/>
        </w:rPr>
        <w:t xml:space="preserve">, </w:t>
      </w:r>
      <w:r w:rsidRPr="00F866DE">
        <w:t>Section</w:t>
      </w:r>
      <w:r w:rsidRPr="00F866DE">
        <w:rPr>
          <w:lang w:eastAsia="ja-JP"/>
        </w:rPr>
        <w:t xml:space="preserve"> </w:t>
      </w:r>
      <w:r w:rsidRPr="00F866DE">
        <w:rPr>
          <w:lang w:eastAsia="ja-JP"/>
        </w:rPr>
        <w:fldChar w:fldCharType="begin"/>
      </w:r>
      <w:r w:rsidRPr="004F3422">
        <w:rPr>
          <w:lang w:eastAsia="ja-JP"/>
        </w:rPr>
        <w:instrText xml:space="preserve"> REF _Ref2178479 \r \h </w:instrText>
      </w:r>
      <w:r w:rsidRPr="00F866DE">
        <w:rPr>
          <w:lang w:eastAsia="ja-JP"/>
        </w:rPr>
      </w:r>
      <w:r w:rsidRPr="00F866DE">
        <w:rPr>
          <w:lang w:eastAsia="ja-JP"/>
        </w:rPr>
        <w:fldChar w:fldCharType="separate"/>
      </w:r>
      <w:r w:rsidR="003A0FF4">
        <w:rPr>
          <w:lang w:eastAsia="ja-JP"/>
        </w:rPr>
        <w:t>5.2</w:t>
      </w:r>
      <w:r w:rsidRPr="00F866DE">
        <w:rPr>
          <w:lang w:eastAsia="ja-JP"/>
        </w:rPr>
        <w:fldChar w:fldCharType="end"/>
      </w:r>
      <w:r w:rsidRPr="004F3422">
        <w:rPr>
          <w:lang w:eastAsia="ja-JP"/>
        </w:rPr>
        <w:t xml:space="preserve"> </w:t>
      </w:r>
      <w:r w:rsidRPr="00F866DE">
        <w:rPr>
          <w:lang w:eastAsia="ja-JP"/>
        </w:rPr>
        <w:fldChar w:fldCharType="begin"/>
      </w:r>
      <w:r w:rsidRPr="004F3422">
        <w:rPr>
          <w:lang w:eastAsia="ja-JP"/>
        </w:rPr>
        <w:instrText xml:space="preserve"> REF _Ref2178479 \h </w:instrText>
      </w:r>
      <w:r w:rsidRPr="00F866DE">
        <w:rPr>
          <w:lang w:eastAsia="ja-JP"/>
        </w:rPr>
      </w:r>
      <w:r w:rsidRPr="00F866DE">
        <w:rPr>
          <w:lang w:eastAsia="ja-JP"/>
        </w:rPr>
        <w:fldChar w:fldCharType="separate"/>
      </w:r>
      <w:r w:rsidR="003A0FF4" w:rsidRPr="00F866DE">
        <w:t>Pharmacokinetic properties</w:t>
      </w:r>
      <w:r w:rsidRPr="00F866DE">
        <w:rPr>
          <w:lang w:eastAsia="ja-JP"/>
        </w:rPr>
        <w:fldChar w:fldCharType="end"/>
      </w:r>
      <w:r w:rsidRPr="004F3422">
        <w:rPr>
          <w:lang w:eastAsia="ja-JP"/>
        </w:rPr>
        <w:t>)</w:t>
      </w:r>
      <w:r w:rsidRPr="00F866DE">
        <w:rPr>
          <w:rFonts w:eastAsia="MS Mincho"/>
          <w:szCs w:val="24"/>
          <w:lang w:eastAsia="ja-JP"/>
        </w:rPr>
        <w:t>.</w:t>
      </w:r>
    </w:p>
    <w:p w14:paraId="3F826384" w14:textId="18DA929B" w:rsidR="005A741C" w:rsidRPr="004F3422" w:rsidRDefault="005A741C" w:rsidP="00BB13AE">
      <w:pPr>
        <w:pStyle w:val="BodyText"/>
        <w:rPr>
          <w:lang w:eastAsia="ja-JP"/>
        </w:rPr>
      </w:pPr>
    </w:p>
    <w:p w14:paraId="067BB600" w14:textId="1ABFD011" w:rsidR="0047588E" w:rsidRPr="004F3422" w:rsidRDefault="0047588E" w:rsidP="003862D9">
      <w:pPr>
        <w:pStyle w:val="Heading4"/>
        <w:rPr>
          <w:lang w:eastAsia="ja-JP"/>
        </w:rPr>
      </w:pPr>
      <w:r w:rsidRPr="00F866DE">
        <w:rPr>
          <w:lang w:eastAsia="ja-JP"/>
        </w:rPr>
        <w:t xml:space="preserve">Co-administration with </w:t>
      </w:r>
      <w:r w:rsidRPr="00BB13AE">
        <w:t>Weak</w:t>
      </w:r>
      <w:r w:rsidRPr="004F3422">
        <w:rPr>
          <w:lang w:eastAsia="ja-JP"/>
        </w:rPr>
        <w:t xml:space="preserve"> CYP3A Inhibitors</w:t>
      </w:r>
    </w:p>
    <w:p w14:paraId="63A3BA13" w14:textId="3EB21BAF" w:rsidR="005A741C" w:rsidRPr="00F866DE" w:rsidRDefault="005A741C" w:rsidP="005A741C">
      <w:pPr>
        <w:pStyle w:val="BodyText"/>
        <w:rPr>
          <w:rFonts w:eastAsia="MS Mincho"/>
          <w:szCs w:val="24"/>
          <w:lang w:eastAsia="ja-JP"/>
        </w:rPr>
      </w:pPr>
      <w:r w:rsidRPr="004F3422">
        <w:rPr>
          <w:rFonts w:eastAsia="MS Mincho"/>
          <w:szCs w:val="24"/>
          <w:lang w:eastAsia="ja-JP"/>
        </w:rPr>
        <w:t>The maximum recommended dose of DAYVIGO is 5</w:t>
      </w:r>
      <w:r w:rsidR="005317E4">
        <w:rPr>
          <w:rFonts w:eastAsia="MS Mincho"/>
          <w:szCs w:val="24"/>
          <w:lang w:eastAsia="ja-JP"/>
        </w:rPr>
        <w:t> mg</w:t>
      </w:r>
      <w:r w:rsidRPr="004F3422">
        <w:rPr>
          <w:rFonts w:eastAsia="MS Mincho"/>
          <w:szCs w:val="24"/>
          <w:lang w:eastAsia="ja-JP"/>
        </w:rPr>
        <w:t xml:space="preserve"> when co</w:t>
      </w:r>
      <w:r w:rsidRPr="004F3422">
        <w:rPr>
          <w:rFonts w:eastAsia="MS Mincho"/>
          <w:szCs w:val="24"/>
          <w:lang w:eastAsia="ja-JP"/>
        </w:rPr>
        <w:noBreakHyphen/>
        <w:t xml:space="preserve">administered with weak CYP3A inhibitors (see </w:t>
      </w:r>
      <w:r w:rsidRPr="004F3422">
        <w:rPr>
          <w:lang w:eastAsia="ja-JP"/>
        </w:rPr>
        <w:t xml:space="preserve">Section </w:t>
      </w:r>
      <w:r w:rsidRPr="00F866DE">
        <w:rPr>
          <w:lang w:eastAsia="ja-JP"/>
        </w:rPr>
        <w:fldChar w:fldCharType="begin"/>
      </w:r>
      <w:r w:rsidRPr="004F3422">
        <w:rPr>
          <w:lang w:eastAsia="ja-JP"/>
        </w:rPr>
        <w:instrText xml:space="preserve"> REF _Ref503187121 \r \h </w:instrText>
      </w:r>
      <w:r w:rsidRPr="00F866DE">
        <w:rPr>
          <w:lang w:eastAsia="ja-JP"/>
        </w:rPr>
      </w:r>
      <w:r w:rsidRPr="00F866DE">
        <w:rPr>
          <w:lang w:eastAsia="ja-JP"/>
        </w:rPr>
        <w:fldChar w:fldCharType="separate"/>
      </w:r>
      <w:r w:rsidR="003A0FF4">
        <w:rPr>
          <w:lang w:eastAsia="ja-JP"/>
        </w:rPr>
        <w:t>4.5</w:t>
      </w:r>
      <w:r w:rsidRPr="00F866DE">
        <w:rPr>
          <w:lang w:eastAsia="ja-JP"/>
        </w:rPr>
        <w:fldChar w:fldCharType="end"/>
      </w:r>
      <w:r w:rsidRPr="00F866DE">
        <w:rPr>
          <w:lang w:eastAsia="ja-JP"/>
        </w:rPr>
        <w:t xml:space="preserve"> </w:t>
      </w:r>
      <w:r w:rsidRPr="00F866DE">
        <w:rPr>
          <w:lang w:eastAsia="ja-JP"/>
        </w:rPr>
        <w:fldChar w:fldCharType="begin"/>
      </w:r>
      <w:r w:rsidRPr="004F3422">
        <w:rPr>
          <w:lang w:eastAsia="ja-JP"/>
        </w:rPr>
        <w:instrText xml:space="preserve"> REF _Ref503187121 \h </w:instrText>
      </w:r>
      <w:r w:rsidRPr="00F866DE">
        <w:rPr>
          <w:lang w:eastAsia="ja-JP"/>
        </w:rPr>
      </w:r>
      <w:r w:rsidRPr="00F866DE">
        <w:rPr>
          <w:lang w:eastAsia="ja-JP"/>
        </w:rPr>
        <w:fldChar w:fldCharType="separate"/>
      </w:r>
      <w:r w:rsidR="003A0FF4" w:rsidRPr="004F3422">
        <w:t>Interactions with other medicines and other forms of interactions</w:t>
      </w:r>
      <w:r w:rsidRPr="00F866DE">
        <w:rPr>
          <w:lang w:eastAsia="ja-JP"/>
        </w:rPr>
        <w:fldChar w:fldCharType="end"/>
      </w:r>
      <w:r w:rsidRPr="004F3422">
        <w:rPr>
          <w:lang w:eastAsia="ja-JP"/>
        </w:rPr>
        <w:t xml:space="preserve">, </w:t>
      </w:r>
      <w:r w:rsidRPr="00F866DE">
        <w:t>Section</w:t>
      </w:r>
      <w:r w:rsidRPr="00F866DE">
        <w:rPr>
          <w:lang w:eastAsia="ja-JP"/>
        </w:rPr>
        <w:t xml:space="preserve"> </w:t>
      </w:r>
      <w:r w:rsidRPr="00F866DE">
        <w:rPr>
          <w:lang w:eastAsia="ja-JP"/>
        </w:rPr>
        <w:fldChar w:fldCharType="begin"/>
      </w:r>
      <w:r w:rsidRPr="004F3422">
        <w:rPr>
          <w:lang w:eastAsia="ja-JP"/>
        </w:rPr>
        <w:instrText xml:space="preserve"> REF _Ref2178479 \r \h </w:instrText>
      </w:r>
      <w:r w:rsidRPr="00F866DE">
        <w:rPr>
          <w:lang w:eastAsia="ja-JP"/>
        </w:rPr>
      </w:r>
      <w:r w:rsidRPr="00F866DE">
        <w:rPr>
          <w:lang w:eastAsia="ja-JP"/>
        </w:rPr>
        <w:fldChar w:fldCharType="separate"/>
      </w:r>
      <w:r w:rsidR="003A0FF4">
        <w:rPr>
          <w:lang w:eastAsia="ja-JP"/>
        </w:rPr>
        <w:t>5.2</w:t>
      </w:r>
      <w:r w:rsidRPr="00F866DE">
        <w:rPr>
          <w:lang w:eastAsia="ja-JP"/>
        </w:rPr>
        <w:fldChar w:fldCharType="end"/>
      </w:r>
      <w:r w:rsidRPr="004F3422">
        <w:rPr>
          <w:lang w:eastAsia="ja-JP"/>
        </w:rPr>
        <w:t xml:space="preserve"> </w:t>
      </w:r>
      <w:r w:rsidRPr="00F866DE">
        <w:rPr>
          <w:lang w:eastAsia="ja-JP"/>
        </w:rPr>
        <w:fldChar w:fldCharType="begin"/>
      </w:r>
      <w:r w:rsidRPr="004F3422">
        <w:rPr>
          <w:lang w:eastAsia="ja-JP"/>
        </w:rPr>
        <w:instrText xml:space="preserve"> REF _Ref2178479 \h </w:instrText>
      </w:r>
      <w:r w:rsidRPr="00F866DE">
        <w:rPr>
          <w:lang w:eastAsia="ja-JP"/>
        </w:rPr>
      </w:r>
      <w:r w:rsidRPr="00F866DE">
        <w:rPr>
          <w:lang w:eastAsia="ja-JP"/>
        </w:rPr>
        <w:fldChar w:fldCharType="separate"/>
      </w:r>
      <w:r w:rsidR="003A0FF4" w:rsidRPr="00F866DE">
        <w:t>Pharmacokinetic properties</w:t>
      </w:r>
      <w:r w:rsidRPr="00F866DE">
        <w:rPr>
          <w:lang w:eastAsia="ja-JP"/>
        </w:rPr>
        <w:fldChar w:fldCharType="end"/>
      </w:r>
      <w:r w:rsidRPr="004F3422">
        <w:rPr>
          <w:lang w:eastAsia="ja-JP"/>
        </w:rPr>
        <w:t>)</w:t>
      </w:r>
      <w:r w:rsidRPr="00F866DE">
        <w:rPr>
          <w:rFonts w:eastAsia="MS Mincho"/>
          <w:szCs w:val="24"/>
          <w:lang w:eastAsia="ja-JP"/>
        </w:rPr>
        <w:t>.</w:t>
      </w:r>
    </w:p>
    <w:p w14:paraId="54E2924C" w14:textId="77777777" w:rsidR="005A741C" w:rsidRPr="00F866DE" w:rsidRDefault="005A741C" w:rsidP="005A741C">
      <w:pPr>
        <w:pStyle w:val="BodyText"/>
        <w:rPr>
          <w:rFonts w:eastAsia="MS Mincho"/>
          <w:szCs w:val="24"/>
          <w:lang w:eastAsia="ja-JP"/>
        </w:rPr>
      </w:pPr>
    </w:p>
    <w:p w14:paraId="1B26498A" w14:textId="60FEC836" w:rsidR="005A741C" w:rsidRPr="00F866DE" w:rsidRDefault="005A741C" w:rsidP="005A741C">
      <w:pPr>
        <w:pStyle w:val="Heading3"/>
        <w:rPr>
          <w:lang w:eastAsia="ja-JP"/>
        </w:rPr>
      </w:pPr>
      <w:r w:rsidRPr="00F866DE">
        <w:rPr>
          <w:lang w:eastAsia="ja-JP"/>
        </w:rPr>
        <w:t>Use with CYP3A Inducer</w:t>
      </w:r>
      <w:r w:rsidR="002D3610" w:rsidRPr="004F3422">
        <w:rPr>
          <w:lang w:eastAsia="ja-JP"/>
        </w:rPr>
        <w:t>s</w:t>
      </w:r>
    </w:p>
    <w:p w14:paraId="2953AF0A" w14:textId="4E4D4B84" w:rsidR="0047588E" w:rsidRPr="004F3422" w:rsidRDefault="0047588E" w:rsidP="0047588E">
      <w:pPr>
        <w:pStyle w:val="Heading4"/>
        <w:rPr>
          <w:lang w:eastAsia="ja-JP"/>
        </w:rPr>
      </w:pPr>
      <w:r w:rsidRPr="00F866DE">
        <w:rPr>
          <w:lang w:eastAsia="ja-JP"/>
        </w:rPr>
        <w:t>Co-administration with Moderate or Str</w:t>
      </w:r>
      <w:r w:rsidRPr="004F3422">
        <w:rPr>
          <w:lang w:eastAsia="ja-JP"/>
        </w:rPr>
        <w:t>ong CYP3A Inducers</w:t>
      </w:r>
    </w:p>
    <w:p w14:paraId="7BD9C164" w14:textId="0DE0B335" w:rsidR="005A741C" w:rsidRPr="00F866DE" w:rsidRDefault="005A741C" w:rsidP="005A741C">
      <w:pPr>
        <w:pStyle w:val="BodyText"/>
        <w:rPr>
          <w:rFonts w:eastAsia="MS Mincho"/>
          <w:szCs w:val="24"/>
          <w:lang w:eastAsia="ja-JP"/>
        </w:rPr>
      </w:pPr>
      <w:r w:rsidRPr="004F3422">
        <w:rPr>
          <w:rFonts w:eastAsia="MS Mincho"/>
          <w:szCs w:val="24"/>
          <w:lang w:eastAsia="ja-JP"/>
        </w:rPr>
        <w:t xml:space="preserve">Avoid concomitant use of DAYVIGO with </w:t>
      </w:r>
      <w:r w:rsidR="002D3610" w:rsidRPr="004F3422">
        <w:rPr>
          <w:rFonts w:eastAsia="MS Mincho"/>
          <w:szCs w:val="24"/>
          <w:lang w:eastAsia="ja-JP"/>
        </w:rPr>
        <w:t>moderate or strong</w:t>
      </w:r>
      <w:r w:rsidRPr="004F3422">
        <w:rPr>
          <w:rFonts w:eastAsia="MS Mincho"/>
          <w:szCs w:val="24"/>
          <w:lang w:eastAsia="ja-JP"/>
        </w:rPr>
        <w:t xml:space="preserve"> CYP3A inducers (see </w:t>
      </w:r>
      <w:r w:rsidRPr="004F3422">
        <w:rPr>
          <w:lang w:eastAsia="ja-JP"/>
        </w:rPr>
        <w:t xml:space="preserve">Section </w:t>
      </w:r>
      <w:r w:rsidRPr="00F866DE">
        <w:rPr>
          <w:lang w:eastAsia="ja-JP"/>
        </w:rPr>
        <w:fldChar w:fldCharType="begin"/>
      </w:r>
      <w:r w:rsidRPr="004F3422">
        <w:rPr>
          <w:lang w:eastAsia="ja-JP"/>
        </w:rPr>
        <w:instrText xml:space="preserve"> REF _Ref503187121 \r \h </w:instrText>
      </w:r>
      <w:r w:rsidRPr="00F866DE">
        <w:rPr>
          <w:lang w:eastAsia="ja-JP"/>
        </w:rPr>
      </w:r>
      <w:r w:rsidRPr="00F866DE">
        <w:rPr>
          <w:lang w:eastAsia="ja-JP"/>
        </w:rPr>
        <w:fldChar w:fldCharType="separate"/>
      </w:r>
      <w:r w:rsidR="003A0FF4">
        <w:rPr>
          <w:lang w:eastAsia="ja-JP"/>
        </w:rPr>
        <w:t>4.5</w:t>
      </w:r>
      <w:r w:rsidRPr="00F866DE">
        <w:rPr>
          <w:lang w:eastAsia="ja-JP"/>
        </w:rPr>
        <w:fldChar w:fldCharType="end"/>
      </w:r>
      <w:r w:rsidRPr="00F866DE">
        <w:rPr>
          <w:lang w:eastAsia="ja-JP"/>
        </w:rPr>
        <w:t xml:space="preserve"> </w:t>
      </w:r>
      <w:r w:rsidRPr="00F866DE">
        <w:rPr>
          <w:lang w:eastAsia="ja-JP"/>
        </w:rPr>
        <w:fldChar w:fldCharType="begin"/>
      </w:r>
      <w:r w:rsidRPr="004F3422">
        <w:rPr>
          <w:lang w:eastAsia="ja-JP"/>
        </w:rPr>
        <w:instrText xml:space="preserve"> REF _Ref503187121 \h </w:instrText>
      </w:r>
      <w:r w:rsidRPr="00F866DE">
        <w:rPr>
          <w:lang w:eastAsia="ja-JP"/>
        </w:rPr>
      </w:r>
      <w:r w:rsidRPr="00F866DE">
        <w:rPr>
          <w:lang w:eastAsia="ja-JP"/>
        </w:rPr>
        <w:fldChar w:fldCharType="separate"/>
      </w:r>
      <w:r w:rsidR="003A0FF4" w:rsidRPr="004F3422">
        <w:t>Interactions with other medicines and other forms of interactions</w:t>
      </w:r>
      <w:r w:rsidRPr="00F866DE">
        <w:rPr>
          <w:lang w:eastAsia="ja-JP"/>
        </w:rPr>
        <w:fldChar w:fldCharType="end"/>
      </w:r>
      <w:r w:rsidRPr="004F3422">
        <w:rPr>
          <w:lang w:eastAsia="ja-JP"/>
        </w:rPr>
        <w:t xml:space="preserve">, </w:t>
      </w:r>
      <w:r w:rsidRPr="00F866DE">
        <w:t>Section</w:t>
      </w:r>
      <w:r w:rsidRPr="00F866DE">
        <w:rPr>
          <w:lang w:eastAsia="ja-JP"/>
        </w:rPr>
        <w:t xml:space="preserve"> </w:t>
      </w:r>
      <w:r w:rsidRPr="00F866DE">
        <w:rPr>
          <w:lang w:eastAsia="ja-JP"/>
        </w:rPr>
        <w:fldChar w:fldCharType="begin"/>
      </w:r>
      <w:r w:rsidRPr="004F3422">
        <w:rPr>
          <w:lang w:eastAsia="ja-JP"/>
        </w:rPr>
        <w:instrText xml:space="preserve"> REF _Ref2178479 \r \h </w:instrText>
      </w:r>
      <w:r w:rsidRPr="00F866DE">
        <w:rPr>
          <w:lang w:eastAsia="ja-JP"/>
        </w:rPr>
      </w:r>
      <w:r w:rsidRPr="00F866DE">
        <w:rPr>
          <w:lang w:eastAsia="ja-JP"/>
        </w:rPr>
        <w:fldChar w:fldCharType="separate"/>
      </w:r>
      <w:r w:rsidR="003A0FF4">
        <w:rPr>
          <w:lang w:eastAsia="ja-JP"/>
        </w:rPr>
        <w:t>5.2</w:t>
      </w:r>
      <w:r w:rsidRPr="00F866DE">
        <w:rPr>
          <w:lang w:eastAsia="ja-JP"/>
        </w:rPr>
        <w:fldChar w:fldCharType="end"/>
      </w:r>
      <w:r w:rsidRPr="004F3422">
        <w:rPr>
          <w:lang w:eastAsia="ja-JP"/>
        </w:rPr>
        <w:t xml:space="preserve"> </w:t>
      </w:r>
      <w:r w:rsidRPr="00F866DE">
        <w:rPr>
          <w:lang w:eastAsia="ja-JP"/>
        </w:rPr>
        <w:fldChar w:fldCharType="begin"/>
      </w:r>
      <w:r w:rsidRPr="004F3422">
        <w:rPr>
          <w:lang w:eastAsia="ja-JP"/>
        </w:rPr>
        <w:instrText xml:space="preserve"> REF _Ref2178479 \h </w:instrText>
      </w:r>
      <w:r w:rsidRPr="00F866DE">
        <w:rPr>
          <w:lang w:eastAsia="ja-JP"/>
        </w:rPr>
      </w:r>
      <w:r w:rsidRPr="00F866DE">
        <w:rPr>
          <w:lang w:eastAsia="ja-JP"/>
        </w:rPr>
        <w:fldChar w:fldCharType="separate"/>
      </w:r>
      <w:r w:rsidR="003A0FF4" w:rsidRPr="00F866DE">
        <w:t>Pharmacokinetic properties</w:t>
      </w:r>
      <w:r w:rsidRPr="00F866DE">
        <w:rPr>
          <w:lang w:eastAsia="ja-JP"/>
        </w:rPr>
        <w:fldChar w:fldCharType="end"/>
      </w:r>
      <w:r w:rsidRPr="004F3422">
        <w:rPr>
          <w:lang w:eastAsia="ja-JP"/>
        </w:rPr>
        <w:t>)</w:t>
      </w:r>
      <w:r w:rsidRPr="00F866DE">
        <w:rPr>
          <w:rFonts w:eastAsia="MS Mincho"/>
          <w:szCs w:val="24"/>
          <w:lang w:eastAsia="ja-JP"/>
        </w:rPr>
        <w:t>.</w:t>
      </w:r>
    </w:p>
    <w:p w14:paraId="7AE1A19F" w14:textId="3896AAB0" w:rsidR="005A741C" w:rsidRPr="00F866DE" w:rsidRDefault="005A741C" w:rsidP="005A741C">
      <w:pPr>
        <w:pStyle w:val="BodyText"/>
        <w:rPr>
          <w:rFonts w:eastAsia="MS Mincho"/>
          <w:szCs w:val="24"/>
          <w:lang w:eastAsia="ja-JP"/>
        </w:rPr>
      </w:pPr>
    </w:p>
    <w:p w14:paraId="59A71A90" w14:textId="77777777" w:rsidR="00B12BB8" w:rsidRPr="004F3422" w:rsidRDefault="00B12BB8" w:rsidP="005858F0">
      <w:pPr>
        <w:pStyle w:val="Heading3"/>
        <w:rPr>
          <w:lang w:eastAsia="ja-JP"/>
        </w:rPr>
      </w:pPr>
      <w:r w:rsidRPr="00F866DE">
        <w:rPr>
          <w:lang w:eastAsia="ja-JP"/>
        </w:rPr>
        <w:t>Special Populations</w:t>
      </w:r>
    </w:p>
    <w:p w14:paraId="514AC611" w14:textId="1D5F22B0" w:rsidR="005858F0" w:rsidRPr="004F3422" w:rsidRDefault="001B7C0D" w:rsidP="00B12BB8">
      <w:pPr>
        <w:pStyle w:val="Heading4"/>
        <w:rPr>
          <w:lang w:eastAsia="ja-JP"/>
        </w:rPr>
      </w:pPr>
      <w:bookmarkStart w:id="2" w:name="_Ref38374091"/>
      <w:r w:rsidRPr="00F866DE">
        <w:rPr>
          <w:lang w:eastAsia="ja-JP"/>
        </w:rPr>
        <w:t>Patients with r</w:t>
      </w:r>
      <w:r w:rsidR="005858F0" w:rsidRPr="004F3422">
        <w:rPr>
          <w:lang w:eastAsia="ja-JP"/>
        </w:rPr>
        <w:t>enal impairment</w:t>
      </w:r>
      <w:bookmarkEnd w:id="2"/>
    </w:p>
    <w:p w14:paraId="3C9D64F3" w14:textId="4BE19BA5" w:rsidR="005858F0" w:rsidRPr="00F866DE" w:rsidRDefault="005A741C" w:rsidP="005858F0">
      <w:pPr>
        <w:pStyle w:val="BodyText"/>
      </w:pPr>
      <w:r w:rsidRPr="004F3422">
        <w:rPr>
          <w:rFonts w:cs="Times New Roman"/>
          <w:szCs w:val="24"/>
        </w:rPr>
        <w:t>No dose adjustment is required in patients with</w:t>
      </w:r>
      <w:r w:rsidR="002D3610" w:rsidRPr="004F3422">
        <w:rPr>
          <w:rFonts w:cs="Times New Roman"/>
          <w:szCs w:val="24"/>
        </w:rPr>
        <w:t xml:space="preserve"> mild, moderate, or severe</w:t>
      </w:r>
      <w:r w:rsidRPr="004F3422">
        <w:rPr>
          <w:rFonts w:cs="Times New Roman"/>
          <w:szCs w:val="24"/>
        </w:rPr>
        <w:t xml:space="preserve"> renal impairment </w:t>
      </w:r>
      <w:r w:rsidRPr="004F3422">
        <w:rPr>
          <w:rFonts w:eastAsia="MS Mincho"/>
          <w:szCs w:val="24"/>
          <w:lang w:eastAsia="ja-JP"/>
        </w:rPr>
        <w:t xml:space="preserve">(see Section </w:t>
      </w:r>
      <w:r w:rsidRPr="00F866DE">
        <w:rPr>
          <w:rFonts w:eastAsia="MS Mincho"/>
          <w:szCs w:val="24"/>
          <w:lang w:eastAsia="ja-JP"/>
        </w:rPr>
        <w:fldChar w:fldCharType="begin"/>
      </w:r>
      <w:r w:rsidRPr="004F3422">
        <w:rPr>
          <w:rFonts w:eastAsia="MS Mincho"/>
          <w:szCs w:val="24"/>
          <w:lang w:eastAsia="ja-JP"/>
        </w:rPr>
        <w:instrText xml:space="preserve"> REF _Ref2178479 \r \h </w:instrText>
      </w:r>
      <w:r w:rsidRPr="00F866DE">
        <w:rPr>
          <w:rFonts w:eastAsia="MS Mincho"/>
          <w:szCs w:val="24"/>
          <w:lang w:eastAsia="ja-JP"/>
        </w:rPr>
      </w:r>
      <w:r w:rsidRPr="00F866DE">
        <w:rPr>
          <w:rFonts w:eastAsia="MS Mincho"/>
          <w:szCs w:val="24"/>
          <w:lang w:eastAsia="ja-JP"/>
        </w:rPr>
        <w:fldChar w:fldCharType="separate"/>
      </w:r>
      <w:r w:rsidR="003A0FF4">
        <w:rPr>
          <w:rFonts w:eastAsia="MS Mincho"/>
          <w:szCs w:val="24"/>
          <w:lang w:eastAsia="ja-JP"/>
        </w:rPr>
        <w:t>5.2</w:t>
      </w:r>
      <w:r w:rsidRPr="00F866DE">
        <w:rPr>
          <w:rFonts w:eastAsia="MS Mincho"/>
          <w:szCs w:val="24"/>
          <w:lang w:eastAsia="ja-JP"/>
        </w:rPr>
        <w:fldChar w:fldCharType="end"/>
      </w:r>
      <w:r w:rsidRPr="004F3422">
        <w:rPr>
          <w:rFonts w:eastAsia="MS Mincho"/>
          <w:szCs w:val="24"/>
          <w:lang w:eastAsia="ja-JP"/>
        </w:rPr>
        <w:t xml:space="preserve"> </w:t>
      </w:r>
      <w:r w:rsidRPr="00F866DE">
        <w:rPr>
          <w:rFonts w:eastAsia="MS Mincho"/>
          <w:szCs w:val="24"/>
          <w:lang w:eastAsia="ja-JP"/>
        </w:rPr>
        <w:fldChar w:fldCharType="begin"/>
      </w:r>
      <w:r w:rsidRPr="004F3422">
        <w:rPr>
          <w:rFonts w:eastAsia="MS Mincho"/>
          <w:szCs w:val="24"/>
          <w:lang w:eastAsia="ja-JP"/>
        </w:rPr>
        <w:instrText xml:space="preserve"> REF _Ref2178479 \h </w:instrText>
      </w:r>
      <w:r w:rsidRPr="00F866DE">
        <w:rPr>
          <w:rFonts w:eastAsia="MS Mincho"/>
          <w:szCs w:val="24"/>
          <w:lang w:eastAsia="ja-JP"/>
        </w:rPr>
      </w:r>
      <w:r w:rsidRPr="00F866DE">
        <w:rPr>
          <w:rFonts w:eastAsia="MS Mincho"/>
          <w:szCs w:val="24"/>
          <w:lang w:eastAsia="ja-JP"/>
        </w:rPr>
        <w:fldChar w:fldCharType="separate"/>
      </w:r>
      <w:r w:rsidR="003A0FF4" w:rsidRPr="00F866DE">
        <w:t>Pharmacokinetic properties</w:t>
      </w:r>
      <w:r w:rsidRPr="00F866DE">
        <w:rPr>
          <w:rFonts w:eastAsia="MS Mincho"/>
          <w:szCs w:val="24"/>
          <w:lang w:eastAsia="ja-JP"/>
        </w:rPr>
        <w:fldChar w:fldCharType="end"/>
      </w:r>
      <w:r w:rsidRPr="004F3422">
        <w:rPr>
          <w:rFonts w:eastAsia="MS Mincho"/>
          <w:szCs w:val="24"/>
          <w:lang w:eastAsia="ja-JP"/>
        </w:rPr>
        <w:t>).</w:t>
      </w:r>
    </w:p>
    <w:p w14:paraId="5DAFB6D5" w14:textId="77777777" w:rsidR="005858F0" w:rsidRPr="00F866DE" w:rsidRDefault="005858F0" w:rsidP="005858F0">
      <w:pPr>
        <w:pStyle w:val="BodyText"/>
      </w:pPr>
    </w:p>
    <w:p w14:paraId="7D3691E5" w14:textId="77777777" w:rsidR="005858F0" w:rsidRPr="004F3422" w:rsidRDefault="005858F0" w:rsidP="00B12BB8">
      <w:pPr>
        <w:pStyle w:val="Heading4"/>
      </w:pPr>
      <w:bookmarkStart w:id="3" w:name="_Ref38373803"/>
      <w:r w:rsidRPr="004F3422">
        <w:t>Patients with hepatic impairment</w:t>
      </w:r>
      <w:bookmarkEnd w:id="3"/>
      <w:r w:rsidRPr="004F3422">
        <w:t xml:space="preserve"> </w:t>
      </w:r>
    </w:p>
    <w:p w14:paraId="3187F34E" w14:textId="51DCD740" w:rsidR="005858F0" w:rsidRPr="00F866DE" w:rsidRDefault="001B7C0D" w:rsidP="001B7C0D">
      <w:pPr>
        <w:pStyle w:val="BodyText"/>
      </w:pPr>
      <w:r w:rsidRPr="004F3422">
        <w:t>No dose adjustment is required in patients with mild hepatic impairment.</w:t>
      </w:r>
      <w:r w:rsidR="008E5AEA">
        <w:t xml:space="preserve"> The</w:t>
      </w:r>
      <w:r w:rsidR="002D3610" w:rsidRPr="004F3422">
        <w:t xml:space="preserve"> maximum recommended dose of DAYVIGO</w:t>
      </w:r>
      <w:r w:rsidR="008E5AEA">
        <w:t xml:space="preserve"> is</w:t>
      </w:r>
      <w:r w:rsidR="002D3610" w:rsidRPr="004F3422">
        <w:t xml:space="preserve"> 5</w:t>
      </w:r>
      <w:r w:rsidR="005317E4">
        <w:t> mg</w:t>
      </w:r>
      <w:r w:rsidR="002D3610" w:rsidRPr="004F3422">
        <w:t xml:space="preserve"> in patients with moderate hepatic impairment.</w:t>
      </w:r>
      <w:r w:rsidRPr="00F866DE">
        <w:t xml:space="preserve"> </w:t>
      </w:r>
      <w:r w:rsidR="002D3610" w:rsidRPr="00F866DE">
        <w:t xml:space="preserve">DAYVIGO is not recommended in patients with severe hepatic impairment </w:t>
      </w:r>
      <w:r w:rsidRPr="004F3422">
        <w:rPr>
          <w:rFonts w:eastAsia="MS Mincho"/>
          <w:szCs w:val="24"/>
          <w:lang w:eastAsia="ja-JP"/>
        </w:rPr>
        <w:t xml:space="preserve">(see Section </w:t>
      </w:r>
      <w:r w:rsidRPr="00F866DE">
        <w:rPr>
          <w:rFonts w:eastAsia="MS Mincho"/>
          <w:szCs w:val="24"/>
          <w:lang w:eastAsia="ja-JP"/>
        </w:rPr>
        <w:fldChar w:fldCharType="begin"/>
      </w:r>
      <w:r w:rsidRPr="004F3422">
        <w:rPr>
          <w:rFonts w:eastAsia="MS Mincho"/>
          <w:szCs w:val="24"/>
          <w:lang w:eastAsia="ja-JP"/>
        </w:rPr>
        <w:instrText xml:space="preserve"> REF _Ref2178479 \r \h </w:instrText>
      </w:r>
      <w:r w:rsidRPr="00F866DE">
        <w:rPr>
          <w:rFonts w:eastAsia="MS Mincho"/>
          <w:szCs w:val="24"/>
          <w:lang w:eastAsia="ja-JP"/>
        </w:rPr>
      </w:r>
      <w:r w:rsidRPr="00F866DE">
        <w:rPr>
          <w:rFonts w:eastAsia="MS Mincho"/>
          <w:szCs w:val="24"/>
          <w:lang w:eastAsia="ja-JP"/>
        </w:rPr>
        <w:fldChar w:fldCharType="separate"/>
      </w:r>
      <w:r w:rsidR="003A0FF4">
        <w:rPr>
          <w:rFonts w:eastAsia="MS Mincho"/>
          <w:szCs w:val="24"/>
          <w:lang w:eastAsia="ja-JP"/>
        </w:rPr>
        <w:t>5.2</w:t>
      </w:r>
      <w:r w:rsidRPr="00F866DE">
        <w:rPr>
          <w:rFonts w:eastAsia="MS Mincho"/>
          <w:szCs w:val="24"/>
          <w:lang w:eastAsia="ja-JP"/>
        </w:rPr>
        <w:fldChar w:fldCharType="end"/>
      </w:r>
      <w:r w:rsidRPr="004F3422">
        <w:rPr>
          <w:rFonts w:eastAsia="MS Mincho"/>
          <w:szCs w:val="24"/>
          <w:lang w:eastAsia="ja-JP"/>
        </w:rPr>
        <w:t xml:space="preserve"> </w:t>
      </w:r>
      <w:r w:rsidRPr="00F866DE">
        <w:rPr>
          <w:rFonts w:eastAsia="MS Mincho"/>
          <w:szCs w:val="24"/>
          <w:lang w:eastAsia="ja-JP"/>
        </w:rPr>
        <w:fldChar w:fldCharType="begin"/>
      </w:r>
      <w:r w:rsidRPr="004F3422">
        <w:rPr>
          <w:rFonts w:eastAsia="MS Mincho"/>
          <w:szCs w:val="24"/>
          <w:lang w:eastAsia="ja-JP"/>
        </w:rPr>
        <w:instrText xml:space="preserve"> REF _Ref2178479 \h </w:instrText>
      </w:r>
      <w:r w:rsidRPr="00F866DE">
        <w:rPr>
          <w:rFonts w:eastAsia="MS Mincho"/>
          <w:szCs w:val="24"/>
          <w:lang w:eastAsia="ja-JP"/>
        </w:rPr>
      </w:r>
      <w:r w:rsidRPr="00F866DE">
        <w:rPr>
          <w:rFonts w:eastAsia="MS Mincho"/>
          <w:szCs w:val="24"/>
          <w:lang w:eastAsia="ja-JP"/>
        </w:rPr>
        <w:fldChar w:fldCharType="separate"/>
      </w:r>
      <w:r w:rsidR="003A0FF4" w:rsidRPr="00F866DE">
        <w:t>Pharmacokinetic properties</w:t>
      </w:r>
      <w:r w:rsidRPr="00F866DE">
        <w:rPr>
          <w:rFonts w:eastAsia="MS Mincho"/>
          <w:szCs w:val="24"/>
          <w:lang w:eastAsia="ja-JP"/>
        </w:rPr>
        <w:fldChar w:fldCharType="end"/>
      </w:r>
      <w:r w:rsidRPr="004F3422">
        <w:rPr>
          <w:rFonts w:eastAsia="MS Mincho"/>
          <w:szCs w:val="24"/>
          <w:lang w:eastAsia="ja-JP"/>
        </w:rPr>
        <w:t>).</w:t>
      </w:r>
    </w:p>
    <w:p w14:paraId="377ED64B" w14:textId="77777777" w:rsidR="005858F0" w:rsidRPr="00F866DE" w:rsidRDefault="005858F0" w:rsidP="005858F0">
      <w:pPr>
        <w:pStyle w:val="BodyText"/>
      </w:pPr>
    </w:p>
    <w:p w14:paraId="478DCD94" w14:textId="77777777" w:rsidR="005858F0" w:rsidRPr="004F3422" w:rsidRDefault="005858F0" w:rsidP="00B12BB8">
      <w:pPr>
        <w:pStyle w:val="Heading4"/>
      </w:pPr>
      <w:r w:rsidRPr="004F3422">
        <w:lastRenderedPageBreak/>
        <w:t>Elderly patients</w:t>
      </w:r>
    </w:p>
    <w:p w14:paraId="7BFB2773" w14:textId="203A8174" w:rsidR="005858F0" w:rsidRPr="00F866DE" w:rsidRDefault="001B7C0D" w:rsidP="001B7C0D">
      <w:pPr>
        <w:pStyle w:val="BodyText"/>
        <w:rPr>
          <w:lang w:eastAsia="en-AU"/>
        </w:rPr>
      </w:pPr>
      <w:r w:rsidRPr="004F3422">
        <w:rPr>
          <w:lang w:eastAsia="en-AU"/>
        </w:rPr>
        <w:t>There were no clinically meaningful differences in safety or effectiveness observed between elderly patients (≥65</w:t>
      </w:r>
      <w:r w:rsidR="003B2F8E">
        <w:rPr>
          <w:lang w:eastAsia="en-AU"/>
        </w:rPr>
        <w:t> </w:t>
      </w:r>
      <w:r w:rsidRPr="004F3422">
        <w:rPr>
          <w:lang w:eastAsia="en-AU"/>
        </w:rPr>
        <w:t xml:space="preserve">years) and adult patients at the recommended doses </w:t>
      </w:r>
      <w:r w:rsidRPr="004F3422">
        <w:rPr>
          <w:rFonts w:eastAsia="MS Mincho"/>
          <w:szCs w:val="24"/>
          <w:lang w:eastAsia="ja-JP"/>
        </w:rPr>
        <w:t xml:space="preserve">(see Section </w:t>
      </w:r>
      <w:r w:rsidRPr="00F866DE">
        <w:rPr>
          <w:rFonts w:eastAsia="MS Mincho"/>
          <w:szCs w:val="24"/>
          <w:lang w:eastAsia="ja-JP"/>
        </w:rPr>
        <w:fldChar w:fldCharType="begin"/>
      </w:r>
      <w:r w:rsidRPr="004F3422">
        <w:rPr>
          <w:rFonts w:eastAsia="MS Mincho"/>
          <w:szCs w:val="24"/>
          <w:lang w:eastAsia="ja-JP"/>
        </w:rPr>
        <w:instrText xml:space="preserve"> REF _Ref2178479 \r \h </w:instrText>
      </w:r>
      <w:r w:rsidRPr="00F866DE">
        <w:rPr>
          <w:rFonts w:eastAsia="MS Mincho"/>
          <w:szCs w:val="24"/>
          <w:lang w:eastAsia="ja-JP"/>
        </w:rPr>
      </w:r>
      <w:r w:rsidRPr="00F866DE">
        <w:rPr>
          <w:rFonts w:eastAsia="MS Mincho"/>
          <w:szCs w:val="24"/>
          <w:lang w:eastAsia="ja-JP"/>
        </w:rPr>
        <w:fldChar w:fldCharType="separate"/>
      </w:r>
      <w:r w:rsidR="003A0FF4">
        <w:rPr>
          <w:rFonts w:eastAsia="MS Mincho"/>
          <w:szCs w:val="24"/>
          <w:lang w:eastAsia="ja-JP"/>
        </w:rPr>
        <w:t>5.2</w:t>
      </w:r>
      <w:r w:rsidRPr="00F866DE">
        <w:rPr>
          <w:rFonts w:eastAsia="MS Mincho"/>
          <w:szCs w:val="24"/>
          <w:lang w:eastAsia="ja-JP"/>
        </w:rPr>
        <w:fldChar w:fldCharType="end"/>
      </w:r>
      <w:r w:rsidRPr="004F3422">
        <w:rPr>
          <w:rFonts w:eastAsia="MS Mincho"/>
          <w:szCs w:val="24"/>
          <w:lang w:eastAsia="ja-JP"/>
        </w:rPr>
        <w:t xml:space="preserve"> </w:t>
      </w:r>
      <w:r w:rsidRPr="00F866DE">
        <w:rPr>
          <w:rFonts w:eastAsia="MS Mincho"/>
          <w:szCs w:val="24"/>
          <w:lang w:eastAsia="ja-JP"/>
        </w:rPr>
        <w:fldChar w:fldCharType="begin"/>
      </w:r>
      <w:r w:rsidRPr="004F3422">
        <w:rPr>
          <w:rFonts w:eastAsia="MS Mincho"/>
          <w:szCs w:val="24"/>
          <w:lang w:eastAsia="ja-JP"/>
        </w:rPr>
        <w:instrText xml:space="preserve"> REF _Ref2178479 \h </w:instrText>
      </w:r>
      <w:r w:rsidRPr="00F866DE">
        <w:rPr>
          <w:rFonts w:eastAsia="MS Mincho"/>
          <w:szCs w:val="24"/>
          <w:lang w:eastAsia="ja-JP"/>
        </w:rPr>
      </w:r>
      <w:r w:rsidRPr="00F866DE">
        <w:rPr>
          <w:rFonts w:eastAsia="MS Mincho"/>
          <w:szCs w:val="24"/>
          <w:lang w:eastAsia="ja-JP"/>
        </w:rPr>
        <w:fldChar w:fldCharType="separate"/>
      </w:r>
      <w:r w:rsidR="003A0FF4" w:rsidRPr="00F866DE">
        <w:t>Pharmacokinetic properties</w:t>
      </w:r>
      <w:r w:rsidRPr="00F866DE">
        <w:rPr>
          <w:rFonts w:eastAsia="MS Mincho"/>
          <w:szCs w:val="24"/>
          <w:lang w:eastAsia="ja-JP"/>
        </w:rPr>
        <w:fldChar w:fldCharType="end"/>
      </w:r>
      <w:r w:rsidRPr="004F3422">
        <w:rPr>
          <w:rFonts w:eastAsia="MS Mincho"/>
          <w:szCs w:val="24"/>
          <w:lang w:eastAsia="ja-JP"/>
        </w:rPr>
        <w:t xml:space="preserve">). </w:t>
      </w:r>
      <w:r w:rsidRPr="00F866DE">
        <w:rPr>
          <w:lang w:eastAsia="en-AU"/>
        </w:rPr>
        <w:t xml:space="preserve">No dose adjustment is required in </w:t>
      </w:r>
      <w:r w:rsidR="004650DD">
        <w:rPr>
          <w:lang w:eastAsia="en-AU"/>
        </w:rPr>
        <w:t>elderly</w:t>
      </w:r>
      <w:r w:rsidRPr="00F866DE">
        <w:rPr>
          <w:lang w:eastAsia="en-AU"/>
        </w:rPr>
        <w:t xml:space="preserve"> patients.</w:t>
      </w:r>
    </w:p>
    <w:p w14:paraId="6D256FBE" w14:textId="77777777" w:rsidR="005858F0" w:rsidRPr="004F3422" w:rsidRDefault="005858F0" w:rsidP="00B12BB8">
      <w:pPr>
        <w:pStyle w:val="Heading4"/>
      </w:pPr>
      <w:r w:rsidRPr="004F3422">
        <w:t xml:space="preserve">Paediatric patients </w:t>
      </w:r>
    </w:p>
    <w:p w14:paraId="176E5455" w14:textId="7F84F263" w:rsidR="005858F0" w:rsidRPr="00F866DE" w:rsidRDefault="001B7C0D" w:rsidP="001B7C0D">
      <w:pPr>
        <w:pStyle w:val="BodyText"/>
        <w:rPr>
          <w:rFonts w:eastAsia="MS Mincho"/>
          <w:szCs w:val="24"/>
          <w:lang w:eastAsia="ja-JP"/>
        </w:rPr>
      </w:pPr>
      <w:r w:rsidRPr="00F866DE">
        <w:t>Safety and effectiveness of DAYVIGO have not been established in paed</w:t>
      </w:r>
      <w:r w:rsidRPr="004F3422">
        <w:t>iatric patients (below 18</w:t>
      </w:r>
      <w:r w:rsidR="003B2F8E">
        <w:t> </w:t>
      </w:r>
      <w:r w:rsidRPr="004F3422">
        <w:t xml:space="preserve">years of age). DAYVIGO is not recommended in paediatric patients </w:t>
      </w:r>
      <w:r w:rsidRPr="004F3422">
        <w:rPr>
          <w:rFonts w:eastAsia="MS Mincho"/>
          <w:szCs w:val="24"/>
          <w:lang w:eastAsia="ja-JP"/>
        </w:rPr>
        <w:t xml:space="preserve">(see Section </w:t>
      </w:r>
      <w:r w:rsidRPr="00F866DE">
        <w:rPr>
          <w:rFonts w:eastAsia="MS Mincho"/>
          <w:szCs w:val="24"/>
          <w:lang w:eastAsia="ja-JP"/>
        </w:rPr>
        <w:fldChar w:fldCharType="begin"/>
      </w:r>
      <w:r w:rsidRPr="004F3422">
        <w:rPr>
          <w:rFonts w:eastAsia="MS Mincho"/>
          <w:szCs w:val="24"/>
          <w:lang w:eastAsia="ja-JP"/>
        </w:rPr>
        <w:instrText xml:space="preserve"> REF _Ref2178479 \r \h </w:instrText>
      </w:r>
      <w:r w:rsidRPr="00F866DE">
        <w:rPr>
          <w:rFonts w:eastAsia="MS Mincho"/>
          <w:szCs w:val="24"/>
          <w:lang w:eastAsia="ja-JP"/>
        </w:rPr>
      </w:r>
      <w:r w:rsidRPr="00F866DE">
        <w:rPr>
          <w:rFonts w:eastAsia="MS Mincho"/>
          <w:szCs w:val="24"/>
          <w:lang w:eastAsia="ja-JP"/>
        </w:rPr>
        <w:fldChar w:fldCharType="separate"/>
      </w:r>
      <w:r w:rsidR="003A0FF4">
        <w:rPr>
          <w:rFonts w:eastAsia="MS Mincho"/>
          <w:szCs w:val="24"/>
          <w:lang w:eastAsia="ja-JP"/>
        </w:rPr>
        <w:t>5.2</w:t>
      </w:r>
      <w:r w:rsidRPr="00F866DE">
        <w:rPr>
          <w:rFonts w:eastAsia="MS Mincho"/>
          <w:szCs w:val="24"/>
          <w:lang w:eastAsia="ja-JP"/>
        </w:rPr>
        <w:fldChar w:fldCharType="end"/>
      </w:r>
      <w:r w:rsidRPr="004F3422">
        <w:rPr>
          <w:rFonts w:eastAsia="MS Mincho"/>
          <w:szCs w:val="24"/>
          <w:lang w:eastAsia="ja-JP"/>
        </w:rPr>
        <w:t xml:space="preserve"> </w:t>
      </w:r>
      <w:r w:rsidRPr="00F866DE">
        <w:rPr>
          <w:rFonts w:eastAsia="MS Mincho"/>
          <w:szCs w:val="24"/>
          <w:lang w:eastAsia="ja-JP"/>
        </w:rPr>
        <w:fldChar w:fldCharType="begin"/>
      </w:r>
      <w:r w:rsidRPr="004F3422">
        <w:rPr>
          <w:rFonts w:eastAsia="MS Mincho"/>
          <w:szCs w:val="24"/>
          <w:lang w:eastAsia="ja-JP"/>
        </w:rPr>
        <w:instrText xml:space="preserve"> REF _Ref2178479 \h </w:instrText>
      </w:r>
      <w:r w:rsidRPr="00F866DE">
        <w:rPr>
          <w:rFonts w:eastAsia="MS Mincho"/>
          <w:szCs w:val="24"/>
          <w:lang w:eastAsia="ja-JP"/>
        </w:rPr>
      </w:r>
      <w:r w:rsidRPr="00F866DE">
        <w:rPr>
          <w:rFonts w:eastAsia="MS Mincho"/>
          <w:szCs w:val="24"/>
          <w:lang w:eastAsia="ja-JP"/>
        </w:rPr>
        <w:fldChar w:fldCharType="separate"/>
      </w:r>
      <w:r w:rsidR="003A0FF4" w:rsidRPr="00F866DE">
        <w:t>Pharmacokinetic properties</w:t>
      </w:r>
      <w:r w:rsidRPr="00F866DE">
        <w:rPr>
          <w:rFonts w:eastAsia="MS Mincho"/>
          <w:szCs w:val="24"/>
          <w:lang w:eastAsia="ja-JP"/>
        </w:rPr>
        <w:fldChar w:fldCharType="end"/>
      </w:r>
      <w:r w:rsidRPr="004F3422">
        <w:rPr>
          <w:rFonts w:eastAsia="MS Mincho"/>
          <w:szCs w:val="24"/>
          <w:lang w:eastAsia="ja-JP"/>
        </w:rPr>
        <w:t>).</w:t>
      </w:r>
    </w:p>
    <w:p w14:paraId="45F6E948" w14:textId="271AD5D1" w:rsidR="001B7C0D" w:rsidRPr="004F3422" w:rsidRDefault="002043C0" w:rsidP="002043C0">
      <w:pPr>
        <w:pStyle w:val="Heading4"/>
      </w:pPr>
      <w:r w:rsidRPr="00F866DE">
        <w:t>Patients with compromised r</w:t>
      </w:r>
      <w:r w:rsidR="001B7C0D" w:rsidRPr="004F3422">
        <w:t xml:space="preserve">espiratory </w:t>
      </w:r>
      <w:r w:rsidRPr="004F3422">
        <w:t>fu</w:t>
      </w:r>
      <w:r w:rsidR="001B7C0D" w:rsidRPr="004F3422">
        <w:t>nction</w:t>
      </w:r>
    </w:p>
    <w:p w14:paraId="744F00EC" w14:textId="5AAAE21C" w:rsidR="001B7C0D" w:rsidRPr="004F3422" w:rsidRDefault="00974AA8" w:rsidP="001B7C0D">
      <w:pPr>
        <w:pStyle w:val="BodyText"/>
      </w:pPr>
      <w:r w:rsidRPr="00A43335">
        <w:t>Effects of DAYVIGO on respiratory function should be considered if prescribed to patients with compromised respiratory function.</w:t>
      </w:r>
      <w:r w:rsidRPr="004F3422">
        <w:t xml:space="preserve"> </w:t>
      </w:r>
      <w:r w:rsidR="001B7C0D" w:rsidRPr="004F3422">
        <w:t xml:space="preserve">In a study of patients with mild obstructive sleep apnoea (apnoea-hypopnoea index </w:t>
      </w:r>
      <w:r w:rsidR="000F6B0C">
        <w:t xml:space="preserve">&gt;5 and </w:t>
      </w:r>
      <w:r w:rsidR="001B7C0D" w:rsidRPr="004F3422">
        <w:t>&lt;15</w:t>
      </w:r>
      <w:r w:rsidR="005317E4">
        <w:t> </w:t>
      </w:r>
      <w:r w:rsidR="001B7C0D" w:rsidRPr="004F3422">
        <w:t>events per hour of sleep)</w:t>
      </w:r>
      <w:r w:rsidR="006B697D" w:rsidRPr="004F3422">
        <w:t>,</w:t>
      </w:r>
      <w:r w:rsidR="001B7C0D" w:rsidRPr="004F3422">
        <w:t xml:space="preserve"> DAYVIGO did not increase the frequency of apnoeic events or cause oxygen desaturation. DAYVIGO has not been studied in patients with</w:t>
      </w:r>
      <w:r w:rsidR="006B697D" w:rsidRPr="004F3422">
        <w:t xml:space="preserve"> </w:t>
      </w:r>
      <w:r w:rsidR="004650DD">
        <w:t xml:space="preserve">chronic obstructive pulmonary disease </w:t>
      </w:r>
      <w:r w:rsidR="006B697D" w:rsidRPr="004F3422">
        <w:t>or</w:t>
      </w:r>
      <w:r w:rsidR="001B7C0D" w:rsidRPr="004F3422">
        <w:t xml:space="preserve"> moderate to severe </w:t>
      </w:r>
      <w:r w:rsidR="006B697D" w:rsidRPr="004F3422">
        <w:t xml:space="preserve">obstructive </w:t>
      </w:r>
      <w:r w:rsidR="001B7C0D" w:rsidRPr="004F3422">
        <w:t>sleep apnoea.</w:t>
      </w:r>
    </w:p>
    <w:p w14:paraId="1526832D" w14:textId="77777777" w:rsidR="001B7C0D" w:rsidRPr="004F3422" w:rsidRDefault="001B7C0D" w:rsidP="001B7C0D">
      <w:pPr>
        <w:pStyle w:val="BodyText"/>
      </w:pPr>
    </w:p>
    <w:p w14:paraId="47AD1C3B" w14:textId="6B647354" w:rsidR="005858F0" w:rsidRPr="004F3422" w:rsidRDefault="002043C0" w:rsidP="005858F0">
      <w:pPr>
        <w:pStyle w:val="Heading3"/>
      </w:pPr>
      <w:r w:rsidRPr="004F3422">
        <w:t xml:space="preserve">Method of </w:t>
      </w:r>
      <w:r w:rsidR="00EA2088">
        <w:t>A</w:t>
      </w:r>
      <w:r w:rsidR="00EA2088" w:rsidRPr="004F3422">
        <w:t>dministration</w:t>
      </w:r>
    </w:p>
    <w:p w14:paraId="5720DE19" w14:textId="69CE87A2" w:rsidR="005858F0" w:rsidRPr="004F3422" w:rsidRDefault="001B7C0D" w:rsidP="005858F0">
      <w:pPr>
        <w:pStyle w:val="BodyText"/>
      </w:pPr>
      <w:r w:rsidRPr="00F866DE">
        <w:t>DAYVIGO is for oral use only</w:t>
      </w:r>
      <w:r w:rsidR="005858F0" w:rsidRPr="004F3422">
        <w:t>.</w:t>
      </w:r>
    </w:p>
    <w:p w14:paraId="33364DA2" w14:textId="77777777" w:rsidR="003862D9" w:rsidRPr="004F3422" w:rsidRDefault="003862D9" w:rsidP="005858F0">
      <w:pPr>
        <w:pStyle w:val="BodyText"/>
        <w:rPr>
          <w:lang w:eastAsia="en-AU"/>
        </w:rPr>
      </w:pPr>
    </w:p>
    <w:p w14:paraId="32488787" w14:textId="565F277B" w:rsidR="005732BF" w:rsidRPr="00F866DE" w:rsidRDefault="00737DAA" w:rsidP="005732BF">
      <w:pPr>
        <w:pStyle w:val="BodyText"/>
      </w:pPr>
      <w:r w:rsidRPr="004F3422">
        <w:rPr>
          <w:rFonts w:eastAsia="MS Mincho"/>
          <w:szCs w:val="24"/>
          <w:lang w:eastAsia="ja-JP"/>
        </w:rPr>
        <w:t>Time to sleep onset may be delayed if taken with or soon after a meal</w:t>
      </w:r>
      <w:r w:rsidR="00D44E66" w:rsidRPr="00F866DE">
        <w:t>.</w:t>
      </w:r>
    </w:p>
    <w:p w14:paraId="432F80B8" w14:textId="77777777" w:rsidR="003862D9" w:rsidRPr="004F3422" w:rsidRDefault="003862D9" w:rsidP="005732BF">
      <w:pPr>
        <w:pStyle w:val="BodyText"/>
      </w:pPr>
    </w:p>
    <w:p w14:paraId="2866DA77" w14:textId="6BAB4011" w:rsidR="0064422E" w:rsidRPr="004F3422" w:rsidRDefault="00032264" w:rsidP="00032264">
      <w:pPr>
        <w:pStyle w:val="Heading2"/>
      </w:pPr>
      <w:r w:rsidRPr="004F3422">
        <w:t>Contraindications</w:t>
      </w:r>
    </w:p>
    <w:p w14:paraId="04C4585D" w14:textId="3566500D" w:rsidR="001B7C0D" w:rsidRPr="004F3422" w:rsidRDefault="001B7C0D" w:rsidP="0015665E">
      <w:pPr>
        <w:pStyle w:val="BodyText"/>
      </w:pPr>
      <w:r w:rsidRPr="004F3422">
        <w:t>DAYVIGO</w:t>
      </w:r>
      <w:r w:rsidR="00737DAA" w:rsidRPr="004F3422">
        <w:t>, like other orexin receptor antagonists,</w:t>
      </w:r>
      <w:r w:rsidRPr="004F3422">
        <w:t xml:space="preserve"> is contraindicated in patients with narcolepsy.</w:t>
      </w:r>
    </w:p>
    <w:p w14:paraId="3119DE83" w14:textId="77777777" w:rsidR="006660FD" w:rsidRPr="00F866DE" w:rsidRDefault="006660FD" w:rsidP="0015665E">
      <w:pPr>
        <w:pStyle w:val="BodyText"/>
      </w:pPr>
    </w:p>
    <w:p w14:paraId="23C5B3A7" w14:textId="4F782E43" w:rsidR="0015665E" w:rsidRPr="004F3422" w:rsidRDefault="0015665E" w:rsidP="0015665E">
      <w:pPr>
        <w:pStyle w:val="BodyText"/>
      </w:pPr>
      <w:r w:rsidRPr="00F866DE">
        <w:t xml:space="preserve">Hypersensitivity to the active substance or to any of the excipients (see Section </w:t>
      </w:r>
      <w:r w:rsidRPr="00F866DE">
        <w:fldChar w:fldCharType="begin"/>
      </w:r>
      <w:r w:rsidRPr="004F3422">
        <w:instrText xml:space="preserve"> REF _Ref503187308 \r \h </w:instrText>
      </w:r>
      <w:r w:rsidRPr="00F866DE">
        <w:fldChar w:fldCharType="separate"/>
      </w:r>
      <w:r w:rsidR="003A0FF4">
        <w:t>6.1</w:t>
      </w:r>
      <w:r w:rsidRPr="00F866DE">
        <w:fldChar w:fldCharType="end"/>
      </w:r>
      <w:r w:rsidR="003862D9" w:rsidRPr="004F3422">
        <w:t xml:space="preserve"> </w:t>
      </w:r>
      <w:r w:rsidR="003862D9" w:rsidRPr="00F866DE">
        <w:fldChar w:fldCharType="begin"/>
      </w:r>
      <w:r w:rsidR="003862D9" w:rsidRPr="004F3422">
        <w:instrText xml:space="preserve"> REF _Ref38373395 \h </w:instrText>
      </w:r>
      <w:r w:rsidR="003862D9" w:rsidRPr="00F866DE">
        <w:fldChar w:fldCharType="separate"/>
      </w:r>
      <w:r w:rsidR="003A0FF4" w:rsidRPr="00F866DE">
        <w:t>List of excipients</w:t>
      </w:r>
      <w:r w:rsidR="003862D9" w:rsidRPr="00F866DE">
        <w:fldChar w:fldCharType="end"/>
      </w:r>
      <w:r w:rsidRPr="004F3422">
        <w:t>).</w:t>
      </w:r>
    </w:p>
    <w:p w14:paraId="7C096A45" w14:textId="77777777" w:rsidR="005732BF" w:rsidRPr="004F3422" w:rsidRDefault="005732BF" w:rsidP="0015665E">
      <w:pPr>
        <w:pStyle w:val="BodyText"/>
      </w:pPr>
    </w:p>
    <w:p w14:paraId="6BB2839C" w14:textId="77777777" w:rsidR="00032264" w:rsidRPr="004F3422" w:rsidRDefault="00032264" w:rsidP="00032264">
      <w:pPr>
        <w:pStyle w:val="Heading2"/>
        <w:ind w:left="578" w:hanging="578"/>
      </w:pPr>
      <w:bookmarkStart w:id="4" w:name="_Ref503187146"/>
      <w:r w:rsidRPr="00F866DE">
        <w:t>Special warnings and precautions for use</w:t>
      </w:r>
      <w:bookmarkEnd w:id="4"/>
    </w:p>
    <w:p w14:paraId="7BF3DE9B" w14:textId="58EE8312" w:rsidR="001B7C0D" w:rsidRPr="004F3422" w:rsidRDefault="00790787" w:rsidP="001B7C0D">
      <w:pPr>
        <w:pStyle w:val="Heading3"/>
        <w:rPr>
          <w:lang w:eastAsia="en-AU"/>
        </w:rPr>
      </w:pPr>
      <w:r>
        <w:rPr>
          <w:lang w:eastAsia="en-AU"/>
        </w:rPr>
        <w:t>CNS</w:t>
      </w:r>
      <w:r w:rsidR="00CF44BE">
        <w:rPr>
          <w:lang w:eastAsia="en-AU"/>
        </w:rPr>
        <w:t xml:space="preserve"> Depressant Effects and </w:t>
      </w:r>
      <w:r w:rsidR="001B7C0D" w:rsidRPr="004F3422">
        <w:rPr>
          <w:lang w:eastAsia="en-AU"/>
        </w:rPr>
        <w:t>Daytime Impairment</w:t>
      </w:r>
    </w:p>
    <w:p w14:paraId="6F3B9B87" w14:textId="32E66DF7" w:rsidR="001B58E5" w:rsidRPr="00BB13AE" w:rsidRDefault="001B58E5" w:rsidP="001B58E5">
      <w:pPr>
        <w:pStyle w:val="BodyText"/>
        <w:rPr>
          <w:lang w:eastAsia="en-AU"/>
        </w:rPr>
      </w:pPr>
      <w:r w:rsidRPr="00BB13AE">
        <w:rPr>
          <w:lang w:eastAsia="en-AU"/>
        </w:rPr>
        <w:t>DAYVIGO</w:t>
      </w:r>
      <w:r w:rsidR="003862D9" w:rsidRPr="00BB13AE">
        <w:rPr>
          <w:lang w:eastAsia="en-AU"/>
        </w:rPr>
        <w:t>,</w:t>
      </w:r>
      <w:r w:rsidRPr="00BB13AE">
        <w:rPr>
          <w:lang w:eastAsia="en-AU"/>
        </w:rPr>
        <w:t xml:space="preserve"> like other sleep-promoting drugs, may impair daytime wakefulness even when used as prescribed. Prescribers should advise patients about the potential for next-day somnolence. The risk of daytime impairment is increased if DAYVIGO is taken with less than a full night of sleep remaining, or if a higher than</w:t>
      </w:r>
      <w:r w:rsidR="00E51A13" w:rsidRPr="00BB13AE">
        <w:rPr>
          <w:lang w:eastAsia="en-AU"/>
        </w:rPr>
        <w:t xml:space="preserve"> the recommended dose is taken (</w:t>
      </w:r>
      <w:r w:rsidR="002A2911" w:rsidRPr="00BB13AE">
        <w:rPr>
          <w:lang w:eastAsia="en-AU"/>
        </w:rPr>
        <w:t xml:space="preserve">see Section </w:t>
      </w:r>
      <w:r w:rsidR="003862D9" w:rsidRPr="00BB13AE">
        <w:rPr>
          <w:lang w:eastAsia="en-AU"/>
        </w:rPr>
        <w:fldChar w:fldCharType="begin"/>
      </w:r>
      <w:r w:rsidR="003862D9" w:rsidRPr="00BB13AE">
        <w:rPr>
          <w:lang w:eastAsia="en-AU"/>
        </w:rPr>
        <w:instrText xml:space="preserve"> REF _Ref38373297 \r \h </w:instrText>
      </w:r>
      <w:r w:rsidR="003862D9" w:rsidRPr="00BB13AE">
        <w:rPr>
          <w:lang w:eastAsia="en-AU"/>
        </w:rPr>
      </w:r>
      <w:r w:rsidR="003862D9" w:rsidRPr="00BB13AE">
        <w:rPr>
          <w:lang w:eastAsia="en-AU"/>
        </w:rPr>
        <w:fldChar w:fldCharType="separate"/>
      </w:r>
      <w:r w:rsidR="003A0FF4">
        <w:rPr>
          <w:lang w:eastAsia="en-AU"/>
        </w:rPr>
        <w:t>4.2</w:t>
      </w:r>
      <w:r w:rsidR="003862D9" w:rsidRPr="00BB13AE">
        <w:rPr>
          <w:lang w:eastAsia="en-AU"/>
        </w:rPr>
        <w:fldChar w:fldCharType="end"/>
      </w:r>
      <w:r w:rsidR="002A2911" w:rsidRPr="00BB13AE">
        <w:rPr>
          <w:lang w:eastAsia="en-AU"/>
        </w:rPr>
        <w:t xml:space="preserve"> </w:t>
      </w:r>
      <w:r w:rsidR="003862D9" w:rsidRPr="00BB13AE">
        <w:rPr>
          <w:lang w:eastAsia="en-AU"/>
        </w:rPr>
        <w:fldChar w:fldCharType="begin"/>
      </w:r>
      <w:r w:rsidR="003862D9" w:rsidRPr="00BB13AE">
        <w:rPr>
          <w:lang w:eastAsia="en-AU"/>
        </w:rPr>
        <w:instrText xml:space="preserve"> REF _Ref38373297 \h </w:instrText>
      </w:r>
      <w:r w:rsidR="003862D9" w:rsidRPr="00BB13AE">
        <w:rPr>
          <w:lang w:eastAsia="en-AU"/>
        </w:rPr>
      </w:r>
      <w:r w:rsidR="003862D9" w:rsidRPr="00BB13AE">
        <w:rPr>
          <w:lang w:eastAsia="en-AU"/>
        </w:rPr>
        <w:fldChar w:fldCharType="separate"/>
      </w:r>
      <w:r w:rsidR="003A0FF4" w:rsidRPr="004F3422">
        <w:t>Dose and method of administration</w:t>
      </w:r>
      <w:r w:rsidR="003862D9" w:rsidRPr="00BB13AE">
        <w:rPr>
          <w:lang w:eastAsia="en-AU"/>
        </w:rPr>
        <w:fldChar w:fldCharType="end"/>
      </w:r>
      <w:r w:rsidR="00E51A13" w:rsidRPr="00BB13AE">
        <w:rPr>
          <w:lang w:eastAsia="en-AU"/>
        </w:rPr>
        <w:t>)</w:t>
      </w:r>
      <w:r w:rsidRPr="00BB13AE">
        <w:rPr>
          <w:i/>
          <w:lang w:eastAsia="en-AU"/>
        </w:rPr>
        <w:t>.</w:t>
      </w:r>
      <w:r w:rsidRPr="00BB13AE">
        <w:rPr>
          <w:vertAlign w:val="superscript"/>
          <w:lang w:eastAsia="en-AU"/>
        </w:rPr>
        <w:t xml:space="preserve"> </w:t>
      </w:r>
      <w:r w:rsidRPr="00BB13AE">
        <w:rPr>
          <w:lang w:eastAsia="en-AU"/>
        </w:rPr>
        <w:t>The use of DAYVIGO with other drugs to treat insomnia is not recommended.</w:t>
      </w:r>
    </w:p>
    <w:p w14:paraId="520F536D" w14:textId="296E717C" w:rsidR="00A43D61" w:rsidRDefault="00A43D61" w:rsidP="001B7C0D">
      <w:pPr>
        <w:pStyle w:val="BodyText"/>
        <w:rPr>
          <w:lang w:eastAsia="en-AU"/>
        </w:rPr>
      </w:pPr>
    </w:p>
    <w:p w14:paraId="0D046436" w14:textId="742A2078" w:rsidR="005059F4" w:rsidRPr="004F3422" w:rsidRDefault="005059F4" w:rsidP="001B7C0D">
      <w:pPr>
        <w:pStyle w:val="BodyText"/>
      </w:pPr>
      <w:r w:rsidRPr="00B54C0E">
        <w:lastRenderedPageBreak/>
        <w:t>Co-administration with other CNS depressants (e.g., benzodiazepines, opioids, tricyclic antidepressants, alcohol) increases the risk of CNS depression, which can cause daytime impairment. Dosage adjustments of DAYVIGO and of concomitant CNS depressants may be necessary when administered together because of potentially additive effects.</w:t>
      </w:r>
      <w:r w:rsidR="00784E26">
        <w:t xml:space="preserve"> </w:t>
      </w:r>
      <w:r w:rsidR="00D673ED" w:rsidRPr="00CD02DC">
        <w:t xml:space="preserve">CNS depressant effects may persist in some patients for up to several days after discontinuing DAYVIGO. The lowest effective dose for the patient should be used (see </w:t>
      </w:r>
      <w:r w:rsidR="00FE3A2F">
        <w:t xml:space="preserve">Section </w:t>
      </w:r>
      <w:r w:rsidR="00421764" w:rsidRPr="004F3422">
        <w:fldChar w:fldCharType="begin"/>
      </w:r>
      <w:r w:rsidR="00421764" w:rsidRPr="004F3422">
        <w:instrText xml:space="preserve"> REF _Ref503529038 \r \h </w:instrText>
      </w:r>
      <w:r w:rsidR="00421764" w:rsidRPr="004F3422">
        <w:fldChar w:fldCharType="separate"/>
      </w:r>
      <w:r w:rsidR="003A0FF4">
        <w:t>4.2</w:t>
      </w:r>
      <w:r w:rsidR="00421764" w:rsidRPr="004F3422">
        <w:fldChar w:fldCharType="end"/>
      </w:r>
      <w:r w:rsidR="00421764" w:rsidRPr="004F3422">
        <w:t xml:space="preserve"> </w:t>
      </w:r>
      <w:r w:rsidR="00421764" w:rsidRPr="004F3422">
        <w:fldChar w:fldCharType="begin"/>
      </w:r>
      <w:r w:rsidR="00421764" w:rsidRPr="004F3422">
        <w:instrText xml:space="preserve"> REF _Ref503529038 \h </w:instrText>
      </w:r>
      <w:r w:rsidR="00421764" w:rsidRPr="004F3422">
        <w:fldChar w:fldCharType="separate"/>
      </w:r>
      <w:r w:rsidR="003A0FF4" w:rsidRPr="004F3422">
        <w:t>Dose and method of administration</w:t>
      </w:r>
      <w:r w:rsidR="00421764" w:rsidRPr="004F3422">
        <w:fldChar w:fldCharType="end"/>
      </w:r>
      <w:r w:rsidR="00D673ED" w:rsidRPr="00CD02DC">
        <w:t>).</w:t>
      </w:r>
    </w:p>
    <w:p w14:paraId="5CE7A4DE" w14:textId="77777777" w:rsidR="00A43D61" w:rsidRPr="004F3422" w:rsidRDefault="00A43D61" w:rsidP="00A43D61">
      <w:pPr>
        <w:pStyle w:val="Heading3"/>
        <w:rPr>
          <w:lang w:eastAsia="en-AU"/>
        </w:rPr>
      </w:pPr>
      <w:r w:rsidRPr="004F3422">
        <w:rPr>
          <w:lang w:eastAsia="en-AU"/>
        </w:rPr>
        <w:t>Abuse</w:t>
      </w:r>
    </w:p>
    <w:p w14:paraId="5AF0A43C" w14:textId="3D1FE081" w:rsidR="007E4FF0" w:rsidRDefault="00A43D61">
      <w:pPr>
        <w:pStyle w:val="BodyText"/>
        <w:rPr>
          <w:lang w:eastAsia="en-AU"/>
        </w:rPr>
      </w:pPr>
      <w:r w:rsidRPr="004F3422">
        <w:rPr>
          <w:lang w:eastAsia="en-AU"/>
        </w:rPr>
        <w:t>In an abuse liability study conducted in recreational sedative abusers (n=39),</w:t>
      </w:r>
      <w:r w:rsidR="006660FD" w:rsidRPr="004F3422">
        <w:rPr>
          <w:lang w:eastAsia="en-AU"/>
        </w:rPr>
        <w:t xml:space="preserve"> </w:t>
      </w:r>
      <w:r w:rsidR="006A3A08" w:rsidRPr="004F3422">
        <w:rPr>
          <w:lang w:eastAsia="en-AU"/>
        </w:rPr>
        <w:t>lemborexant</w:t>
      </w:r>
      <w:r w:rsidRPr="004F3422">
        <w:rPr>
          <w:lang w:eastAsia="en-AU"/>
        </w:rPr>
        <w:t xml:space="preserve"> (10, 20 and 30</w:t>
      </w:r>
      <w:r w:rsidR="005317E4">
        <w:rPr>
          <w:lang w:eastAsia="en-AU"/>
        </w:rPr>
        <w:t> mg</w:t>
      </w:r>
      <w:r w:rsidRPr="004F3422">
        <w:rPr>
          <w:lang w:eastAsia="en-AU"/>
        </w:rPr>
        <w:t>) produced similar effects as zolpidem (30</w:t>
      </w:r>
      <w:r w:rsidR="005317E4">
        <w:rPr>
          <w:lang w:eastAsia="en-AU"/>
        </w:rPr>
        <w:t> mg</w:t>
      </w:r>
      <w:r w:rsidRPr="004F3422">
        <w:rPr>
          <w:lang w:eastAsia="en-AU"/>
        </w:rPr>
        <w:t>) and suvorexant (40</w:t>
      </w:r>
      <w:r w:rsidR="005317E4">
        <w:rPr>
          <w:lang w:eastAsia="en-AU"/>
        </w:rPr>
        <w:t> mg</w:t>
      </w:r>
      <w:r w:rsidRPr="004F3422">
        <w:rPr>
          <w:lang w:eastAsia="en-AU"/>
        </w:rPr>
        <w:t xml:space="preserve">) on subjective ratings of </w:t>
      </w:r>
      <w:r w:rsidR="003862D9" w:rsidRPr="00F866DE">
        <w:rPr>
          <w:lang w:eastAsia="en-AU"/>
        </w:rPr>
        <w:t>“</w:t>
      </w:r>
      <w:r w:rsidR="006660FD" w:rsidRPr="00F866DE">
        <w:rPr>
          <w:lang w:eastAsia="en-AU"/>
        </w:rPr>
        <w:t>D</w:t>
      </w:r>
      <w:r w:rsidRPr="004F3422">
        <w:rPr>
          <w:lang w:eastAsia="en-AU"/>
        </w:rPr>
        <w:t xml:space="preserve">rug </w:t>
      </w:r>
      <w:r w:rsidR="006660FD" w:rsidRPr="004F3422">
        <w:rPr>
          <w:lang w:eastAsia="en-AU"/>
        </w:rPr>
        <w:t>L</w:t>
      </w:r>
      <w:r w:rsidRPr="004F3422">
        <w:rPr>
          <w:lang w:eastAsia="en-AU"/>
        </w:rPr>
        <w:t>iking</w:t>
      </w:r>
      <w:r w:rsidR="003862D9" w:rsidRPr="004F3422">
        <w:rPr>
          <w:lang w:eastAsia="en-AU"/>
        </w:rPr>
        <w:t>”</w:t>
      </w:r>
      <w:r w:rsidR="001B58E5" w:rsidRPr="004F3422">
        <w:rPr>
          <w:lang w:eastAsia="en-AU"/>
        </w:rPr>
        <w:t xml:space="preserve">, </w:t>
      </w:r>
      <w:r w:rsidR="003862D9" w:rsidRPr="004F3422">
        <w:rPr>
          <w:lang w:eastAsia="en-AU"/>
        </w:rPr>
        <w:t>“</w:t>
      </w:r>
      <w:r w:rsidR="001B58E5" w:rsidRPr="004F3422">
        <w:rPr>
          <w:lang w:eastAsia="en-AU"/>
        </w:rPr>
        <w:t>Overall Drug Liking</w:t>
      </w:r>
      <w:r w:rsidR="003862D9" w:rsidRPr="004F3422">
        <w:rPr>
          <w:lang w:eastAsia="en-AU"/>
        </w:rPr>
        <w:t>”</w:t>
      </w:r>
      <w:r w:rsidR="001B58E5" w:rsidRPr="004F3422">
        <w:rPr>
          <w:lang w:eastAsia="en-AU"/>
        </w:rPr>
        <w:t>, “Take Drug Again.” and “Good Drug Effects”</w:t>
      </w:r>
      <w:r w:rsidRPr="004F3422">
        <w:rPr>
          <w:lang w:eastAsia="en-AU"/>
        </w:rPr>
        <w:t xml:space="preserve"> and other measures of subjective drug effects. </w:t>
      </w:r>
    </w:p>
    <w:p w14:paraId="31BD6860" w14:textId="77777777" w:rsidR="005059F4" w:rsidRDefault="005059F4" w:rsidP="00CD02DC">
      <w:pPr>
        <w:pStyle w:val="BodyText"/>
      </w:pPr>
    </w:p>
    <w:p w14:paraId="18F50589" w14:textId="1A1D4B3E" w:rsidR="00A43D61" w:rsidRPr="004F3422" w:rsidRDefault="005059F4" w:rsidP="001B7C0D">
      <w:pPr>
        <w:pStyle w:val="BodyText"/>
      </w:pPr>
      <w:r w:rsidRPr="00B54C0E">
        <w:t xml:space="preserve">Abuse of </w:t>
      </w:r>
      <w:r>
        <w:t>DAYVIGO</w:t>
      </w:r>
      <w:r w:rsidRPr="00B54C0E">
        <w:t xml:space="preserve"> poses an increased risk of somnolence, daytime sleepiness, impaired reaction time and impaired driving skills. Patients at risk for abuse may include those with prolonged use of </w:t>
      </w:r>
      <w:r>
        <w:t>DAYVIGO</w:t>
      </w:r>
      <w:r w:rsidRPr="00B54C0E">
        <w:t xml:space="preserve">, those with a history of drug abuse, and those who use </w:t>
      </w:r>
      <w:r>
        <w:t>DAYVIGO</w:t>
      </w:r>
      <w:r w:rsidRPr="00B54C0E">
        <w:t xml:space="preserve"> in combination with alcohol or other abused drugs.</w:t>
      </w:r>
    </w:p>
    <w:p w14:paraId="045021DA" w14:textId="46FDD27C" w:rsidR="00A43D61" w:rsidRPr="004F3422" w:rsidRDefault="00A43D61" w:rsidP="00A43D61">
      <w:pPr>
        <w:pStyle w:val="Heading3"/>
        <w:rPr>
          <w:lang w:eastAsia="en-AU"/>
        </w:rPr>
      </w:pPr>
      <w:r w:rsidRPr="004F3422">
        <w:rPr>
          <w:lang w:eastAsia="en-AU"/>
        </w:rPr>
        <w:t>Dependence</w:t>
      </w:r>
    </w:p>
    <w:p w14:paraId="209082F6" w14:textId="1E308888" w:rsidR="001B58E5" w:rsidRPr="00BB13AE" w:rsidRDefault="001B58E5" w:rsidP="001B58E5">
      <w:pPr>
        <w:pStyle w:val="BodyText"/>
        <w:rPr>
          <w:lang w:eastAsia="en-AU"/>
        </w:rPr>
      </w:pPr>
      <w:r w:rsidRPr="00BB13AE">
        <w:rPr>
          <w:lang w:eastAsia="en-AU"/>
        </w:rPr>
        <w:t>In</w:t>
      </w:r>
      <w:r w:rsidR="00DF6080">
        <w:rPr>
          <w:lang w:eastAsia="en-AU"/>
        </w:rPr>
        <w:t xml:space="preserve"> both</w:t>
      </w:r>
      <w:r w:rsidRPr="00BB13AE">
        <w:rPr>
          <w:lang w:eastAsia="en-AU"/>
        </w:rPr>
        <w:t xml:space="preserve"> animal studies and clinical trials evaluating physical dependence, chronic administration of lemborexant did not produce withdrawal signs or symptoms upon drug discontinuation. This suggests that lemborexant does not produce physical dependence.</w:t>
      </w:r>
    </w:p>
    <w:p w14:paraId="701D0915" w14:textId="77777777" w:rsidR="001B7C0D" w:rsidRPr="004F3422" w:rsidRDefault="001B7C0D" w:rsidP="001B7C0D">
      <w:pPr>
        <w:pStyle w:val="BodyText"/>
        <w:rPr>
          <w:lang w:eastAsia="en-AU"/>
        </w:rPr>
      </w:pPr>
    </w:p>
    <w:p w14:paraId="3958A8DA" w14:textId="753322BA" w:rsidR="001B7C0D" w:rsidRPr="004F3422" w:rsidRDefault="001B7C0D" w:rsidP="001B7C0D">
      <w:pPr>
        <w:pStyle w:val="Heading3"/>
      </w:pPr>
      <w:r w:rsidRPr="004F3422">
        <w:t xml:space="preserve">Use in </w:t>
      </w:r>
      <w:r w:rsidR="00EA2088">
        <w:t>H</w:t>
      </w:r>
      <w:r w:rsidR="00EA2088" w:rsidRPr="004F3422">
        <w:t xml:space="preserve">epatic </w:t>
      </w:r>
      <w:r w:rsidR="00EA2088">
        <w:t>I</w:t>
      </w:r>
      <w:r w:rsidR="00EA2088" w:rsidRPr="004F3422">
        <w:t>mpairment</w:t>
      </w:r>
    </w:p>
    <w:p w14:paraId="19529714" w14:textId="2BFBA283" w:rsidR="001B7C0D" w:rsidRPr="00F866DE" w:rsidRDefault="002B22DF" w:rsidP="001B7C0D">
      <w:pPr>
        <w:pStyle w:val="BodyText"/>
      </w:pPr>
      <w:r w:rsidRPr="00F866DE">
        <w:rPr>
          <w:rFonts w:eastAsiaTheme="minorEastAsia"/>
          <w:lang w:eastAsia="ja-JP"/>
        </w:rPr>
        <w:t xml:space="preserve">No dose adjustment is required in patients with mild hepatic impairment. </w:t>
      </w:r>
      <w:r w:rsidR="00084538">
        <w:rPr>
          <w:rFonts w:eastAsiaTheme="minorEastAsia"/>
          <w:lang w:eastAsia="ja-JP"/>
        </w:rPr>
        <w:t>The</w:t>
      </w:r>
      <w:r w:rsidR="00352D54">
        <w:rPr>
          <w:rFonts w:eastAsiaTheme="minorEastAsia"/>
          <w:lang w:eastAsia="ja-JP"/>
        </w:rPr>
        <w:t xml:space="preserve"> maximum recommended dose of </w:t>
      </w:r>
      <w:r w:rsidR="00E51A13" w:rsidRPr="004F3422">
        <w:rPr>
          <w:rFonts w:eastAsiaTheme="minorEastAsia"/>
          <w:lang w:eastAsia="ja-JP"/>
        </w:rPr>
        <w:t>DAYVIGO</w:t>
      </w:r>
      <w:r w:rsidR="00DF6080">
        <w:rPr>
          <w:rFonts w:eastAsiaTheme="minorEastAsia"/>
          <w:lang w:eastAsia="ja-JP"/>
        </w:rPr>
        <w:t xml:space="preserve"> is</w:t>
      </w:r>
      <w:r w:rsidR="00E51A13" w:rsidRPr="004F3422">
        <w:rPr>
          <w:rFonts w:eastAsiaTheme="minorEastAsia"/>
          <w:lang w:eastAsia="ja-JP"/>
        </w:rPr>
        <w:t xml:space="preserve"> </w:t>
      </w:r>
      <w:r w:rsidRPr="004F3422">
        <w:rPr>
          <w:rFonts w:eastAsiaTheme="minorEastAsia"/>
          <w:lang w:eastAsia="ja-JP"/>
        </w:rPr>
        <w:t>5</w:t>
      </w:r>
      <w:r w:rsidR="005317E4">
        <w:rPr>
          <w:rFonts w:eastAsiaTheme="minorEastAsia"/>
          <w:lang w:eastAsia="ja-JP"/>
        </w:rPr>
        <w:t> mg</w:t>
      </w:r>
      <w:r w:rsidR="00BB13AE">
        <w:rPr>
          <w:rFonts w:eastAsiaTheme="minorEastAsia"/>
          <w:lang w:eastAsia="ja-JP"/>
        </w:rPr>
        <w:t xml:space="preserve"> </w:t>
      </w:r>
      <w:r w:rsidRPr="004F3422">
        <w:rPr>
          <w:rFonts w:eastAsiaTheme="minorEastAsia"/>
          <w:lang w:eastAsia="ja-JP"/>
        </w:rPr>
        <w:t>in patients with moderate hepatic impairment.</w:t>
      </w:r>
      <w:r w:rsidRPr="004F3422">
        <w:rPr>
          <w:rFonts w:eastAsia="Calibri"/>
        </w:rPr>
        <w:t xml:space="preserve"> </w:t>
      </w:r>
      <w:r w:rsidR="00E51A13" w:rsidRPr="004F3422">
        <w:rPr>
          <w:rFonts w:eastAsia="Calibri"/>
        </w:rPr>
        <w:t>DAYVIGO</w:t>
      </w:r>
      <w:r w:rsidRPr="004F3422">
        <w:rPr>
          <w:rFonts w:eastAsiaTheme="minorEastAsia"/>
          <w:lang w:eastAsia="ja-JP"/>
        </w:rPr>
        <w:t xml:space="preserve"> is not recommended in patients with severe hepatic impairment </w:t>
      </w:r>
      <w:r w:rsidR="006660FD" w:rsidRPr="004F3422">
        <w:rPr>
          <w:rFonts w:eastAsiaTheme="minorEastAsia"/>
          <w:lang w:eastAsia="ja-JP"/>
        </w:rPr>
        <w:t>(</w:t>
      </w:r>
      <w:r w:rsidR="000E6F91" w:rsidRPr="004F3422">
        <w:t>s</w:t>
      </w:r>
      <w:r w:rsidR="001B7C0D" w:rsidRPr="004F3422">
        <w:t xml:space="preserve">ee Section </w:t>
      </w:r>
      <w:r w:rsidR="001B7C0D" w:rsidRPr="004F3422">
        <w:fldChar w:fldCharType="begin"/>
      </w:r>
      <w:r w:rsidR="001B7C0D" w:rsidRPr="004F3422">
        <w:instrText xml:space="preserve"> REF _Ref503529038 \r \h  \* MERGEFORMAT </w:instrText>
      </w:r>
      <w:r w:rsidR="001B7C0D" w:rsidRPr="004F3422">
        <w:fldChar w:fldCharType="separate"/>
      </w:r>
      <w:r w:rsidR="003A0FF4">
        <w:t>4.2</w:t>
      </w:r>
      <w:r w:rsidR="001B7C0D" w:rsidRPr="004F3422">
        <w:fldChar w:fldCharType="end"/>
      </w:r>
      <w:r w:rsidR="001B7C0D" w:rsidRPr="004F3422">
        <w:t xml:space="preserve"> </w:t>
      </w:r>
      <w:r w:rsidR="000E6F91" w:rsidRPr="004F3422">
        <w:fldChar w:fldCharType="begin"/>
      </w:r>
      <w:r w:rsidR="000E6F91" w:rsidRPr="004F3422">
        <w:instrText xml:space="preserve"> REF _Ref38373297 \h </w:instrText>
      </w:r>
      <w:r w:rsidR="000E6F91" w:rsidRPr="004F3422">
        <w:fldChar w:fldCharType="separate"/>
      </w:r>
      <w:r w:rsidR="003A0FF4" w:rsidRPr="004F3422">
        <w:t>Dose and method of administration</w:t>
      </w:r>
      <w:r w:rsidR="000E6F91" w:rsidRPr="004F3422">
        <w:fldChar w:fldCharType="end"/>
      </w:r>
      <w:r w:rsidR="001B7C0D" w:rsidRPr="004F3422">
        <w:t xml:space="preserve">, </w:t>
      </w:r>
      <w:r w:rsidR="000E6F91" w:rsidRPr="004F3422">
        <w:fldChar w:fldCharType="begin"/>
      </w:r>
      <w:r w:rsidR="000E6F91" w:rsidRPr="004F3422">
        <w:instrText xml:space="preserve"> REF _Ref38373803 \h </w:instrText>
      </w:r>
      <w:r w:rsidR="000E6F91" w:rsidRPr="004F3422">
        <w:fldChar w:fldCharType="separate"/>
      </w:r>
      <w:r w:rsidR="003A0FF4" w:rsidRPr="004F3422">
        <w:t>Patients with hepatic impairment</w:t>
      </w:r>
      <w:r w:rsidR="000E6F91" w:rsidRPr="004F3422">
        <w:fldChar w:fldCharType="end"/>
      </w:r>
      <w:r w:rsidR="000E6F91" w:rsidRPr="004F3422">
        <w:t xml:space="preserve"> </w:t>
      </w:r>
      <w:r w:rsidR="001B7C0D" w:rsidRPr="004F3422">
        <w:t xml:space="preserve">and Section </w:t>
      </w:r>
      <w:r w:rsidR="001B7C0D" w:rsidRPr="004F3422">
        <w:fldChar w:fldCharType="begin"/>
      </w:r>
      <w:r w:rsidR="001B7C0D" w:rsidRPr="004F3422">
        <w:instrText xml:space="preserve"> REF _Ref2178479 \r \h  \* MERGEFORMAT </w:instrText>
      </w:r>
      <w:r w:rsidR="001B7C0D" w:rsidRPr="004F3422">
        <w:fldChar w:fldCharType="separate"/>
      </w:r>
      <w:r w:rsidR="003A0FF4">
        <w:t>5.2</w:t>
      </w:r>
      <w:r w:rsidR="001B7C0D" w:rsidRPr="004F3422">
        <w:fldChar w:fldCharType="end"/>
      </w:r>
      <w:r w:rsidR="001B7C0D" w:rsidRPr="004F3422">
        <w:t xml:space="preserve"> </w:t>
      </w:r>
      <w:r w:rsidR="000E6F91" w:rsidRPr="004F3422">
        <w:fldChar w:fldCharType="begin"/>
      </w:r>
      <w:r w:rsidR="000E6F91" w:rsidRPr="004F3422">
        <w:instrText xml:space="preserve"> REF _Ref38373817 \h </w:instrText>
      </w:r>
      <w:r w:rsidR="000E6F91" w:rsidRPr="004F3422">
        <w:fldChar w:fldCharType="separate"/>
      </w:r>
      <w:r w:rsidR="003A0FF4" w:rsidRPr="00F866DE">
        <w:t>Pharmacokinetic properties</w:t>
      </w:r>
      <w:r w:rsidR="000E6F91" w:rsidRPr="004F3422">
        <w:fldChar w:fldCharType="end"/>
      </w:r>
      <w:r w:rsidR="001B7C0D" w:rsidRPr="004F3422">
        <w:t xml:space="preserve">, </w:t>
      </w:r>
      <w:r w:rsidR="000E6F91" w:rsidRPr="004F3422">
        <w:fldChar w:fldCharType="begin"/>
      </w:r>
      <w:r w:rsidR="000E6F91" w:rsidRPr="004F3422">
        <w:instrText xml:space="preserve"> REF _Ref36654795 \h </w:instrText>
      </w:r>
      <w:r w:rsidR="000E6F91" w:rsidRPr="004F3422">
        <w:fldChar w:fldCharType="separate"/>
      </w:r>
      <w:r w:rsidR="003A0FF4" w:rsidRPr="004F3422">
        <w:t xml:space="preserve">Special </w:t>
      </w:r>
      <w:r w:rsidR="000E6F91" w:rsidRPr="004F3422">
        <w:fldChar w:fldCharType="end"/>
      </w:r>
      <w:r w:rsidR="001B7C0D" w:rsidRPr="004F3422">
        <w:t xml:space="preserve">, </w:t>
      </w:r>
      <w:r w:rsidR="000E6F91" w:rsidRPr="004F3422">
        <w:fldChar w:fldCharType="begin"/>
      </w:r>
      <w:r w:rsidR="000E6F91" w:rsidRPr="004F3422">
        <w:instrText xml:space="preserve"> REF _Ref38373861 \h </w:instrText>
      </w:r>
      <w:r w:rsidR="000E6F91" w:rsidRPr="004F3422">
        <w:fldChar w:fldCharType="separate"/>
      </w:r>
      <w:r w:rsidR="003A0FF4" w:rsidRPr="004F3422">
        <w:t>Patients with hepatic impairment</w:t>
      </w:r>
      <w:r w:rsidR="000E6F91" w:rsidRPr="004F3422">
        <w:fldChar w:fldCharType="end"/>
      </w:r>
      <w:r w:rsidR="006660FD" w:rsidRPr="00F866DE">
        <w:t>)</w:t>
      </w:r>
      <w:r w:rsidR="000E6F91" w:rsidRPr="00F866DE">
        <w:t>.</w:t>
      </w:r>
    </w:p>
    <w:p w14:paraId="107A929D" w14:textId="77777777" w:rsidR="001B7C0D" w:rsidRPr="004F3422" w:rsidRDefault="001B7C0D" w:rsidP="001B7C0D">
      <w:pPr>
        <w:pStyle w:val="BodyText"/>
      </w:pPr>
    </w:p>
    <w:p w14:paraId="49575B4A" w14:textId="70C08386" w:rsidR="001B7C0D" w:rsidRPr="004F3422" w:rsidRDefault="001B7C0D" w:rsidP="001B7C0D">
      <w:pPr>
        <w:pStyle w:val="Heading3"/>
      </w:pPr>
      <w:r w:rsidRPr="004F3422">
        <w:t xml:space="preserve">Use in </w:t>
      </w:r>
      <w:r w:rsidR="00EA2088">
        <w:t>R</w:t>
      </w:r>
      <w:r w:rsidR="00EA2088" w:rsidRPr="004F3422">
        <w:t xml:space="preserve">enal </w:t>
      </w:r>
      <w:r w:rsidR="00EA2088">
        <w:t>I</w:t>
      </w:r>
      <w:r w:rsidR="00EA2088" w:rsidRPr="004F3422">
        <w:t>mpairment</w:t>
      </w:r>
    </w:p>
    <w:p w14:paraId="3755FFF3" w14:textId="42808358" w:rsidR="001B7C0D" w:rsidRPr="004F3422" w:rsidRDefault="002B22DF" w:rsidP="001B7C0D">
      <w:pPr>
        <w:pStyle w:val="BodyText"/>
      </w:pPr>
      <w:r w:rsidRPr="004F3422">
        <w:rPr>
          <w:rFonts w:eastAsiaTheme="minorEastAsia"/>
          <w:lang w:eastAsia="ja-JP"/>
        </w:rPr>
        <w:t>No dose adjustment is required in patients with mild</w:t>
      </w:r>
      <w:bookmarkStart w:id="5" w:name="bookmark5"/>
      <w:bookmarkStart w:id="6" w:name="bookmark4"/>
      <w:bookmarkStart w:id="7" w:name="bookmark3"/>
      <w:bookmarkStart w:id="8" w:name="bookmark2"/>
      <w:bookmarkStart w:id="9" w:name="bookmark1"/>
      <w:bookmarkEnd w:id="5"/>
      <w:bookmarkEnd w:id="6"/>
      <w:bookmarkEnd w:id="7"/>
      <w:bookmarkEnd w:id="8"/>
      <w:bookmarkEnd w:id="9"/>
      <w:r w:rsidRPr="004F3422">
        <w:rPr>
          <w:rFonts w:eastAsiaTheme="minorEastAsia"/>
          <w:lang w:eastAsia="ja-JP"/>
        </w:rPr>
        <w:t xml:space="preserve">, moderate, or severe renal impairment </w:t>
      </w:r>
      <w:r w:rsidR="000E6F91" w:rsidRPr="004F3422">
        <w:rPr>
          <w:rFonts w:eastAsiaTheme="minorEastAsia"/>
          <w:lang w:eastAsia="ja-JP"/>
        </w:rPr>
        <w:t>(</w:t>
      </w:r>
      <w:r w:rsidR="000E6F91" w:rsidRPr="004F3422">
        <w:t>s</w:t>
      </w:r>
      <w:r w:rsidR="001B7C0D" w:rsidRPr="004F3422">
        <w:t xml:space="preserve">ee Section </w:t>
      </w:r>
      <w:r w:rsidR="001B7C0D" w:rsidRPr="004F3422">
        <w:fldChar w:fldCharType="begin"/>
      </w:r>
      <w:r w:rsidR="001B7C0D" w:rsidRPr="004F3422">
        <w:instrText xml:space="preserve"> REF _Ref503529038 \r \h  \* MERGEFORMAT </w:instrText>
      </w:r>
      <w:r w:rsidR="001B7C0D" w:rsidRPr="004F3422">
        <w:fldChar w:fldCharType="separate"/>
      </w:r>
      <w:r w:rsidR="003A0FF4">
        <w:t>4.2</w:t>
      </w:r>
      <w:r w:rsidR="001B7C0D" w:rsidRPr="004F3422">
        <w:fldChar w:fldCharType="end"/>
      </w:r>
      <w:r w:rsidR="001B7C0D" w:rsidRPr="004F3422">
        <w:t xml:space="preserve"> </w:t>
      </w:r>
      <w:r w:rsidR="000E6F91" w:rsidRPr="004F3422">
        <w:fldChar w:fldCharType="begin"/>
      </w:r>
      <w:r w:rsidR="000E6F91" w:rsidRPr="004F3422">
        <w:instrText xml:space="preserve"> REF _Ref38373297 \h </w:instrText>
      </w:r>
      <w:r w:rsidR="000E6F91" w:rsidRPr="004F3422">
        <w:fldChar w:fldCharType="separate"/>
      </w:r>
      <w:r w:rsidR="003A0FF4" w:rsidRPr="004F3422">
        <w:t>Dose and method of administration</w:t>
      </w:r>
      <w:r w:rsidR="000E6F91" w:rsidRPr="004F3422">
        <w:fldChar w:fldCharType="end"/>
      </w:r>
      <w:r w:rsidR="001B7C0D" w:rsidRPr="004F3422">
        <w:t xml:space="preserve">, </w:t>
      </w:r>
      <w:r w:rsidR="000E6F91" w:rsidRPr="004F3422">
        <w:fldChar w:fldCharType="begin"/>
      </w:r>
      <w:r w:rsidR="000E6F91" w:rsidRPr="004F3422">
        <w:instrText xml:space="preserve"> REF _Ref38374091 \h </w:instrText>
      </w:r>
      <w:r w:rsidR="000E6F91" w:rsidRPr="004F3422">
        <w:fldChar w:fldCharType="separate"/>
      </w:r>
      <w:r w:rsidR="003A0FF4" w:rsidRPr="00F866DE">
        <w:rPr>
          <w:lang w:eastAsia="ja-JP"/>
        </w:rPr>
        <w:t>Patients with r</w:t>
      </w:r>
      <w:r w:rsidR="003A0FF4" w:rsidRPr="004F3422">
        <w:rPr>
          <w:lang w:eastAsia="ja-JP"/>
        </w:rPr>
        <w:t>enal impairment</w:t>
      </w:r>
      <w:r w:rsidR="000E6F91" w:rsidRPr="004F3422">
        <w:fldChar w:fldCharType="end"/>
      </w:r>
      <w:r w:rsidR="001B7C0D" w:rsidRPr="004F3422">
        <w:t xml:space="preserve"> and Section </w:t>
      </w:r>
      <w:r w:rsidR="001B7C0D" w:rsidRPr="004F3422">
        <w:fldChar w:fldCharType="begin"/>
      </w:r>
      <w:r w:rsidR="001B7C0D" w:rsidRPr="004F3422">
        <w:instrText xml:space="preserve"> REF _Ref2178479 \r \h  \* MERGEFORMAT </w:instrText>
      </w:r>
      <w:r w:rsidR="001B7C0D" w:rsidRPr="004F3422">
        <w:fldChar w:fldCharType="separate"/>
      </w:r>
      <w:r w:rsidR="003A0FF4">
        <w:t>5.2</w:t>
      </w:r>
      <w:r w:rsidR="001B7C0D" w:rsidRPr="004F3422">
        <w:fldChar w:fldCharType="end"/>
      </w:r>
      <w:r w:rsidR="001B7C0D" w:rsidRPr="004F3422">
        <w:t xml:space="preserve"> </w:t>
      </w:r>
      <w:r w:rsidR="000E6F91" w:rsidRPr="004F3422">
        <w:fldChar w:fldCharType="begin"/>
      </w:r>
      <w:r w:rsidR="000E6F91" w:rsidRPr="004F3422">
        <w:instrText xml:space="preserve"> REF _Ref38373817 \h </w:instrText>
      </w:r>
      <w:r w:rsidR="000E6F91" w:rsidRPr="004F3422">
        <w:fldChar w:fldCharType="separate"/>
      </w:r>
      <w:r w:rsidR="003A0FF4" w:rsidRPr="00F866DE">
        <w:t>Pharmacokinetic properties</w:t>
      </w:r>
      <w:r w:rsidR="000E6F91" w:rsidRPr="004F3422">
        <w:fldChar w:fldCharType="end"/>
      </w:r>
      <w:r w:rsidR="000E6F91" w:rsidRPr="004F3422">
        <w:t xml:space="preserve">, </w:t>
      </w:r>
      <w:r w:rsidR="000E6F91" w:rsidRPr="004F3422">
        <w:fldChar w:fldCharType="begin"/>
      </w:r>
      <w:r w:rsidR="000E6F91" w:rsidRPr="004F3422">
        <w:instrText xml:space="preserve"> REF _Ref36654795 \h </w:instrText>
      </w:r>
      <w:r w:rsidR="000E6F91" w:rsidRPr="004F3422">
        <w:fldChar w:fldCharType="separate"/>
      </w:r>
      <w:r w:rsidR="003A0FF4" w:rsidRPr="004F3422">
        <w:t xml:space="preserve">Special </w:t>
      </w:r>
      <w:r w:rsidR="000E6F91" w:rsidRPr="004F3422">
        <w:fldChar w:fldCharType="end"/>
      </w:r>
      <w:r w:rsidR="000E6F91" w:rsidRPr="004F3422">
        <w:t xml:space="preserve">, </w:t>
      </w:r>
      <w:r w:rsidR="000E6F91" w:rsidRPr="004F3422">
        <w:fldChar w:fldCharType="begin"/>
      </w:r>
      <w:r w:rsidR="000E6F91" w:rsidRPr="004F3422">
        <w:instrText xml:space="preserve"> REF _Ref38374125 \h </w:instrText>
      </w:r>
      <w:r w:rsidR="000E6F91" w:rsidRPr="004F3422">
        <w:fldChar w:fldCharType="separate"/>
      </w:r>
      <w:r w:rsidR="003A0FF4" w:rsidRPr="004F3422">
        <w:t>Patients with renal impairment</w:t>
      </w:r>
      <w:r w:rsidR="000E6F91" w:rsidRPr="004F3422">
        <w:fldChar w:fldCharType="end"/>
      </w:r>
      <w:r w:rsidR="000E6F91" w:rsidRPr="004F3422">
        <w:t>)</w:t>
      </w:r>
      <w:r w:rsidR="001B7C0D" w:rsidRPr="00F866DE">
        <w:t>.</w:t>
      </w:r>
    </w:p>
    <w:p w14:paraId="669F7B1C" w14:textId="622B5DD9" w:rsidR="001B7C0D" w:rsidRPr="004F3422" w:rsidRDefault="001B7C0D" w:rsidP="001B7C0D">
      <w:pPr>
        <w:pStyle w:val="BodyText"/>
        <w:rPr>
          <w:lang w:eastAsia="en-AU"/>
        </w:rPr>
      </w:pPr>
    </w:p>
    <w:p w14:paraId="486A3221" w14:textId="0FF051B7" w:rsidR="001B7C0D" w:rsidRPr="00BB13AE" w:rsidRDefault="001B7C0D" w:rsidP="001B7C0D">
      <w:pPr>
        <w:pStyle w:val="Heading3"/>
        <w:rPr>
          <w:lang w:eastAsia="en-AU"/>
        </w:rPr>
      </w:pPr>
      <w:r w:rsidRPr="00BB13AE">
        <w:rPr>
          <w:lang w:eastAsia="en-AU"/>
        </w:rPr>
        <w:t>Use in the Elderly</w:t>
      </w:r>
    </w:p>
    <w:p w14:paraId="29F57F85" w14:textId="0593CA5C" w:rsidR="002B22DF" w:rsidRDefault="002B22DF" w:rsidP="00BB13AE">
      <w:pPr>
        <w:pStyle w:val="BodyText"/>
      </w:pPr>
      <w:r w:rsidRPr="00080750">
        <w:t>No clinically meaningful differences in safety or effectiveness were observed between these patients and younger patients at the recommended doses.</w:t>
      </w:r>
    </w:p>
    <w:p w14:paraId="4BAD2C81" w14:textId="77777777" w:rsidR="0093357E" w:rsidRDefault="0093357E" w:rsidP="00BB13AE">
      <w:pPr>
        <w:pStyle w:val="BodyText"/>
      </w:pPr>
    </w:p>
    <w:p w14:paraId="17C59C2F" w14:textId="4FF92E5A" w:rsidR="0093357E" w:rsidRDefault="0093357E" w:rsidP="00090376">
      <w:pPr>
        <w:pStyle w:val="BodyText"/>
      </w:pPr>
      <w:r w:rsidRPr="00D242EF">
        <w:lastRenderedPageBreak/>
        <w:t xml:space="preserve">Of the total number of patients treated with </w:t>
      </w:r>
      <w:r>
        <w:t>DAYVIGO</w:t>
      </w:r>
      <w:r w:rsidRPr="00D242EF">
        <w:t xml:space="preserve"> (n=1418) in controlled Phase 3 studies, 491 patients were 65</w:t>
      </w:r>
      <w:r w:rsidR="003B2F8E">
        <w:t> </w:t>
      </w:r>
      <w:r w:rsidRPr="00D242EF">
        <w:t>years and over, and 87 patients were 75</w:t>
      </w:r>
      <w:r w:rsidR="003B2F8E">
        <w:t> </w:t>
      </w:r>
      <w:r w:rsidRPr="00D242EF">
        <w:t>years and over. Overall, efficacy results for patients &lt;65</w:t>
      </w:r>
      <w:r w:rsidR="003B2F8E">
        <w:t> </w:t>
      </w:r>
      <w:r w:rsidRPr="00D242EF">
        <w:t xml:space="preserve">years of age were similar </w:t>
      </w:r>
      <w:r w:rsidR="00090376">
        <w:t>compared to patients ≥65</w:t>
      </w:r>
      <w:r w:rsidR="003B2F8E">
        <w:t> </w:t>
      </w:r>
      <w:r w:rsidR="00090376">
        <w:t>years.</w:t>
      </w:r>
    </w:p>
    <w:p w14:paraId="0461F129" w14:textId="77777777" w:rsidR="00090376" w:rsidRPr="00D242EF" w:rsidRDefault="00090376" w:rsidP="00090376">
      <w:pPr>
        <w:pStyle w:val="BodyText"/>
      </w:pPr>
    </w:p>
    <w:p w14:paraId="70B3B74A" w14:textId="4DCFE6D9" w:rsidR="002B22DF" w:rsidRPr="00BB13AE" w:rsidRDefault="0093357E" w:rsidP="00090376">
      <w:pPr>
        <w:pStyle w:val="BodyText"/>
      </w:pPr>
      <w:r w:rsidRPr="00D242EF">
        <w:t>In a pooled analysis of Study 303 (the first 30 days) and Study 304, the incidence of somnolence in patients ≥65 years with DAYVIGO 10</w:t>
      </w:r>
      <w:r w:rsidR="005317E4">
        <w:t> mg</w:t>
      </w:r>
      <w:r w:rsidRPr="00D242EF">
        <w:t xml:space="preserve"> was higher (9.8%) compared to 7.7% in patients &lt;65 years. The incidence of somnolence with DAYVIGO 5</w:t>
      </w:r>
      <w:r w:rsidR="005317E4">
        <w:t> mg</w:t>
      </w:r>
      <w:r w:rsidRPr="00D242EF">
        <w:t xml:space="preserve"> was similar in patients ≥65</w:t>
      </w:r>
      <w:r w:rsidR="003B2F8E">
        <w:t> </w:t>
      </w:r>
      <w:r w:rsidRPr="00D242EF">
        <w:t>years (4.9%) and &lt;65</w:t>
      </w:r>
      <w:r w:rsidR="003B2F8E">
        <w:t> </w:t>
      </w:r>
      <w:r w:rsidRPr="00D242EF">
        <w:t xml:space="preserve">years (5.1%). The incidence of somnolence in patients treated with placebo was 2% or less regardless of age. </w:t>
      </w:r>
    </w:p>
    <w:p w14:paraId="6BEBC620" w14:textId="7F687D65" w:rsidR="005732BF" w:rsidRPr="00BB13AE" w:rsidRDefault="005732BF" w:rsidP="005732BF">
      <w:pPr>
        <w:pStyle w:val="Heading3"/>
      </w:pPr>
      <w:r w:rsidRPr="00BB13AE">
        <w:rPr>
          <w:lang w:eastAsia="en-AU"/>
        </w:rPr>
        <w:t>Paediatric Use</w:t>
      </w:r>
    </w:p>
    <w:p w14:paraId="198DE8BC" w14:textId="3BD7F7E9" w:rsidR="005732BF" w:rsidRPr="00BB13AE" w:rsidRDefault="005732BF" w:rsidP="005732BF">
      <w:pPr>
        <w:pStyle w:val="BodyText"/>
      </w:pPr>
      <w:r w:rsidRPr="00BB13AE">
        <w:rPr>
          <w:lang w:eastAsia="en-AU"/>
        </w:rPr>
        <w:t>There is no experience with</w:t>
      </w:r>
      <w:r w:rsidR="00A87572" w:rsidRPr="00BB13AE">
        <w:rPr>
          <w:lang w:eastAsia="en-AU"/>
        </w:rPr>
        <w:t xml:space="preserve"> DAYVIGO in paediatric patients</w:t>
      </w:r>
      <w:r w:rsidRPr="00BB13AE">
        <w:rPr>
          <w:lang w:eastAsia="en-AU"/>
        </w:rPr>
        <w:t xml:space="preserve">. </w:t>
      </w:r>
      <w:r w:rsidR="00A87572" w:rsidRPr="00BB13AE">
        <w:rPr>
          <w:lang w:eastAsia="en-AU"/>
        </w:rPr>
        <w:t xml:space="preserve">DAYVIGO </w:t>
      </w:r>
      <w:r w:rsidRPr="00BB13AE">
        <w:rPr>
          <w:lang w:eastAsia="en-AU"/>
        </w:rPr>
        <w:t>is not recomm</w:t>
      </w:r>
      <w:r w:rsidR="00A87572" w:rsidRPr="00BB13AE">
        <w:rPr>
          <w:lang w:eastAsia="en-AU"/>
        </w:rPr>
        <w:t xml:space="preserve">ended </w:t>
      </w:r>
      <w:r w:rsidR="002B22DF" w:rsidRPr="00BB13AE">
        <w:rPr>
          <w:lang w:eastAsia="en-AU"/>
        </w:rPr>
        <w:t xml:space="preserve">for </w:t>
      </w:r>
      <w:r w:rsidR="00A87572" w:rsidRPr="00BB13AE">
        <w:rPr>
          <w:lang w:eastAsia="en-AU"/>
        </w:rPr>
        <w:t>children aged less than 18</w:t>
      </w:r>
      <w:r w:rsidR="003B2F8E">
        <w:rPr>
          <w:lang w:eastAsia="en-AU"/>
        </w:rPr>
        <w:t> </w:t>
      </w:r>
      <w:r w:rsidRPr="00BB13AE">
        <w:rPr>
          <w:lang w:eastAsia="en-AU"/>
        </w:rPr>
        <w:t xml:space="preserve">years. </w:t>
      </w:r>
    </w:p>
    <w:p w14:paraId="7184D19F" w14:textId="3EE4159E" w:rsidR="00714972" w:rsidRPr="00BB13AE" w:rsidRDefault="00714972" w:rsidP="00FA4E56">
      <w:pPr>
        <w:pStyle w:val="BodyText"/>
      </w:pPr>
    </w:p>
    <w:p w14:paraId="0B89E268" w14:textId="49AE6785" w:rsidR="00714972" w:rsidRPr="00BB13AE" w:rsidRDefault="00714972" w:rsidP="00A76C00">
      <w:pPr>
        <w:pStyle w:val="Heading3"/>
      </w:pPr>
      <w:r w:rsidRPr="00BB13AE">
        <w:t xml:space="preserve">Effect on </w:t>
      </w:r>
      <w:r w:rsidR="00EA2088">
        <w:t>L</w:t>
      </w:r>
      <w:r w:rsidR="00EA2088" w:rsidRPr="00BB13AE">
        <w:t xml:space="preserve">aboratory </w:t>
      </w:r>
      <w:r w:rsidR="00EA2088">
        <w:t>T</w:t>
      </w:r>
      <w:r w:rsidR="00EA2088" w:rsidRPr="00BB13AE">
        <w:t>ests</w:t>
      </w:r>
    </w:p>
    <w:p w14:paraId="5B373E1C" w14:textId="72846E3F" w:rsidR="005F078A" w:rsidRDefault="005F078A" w:rsidP="00A76C00">
      <w:pPr>
        <w:pStyle w:val="BodyText"/>
      </w:pPr>
      <w:r w:rsidRPr="004F3422">
        <w:t>In the pooled data from the two</w:t>
      </w:r>
      <w:r w:rsidR="002C30C2" w:rsidRPr="004F3422">
        <w:t xml:space="preserve"> </w:t>
      </w:r>
      <w:r w:rsidRPr="00F866DE">
        <w:t>controlled studies in patients with insomnia, no clinically meaningful differences were observed between patients receiving DAYVIGO and those receiving placebo in routine serum chemistry, haematology, or urinalysis parameters.</w:t>
      </w:r>
    </w:p>
    <w:p w14:paraId="5D8650FC" w14:textId="77777777" w:rsidR="003E2AEC" w:rsidRDefault="003E2AEC" w:rsidP="00A76C00">
      <w:pPr>
        <w:pStyle w:val="BodyText"/>
      </w:pPr>
    </w:p>
    <w:p w14:paraId="756AAA64" w14:textId="6A314A7B" w:rsidR="00331D32" w:rsidRPr="00BB13AE" w:rsidRDefault="00331D32" w:rsidP="00331D32">
      <w:pPr>
        <w:pStyle w:val="Heading3"/>
      </w:pPr>
      <w:r>
        <w:t>Worsening of Depression/Suicidal Ideation</w:t>
      </w:r>
    </w:p>
    <w:p w14:paraId="117DA4F0" w14:textId="4993EC78" w:rsidR="00331D32" w:rsidRDefault="00331D32" w:rsidP="00331D32">
      <w:pPr>
        <w:pStyle w:val="BodyText"/>
      </w:pPr>
      <w:r w:rsidRPr="0093393E">
        <w:t>In clinical studies of DAYVIGO in patients with insomnia, the incidence of suicidal ideation or any suicidal behaviour, as assessed by questionnaire, was higher in patients receiving DAYVIGO than in those receiving placebo (0.3% for DAYVIGO 10</w:t>
      </w:r>
      <w:r w:rsidR="00F040D6">
        <w:rPr>
          <w:lang w:eastAsia="en-AU"/>
        </w:rPr>
        <w:t> </w:t>
      </w:r>
      <w:r w:rsidRPr="0093393E">
        <w:t>mg, 0.4% for DAYVIGO 5</w:t>
      </w:r>
      <w:r w:rsidR="00F040D6">
        <w:rPr>
          <w:lang w:eastAsia="en-AU"/>
        </w:rPr>
        <w:t> </w:t>
      </w:r>
      <w:r w:rsidRPr="0093393E">
        <w:t xml:space="preserve">mg, and 0.2% for placebo). </w:t>
      </w:r>
    </w:p>
    <w:p w14:paraId="509AE900" w14:textId="77777777" w:rsidR="00331D32" w:rsidRPr="0093393E" w:rsidRDefault="00331D32" w:rsidP="00CD02DC">
      <w:pPr>
        <w:pStyle w:val="BodyText"/>
      </w:pPr>
    </w:p>
    <w:p w14:paraId="1C2D4BBE" w14:textId="6C5103A0" w:rsidR="00331D32" w:rsidRDefault="00331D32" w:rsidP="00CD02DC">
      <w:pPr>
        <w:pStyle w:val="BodyText"/>
      </w:pPr>
      <w:r w:rsidRPr="00AA25EC">
        <w:t xml:space="preserve">In primarily depressed patients treated with hypnotics, worsening of depression and suicidal thoughts and actions (including completed suicides) have been reported. Suicidal tendencies may be present in such patients and protective measures may be required. Intentional overdose is more common in this group of patients; therefore, the lowest number of tablets that is feasible should be prescribed at any one time. The emergence of any new behavioural sign or symptom of concern requires careful and immediate evaluation. </w:t>
      </w:r>
    </w:p>
    <w:p w14:paraId="7B04F873" w14:textId="77777777" w:rsidR="00133550" w:rsidRPr="00AA25EC" w:rsidRDefault="00133550" w:rsidP="00CD02DC">
      <w:pPr>
        <w:pStyle w:val="BodyText"/>
      </w:pPr>
    </w:p>
    <w:p w14:paraId="060D2C8F" w14:textId="77777777" w:rsidR="00620A0F" w:rsidRDefault="00331D32" w:rsidP="00620A0F">
      <w:pPr>
        <w:pStyle w:val="Heading3"/>
      </w:pPr>
      <w:r>
        <w:t>Need to Evaluate for Co-morbid Diagnoses</w:t>
      </w:r>
      <w:bookmarkStart w:id="10" w:name="_Hlk59609351"/>
    </w:p>
    <w:p w14:paraId="24FFE9C4" w14:textId="08BC4034" w:rsidR="007E4FF0" w:rsidRDefault="00331D32" w:rsidP="00CD02DC">
      <w:pPr>
        <w:pStyle w:val="BodyText"/>
      </w:pPr>
      <w:r w:rsidRPr="00370C1C">
        <w:t xml:space="preserve">Because sleep disturbances may be the presenting manifestation of a medical and/or psychiatric disorder, treatment of insomnia should be initiated only after careful evaluation of the patient. The </w:t>
      </w:r>
      <w:r w:rsidRPr="00790787">
        <w:t xml:space="preserve">failure of insomnia to remit after 7 to 10 days of treatment may indicate the presence of a primary psychiatric and/or medical illness that should be evaluated. </w:t>
      </w:r>
      <w:bookmarkEnd w:id="10"/>
      <w:r w:rsidRPr="00790787">
        <w:t>Worsening of insomnia or the emergence of new cognitive or behavioural abnormalities may be the</w:t>
      </w:r>
      <w:r w:rsidRPr="00C56134">
        <w:t xml:space="preserve"> result of an unrecogni</w:t>
      </w:r>
      <w:r w:rsidR="007E25A8">
        <w:t>s</w:t>
      </w:r>
      <w:r w:rsidRPr="00C56134">
        <w:t xml:space="preserve">ed underlying psychiatric or medical disorder and can emerge </w:t>
      </w:r>
      <w:proofErr w:type="gramStart"/>
      <w:r w:rsidRPr="00C56134">
        <w:t>during the course of</w:t>
      </w:r>
      <w:proofErr w:type="gramEnd"/>
      <w:r w:rsidRPr="00C56134">
        <w:t xml:space="preserve"> treatment with sleep-promoting drugs such as DAYVIGO.</w:t>
      </w:r>
    </w:p>
    <w:p w14:paraId="38F7B813" w14:textId="77777777" w:rsidR="00133550" w:rsidRDefault="00133550" w:rsidP="00CD02DC">
      <w:pPr>
        <w:pStyle w:val="BodyText"/>
      </w:pPr>
    </w:p>
    <w:p w14:paraId="4404A11C" w14:textId="28308EE2" w:rsidR="001E2A38" w:rsidRPr="00BB13AE" w:rsidRDefault="001E2A38" w:rsidP="001E2A38">
      <w:pPr>
        <w:pStyle w:val="Heading3"/>
      </w:pPr>
      <w:r>
        <w:t>Sleep Paralysis, Hypnagogic/Hypnopompic Hallucinations, and Cataplexy-like Symptoms</w:t>
      </w:r>
    </w:p>
    <w:p w14:paraId="66FA93AC" w14:textId="5CD975F9" w:rsidR="001E2A38" w:rsidRDefault="001E2A38">
      <w:pPr>
        <w:pStyle w:val="BodyText"/>
      </w:pPr>
      <w:r w:rsidRPr="0093393E">
        <w:t xml:space="preserve">Sleep paralysis, an inability to move or speak for up to several minutes during sleep-wake transitions, and hypnagogic/hypnopompic hallucinations, including vivid and disturbing perceptions, can occur with the use of DAYVIGO. Prescribers should explain the nature of these events to patients when prescribing DAYVIGO. </w:t>
      </w:r>
    </w:p>
    <w:p w14:paraId="1D8FCC0B" w14:textId="77777777" w:rsidR="007E4FF0" w:rsidRPr="0093393E" w:rsidRDefault="007E4FF0" w:rsidP="00CD02DC">
      <w:pPr>
        <w:pStyle w:val="BodyText"/>
      </w:pPr>
    </w:p>
    <w:p w14:paraId="27194F92" w14:textId="0B3CCE69" w:rsidR="008A71BD" w:rsidRDefault="001E2A38" w:rsidP="00CD02DC">
      <w:pPr>
        <w:pStyle w:val="BodyText"/>
      </w:pPr>
      <w:r w:rsidRPr="00AA25EC">
        <w:t xml:space="preserve">Symptoms </w:t>
      </w:r>
      <w:proofErr w:type="gramStart"/>
      <w:r w:rsidRPr="00AA25EC">
        <w:t>similar to</w:t>
      </w:r>
      <w:proofErr w:type="gramEnd"/>
      <w:r w:rsidRPr="00AA25EC">
        <w:t xml:space="preserve"> mild cataplexy can occur with DAYVIGO. Such symptoms can include periods of leg weakness lasting from seconds to a few minutes, can occur either at night or during the day, and may not be associated with an identified triggering event (e.g., laughter or surprise). </w:t>
      </w:r>
    </w:p>
    <w:p w14:paraId="36C7459F" w14:textId="77777777" w:rsidR="00E127AE" w:rsidRDefault="00E127AE" w:rsidP="00CD02DC">
      <w:pPr>
        <w:pStyle w:val="BodyText"/>
      </w:pPr>
    </w:p>
    <w:p w14:paraId="042062BE" w14:textId="77777777" w:rsidR="008A71BD" w:rsidRPr="00A43335" w:rsidRDefault="008A71BD" w:rsidP="008A71BD">
      <w:pPr>
        <w:pStyle w:val="Heading3"/>
      </w:pPr>
      <w:r w:rsidRPr="006D49F5">
        <w:t xml:space="preserve">Complex Sleep Behaviours </w:t>
      </w:r>
    </w:p>
    <w:p w14:paraId="6978B6E9" w14:textId="77777777" w:rsidR="008A71BD" w:rsidRPr="00325106" w:rsidRDefault="008A71BD" w:rsidP="00325106">
      <w:pPr>
        <w:pStyle w:val="BodyText"/>
      </w:pPr>
      <w:bookmarkStart w:id="11" w:name="_Hlk58918728"/>
      <w:bookmarkStart w:id="12" w:name="_Hlk58919006"/>
      <w:r w:rsidRPr="00325106">
        <w:t xml:space="preserve">Complex sleep behaviours, including </w:t>
      </w:r>
      <w:proofErr w:type="gramStart"/>
      <w:r w:rsidRPr="00325106">
        <w:t>sleep-walking</w:t>
      </w:r>
      <w:proofErr w:type="gramEnd"/>
      <w:r w:rsidRPr="00325106">
        <w:t xml:space="preserve">, sleep-driving, and engaging in other activities while not fully awake (e.g., preparing and eating food, making phone calls, having sex), have been reported to occur with the use of hypnotics such as DAYVIGO. These events can occur in hypnotic-naïve as well as in hypnotic-experienced persons. Patients usually do not remember these events. </w:t>
      </w:r>
    </w:p>
    <w:p w14:paraId="717A83D4" w14:textId="4B7CD37D" w:rsidR="008A71BD" w:rsidRPr="00AA25EC" w:rsidRDefault="008A71BD" w:rsidP="00CD02DC">
      <w:pPr>
        <w:pStyle w:val="BodyText"/>
      </w:pPr>
      <w:r w:rsidRPr="006D49F5">
        <w:t>Complex sleep behaviours may occur following the first or any subsequent use of DAYVIGO, with or without the concomitant use of alcohol and other CNS depressants. Discontinue DAYVIGO immediately if a patient experiences a complex sleep behaviour</w:t>
      </w:r>
      <w:bookmarkEnd w:id="11"/>
      <w:r w:rsidRPr="006D49F5">
        <w:t>.</w:t>
      </w:r>
      <w:bookmarkEnd w:id="12"/>
    </w:p>
    <w:p w14:paraId="0CB37DEC" w14:textId="77777777" w:rsidR="00C205C3" w:rsidRPr="00CD02DC" w:rsidRDefault="00C205C3" w:rsidP="00AA6B02">
      <w:pPr>
        <w:pStyle w:val="BodyText"/>
      </w:pPr>
    </w:p>
    <w:p w14:paraId="201F15EF" w14:textId="77777777" w:rsidR="00032264" w:rsidRPr="004F3422" w:rsidRDefault="00032264" w:rsidP="00032264">
      <w:pPr>
        <w:pStyle w:val="Heading2"/>
        <w:ind w:left="578" w:hanging="578"/>
      </w:pPr>
      <w:bookmarkStart w:id="13" w:name="_Ref503187121"/>
      <w:bookmarkStart w:id="14" w:name="_Ref38379273"/>
      <w:r w:rsidRPr="004F3422">
        <w:t>Interactions with other medicines and other forms of interactions</w:t>
      </w:r>
      <w:bookmarkEnd w:id="13"/>
      <w:bookmarkEnd w:id="14"/>
    </w:p>
    <w:p w14:paraId="583492C5" w14:textId="659A0C33" w:rsidR="00A87572" w:rsidRPr="00F866DE" w:rsidRDefault="00A87572" w:rsidP="00A87572">
      <w:pPr>
        <w:pStyle w:val="Heading3"/>
      </w:pPr>
      <w:r w:rsidRPr="00F866DE">
        <w:t>Potential for Other Medicinal Products to Affect DAYVIGO</w:t>
      </w:r>
    </w:p>
    <w:p w14:paraId="73EF7B63" w14:textId="56AC040E" w:rsidR="00A87572" w:rsidRPr="004F3422" w:rsidRDefault="001B58E5" w:rsidP="00A87572">
      <w:pPr>
        <w:pStyle w:val="Heading4"/>
      </w:pPr>
      <w:r w:rsidRPr="004F3422">
        <w:t xml:space="preserve">Weak, Moderate and Strong </w:t>
      </w:r>
      <w:r w:rsidR="00A87572" w:rsidRPr="004F3422">
        <w:t>CYP3A Inhibitors</w:t>
      </w:r>
    </w:p>
    <w:p w14:paraId="77DFF82F" w14:textId="130CF42E" w:rsidR="00A87572" w:rsidRPr="004F3422" w:rsidRDefault="00A87572" w:rsidP="00A87572">
      <w:pPr>
        <w:pStyle w:val="BodyText"/>
      </w:pPr>
      <w:r w:rsidRPr="004F3422">
        <w:t>Metabolism by CYP3A is the major elimination pathway of lemborexant. Co-administration of DAYVIGO with moderate CYP3A inhibitors (e.g., fluconazole) or strong CYP3A inhibitors (e.g., itraconazole) increased the exposure (AUC) of lemborexant by approximately 4-fold and C</w:t>
      </w:r>
      <w:r w:rsidRPr="004F3422">
        <w:rPr>
          <w:vertAlign w:val="subscript"/>
        </w:rPr>
        <w:t>max</w:t>
      </w:r>
      <w:r w:rsidRPr="004F3422">
        <w:t xml:space="preserve"> by 1.6-fold. Other moderate and strong inhibitors of CYP3A would be expected to have similar effects on plasma levels of lemborexant. (see Section </w:t>
      </w:r>
      <w:r w:rsidRPr="004F3422">
        <w:fldChar w:fldCharType="begin"/>
      </w:r>
      <w:r w:rsidRPr="004F3422">
        <w:instrText xml:space="preserve"> REF _Ref503529038 \r \h </w:instrText>
      </w:r>
      <w:r w:rsidRPr="004F3422">
        <w:fldChar w:fldCharType="separate"/>
      </w:r>
      <w:r w:rsidR="003A0FF4">
        <w:t>4.2</w:t>
      </w:r>
      <w:r w:rsidRPr="004F3422">
        <w:fldChar w:fldCharType="end"/>
      </w:r>
      <w:r w:rsidRPr="004F3422">
        <w:t xml:space="preserve"> </w:t>
      </w:r>
      <w:r w:rsidRPr="004F3422">
        <w:fldChar w:fldCharType="begin"/>
      </w:r>
      <w:r w:rsidRPr="004F3422">
        <w:instrText xml:space="preserve"> REF _Ref503529038 \h </w:instrText>
      </w:r>
      <w:r w:rsidRPr="004F3422">
        <w:fldChar w:fldCharType="separate"/>
      </w:r>
      <w:r w:rsidR="003A0FF4" w:rsidRPr="004F3422">
        <w:t>Dose and method of administration</w:t>
      </w:r>
      <w:r w:rsidRPr="004F3422">
        <w:fldChar w:fldCharType="end"/>
      </w:r>
      <w:r w:rsidRPr="004F3422">
        <w:t xml:space="preserve">, and Section </w:t>
      </w:r>
      <w:r w:rsidRPr="004F3422">
        <w:fldChar w:fldCharType="begin"/>
      </w:r>
      <w:r w:rsidRPr="004F3422">
        <w:instrText xml:space="preserve"> REF _Ref2178479 \r \h </w:instrText>
      </w:r>
      <w:r w:rsidRPr="004F3422">
        <w:fldChar w:fldCharType="separate"/>
      </w:r>
      <w:r w:rsidR="003A0FF4">
        <w:t>5.2</w:t>
      </w:r>
      <w:r w:rsidRPr="004F3422">
        <w:fldChar w:fldCharType="end"/>
      </w:r>
      <w:r w:rsidRPr="004F3422">
        <w:t xml:space="preserve"> </w:t>
      </w:r>
      <w:r w:rsidRPr="004F3422">
        <w:fldChar w:fldCharType="begin"/>
      </w:r>
      <w:r w:rsidRPr="004F3422">
        <w:instrText xml:space="preserve"> REF _Ref2178479 \h </w:instrText>
      </w:r>
      <w:r w:rsidRPr="004F3422">
        <w:fldChar w:fldCharType="separate"/>
      </w:r>
      <w:r w:rsidR="003A0FF4" w:rsidRPr="00F866DE">
        <w:t>Pharmacokinetic properties</w:t>
      </w:r>
      <w:r w:rsidRPr="004F3422">
        <w:fldChar w:fldCharType="end"/>
      </w:r>
      <w:r w:rsidRPr="004F3422">
        <w:t>).</w:t>
      </w:r>
    </w:p>
    <w:p w14:paraId="4F63D5FE" w14:textId="77777777" w:rsidR="00A87572" w:rsidRPr="00F866DE" w:rsidRDefault="00A87572" w:rsidP="00A87572">
      <w:pPr>
        <w:pStyle w:val="BodyText"/>
      </w:pPr>
    </w:p>
    <w:p w14:paraId="78B2B069" w14:textId="165FCD78" w:rsidR="00A87572" w:rsidRPr="004F3422" w:rsidRDefault="00A87572" w:rsidP="00A87572">
      <w:pPr>
        <w:pStyle w:val="BodyText"/>
      </w:pPr>
      <w:r w:rsidRPr="004F3422">
        <w:t xml:space="preserve">Using a physiologically based pharmacokinetic (PBPK) model, a weak effect is predicted when weak CYP3A inhibitors (e.g., fluoxetine) are co-administered with DAYVIGO. </w:t>
      </w:r>
      <w:r w:rsidR="00243213" w:rsidRPr="004F3422">
        <w:t xml:space="preserve">Avoid concomitant use of DAYVIGO with moderate or strong CYP3A inhibitors. </w:t>
      </w:r>
      <w:r w:rsidRPr="004F3422">
        <w:t>The recommended dose of DAYVIGO is 5</w:t>
      </w:r>
      <w:r w:rsidR="005317E4">
        <w:t> mg</w:t>
      </w:r>
      <w:r w:rsidRPr="004F3422">
        <w:t xml:space="preserve"> when co-administered with weak CYP3A inhibitors (see Section </w:t>
      </w:r>
      <w:r w:rsidRPr="004F3422">
        <w:fldChar w:fldCharType="begin"/>
      </w:r>
      <w:r w:rsidRPr="004F3422">
        <w:instrText xml:space="preserve"> REF _Ref503529038 \r \h </w:instrText>
      </w:r>
      <w:r w:rsidRPr="004F3422">
        <w:fldChar w:fldCharType="separate"/>
      </w:r>
      <w:r w:rsidR="003A0FF4">
        <w:t>4.2</w:t>
      </w:r>
      <w:r w:rsidRPr="004F3422">
        <w:fldChar w:fldCharType="end"/>
      </w:r>
      <w:r w:rsidRPr="004F3422">
        <w:t xml:space="preserve"> </w:t>
      </w:r>
      <w:r w:rsidRPr="004F3422">
        <w:fldChar w:fldCharType="begin"/>
      </w:r>
      <w:r w:rsidRPr="004F3422">
        <w:instrText xml:space="preserve"> REF _Ref503529038 \h </w:instrText>
      </w:r>
      <w:r w:rsidRPr="004F3422">
        <w:fldChar w:fldCharType="separate"/>
      </w:r>
      <w:r w:rsidR="003A0FF4" w:rsidRPr="004F3422">
        <w:t>Dose and method of administration</w:t>
      </w:r>
      <w:r w:rsidRPr="004F3422">
        <w:fldChar w:fldCharType="end"/>
      </w:r>
      <w:r w:rsidRPr="004F3422">
        <w:t xml:space="preserve">, and Section </w:t>
      </w:r>
      <w:r w:rsidRPr="004F3422">
        <w:fldChar w:fldCharType="begin"/>
      </w:r>
      <w:r w:rsidRPr="004F3422">
        <w:instrText xml:space="preserve"> REF _Ref2178479 \r \h </w:instrText>
      </w:r>
      <w:r w:rsidRPr="004F3422">
        <w:fldChar w:fldCharType="separate"/>
      </w:r>
      <w:r w:rsidR="003A0FF4">
        <w:t>5.2</w:t>
      </w:r>
      <w:r w:rsidRPr="004F3422">
        <w:fldChar w:fldCharType="end"/>
      </w:r>
      <w:r w:rsidRPr="004F3422">
        <w:t xml:space="preserve"> </w:t>
      </w:r>
      <w:r w:rsidRPr="004F3422">
        <w:fldChar w:fldCharType="begin"/>
      </w:r>
      <w:r w:rsidRPr="004F3422">
        <w:instrText xml:space="preserve"> REF _Ref2178479 \h </w:instrText>
      </w:r>
      <w:r w:rsidRPr="004F3422">
        <w:fldChar w:fldCharType="separate"/>
      </w:r>
      <w:r w:rsidR="003A0FF4" w:rsidRPr="00F866DE">
        <w:t>Pharmacokinetic properties</w:t>
      </w:r>
      <w:r w:rsidRPr="004F3422">
        <w:fldChar w:fldCharType="end"/>
      </w:r>
      <w:r w:rsidRPr="004F3422">
        <w:t>).</w:t>
      </w:r>
    </w:p>
    <w:p w14:paraId="791CF2BA" w14:textId="77777777" w:rsidR="00A87572" w:rsidRPr="00F866DE" w:rsidRDefault="00A87572" w:rsidP="00A87572">
      <w:pPr>
        <w:pStyle w:val="BodyText"/>
      </w:pPr>
    </w:p>
    <w:p w14:paraId="7A26A154" w14:textId="2B162F0D" w:rsidR="00A87572" w:rsidRPr="004F3422" w:rsidRDefault="00243213" w:rsidP="00A87572">
      <w:pPr>
        <w:pStyle w:val="Heading4"/>
      </w:pPr>
      <w:r w:rsidRPr="004F3422">
        <w:t xml:space="preserve">Moderate and Strong </w:t>
      </w:r>
      <w:r w:rsidR="00A87572" w:rsidRPr="004F3422">
        <w:t>CYP3A Inducers</w:t>
      </w:r>
    </w:p>
    <w:p w14:paraId="26FF2EAD" w14:textId="64F0EC3B" w:rsidR="00A87572" w:rsidRPr="004F3422" w:rsidRDefault="00844D9E" w:rsidP="00A87572">
      <w:pPr>
        <w:pStyle w:val="BodyText"/>
      </w:pPr>
      <w:r>
        <w:t>A</w:t>
      </w:r>
      <w:r w:rsidRPr="004F3422">
        <w:t>void co-administration of DAYVIGO with moderate or strong CYP3A inducers</w:t>
      </w:r>
      <w:r>
        <w:t xml:space="preserve">. </w:t>
      </w:r>
      <w:r w:rsidR="00A87572" w:rsidRPr="004F3422">
        <w:t xml:space="preserve">Co-administration </w:t>
      </w:r>
      <w:r w:rsidR="00243213" w:rsidRPr="004F3422">
        <w:t xml:space="preserve">with a strong </w:t>
      </w:r>
      <w:r w:rsidR="00A87572" w:rsidRPr="004F3422">
        <w:t xml:space="preserve">CYP3A inducer resulted in a 97% reduction in </w:t>
      </w:r>
      <w:r w:rsidR="00243213" w:rsidRPr="004F3422">
        <w:t xml:space="preserve">DAYVIGO </w:t>
      </w:r>
      <w:r w:rsidR="00A87572" w:rsidRPr="004F3422">
        <w:t>systemic exposure. This may result in a decrease in efficacy</w:t>
      </w:r>
      <w:r w:rsidR="00BB13AE">
        <w:t xml:space="preserve"> </w:t>
      </w:r>
      <w:r w:rsidR="00A87572" w:rsidRPr="004F3422">
        <w:t xml:space="preserve">(see Section </w:t>
      </w:r>
      <w:r w:rsidR="00A87572" w:rsidRPr="004F3422">
        <w:fldChar w:fldCharType="begin"/>
      </w:r>
      <w:r w:rsidR="00A87572" w:rsidRPr="004F3422">
        <w:instrText xml:space="preserve"> REF _Ref503529038 \r \h </w:instrText>
      </w:r>
      <w:r w:rsidR="00A87572" w:rsidRPr="004F3422">
        <w:fldChar w:fldCharType="separate"/>
      </w:r>
      <w:r w:rsidR="003A0FF4">
        <w:t>4.2</w:t>
      </w:r>
      <w:r w:rsidR="00A87572" w:rsidRPr="004F3422">
        <w:fldChar w:fldCharType="end"/>
      </w:r>
      <w:r w:rsidR="00A87572" w:rsidRPr="004F3422">
        <w:t xml:space="preserve"> </w:t>
      </w:r>
      <w:r w:rsidR="00A87572" w:rsidRPr="004F3422">
        <w:fldChar w:fldCharType="begin"/>
      </w:r>
      <w:r w:rsidR="00A87572" w:rsidRPr="004F3422">
        <w:instrText xml:space="preserve"> REF _Ref503529038 \h </w:instrText>
      </w:r>
      <w:r w:rsidR="00A87572" w:rsidRPr="004F3422">
        <w:fldChar w:fldCharType="separate"/>
      </w:r>
      <w:r w:rsidR="003A0FF4" w:rsidRPr="004F3422">
        <w:t>Dose and method of administration</w:t>
      </w:r>
      <w:r w:rsidR="00A87572" w:rsidRPr="004F3422">
        <w:fldChar w:fldCharType="end"/>
      </w:r>
      <w:r w:rsidR="00A87572" w:rsidRPr="004F3422">
        <w:t xml:space="preserve">, and Section </w:t>
      </w:r>
      <w:r w:rsidR="00A87572" w:rsidRPr="004F3422">
        <w:fldChar w:fldCharType="begin"/>
      </w:r>
      <w:r w:rsidR="00A87572" w:rsidRPr="004F3422">
        <w:instrText xml:space="preserve"> REF _Ref2178479 \r \h </w:instrText>
      </w:r>
      <w:r w:rsidR="00A87572" w:rsidRPr="004F3422">
        <w:fldChar w:fldCharType="separate"/>
      </w:r>
      <w:r w:rsidR="003A0FF4">
        <w:t>5.2</w:t>
      </w:r>
      <w:r w:rsidR="00A87572" w:rsidRPr="004F3422">
        <w:fldChar w:fldCharType="end"/>
      </w:r>
      <w:r w:rsidR="00A87572" w:rsidRPr="004F3422">
        <w:t xml:space="preserve"> </w:t>
      </w:r>
      <w:r w:rsidR="00A87572" w:rsidRPr="004F3422">
        <w:fldChar w:fldCharType="begin"/>
      </w:r>
      <w:r w:rsidR="00A87572" w:rsidRPr="004F3422">
        <w:instrText xml:space="preserve"> REF _Ref2178479 \h </w:instrText>
      </w:r>
      <w:r w:rsidR="00A87572" w:rsidRPr="004F3422">
        <w:fldChar w:fldCharType="separate"/>
      </w:r>
      <w:r w:rsidR="003A0FF4" w:rsidRPr="00F866DE">
        <w:t>Pharmacokinetic properties</w:t>
      </w:r>
      <w:r w:rsidR="00A87572" w:rsidRPr="004F3422">
        <w:fldChar w:fldCharType="end"/>
      </w:r>
      <w:r w:rsidR="00A87572" w:rsidRPr="004F3422">
        <w:t>).</w:t>
      </w:r>
    </w:p>
    <w:p w14:paraId="7D600465" w14:textId="77777777" w:rsidR="00A87572" w:rsidRPr="00F866DE" w:rsidRDefault="00A87572" w:rsidP="00A87572">
      <w:pPr>
        <w:pStyle w:val="BodyText"/>
      </w:pPr>
    </w:p>
    <w:p w14:paraId="26AE7798" w14:textId="7F4306F1" w:rsidR="00A87572" w:rsidRPr="004F3422" w:rsidRDefault="00A87572" w:rsidP="00A87572">
      <w:pPr>
        <w:pStyle w:val="Heading4"/>
      </w:pPr>
      <w:r w:rsidRPr="004F3422">
        <w:t>In Vitro Studies with Transporters</w:t>
      </w:r>
    </w:p>
    <w:p w14:paraId="0DC9DD41" w14:textId="4E75912B" w:rsidR="00A87572" w:rsidRPr="004F3422" w:rsidRDefault="00A87572" w:rsidP="00A87572">
      <w:pPr>
        <w:pStyle w:val="BodyText"/>
      </w:pPr>
      <w:r w:rsidRPr="004F3422">
        <w:t>Lemborexant is a poor substrate of P-gp, but its major metabolite (M10) is a substrate of P</w:t>
      </w:r>
      <w:r w:rsidRPr="004F3422">
        <w:noBreakHyphen/>
        <w:t xml:space="preserve">gp. Lemborexant and M10 are not substrates of BCRP, OATP1B1, or OATP1B3 (see Section </w:t>
      </w:r>
      <w:r w:rsidRPr="004F3422">
        <w:fldChar w:fldCharType="begin"/>
      </w:r>
      <w:r w:rsidRPr="004F3422">
        <w:instrText xml:space="preserve"> REF _Ref2178479 \r \h </w:instrText>
      </w:r>
      <w:r w:rsidRPr="004F3422">
        <w:fldChar w:fldCharType="separate"/>
      </w:r>
      <w:r w:rsidR="003A0FF4">
        <w:t>5.2</w:t>
      </w:r>
      <w:r w:rsidRPr="004F3422">
        <w:fldChar w:fldCharType="end"/>
      </w:r>
      <w:r w:rsidRPr="004F3422">
        <w:t xml:space="preserve"> </w:t>
      </w:r>
      <w:r w:rsidRPr="004F3422">
        <w:fldChar w:fldCharType="begin"/>
      </w:r>
      <w:r w:rsidRPr="004F3422">
        <w:instrText xml:space="preserve"> REF _Ref2178479 \h </w:instrText>
      </w:r>
      <w:r w:rsidRPr="004F3422">
        <w:fldChar w:fldCharType="separate"/>
      </w:r>
      <w:r w:rsidR="003A0FF4" w:rsidRPr="00F866DE">
        <w:t>Pharmacokinetic properties</w:t>
      </w:r>
      <w:r w:rsidRPr="004F3422">
        <w:fldChar w:fldCharType="end"/>
      </w:r>
      <w:r w:rsidRPr="004F3422">
        <w:t>).</w:t>
      </w:r>
    </w:p>
    <w:p w14:paraId="1F02DA92" w14:textId="7F2444EB" w:rsidR="00A87572" w:rsidRPr="00F866DE" w:rsidRDefault="00A87572" w:rsidP="00A87572">
      <w:pPr>
        <w:pStyle w:val="BodyText"/>
      </w:pPr>
    </w:p>
    <w:p w14:paraId="020A33F2" w14:textId="50523622" w:rsidR="00243213" w:rsidRPr="004F3422" w:rsidRDefault="00243213" w:rsidP="00243213">
      <w:pPr>
        <w:pStyle w:val="Heading4"/>
      </w:pPr>
      <w:r w:rsidRPr="004F3422">
        <w:t>Alcohol</w:t>
      </w:r>
    </w:p>
    <w:p w14:paraId="2BC9E316" w14:textId="6359A7B4" w:rsidR="00243213" w:rsidRPr="004F3422" w:rsidRDefault="000E6F91" w:rsidP="00243213">
      <w:pPr>
        <w:pStyle w:val="BodyText"/>
      </w:pPr>
      <w:r w:rsidRPr="004F3422">
        <w:t>Lemborexant</w:t>
      </w:r>
      <w:r w:rsidR="00243213" w:rsidRPr="004F3422">
        <w:t xml:space="preserve"> C</w:t>
      </w:r>
      <w:r w:rsidR="00243213" w:rsidRPr="004F3422">
        <w:rPr>
          <w:vertAlign w:val="subscript"/>
        </w:rPr>
        <w:t>max</w:t>
      </w:r>
      <w:r w:rsidR="00243213" w:rsidRPr="004F3422">
        <w:t xml:space="preserve"> and AUC increased by 35% and 70%, respectively, when co</w:t>
      </w:r>
      <w:r w:rsidR="00243213" w:rsidRPr="004F3422">
        <w:noBreakHyphen/>
        <w:t>administered with alcohol.</w:t>
      </w:r>
      <w:r w:rsidRPr="004F3422">
        <w:t xml:space="preserve"> Lemborexant</w:t>
      </w:r>
      <w:r w:rsidR="00243213" w:rsidRPr="004F3422">
        <w:t xml:space="preserve"> did not affect alcohol concentrations. Alcohol should not be consumed with DAYVIGO </w:t>
      </w:r>
      <w:r w:rsidRPr="004F3422">
        <w:t>(</w:t>
      </w:r>
      <w:r w:rsidR="00243213" w:rsidRPr="004F3422">
        <w:t xml:space="preserve">see Section </w:t>
      </w:r>
      <w:r w:rsidR="00243213" w:rsidRPr="004F3422">
        <w:fldChar w:fldCharType="begin"/>
      </w:r>
      <w:r w:rsidR="00243213" w:rsidRPr="004F3422">
        <w:instrText xml:space="preserve"> REF _Ref503529038 \r \h </w:instrText>
      </w:r>
      <w:r w:rsidR="00243213" w:rsidRPr="004F3422">
        <w:fldChar w:fldCharType="separate"/>
      </w:r>
      <w:r w:rsidR="003A0FF4">
        <w:t>4.2</w:t>
      </w:r>
      <w:r w:rsidR="00243213" w:rsidRPr="004F3422">
        <w:fldChar w:fldCharType="end"/>
      </w:r>
      <w:r w:rsidR="00243213" w:rsidRPr="004F3422">
        <w:t xml:space="preserve"> </w:t>
      </w:r>
      <w:r w:rsidR="00243213" w:rsidRPr="004F3422">
        <w:fldChar w:fldCharType="begin"/>
      </w:r>
      <w:r w:rsidR="00243213" w:rsidRPr="004F3422">
        <w:instrText xml:space="preserve"> REF _Ref503529038 \h </w:instrText>
      </w:r>
      <w:r w:rsidR="00243213" w:rsidRPr="004F3422">
        <w:fldChar w:fldCharType="separate"/>
      </w:r>
      <w:r w:rsidR="003A0FF4" w:rsidRPr="004F3422">
        <w:t>Dose and method of administration</w:t>
      </w:r>
      <w:r w:rsidR="00243213" w:rsidRPr="004F3422">
        <w:fldChar w:fldCharType="end"/>
      </w:r>
      <w:r w:rsidR="00243213" w:rsidRPr="004F3422">
        <w:t xml:space="preserve">, Section </w:t>
      </w:r>
      <w:r w:rsidR="00243213" w:rsidRPr="004F3422">
        <w:fldChar w:fldCharType="begin"/>
      </w:r>
      <w:r w:rsidR="00243213" w:rsidRPr="004F3422">
        <w:instrText xml:space="preserve"> REF _Ref503187121 \r \h </w:instrText>
      </w:r>
      <w:r w:rsidR="00243213" w:rsidRPr="004F3422">
        <w:fldChar w:fldCharType="separate"/>
      </w:r>
      <w:r w:rsidR="003A0FF4">
        <w:t>4.5</w:t>
      </w:r>
      <w:r w:rsidR="00243213" w:rsidRPr="004F3422">
        <w:fldChar w:fldCharType="end"/>
      </w:r>
      <w:r w:rsidR="00243213" w:rsidRPr="004F3422">
        <w:t xml:space="preserve"> </w:t>
      </w:r>
      <w:r w:rsidR="00243213" w:rsidRPr="004F3422">
        <w:fldChar w:fldCharType="begin"/>
      </w:r>
      <w:r w:rsidR="00243213" w:rsidRPr="004F3422">
        <w:instrText xml:space="preserve"> REF _Ref503187121 \h </w:instrText>
      </w:r>
      <w:r w:rsidR="00243213" w:rsidRPr="004F3422">
        <w:fldChar w:fldCharType="separate"/>
      </w:r>
      <w:r w:rsidR="003A0FF4" w:rsidRPr="004F3422">
        <w:t>Interactions with other medicines and other forms of interactions</w:t>
      </w:r>
      <w:r w:rsidR="00243213" w:rsidRPr="004F3422">
        <w:fldChar w:fldCharType="end"/>
      </w:r>
      <w:r w:rsidR="00243213" w:rsidRPr="004F3422">
        <w:t xml:space="preserve">, Section </w:t>
      </w:r>
      <w:r w:rsidR="00243213" w:rsidRPr="004F3422">
        <w:fldChar w:fldCharType="begin"/>
      </w:r>
      <w:r w:rsidR="00243213" w:rsidRPr="004F3422">
        <w:instrText xml:space="preserve"> REF _Ref2178479 \r \h </w:instrText>
      </w:r>
      <w:r w:rsidR="00243213" w:rsidRPr="004F3422">
        <w:fldChar w:fldCharType="separate"/>
      </w:r>
      <w:r w:rsidR="003A0FF4">
        <w:t>5.2</w:t>
      </w:r>
      <w:r w:rsidR="00243213" w:rsidRPr="004F3422">
        <w:fldChar w:fldCharType="end"/>
      </w:r>
      <w:r w:rsidR="00243213" w:rsidRPr="004F3422">
        <w:t xml:space="preserve"> </w:t>
      </w:r>
      <w:r w:rsidR="00243213" w:rsidRPr="004F3422">
        <w:fldChar w:fldCharType="begin"/>
      </w:r>
      <w:r w:rsidR="00243213" w:rsidRPr="004F3422">
        <w:instrText xml:space="preserve"> REF _Ref2178479 \h </w:instrText>
      </w:r>
      <w:r w:rsidR="00243213" w:rsidRPr="004F3422">
        <w:fldChar w:fldCharType="separate"/>
      </w:r>
      <w:r w:rsidR="003A0FF4" w:rsidRPr="00F866DE">
        <w:t>Pharmacokinetic properties</w:t>
      </w:r>
      <w:r w:rsidR="00243213" w:rsidRPr="004F3422">
        <w:fldChar w:fldCharType="end"/>
      </w:r>
      <w:r w:rsidR="00243213" w:rsidRPr="004F3422">
        <w:t>).</w:t>
      </w:r>
    </w:p>
    <w:p w14:paraId="2D74D7B8" w14:textId="77777777" w:rsidR="00243213" w:rsidRPr="00F866DE" w:rsidRDefault="00243213" w:rsidP="00A87572">
      <w:pPr>
        <w:pStyle w:val="BodyText"/>
      </w:pPr>
    </w:p>
    <w:p w14:paraId="1439B54C" w14:textId="261C3982" w:rsidR="00A87572" w:rsidRPr="004F3422" w:rsidRDefault="00A87572" w:rsidP="00A87572">
      <w:pPr>
        <w:pStyle w:val="Heading3"/>
      </w:pPr>
      <w:r w:rsidRPr="004F3422">
        <w:t>Potential for DAYVIGO to Affect Other Medicinal Products</w:t>
      </w:r>
    </w:p>
    <w:p w14:paraId="04ECDE4F" w14:textId="563CAA60" w:rsidR="00A87572" w:rsidRPr="004F3422" w:rsidRDefault="00A87572" w:rsidP="00A87572">
      <w:pPr>
        <w:pStyle w:val="Heading4"/>
      </w:pPr>
      <w:r w:rsidRPr="004F3422">
        <w:t>Clinical Studies with Substrates of CYP3A or CYP2B6</w:t>
      </w:r>
    </w:p>
    <w:p w14:paraId="3487665D" w14:textId="378C97D0" w:rsidR="00A87572" w:rsidRPr="004F3422" w:rsidRDefault="00A87572" w:rsidP="00A87572">
      <w:pPr>
        <w:pStyle w:val="BodyText"/>
      </w:pPr>
      <w:r w:rsidRPr="004F3422">
        <w:t>Lemborexant induce</w:t>
      </w:r>
      <w:r w:rsidR="008A71BD">
        <w:t>d and</w:t>
      </w:r>
      <w:r w:rsidRPr="004F3422">
        <w:t xml:space="preserve"> inhibit</w:t>
      </w:r>
      <w:r w:rsidR="008A71BD">
        <w:t>ed</w:t>
      </w:r>
      <w:r w:rsidRPr="004F3422">
        <w:t xml:space="preserve"> CYP3A4 </w:t>
      </w:r>
      <w:r w:rsidR="008A71BD" w:rsidRPr="000276BB">
        <w:rPr>
          <w:i/>
          <w:iCs/>
        </w:rPr>
        <w:t>in vitro</w:t>
      </w:r>
      <w:r w:rsidR="008A71BD">
        <w:t>; however, this was not seen in clinical studies</w:t>
      </w:r>
      <w:r w:rsidR="008A71BD" w:rsidRPr="004F3422">
        <w:t xml:space="preserve"> </w:t>
      </w:r>
      <w:r w:rsidRPr="004F3422">
        <w:t>as shown by the absence of a drug-drug interaction with midazolam (a CYP3A4 substrate). Lemborexant weakly induces CYP2B6 based on study with bupropion as a CYP2B6 substrate. Substrates of CYP3A and CYP2B6 can be co-administered with</w:t>
      </w:r>
      <w:r w:rsidR="000E6F91" w:rsidRPr="004F3422">
        <w:t xml:space="preserve"> DAYVIGO</w:t>
      </w:r>
      <w:r w:rsidRPr="004F3422">
        <w:t xml:space="preserve"> (see Section </w:t>
      </w:r>
      <w:r w:rsidRPr="004F3422">
        <w:fldChar w:fldCharType="begin"/>
      </w:r>
      <w:r w:rsidRPr="004F3422">
        <w:instrText xml:space="preserve"> REF _Ref2178479 \r \h </w:instrText>
      </w:r>
      <w:r w:rsidRPr="004F3422">
        <w:fldChar w:fldCharType="separate"/>
      </w:r>
      <w:r w:rsidR="003A0FF4">
        <w:t>5.2</w:t>
      </w:r>
      <w:r w:rsidRPr="004F3422">
        <w:fldChar w:fldCharType="end"/>
      </w:r>
      <w:r w:rsidRPr="004F3422">
        <w:t xml:space="preserve"> </w:t>
      </w:r>
      <w:r w:rsidRPr="004F3422">
        <w:fldChar w:fldCharType="begin"/>
      </w:r>
      <w:r w:rsidRPr="004F3422">
        <w:instrText xml:space="preserve"> REF _Ref2178479 \h </w:instrText>
      </w:r>
      <w:r w:rsidRPr="004F3422">
        <w:fldChar w:fldCharType="separate"/>
      </w:r>
      <w:r w:rsidR="003A0FF4" w:rsidRPr="00F866DE">
        <w:t>Pharmacokinetic properties</w:t>
      </w:r>
      <w:r w:rsidRPr="004F3422">
        <w:fldChar w:fldCharType="end"/>
      </w:r>
      <w:r w:rsidRPr="004F3422">
        <w:t>).</w:t>
      </w:r>
    </w:p>
    <w:p w14:paraId="6FDF3383" w14:textId="77777777" w:rsidR="00A87572" w:rsidRPr="00F866DE" w:rsidRDefault="00A87572" w:rsidP="00A87572">
      <w:pPr>
        <w:pStyle w:val="BodyText"/>
      </w:pPr>
    </w:p>
    <w:p w14:paraId="496EBA7A" w14:textId="20EB5441" w:rsidR="00A87572" w:rsidRPr="004F3422" w:rsidRDefault="00A87572" w:rsidP="00A87572">
      <w:pPr>
        <w:pStyle w:val="Heading4"/>
      </w:pPr>
      <w:r w:rsidRPr="004F3422">
        <w:t>In Vitro Studies with Substrates of CYP</w:t>
      </w:r>
    </w:p>
    <w:p w14:paraId="13B692DA" w14:textId="5DDDAE05" w:rsidR="00A87572" w:rsidRPr="004F3422" w:rsidRDefault="00A87572" w:rsidP="00A87572">
      <w:pPr>
        <w:pStyle w:val="BodyText"/>
      </w:pPr>
      <w:r w:rsidRPr="004F3422">
        <w:t xml:space="preserve">In vitro, lemborexant has a potential to induce CYP3A and a weak potential to inhibit CYP3A and induce CYP2B6. Lemborexant and M10 do not have the potential to inhibit other CYP isoforms (see Section </w:t>
      </w:r>
      <w:r w:rsidRPr="004F3422">
        <w:fldChar w:fldCharType="begin"/>
      </w:r>
      <w:r w:rsidRPr="004F3422">
        <w:instrText xml:space="preserve"> REF _Ref2178479 \r \h </w:instrText>
      </w:r>
      <w:r w:rsidRPr="004F3422">
        <w:fldChar w:fldCharType="separate"/>
      </w:r>
      <w:r w:rsidR="003A0FF4">
        <w:t>5.2</w:t>
      </w:r>
      <w:r w:rsidRPr="004F3422">
        <w:fldChar w:fldCharType="end"/>
      </w:r>
      <w:r w:rsidRPr="004F3422">
        <w:t xml:space="preserve"> </w:t>
      </w:r>
      <w:r w:rsidRPr="004F3422">
        <w:fldChar w:fldCharType="begin"/>
      </w:r>
      <w:r w:rsidRPr="004F3422">
        <w:instrText xml:space="preserve"> REF _Ref2178479 \h </w:instrText>
      </w:r>
      <w:r w:rsidRPr="004F3422">
        <w:fldChar w:fldCharType="separate"/>
      </w:r>
      <w:r w:rsidR="003A0FF4" w:rsidRPr="00F866DE">
        <w:t>Pharmacokinetic properties</w:t>
      </w:r>
      <w:r w:rsidRPr="004F3422">
        <w:fldChar w:fldCharType="end"/>
      </w:r>
      <w:r w:rsidRPr="004F3422">
        <w:t>).</w:t>
      </w:r>
    </w:p>
    <w:p w14:paraId="6920B249" w14:textId="77777777" w:rsidR="00A87572" w:rsidRPr="00F866DE" w:rsidRDefault="00A87572" w:rsidP="00A87572">
      <w:pPr>
        <w:pStyle w:val="BodyText"/>
      </w:pPr>
    </w:p>
    <w:p w14:paraId="5E2C75C8" w14:textId="002404D5" w:rsidR="00A87572" w:rsidRPr="004F3422" w:rsidRDefault="00A87572" w:rsidP="00A87572">
      <w:pPr>
        <w:pStyle w:val="Heading4"/>
      </w:pPr>
      <w:r w:rsidRPr="004F3422">
        <w:t>In Vitro Studies with Substrates of Transporters</w:t>
      </w:r>
    </w:p>
    <w:p w14:paraId="75C07A71" w14:textId="0049D2CC" w:rsidR="00A87572" w:rsidRPr="004F3422" w:rsidRDefault="00A87572" w:rsidP="00A87572">
      <w:pPr>
        <w:pStyle w:val="BodyText"/>
      </w:pPr>
      <w:r w:rsidRPr="004F3422">
        <w:t xml:space="preserve">Lemborexant and M10 do not have the potential to inhibit P-gp, BCRP, BSEP, OAT1, OAT3, OATP1B1, OATP1B3, OCT1, OCT 2, MATE1, and MATE2-K (see Section </w:t>
      </w:r>
      <w:r w:rsidRPr="004F3422">
        <w:fldChar w:fldCharType="begin"/>
      </w:r>
      <w:r w:rsidRPr="004F3422">
        <w:instrText xml:space="preserve"> REF _Ref2178479 \r \h </w:instrText>
      </w:r>
      <w:r w:rsidRPr="004F3422">
        <w:fldChar w:fldCharType="separate"/>
      </w:r>
      <w:r w:rsidR="003A0FF4">
        <w:t>5.2</w:t>
      </w:r>
      <w:r w:rsidRPr="004F3422">
        <w:fldChar w:fldCharType="end"/>
      </w:r>
      <w:r w:rsidRPr="004F3422">
        <w:t xml:space="preserve"> </w:t>
      </w:r>
      <w:r w:rsidRPr="004F3422">
        <w:fldChar w:fldCharType="begin"/>
      </w:r>
      <w:r w:rsidRPr="004F3422">
        <w:instrText xml:space="preserve"> REF _Ref2178479 \h </w:instrText>
      </w:r>
      <w:r w:rsidRPr="004F3422">
        <w:fldChar w:fldCharType="separate"/>
      </w:r>
      <w:r w:rsidR="003A0FF4" w:rsidRPr="00F866DE">
        <w:t>Pharmacokinetic properties</w:t>
      </w:r>
      <w:r w:rsidRPr="004F3422">
        <w:fldChar w:fldCharType="end"/>
      </w:r>
      <w:r w:rsidRPr="004F3422">
        <w:t>).</w:t>
      </w:r>
    </w:p>
    <w:p w14:paraId="36B8D41D" w14:textId="400241D3" w:rsidR="00A87572" w:rsidRPr="00F866DE" w:rsidRDefault="00A87572" w:rsidP="00A87572">
      <w:pPr>
        <w:pStyle w:val="BodyText"/>
      </w:pPr>
    </w:p>
    <w:p w14:paraId="58459F65" w14:textId="77777777" w:rsidR="00032264" w:rsidRPr="004F3422" w:rsidRDefault="00032264" w:rsidP="00032264">
      <w:pPr>
        <w:pStyle w:val="Heading2"/>
        <w:ind w:left="578" w:hanging="578"/>
      </w:pPr>
      <w:bookmarkStart w:id="15" w:name="_Ref2178145"/>
      <w:r w:rsidRPr="00F866DE">
        <w:lastRenderedPageBreak/>
        <w:t>Fertility, pregnancy and lactation</w:t>
      </w:r>
      <w:bookmarkEnd w:id="15"/>
      <w:r w:rsidRPr="00F866DE">
        <w:t xml:space="preserve"> </w:t>
      </w:r>
    </w:p>
    <w:p w14:paraId="2866DAED" w14:textId="677A171E" w:rsidR="00303B57" w:rsidRPr="00F866DE" w:rsidRDefault="00303B57" w:rsidP="00032264">
      <w:pPr>
        <w:pStyle w:val="Heading3"/>
      </w:pPr>
      <w:r w:rsidRPr="00F866DE">
        <w:t>Effects on Fertility</w:t>
      </w:r>
    </w:p>
    <w:p w14:paraId="12D9C8AB" w14:textId="77777777" w:rsidR="00C202D6" w:rsidRPr="004F3422" w:rsidRDefault="00F60815" w:rsidP="00F60815">
      <w:pPr>
        <w:pStyle w:val="BodyText"/>
      </w:pPr>
      <w:r w:rsidRPr="004F3422">
        <w:t>Effects on f</w:t>
      </w:r>
      <w:r w:rsidR="00C202D6" w:rsidRPr="004F3422">
        <w:t>ertility in humans are unknown.</w:t>
      </w:r>
    </w:p>
    <w:p w14:paraId="1CA86A12" w14:textId="3F0C8D17" w:rsidR="00C202D6" w:rsidRPr="004F3422" w:rsidRDefault="00C202D6" w:rsidP="00F60815">
      <w:pPr>
        <w:pStyle w:val="BodyText"/>
      </w:pPr>
    </w:p>
    <w:p w14:paraId="09A4460C" w14:textId="668EDE79" w:rsidR="00243213" w:rsidRPr="004F3422" w:rsidRDefault="00F93FD8" w:rsidP="00F60815">
      <w:pPr>
        <w:pStyle w:val="BodyText"/>
      </w:pPr>
      <w:r w:rsidRPr="004F3422">
        <w:t xml:space="preserve">In female rats </w:t>
      </w:r>
      <w:r w:rsidR="003E65BE" w:rsidRPr="004F3422">
        <w:t xml:space="preserve">orally </w:t>
      </w:r>
      <w:r w:rsidRPr="004F3422">
        <w:t xml:space="preserve">administered lemborexant prior to and throughout mating and continuing to gestation Day 6, </w:t>
      </w:r>
      <w:r w:rsidRPr="004F3422">
        <w:rPr>
          <w:rFonts w:eastAsiaTheme="minorEastAsia"/>
          <w:iCs/>
        </w:rPr>
        <w:t xml:space="preserve">effects on female fertility </w:t>
      </w:r>
      <w:r w:rsidR="003E65BE" w:rsidRPr="004F3422">
        <w:rPr>
          <w:rFonts w:eastAsiaTheme="minorEastAsia"/>
          <w:iCs/>
        </w:rPr>
        <w:t xml:space="preserve">(irregular </w:t>
      </w:r>
      <w:r w:rsidR="006660FD" w:rsidRPr="004F3422">
        <w:rPr>
          <w:rFonts w:eastAsiaTheme="minorEastAsia"/>
          <w:iCs/>
        </w:rPr>
        <w:t>o</w:t>
      </w:r>
      <w:r w:rsidR="003E65BE" w:rsidRPr="004F3422">
        <w:rPr>
          <w:rFonts w:eastAsiaTheme="minorEastAsia"/>
          <w:iCs/>
        </w:rPr>
        <w:t xml:space="preserve">estrous cycle and decreased pregnancy rate) </w:t>
      </w:r>
      <w:r w:rsidRPr="004F3422">
        <w:rPr>
          <w:rFonts w:eastAsiaTheme="minorEastAsia"/>
          <w:iCs/>
        </w:rPr>
        <w:t>were observed</w:t>
      </w:r>
      <w:r w:rsidR="003E65BE" w:rsidRPr="004F3422">
        <w:rPr>
          <w:rFonts w:eastAsiaTheme="minorEastAsia"/>
          <w:iCs/>
        </w:rPr>
        <w:t xml:space="preserve"> </w:t>
      </w:r>
      <w:r w:rsidRPr="004F3422">
        <w:rPr>
          <w:rFonts w:eastAsiaTheme="minorEastAsia"/>
          <w:iCs/>
        </w:rPr>
        <w:t xml:space="preserve">at </w:t>
      </w:r>
      <w:r w:rsidR="008A71BD">
        <w:rPr>
          <w:rFonts w:eastAsiaTheme="minorEastAsia"/>
          <w:iCs/>
        </w:rPr>
        <w:t xml:space="preserve">oral </w:t>
      </w:r>
      <w:r w:rsidRPr="004F3422">
        <w:rPr>
          <w:rFonts w:eastAsiaTheme="minorEastAsia"/>
          <w:iCs/>
        </w:rPr>
        <w:t>doses of 100 and 1000</w:t>
      </w:r>
      <w:r w:rsidR="005317E4">
        <w:rPr>
          <w:rFonts w:eastAsiaTheme="minorEastAsia"/>
          <w:iCs/>
        </w:rPr>
        <w:t> mg</w:t>
      </w:r>
      <w:r w:rsidRPr="004F3422">
        <w:rPr>
          <w:rFonts w:eastAsiaTheme="minorEastAsia"/>
          <w:iCs/>
        </w:rPr>
        <w:t>/kg/day (approximately 60 and 545</w:t>
      </w:r>
      <w:r w:rsidR="003B2F8E">
        <w:rPr>
          <w:rFonts w:eastAsiaTheme="minorEastAsia"/>
          <w:iCs/>
        </w:rPr>
        <w:t> </w:t>
      </w:r>
      <w:r w:rsidRPr="004F3422">
        <w:rPr>
          <w:rFonts w:eastAsiaTheme="minorEastAsia"/>
          <w:iCs/>
        </w:rPr>
        <w:t xml:space="preserve">times the exposure at the MRHD based on AUC). </w:t>
      </w:r>
      <w:r w:rsidR="003E65BE" w:rsidRPr="004F3422">
        <w:rPr>
          <w:lang w:eastAsia="ja-JP"/>
        </w:rPr>
        <w:t xml:space="preserve"> D</w:t>
      </w:r>
      <w:r w:rsidRPr="004F3422">
        <w:rPr>
          <w:lang w:eastAsia="ja-JP"/>
        </w:rPr>
        <w:t>ecreased numbers of corpora lutea, implantations, and live embryos were noted at 1000</w:t>
      </w:r>
      <w:r w:rsidR="005317E4">
        <w:rPr>
          <w:lang w:eastAsia="ja-JP"/>
        </w:rPr>
        <w:t> mg</w:t>
      </w:r>
      <w:r w:rsidRPr="004F3422">
        <w:rPr>
          <w:lang w:eastAsia="ja-JP"/>
        </w:rPr>
        <w:t>/kg/day.</w:t>
      </w:r>
      <w:r w:rsidR="003E65BE" w:rsidRPr="004F3422">
        <w:rPr>
          <w:lang w:eastAsia="ja-JP"/>
        </w:rPr>
        <w:t xml:space="preserve">  The NOAEL of 30</w:t>
      </w:r>
      <w:r w:rsidR="005317E4">
        <w:rPr>
          <w:lang w:eastAsia="ja-JP"/>
        </w:rPr>
        <w:t> mg</w:t>
      </w:r>
      <w:r w:rsidR="003E65BE" w:rsidRPr="004F3422">
        <w:rPr>
          <w:lang w:eastAsia="ja-JP"/>
        </w:rPr>
        <w:t xml:space="preserve">/kg/day is </w:t>
      </w:r>
      <w:r w:rsidRPr="00F866DE">
        <w:t>approximately 12 </w:t>
      </w:r>
      <w:r w:rsidRPr="004F3422">
        <w:t xml:space="preserve">times the MRHD based on AUC. </w:t>
      </w:r>
      <w:r w:rsidR="003E65BE" w:rsidRPr="004F3422">
        <w:t xml:space="preserve"> </w:t>
      </w:r>
      <w:r w:rsidRPr="004F3422">
        <w:t xml:space="preserve">Lemborexant did not affect fertility when administered </w:t>
      </w:r>
      <w:r w:rsidR="006660FD" w:rsidRPr="004F3422">
        <w:t xml:space="preserve">orally </w:t>
      </w:r>
      <w:r w:rsidRPr="004F3422">
        <w:t xml:space="preserve">to male rats at doses </w:t>
      </w:r>
      <w:r w:rsidR="003E65BE" w:rsidRPr="004F3422">
        <w:t>resulting in exposures up to</w:t>
      </w:r>
      <w:r w:rsidRPr="004F3422">
        <w:t xml:space="preserve"> approximately 138 times the MRHD based on AUC</w:t>
      </w:r>
      <w:r w:rsidRPr="004F3422">
        <w:rPr>
          <w:rFonts w:eastAsiaTheme="minorEastAsia"/>
        </w:rPr>
        <w:t>.</w:t>
      </w:r>
    </w:p>
    <w:p w14:paraId="7BC04B74" w14:textId="77777777" w:rsidR="00F60815" w:rsidRPr="004F3422" w:rsidRDefault="00F60815" w:rsidP="00F60815">
      <w:pPr>
        <w:pStyle w:val="BodyText"/>
      </w:pPr>
    </w:p>
    <w:p w14:paraId="738F6141" w14:textId="2411B1EF" w:rsidR="00032264" w:rsidRPr="004F3422" w:rsidRDefault="00C6307C" w:rsidP="00032264">
      <w:pPr>
        <w:pStyle w:val="Heading3"/>
      </w:pPr>
      <w:r w:rsidRPr="004F3422">
        <w:t xml:space="preserve">Use in Pregnancy </w:t>
      </w:r>
    </w:p>
    <w:p w14:paraId="6838FD05" w14:textId="1A1F6BC6" w:rsidR="00FA4E56" w:rsidRPr="004F3422" w:rsidRDefault="00FA4E56" w:rsidP="00FA4E56">
      <w:pPr>
        <w:pStyle w:val="BodyText"/>
      </w:pPr>
      <w:r w:rsidRPr="004F3422">
        <w:t>Pregnancy Category B3.</w:t>
      </w:r>
    </w:p>
    <w:p w14:paraId="241A356A" w14:textId="77777777" w:rsidR="00FA4E56" w:rsidRPr="00F866DE" w:rsidRDefault="00FA4E56" w:rsidP="00FA4E56">
      <w:pPr>
        <w:pStyle w:val="BodyText"/>
      </w:pPr>
    </w:p>
    <w:p w14:paraId="0EC70EDB" w14:textId="09BFECAC" w:rsidR="00FA4E56" w:rsidRPr="004F3422" w:rsidRDefault="00A87572" w:rsidP="00A87572">
      <w:pPr>
        <w:pStyle w:val="BodyText"/>
        <w:rPr>
          <w:rFonts w:eastAsia="MS Mincho"/>
          <w:szCs w:val="24"/>
        </w:rPr>
      </w:pPr>
      <w:r w:rsidRPr="004F3422">
        <w:rPr>
          <w:rFonts w:eastAsia="MS Mincho"/>
          <w:szCs w:val="24"/>
        </w:rPr>
        <w:t xml:space="preserve">There are no adequate and well-controlled studies in pregnant women. </w:t>
      </w:r>
      <w:r w:rsidR="000E6F91" w:rsidRPr="004F3422">
        <w:rPr>
          <w:rFonts w:eastAsia="MS Mincho"/>
          <w:szCs w:val="24"/>
        </w:rPr>
        <w:t xml:space="preserve">DAYVIGO </w:t>
      </w:r>
      <w:r w:rsidRPr="004F3422">
        <w:rPr>
          <w:rFonts w:eastAsia="MS Mincho"/>
          <w:szCs w:val="24"/>
        </w:rPr>
        <w:t>should only be used during pregnancy if the potential benefit justifies the potential risk to the f</w:t>
      </w:r>
      <w:r w:rsidR="0084293A">
        <w:rPr>
          <w:rFonts w:eastAsia="MS Mincho"/>
          <w:szCs w:val="24"/>
        </w:rPr>
        <w:t>o</w:t>
      </w:r>
      <w:r w:rsidRPr="004F3422">
        <w:rPr>
          <w:rFonts w:eastAsia="MS Mincho"/>
          <w:szCs w:val="24"/>
        </w:rPr>
        <w:t>etus.</w:t>
      </w:r>
    </w:p>
    <w:p w14:paraId="33B1C9A1" w14:textId="5D232999" w:rsidR="00A87572" w:rsidRPr="004F3422" w:rsidRDefault="00A87572" w:rsidP="00A87572">
      <w:pPr>
        <w:pStyle w:val="BodyText"/>
        <w:rPr>
          <w:rFonts w:eastAsia="MS Mincho"/>
          <w:szCs w:val="24"/>
        </w:rPr>
      </w:pPr>
    </w:p>
    <w:p w14:paraId="3BE73090" w14:textId="15C6B670" w:rsidR="00A87572" w:rsidRPr="004F3422" w:rsidRDefault="00A87572" w:rsidP="00A87572">
      <w:pPr>
        <w:pStyle w:val="BodyText"/>
        <w:rPr>
          <w:rFonts w:eastAsia="MS Mincho"/>
          <w:szCs w:val="24"/>
        </w:rPr>
      </w:pPr>
      <w:r w:rsidRPr="004F3422">
        <w:rPr>
          <w:rFonts w:eastAsia="MS Mincho"/>
          <w:szCs w:val="24"/>
        </w:rPr>
        <w:t>Administration of lemborexant to pregnant rats during organogenesis in 2 separate studies at oral doses of 60, 200, and 600</w:t>
      </w:r>
      <w:r w:rsidR="005317E4">
        <w:rPr>
          <w:rFonts w:eastAsia="MS Mincho"/>
          <w:szCs w:val="24"/>
        </w:rPr>
        <w:t> mg</w:t>
      </w:r>
      <w:r w:rsidRPr="004F3422">
        <w:rPr>
          <w:rFonts w:eastAsia="MS Mincho"/>
          <w:szCs w:val="24"/>
        </w:rPr>
        <w:t>/kg/day or 20, 60, and 200</w:t>
      </w:r>
      <w:r w:rsidR="005317E4">
        <w:rPr>
          <w:rFonts w:eastAsia="MS Mincho"/>
          <w:szCs w:val="24"/>
        </w:rPr>
        <w:t> mg</w:t>
      </w:r>
      <w:r w:rsidRPr="004F3422">
        <w:rPr>
          <w:rFonts w:eastAsia="MS Mincho"/>
          <w:szCs w:val="24"/>
        </w:rPr>
        <w:t>/kg/day resulted in growth delays</w:t>
      </w:r>
      <w:r w:rsidR="00EF37DC" w:rsidRPr="004F3422">
        <w:rPr>
          <w:rFonts w:eastAsia="MS Mincho"/>
          <w:szCs w:val="24"/>
        </w:rPr>
        <w:t>, embryo</w:t>
      </w:r>
      <w:r w:rsidR="008A71BD">
        <w:rPr>
          <w:rFonts w:eastAsia="MS Mincho"/>
          <w:szCs w:val="24"/>
        </w:rPr>
        <w:t xml:space="preserve">fetal </w:t>
      </w:r>
      <w:r w:rsidR="00EF37DC" w:rsidRPr="004F3422">
        <w:rPr>
          <w:rFonts w:eastAsia="MS Mincho"/>
          <w:szCs w:val="24"/>
        </w:rPr>
        <w:t>toxicity and malformations</w:t>
      </w:r>
      <w:r w:rsidRPr="004F3422">
        <w:rPr>
          <w:rFonts w:eastAsia="MS Mincho"/>
          <w:szCs w:val="24"/>
        </w:rPr>
        <w:t xml:space="preserve"> at maternal plasma exposures that were 388 times the plasma exposure at the maximum recommended human dose (MRHD) based on AUC. The maternal exposure at the no observed adverse effect level (NOAEL) (200</w:t>
      </w:r>
      <w:r w:rsidR="005317E4">
        <w:rPr>
          <w:rFonts w:eastAsia="MS Mincho"/>
          <w:szCs w:val="24"/>
        </w:rPr>
        <w:t> mg</w:t>
      </w:r>
      <w:r w:rsidRPr="004F3422">
        <w:rPr>
          <w:rFonts w:eastAsia="MS Mincho"/>
          <w:szCs w:val="24"/>
        </w:rPr>
        <w:t>/kg</w:t>
      </w:r>
      <w:r w:rsidR="008A71BD">
        <w:rPr>
          <w:rFonts w:eastAsia="MS Mincho"/>
          <w:szCs w:val="24"/>
        </w:rPr>
        <w:t>/day</w:t>
      </w:r>
      <w:r w:rsidRPr="004F3422">
        <w:rPr>
          <w:rFonts w:eastAsia="MS Mincho"/>
          <w:szCs w:val="24"/>
        </w:rPr>
        <w:t>) was 143 times the exposure at the</w:t>
      </w:r>
      <w:r w:rsidR="00F60815" w:rsidRPr="004F3422">
        <w:rPr>
          <w:rFonts w:eastAsia="MS Mincho"/>
          <w:szCs w:val="24"/>
        </w:rPr>
        <w:t xml:space="preserve"> MRHD based on AUC.</w:t>
      </w:r>
    </w:p>
    <w:p w14:paraId="4C32D897" w14:textId="77777777" w:rsidR="00A87572" w:rsidRPr="004F3422" w:rsidRDefault="00A87572" w:rsidP="00A87572">
      <w:pPr>
        <w:pStyle w:val="BodyText"/>
        <w:rPr>
          <w:rFonts w:eastAsia="MS Mincho"/>
          <w:szCs w:val="24"/>
        </w:rPr>
      </w:pPr>
    </w:p>
    <w:p w14:paraId="29971819" w14:textId="7C7825E9" w:rsidR="00F60815" w:rsidRPr="004F3422" w:rsidRDefault="00A87572" w:rsidP="00A87572">
      <w:pPr>
        <w:pStyle w:val="BodyText"/>
        <w:rPr>
          <w:rFonts w:eastAsia="MS Mincho"/>
          <w:szCs w:val="24"/>
        </w:rPr>
      </w:pPr>
      <w:r w:rsidRPr="004F3422">
        <w:rPr>
          <w:rFonts w:eastAsia="MS Mincho"/>
          <w:szCs w:val="24"/>
        </w:rPr>
        <w:t xml:space="preserve">Administration of lemborexant to pregnant rabbits during organogenesis at </w:t>
      </w:r>
      <w:r w:rsidR="008A71BD">
        <w:rPr>
          <w:rFonts w:eastAsia="MS Mincho"/>
          <w:szCs w:val="24"/>
        </w:rPr>
        <w:t xml:space="preserve">oral </w:t>
      </w:r>
      <w:r w:rsidRPr="004F3422">
        <w:rPr>
          <w:rFonts w:eastAsia="MS Mincho"/>
          <w:szCs w:val="24"/>
        </w:rPr>
        <w:t>doses of 10, 30, and 100</w:t>
      </w:r>
      <w:r w:rsidR="005317E4">
        <w:rPr>
          <w:rFonts w:eastAsia="MS Mincho"/>
          <w:szCs w:val="24"/>
        </w:rPr>
        <w:t> mg</w:t>
      </w:r>
      <w:r w:rsidRPr="004F3422">
        <w:rPr>
          <w:rFonts w:eastAsia="MS Mincho"/>
          <w:szCs w:val="24"/>
        </w:rPr>
        <w:t>/kg</w:t>
      </w:r>
      <w:r w:rsidR="008A71BD">
        <w:rPr>
          <w:rFonts w:eastAsia="MS Mincho"/>
          <w:szCs w:val="24"/>
        </w:rPr>
        <w:t>/day</w:t>
      </w:r>
      <w:r w:rsidRPr="004F3422">
        <w:rPr>
          <w:rFonts w:eastAsia="MS Mincho"/>
          <w:szCs w:val="24"/>
        </w:rPr>
        <w:t xml:space="preserve"> resulted in a higher incidence of skeletal variations</w:t>
      </w:r>
      <w:r w:rsidR="00EF37DC" w:rsidRPr="004F3422">
        <w:rPr>
          <w:rFonts w:eastAsia="MS Mincho"/>
          <w:szCs w:val="24"/>
        </w:rPr>
        <w:t xml:space="preserve"> but no embryo</w:t>
      </w:r>
      <w:r w:rsidR="008A71BD">
        <w:rPr>
          <w:rFonts w:eastAsia="MS Mincho"/>
          <w:szCs w:val="24"/>
        </w:rPr>
        <w:t xml:space="preserve">fetal </w:t>
      </w:r>
      <w:r w:rsidR="00EF37DC" w:rsidRPr="004F3422">
        <w:rPr>
          <w:rFonts w:eastAsia="MS Mincho"/>
          <w:szCs w:val="24"/>
        </w:rPr>
        <w:t>toxicity or malformations</w:t>
      </w:r>
      <w:r w:rsidRPr="004F3422">
        <w:rPr>
          <w:rFonts w:eastAsia="MS Mincho"/>
          <w:szCs w:val="24"/>
        </w:rPr>
        <w:t xml:space="preserve"> at </w:t>
      </w:r>
      <w:r w:rsidR="008B5FA3" w:rsidRPr="004F3422">
        <w:rPr>
          <w:rFonts w:eastAsia="MS Mincho"/>
          <w:szCs w:val="24"/>
        </w:rPr>
        <w:t>maternal</w:t>
      </w:r>
      <w:r w:rsidRPr="004F3422">
        <w:rPr>
          <w:rFonts w:eastAsia="MS Mincho"/>
          <w:szCs w:val="24"/>
        </w:rPr>
        <w:t xml:space="preserve"> exposures </w:t>
      </w:r>
      <w:r w:rsidR="008B5FA3" w:rsidRPr="004F3422">
        <w:rPr>
          <w:rFonts w:eastAsia="MS Mincho"/>
          <w:szCs w:val="24"/>
        </w:rPr>
        <w:t xml:space="preserve">up to </w:t>
      </w:r>
      <w:r w:rsidRPr="004F3422">
        <w:rPr>
          <w:rFonts w:eastAsia="MS Mincho"/>
          <w:szCs w:val="24"/>
        </w:rPr>
        <w:t xml:space="preserve">approximately 139 times the exposure at the MRHD based on AUC. The exposure at the </w:t>
      </w:r>
      <w:r w:rsidR="00F60815" w:rsidRPr="004F3422">
        <w:rPr>
          <w:rFonts w:eastAsia="MS Mincho"/>
          <w:szCs w:val="24"/>
        </w:rPr>
        <w:t>NOAEL (30</w:t>
      </w:r>
      <w:r w:rsidR="005317E4">
        <w:rPr>
          <w:rFonts w:eastAsia="MS Mincho"/>
          <w:szCs w:val="24"/>
        </w:rPr>
        <w:t> mg</w:t>
      </w:r>
      <w:r w:rsidRPr="004F3422">
        <w:rPr>
          <w:rFonts w:eastAsia="MS Mincho"/>
          <w:szCs w:val="24"/>
        </w:rPr>
        <w:t>/kg</w:t>
      </w:r>
      <w:r w:rsidR="008A71BD">
        <w:rPr>
          <w:rFonts w:eastAsia="MS Mincho"/>
          <w:szCs w:val="24"/>
        </w:rPr>
        <w:t>/day</w:t>
      </w:r>
      <w:r w:rsidRPr="004F3422">
        <w:rPr>
          <w:rFonts w:eastAsia="MS Mincho"/>
          <w:szCs w:val="24"/>
        </w:rPr>
        <w:t>) was 23 times the expo</w:t>
      </w:r>
      <w:r w:rsidR="00F60815" w:rsidRPr="004F3422">
        <w:rPr>
          <w:rFonts w:eastAsia="MS Mincho"/>
          <w:szCs w:val="24"/>
        </w:rPr>
        <w:t>sure at the MRHD based on AUC.</w:t>
      </w:r>
    </w:p>
    <w:p w14:paraId="317EDE21" w14:textId="77777777" w:rsidR="00F60815" w:rsidRPr="004F3422" w:rsidRDefault="00F60815" w:rsidP="00A87572">
      <w:pPr>
        <w:pStyle w:val="BodyText"/>
        <w:rPr>
          <w:rFonts w:eastAsia="MS Mincho"/>
          <w:szCs w:val="24"/>
        </w:rPr>
      </w:pPr>
    </w:p>
    <w:p w14:paraId="28FFBF44" w14:textId="21D79B7E" w:rsidR="00A87572" w:rsidRPr="004F3422" w:rsidRDefault="00A87572" w:rsidP="00A87572">
      <w:pPr>
        <w:pStyle w:val="BodyText"/>
        <w:rPr>
          <w:rFonts w:eastAsia="MS Mincho"/>
          <w:szCs w:val="24"/>
        </w:rPr>
      </w:pPr>
      <w:r w:rsidRPr="004F3422">
        <w:rPr>
          <w:rFonts w:eastAsia="MS Mincho"/>
          <w:szCs w:val="24"/>
        </w:rPr>
        <w:t>Oral administration of lemborexant (30, 100, and 300</w:t>
      </w:r>
      <w:r w:rsidR="005317E4">
        <w:rPr>
          <w:rFonts w:eastAsia="MS Mincho"/>
          <w:szCs w:val="24"/>
        </w:rPr>
        <w:t> mg</w:t>
      </w:r>
      <w:r w:rsidRPr="004F3422">
        <w:rPr>
          <w:rFonts w:eastAsia="MS Mincho"/>
          <w:szCs w:val="24"/>
        </w:rPr>
        <w:t>/kg/day) to pregnant rats during gestation and lactation resulted in decreased body weights, femur length, and acoustic startle responses in offspring. The exposure at the NOAEL (100</w:t>
      </w:r>
      <w:r w:rsidR="005317E4">
        <w:rPr>
          <w:rFonts w:eastAsia="MS Mincho"/>
          <w:szCs w:val="24"/>
        </w:rPr>
        <w:t> mg</w:t>
      </w:r>
      <w:r w:rsidRPr="004F3422">
        <w:rPr>
          <w:rFonts w:eastAsia="MS Mincho"/>
          <w:szCs w:val="24"/>
        </w:rPr>
        <w:t>/kg</w:t>
      </w:r>
      <w:r w:rsidR="008A71BD">
        <w:rPr>
          <w:rFonts w:eastAsia="MS Mincho"/>
          <w:szCs w:val="24"/>
        </w:rPr>
        <w:t>/day</w:t>
      </w:r>
      <w:r w:rsidRPr="004F3422">
        <w:rPr>
          <w:rFonts w:eastAsia="MS Mincho"/>
          <w:szCs w:val="24"/>
        </w:rPr>
        <w:t xml:space="preserve">) was 93 times the exposure </w:t>
      </w:r>
      <w:r w:rsidR="00F60815" w:rsidRPr="004F3422">
        <w:rPr>
          <w:rFonts w:eastAsia="MS Mincho"/>
          <w:szCs w:val="24"/>
        </w:rPr>
        <w:t>at the MRHD based on AUC.</w:t>
      </w:r>
    </w:p>
    <w:p w14:paraId="0C010530" w14:textId="77777777" w:rsidR="00E3366C" w:rsidRPr="004F3422" w:rsidRDefault="00E3366C" w:rsidP="00E3366C">
      <w:pPr>
        <w:pStyle w:val="BodyText"/>
      </w:pPr>
    </w:p>
    <w:p w14:paraId="2866DAFC" w14:textId="67750298" w:rsidR="00C6307C" w:rsidRPr="004F3422" w:rsidRDefault="00C6307C" w:rsidP="00032264">
      <w:pPr>
        <w:pStyle w:val="Heading3"/>
      </w:pPr>
      <w:r w:rsidRPr="004F3422">
        <w:t xml:space="preserve">Use </w:t>
      </w:r>
      <w:r w:rsidR="00F040D6">
        <w:t>i</w:t>
      </w:r>
      <w:r w:rsidRPr="004F3422">
        <w:t>n Lactation</w:t>
      </w:r>
    </w:p>
    <w:p w14:paraId="775DA7A6" w14:textId="53507046" w:rsidR="00E3366C" w:rsidRPr="004F3422" w:rsidRDefault="00F60815" w:rsidP="00F60815">
      <w:pPr>
        <w:pStyle w:val="BodyText"/>
      </w:pPr>
      <w:r w:rsidRPr="004F3422">
        <w:t>It is not known whether lemborexant is excreted in human milk. However, lemborexant and</w:t>
      </w:r>
      <w:r w:rsidR="00317BF5" w:rsidRPr="004F3422">
        <w:t xml:space="preserve"> </w:t>
      </w:r>
      <w:r w:rsidRPr="004F3422">
        <w:t>its metabolites are excreted in rat milk at concentrations higher than in maternal plasma. A</w:t>
      </w:r>
      <w:r w:rsidR="00317BF5" w:rsidRPr="004F3422">
        <w:t xml:space="preserve"> </w:t>
      </w:r>
      <w:r w:rsidRPr="004F3422">
        <w:lastRenderedPageBreak/>
        <w:t xml:space="preserve">risk to newborn or infants cannot be excluded, and therefore </w:t>
      </w:r>
      <w:r w:rsidR="000E6F91" w:rsidRPr="004F3422">
        <w:t xml:space="preserve">DAYVIGO </w:t>
      </w:r>
      <w:r w:rsidRPr="004F3422">
        <w:t>should not be used</w:t>
      </w:r>
      <w:r w:rsidR="00317BF5" w:rsidRPr="004F3422">
        <w:t xml:space="preserve"> </w:t>
      </w:r>
      <w:r w:rsidRPr="004F3422">
        <w:t>during breastfeeding.</w:t>
      </w:r>
    </w:p>
    <w:p w14:paraId="7E8132CE" w14:textId="77777777" w:rsidR="00F60815" w:rsidRPr="004F3422" w:rsidRDefault="00F60815" w:rsidP="00F60815">
      <w:pPr>
        <w:pStyle w:val="BodyText"/>
      </w:pPr>
    </w:p>
    <w:p w14:paraId="2866DB0E" w14:textId="15E9AB4D" w:rsidR="00CB2DC4" w:rsidRPr="004F3422" w:rsidRDefault="00CB2DC4" w:rsidP="00032264">
      <w:pPr>
        <w:pStyle w:val="Heading2"/>
      </w:pPr>
      <w:r w:rsidRPr="004F3422">
        <w:t>Effects on ability to drive and use machines</w:t>
      </w:r>
    </w:p>
    <w:p w14:paraId="59016D70" w14:textId="064292F9" w:rsidR="00095E29" w:rsidRPr="004F3422" w:rsidRDefault="00095E29" w:rsidP="00095E29">
      <w:pPr>
        <w:pStyle w:val="BodyText"/>
      </w:pPr>
      <w:r w:rsidRPr="00F866DE">
        <w:t>Although DAYVIGO at doses of 5</w:t>
      </w:r>
      <w:r w:rsidR="005317E4">
        <w:t> mg</w:t>
      </w:r>
      <w:r w:rsidRPr="00F866DE">
        <w:t xml:space="preserve"> and 10</w:t>
      </w:r>
      <w:r w:rsidR="005317E4">
        <w:t> mg</w:t>
      </w:r>
      <w:r w:rsidRPr="00F866DE">
        <w:t xml:space="preserve"> did not cause statistically significant impairment in next-morning driving performance in adult or elderly subjects (compared with placebo), driving ability was impaired in some subjects taking 10</w:t>
      </w:r>
      <w:r w:rsidR="005317E4">
        <w:t> mg</w:t>
      </w:r>
      <w:r w:rsidRPr="00F866DE">
        <w:t xml:space="preserve"> DAYVIGO.</w:t>
      </w:r>
    </w:p>
    <w:p w14:paraId="3022FB9F" w14:textId="77777777" w:rsidR="000E6F91" w:rsidRPr="004F3422" w:rsidRDefault="000E6F91" w:rsidP="00095E29">
      <w:pPr>
        <w:pStyle w:val="BodyText"/>
      </w:pPr>
    </w:p>
    <w:p w14:paraId="015FA4B1" w14:textId="430D1F64" w:rsidR="00095E29" w:rsidRPr="004F3422" w:rsidRDefault="00095E29" w:rsidP="00095E29">
      <w:pPr>
        <w:pStyle w:val="BodyText"/>
      </w:pPr>
      <w:r w:rsidRPr="004F3422">
        <w:t>Patients using the 10</w:t>
      </w:r>
      <w:r w:rsidR="005317E4">
        <w:t> mg</w:t>
      </w:r>
      <w:r w:rsidRPr="004F3422">
        <w:t xml:space="preserve"> dose should be cautioned about the potential for next-morning driving impairment because there is individual variation in sensitivity to DAYVIGO.</w:t>
      </w:r>
      <w:r w:rsidR="00DF6080">
        <w:t xml:space="preserve"> </w:t>
      </w:r>
    </w:p>
    <w:p w14:paraId="440F6AFA" w14:textId="77777777" w:rsidR="00F60815" w:rsidRPr="004F3422" w:rsidRDefault="00F60815" w:rsidP="00F60815">
      <w:pPr>
        <w:pStyle w:val="BodyText"/>
      </w:pPr>
    </w:p>
    <w:p w14:paraId="2C2FC3AC" w14:textId="77777777" w:rsidR="00766F3B" w:rsidRPr="004F3422" w:rsidRDefault="00766F3B" w:rsidP="00766F3B">
      <w:pPr>
        <w:pStyle w:val="Heading2"/>
        <w:ind w:left="578" w:hanging="578"/>
      </w:pPr>
      <w:bookmarkStart w:id="16" w:name="_Ref503187256"/>
      <w:r w:rsidRPr="004F3422">
        <w:t>Adverse effects (Undesirable effects)</w:t>
      </w:r>
      <w:bookmarkEnd w:id="16"/>
    </w:p>
    <w:p w14:paraId="2866DB30" w14:textId="0A9F09ED" w:rsidR="00026C88" w:rsidRPr="00F866DE" w:rsidRDefault="00026C88" w:rsidP="00766F3B">
      <w:pPr>
        <w:pStyle w:val="Heading3"/>
      </w:pPr>
      <w:r w:rsidRPr="00F866DE">
        <w:t>Clinical Trials</w:t>
      </w:r>
    </w:p>
    <w:p w14:paraId="1FBBB54A" w14:textId="43B5E1A6" w:rsidR="00F60815" w:rsidRPr="004F3422" w:rsidRDefault="00F60815" w:rsidP="00F60815">
      <w:pPr>
        <w:pStyle w:val="BodyText"/>
      </w:pPr>
      <w:r w:rsidRPr="004F3422">
        <w:t>Because clinical trials are conducted under widely varying conditions, adverse reaction rates observed in the clinical trials of a drug cannot be directly compared to rates in the clinical trials of another drug and may not reflect the rates observed in practice.</w:t>
      </w:r>
    </w:p>
    <w:p w14:paraId="339E6FF4" w14:textId="77777777" w:rsidR="00F60815" w:rsidRPr="004F3422" w:rsidRDefault="00F60815" w:rsidP="00F60815">
      <w:pPr>
        <w:pStyle w:val="BodyText"/>
      </w:pPr>
    </w:p>
    <w:p w14:paraId="7F2692C6" w14:textId="445BDCCC" w:rsidR="00F60815" w:rsidRPr="004F3422" w:rsidRDefault="00F60815" w:rsidP="00F60815">
      <w:pPr>
        <w:pStyle w:val="BodyText"/>
      </w:pPr>
      <w:r w:rsidRPr="004F3422">
        <w:t xml:space="preserve">The safety of DAYVIGO was evaluated in 1418 adult patients with insomnia disorder (age 18 to 88 years) from two controlled efficacy trials (Study </w:t>
      </w:r>
      <w:r w:rsidR="00981D19" w:rsidRPr="004F3422">
        <w:t>303</w:t>
      </w:r>
      <w:r w:rsidRPr="004F3422">
        <w:t xml:space="preserve"> and Study </w:t>
      </w:r>
      <w:r w:rsidR="00981D19" w:rsidRPr="004F3422">
        <w:t>304</w:t>
      </w:r>
      <w:r w:rsidRPr="004F3422">
        <w:t xml:space="preserve">). </w:t>
      </w:r>
      <w:r w:rsidR="00981D19" w:rsidRPr="004F3422">
        <w:t>Study 303</w:t>
      </w:r>
      <w:r w:rsidRPr="004F3422">
        <w:t xml:space="preserve"> was a 6-month placebo-controlled trial assessing DAYVIGO 5 or 10</w:t>
      </w:r>
      <w:r w:rsidR="005317E4">
        <w:t> mg</w:t>
      </w:r>
      <w:r w:rsidRPr="004F3422">
        <w:t xml:space="preserve"> once nightly, followed by a 6-month parallel-group extension period in which patients initially treated with DAYVIGO </w:t>
      </w:r>
      <w:proofErr w:type="gramStart"/>
      <w:r w:rsidRPr="004F3422">
        <w:t>continued on</w:t>
      </w:r>
      <w:proofErr w:type="gramEnd"/>
      <w:r w:rsidRPr="004F3422">
        <w:t xml:space="preserve"> the same dose, and patients who received placebo were re</w:t>
      </w:r>
      <w:r w:rsidR="000E6F91" w:rsidRPr="004F3422">
        <w:noBreakHyphen/>
      </w:r>
      <w:r w:rsidRPr="004F3422">
        <w:t>randomi</w:t>
      </w:r>
      <w:r w:rsidR="000557C6">
        <w:t>s</w:t>
      </w:r>
      <w:r w:rsidRPr="004F3422">
        <w:t>ed to receive DAYVIGO 5 or 10</w:t>
      </w:r>
      <w:r w:rsidR="005317E4">
        <w:t> mg</w:t>
      </w:r>
      <w:r w:rsidRPr="004F3422">
        <w:t xml:space="preserve"> once nightly. In </w:t>
      </w:r>
      <w:r w:rsidR="00981D19" w:rsidRPr="004F3422">
        <w:t>Study 303</w:t>
      </w:r>
      <w:r w:rsidRPr="004F3422">
        <w:t xml:space="preserve">, 434 patients were treated with DAYVIGO for one year. </w:t>
      </w:r>
      <w:r w:rsidR="00981D19" w:rsidRPr="004F3422">
        <w:t>Study 304</w:t>
      </w:r>
      <w:r w:rsidRPr="004F3422">
        <w:t xml:space="preserve"> was a 30-day placebo- and active</w:t>
      </w:r>
      <w:r w:rsidR="000E6F91" w:rsidRPr="004F3422">
        <w:noBreakHyphen/>
      </w:r>
      <w:r w:rsidRPr="004F3422">
        <w:t>controlled trial assessing DAYVIGO 5 or 10</w:t>
      </w:r>
      <w:r w:rsidR="005317E4">
        <w:t> mg</w:t>
      </w:r>
      <w:r w:rsidRPr="004F3422">
        <w:t xml:space="preserve"> once nightly.</w:t>
      </w:r>
    </w:p>
    <w:p w14:paraId="5A30C655" w14:textId="77777777" w:rsidR="00F60815" w:rsidRPr="00314FF0" w:rsidRDefault="00F60815" w:rsidP="00F60815">
      <w:pPr>
        <w:pStyle w:val="BodyText"/>
      </w:pPr>
    </w:p>
    <w:p w14:paraId="05D9AD4B" w14:textId="77777777" w:rsidR="00F60815" w:rsidRPr="004F3422" w:rsidRDefault="00F60815" w:rsidP="00F60815">
      <w:pPr>
        <w:pStyle w:val="Heading4"/>
      </w:pPr>
      <w:r w:rsidRPr="004F3422">
        <w:t>Adverse Reactions Resulting in Discontinuation of Treatment</w:t>
      </w:r>
    </w:p>
    <w:p w14:paraId="618EA18C" w14:textId="0DDBE14C" w:rsidR="00A0321E" w:rsidRPr="004F3422" w:rsidRDefault="00A0321E" w:rsidP="00A0321E">
      <w:pPr>
        <w:pStyle w:val="BodyText"/>
      </w:pPr>
      <w:r w:rsidRPr="00F866DE">
        <w:t>The incidence of discontinuation due to adverse reactions for patients treated with 5</w:t>
      </w:r>
      <w:r w:rsidR="005317E4">
        <w:t> mg</w:t>
      </w:r>
      <w:r w:rsidRPr="004F3422">
        <w:t xml:space="preserve"> or 10</w:t>
      </w:r>
      <w:r w:rsidR="005317E4">
        <w:t> mg</w:t>
      </w:r>
      <w:r w:rsidRPr="004F3422">
        <w:t xml:space="preserve"> of DAYVIGO was 3.5% for 5</w:t>
      </w:r>
      <w:r w:rsidR="003B2F8E">
        <w:t> </w:t>
      </w:r>
      <w:r w:rsidR="005317E4">
        <w:t>mg</w:t>
      </w:r>
      <w:r w:rsidRPr="004F3422">
        <w:t xml:space="preserve"> and 6.1% for 10</w:t>
      </w:r>
      <w:r w:rsidR="003B2F8E">
        <w:t> </w:t>
      </w:r>
      <w:r w:rsidR="005317E4">
        <w:t>mg</w:t>
      </w:r>
      <w:r w:rsidRPr="004F3422">
        <w:t xml:space="preserve"> compared to 2.7% for placebo.</w:t>
      </w:r>
    </w:p>
    <w:p w14:paraId="4B44257C" w14:textId="77777777" w:rsidR="00A0321E" w:rsidRPr="004F3422" w:rsidRDefault="00A0321E" w:rsidP="00A0321E">
      <w:pPr>
        <w:pStyle w:val="BodyText"/>
      </w:pPr>
    </w:p>
    <w:p w14:paraId="34A80D4A" w14:textId="5F60E2B8" w:rsidR="00A0321E" w:rsidRPr="004F3422" w:rsidRDefault="00A0321E" w:rsidP="00A0321E">
      <w:pPr>
        <w:pStyle w:val="BodyText"/>
      </w:pPr>
      <w:r w:rsidRPr="004F3422">
        <w:t>The most common adverse reaction leading to discontinuation was somnolence (DAYVIGO 5</w:t>
      </w:r>
      <w:r w:rsidR="005317E4">
        <w:t> mg</w:t>
      </w:r>
      <w:r w:rsidRPr="004F3422">
        <w:t xml:space="preserve"> 1.1%, DAYVIGO 10</w:t>
      </w:r>
      <w:r w:rsidR="005317E4">
        <w:t> mg</w:t>
      </w:r>
      <w:r w:rsidRPr="004F3422">
        <w:t xml:space="preserve"> 2.3%, placebo 0.6%).</w:t>
      </w:r>
    </w:p>
    <w:p w14:paraId="13C0B0A4" w14:textId="77777777" w:rsidR="00F60815" w:rsidRPr="00314FF0" w:rsidRDefault="00F60815" w:rsidP="00F60815">
      <w:pPr>
        <w:pStyle w:val="BodyText"/>
      </w:pPr>
    </w:p>
    <w:p w14:paraId="28D7CC3B" w14:textId="77777777" w:rsidR="00F60815" w:rsidRPr="004F3422" w:rsidRDefault="00F60815" w:rsidP="00F60815">
      <w:pPr>
        <w:pStyle w:val="Heading4"/>
      </w:pPr>
      <w:r w:rsidRPr="004F3422">
        <w:t xml:space="preserve">Most Common Adverse Reactions </w:t>
      </w:r>
    </w:p>
    <w:p w14:paraId="2756D938" w14:textId="2D9048F2" w:rsidR="00A0321E" w:rsidRPr="00605791" w:rsidRDefault="00A0321E" w:rsidP="00605791">
      <w:pPr>
        <w:pStyle w:val="BodyText"/>
      </w:pPr>
      <w:r w:rsidRPr="00605791">
        <w:t xml:space="preserve">In clinical trials of patients with insomnia treated with </w:t>
      </w:r>
      <w:r w:rsidR="0036120C" w:rsidRPr="00605791">
        <w:t>DAYVIGO</w:t>
      </w:r>
      <w:r w:rsidRPr="00605791">
        <w:t xml:space="preserve"> 5</w:t>
      </w:r>
      <w:r w:rsidR="005317E4" w:rsidRPr="00605791">
        <w:t> mg</w:t>
      </w:r>
      <w:r w:rsidRPr="00605791">
        <w:t xml:space="preserve"> or 10</w:t>
      </w:r>
      <w:r w:rsidR="005317E4" w:rsidRPr="00605791">
        <w:t> mg</w:t>
      </w:r>
      <w:r w:rsidRPr="00605791">
        <w:t xml:space="preserve">, the most common adverse reaction (reported in 5% or more of patients treated with </w:t>
      </w:r>
      <w:r w:rsidR="000E6F91" w:rsidRPr="00605791">
        <w:t xml:space="preserve">DAYVIGO </w:t>
      </w:r>
      <w:r w:rsidRPr="00605791">
        <w:t xml:space="preserve">and at a higher rate </w:t>
      </w:r>
      <w:r w:rsidR="0036120C" w:rsidRPr="00605791">
        <w:t>than placebo) was somnolence (DAYVIGO</w:t>
      </w:r>
      <w:r w:rsidRPr="00605791">
        <w:t xml:space="preserve"> 5</w:t>
      </w:r>
      <w:r w:rsidR="005317E4" w:rsidRPr="00605791">
        <w:t> mg</w:t>
      </w:r>
      <w:r w:rsidRPr="00605791">
        <w:t xml:space="preserve"> 6.6%, </w:t>
      </w:r>
      <w:r w:rsidR="0036120C" w:rsidRPr="00605791">
        <w:t>DAYVIGO</w:t>
      </w:r>
      <w:r w:rsidRPr="00605791">
        <w:t xml:space="preserve"> 10</w:t>
      </w:r>
      <w:r w:rsidR="005317E4" w:rsidRPr="00605791">
        <w:t> mg</w:t>
      </w:r>
      <w:r w:rsidRPr="00605791">
        <w:t xml:space="preserve"> 10.5%, placebo 1.6%). </w:t>
      </w:r>
      <w:r w:rsidR="00974AA8" w:rsidRPr="00605791">
        <w:t xml:space="preserve">DAYVIGO was associated with a dose-related increase in somnolence. </w:t>
      </w:r>
    </w:p>
    <w:p w14:paraId="372F7D2B" w14:textId="7149A587" w:rsidR="00A0321E" w:rsidRPr="00325106" w:rsidRDefault="00A0321E" w:rsidP="00325106">
      <w:pPr>
        <w:pStyle w:val="BodyText"/>
      </w:pPr>
    </w:p>
    <w:bookmarkStart w:id="17" w:name="_Hlk61355815"/>
    <w:p w14:paraId="03F1D12D" w14:textId="150E1566" w:rsidR="007D3EBF" w:rsidRDefault="000E6F91" w:rsidP="00A0321E">
      <w:pPr>
        <w:pStyle w:val="BodyText"/>
      </w:pPr>
      <w:r w:rsidRPr="004F3422">
        <w:fldChar w:fldCharType="begin"/>
      </w:r>
      <w:r w:rsidRPr="004F3422">
        <w:instrText xml:space="preserve"> REF _Ref38375095 \h </w:instrText>
      </w:r>
      <w:r w:rsidRPr="004F3422">
        <w:fldChar w:fldCharType="separate"/>
      </w:r>
      <w:r w:rsidR="003A0FF4" w:rsidRPr="00080750">
        <w:t xml:space="preserve">Table </w:t>
      </w:r>
      <w:r w:rsidR="003A0FF4">
        <w:rPr>
          <w:noProof/>
        </w:rPr>
        <w:t>1</w:t>
      </w:r>
      <w:r w:rsidRPr="004F3422">
        <w:fldChar w:fldCharType="end"/>
      </w:r>
      <w:r w:rsidRPr="004F3422">
        <w:t xml:space="preserve"> </w:t>
      </w:r>
      <w:r w:rsidR="007D3EBF">
        <w:t>shows a</w:t>
      </w:r>
      <w:r w:rsidR="007D3EBF" w:rsidRPr="007D3EBF">
        <w:t xml:space="preserve">dverse drug reactions </w:t>
      </w:r>
      <w:r w:rsidR="00BD691B">
        <w:t xml:space="preserve">(ADRs) </w:t>
      </w:r>
      <w:r w:rsidR="007D3EBF" w:rsidRPr="007D3EBF">
        <w:t xml:space="preserve">by MedDRA system organ class. </w:t>
      </w:r>
      <w:r w:rsidR="007D3EBF">
        <w:t xml:space="preserve"> </w:t>
      </w:r>
      <w:r w:rsidR="007D3EBF" w:rsidRPr="007D3EBF">
        <w:t xml:space="preserve">The frequency of the ADRs is based on </w:t>
      </w:r>
      <w:r w:rsidR="007D3EBF">
        <w:t xml:space="preserve">pooled data from </w:t>
      </w:r>
      <w:r w:rsidR="008A71BD">
        <w:t xml:space="preserve">the </w:t>
      </w:r>
      <w:r w:rsidR="00C564F4">
        <w:t>first 30 days</w:t>
      </w:r>
      <w:r w:rsidR="007D3EBF">
        <w:t xml:space="preserve"> of the </w:t>
      </w:r>
      <w:r w:rsidR="00853095">
        <w:t xml:space="preserve">6-month controlled period </w:t>
      </w:r>
      <w:r w:rsidR="004C0136">
        <w:t xml:space="preserve">from </w:t>
      </w:r>
      <w:r w:rsidR="00853095">
        <w:t>Study 303</w:t>
      </w:r>
      <w:r w:rsidR="00853095" w:rsidRPr="00853095">
        <w:t xml:space="preserve"> and the 1-month controlled efficacy study (Study 304)</w:t>
      </w:r>
      <w:r w:rsidR="00853095">
        <w:t xml:space="preserve">.  </w:t>
      </w:r>
      <w:r w:rsidR="007D3EBF" w:rsidRPr="007D3EBF">
        <w:t xml:space="preserve">Within each system organ class, the </w:t>
      </w:r>
      <w:r w:rsidR="004C0136">
        <w:t>ADRs</w:t>
      </w:r>
      <w:r w:rsidR="007D3EBF" w:rsidRPr="007D3EBF">
        <w:t xml:space="preserve"> are ranked by frequency, with the most frequent reactions first. </w:t>
      </w:r>
      <w:r w:rsidR="00853095">
        <w:t xml:space="preserve"> </w:t>
      </w:r>
      <w:r w:rsidR="007D3EBF" w:rsidRPr="007D3EBF">
        <w:t xml:space="preserve">Within each frequency grouping, </w:t>
      </w:r>
      <w:r w:rsidR="004C0136">
        <w:t>ADRs</w:t>
      </w:r>
      <w:r w:rsidR="007D3EBF" w:rsidRPr="007D3EBF">
        <w:t xml:space="preserve"> are presented in order of decreasing seriousness. </w:t>
      </w:r>
      <w:r w:rsidR="004C0136">
        <w:t>The</w:t>
      </w:r>
      <w:r w:rsidR="007D3EBF" w:rsidRPr="007D3EBF">
        <w:t xml:space="preserve"> frequency category for each adverse drug reaction is based on the following convention: very common (≥1/10); common (≥1/100 to &lt;1/10); uncommon (≥1/1,000 to &lt;1/100); rare (≥1/10,000 to &lt;1/1,000); very rare (&lt;1/10,000).</w:t>
      </w:r>
    </w:p>
    <w:bookmarkEnd w:id="17"/>
    <w:p w14:paraId="2254D724" w14:textId="6B51C689" w:rsidR="002229AE" w:rsidRPr="00080750" w:rsidRDefault="002229AE" w:rsidP="004B7E8C">
      <w:pPr>
        <w:pStyle w:val="BodyText"/>
      </w:pPr>
    </w:p>
    <w:tbl>
      <w:tblPr>
        <w:tblW w:w="5000" w:type="pct"/>
        <w:jc w:val="center"/>
        <w:tblCellMar>
          <w:left w:w="0" w:type="dxa"/>
          <w:right w:w="0" w:type="dxa"/>
        </w:tblCellMar>
        <w:tblLook w:val="04A0" w:firstRow="1" w:lastRow="0" w:firstColumn="1" w:lastColumn="0" w:noHBand="0" w:noVBand="1"/>
      </w:tblPr>
      <w:tblGrid>
        <w:gridCol w:w="2662"/>
        <w:gridCol w:w="2045"/>
        <w:gridCol w:w="1163"/>
        <w:gridCol w:w="1580"/>
        <w:gridCol w:w="1576"/>
      </w:tblGrid>
      <w:tr w:rsidR="00506152" w:rsidRPr="004F3422" w14:paraId="06CBB208" w14:textId="5C744676" w:rsidTr="00A65410">
        <w:trPr>
          <w:cantSplit/>
          <w:trHeight w:val="194"/>
          <w:tblHeader/>
          <w:jc w:val="center"/>
        </w:trPr>
        <w:tc>
          <w:tcPr>
            <w:tcW w:w="5000" w:type="pct"/>
            <w:gridSpan w:val="5"/>
            <w:tcBorders>
              <w:bottom w:val="single" w:sz="8" w:space="0" w:color="000000"/>
            </w:tcBorders>
            <w:shd w:val="clear" w:color="auto" w:fill="FFFFFF"/>
            <w:vAlign w:val="bottom"/>
          </w:tcPr>
          <w:p w14:paraId="73C00F48" w14:textId="2BDEA10A" w:rsidR="00506152" w:rsidRPr="00080750" w:rsidRDefault="00506152" w:rsidP="00A16C93">
            <w:pPr>
              <w:pStyle w:val="Caption"/>
            </w:pPr>
            <w:bookmarkStart w:id="18" w:name="_Ref38375095"/>
            <w:r w:rsidRPr="00080750">
              <w:t xml:space="preserve">Table </w:t>
            </w:r>
            <w:r>
              <w:rPr>
                <w:b w:val="0"/>
              </w:rPr>
              <w:fldChar w:fldCharType="begin"/>
            </w:r>
            <w:r>
              <w:instrText>SEQ Table \* ARABIC</w:instrText>
            </w:r>
            <w:r>
              <w:rPr>
                <w:b w:val="0"/>
              </w:rPr>
              <w:fldChar w:fldCharType="separate"/>
            </w:r>
            <w:r w:rsidR="003A0FF4">
              <w:rPr>
                <w:noProof/>
              </w:rPr>
              <w:t>1</w:t>
            </w:r>
            <w:r>
              <w:rPr>
                <w:b w:val="0"/>
              </w:rPr>
              <w:fldChar w:fldCharType="end"/>
            </w:r>
            <w:bookmarkEnd w:id="18"/>
            <w:r w:rsidRPr="00A16C93">
              <w:t xml:space="preserve">: Adverse Reactions </w:t>
            </w:r>
            <w:r w:rsidR="00C564F4">
              <w:t>R</w:t>
            </w:r>
            <w:r w:rsidR="004F4322">
              <w:t xml:space="preserve">eported </w:t>
            </w:r>
            <w:r w:rsidR="00C564F4">
              <w:t>in</w:t>
            </w:r>
            <w:r w:rsidRPr="00A16C93">
              <w:t xml:space="preserve"> ≥2% </w:t>
            </w:r>
            <w:r w:rsidR="004F4322">
              <w:t xml:space="preserve">of </w:t>
            </w:r>
            <w:r w:rsidR="00C564F4">
              <w:t>DAYVIGO</w:t>
            </w:r>
            <w:r w:rsidR="0056331C">
              <w:t>-</w:t>
            </w:r>
            <w:r w:rsidR="00C564F4">
              <w:t>Treated</w:t>
            </w:r>
            <w:r w:rsidR="004F4322">
              <w:t xml:space="preserve"> </w:t>
            </w:r>
            <w:r w:rsidR="00C564F4">
              <w:t>P</w:t>
            </w:r>
            <w:r w:rsidR="004F4322">
              <w:t xml:space="preserve">atients </w:t>
            </w:r>
            <w:r w:rsidR="00C564F4">
              <w:t>and at a Greater Frequency than Placebo-Treated Patients</w:t>
            </w:r>
          </w:p>
        </w:tc>
      </w:tr>
      <w:tr w:rsidR="00DF231C" w:rsidRPr="004F3422" w14:paraId="54247B7C" w14:textId="1EA5F763" w:rsidTr="00A65410">
        <w:trPr>
          <w:cantSplit/>
          <w:trHeight w:val="194"/>
          <w:tblHeader/>
          <w:jc w:val="center"/>
        </w:trPr>
        <w:tc>
          <w:tcPr>
            <w:tcW w:w="1475" w:type="pct"/>
            <w:tcBorders>
              <w:top w:val="nil"/>
              <w:left w:val="single" w:sz="8" w:space="0" w:color="000000"/>
              <w:bottom w:val="single" w:sz="8" w:space="0" w:color="000000"/>
              <w:right w:val="nil"/>
            </w:tcBorders>
            <w:shd w:val="clear" w:color="auto" w:fill="FFFFFF"/>
            <w:vAlign w:val="bottom"/>
          </w:tcPr>
          <w:p w14:paraId="4F798FA2" w14:textId="1F07453D" w:rsidR="00DF231C" w:rsidRPr="004F3422" w:rsidRDefault="00DF231C" w:rsidP="00506152">
            <w:pPr>
              <w:spacing w:before="60" w:after="60" w:line="240" w:lineRule="auto"/>
              <w:rPr>
                <w:rFonts w:ascii="Times New Roman" w:hAnsi="Times New Roman"/>
                <w:sz w:val="24"/>
              </w:rPr>
            </w:pPr>
          </w:p>
        </w:tc>
        <w:tc>
          <w:tcPr>
            <w:tcW w:w="1133" w:type="pct"/>
            <w:tcBorders>
              <w:top w:val="nil"/>
              <w:left w:val="single" w:sz="8" w:space="0" w:color="000000"/>
              <w:bottom w:val="single" w:sz="8" w:space="0" w:color="000000"/>
              <w:right w:val="nil"/>
            </w:tcBorders>
            <w:shd w:val="clear" w:color="auto" w:fill="FFFFFF"/>
            <w:vAlign w:val="bottom"/>
          </w:tcPr>
          <w:p w14:paraId="05881292" w14:textId="682869EA" w:rsidR="00DF231C" w:rsidRPr="00080750" w:rsidRDefault="00DF231C" w:rsidP="00506152">
            <w:pPr>
              <w:pStyle w:val="TableHead"/>
            </w:pPr>
            <w:r w:rsidRPr="00A16C93">
              <w:rPr>
                <w:lang w:val="en-AU"/>
              </w:rPr>
              <w:t>Placebo</w:t>
            </w:r>
          </w:p>
        </w:tc>
        <w:tc>
          <w:tcPr>
            <w:tcW w:w="1519" w:type="pct"/>
            <w:gridSpan w:val="2"/>
            <w:tcBorders>
              <w:top w:val="nil"/>
              <w:left w:val="single" w:sz="8" w:space="0" w:color="000000"/>
              <w:bottom w:val="single" w:sz="8" w:space="0" w:color="000000"/>
              <w:right w:val="single" w:sz="8" w:space="0" w:color="000000"/>
            </w:tcBorders>
            <w:shd w:val="clear" w:color="auto" w:fill="FFFFFF"/>
            <w:vAlign w:val="bottom"/>
          </w:tcPr>
          <w:p w14:paraId="503D20E9" w14:textId="11E90BF3" w:rsidR="00DF231C" w:rsidRPr="00080750" w:rsidRDefault="00DF231C" w:rsidP="00506152">
            <w:pPr>
              <w:pStyle w:val="TableHead"/>
            </w:pPr>
            <w:r w:rsidRPr="00A16C93">
              <w:rPr>
                <w:lang w:val="en-AU"/>
              </w:rPr>
              <w:t>DAYVIGO</w:t>
            </w:r>
          </w:p>
        </w:tc>
        <w:tc>
          <w:tcPr>
            <w:tcW w:w="873" w:type="pct"/>
            <w:vMerge w:val="restart"/>
            <w:tcBorders>
              <w:top w:val="nil"/>
              <w:left w:val="single" w:sz="8" w:space="0" w:color="000000"/>
              <w:right w:val="single" w:sz="8" w:space="0" w:color="000000"/>
            </w:tcBorders>
            <w:shd w:val="clear" w:color="auto" w:fill="FFFFFF"/>
          </w:tcPr>
          <w:p w14:paraId="60105047" w14:textId="263F722A" w:rsidR="00DF231C" w:rsidRPr="00A16C93" w:rsidRDefault="00DF231C" w:rsidP="00DF231C">
            <w:pPr>
              <w:pStyle w:val="TableHead"/>
              <w:rPr>
                <w:lang w:val="en-AU"/>
              </w:rPr>
            </w:pPr>
            <w:r>
              <w:t>Frequency category</w:t>
            </w:r>
            <w:r w:rsidR="00A65410" w:rsidRPr="00A65410">
              <w:rPr>
                <w:vertAlign w:val="superscript"/>
              </w:rPr>
              <w:t>1</w:t>
            </w:r>
          </w:p>
        </w:tc>
      </w:tr>
      <w:tr w:rsidR="00DF231C" w:rsidRPr="004F3422" w14:paraId="17C24815" w14:textId="2A3359EC" w:rsidTr="00A65410">
        <w:trPr>
          <w:cantSplit/>
          <w:trHeight w:val="194"/>
          <w:tblHeader/>
          <w:jc w:val="center"/>
        </w:trPr>
        <w:tc>
          <w:tcPr>
            <w:tcW w:w="1475" w:type="pct"/>
            <w:tcBorders>
              <w:top w:val="nil"/>
              <w:left w:val="single" w:sz="8" w:space="0" w:color="000000"/>
              <w:bottom w:val="single" w:sz="8" w:space="0" w:color="000000"/>
              <w:right w:val="nil"/>
            </w:tcBorders>
            <w:shd w:val="clear" w:color="auto" w:fill="FFFFFF"/>
            <w:vAlign w:val="bottom"/>
          </w:tcPr>
          <w:p w14:paraId="16A23305" w14:textId="61B2D548" w:rsidR="00DF231C" w:rsidRPr="00DF231C" w:rsidRDefault="00DF231C" w:rsidP="00A43335">
            <w:pPr>
              <w:pStyle w:val="TableHeading"/>
            </w:pPr>
            <w:r w:rsidRPr="00DF231C">
              <w:t>MedDRA Preferred Term</w:t>
            </w:r>
          </w:p>
        </w:tc>
        <w:tc>
          <w:tcPr>
            <w:tcW w:w="1133" w:type="pct"/>
            <w:tcBorders>
              <w:top w:val="nil"/>
              <w:left w:val="single" w:sz="8" w:space="0" w:color="000000"/>
              <w:bottom w:val="single" w:sz="8" w:space="0" w:color="000000"/>
              <w:right w:val="nil"/>
            </w:tcBorders>
            <w:shd w:val="clear" w:color="auto" w:fill="FFFFFF"/>
            <w:vAlign w:val="bottom"/>
          </w:tcPr>
          <w:p w14:paraId="678BFAAA" w14:textId="1C9CDCB3" w:rsidR="00DF231C" w:rsidRPr="00080750" w:rsidRDefault="00DF231C" w:rsidP="00A16C93">
            <w:pPr>
              <w:pStyle w:val="TableCentre"/>
            </w:pPr>
            <w:r w:rsidRPr="00080750">
              <w:t>(n=528)</w:t>
            </w:r>
            <w:r w:rsidRPr="00080750">
              <w:br/>
              <w:t>n (%)</w:t>
            </w:r>
          </w:p>
        </w:tc>
        <w:tc>
          <w:tcPr>
            <w:tcW w:w="644" w:type="pct"/>
            <w:tcBorders>
              <w:top w:val="nil"/>
              <w:left w:val="single" w:sz="8" w:space="0" w:color="000000"/>
              <w:bottom w:val="single" w:sz="8" w:space="0" w:color="000000"/>
              <w:right w:val="nil"/>
            </w:tcBorders>
            <w:shd w:val="clear" w:color="auto" w:fill="FFFFFF"/>
            <w:vAlign w:val="bottom"/>
          </w:tcPr>
          <w:p w14:paraId="001C4047" w14:textId="0041E9B3" w:rsidR="00DF231C" w:rsidRPr="00080750" w:rsidRDefault="00DF231C" w:rsidP="00A16C93">
            <w:pPr>
              <w:pStyle w:val="TableCentre"/>
            </w:pPr>
            <w:r w:rsidRPr="00080750">
              <w:t>5</w:t>
            </w:r>
            <w:r w:rsidR="00444E8F">
              <w:t> </w:t>
            </w:r>
            <w:r w:rsidRPr="00080750">
              <w:t>mg</w:t>
            </w:r>
            <w:r w:rsidRPr="00080750">
              <w:br/>
              <w:t>(n=580)</w:t>
            </w:r>
            <w:r w:rsidRPr="00080750">
              <w:br/>
              <w:t>n (%)</w:t>
            </w:r>
          </w:p>
        </w:tc>
        <w:tc>
          <w:tcPr>
            <w:tcW w:w="875" w:type="pct"/>
            <w:tcBorders>
              <w:top w:val="nil"/>
              <w:left w:val="single" w:sz="8" w:space="0" w:color="000000"/>
              <w:bottom w:val="single" w:sz="8" w:space="0" w:color="000000"/>
              <w:right w:val="single" w:sz="8" w:space="0" w:color="000000"/>
            </w:tcBorders>
            <w:shd w:val="clear" w:color="auto" w:fill="FFFFFF"/>
            <w:vAlign w:val="bottom"/>
          </w:tcPr>
          <w:p w14:paraId="56DA8236" w14:textId="7BAF3265" w:rsidR="00DF231C" w:rsidRPr="00080750" w:rsidRDefault="00DF231C" w:rsidP="00A16C93">
            <w:pPr>
              <w:pStyle w:val="TableCentre"/>
            </w:pPr>
            <w:r w:rsidRPr="00055D66">
              <w:t>10</w:t>
            </w:r>
            <w:r w:rsidR="00444E8F">
              <w:t> </w:t>
            </w:r>
            <w:r w:rsidRPr="00055D66">
              <w:t xml:space="preserve">mg </w:t>
            </w:r>
            <w:r w:rsidRPr="00055D66">
              <w:br/>
              <w:t xml:space="preserve">(n=582) </w:t>
            </w:r>
            <w:r w:rsidRPr="00055D66">
              <w:br/>
              <w:t>n (%)</w:t>
            </w:r>
          </w:p>
        </w:tc>
        <w:tc>
          <w:tcPr>
            <w:tcW w:w="873" w:type="pct"/>
            <w:vMerge/>
            <w:tcBorders>
              <w:left w:val="single" w:sz="8" w:space="0" w:color="000000"/>
              <w:bottom w:val="single" w:sz="8" w:space="0" w:color="000000"/>
              <w:right w:val="single" w:sz="8" w:space="0" w:color="000000"/>
            </w:tcBorders>
            <w:shd w:val="clear" w:color="auto" w:fill="FFFFFF"/>
          </w:tcPr>
          <w:p w14:paraId="0F0D7221" w14:textId="77777777" w:rsidR="00DF231C" w:rsidRPr="00055D66" w:rsidRDefault="00DF231C" w:rsidP="00A16C93">
            <w:pPr>
              <w:pStyle w:val="TableCentre"/>
            </w:pPr>
          </w:p>
        </w:tc>
      </w:tr>
      <w:tr w:rsidR="00DF231C" w:rsidRPr="004F3422" w14:paraId="1C3E0716" w14:textId="77777777" w:rsidTr="00A65410">
        <w:trPr>
          <w:cantSplit/>
          <w:trHeight w:val="194"/>
          <w:jc w:val="center"/>
        </w:trPr>
        <w:tc>
          <w:tcPr>
            <w:tcW w:w="5000" w:type="pct"/>
            <w:gridSpan w:val="5"/>
            <w:tcBorders>
              <w:top w:val="nil"/>
              <w:left w:val="single" w:sz="8" w:space="0" w:color="000000"/>
              <w:bottom w:val="single" w:sz="8" w:space="0" w:color="000000"/>
              <w:right w:val="single" w:sz="8" w:space="0" w:color="000000"/>
            </w:tcBorders>
            <w:shd w:val="clear" w:color="auto" w:fill="FFFFFF"/>
            <w:vAlign w:val="center"/>
          </w:tcPr>
          <w:p w14:paraId="1E1B66A8" w14:textId="46AA03D9" w:rsidR="00DF231C" w:rsidRDefault="00DF231C" w:rsidP="00A43335">
            <w:pPr>
              <w:pStyle w:val="TableHeading"/>
            </w:pPr>
            <w:r w:rsidRPr="00400241">
              <w:t>Nervous system disorders</w:t>
            </w:r>
          </w:p>
        </w:tc>
      </w:tr>
      <w:tr w:rsidR="00506152" w:rsidRPr="004F3422" w14:paraId="33C77981" w14:textId="6C323AE4" w:rsidTr="00A65410">
        <w:trPr>
          <w:cantSplit/>
          <w:trHeight w:val="194"/>
          <w:jc w:val="center"/>
        </w:trPr>
        <w:tc>
          <w:tcPr>
            <w:tcW w:w="1475" w:type="pct"/>
            <w:tcBorders>
              <w:top w:val="nil"/>
              <w:left w:val="single" w:sz="8" w:space="0" w:color="000000"/>
              <w:bottom w:val="single" w:sz="8" w:space="0" w:color="000000"/>
              <w:right w:val="nil"/>
            </w:tcBorders>
            <w:shd w:val="clear" w:color="auto" w:fill="FFFFFF"/>
          </w:tcPr>
          <w:p w14:paraId="1354162A" w14:textId="2332C7C3" w:rsidR="00506152" w:rsidRPr="00080750" w:rsidRDefault="00506152" w:rsidP="00A16C93">
            <w:pPr>
              <w:pStyle w:val="TableText"/>
            </w:pPr>
            <w:r w:rsidRPr="00080750">
              <w:t>Somnolence</w:t>
            </w:r>
          </w:p>
        </w:tc>
        <w:tc>
          <w:tcPr>
            <w:tcW w:w="1133" w:type="pct"/>
            <w:tcBorders>
              <w:top w:val="nil"/>
              <w:left w:val="single" w:sz="8" w:space="0" w:color="000000"/>
              <w:bottom w:val="single" w:sz="8" w:space="0" w:color="000000"/>
              <w:right w:val="nil"/>
            </w:tcBorders>
            <w:shd w:val="clear" w:color="auto" w:fill="FFFFFF"/>
          </w:tcPr>
          <w:p w14:paraId="1BE2F624" w14:textId="7BC7CD8F" w:rsidR="00506152" w:rsidRPr="00080750" w:rsidRDefault="00C564F4" w:rsidP="00A16C93">
            <w:pPr>
              <w:pStyle w:val="TableCentre"/>
            </w:pPr>
            <w:r>
              <w:t>7</w:t>
            </w:r>
            <w:r w:rsidR="00506152">
              <w:t xml:space="preserve"> (1.</w:t>
            </w:r>
            <w:r>
              <w:t>3</w:t>
            </w:r>
            <w:r w:rsidR="00506152" w:rsidRPr="00080750">
              <w:t>)</w:t>
            </w:r>
          </w:p>
        </w:tc>
        <w:tc>
          <w:tcPr>
            <w:tcW w:w="644" w:type="pct"/>
            <w:tcBorders>
              <w:top w:val="nil"/>
              <w:left w:val="single" w:sz="8" w:space="0" w:color="000000"/>
              <w:bottom w:val="single" w:sz="8" w:space="0" w:color="000000"/>
              <w:right w:val="nil"/>
            </w:tcBorders>
            <w:shd w:val="clear" w:color="auto" w:fill="FFFFFF"/>
          </w:tcPr>
          <w:p w14:paraId="6D099559" w14:textId="324F3EA7" w:rsidR="00506152" w:rsidRPr="00080750" w:rsidRDefault="00C564F4" w:rsidP="00A16C93">
            <w:pPr>
              <w:pStyle w:val="TableCentre"/>
            </w:pPr>
            <w:r>
              <w:t>29</w:t>
            </w:r>
            <w:r w:rsidR="00506152">
              <w:t xml:space="preserve"> (</w:t>
            </w:r>
            <w:r>
              <w:t>5</w:t>
            </w:r>
            <w:r w:rsidR="00506152">
              <w:t>.</w:t>
            </w:r>
            <w:r>
              <w:t>0</w:t>
            </w:r>
            <w:r w:rsidR="00506152" w:rsidRPr="00080750">
              <w:t>)</w:t>
            </w:r>
          </w:p>
        </w:tc>
        <w:tc>
          <w:tcPr>
            <w:tcW w:w="875" w:type="pct"/>
            <w:tcBorders>
              <w:top w:val="nil"/>
              <w:left w:val="single" w:sz="8" w:space="0" w:color="000000"/>
              <w:bottom w:val="single" w:sz="8" w:space="0" w:color="000000"/>
              <w:right w:val="single" w:sz="8" w:space="0" w:color="000000"/>
            </w:tcBorders>
            <w:shd w:val="clear" w:color="auto" w:fill="FFFFFF"/>
          </w:tcPr>
          <w:p w14:paraId="23B3621B" w14:textId="367C0C50" w:rsidR="00506152" w:rsidRPr="00055D66" w:rsidRDefault="00C564F4" w:rsidP="00A16C93">
            <w:pPr>
              <w:pStyle w:val="TableCentre"/>
            </w:pPr>
            <w:r>
              <w:t>48</w:t>
            </w:r>
            <w:r w:rsidR="00506152">
              <w:t xml:space="preserve"> (</w:t>
            </w:r>
            <w:r>
              <w:t>8</w:t>
            </w:r>
            <w:r w:rsidR="00506152">
              <w:t>.</w:t>
            </w:r>
            <w:r>
              <w:t>2</w:t>
            </w:r>
            <w:r w:rsidR="00506152" w:rsidRPr="00055D66">
              <w:t>)</w:t>
            </w:r>
          </w:p>
        </w:tc>
        <w:tc>
          <w:tcPr>
            <w:tcW w:w="873" w:type="pct"/>
            <w:tcBorders>
              <w:top w:val="nil"/>
              <w:left w:val="single" w:sz="8" w:space="0" w:color="000000"/>
              <w:bottom w:val="single" w:sz="8" w:space="0" w:color="000000"/>
              <w:right w:val="single" w:sz="8" w:space="0" w:color="000000"/>
            </w:tcBorders>
            <w:shd w:val="clear" w:color="auto" w:fill="FFFFFF"/>
          </w:tcPr>
          <w:p w14:paraId="5E0A3E74" w14:textId="6FF61F39" w:rsidR="00506152" w:rsidRDefault="005C7588" w:rsidP="00A16C93">
            <w:pPr>
              <w:pStyle w:val="TableCentre"/>
            </w:pPr>
            <w:r>
              <w:t>C</w:t>
            </w:r>
            <w:r w:rsidR="00DF231C" w:rsidRPr="00DF231C">
              <w:t>ommon</w:t>
            </w:r>
          </w:p>
        </w:tc>
      </w:tr>
      <w:tr w:rsidR="00C564F4" w:rsidRPr="004F3422" w14:paraId="20130998" w14:textId="77777777" w:rsidTr="00A65410">
        <w:trPr>
          <w:cantSplit/>
          <w:trHeight w:val="194"/>
          <w:jc w:val="center"/>
        </w:trPr>
        <w:tc>
          <w:tcPr>
            <w:tcW w:w="1475" w:type="pct"/>
            <w:tcBorders>
              <w:top w:val="nil"/>
              <w:left w:val="single" w:sz="8" w:space="0" w:color="000000"/>
              <w:bottom w:val="single" w:sz="8" w:space="0" w:color="000000"/>
              <w:right w:val="nil"/>
            </w:tcBorders>
            <w:shd w:val="clear" w:color="auto" w:fill="FFFFFF"/>
          </w:tcPr>
          <w:p w14:paraId="0305C94D" w14:textId="5EEB1632" w:rsidR="00C564F4" w:rsidRPr="00080750" w:rsidRDefault="00C564F4" w:rsidP="00C564F4">
            <w:pPr>
              <w:pStyle w:val="TableText"/>
            </w:pPr>
            <w:r>
              <w:t>Headache</w:t>
            </w:r>
          </w:p>
        </w:tc>
        <w:tc>
          <w:tcPr>
            <w:tcW w:w="1133" w:type="pct"/>
            <w:tcBorders>
              <w:top w:val="nil"/>
              <w:left w:val="single" w:sz="8" w:space="0" w:color="000000"/>
              <w:bottom w:val="single" w:sz="8" w:space="0" w:color="000000"/>
              <w:right w:val="nil"/>
            </w:tcBorders>
            <w:shd w:val="clear" w:color="auto" w:fill="FFFFFF"/>
          </w:tcPr>
          <w:p w14:paraId="10084F90" w14:textId="7BBF54A7" w:rsidR="00C564F4" w:rsidRDefault="00C564F4" w:rsidP="00C564F4">
            <w:pPr>
              <w:pStyle w:val="TableCentre"/>
            </w:pPr>
            <w:r>
              <w:t>18 (3.4)</w:t>
            </w:r>
          </w:p>
        </w:tc>
        <w:tc>
          <w:tcPr>
            <w:tcW w:w="644" w:type="pct"/>
            <w:tcBorders>
              <w:top w:val="nil"/>
              <w:left w:val="single" w:sz="8" w:space="0" w:color="000000"/>
              <w:bottom w:val="single" w:sz="8" w:space="0" w:color="000000"/>
              <w:right w:val="nil"/>
            </w:tcBorders>
            <w:shd w:val="clear" w:color="auto" w:fill="FFFFFF"/>
          </w:tcPr>
          <w:p w14:paraId="29E110D2" w14:textId="761F785C" w:rsidR="00C564F4" w:rsidRDefault="00C564F4" w:rsidP="00C564F4">
            <w:pPr>
              <w:pStyle w:val="TableCentre"/>
            </w:pPr>
            <w:r>
              <w:t>34 (5.9)</w:t>
            </w:r>
          </w:p>
        </w:tc>
        <w:tc>
          <w:tcPr>
            <w:tcW w:w="875" w:type="pct"/>
            <w:tcBorders>
              <w:top w:val="nil"/>
              <w:left w:val="single" w:sz="8" w:space="0" w:color="000000"/>
              <w:bottom w:val="single" w:sz="8" w:space="0" w:color="000000"/>
              <w:right w:val="single" w:sz="8" w:space="0" w:color="000000"/>
            </w:tcBorders>
            <w:shd w:val="clear" w:color="auto" w:fill="FFFFFF"/>
          </w:tcPr>
          <w:p w14:paraId="3A4F1A09" w14:textId="30595EA1" w:rsidR="00C564F4" w:rsidRDefault="00C564F4" w:rsidP="00C564F4">
            <w:pPr>
              <w:pStyle w:val="TableCentre"/>
            </w:pPr>
            <w:r>
              <w:t>26 (4.5)</w:t>
            </w:r>
          </w:p>
        </w:tc>
        <w:tc>
          <w:tcPr>
            <w:tcW w:w="873" w:type="pct"/>
            <w:tcBorders>
              <w:top w:val="nil"/>
              <w:left w:val="single" w:sz="8" w:space="0" w:color="000000"/>
              <w:bottom w:val="single" w:sz="8" w:space="0" w:color="000000"/>
              <w:right w:val="single" w:sz="8" w:space="0" w:color="000000"/>
            </w:tcBorders>
            <w:shd w:val="clear" w:color="auto" w:fill="FFFFFF"/>
          </w:tcPr>
          <w:p w14:paraId="07A6ABA2" w14:textId="5E4D8741" w:rsidR="00C564F4" w:rsidRPr="00DF231C" w:rsidRDefault="005C7588" w:rsidP="00C564F4">
            <w:pPr>
              <w:pStyle w:val="TableCentre"/>
            </w:pPr>
            <w:r>
              <w:t>C</w:t>
            </w:r>
            <w:r w:rsidR="00C564F4" w:rsidRPr="00DF231C">
              <w:t>ommon</w:t>
            </w:r>
          </w:p>
        </w:tc>
      </w:tr>
      <w:tr w:rsidR="00C564F4" w:rsidRPr="004F3422" w14:paraId="40915439" w14:textId="77777777" w:rsidTr="00C564F4">
        <w:trPr>
          <w:cantSplit/>
          <w:trHeight w:val="194"/>
          <w:jc w:val="center"/>
        </w:trPr>
        <w:tc>
          <w:tcPr>
            <w:tcW w:w="5000" w:type="pct"/>
            <w:gridSpan w:val="5"/>
            <w:tcBorders>
              <w:top w:val="nil"/>
              <w:left w:val="single" w:sz="8" w:space="0" w:color="000000"/>
              <w:bottom w:val="single" w:sz="8" w:space="0" w:color="000000"/>
              <w:right w:val="single" w:sz="8" w:space="0" w:color="000000"/>
            </w:tcBorders>
            <w:shd w:val="clear" w:color="auto" w:fill="FFFFFF"/>
          </w:tcPr>
          <w:p w14:paraId="49F113CC" w14:textId="670A21A1" w:rsidR="00C564F4" w:rsidRPr="00DF231C" w:rsidRDefault="00C564F4" w:rsidP="00A43335">
            <w:pPr>
              <w:pStyle w:val="TableHeading"/>
            </w:pPr>
            <w:r w:rsidRPr="003E24E7">
              <w:t>Psychiatric disorders</w:t>
            </w:r>
          </w:p>
        </w:tc>
      </w:tr>
      <w:tr w:rsidR="00622CA3" w:rsidRPr="004F3422" w14:paraId="61EC38CB" w14:textId="77777777" w:rsidTr="00A65410">
        <w:trPr>
          <w:cantSplit/>
          <w:trHeight w:val="194"/>
          <w:jc w:val="center"/>
        </w:trPr>
        <w:tc>
          <w:tcPr>
            <w:tcW w:w="1475" w:type="pct"/>
            <w:tcBorders>
              <w:top w:val="nil"/>
              <w:left w:val="single" w:sz="8" w:space="0" w:color="000000"/>
              <w:bottom w:val="single" w:sz="8" w:space="0" w:color="000000"/>
              <w:right w:val="nil"/>
            </w:tcBorders>
            <w:shd w:val="clear" w:color="auto" w:fill="FFFFFF"/>
          </w:tcPr>
          <w:p w14:paraId="53BD1422" w14:textId="0E3CE43D" w:rsidR="00622CA3" w:rsidRPr="00080750" w:rsidRDefault="00622CA3" w:rsidP="00622CA3">
            <w:pPr>
              <w:pStyle w:val="TableText"/>
            </w:pPr>
            <w:r>
              <w:t>Nightmare or abnormal dreams</w:t>
            </w:r>
          </w:p>
        </w:tc>
        <w:tc>
          <w:tcPr>
            <w:tcW w:w="1133" w:type="pct"/>
            <w:tcBorders>
              <w:top w:val="nil"/>
              <w:left w:val="single" w:sz="8" w:space="0" w:color="000000"/>
              <w:bottom w:val="single" w:sz="8" w:space="0" w:color="000000"/>
              <w:right w:val="nil"/>
            </w:tcBorders>
            <w:shd w:val="clear" w:color="auto" w:fill="FFFFFF"/>
          </w:tcPr>
          <w:p w14:paraId="17BA4D59" w14:textId="510C9EE6" w:rsidR="00622CA3" w:rsidRDefault="00622CA3" w:rsidP="00622CA3">
            <w:pPr>
              <w:pStyle w:val="TableCentre"/>
            </w:pPr>
            <w:r>
              <w:t>5 (0.9)</w:t>
            </w:r>
          </w:p>
        </w:tc>
        <w:tc>
          <w:tcPr>
            <w:tcW w:w="644" w:type="pct"/>
            <w:tcBorders>
              <w:top w:val="nil"/>
              <w:left w:val="single" w:sz="8" w:space="0" w:color="000000"/>
              <w:bottom w:val="single" w:sz="8" w:space="0" w:color="000000"/>
              <w:right w:val="nil"/>
            </w:tcBorders>
            <w:shd w:val="clear" w:color="auto" w:fill="FFFFFF"/>
          </w:tcPr>
          <w:p w14:paraId="6135FF82" w14:textId="6C38B3DF" w:rsidR="00622CA3" w:rsidRDefault="00622CA3" w:rsidP="00622CA3">
            <w:pPr>
              <w:pStyle w:val="TableCentre"/>
            </w:pPr>
            <w:r>
              <w:t>5 (0.9)</w:t>
            </w:r>
          </w:p>
        </w:tc>
        <w:tc>
          <w:tcPr>
            <w:tcW w:w="875" w:type="pct"/>
            <w:tcBorders>
              <w:top w:val="nil"/>
              <w:left w:val="single" w:sz="8" w:space="0" w:color="000000"/>
              <w:bottom w:val="single" w:sz="8" w:space="0" w:color="000000"/>
              <w:right w:val="single" w:sz="8" w:space="0" w:color="000000"/>
            </w:tcBorders>
            <w:shd w:val="clear" w:color="auto" w:fill="FFFFFF"/>
          </w:tcPr>
          <w:p w14:paraId="6F98168F" w14:textId="56595571" w:rsidR="00622CA3" w:rsidRDefault="00622CA3" w:rsidP="00622CA3">
            <w:pPr>
              <w:pStyle w:val="TableCentre"/>
            </w:pPr>
            <w:r>
              <w:t>13 (2.2)</w:t>
            </w:r>
          </w:p>
        </w:tc>
        <w:tc>
          <w:tcPr>
            <w:tcW w:w="873" w:type="pct"/>
            <w:tcBorders>
              <w:top w:val="nil"/>
              <w:left w:val="single" w:sz="8" w:space="0" w:color="000000"/>
              <w:bottom w:val="single" w:sz="8" w:space="0" w:color="000000"/>
              <w:right w:val="single" w:sz="8" w:space="0" w:color="000000"/>
            </w:tcBorders>
            <w:shd w:val="clear" w:color="auto" w:fill="FFFFFF"/>
          </w:tcPr>
          <w:p w14:paraId="38A66136" w14:textId="3C2FAB64" w:rsidR="00622CA3" w:rsidRPr="00DF231C" w:rsidRDefault="00622CA3" w:rsidP="00622CA3">
            <w:pPr>
              <w:pStyle w:val="TableCentre"/>
            </w:pPr>
            <w:r>
              <w:t>Common</w:t>
            </w:r>
          </w:p>
        </w:tc>
      </w:tr>
    </w:tbl>
    <w:p w14:paraId="20491070" w14:textId="7EB34EB8" w:rsidR="0036120C" w:rsidRDefault="00A65410" w:rsidP="00741BDD">
      <w:pPr>
        <w:pStyle w:val="TableFootnote"/>
      </w:pPr>
      <w:r w:rsidRPr="00741BDD">
        <w:rPr>
          <w:vertAlign w:val="superscript"/>
        </w:rPr>
        <w:t xml:space="preserve">1 </w:t>
      </w:r>
      <w:r w:rsidRPr="00741BDD">
        <w:t xml:space="preserve">ADR frequencies are based upon the highest percentage rate seen in </w:t>
      </w:r>
      <w:proofErr w:type="gramStart"/>
      <w:r w:rsidR="005C0E1D" w:rsidRPr="00741BDD">
        <w:t>either</w:t>
      </w:r>
      <w:r w:rsidRPr="00741BDD">
        <w:t xml:space="preserve"> lemborexant</w:t>
      </w:r>
      <w:proofErr w:type="gramEnd"/>
      <w:r w:rsidRPr="00741BDD">
        <w:t xml:space="preserve"> dose </w:t>
      </w:r>
      <w:r w:rsidR="0045362A" w:rsidRPr="00741BDD">
        <w:t>group.</w:t>
      </w:r>
    </w:p>
    <w:p w14:paraId="3FDFD4AA" w14:textId="77777777" w:rsidR="00EA67B1" w:rsidRPr="00741BDD" w:rsidRDefault="00EA67B1" w:rsidP="00741BDD">
      <w:pPr>
        <w:pStyle w:val="TableFootnote"/>
      </w:pPr>
    </w:p>
    <w:p w14:paraId="64B9B5E0" w14:textId="468F7383" w:rsidR="0036120C" w:rsidRPr="004F3422" w:rsidRDefault="0036120C" w:rsidP="00A16C93">
      <w:pPr>
        <w:pStyle w:val="Heading4"/>
      </w:pPr>
      <w:r w:rsidRPr="004F3422">
        <w:t>Other Adverse Reactions</w:t>
      </w:r>
    </w:p>
    <w:p w14:paraId="2AEDADC6" w14:textId="5407FB6D" w:rsidR="0012782C" w:rsidRDefault="0036120C" w:rsidP="00E127AE">
      <w:pPr>
        <w:pStyle w:val="BodyText"/>
      </w:pPr>
      <w:r w:rsidRPr="004F3422">
        <w:t>Sleep paralysis, an inability to move or speak for up to several minutes during sleep-wake</w:t>
      </w:r>
      <w:r w:rsidR="00317BF5" w:rsidRPr="004F3422">
        <w:t xml:space="preserve"> </w:t>
      </w:r>
      <w:r w:rsidRPr="004F3422">
        <w:t>transitions, can occur with the use of DAYVIGO. In clinical trials, DAYVIGO was</w:t>
      </w:r>
      <w:r w:rsidR="00317BF5" w:rsidRPr="004F3422">
        <w:t xml:space="preserve"> </w:t>
      </w:r>
      <w:r w:rsidRPr="004F3422">
        <w:t>associated with sleep paralysis: DAYVIGO 5</w:t>
      </w:r>
      <w:r w:rsidR="005317E4">
        <w:t> mg</w:t>
      </w:r>
      <w:r w:rsidRPr="004F3422">
        <w:t xml:space="preserve"> 1.1% or DAYVIGO 10</w:t>
      </w:r>
      <w:r w:rsidR="005317E4">
        <w:t> mg</w:t>
      </w:r>
      <w:r w:rsidRPr="004F3422">
        <w:t xml:space="preserve"> 1.6%</w:t>
      </w:r>
      <w:r w:rsidR="00317BF5" w:rsidRPr="004F3422">
        <w:t xml:space="preserve"> </w:t>
      </w:r>
      <w:r w:rsidRPr="004F3422">
        <w:t>compared to no reports for placebo.</w:t>
      </w:r>
    </w:p>
    <w:p w14:paraId="514569AD" w14:textId="77777777" w:rsidR="0012782C" w:rsidRDefault="0012782C" w:rsidP="0036120C">
      <w:pPr>
        <w:pStyle w:val="BodyText"/>
      </w:pPr>
    </w:p>
    <w:p w14:paraId="3B80F47F" w14:textId="72C64A28" w:rsidR="00A43D61" w:rsidRDefault="0012782C" w:rsidP="0036120C">
      <w:pPr>
        <w:pStyle w:val="BodyText"/>
      </w:pPr>
      <w:r w:rsidRPr="0012782C">
        <w:t>Two events of complex sleep behaviour were reported, both in patients receiving DAYVIGO 10 mg.</w:t>
      </w:r>
    </w:p>
    <w:p w14:paraId="3C17DA24" w14:textId="7A18696C" w:rsidR="003531A6" w:rsidRDefault="003531A6" w:rsidP="0036120C">
      <w:pPr>
        <w:pStyle w:val="BodyText"/>
      </w:pPr>
    </w:p>
    <w:p w14:paraId="016B9D6C" w14:textId="77777777" w:rsidR="003531A6" w:rsidRDefault="003531A6" w:rsidP="003531A6">
      <w:pPr>
        <w:pStyle w:val="Heading3"/>
      </w:pPr>
      <w:r>
        <w:t>Reporting suspected adverse effects</w:t>
      </w:r>
    </w:p>
    <w:p w14:paraId="1882F35B" w14:textId="77777777" w:rsidR="003531A6" w:rsidRDefault="003531A6" w:rsidP="003531A6">
      <w:pPr>
        <w:pStyle w:val="BodyTex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Pr>
            <w:rStyle w:val="Hyperlink"/>
          </w:rPr>
          <w:t>www.tga.gov.au/reportingproblems</w:t>
        </w:r>
      </w:hyperlink>
      <w:r>
        <w:t>.</w:t>
      </w:r>
    </w:p>
    <w:p w14:paraId="441243AE" w14:textId="77777777" w:rsidR="0036120C" w:rsidRPr="004F3422" w:rsidRDefault="0036120C" w:rsidP="0036120C">
      <w:pPr>
        <w:pStyle w:val="BodyText"/>
      </w:pPr>
    </w:p>
    <w:p w14:paraId="2866E059" w14:textId="30FE1C60" w:rsidR="00E52433" w:rsidRPr="004F3422" w:rsidRDefault="00D85D9B" w:rsidP="00D85D9B">
      <w:pPr>
        <w:pStyle w:val="Heading2"/>
      </w:pPr>
      <w:r w:rsidRPr="004F3422">
        <w:t>Overdose</w:t>
      </w:r>
    </w:p>
    <w:p w14:paraId="4C35AD1B" w14:textId="6E8D8D87" w:rsidR="00C740BA" w:rsidRPr="004F3422" w:rsidRDefault="00984ED8" w:rsidP="00C740BA">
      <w:pPr>
        <w:pStyle w:val="BodyText"/>
      </w:pPr>
      <w:r w:rsidRPr="00F866DE">
        <w:t>For information on the management of overdose, c</w:t>
      </w:r>
      <w:r w:rsidR="00C740BA" w:rsidRPr="004F3422">
        <w:t>ontact the Poison Information Centre on 13 11 26 (Australia).</w:t>
      </w:r>
    </w:p>
    <w:p w14:paraId="3EE53303" w14:textId="77777777" w:rsidR="00C740BA" w:rsidRPr="004F3422" w:rsidRDefault="00C740BA" w:rsidP="00C740BA">
      <w:pPr>
        <w:pStyle w:val="BodyText"/>
      </w:pPr>
    </w:p>
    <w:p w14:paraId="46D1FDDE" w14:textId="601D6266" w:rsidR="00C740BA" w:rsidRPr="004F3422" w:rsidRDefault="00A43D61" w:rsidP="00A43D61">
      <w:pPr>
        <w:pStyle w:val="BodyText"/>
      </w:pPr>
      <w:r w:rsidRPr="004F3422">
        <w:lastRenderedPageBreak/>
        <w:t>There is limited clinical experience with lemborexant overdose. In clinical pharmacology studies, healthy patients who were administered multiple doses of up to 75</w:t>
      </w:r>
      <w:r w:rsidR="005317E4">
        <w:t> mg</w:t>
      </w:r>
      <w:r w:rsidR="00095E29" w:rsidRPr="004F3422">
        <w:t xml:space="preserve"> (7.5 times the maximum recommended dose)</w:t>
      </w:r>
      <w:r w:rsidRPr="004F3422">
        <w:t xml:space="preserve"> of lemborexant showed dose-dependent increases in the frequency of somnolence. There is no available specific antidote to an overdose of lemborexant. In the event of overdose, standard medical practice for the management of any overdose should be used. A certified poison control </w:t>
      </w:r>
      <w:r w:rsidR="00317BF5" w:rsidRPr="004F3422">
        <w:t>centre</w:t>
      </w:r>
      <w:r w:rsidRPr="004F3422">
        <w:t xml:space="preserve"> should be contacted for updated information.</w:t>
      </w:r>
    </w:p>
    <w:p w14:paraId="3EE39EF8" w14:textId="77777777" w:rsidR="00A43D61" w:rsidRPr="004F3422" w:rsidRDefault="00A43D61" w:rsidP="00A43D61">
      <w:pPr>
        <w:pStyle w:val="BodyText"/>
      </w:pPr>
    </w:p>
    <w:p w14:paraId="73ED19FC" w14:textId="77777777" w:rsidR="00D85D9B" w:rsidRPr="004F3422" w:rsidRDefault="00D85D9B" w:rsidP="00D85D9B">
      <w:pPr>
        <w:pStyle w:val="Heading1"/>
        <w:ind w:left="431" w:hanging="431"/>
      </w:pPr>
      <w:r w:rsidRPr="004F3422">
        <w:t>Pharmacological properties</w:t>
      </w:r>
    </w:p>
    <w:p w14:paraId="6A0ACFE8" w14:textId="77777777" w:rsidR="00D85D9B" w:rsidRPr="004F3422" w:rsidRDefault="00D85D9B" w:rsidP="00D85D9B">
      <w:pPr>
        <w:pStyle w:val="Heading2"/>
        <w:ind w:left="578" w:hanging="578"/>
      </w:pPr>
      <w:bookmarkStart w:id="19" w:name="_Ref503528653"/>
      <w:r w:rsidRPr="004F3422">
        <w:t>Pharmacodynamic properties</w:t>
      </w:r>
      <w:bookmarkEnd w:id="19"/>
      <w:r w:rsidRPr="004F3422">
        <w:t xml:space="preserve"> </w:t>
      </w:r>
    </w:p>
    <w:p w14:paraId="437A698A" w14:textId="77777777" w:rsidR="004D7A69" w:rsidRPr="004F3422" w:rsidRDefault="004D7A69" w:rsidP="004D7A69">
      <w:pPr>
        <w:pStyle w:val="Heading3"/>
      </w:pPr>
      <w:r w:rsidRPr="004F3422">
        <w:t>Mechanism of Action</w:t>
      </w:r>
    </w:p>
    <w:p w14:paraId="28D6A1DE" w14:textId="6CC89529" w:rsidR="004D7A69" w:rsidRDefault="00A43D61" w:rsidP="00A43D61">
      <w:pPr>
        <w:pStyle w:val="BodyText"/>
      </w:pPr>
      <w:r w:rsidRPr="00F866DE">
        <w:t>Lemborexant is a competitive antagonist of both orexin receptors, OX1R and OX2R, with a higher affinity for OX2R. It belongs to the pharmacologic class of orexin receptor antagonists. The orexin neuropeptide signalling system is a central promoter of wakefulness. Blocking the binding of wake-prom</w:t>
      </w:r>
      <w:r w:rsidRPr="004F3422">
        <w:t>oting neuropeptides orexin A and orexin B to receptors OX1R and OX2R is thought to suppress wake drive.</w:t>
      </w:r>
    </w:p>
    <w:p w14:paraId="660F30AA" w14:textId="77777777" w:rsidR="00622CA3" w:rsidRDefault="00622CA3" w:rsidP="00A43D61">
      <w:pPr>
        <w:pStyle w:val="BodyText"/>
      </w:pPr>
    </w:p>
    <w:p w14:paraId="536061A4" w14:textId="77777777" w:rsidR="00622CA3" w:rsidRPr="004F3422" w:rsidRDefault="00622CA3" w:rsidP="00622CA3">
      <w:pPr>
        <w:pStyle w:val="BodyText"/>
      </w:pPr>
      <w:r>
        <w:t>Antagonism or orexin receptors may also underlie potential adverse effects such as signs of narcolepsy/cataplexy. Lemborexant administered to mice at oral doses greater than 10 mg/kg resulted in behaviour characteristic of cataplexy when presented with chocolate. Chocolate is a stimulus that has been demonstrated to increase cataplexy occurrences in narcoleptic mice.</w:t>
      </w:r>
    </w:p>
    <w:p w14:paraId="5F168B9E" w14:textId="77777777" w:rsidR="00A43D61" w:rsidRPr="004F3422" w:rsidRDefault="00A43D61" w:rsidP="00A43D61">
      <w:pPr>
        <w:pStyle w:val="BodyText"/>
      </w:pPr>
    </w:p>
    <w:p w14:paraId="0733007B" w14:textId="6254D8EA" w:rsidR="004D7A69" w:rsidRPr="004F3422" w:rsidRDefault="004D7A69" w:rsidP="004D7A69">
      <w:pPr>
        <w:pStyle w:val="Heading3"/>
      </w:pPr>
      <w:r w:rsidRPr="004F3422">
        <w:t xml:space="preserve">Pharmacodynamic </w:t>
      </w:r>
      <w:r w:rsidR="00EA2088">
        <w:t>E</w:t>
      </w:r>
      <w:r w:rsidR="00EA2088" w:rsidRPr="004F3422">
        <w:t xml:space="preserve">ffects </w:t>
      </w:r>
    </w:p>
    <w:p w14:paraId="3A6E40E7" w14:textId="77777777" w:rsidR="00A43D61" w:rsidRPr="00F866DE" w:rsidRDefault="00A43D61" w:rsidP="00A43D61">
      <w:pPr>
        <w:pStyle w:val="Heading4"/>
      </w:pPr>
      <w:r w:rsidRPr="00F866DE">
        <w:t>Cardiac Electrophysiology</w:t>
      </w:r>
    </w:p>
    <w:p w14:paraId="3BB9889F" w14:textId="33A3FFFC" w:rsidR="004D7A69" w:rsidRDefault="00A43D61" w:rsidP="00A43D61">
      <w:pPr>
        <w:pStyle w:val="BodyText"/>
      </w:pPr>
      <w:r w:rsidRPr="004F3422">
        <w:t>The effect of lemborexant on the QTc interval using a high precision analysis was measured in multiple dose studies in human patients administered daily doses up to 75</w:t>
      </w:r>
      <w:r w:rsidR="005317E4">
        <w:t> mg</w:t>
      </w:r>
      <w:r w:rsidRPr="004F3422">
        <w:t>. The concentration-response relationship was analysed using a linear mixed-effects model. The model-predicted QTc effect at the highest observed concentration was 1.1</w:t>
      </w:r>
      <w:r w:rsidR="003B2F8E">
        <w:t> </w:t>
      </w:r>
      <w:r w:rsidRPr="004F3422">
        <w:t>msec (90% CI:</w:t>
      </w:r>
      <w:r w:rsidR="000E6F91" w:rsidRPr="004F3422">
        <w:t> </w:t>
      </w:r>
      <w:r w:rsidRPr="004F3422">
        <w:t>–</w:t>
      </w:r>
      <w:r w:rsidR="000E6F91" w:rsidRPr="004F3422">
        <w:t> </w:t>
      </w:r>
      <w:r w:rsidRPr="004F3422">
        <w:t>3.49 to 5.78), indicating that a QTc prolongation effect &gt;10</w:t>
      </w:r>
      <w:r w:rsidR="005317E4">
        <w:t> </w:t>
      </w:r>
      <w:r w:rsidRPr="004F3422">
        <w:t>msec could be excluded at a dose 7.5-times the maximum recommended dose. Thus, lemborexant does not prolong the QTc interval at clinically relevant doses.</w:t>
      </w:r>
    </w:p>
    <w:p w14:paraId="7BFC34CF" w14:textId="77777777" w:rsidR="00AA6B02" w:rsidRPr="004F3422" w:rsidRDefault="00AA6B02" w:rsidP="00A43D61">
      <w:pPr>
        <w:pStyle w:val="BodyText"/>
      </w:pPr>
    </w:p>
    <w:p w14:paraId="5620E09C" w14:textId="4ADCEDFA" w:rsidR="00931E1B" w:rsidRDefault="00931E1B" w:rsidP="00931E1B">
      <w:pPr>
        <w:pStyle w:val="Heading3"/>
      </w:pPr>
      <w:r>
        <w:t>Clinical Trials</w:t>
      </w:r>
    </w:p>
    <w:p w14:paraId="36D6B7FB" w14:textId="5B93F4BD" w:rsidR="00981D19" w:rsidRPr="004F3422" w:rsidRDefault="00981D19" w:rsidP="00981D19">
      <w:pPr>
        <w:pStyle w:val="Heading4"/>
      </w:pPr>
      <w:r w:rsidRPr="004F3422">
        <w:t>Controlled Clinical Studies</w:t>
      </w:r>
    </w:p>
    <w:p w14:paraId="59FDB221" w14:textId="35A02C88" w:rsidR="00A43D61" w:rsidRPr="004F3422" w:rsidRDefault="00A43D61" w:rsidP="00A43D61">
      <w:pPr>
        <w:pStyle w:val="BodyText"/>
        <w:rPr>
          <w:rFonts w:eastAsiaTheme="minorEastAsia"/>
        </w:rPr>
      </w:pPr>
      <w:r w:rsidRPr="00F866DE">
        <w:rPr>
          <w:rFonts w:eastAsiaTheme="minorEastAsia"/>
        </w:rPr>
        <w:t xml:space="preserve">DAYVIGO was evaluated in two clinical trials in patients with insomnia </w:t>
      </w:r>
      <w:r w:rsidR="000557C6">
        <w:rPr>
          <w:rFonts w:eastAsiaTheme="minorEastAsia"/>
        </w:rPr>
        <w:t>characterised</w:t>
      </w:r>
      <w:r w:rsidRPr="00F866DE">
        <w:rPr>
          <w:rFonts w:eastAsiaTheme="minorEastAsia"/>
        </w:rPr>
        <w:t xml:space="preserve"> by difficulties with sleep onset and/or sleep maintenance (</w:t>
      </w:r>
      <w:r w:rsidR="00A7450F" w:rsidRPr="00F866DE">
        <w:rPr>
          <w:rFonts w:eastAsiaTheme="minorEastAsia"/>
        </w:rPr>
        <w:t xml:space="preserve">Study E2006-G000-303 (Study 303)), and Study </w:t>
      </w:r>
      <w:r w:rsidR="00A7450F" w:rsidRPr="004F3422">
        <w:rPr>
          <w:rFonts w:cs="Times New Roman"/>
          <w:szCs w:val="24"/>
        </w:rPr>
        <w:t>E2006-G000-304 (Study 304)).</w:t>
      </w:r>
    </w:p>
    <w:p w14:paraId="1FAEBAAC" w14:textId="77777777" w:rsidR="00A43D61" w:rsidRPr="004F3422" w:rsidRDefault="00A43D61" w:rsidP="00A43D61">
      <w:pPr>
        <w:pStyle w:val="BodyText"/>
        <w:rPr>
          <w:rFonts w:eastAsiaTheme="minorEastAsia"/>
        </w:rPr>
      </w:pPr>
    </w:p>
    <w:p w14:paraId="74A77154" w14:textId="0BBDD8FC" w:rsidR="00A43D61" w:rsidRPr="00F866DE" w:rsidRDefault="00A7450F" w:rsidP="00A43D61">
      <w:pPr>
        <w:pStyle w:val="BodyText"/>
        <w:rPr>
          <w:rFonts w:eastAsiaTheme="minorEastAsia"/>
        </w:rPr>
      </w:pPr>
      <w:r w:rsidRPr="004F3422">
        <w:rPr>
          <w:rFonts w:eastAsiaTheme="minorEastAsia"/>
        </w:rPr>
        <w:lastRenderedPageBreak/>
        <w:t>Study 303</w:t>
      </w:r>
      <w:r w:rsidR="00A43D61" w:rsidRPr="004F3422">
        <w:rPr>
          <w:rFonts w:eastAsiaTheme="minorEastAsia"/>
        </w:rPr>
        <w:t xml:space="preserve"> was a 6-month, </w:t>
      </w:r>
      <w:r w:rsidR="000557C6">
        <w:rPr>
          <w:rFonts w:eastAsiaTheme="minorEastAsia"/>
        </w:rPr>
        <w:t>randomised</w:t>
      </w:r>
      <w:r w:rsidR="00A43D61" w:rsidRPr="004F3422">
        <w:rPr>
          <w:rFonts w:eastAsiaTheme="minorEastAsia"/>
        </w:rPr>
        <w:t>, double-blind, placebo-controlled, multi-</w:t>
      </w:r>
      <w:r w:rsidR="00317BF5" w:rsidRPr="004F3422">
        <w:rPr>
          <w:rFonts w:eastAsiaTheme="minorEastAsia"/>
        </w:rPr>
        <w:t>centre</w:t>
      </w:r>
      <w:r w:rsidR="00A43D61" w:rsidRPr="004F3422">
        <w:rPr>
          <w:rFonts w:eastAsiaTheme="minorEastAsia"/>
        </w:rPr>
        <w:t xml:space="preserve"> trial in adult patients age 18 or older who met D</w:t>
      </w:r>
      <w:r w:rsidR="00786BF4">
        <w:rPr>
          <w:rFonts w:eastAsiaTheme="minorEastAsia"/>
        </w:rPr>
        <w:t>iagnostic and Statistical Manual of Mental Disorders, 5</w:t>
      </w:r>
      <w:r w:rsidR="00786BF4" w:rsidRPr="00A16C93">
        <w:rPr>
          <w:rFonts w:eastAsiaTheme="minorEastAsia"/>
          <w:vertAlign w:val="superscript"/>
        </w:rPr>
        <w:t>th</w:t>
      </w:r>
      <w:r w:rsidR="00786BF4">
        <w:rPr>
          <w:rFonts w:eastAsiaTheme="minorEastAsia"/>
        </w:rPr>
        <w:t xml:space="preserve"> Edition (</w:t>
      </w:r>
      <w:r w:rsidR="00A43D61" w:rsidRPr="004F3422">
        <w:rPr>
          <w:rFonts w:eastAsiaTheme="minorEastAsia"/>
        </w:rPr>
        <w:t>DSM-5</w:t>
      </w:r>
      <w:r w:rsidR="00786BF4">
        <w:rPr>
          <w:rFonts w:eastAsiaTheme="minorEastAsia"/>
        </w:rPr>
        <w:t>)</w:t>
      </w:r>
      <w:r w:rsidR="00A43D61" w:rsidRPr="004F3422">
        <w:rPr>
          <w:rFonts w:eastAsiaTheme="minorEastAsia"/>
        </w:rPr>
        <w:t xml:space="preserve"> criteria for insomnia disorder. Patients were </w:t>
      </w:r>
      <w:r w:rsidR="000557C6">
        <w:rPr>
          <w:rFonts w:eastAsiaTheme="minorEastAsia"/>
        </w:rPr>
        <w:t>randomised</w:t>
      </w:r>
      <w:r w:rsidR="00A43D61" w:rsidRPr="004F3422">
        <w:rPr>
          <w:rFonts w:eastAsiaTheme="minorEastAsia"/>
        </w:rPr>
        <w:t xml:space="preserve"> to placebo (n=325), DAYVIGO 5</w:t>
      </w:r>
      <w:r w:rsidR="005317E4">
        <w:rPr>
          <w:rFonts w:eastAsiaTheme="minorEastAsia"/>
        </w:rPr>
        <w:t xml:space="preserve"> mg</w:t>
      </w:r>
      <w:r w:rsidR="00A43D61" w:rsidRPr="004F3422">
        <w:rPr>
          <w:rFonts w:eastAsiaTheme="minorEastAsia"/>
        </w:rPr>
        <w:t xml:space="preserve"> (n=323), or DAYVIGO 10</w:t>
      </w:r>
      <w:r w:rsidR="005317E4">
        <w:rPr>
          <w:rFonts w:eastAsiaTheme="minorEastAsia"/>
        </w:rPr>
        <w:t> mg</w:t>
      </w:r>
      <w:r w:rsidR="00A43D61" w:rsidRPr="004F3422">
        <w:rPr>
          <w:rFonts w:eastAsiaTheme="minorEastAsia"/>
        </w:rPr>
        <w:t xml:space="preserve"> (n=323) once nightly. The primary efficacy endpoint was the mean change from baseline to end of treatment at 6</w:t>
      </w:r>
      <w:r w:rsidR="003B2F8E">
        <w:rPr>
          <w:rFonts w:eastAsiaTheme="minorEastAsia"/>
        </w:rPr>
        <w:t> </w:t>
      </w:r>
      <w:r w:rsidR="00A43D61" w:rsidRPr="004F3422">
        <w:rPr>
          <w:rFonts w:eastAsiaTheme="minorEastAsia"/>
        </w:rPr>
        <w:t xml:space="preserve">months for log-transformed patient-reported (subjective) sleep onset latency (sSOL), defined as the estimated minutes from the time that the patient attempted to sleep </w:t>
      </w:r>
      <w:r w:rsidR="00A43D61" w:rsidRPr="00F866DE">
        <w:rPr>
          <w:rFonts w:eastAsiaTheme="minorEastAsia"/>
        </w:rPr>
        <w:t>until sleep onset. Pre-specified secondary efficacy endpoints for sleep maintenance were change from baseline to end of treatment at 6</w:t>
      </w:r>
      <w:r w:rsidR="003B2F8E">
        <w:rPr>
          <w:rFonts w:eastAsiaTheme="minorEastAsia"/>
        </w:rPr>
        <w:t> </w:t>
      </w:r>
      <w:r w:rsidR="00A43D61" w:rsidRPr="00F866DE">
        <w:rPr>
          <w:rFonts w:eastAsiaTheme="minorEastAsia"/>
        </w:rPr>
        <w:t xml:space="preserve">months for patient-reported sleep efficiency (sSEF) and wake after sleep onset (sWASO). sSEF is defined as the proportion of time spent asleep per time in bed. sWASO is defined as the minutes of wake from the onset of sleep until wake time. The primary and pre-specified secondary efficacy endpoints were measured by sleep diary. </w:t>
      </w:r>
    </w:p>
    <w:p w14:paraId="5A619783" w14:textId="77777777" w:rsidR="00A43D61" w:rsidRPr="004F3422" w:rsidRDefault="00A43D61" w:rsidP="00A43D61">
      <w:pPr>
        <w:pStyle w:val="BodyText"/>
        <w:rPr>
          <w:rFonts w:eastAsiaTheme="minorEastAsia"/>
        </w:rPr>
      </w:pPr>
    </w:p>
    <w:p w14:paraId="56B39F72" w14:textId="0567EA44" w:rsidR="00A43D61" w:rsidRPr="004F3422" w:rsidRDefault="00A43D61" w:rsidP="00A43D61">
      <w:pPr>
        <w:pStyle w:val="BodyText"/>
        <w:rPr>
          <w:rFonts w:eastAsiaTheme="minorEastAsia"/>
        </w:rPr>
      </w:pPr>
      <w:r w:rsidRPr="004F3422">
        <w:rPr>
          <w:rFonts w:eastAsiaTheme="minorEastAsia"/>
        </w:rPr>
        <w:t>The demographic charac</w:t>
      </w:r>
      <w:r w:rsidR="00A7450F" w:rsidRPr="004F3422">
        <w:rPr>
          <w:rFonts w:eastAsiaTheme="minorEastAsia"/>
        </w:rPr>
        <w:t>teristics of patients in Study 303</w:t>
      </w:r>
      <w:r w:rsidRPr="004F3422">
        <w:rPr>
          <w:rFonts w:eastAsiaTheme="minorEastAsia"/>
        </w:rPr>
        <w:t xml:space="preserve"> were similar across the treatment arms. Patients had a median age of 55</w:t>
      </w:r>
      <w:r w:rsidR="003B2F8E">
        <w:rPr>
          <w:rFonts w:eastAsiaTheme="minorEastAsia"/>
        </w:rPr>
        <w:t> </w:t>
      </w:r>
      <w:r w:rsidRPr="004F3422">
        <w:rPr>
          <w:rFonts w:eastAsiaTheme="minorEastAsia"/>
        </w:rPr>
        <w:t>years (range 18 to 88) and were 68% female, 72% White, 8% Black or African American, 17% Japanese, and 3.5% other; 28% were elderly (≥65</w:t>
      </w:r>
      <w:r w:rsidR="003B2F8E">
        <w:rPr>
          <w:rFonts w:eastAsiaTheme="minorEastAsia"/>
        </w:rPr>
        <w:t> </w:t>
      </w:r>
      <w:r w:rsidRPr="004F3422">
        <w:rPr>
          <w:rFonts w:eastAsiaTheme="minorEastAsia"/>
        </w:rPr>
        <w:t>years).</w:t>
      </w:r>
    </w:p>
    <w:p w14:paraId="35042BCE" w14:textId="77777777" w:rsidR="00A43D61" w:rsidRPr="004F3422" w:rsidRDefault="00A43D61" w:rsidP="00A43D61">
      <w:pPr>
        <w:pStyle w:val="BodyText"/>
        <w:rPr>
          <w:rFonts w:eastAsiaTheme="minorEastAsia"/>
        </w:rPr>
      </w:pPr>
    </w:p>
    <w:p w14:paraId="3505AFFE" w14:textId="3844058F" w:rsidR="00A43D61" w:rsidRDefault="00A7450F" w:rsidP="00A43D61">
      <w:pPr>
        <w:pStyle w:val="BodyText"/>
        <w:rPr>
          <w:rFonts w:eastAsiaTheme="minorEastAsia"/>
        </w:rPr>
      </w:pPr>
      <w:r w:rsidRPr="00F866DE">
        <w:rPr>
          <w:rFonts w:eastAsiaTheme="minorEastAsia"/>
        </w:rPr>
        <w:t>In Study 303</w:t>
      </w:r>
      <w:r w:rsidR="00A43D61" w:rsidRPr="00F866DE">
        <w:rPr>
          <w:rFonts w:eastAsiaTheme="minorEastAsia"/>
        </w:rPr>
        <w:t>, DAYVIGO 5</w:t>
      </w:r>
      <w:r w:rsidR="005317E4">
        <w:rPr>
          <w:rFonts w:eastAsiaTheme="minorEastAsia"/>
        </w:rPr>
        <w:t> mg</w:t>
      </w:r>
      <w:r w:rsidR="00A43D61" w:rsidRPr="00F866DE">
        <w:rPr>
          <w:rFonts w:eastAsiaTheme="minorEastAsia"/>
        </w:rPr>
        <w:t xml:space="preserve"> and 10</w:t>
      </w:r>
      <w:r w:rsidR="005317E4">
        <w:rPr>
          <w:rFonts w:eastAsiaTheme="minorEastAsia"/>
        </w:rPr>
        <w:t xml:space="preserve"> mg</w:t>
      </w:r>
      <w:r w:rsidR="00A43D61" w:rsidRPr="00F866DE">
        <w:rPr>
          <w:rFonts w:eastAsiaTheme="minorEastAsia"/>
        </w:rPr>
        <w:t xml:space="preserve"> demonstrated statistically significant superiority on the primary efficacy measure, sSOL, compared to placebo (</w:t>
      </w:r>
      <w:r w:rsidR="00325106">
        <w:rPr>
          <w:rFonts w:eastAsiaTheme="minorEastAsia"/>
        </w:rPr>
        <w:fldChar w:fldCharType="begin"/>
      </w:r>
      <w:r w:rsidR="00325106">
        <w:rPr>
          <w:rFonts w:eastAsiaTheme="minorEastAsia"/>
        </w:rPr>
        <w:instrText xml:space="preserve"> REF _Ref77062709 \h </w:instrText>
      </w:r>
      <w:r w:rsidR="00325106">
        <w:rPr>
          <w:rFonts w:eastAsiaTheme="minorEastAsia"/>
        </w:rPr>
      </w:r>
      <w:r w:rsidR="00325106">
        <w:rPr>
          <w:rFonts w:eastAsiaTheme="minorEastAsia"/>
        </w:rPr>
        <w:fldChar w:fldCharType="separate"/>
      </w:r>
      <w:r w:rsidR="005D06A3" w:rsidRPr="00A43335">
        <w:t xml:space="preserve">Table </w:t>
      </w:r>
      <w:r w:rsidR="005D06A3">
        <w:rPr>
          <w:noProof/>
        </w:rPr>
        <w:t>2</w:t>
      </w:r>
      <w:r w:rsidR="00325106">
        <w:rPr>
          <w:rFonts w:eastAsiaTheme="minorEastAsia"/>
        </w:rPr>
        <w:fldChar w:fldCharType="end"/>
      </w:r>
      <w:r w:rsidR="00A43D61" w:rsidRPr="004F3422">
        <w:rPr>
          <w:rFonts w:eastAsiaTheme="minorEastAsia"/>
        </w:rPr>
        <w:t>)</w:t>
      </w:r>
      <w:r w:rsidR="00884DEA" w:rsidRPr="004F3422">
        <w:rPr>
          <w:rFonts w:eastAsiaTheme="minorEastAsia"/>
        </w:rPr>
        <w:t xml:space="preserve"> fro</w:t>
      </w:r>
      <w:r w:rsidR="00884DEA" w:rsidRPr="00F866DE">
        <w:rPr>
          <w:rFonts w:eastAsiaTheme="minorEastAsia"/>
        </w:rPr>
        <w:t>m the beginning of treatment (first 7 days) and as measured at the end of 6 months of treatment)</w:t>
      </w:r>
      <w:r w:rsidR="00A43D61" w:rsidRPr="00F866DE">
        <w:rPr>
          <w:rFonts w:eastAsiaTheme="minorEastAsia"/>
        </w:rPr>
        <w:t>. DAYVIGO 5</w:t>
      </w:r>
      <w:r w:rsidR="00370E17">
        <w:rPr>
          <w:rFonts w:eastAsiaTheme="minorEastAsia"/>
        </w:rPr>
        <w:t> </w:t>
      </w:r>
      <w:r w:rsidR="00A43D61" w:rsidRPr="00F866DE">
        <w:rPr>
          <w:rFonts w:eastAsiaTheme="minorEastAsia"/>
        </w:rPr>
        <w:t>mg and 10</w:t>
      </w:r>
      <w:r w:rsidR="005317E4">
        <w:rPr>
          <w:rFonts w:eastAsiaTheme="minorEastAsia"/>
        </w:rPr>
        <w:t> </w:t>
      </w:r>
      <w:r w:rsidR="00A43D61" w:rsidRPr="00F866DE">
        <w:rPr>
          <w:rFonts w:eastAsiaTheme="minorEastAsia"/>
        </w:rPr>
        <w:t>mg also showed statistically significant superiority in sSEF and sWASO</w:t>
      </w:r>
      <w:r w:rsidR="00884DEA" w:rsidRPr="004F3422">
        <w:rPr>
          <w:rFonts w:eastAsiaTheme="minorEastAsia"/>
        </w:rPr>
        <w:t xml:space="preserve"> (at the beginning of treatment and as measured at the end of 6</w:t>
      </w:r>
      <w:r w:rsidR="003B2F8E">
        <w:rPr>
          <w:rFonts w:eastAsiaTheme="minorEastAsia"/>
        </w:rPr>
        <w:t> </w:t>
      </w:r>
      <w:r w:rsidR="00884DEA" w:rsidRPr="004F3422">
        <w:rPr>
          <w:rFonts w:eastAsiaTheme="minorEastAsia"/>
        </w:rPr>
        <w:t>months of treatment)</w:t>
      </w:r>
      <w:r w:rsidR="00A43D61" w:rsidRPr="004F3422">
        <w:rPr>
          <w:rFonts w:eastAsiaTheme="minorEastAsia"/>
        </w:rPr>
        <w:t>.</w:t>
      </w:r>
    </w:p>
    <w:p w14:paraId="08A19BD8" w14:textId="49A2E88B" w:rsidR="00FF01D3" w:rsidRPr="00325106" w:rsidRDefault="00FF01D3" w:rsidP="00325106">
      <w:pPr>
        <w:pStyle w:val="BodyText"/>
      </w:pPr>
    </w:p>
    <w:tbl>
      <w:tblPr>
        <w:tblStyle w:val="TableGrid3"/>
        <w:tblW w:w="5097" w:type="pct"/>
        <w:tblInd w:w="-72" w:type="dxa"/>
        <w:tblLayout w:type="fixed"/>
        <w:tblLook w:val="04A0" w:firstRow="1" w:lastRow="0" w:firstColumn="1" w:lastColumn="0" w:noHBand="0" w:noVBand="1"/>
      </w:tblPr>
      <w:tblGrid>
        <w:gridCol w:w="2763"/>
        <w:gridCol w:w="1137"/>
        <w:gridCol w:w="1303"/>
        <w:gridCol w:w="1249"/>
        <w:gridCol w:w="1343"/>
        <w:gridCol w:w="1393"/>
        <w:gridCol w:w="13"/>
      </w:tblGrid>
      <w:tr w:rsidR="00E00EFA" w:rsidRPr="00411193" w14:paraId="33C429D0" w14:textId="77777777" w:rsidTr="00364167">
        <w:trPr>
          <w:trHeight w:val="378"/>
          <w:tblHeader/>
        </w:trPr>
        <w:tc>
          <w:tcPr>
            <w:tcW w:w="5000" w:type="pct"/>
            <w:gridSpan w:val="7"/>
            <w:tcBorders>
              <w:top w:val="nil"/>
              <w:left w:val="nil"/>
              <w:right w:val="nil"/>
            </w:tcBorders>
          </w:tcPr>
          <w:p w14:paraId="38E13BE9" w14:textId="3809F4A8" w:rsidR="00E00EFA" w:rsidRPr="00A43335" w:rsidRDefault="00804006" w:rsidP="00A43335">
            <w:pPr>
              <w:pStyle w:val="Caption"/>
            </w:pPr>
            <w:bookmarkStart w:id="20" w:name="_Ref38377996"/>
            <w:bookmarkStart w:id="21" w:name="_Ref77062709"/>
            <w:r w:rsidRPr="00A43335">
              <w:t xml:space="preserve">Table </w:t>
            </w:r>
            <w:bookmarkEnd w:id="20"/>
            <w:r w:rsidR="005C0B97" w:rsidRPr="00A43335">
              <w:fldChar w:fldCharType="begin"/>
            </w:r>
            <w:r w:rsidR="005C0B97" w:rsidRPr="00A43335">
              <w:instrText xml:space="preserve"> SEQ Table \* ARABIC </w:instrText>
            </w:r>
            <w:r w:rsidR="005C0B97" w:rsidRPr="00A43335">
              <w:fldChar w:fldCharType="separate"/>
            </w:r>
            <w:r w:rsidR="005D06A3">
              <w:rPr>
                <w:noProof/>
              </w:rPr>
              <w:t>2</w:t>
            </w:r>
            <w:r w:rsidR="005C0B97" w:rsidRPr="00A43335">
              <w:fldChar w:fldCharType="end"/>
            </w:r>
            <w:bookmarkEnd w:id="21"/>
            <w:r w:rsidRPr="00A43335">
              <w:t xml:space="preserve">: </w:t>
            </w:r>
            <w:r w:rsidR="00E00EFA" w:rsidRPr="00A43335">
              <w:t xml:space="preserve">Sleep Diary Assessments of Sleep Parameters Through Month 6 in Study </w:t>
            </w:r>
            <w:r w:rsidR="005C3BAA" w:rsidRPr="00A43335">
              <w:t>303</w:t>
            </w:r>
          </w:p>
        </w:tc>
      </w:tr>
      <w:tr w:rsidR="00E00EFA" w:rsidRPr="00411193" w14:paraId="4017D86F" w14:textId="77777777" w:rsidTr="00635FE6">
        <w:trPr>
          <w:gridAfter w:val="1"/>
          <w:wAfter w:w="7" w:type="pct"/>
          <w:trHeight w:val="603"/>
          <w:tblHeader/>
        </w:trPr>
        <w:tc>
          <w:tcPr>
            <w:tcW w:w="1501" w:type="pct"/>
            <w:vMerge w:val="restart"/>
          </w:tcPr>
          <w:p w14:paraId="0784F066" w14:textId="77777777" w:rsidR="00E00EFA" w:rsidRPr="00EA3B1D" w:rsidRDefault="00E00EFA" w:rsidP="004C0136">
            <w:pPr>
              <w:pStyle w:val="TableHead"/>
              <w:spacing w:before="0" w:after="0"/>
              <w:rPr>
                <w:rFonts w:eastAsiaTheme="minorEastAsia" w:cs="Arial"/>
                <w:szCs w:val="20"/>
              </w:rPr>
            </w:pPr>
          </w:p>
        </w:tc>
        <w:tc>
          <w:tcPr>
            <w:tcW w:w="618" w:type="pct"/>
            <w:vMerge w:val="restart"/>
            <w:vAlign w:val="center"/>
          </w:tcPr>
          <w:p w14:paraId="120738BF" w14:textId="77777777" w:rsidR="00E00EFA" w:rsidRPr="00EA3B1D" w:rsidRDefault="00E00EFA" w:rsidP="00E127AE">
            <w:pPr>
              <w:pStyle w:val="TableHead"/>
              <w:rPr>
                <w:rFonts w:eastAsiaTheme="minorEastAsia"/>
              </w:rPr>
            </w:pPr>
            <w:r w:rsidRPr="00EA3B1D">
              <w:rPr>
                <w:rFonts w:eastAsiaTheme="minorEastAsia"/>
              </w:rPr>
              <w:t>Placebo</w:t>
            </w:r>
          </w:p>
          <w:p w14:paraId="3A18BA00" w14:textId="77777777" w:rsidR="00E00EFA" w:rsidRPr="00EA3B1D" w:rsidRDefault="00E00EFA" w:rsidP="00E127AE">
            <w:pPr>
              <w:pStyle w:val="TableHead"/>
              <w:rPr>
                <w:rFonts w:eastAsiaTheme="minorEastAsia"/>
              </w:rPr>
            </w:pPr>
            <w:r w:rsidRPr="00EA3B1D">
              <w:rPr>
                <w:rFonts w:eastAsiaTheme="minorEastAsia"/>
              </w:rPr>
              <w:t>n=318</w:t>
            </w:r>
          </w:p>
        </w:tc>
        <w:tc>
          <w:tcPr>
            <w:tcW w:w="708" w:type="pct"/>
            <w:vMerge w:val="restart"/>
            <w:vAlign w:val="center"/>
          </w:tcPr>
          <w:p w14:paraId="61A457D5" w14:textId="3E33067E" w:rsidR="00E00EFA" w:rsidRPr="00EA3B1D" w:rsidRDefault="005C3BAA" w:rsidP="00E127AE">
            <w:pPr>
              <w:pStyle w:val="TableHead"/>
              <w:rPr>
                <w:rFonts w:eastAsiaTheme="minorEastAsia"/>
              </w:rPr>
            </w:pPr>
            <w:r w:rsidRPr="00EA3B1D">
              <w:rPr>
                <w:rFonts w:eastAsiaTheme="minorEastAsia"/>
              </w:rPr>
              <w:t>DAYVIGO</w:t>
            </w:r>
          </w:p>
          <w:p w14:paraId="78CA6B4E" w14:textId="2DA36B15" w:rsidR="00E00EFA" w:rsidRPr="00EA3B1D" w:rsidRDefault="00E00EFA" w:rsidP="00E127AE">
            <w:pPr>
              <w:pStyle w:val="TableHead"/>
              <w:rPr>
                <w:rFonts w:eastAsiaTheme="minorEastAsia"/>
              </w:rPr>
            </w:pPr>
            <w:r w:rsidRPr="00EA3B1D">
              <w:rPr>
                <w:rFonts w:eastAsiaTheme="minorEastAsia"/>
              </w:rPr>
              <w:t>5</w:t>
            </w:r>
            <w:r w:rsidR="005317E4" w:rsidRPr="00EA3B1D">
              <w:rPr>
                <w:rFonts w:eastAsiaTheme="minorEastAsia"/>
              </w:rPr>
              <w:t> mg</w:t>
            </w:r>
          </w:p>
          <w:p w14:paraId="088382E1" w14:textId="77777777" w:rsidR="00E00EFA" w:rsidRPr="00EA3B1D" w:rsidRDefault="00E00EFA" w:rsidP="00E127AE">
            <w:pPr>
              <w:pStyle w:val="TableHead"/>
              <w:rPr>
                <w:rFonts w:eastAsiaTheme="minorEastAsia"/>
              </w:rPr>
            </w:pPr>
            <w:r w:rsidRPr="00EA3B1D">
              <w:rPr>
                <w:rFonts w:eastAsiaTheme="minorEastAsia"/>
              </w:rPr>
              <w:t>n=316</w:t>
            </w:r>
          </w:p>
        </w:tc>
        <w:tc>
          <w:tcPr>
            <w:tcW w:w="679" w:type="pct"/>
            <w:vMerge w:val="restart"/>
            <w:vAlign w:val="center"/>
          </w:tcPr>
          <w:p w14:paraId="3840A8D0" w14:textId="2E1AD4AB" w:rsidR="00E00EFA" w:rsidRPr="00EA3B1D" w:rsidRDefault="005C3BAA" w:rsidP="00E127AE">
            <w:pPr>
              <w:pStyle w:val="TableHead"/>
              <w:rPr>
                <w:rFonts w:eastAsiaTheme="minorEastAsia"/>
              </w:rPr>
            </w:pPr>
            <w:r w:rsidRPr="00EA3B1D">
              <w:rPr>
                <w:rFonts w:eastAsiaTheme="minorEastAsia"/>
              </w:rPr>
              <w:t>DAYVIGO</w:t>
            </w:r>
          </w:p>
          <w:p w14:paraId="2398FA72" w14:textId="714FC464" w:rsidR="00E00EFA" w:rsidRPr="00EA3B1D" w:rsidRDefault="00E00EFA" w:rsidP="00E127AE">
            <w:pPr>
              <w:pStyle w:val="TableHead"/>
              <w:rPr>
                <w:rFonts w:eastAsiaTheme="minorEastAsia"/>
              </w:rPr>
            </w:pPr>
            <w:r w:rsidRPr="00EA3B1D">
              <w:rPr>
                <w:rFonts w:eastAsiaTheme="minorEastAsia"/>
              </w:rPr>
              <w:t>10</w:t>
            </w:r>
            <w:r w:rsidR="005317E4" w:rsidRPr="00EA3B1D">
              <w:rPr>
                <w:rFonts w:eastAsiaTheme="minorEastAsia"/>
              </w:rPr>
              <w:t> mg</w:t>
            </w:r>
          </w:p>
          <w:p w14:paraId="3ECCBACF" w14:textId="77777777" w:rsidR="00E00EFA" w:rsidRPr="00EA3B1D" w:rsidRDefault="00E00EFA" w:rsidP="00E127AE">
            <w:pPr>
              <w:pStyle w:val="TableHead"/>
              <w:rPr>
                <w:rFonts w:eastAsiaTheme="minorEastAsia"/>
              </w:rPr>
            </w:pPr>
            <w:r w:rsidRPr="00EA3B1D">
              <w:rPr>
                <w:rFonts w:eastAsiaTheme="minorEastAsia"/>
              </w:rPr>
              <w:t>n=315</w:t>
            </w:r>
          </w:p>
        </w:tc>
        <w:tc>
          <w:tcPr>
            <w:tcW w:w="1487" w:type="pct"/>
            <w:gridSpan w:val="2"/>
            <w:tcBorders>
              <w:bottom w:val="single" w:sz="4" w:space="0" w:color="auto"/>
            </w:tcBorders>
            <w:vAlign w:val="center"/>
          </w:tcPr>
          <w:p w14:paraId="4F277768" w14:textId="5D8E43FF" w:rsidR="00E00EFA" w:rsidRPr="00EA3B1D" w:rsidRDefault="00E00EFA" w:rsidP="00E127AE">
            <w:pPr>
              <w:pStyle w:val="TableHead"/>
              <w:rPr>
                <w:rFonts w:eastAsiaTheme="minorEastAsia"/>
              </w:rPr>
            </w:pPr>
            <w:r w:rsidRPr="00EA3B1D">
              <w:rPr>
                <w:rFonts w:eastAsiaTheme="minorEastAsia"/>
              </w:rPr>
              <w:t xml:space="preserve">Difference between </w:t>
            </w:r>
            <w:r w:rsidR="005C3BAA" w:rsidRPr="00EA3B1D">
              <w:rPr>
                <w:rFonts w:eastAsiaTheme="minorEastAsia"/>
              </w:rPr>
              <w:t>DAYVIGO</w:t>
            </w:r>
          </w:p>
          <w:p w14:paraId="381CB350" w14:textId="77777777" w:rsidR="00E00EFA" w:rsidRPr="00EA3B1D" w:rsidRDefault="00E00EFA" w:rsidP="00E127AE">
            <w:pPr>
              <w:pStyle w:val="TableHead"/>
              <w:rPr>
                <w:rFonts w:eastAsiaTheme="minorEastAsia"/>
              </w:rPr>
            </w:pPr>
            <w:r w:rsidRPr="00EA3B1D">
              <w:rPr>
                <w:rFonts w:eastAsiaTheme="minorEastAsia"/>
              </w:rPr>
              <w:t xml:space="preserve">and Placebo </w:t>
            </w:r>
          </w:p>
        </w:tc>
      </w:tr>
      <w:tr w:rsidR="00622CA3" w:rsidRPr="00411193" w14:paraId="16CDE226" w14:textId="77777777" w:rsidTr="00635FE6">
        <w:trPr>
          <w:gridAfter w:val="1"/>
          <w:wAfter w:w="7" w:type="pct"/>
          <w:trHeight w:val="139"/>
          <w:tblHeader/>
        </w:trPr>
        <w:tc>
          <w:tcPr>
            <w:tcW w:w="1501" w:type="pct"/>
            <w:vMerge/>
          </w:tcPr>
          <w:p w14:paraId="1F93A8A0" w14:textId="77777777" w:rsidR="00622CA3" w:rsidRPr="00EA3B1D" w:rsidRDefault="00622CA3" w:rsidP="004C0136">
            <w:pPr>
              <w:pStyle w:val="TableHead"/>
              <w:spacing w:before="0" w:after="0"/>
              <w:rPr>
                <w:rFonts w:eastAsiaTheme="minorEastAsia" w:cs="Arial"/>
                <w:szCs w:val="20"/>
              </w:rPr>
            </w:pPr>
          </w:p>
        </w:tc>
        <w:tc>
          <w:tcPr>
            <w:tcW w:w="618" w:type="pct"/>
            <w:vMerge/>
            <w:vAlign w:val="center"/>
          </w:tcPr>
          <w:p w14:paraId="7EB8CEEC" w14:textId="77777777" w:rsidR="00622CA3" w:rsidRPr="00EA3B1D" w:rsidRDefault="00622CA3" w:rsidP="00E127AE">
            <w:pPr>
              <w:pStyle w:val="TableHead"/>
              <w:rPr>
                <w:rFonts w:eastAsiaTheme="minorEastAsia" w:cs="Arial"/>
                <w:szCs w:val="20"/>
              </w:rPr>
            </w:pPr>
          </w:p>
        </w:tc>
        <w:tc>
          <w:tcPr>
            <w:tcW w:w="708" w:type="pct"/>
            <w:vMerge/>
            <w:vAlign w:val="center"/>
          </w:tcPr>
          <w:p w14:paraId="12E73AE8" w14:textId="77777777" w:rsidR="00622CA3" w:rsidRPr="00EA3B1D" w:rsidRDefault="00622CA3" w:rsidP="00E127AE">
            <w:pPr>
              <w:pStyle w:val="TableHead"/>
              <w:rPr>
                <w:rFonts w:eastAsiaTheme="minorEastAsia" w:cs="Arial"/>
                <w:szCs w:val="20"/>
              </w:rPr>
            </w:pPr>
          </w:p>
        </w:tc>
        <w:tc>
          <w:tcPr>
            <w:tcW w:w="679" w:type="pct"/>
            <w:vMerge/>
            <w:vAlign w:val="center"/>
          </w:tcPr>
          <w:p w14:paraId="4BCBA3D5" w14:textId="77777777" w:rsidR="00622CA3" w:rsidRPr="00EA3B1D" w:rsidRDefault="00622CA3" w:rsidP="00E127AE">
            <w:pPr>
              <w:pStyle w:val="TableHead"/>
              <w:rPr>
                <w:rFonts w:eastAsiaTheme="minorEastAsia" w:cs="Arial"/>
                <w:szCs w:val="20"/>
              </w:rPr>
            </w:pPr>
          </w:p>
        </w:tc>
        <w:tc>
          <w:tcPr>
            <w:tcW w:w="1487" w:type="pct"/>
            <w:gridSpan w:val="2"/>
            <w:tcBorders>
              <w:bottom w:val="nil"/>
            </w:tcBorders>
            <w:vAlign w:val="center"/>
          </w:tcPr>
          <w:p w14:paraId="5E58FC24" w14:textId="3E8F7516" w:rsidR="00622CA3" w:rsidRPr="00EA3B1D" w:rsidRDefault="00622CA3" w:rsidP="00E127AE">
            <w:pPr>
              <w:pStyle w:val="TableHead"/>
              <w:rPr>
                <w:rFonts w:eastAsiaTheme="minorEastAsia"/>
              </w:rPr>
            </w:pPr>
            <w:r>
              <w:rPr>
                <w:rFonts w:eastAsiaTheme="minorEastAsia"/>
              </w:rPr>
              <w:t>DAYVIGO</w:t>
            </w:r>
          </w:p>
        </w:tc>
      </w:tr>
      <w:tr w:rsidR="00E00EFA" w:rsidRPr="00411193" w14:paraId="0F778433" w14:textId="77777777" w:rsidTr="00635FE6">
        <w:trPr>
          <w:gridAfter w:val="1"/>
          <w:wAfter w:w="7" w:type="pct"/>
          <w:trHeight w:val="603"/>
          <w:tblHeader/>
        </w:trPr>
        <w:tc>
          <w:tcPr>
            <w:tcW w:w="1501" w:type="pct"/>
            <w:vMerge/>
            <w:tcBorders>
              <w:bottom w:val="single" w:sz="4" w:space="0" w:color="auto"/>
            </w:tcBorders>
          </w:tcPr>
          <w:p w14:paraId="6DD6E207" w14:textId="77777777" w:rsidR="00E00EFA" w:rsidRPr="003A0FF4" w:rsidRDefault="00E00EFA" w:rsidP="003A0FF4">
            <w:pPr>
              <w:pStyle w:val="TableHead"/>
              <w:spacing w:before="0" w:after="0"/>
              <w:rPr>
                <w:rFonts w:eastAsiaTheme="minorEastAsia" w:cs="Arial"/>
                <w:szCs w:val="20"/>
              </w:rPr>
            </w:pPr>
          </w:p>
        </w:tc>
        <w:tc>
          <w:tcPr>
            <w:tcW w:w="618" w:type="pct"/>
            <w:vMerge/>
            <w:tcBorders>
              <w:bottom w:val="single" w:sz="4" w:space="0" w:color="auto"/>
            </w:tcBorders>
            <w:vAlign w:val="center"/>
          </w:tcPr>
          <w:p w14:paraId="67AA2039" w14:textId="77777777" w:rsidR="00E00EFA" w:rsidRPr="003A0FF4" w:rsidRDefault="00E00EFA" w:rsidP="00E127AE">
            <w:pPr>
              <w:pStyle w:val="TableHead"/>
              <w:rPr>
                <w:rFonts w:eastAsiaTheme="minorEastAsia" w:cs="Arial"/>
                <w:szCs w:val="20"/>
              </w:rPr>
            </w:pPr>
          </w:p>
        </w:tc>
        <w:tc>
          <w:tcPr>
            <w:tcW w:w="708" w:type="pct"/>
            <w:vMerge/>
            <w:tcBorders>
              <w:bottom w:val="single" w:sz="4" w:space="0" w:color="auto"/>
            </w:tcBorders>
            <w:vAlign w:val="center"/>
          </w:tcPr>
          <w:p w14:paraId="04A32A50" w14:textId="77777777" w:rsidR="00E00EFA" w:rsidRPr="003A0FF4" w:rsidRDefault="00E00EFA" w:rsidP="00E127AE">
            <w:pPr>
              <w:pStyle w:val="TableHead"/>
              <w:rPr>
                <w:rFonts w:eastAsiaTheme="minorEastAsia" w:cs="Arial"/>
                <w:szCs w:val="20"/>
              </w:rPr>
            </w:pPr>
          </w:p>
        </w:tc>
        <w:tc>
          <w:tcPr>
            <w:tcW w:w="679" w:type="pct"/>
            <w:vMerge/>
            <w:tcBorders>
              <w:bottom w:val="single" w:sz="4" w:space="0" w:color="auto"/>
            </w:tcBorders>
            <w:vAlign w:val="center"/>
          </w:tcPr>
          <w:p w14:paraId="029AFF5B" w14:textId="77777777" w:rsidR="00E00EFA" w:rsidRPr="003A0FF4" w:rsidRDefault="00E00EFA" w:rsidP="00E127AE">
            <w:pPr>
              <w:pStyle w:val="TableHead"/>
              <w:rPr>
                <w:rFonts w:eastAsiaTheme="minorEastAsia" w:cs="Arial"/>
                <w:szCs w:val="20"/>
              </w:rPr>
            </w:pPr>
          </w:p>
        </w:tc>
        <w:tc>
          <w:tcPr>
            <w:tcW w:w="730" w:type="pct"/>
            <w:tcBorders>
              <w:top w:val="nil"/>
              <w:bottom w:val="single" w:sz="4" w:space="0" w:color="auto"/>
            </w:tcBorders>
            <w:vAlign w:val="center"/>
          </w:tcPr>
          <w:p w14:paraId="168B9889" w14:textId="3098DF4B" w:rsidR="00E00EFA" w:rsidRPr="00EA3B1D" w:rsidRDefault="00E00EFA" w:rsidP="00E127AE">
            <w:pPr>
              <w:pStyle w:val="TableHead"/>
              <w:rPr>
                <w:rFonts w:eastAsiaTheme="minorEastAsia"/>
              </w:rPr>
            </w:pPr>
            <w:r w:rsidRPr="00EA3B1D">
              <w:rPr>
                <w:rFonts w:eastAsiaTheme="minorEastAsia"/>
              </w:rPr>
              <w:t>5</w:t>
            </w:r>
            <w:r w:rsidR="005317E4" w:rsidRPr="00EA3B1D">
              <w:rPr>
                <w:rFonts w:eastAsiaTheme="minorEastAsia"/>
              </w:rPr>
              <w:t> mg</w:t>
            </w:r>
          </w:p>
        </w:tc>
        <w:tc>
          <w:tcPr>
            <w:tcW w:w="757" w:type="pct"/>
            <w:tcBorders>
              <w:top w:val="nil"/>
              <w:bottom w:val="single" w:sz="4" w:space="0" w:color="auto"/>
            </w:tcBorders>
            <w:vAlign w:val="center"/>
          </w:tcPr>
          <w:p w14:paraId="0F8C2BC3" w14:textId="69F34609" w:rsidR="00E00EFA" w:rsidRPr="00EA3B1D" w:rsidRDefault="00E00EFA" w:rsidP="00E127AE">
            <w:pPr>
              <w:pStyle w:val="TableHead"/>
              <w:rPr>
                <w:rFonts w:eastAsiaTheme="minorEastAsia"/>
              </w:rPr>
            </w:pPr>
            <w:r w:rsidRPr="00EA3B1D">
              <w:rPr>
                <w:rFonts w:eastAsiaTheme="minorEastAsia"/>
              </w:rPr>
              <w:t>10</w:t>
            </w:r>
            <w:r w:rsidR="005317E4" w:rsidRPr="00EA3B1D">
              <w:rPr>
                <w:rFonts w:eastAsiaTheme="minorEastAsia"/>
              </w:rPr>
              <w:t> mg</w:t>
            </w:r>
          </w:p>
        </w:tc>
      </w:tr>
      <w:tr w:rsidR="00E00EFA" w:rsidRPr="00411193" w14:paraId="3339F0E0" w14:textId="77777777" w:rsidTr="00364167">
        <w:trPr>
          <w:gridAfter w:val="1"/>
          <w:wAfter w:w="7" w:type="pct"/>
        </w:trPr>
        <w:tc>
          <w:tcPr>
            <w:tcW w:w="1501" w:type="pct"/>
            <w:tcBorders>
              <w:right w:val="nil"/>
            </w:tcBorders>
          </w:tcPr>
          <w:p w14:paraId="77176061" w14:textId="77777777" w:rsidR="00E00EFA" w:rsidRPr="00A43335" w:rsidRDefault="00E00EFA" w:rsidP="00A43335">
            <w:pPr>
              <w:pStyle w:val="TableHeading"/>
              <w:rPr>
                <w:rFonts w:eastAsiaTheme="minorEastAsia"/>
              </w:rPr>
            </w:pPr>
            <w:r w:rsidRPr="00A43335">
              <w:rPr>
                <w:rFonts w:eastAsiaTheme="minorEastAsia"/>
              </w:rPr>
              <w:t>Sleep Onset (sSOL), minutes</w:t>
            </w:r>
          </w:p>
        </w:tc>
        <w:tc>
          <w:tcPr>
            <w:tcW w:w="618" w:type="pct"/>
            <w:tcBorders>
              <w:left w:val="nil"/>
              <w:right w:val="nil"/>
            </w:tcBorders>
          </w:tcPr>
          <w:p w14:paraId="56D970DC" w14:textId="77777777" w:rsidR="00E00EFA" w:rsidRPr="00FF01D3" w:rsidRDefault="00E00EFA" w:rsidP="004C0136">
            <w:pPr>
              <w:pStyle w:val="TableCentre"/>
              <w:spacing w:before="0"/>
              <w:rPr>
                <w:rFonts w:eastAsiaTheme="minorEastAsia" w:cs="Arial"/>
                <w:lang w:val="en-AU"/>
              </w:rPr>
            </w:pPr>
          </w:p>
        </w:tc>
        <w:tc>
          <w:tcPr>
            <w:tcW w:w="708" w:type="pct"/>
            <w:tcBorders>
              <w:left w:val="nil"/>
              <w:right w:val="nil"/>
            </w:tcBorders>
          </w:tcPr>
          <w:p w14:paraId="6ECB7911" w14:textId="77777777" w:rsidR="00E00EFA" w:rsidRPr="00FF01D3" w:rsidRDefault="00E00EFA" w:rsidP="004C0136">
            <w:pPr>
              <w:pStyle w:val="TableCentre"/>
              <w:spacing w:before="0"/>
              <w:rPr>
                <w:rFonts w:eastAsiaTheme="minorEastAsia" w:cs="Arial"/>
                <w:lang w:val="en-AU"/>
              </w:rPr>
            </w:pPr>
          </w:p>
        </w:tc>
        <w:tc>
          <w:tcPr>
            <w:tcW w:w="679" w:type="pct"/>
            <w:tcBorders>
              <w:left w:val="nil"/>
              <w:right w:val="nil"/>
            </w:tcBorders>
          </w:tcPr>
          <w:p w14:paraId="0EF07684" w14:textId="77777777" w:rsidR="00E00EFA" w:rsidRPr="00FF01D3" w:rsidRDefault="00E00EFA" w:rsidP="004C0136">
            <w:pPr>
              <w:pStyle w:val="TableCentre"/>
              <w:spacing w:before="0"/>
              <w:rPr>
                <w:rFonts w:eastAsiaTheme="minorEastAsia" w:cs="Arial"/>
                <w:lang w:val="en-AU"/>
              </w:rPr>
            </w:pPr>
          </w:p>
        </w:tc>
        <w:tc>
          <w:tcPr>
            <w:tcW w:w="730" w:type="pct"/>
            <w:tcBorders>
              <w:left w:val="nil"/>
              <w:right w:val="nil"/>
            </w:tcBorders>
          </w:tcPr>
          <w:p w14:paraId="39FF6AD0" w14:textId="77777777" w:rsidR="00E00EFA" w:rsidRPr="00FF01D3" w:rsidRDefault="00E00EFA" w:rsidP="004C0136">
            <w:pPr>
              <w:pStyle w:val="TableCentre"/>
              <w:spacing w:before="0"/>
              <w:rPr>
                <w:rFonts w:eastAsiaTheme="minorEastAsia" w:cs="Arial"/>
                <w:lang w:val="en-AU"/>
              </w:rPr>
            </w:pPr>
          </w:p>
        </w:tc>
        <w:tc>
          <w:tcPr>
            <w:tcW w:w="757" w:type="pct"/>
            <w:tcBorders>
              <w:left w:val="nil"/>
              <w:right w:val="single" w:sz="4" w:space="0" w:color="auto"/>
            </w:tcBorders>
          </w:tcPr>
          <w:p w14:paraId="16B184A2" w14:textId="77777777" w:rsidR="00E00EFA" w:rsidRPr="00FF01D3" w:rsidRDefault="00E00EFA" w:rsidP="004C0136">
            <w:pPr>
              <w:pStyle w:val="TableCentre"/>
              <w:spacing w:before="0"/>
              <w:rPr>
                <w:rFonts w:eastAsiaTheme="minorEastAsia" w:cs="Arial"/>
                <w:lang w:val="en-AU"/>
              </w:rPr>
            </w:pPr>
          </w:p>
        </w:tc>
      </w:tr>
      <w:tr w:rsidR="00E00EFA" w:rsidRPr="00411193" w14:paraId="0AEFFDD5" w14:textId="77777777" w:rsidTr="004C0136">
        <w:trPr>
          <w:gridAfter w:val="1"/>
          <w:wAfter w:w="7" w:type="pct"/>
        </w:trPr>
        <w:tc>
          <w:tcPr>
            <w:tcW w:w="1501" w:type="pct"/>
            <w:shd w:val="clear" w:color="auto" w:fill="auto"/>
          </w:tcPr>
          <w:p w14:paraId="47930FB8" w14:textId="77777777" w:rsidR="00ED7099" w:rsidRPr="00FF01D3" w:rsidRDefault="00E00EFA" w:rsidP="00E127AE">
            <w:pPr>
              <w:pStyle w:val="TableText"/>
              <w:rPr>
                <w:rFonts w:eastAsiaTheme="minorEastAsia"/>
                <w:lang w:val="en-AU"/>
              </w:rPr>
            </w:pPr>
            <w:r w:rsidRPr="00FF01D3">
              <w:rPr>
                <w:rFonts w:eastAsiaTheme="minorEastAsia"/>
                <w:lang w:val="en-AU"/>
              </w:rPr>
              <w:t xml:space="preserve">Baseline </w:t>
            </w:r>
          </w:p>
          <w:p w14:paraId="50DA99CA" w14:textId="34D2B723" w:rsidR="00E00EFA" w:rsidRPr="00FF01D3" w:rsidRDefault="002503BC" w:rsidP="00E127AE">
            <w:pPr>
              <w:pStyle w:val="TableText"/>
              <w:rPr>
                <w:rFonts w:eastAsiaTheme="minorEastAsia"/>
                <w:lang w:val="en-AU"/>
              </w:rPr>
            </w:pPr>
            <w:r w:rsidRPr="00FF01D3">
              <w:t>Geometric Mean (SD)</w:t>
            </w:r>
            <w:r w:rsidRPr="00FF01D3" w:rsidDel="002503BC">
              <w:rPr>
                <w:rFonts w:eastAsiaTheme="minorEastAsia"/>
                <w:lang w:val="en-AU"/>
              </w:rPr>
              <w:t xml:space="preserve"> </w:t>
            </w:r>
          </w:p>
        </w:tc>
        <w:tc>
          <w:tcPr>
            <w:tcW w:w="618" w:type="pct"/>
            <w:shd w:val="clear" w:color="auto" w:fill="auto"/>
            <w:vAlign w:val="center"/>
          </w:tcPr>
          <w:p w14:paraId="6D4AC11B" w14:textId="12C89AD3" w:rsidR="00E00EFA" w:rsidRPr="0084293A" w:rsidRDefault="002503BC" w:rsidP="0084293A">
            <w:pPr>
              <w:pStyle w:val="TableCentre"/>
              <w:rPr>
                <w:rFonts w:eastAsiaTheme="minorEastAsia"/>
              </w:rPr>
            </w:pPr>
            <w:r w:rsidRPr="0084293A">
              <w:rPr>
                <w:rFonts w:eastAsiaTheme="minorEastAsia"/>
              </w:rPr>
              <w:t>45 (32)</w:t>
            </w:r>
          </w:p>
        </w:tc>
        <w:tc>
          <w:tcPr>
            <w:tcW w:w="708" w:type="pct"/>
            <w:shd w:val="clear" w:color="auto" w:fill="auto"/>
            <w:vAlign w:val="center"/>
          </w:tcPr>
          <w:p w14:paraId="67DF2A22" w14:textId="34E853B7" w:rsidR="00E00EFA" w:rsidRPr="0084293A" w:rsidRDefault="00ED7099" w:rsidP="0084293A">
            <w:pPr>
              <w:pStyle w:val="TableCentre"/>
              <w:rPr>
                <w:rFonts w:eastAsiaTheme="minorEastAsia"/>
              </w:rPr>
            </w:pPr>
            <w:r w:rsidRPr="0084293A">
              <w:rPr>
                <w:rFonts w:eastAsiaTheme="minorEastAsia"/>
              </w:rPr>
              <w:t>43 (31)</w:t>
            </w:r>
          </w:p>
        </w:tc>
        <w:tc>
          <w:tcPr>
            <w:tcW w:w="679" w:type="pct"/>
            <w:shd w:val="clear" w:color="auto" w:fill="auto"/>
            <w:vAlign w:val="center"/>
          </w:tcPr>
          <w:p w14:paraId="776047F8" w14:textId="4FE05CC2" w:rsidR="00E00EFA" w:rsidRPr="0084293A" w:rsidRDefault="00ED7099" w:rsidP="0084293A">
            <w:pPr>
              <w:pStyle w:val="TableCentre"/>
              <w:rPr>
                <w:rFonts w:eastAsiaTheme="minorEastAsia"/>
              </w:rPr>
            </w:pPr>
            <w:r w:rsidRPr="0084293A">
              <w:rPr>
                <w:rFonts w:eastAsiaTheme="minorEastAsia"/>
              </w:rPr>
              <w:t>45 (33)</w:t>
            </w:r>
          </w:p>
        </w:tc>
        <w:tc>
          <w:tcPr>
            <w:tcW w:w="730" w:type="pct"/>
            <w:shd w:val="clear" w:color="auto" w:fill="BFBFBF" w:themeFill="background1" w:themeFillShade="BF"/>
            <w:vAlign w:val="center"/>
          </w:tcPr>
          <w:p w14:paraId="43B5EB55" w14:textId="77777777" w:rsidR="00E00EFA" w:rsidRPr="0084293A" w:rsidRDefault="00E00EFA" w:rsidP="0084293A">
            <w:pPr>
              <w:pStyle w:val="TableCentre"/>
              <w:rPr>
                <w:rFonts w:eastAsiaTheme="minorEastAsia"/>
              </w:rPr>
            </w:pPr>
          </w:p>
        </w:tc>
        <w:tc>
          <w:tcPr>
            <w:tcW w:w="757" w:type="pct"/>
            <w:shd w:val="clear" w:color="auto" w:fill="BFBFBF" w:themeFill="background1" w:themeFillShade="BF"/>
            <w:vAlign w:val="center"/>
          </w:tcPr>
          <w:p w14:paraId="3511E7A2" w14:textId="77777777" w:rsidR="00E00EFA" w:rsidRPr="0084293A" w:rsidRDefault="00E00EFA" w:rsidP="0084293A">
            <w:pPr>
              <w:pStyle w:val="TableCentre"/>
              <w:rPr>
                <w:rFonts w:eastAsiaTheme="minorEastAsia"/>
              </w:rPr>
            </w:pPr>
          </w:p>
        </w:tc>
      </w:tr>
      <w:tr w:rsidR="00E30247" w:rsidRPr="00411193" w14:paraId="712D3FF4" w14:textId="77777777" w:rsidTr="00364167">
        <w:trPr>
          <w:gridAfter w:val="1"/>
          <w:wAfter w:w="7" w:type="pct"/>
        </w:trPr>
        <w:tc>
          <w:tcPr>
            <w:tcW w:w="1501" w:type="pct"/>
            <w:shd w:val="clear" w:color="auto" w:fill="auto"/>
          </w:tcPr>
          <w:p w14:paraId="30582ADC" w14:textId="5E0438E6" w:rsidR="00E30247" w:rsidRPr="00FF01D3" w:rsidRDefault="00E30247" w:rsidP="00E127AE">
            <w:pPr>
              <w:pStyle w:val="TableText"/>
              <w:rPr>
                <w:rFonts w:eastAsiaTheme="minorEastAsia"/>
                <w:lang w:val="en-AU"/>
              </w:rPr>
            </w:pPr>
            <w:r w:rsidRPr="00FF01D3">
              <w:rPr>
                <w:rFonts w:eastAsiaTheme="minorEastAsia"/>
                <w:lang w:val="en-AU"/>
              </w:rPr>
              <w:t>Week 1</w:t>
            </w:r>
          </w:p>
          <w:p w14:paraId="6E00E7B1" w14:textId="3524826C" w:rsidR="00CF06ED" w:rsidRPr="00FF01D3" w:rsidRDefault="00385A8A" w:rsidP="00E127AE">
            <w:pPr>
              <w:pStyle w:val="TableText"/>
              <w:rPr>
                <w:rFonts w:eastAsiaTheme="minorEastAsia"/>
                <w:lang w:val="en-AU"/>
              </w:rPr>
            </w:pPr>
            <w:r w:rsidRPr="00FF01D3">
              <w:rPr>
                <w:rFonts w:eastAsiaTheme="minorEastAsia"/>
                <w:lang w:val="en-AU"/>
              </w:rPr>
              <w:t xml:space="preserve">     </w:t>
            </w:r>
            <w:r w:rsidR="00ED7099" w:rsidRPr="00FF01D3">
              <w:rPr>
                <w:rFonts w:eastAsiaTheme="minorEastAsia"/>
                <w:lang w:val="en-AU"/>
              </w:rPr>
              <w:t>G</w:t>
            </w:r>
            <w:r w:rsidR="00871878" w:rsidRPr="00FF01D3">
              <w:rPr>
                <w:rFonts w:eastAsiaTheme="minorEastAsia"/>
                <w:lang w:val="en-AU"/>
              </w:rPr>
              <w:t xml:space="preserve">eometric </w:t>
            </w:r>
            <w:r w:rsidR="001E3615" w:rsidRPr="00FF01D3">
              <w:rPr>
                <w:rFonts w:eastAsiaTheme="minorEastAsia"/>
                <w:lang w:val="en-AU"/>
              </w:rPr>
              <w:t>Mean</w:t>
            </w:r>
          </w:p>
          <w:p w14:paraId="6E70C361" w14:textId="34407332" w:rsidR="00E30247" w:rsidRPr="00FF01D3" w:rsidRDefault="001E3615" w:rsidP="00E127AE">
            <w:pPr>
              <w:pStyle w:val="TableText"/>
              <w:rPr>
                <w:rFonts w:eastAsiaTheme="minorEastAsia"/>
                <w:b/>
                <w:lang w:val="en-AU"/>
              </w:rPr>
            </w:pPr>
            <w:r w:rsidRPr="00325106">
              <w:rPr>
                <w:rFonts w:eastAsiaTheme="minorEastAsia"/>
              </w:rPr>
              <w:t xml:space="preserve"> </w:t>
            </w:r>
            <w:r w:rsidR="00CF06ED" w:rsidRPr="00325106">
              <w:rPr>
                <w:rFonts w:eastAsiaTheme="minorEastAsia"/>
              </w:rPr>
              <w:t xml:space="preserve">    </w:t>
            </w:r>
            <w:r w:rsidR="00E30247" w:rsidRPr="00FF01D3">
              <w:rPr>
                <w:rFonts w:eastAsiaTheme="minorEastAsia"/>
              </w:rPr>
              <w:t>Change from</w:t>
            </w:r>
            <w:r w:rsidR="00385A8A" w:rsidRPr="00FF01D3">
              <w:rPr>
                <w:rFonts w:eastAsiaTheme="minorEastAsia"/>
              </w:rPr>
              <w:t xml:space="preserve"> </w:t>
            </w:r>
            <w:r w:rsidR="00E30247" w:rsidRPr="00FF01D3">
              <w:rPr>
                <w:rFonts w:eastAsiaTheme="minorEastAsia"/>
                <w:lang w:val="en-AU"/>
              </w:rPr>
              <w:t>Baseline</w:t>
            </w:r>
          </w:p>
        </w:tc>
        <w:tc>
          <w:tcPr>
            <w:tcW w:w="618" w:type="pct"/>
            <w:shd w:val="clear" w:color="auto" w:fill="auto"/>
            <w:vAlign w:val="center"/>
          </w:tcPr>
          <w:p w14:paraId="7704532D" w14:textId="27900B00" w:rsidR="00E30247" w:rsidRPr="0084293A" w:rsidRDefault="00BF2654" w:rsidP="0084293A">
            <w:pPr>
              <w:pStyle w:val="TableCentre"/>
              <w:rPr>
                <w:rFonts w:eastAsiaTheme="minorEastAsia"/>
              </w:rPr>
            </w:pPr>
            <w:r w:rsidRPr="0084293A">
              <w:rPr>
                <w:rFonts w:eastAsiaTheme="minorEastAsia"/>
              </w:rPr>
              <w:t>-4</w:t>
            </w:r>
          </w:p>
        </w:tc>
        <w:tc>
          <w:tcPr>
            <w:tcW w:w="708" w:type="pct"/>
            <w:shd w:val="clear" w:color="auto" w:fill="auto"/>
            <w:vAlign w:val="center"/>
          </w:tcPr>
          <w:p w14:paraId="7BF7D7C3" w14:textId="702F30D9" w:rsidR="00E30247" w:rsidRPr="0084293A" w:rsidRDefault="00BF2654" w:rsidP="0084293A">
            <w:pPr>
              <w:pStyle w:val="TableCentre"/>
              <w:rPr>
                <w:rFonts w:eastAsiaTheme="minorEastAsia"/>
              </w:rPr>
            </w:pPr>
            <w:r w:rsidRPr="0084293A">
              <w:rPr>
                <w:rFonts w:eastAsiaTheme="minorEastAsia"/>
              </w:rPr>
              <w:t>-12</w:t>
            </w:r>
          </w:p>
        </w:tc>
        <w:tc>
          <w:tcPr>
            <w:tcW w:w="679" w:type="pct"/>
            <w:shd w:val="clear" w:color="auto" w:fill="auto"/>
            <w:vAlign w:val="center"/>
          </w:tcPr>
          <w:p w14:paraId="6E1D3BC3" w14:textId="78566610" w:rsidR="00E30247" w:rsidRPr="0084293A" w:rsidRDefault="00BF2654" w:rsidP="0084293A">
            <w:pPr>
              <w:pStyle w:val="TableCentre"/>
              <w:rPr>
                <w:rFonts w:eastAsiaTheme="minorEastAsia"/>
              </w:rPr>
            </w:pPr>
            <w:r w:rsidRPr="0084293A">
              <w:rPr>
                <w:rFonts w:eastAsiaTheme="minorEastAsia"/>
              </w:rPr>
              <w:t>-14</w:t>
            </w:r>
          </w:p>
        </w:tc>
        <w:tc>
          <w:tcPr>
            <w:tcW w:w="730" w:type="pct"/>
            <w:shd w:val="clear" w:color="auto" w:fill="auto"/>
            <w:vAlign w:val="center"/>
          </w:tcPr>
          <w:p w14:paraId="728AA5A4" w14:textId="193DDFFF" w:rsidR="00E30247" w:rsidRPr="0084293A" w:rsidRDefault="000F6B0C" w:rsidP="0084293A">
            <w:pPr>
              <w:pStyle w:val="TableCentre"/>
              <w:rPr>
                <w:rFonts w:eastAsiaTheme="minorEastAsia"/>
              </w:rPr>
            </w:pPr>
            <w:r w:rsidRPr="0084293A">
              <w:rPr>
                <w:rFonts w:eastAsiaTheme="minorEastAsia"/>
              </w:rPr>
              <w:t>8</w:t>
            </w:r>
          </w:p>
        </w:tc>
        <w:tc>
          <w:tcPr>
            <w:tcW w:w="757" w:type="pct"/>
            <w:shd w:val="clear" w:color="auto" w:fill="auto"/>
            <w:vAlign w:val="center"/>
          </w:tcPr>
          <w:p w14:paraId="4C0183E2" w14:textId="6DED4766" w:rsidR="00E30247" w:rsidRPr="0084293A" w:rsidRDefault="000F6B0C" w:rsidP="0084293A">
            <w:pPr>
              <w:pStyle w:val="TableCentre"/>
              <w:rPr>
                <w:rFonts w:eastAsiaTheme="minorEastAsia"/>
              </w:rPr>
            </w:pPr>
            <w:r w:rsidRPr="0084293A">
              <w:rPr>
                <w:rFonts w:eastAsiaTheme="minorEastAsia"/>
              </w:rPr>
              <w:t>10</w:t>
            </w:r>
          </w:p>
        </w:tc>
      </w:tr>
      <w:tr w:rsidR="009A5027" w:rsidRPr="00411193" w14:paraId="22B24ABD" w14:textId="77777777" w:rsidTr="00364167">
        <w:trPr>
          <w:gridAfter w:val="1"/>
          <w:wAfter w:w="7" w:type="pct"/>
        </w:trPr>
        <w:tc>
          <w:tcPr>
            <w:tcW w:w="1501" w:type="pct"/>
            <w:shd w:val="clear" w:color="auto" w:fill="auto"/>
          </w:tcPr>
          <w:p w14:paraId="6FFB5F16" w14:textId="73B95F89" w:rsidR="009A5027" w:rsidRPr="00FF01D3" w:rsidRDefault="009A5027" w:rsidP="00E127AE">
            <w:pPr>
              <w:pStyle w:val="TableText"/>
              <w:rPr>
                <w:rFonts w:eastAsiaTheme="minorEastAsia"/>
                <w:lang w:val="en-AU"/>
              </w:rPr>
            </w:pPr>
            <w:r w:rsidRPr="00FF01D3">
              <w:rPr>
                <w:rFonts w:eastAsiaTheme="minorEastAsia"/>
                <w:lang w:val="en-AU"/>
              </w:rPr>
              <w:t>LSGM Ratio</w:t>
            </w:r>
          </w:p>
        </w:tc>
        <w:tc>
          <w:tcPr>
            <w:tcW w:w="618" w:type="pct"/>
            <w:shd w:val="clear" w:color="auto" w:fill="auto"/>
            <w:vAlign w:val="center"/>
          </w:tcPr>
          <w:p w14:paraId="197BBB1E" w14:textId="0A1DF423" w:rsidR="009A5027" w:rsidRPr="0084293A" w:rsidRDefault="009A5027" w:rsidP="0084293A">
            <w:pPr>
              <w:pStyle w:val="TableCentre"/>
              <w:rPr>
                <w:rFonts w:eastAsiaTheme="minorEastAsia"/>
              </w:rPr>
            </w:pPr>
            <w:r w:rsidRPr="0084293A">
              <w:rPr>
                <w:rFonts w:eastAsiaTheme="minorEastAsia"/>
              </w:rPr>
              <w:t>0.931</w:t>
            </w:r>
          </w:p>
        </w:tc>
        <w:tc>
          <w:tcPr>
            <w:tcW w:w="708" w:type="pct"/>
            <w:shd w:val="clear" w:color="auto" w:fill="auto"/>
            <w:vAlign w:val="center"/>
          </w:tcPr>
          <w:p w14:paraId="3AC62592" w14:textId="72AC0160" w:rsidR="009A5027" w:rsidRPr="0084293A" w:rsidRDefault="009A5027" w:rsidP="0084293A">
            <w:pPr>
              <w:pStyle w:val="TableCentre"/>
              <w:rPr>
                <w:rFonts w:eastAsiaTheme="minorEastAsia"/>
              </w:rPr>
            </w:pPr>
            <w:r w:rsidRPr="0084293A">
              <w:rPr>
                <w:rFonts w:eastAsiaTheme="minorEastAsia"/>
              </w:rPr>
              <w:t>0.728</w:t>
            </w:r>
          </w:p>
        </w:tc>
        <w:tc>
          <w:tcPr>
            <w:tcW w:w="679" w:type="pct"/>
            <w:shd w:val="clear" w:color="auto" w:fill="auto"/>
            <w:vAlign w:val="center"/>
          </w:tcPr>
          <w:p w14:paraId="5E9C2A4E" w14:textId="4E024A02" w:rsidR="009A5027" w:rsidRPr="0084293A" w:rsidRDefault="009A5027" w:rsidP="0084293A">
            <w:pPr>
              <w:pStyle w:val="TableCentre"/>
              <w:rPr>
                <w:rFonts w:eastAsiaTheme="minorEastAsia"/>
              </w:rPr>
            </w:pPr>
            <w:r w:rsidRPr="0084293A">
              <w:rPr>
                <w:rFonts w:eastAsiaTheme="minorEastAsia"/>
              </w:rPr>
              <w:t>0.701</w:t>
            </w:r>
          </w:p>
        </w:tc>
        <w:tc>
          <w:tcPr>
            <w:tcW w:w="730" w:type="pct"/>
            <w:shd w:val="clear" w:color="auto" w:fill="auto"/>
            <w:vAlign w:val="center"/>
          </w:tcPr>
          <w:p w14:paraId="280FCB21" w14:textId="3DDE62EF" w:rsidR="009A5027" w:rsidRPr="0084293A" w:rsidRDefault="00124583" w:rsidP="0084293A">
            <w:pPr>
              <w:pStyle w:val="TableCentre"/>
              <w:rPr>
                <w:rFonts w:eastAsiaTheme="minorEastAsia"/>
              </w:rPr>
            </w:pPr>
            <w:r w:rsidRPr="0084293A">
              <w:rPr>
                <w:rFonts w:eastAsiaTheme="minorEastAsia"/>
              </w:rPr>
              <w:t>0.781***</w:t>
            </w:r>
          </w:p>
        </w:tc>
        <w:tc>
          <w:tcPr>
            <w:tcW w:w="757" w:type="pct"/>
            <w:shd w:val="clear" w:color="auto" w:fill="auto"/>
            <w:vAlign w:val="center"/>
          </w:tcPr>
          <w:p w14:paraId="00F06DD6" w14:textId="553F31D8" w:rsidR="009A5027" w:rsidRPr="0084293A" w:rsidRDefault="00124583" w:rsidP="0084293A">
            <w:pPr>
              <w:pStyle w:val="TableCentre"/>
              <w:rPr>
                <w:rFonts w:eastAsiaTheme="minorEastAsia"/>
              </w:rPr>
            </w:pPr>
            <w:r w:rsidRPr="0084293A">
              <w:rPr>
                <w:rFonts w:eastAsiaTheme="minorEastAsia"/>
              </w:rPr>
              <w:t>0.752***</w:t>
            </w:r>
          </w:p>
        </w:tc>
      </w:tr>
      <w:tr w:rsidR="009A5027" w:rsidRPr="00411193" w14:paraId="0379F078" w14:textId="77777777" w:rsidTr="00364167">
        <w:trPr>
          <w:gridAfter w:val="1"/>
          <w:wAfter w:w="7" w:type="pct"/>
        </w:trPr>
        <w:tc>
          <w:tcPr>
            <w:tcW w:w="1501" w:type="pct"/>
            <w:shd w:val="clear" w:color="auto" w:fill="auto"/>
          </w:tcPr>
          <w:p w14:paraId="131B00AA" w14:textId="0B20BEB1" w:rsidR="009A5027" w:rsidRPr="00FF01D3" w:rsidRDefault="009A5027" w:rsidP="00E127AE">
            <w:pPr>
              <w:pStyle w:val="TableText"/>
              <w:rPr>
                <w:rFonts w:eastAsiaTheme="minorEastAsia"/>
                <w:lang w:val="en-AU"/>
              </w:rPr>
            </w:pPr>
            <w:r w:rsidRPr="00FF01D3">
              <w:rPr>
                <w:rFonts w:eastAsiaTheme="minorEastAsia"/>
                <w:lang w:val="en-AU"/>
              </w:rPr>
              <w:t>Month 1</w:t>
            </w:r>
          </w:p>
          <w:p w14:paraId="7EFBFB24" w14:textId="42D91036" w:rsidR="00CF06ED" w:rsidRPr="00FF01D3" w:rsidRDefault="00385A8A" w:rsidP="00E127AE">
            <w:pPr>
              <w:pStyle w:val="TableText"/>
              <w:rPr>
                <w:rFonts w:eastAsiaTheme="minorEastAsia"/>
                <w:lang w:val="en-AU"/>
              </w:rPr>
            </w:pPr>
            <w:r w:rsidRPr="00FF01D3">
              <w:rPr>
                <w:rFonts w:eastAsiaTheme="minorEastAsia"/>
                <w:lang w:val="en-AU"/>
              </w:rPr>
              <w:t xml:space="preserve">     </w:t>
            </w:r>
            <w:r w:rsidR="00D34F3B" w:rsidRPr="00FF01D3">
              <w:rPr>
                <w:rFonts w:eastAsiaTheme="minorEastAsia"/>
                <w:lang w:val="en-AU"/>
              </w:rPr>
              <w:t>G</w:t>
            </w:r>
            <w:r w:rsidR="00CF06ED" w:rsidRPr="00FF01D3">
              <w:rPr>
                <w:rFonts w:eastAsiaTheme="minorEastAsia"/>
                <w:lang w:val="en-AU"/>
              </w:rPr>
              <w:t>eometric Mean</w:t>
            </w:r>
          </w:p>
          <w:p w14:paraId="2375BF8C" w14:textId="2BC586AB" w:rsidR="009A5027" w:rsidRPr="00A43335" w:rsidRDefault="00CF06ED" w:rsidP="00E127AE">
            <w:pPr>
              <w:pStyle w:val="TableText"/>
              <w:rPr>
                <w:rFonts w:eastAsiaTheme="minorEastAsia"/>
              </w:rPr>
            </w:pPr>
            <w:r w:rsidRPr="00A43335">
              <w:rPr>
                <w:rFonts w:eastAsiaTheme="minorEastAsia"/>
              </w:rPr>
              <w:t xml:space="preserve">     Change from Baseline</w:t>
            </w:r>
          </w:p>
        </w:tc>
        <w:tc>
          <w:tcPr>
            <w:tcW w:w="618" w:type="pct"/>
            <w:shd w:val="clear" w:color="auto" w:fill="auto"/>
            <w:vAlign w:val="center"/>
          </w:tcPr>
          <w:p w14:paraId="7742233D" w14:textId="53CC11DB" w:rsidR="009A5027" w:rsidRPr="0084293A" w:rsidRDefault="00500F8B" w:rsidP="0084293A">
            <w:pPr>
              <w:pStyle w:val="TableCentre"/>
              <w:rPr>
                <w:rFonts w:eastAsiaTheme="minorEastAsia"/>
              </w:rPr>
            </w:pPr>
            <w:r w:rsidRPr="0084293A">
              <w:rPr>
                <w:rFonts w:eastAsiaTheme="minorEastAsia"/>
              </w:rPr>
              <w:t>-10</w:t>
            </w:r>
          </w:p>
        </w:tc>
        <w:tc>
          <w:tcPr>
            <w:tcW w:w="708" w:type="pct"/>
            <w:shd w:val="clear" w:color="auto" w:fill="auto"/>
            <w:vAlign w:val="center"/>
          </w:tcPr>
          <w:p w14:paraId="3F4EE301" w14:textId="56D5E030" w:rsidR="009A5027" w:rsidRPr="0084293A" w:rsidRDefault="00500F8B" w:rsidP="0084293A">
            <w:pPr>
              <w:pStyle w:val="TableCentre"/>
              <w:rPr>
                <w:rFonts w:eastAsiaTheme="minorEastAsia"/>
              </w:rPr>
            </w:pPr>
            <w:r w:rsidRPr="0084293A">
              <w:rPr>
                <w:rFonts w:eastAsiaTheme="minorEastAsia"/>
              </w:rPr>
              <w:t>-16</w:t>
            </w:r>
          </w:p>
        </w:tc>
        <w:tc>
          <w:tcPr>
            <w:tcW w:w="679" w:type="pct"/>
            <w:shd w:val="clear" w:color="auto" w:fill="auto"/>
            <w:vAlign w:val="center"/>
          </w:tcPr>
          <w:p w14:paraId="50678357" w14:textId="66068546" w:rsidR="009A5027" w:rsidRPr="0084293A" w:rsidRDefault="00500F8B" w:rsidP="0084293A">
            <w:pPr>
              <w:pStyle w:val="TableCentre"/>
              <w:rPr>
                <w:rFonts w:eastAsiaTheme="minorEastAsia"/>
              </w:rPr>
            </w:pPr>
            <w:r w:rsidRPr="0084293A">
              <w:rPr>
                <w:rFonts w:eastAsiaTheme="minorEastAsia"/>
              </w:rPr>
              <w:t>-18</w:t>
            </w:r>
          </w:p>
        </w:tc>
        <w:tc>
          <w:tcPr>
            <w:tcW w:w="730" w:type="pct"/>
            <w:shd w:val="clear" w:color="auto" w:fill="auto"/>
            <w:vAlign w:val="center"/>
          </w:tcPr>
          <w:p w14:paraId="2E26829D" w14:textId="2333C797" w:rsidR="009A5027" w:rsidRPr="0084293A" w:rsidRDefault="009A5027" w:rsidP="0084293A">
            <w:pPr>
              <w:pStyle w:val="TableCentre"/>
              <w:rPr>
                <w:rFonts w:eastAsiaTheme="minorEastAsia"/>
              </w:rPr>
            </w:pPr>
            <w:r w:rsidRPr="0084293A">
              <w:rPr>
                <w:rFonts w:eastAsiaTheme="minorEastAsia"/>
              </w:rPr>
              <w:t>-</w:t>
            </w:r>
            <w:r w:rsidR="00500F8B" w:rsidRPr="0084293A">
              <w:rPr>
                <w:rFonts w:eastAsiaTheme="minorEastAsia"/>
              </w:rPr>
              <w:t>6</w:t>
            </w:r>
          </w:p>
        </w:tc>
        <w:tc>
          <w:tcPr>
            <w:tcW w:w="757" w:type="pct"/>
            <w:shd w:val="clear" w:color="auto" w:fill="auto"/>
            <w:vAlign w:val="center"/>
          </w:tcPr>
          <w:p w14:paraId="166D8AFE" w14:textId="147CBAAF" w:rsidR="009A5027" w:rsidRPr="0084293A" w:rsidRDefault="009A5027" w:rsidP="0084293A">
            <w:pPr>
              <w:pStyle w:val="TableCentre"/>
              <w:rPr>
                <w:rFonts w:eastAsiaTheme="minorEastAsia"/>
              </w:rPr>
            </w:pPr>
            <w:r w:rsidRPr="0084293A">
              <w:rPr>
                <w:rFonts w:eastAsiaTheme="minorEastAsia"/>
              </w:rPr>
              <w:t>-</w:t>
            </w:r>
            <w:r w:rsidR="00500F8B" w:rsidRPr="0084293A">
              <w:rPr>
                <w:rFonts w:eastAsiaTheme="minorEastAsia"/>
              </w:rPr>
              <w:t>8</w:t>
            </w:r>
          </w:p>
        </w:tc>
      </w:tr>
      <w:tr w:rsidR="009A5027" w:rsidRPr="00411193" w14:paraId="4E97DE29" w14:textId="77777777" w:rsidTr="00364167">
        <w:trPr>
          <w:gridAfter w:val="1"/>
          <w:wAfter w:w="7" w:type="pct"/>
        </w:trPr>
        <w:tc>
          <w:tcPr>
            <w:tcW w:w="1501" w:type="pct"/>
            <w:shd w:val="clear" w:color="auto" w:fill="auto"/>
          </w:tcPr>
          <w:p w14:paraId="780AD5ED" w14:textId="4650465F" w:rsidR="009A5027" w:rsidRPr="00FF01D3" w:rsidRDefault="009A5027" w:rsidP="00A43335">
            <w:pPr>
              <w:pStyle w:val="TableText"/>
              <w:rPr>
                <w:rFonts w:eastAsiaTheme="minorEastAsia"/>
                <w:lang w:val="en-AU"/>
              </w:rPr>
            </w:pPr>
            <w:r w:rsidRPr="00FF01D3">
              <w:rPr>
                <w:rFonts w:eastAsiaTheme="minorEastAsia"/>
                <w:lang w:val="en-AU"/>
              </w:rPr>
              <w:lastRenderedPageBreak/>
              <w:t>LSGM Ratio</w:t>
            </w:r>
          </w:p>
        </w:tc>
        <w:tc>
          <w:tcPr>
            <w:tcW w:w="618" w:type="pct"/>
            <w:shd w:val="clear" w:color="auto" w:fill="auto"/>
            <w:vAlign w:val="center"/>
          </w:tcPr>
          <w:p w14:paraId="52BDD6FD" w14:textId="0F9D20BE" w:rsidR="009A5027" w:rsidRPr="0084293A" w:rsidRDefault="009A5027" w:rsidP="0084293A">
            <w:pPr>
              <w:pStyle w:val="TableCentre"/>
              <w:rPr>
                <w:rFonts w:eastAsiaTheme="minorEastAsia"/>
              </w:rPr>
            </w:pPr>
            <w:r w:rsidRPr="0084293A">
              <w:rPr>
                <w:rFonts w:eastAsiaTheme="minorEastAsia"/>
              </w:rPr>
              <w:t>0.786</w:t>
            </w:r>
          </w:p>
        </w:tc>
        <w:tc>
          <w:tcPr>
            <w:tcW w:w="708" w:type="pct"/>
            <w:shd w:val="clear" w:color="auto" w:fill="auto"/>
            <w:vAlign w:val="center"/>
          </w:tcPr>
          <w:p w14:paraId="57ED8558" w14:textId="3B2F7FDD" w:rsidR="009A5027" w:rsidRPr="0084293A" w:rsidRDefault="009A5027" w:rsidP="0084293A">
            <w:pPr>
              <w:pStyle w:val="TableCentre"/>
              <w:rPr>
                <w:rFonts w:eastAsiaTheme="minorEastAsia"/>
              </w:rPr>
            </w:pPr>
            <w:r w:rsidRPr="0084293A">
              <w:rPr>
                <w:rFonts w:eastAsiaTheme="minorEastAsia"/>
              </w:rPr>
              <w:t>0.637</w:t>
            </w:r>
          </w:p>
        </w:tc>
        <w:tc>
          <w:tcPr>
            <w:tcW w:w="679" w:type="pct"/>
            <w:shd w:val="clear" w:color="auto" w:fill="auto"/>
            <w:vAlign w:val="center"/>
          </w:tcPr>
          <w:p w14:paraId="4E216E37" w14:textId="7D12776E" w:rsidR="009A5027" w:rsidRPr="0084293A" w:rsidRDefault="009A5027" w:rsidP="0084293A">
            <w:pPr>
              <w:pStyle w:val="TableCentre"/>
              <w:rPr>
                <w:rFonts w:eastAsiaTheme="minorEastAsia"/>
              </w:rPr>
            </w:pPr>
            <w:r w:rsidRPr="0084293A">
              <w:rPr>
                <w:rFonts w:eastAsiaTheme="minorEastAsia"/>
              </w:rPr>
              <w:t>0.605</w:t>
            </w:r>
          </w:p>
        </w:tc>
        <w:tc>
          <w:tcPr>
            <w:tcW w:w="730" w:type="pct"/>
            <w:shd w:val="clear" w:color="auto" w:fill="auto"/>
            <w:vAlign w:val="center"/>
          </w:tcPr>
          <w:p w14:paraId="738E075F" w14:textId="29A19F64" w:rsidR="009A5027" w:rsidRPr="0084293A" w:rsidRDefault="00124583" w:rsidP="0084293A">
            <w:pPr>
              <w:pStyle w:val="TableCentre"/>
              <w:rPr>
                <w:rFonts w:eastAsiaTheme="minorEastAsia"/>
              </w:rPr>
            </w:pPr>
            <w:r w:rsidRPr="0084293A">
              <w:rPr>
                <w:rFonts w:eastAsiaTheme="minorEastAsia"/>
              </w:rPr>
              <w:t>0.810***</w:t>
            </w:r>
          </w:p>
        </w:tc>
        <w:tc>
          <w:tcPr>
            <w:tcW w:w="757" w:type="pct"/>
            <w:shd w:val="clear" w:color="auto" w:fill="auto"/>
            <w:vAlign w:val="center"/>
          </w:tcPr>
          <w:p w14:paraId="2ABDCE16" w14:textId="0E683723" w:rsidR="009A5027" w:rsidRPr="0084293A" w:rsidRDefault="00124583" w:rsidP="0084293A">
            <w:pPr>
              <w:pStyle w:val="TableCentre"/>
              <w:rPr>
                <w:rFonts w:eastAsiaTheme="minorEastAsia"/>
              </w:rPr>
            </w:pPr>
            <w:r w:rsidRPr="0084293A">
              <w:rPr>
                <w:rFonts w:eastAsiaTheme="minorEastAsia"/>
              </w:rPr>
              <w:t>0.770***</w:t>
            </w:r>
          </w:p>
        </w:tc>
      </w:tr>
      <w:tr w:rsidR="009A5027" w:rsidRPr="00411193" w14:paraId="70509D1E" w14:textId="77777777" w:rsidTr="00364167">
        <w:trPr>
          <w:gridAfter w:val="1"/>
          <w:wAfter w:w="7" w:type="pct"/>
        </w:trPr>
        <w:tc>
          <w:tcPr>
            <w:tcW w:w="1501" w:type="pct"/>
            <w:tcBorders>
              <w:bottom w:val="single" w:sz="4" w:space="0" w:color="auto"/>
            </w:tcBorders>
            <w:shd w:val="clear" w:color="auto" w:fill="auto"/>
          </w:tcPr>
          <w:p w14:paraId="3D6E9413" w14:textId="5416395D" w:rsidR="009A5027" w:rsidRPr="00FF01D3" w:rsidRDefault="009A5027" w:rsidP="00A43335">
            <w:pPr>
              <w:pStyle w:val="TableText"/>
              <w:rPr>
                <w:rFonts w:eastAsiaTheme="minorEastAsia"/>
                <w:lang w:val="en-AU"/>
              </w:rPr>
            </w:pPr>
            <w:r w:rsidRPr="00FF01D3">
              <w:rPr>
                <w:rFonts w:eastAsiaTheme="minorEastAsia"/>
                <w:lang w:val="en-AU"/>
              </w:rPr>
              <w:t>Month 6</w:t>
            </w:r>
          </w:p>
          <w:p w14:paraId="608482EB" w14:textId="311F61B5" w:rsidR="00CF06ED" w:rsidRPr="00FF01D3" w:rsidRDefault="00CF06ED" w:rsidP="00A43335">
            <w:pPr>
              <w:pStyle w:val="TableText"/>
              <w:rPr>
                <w:rFonts w:eastAsiaTheme="minorEastAsia"/>
                <w:lang w:val="en-AU"/>
              </w:rPr>
            </w:pPr>
            <w:r w:rsidRPr="00FF01D3">
              <w:rPr>
                <w:rFonts w:eastAsiaTheme="minorEastAsia"/>
                <w:lang w:val="en-AU"/>
              </w:rPr>
              <w:t xml:space="preserve">    </w:t>
            </w:r>
            <w:r w:rsidR="00840979" w:rsidRPr="00FF01D3">
              <w:rPr>
                <w:rFonts w:eastAsiaTheme="minorEastAsia"/>
                <w:lang w:val="en-AU"/>
              </w:rPr>
              <w:t xml:space="preserve"> </w:t>
            </w:r>
            <w:r w:rsidR="00D34F3B" w:rsidRPr="00FF01D3">
              <w:rPr>
                <w:rFonts w:eastAsiaTheme="minorEastAsia"/>
                <w:lang w:val="en-AU"/>
              </w:rPr>
              <w:t>G</w:t>
            </w:r>
            <w:r w:rsidRPr="00FF01D3">
              <w:rPr>
                <w:rFonts w:eastAsiaTheme="minorEastAsia"/>
                <w:lang w:val="en-AU"/>
              </w:rPr>
              <w:t>eometric Mean</w:t>
            </w:r>
          </w:p>
          <w:p w14:paraId="5633656F" w14:textId="7EA0A7C6" w:rsidR="009A5027" w:rsidRPr="00325106" w:rsidRDefault="00CF06ED" w:rsidP="00325106">
            <w:pPr>
              <w:pStyle w:val="TableText"/>
              <w:rPr>
                <w:rFonts w:eastAsiaTheme="minorEastAsia"/>
              </w:rPr>
            </w:pPr>
            <w:r w:rsidRPr="00325106">
              <w:rPr>
                <w:rFonts w:eastAsiaTheme="minorEastAsia"/>
              </w:rPr>
              <w:t>Change from Baseline</w:t>
            </w:r>
          </w:p>
        </w:tc>
        <w:tc>
          <w:tcPr>
            <w:tcW w:w="618" w:type="pct"/>
            <w:tcBorders>
              <w:bottom w:val="single" w:sz="4" w:space="0" w:color="auto"/>
            </w:tcBorders>
            <w:shd w:val="clear" w:color="auto" w:fill="auto"/>
            <w:vAlign w:val="center"/>
          </w:tcPr>
          <w:p w14:paraId="0CC72693" w14:textId="7451478B" w:rsidR="009A5027" w:rsidRPr="0084293A" w:rsidRDefault="003A4B14" w:rsidP="0084293A">
            <w:pPr>
              <w:pStyle w:val="TableCentre"/>
              <w:rPr>
                <w:rFonts w:eastAsiaTheme="minorEastAsia"/>
              </w:rPr>
            </w:pPr>
            <w:r w:rsidRPr="0084293A">
              <w:rPr>
                <w:rFonts w:eastAsiaTheme="minorEastAsia"/>
              </w:rPr>
              <w:t>-18</w:t>
            </w:r>
          </w:p>
        </w:tc>
        <w:tc>
          <w:tcPr>
            <w:tcW w:w="708" w:type="pct"/>
            <w:tcBorders>
              <w:bottom w:val="single" w:sz="4" w:space="0" w:color="auto"/>
            </w:tcBorders>
            <w:shd w:val="clear" w:color="auto" w:fill="auto"/>
            <w:vAlign w:val="center"/>
          </w:tcPr>
          <w:p w14:paraId="4F1F814F" w14:textId="6D329FFF" w:rsidR="009A5027" w:rsidRPr="0084293A" w:rsidRDefault="003A4B14" w:rsidP="0084293A">
            <w:pPr>
              <w:pStyle w:val="TableCentre"/>
              <w:rPr>
                <w:rFonts w:eastAsiaTheme="minorEastAsia"/>
              </w:rPr>
            </w:pPr>
            <w:r w:rsidRPr="0084293A">
              <w:rPr>
                <w:rFonts w:eastAsiaTheme="minorEastAsia"/>
              </w:rPr>
              <w:t>-24</w:t>
            </w:r>
          </w:p>
        </w:tc>
        <w:tc>
          <w:tcPr>
            <w:tcW w:w="679" w:type="pct"/>
            <w:tcBorders>
              <w:bottom w:val="single" w:sz="4" w:space="0" w:color="auto"/>
            </w:tcBorders>
            <w:shd w:val="clear" w:color="auto" w:fill="auto"/>
            <w:vAlign w:val="center"/>
          </w:tcPr>
          <w:p w14:paraId="06B09E7A" w14:textId="4A30E742" w:rsidR="009A5027" w:rsidRPr="0084293A" w:rsidRDefault="003A4B14" w:rsidP="0084293A">
            <w:pPr>
              <w:pStyle w:val="TableCentre"/>
              <w:rPr>
                <w:rFonts w:eastAsiaTheme="minorEastAsia"/>
              </w:rPr>
            </w:pPr>
            <w:r w:rsidRPr="0084293A">
              <w:rPr>
                <w:rFonts w:eastAsiaTheme="minorEastAsia"/>
              </w:rPr>
              <w:t>-26</w:t>
            </w:r>
          </w:p>
        </w:tc>
        <w:tc>
          <w:tcPr>
            <w:tcW w:w="730" w:type="pct"/>
            <w:tcBorders>
              <w:bottom w:val="single" w:sz="4" w:space="0" w:color="auto"/>
            </w:tcBorders>
            <w:shd w:val="clear" w:color="auto" w:fill="auto"/>
            <w:vAlign w:val="center"/>
          </w:tcPr>
          <w:p w14:paraId="40BC5B94" w14:textId="51249EED" w:rsidR="009A5027" w:rsidRPr="0084293A" w:rsidRDefault="009A5027" w:rsidP="0084293A">
            <w:pPr>
              <w:pStyle w:val="TableCentre"/>
              <w:rPr>
                <w:rFonts w:eastAsiaTheme="minorEastAsia"/>
              </w:rPr>
            </w:pPr>
            <w:r w:rsidRPr="0084293A">
              <w:rPr>
                <w:rFonts w:eastAsiaTheme="minorEastAsia"/>
              </w:rPr>
              <w:t>-</w:t>
            </w:r>
            <w:r w:rsidR="003A4B14" w:rsidRPr="0084293A">
              <w:rPr>
                <w:rFonts w:eastAsiaTheme="minorEastAsia"/>
              </w:rPr>
              <w:t>6</w:t>
            </w:r>
          </w:p>
        </w:tc>
        <w:tc>
          <w:tcPr>
            <w:tcW w:w="757" w:type="pct"/>
            <w:shd w:val="clear" w:color="auto" w:fill="auto"/>
            <w:vAlign w:val="center"/>
          </w:tcPr>
          <w:p w14:paraId="15120B85" w14:textId="04F1BCAC" w:rsidR="009A5027" w:rsidRPr="0084293A" w:rsidRDefault="009A5027" w:rsidP="0084293A">
            <w:pPr>
              <w:pStyle w:val="TableCentre"/>
              <w:rPr>
                <w:rFonts w:eastAsiaTheme="minorEastAsia"/>
              </w:rPr>
            </w:pPr>
            <w:r w:rsidRPr="0084293A">
              <w:rPr>
                <w:rFonts w:eastAsiaTheme="minorEastAsia"/>
              </w:rPr>
              <w:t>-</w:t>
            </w:r>
            <w:r w:rsidR="003A4B14" w:rsidRPr="0084293A">
              <w:rPr>
                <w:rFonts w:eastAsiaTheme="minorEastAsia"/>
              </w:rPr>
              <w:t>8</w:t>
            </w:r>
          </w:p>
        </w:tc>
      </w:tr>
      <w:tr w:rsidR="009A5027" w:rsidRPr="00411193" w14:paraId="335B767F" w14:textId="77777777" w:rsidTr="00364167">
        <w:trPr>
          <w:gridAfter w:val="1"/>
          <w:wAfter w:w="7" w:type="pct"/>
        </w:trPr>
        <w:tc>
          <w:tcPr>
            <w:tcW w:w="1501" w:type="pct"/>
            <w:tcBorders>
              <w:bottom w:val="single" w:sz="4" w:space="0" w:color="auto"/>
            </w:tcBorders>
            <w:shd w:val="clear" w:color="auto" w:fill="auto"/>
          </w:tcPr>
          <w:p w14:paraId="5FA883C1" w14:textId="0D14CF6C" w:rsidR="009A5027" w:rsidRPr="00FF01D3" w:rsidRDefault="009A5027" w:rsidP="00A43335">
            <w:pPr>
              <w:pStyle w:val="TableText"/>
              <w:rPr>
                <w:rFonts w:eastAsiaTheme="minorEastAsia"/>
                <w:lang w:val="en-AU"/>
              </w:rPr>
            </w:pPr>
            <w:r w:rsidRPr="00FF01D3">
              <w:rPr>
                <w:rFonts w:eastAsiaTheme="minorEastAsia"/>
                <w:lang w:val="en-AU"/>
              </w:rPr>
              <w:t>LSGM Ratio</w:t>
            </w:r>
          </w:p>
        </w:tc>
        <w:tc>
          <w:tcPr>
            <w:tcW w:w="618" w:type="pct"/>
            <w:tcBorders>
              <w:bottom w:val="single" w:sz="4" w:space="0" w:color="auto"/>
            </w:tcBorders>
            <w:shd w:val="clear" w:color="auto" w:fill="auto"/>
            <w:vAlign w:val="center"/>
          </w:tcPr>
          <w:p w14:paraId="5ED366B1" w14:textId="77777777" w:rsidR="009A5027" w:rsidRPr="0084293A" w:rsidRDefault="009A5027" w:rsidP="0084293A">
            <w:pPr>
              <w:pStyle w:val="TableCentre"/>
              <w:rPr>
                <w:rFonts w:eastAsiaTheme="minorEastAsia"/>
              </w:rPr>
            </w:pPr>
            <w:r w:rsidRPr="0084293A">
              <w:rPr>
                <w:rFonts w:eastAsiaTheme="minorEastAsia"/>
              </w:rPr>
              <w:t>0.618</w:t>
            </w:r>
          </w:p>
        </w:tc>
        <w:tc>
          <w:tcPr>
            <w:tcW w:w="708" w:type="pct"/>
            <w:tcBorders>
              <w:bottom w:val="single" w:sz="4" w:space="0" w:color="auto"/>
            </w:tcBorders>
            <w:shd w:val="clear" w:color="auto" w:fill="auto"/>
            <w:vAlign w:val="center"/>
          </w:tcPr>
          <w:p w14:paraId="6F177D7F" w14:textId="77777777" w:rsidR="009A5027" w:rsidRPr="0084293A" w:rsidRDefault="009A5027" w:rsidP="0084293A">
            <w:pPr>
              <w:pStyle w:val="TableCentre"/>
              <w:rPr>
                <w:rFonts w:eastAsiaTheme="minorEastAsia"/>
              </w:rPr>
            </w:pPr>
            <w:r w:rsidRPr="0084293A">
              <w:rPr>
                <w:rFonts w:eastAsiaTheme="minorEastAsia"/>
              </w:rPr>
              <w:t>0.453</w:t>
            </w:r>
          </w:p>
        </w:tc>
        <w:tc>
          <w:tcPr>
            <w:tcW w:w="679" w:type="pct"/>
            <w:tcBorders>
              <w:bottom w:val="single" w:sz="4" w:space="0" w:color="auto"/>
            </w:tcBorders>
            <w:shd w:val="clear" w:color="auto" w:fill="auto"/>
            <w:vAlign w:val="center"/>
          </w:tcPr>
          <w:p w14:paraId="7336723C" w14:textId="77777777" w:rsidR="009A5027" w:rsidRPr="0084293A" w:rsidRDefault="009A5027" w:rsidP="0084293A">
            <w:pPr>
              <w:pStyle w:val="TableCentre"/>
              <w:rPr>
                <w:rFonts w:eastAsiaTheme="minorEastAsia"/>
              </w:rPr>
            </w:pPr>
            <w:r w:rsidRPr="0084293A">
              <w:rPr>
                <w:rFonts w:eastAsiaTheme="minorEastAsia"/>
              </w:rPr>
              <w:t>0.433</w:t>
            </w:r>
          </w:p>
        </w:tc>
        <w:tc>
          <w:tcPr>
            <w:tcW w:w="730" w:type="pct"/>
            <w:tcBorders>
              <w:bottom w:val="single" w:sz="4" w:space="0" w:color="auto"/>
            </w:tcBorders>
            <w:shd w:val="clear" w:color="auto" w:fill="auto"/>
            <w:vAlign w:val="center"/>
          </w:tcPr>
          <w:p w14:paraId="0AC966CE" w14:textId="77777777" w:rsidR="009A5027" w:rsidRPr="0084293A" w:rsidRDefault="009A5027" w:rsidP="0084293A">
            <w:pPr>
              <w:pStyle w:val="TableCentre"/>
              <w:rPr>
                <w:rFonts w:eastAsiaTheme="minorEastAsia"/>
              </w:rPr>
            </w:pPr>
            <w:r w:rsidRPr="0084293A">
              <w:rPr>
                <w:rFonts w:eastAsiaTheme="minorEastAsia"/>
              </w:rPr>
              <w:t>0.732***</w:t>
            </w:r>
          </w:p>
        </w:tc>
        <w:tc>
          <w:tcPr>
            <w:tcW w:w="757" w:type="pct"/>
            <w:shd w:val="clear" w:color="auto" w:fill="auto"/>
            <w:vAlign w:val="center"/>
          </w:tcPr>
          <w:p w14:paraId="6B799BD0" w14:textId="2D5E133D" w:rsidR="009A5027" w:rsidRPr="0084293A" w:rsidRDefault="009A5027" w:rsidP="0084293A">
            <w:pPr>
              <w:pStyle w:val="TableCentre"/>
              <w:rPr>
                <w:rFonts w:eastAsiaTheme="minorEastAsia"/>
              </w:rPr>
            </w:pPr>
            <w:r w:rsidRPr="0084293A">
              <w:rPr>
                <w:rFonts w:eastAsiaTheme="minorEastAsia"/>
              </w:rPr>
              <w:t>0.701***</w:t>
            </w:r>
          </w:p>
        </w:tc>
      </w:tr>
      <w:tr w:rsidR="009A5027" w:rsidRPr="00411193" w14:paraId="24830266" w14:textId="77777777" w:rsidTr="00364167">
        <w:trPr>
          <w:gridAfter w:val="1"/>
          <w:wAfter w:w="7" w:type="pct"/>
        </w:trPr>
        <w:tc>
          <w:tcPr>
            <w:tcW w:w="2119" w:type="pct"/>
            <w:gridSpan w:val="2"/>
            <w:tcBorders>
              <w:right w:val="nil"/>
            </w:tcBorders>
            <w:vAlign w:val="center"/>
          </w:tcPr>
          <w:p w14:paraId="56DDAA65" w14:textId="71719495" w:rsidR="009A5027" w:rsidRPr="00A43335" w:rsidRDefault="009A5027" w:rsidP="00A43335">
            <w:pPr>
              <w:pStyle w:val="TableHeading"/>
              <w:rPr>
                <w:rFonts w:eastAsiaTheme="minorEastAsia"/>
              </w:rPr>
            </w:pPr>
            <w:r w:rsidRPr="00A43335">
              <w:rPr>
                <w:rFonts w:eastAsiaTheme="minorEastAsia"/>
              </w:rPr>
              <w:t>Sleep Maintenance (sSE), %</w:t>
            </w:r>
          </w:p>
        </w:tc>
        <w:tc>
          <w:tcPr>
            <w:tcW w:w="708" w:type="pct"/>
            <w:tcBorders>
              <w:left w:val="nil"/>
              <w:right w:val="nil"/>
            </w:tcBorders>
            <w:vAlign w:val="center"/>
          </w:tcPr>
          <w:p w14:paraId="10DED0BE" w14:textId="77777777" w:rsidR="009A5027" w:rsidRPr="00FF01D3" w:rsidRDefault="009A5027" w:rsidP="0084293A">
            <w:pPr>
              <w:pStyle w:val="TableCentre"/>
              <w:rPr>
                <w:rFonts w:eastAsiaTheme="minorEastAsia"/>
                <w:lang w:val="en-AU"/>
              </w:rPr>
            </w:pPr>
          </w:p>
        </w:tc>
        <w:tc>
          <w:tcPr>
            <w:tcW w:w="679" w:type="pct"/>
            <w:tcBorders>
              <w:left w:val="nil"/>
              <w:right w:val="nil"/>
            </w:tcBorders>
            <w:vAlign w:val="center"/>
          </w:tcPr>
          <w:p w14:paraId="4EFAB9A7" w14:textId="77777777" w:rsidR="009A5027" w:rsidRPr="00FF01D3" w:rsidRDefault="009A5027" w:rsidP="0084293A">
            <w:pPr>
              <w:pStyle w:val="TableCentre"/>
              <w:rPr>
                <w:rFonts w:eastAsiaTheme="minorEastAsia"/>
                <w:lang w:val="en-AU"/>
              </w:rPr>
            </w:pPr>
          </w:p>
        </w:tc>
        <w:tc>
          <w:tcPr>
            <w:tcW w:w="730" w:type="pct"/>
            <w:tcBorders>
              <w:left w:val="nil"/>
              <w:right w:val="nil"/>
            </w:tcBorders>
            <w:vAlign w:val="center"/>
          </w:tcPr>
          <w:p w14:paraId="03B11117" w14:textId="77777777" w:rsidR="009A5027" w:rsidRPr="00FF01D3" w:rsidRDefault="009A5027" w:rsidP="0084293A">
            <w:pPr>
              <w:pStyle w:val="TableCentre"/>
              <w:rPr>
                <w:rFonts w:eastAsiaTheme="minorEastAsia"/>
                <w:lang w:val="en-AU"/>
              </w:rPr>
            </w:pPr>
          </w:p>
        </w:tc>
        <w:tc>
          <w:tcPr>
            <w:tcW w:w="757" w:type="pct"/>
            <w:tcBorders>
              <w:left w:val="nil"/>
              <w:right w:val="single" w:sz="4" w:space="0" w:color="auto"/>
            </w:tcBorders>
            <w:vAlign w:val="center"/>
          </w:tcPr>
          <w:p w14:paraId="3AE95587" w14:textId="54343211" w:rsidR="009A5027" w:rsidRPr="00FF01D3" w:rsidRDefault="009A5027" w:rsidP="0084293A">
            <w:pPr>
              <w:pStyle w:val="TableCentre"/>
              <w:rPr>
                <w:rFonts w:eastAsiaTheme="minorEastAsia"/>
                <w:lang w:val="en-AU"/>
              </w:rPr>
            </w:pPr>
          </w:p>
        </w:tc>
      </w:tr>
      <w:tr w:rsidR="009A5027" w:rsidRPr="00411193" w14:paraId="6015354E" w14:textId="77777777" w:rsidTr="00364167">
        <w:trPr>
          <w:gridAfter w:val="1"/>
          <w:wAfter w:w="7" w:type="pct"/>
        </w:trPr>
        <w:tc>
          <w:tcPr>
            <w:tcW w:w="1501" w:type="pct"/>
          </w:tcPr>
          <w:p w14:paraId="50FFBB2D" w14:textId="4EDF2B9E" w:rsidR="009A5027" w:rsidRPr="00FF01D3" w:rsidRDefault="009A5027" w:rsidP="00A43335">
            <w:pPr>
              <w:pStyle w:val="TableText"/>
              <w:rPr>
                <w:rFonts w:eastAsiaTheme="minorEastAsia"/>
                <w:lang w:val="en-AU"/>
              </w:rPr>
            </w:pPr>
            <w:proofErr w:type="gramStart"/>
            <w:r w:rsidRPr="00FF01D3">
              <w:rPr>
                <w:rFonts w:eastAsiaTheme="minorEastAsia"/>
                <w:lang w:val="en-AU"/>
              </w:rPr>
              <w:t>Baseline</w:t>
            </w:r>
            <w:proofErr w:type="gramEnd"/>
            <w:r w:rsidRPr="00FF01D3">
              <w:rPr>
                <w:rFonts w:eastAsiaTheme="minorEastAsia"/>
                <w:lang w:val="en-AU"/>
              </w:rPr>
              <w:t xml:space="preserve"> mean</w:t>
            </w:r>
            <w:r w:rsidR="002503BC" w:rsidRPr="00FF01D3">
              <w:rPr>
                <w:rFonts w:eastAsiaTheme="minorEastAsia"/>
                <w:lang w:val="en-AU"/>
              </w:rPr>
              <w:t xml:space="preserve"> (</w:t>
            </w:r>
            <w:r w:rsidR="00622CA3">
              <w:rPr>
                <w:rFonts w:eastAsiaTheme="minorEastAsia"/>
                <w:lang w:val="en-AU"/>
              </w:rPr>
              <w:t>SD</w:t>
            </w:r>
            <w:r w:rsidR="002503BC" w:rsidRPr="00FF01D3">
              <w:rPr>
                <w:rFonts w:eastAsiaTheme="minorEastAsia"/>
                <w:lang w:val="en-AU"/>
              </w:rPr>
              <w:t>)</w:t>
            </w:r>
          </w:p>
        </w:tc>
        <w:tc>
          <w:tcPr>
            <w:tcW w:w="618" w:type="pct"/>
            <w:vAlign w:val="center"/>
          </w:tcPr>
          <w:p w14:paraId="7DBC890E" w14:textId="03A59B71" w:rsidR="009A5027" w:rsidRPr="0084293A" w:rsidRDefault="009A5027" w:rsidP="0084293A">
            <w:pPr>
              <w:pStyle w:val="TableCentre"/>
              <w:rPr>
                <w:rFonts w:eastAsiaTheme="minorEastAsia"/>
              </w:rPr>
            </w:pPr>
            <w:r w:rsidRPr="0084293A">
              <w:rPr>
                <w:rFonts w:eastAsiaTheme="minorEastAsia"/>
              </w:rPr>
              <w:t>61</w:t>
            </w:r>
            <w:r w:rsidR="00A947D1" w:rsidRPr="0084293A">
              <w:rPr>
                <w:rFonts w:eastAsiaTheme="minorEastAsia"/>
              </w:rPr>
              <w:t xml:space="preserve"> (</w:t>
            </w:r>
            <w:r w:rsidR="0037202B" w:rsidRPr="0084293A">
              <w:rPr>
                <w:rFonts w:eastAsiaTheme="minorEastAsia"/>
              </w:rPr>
              <w:t>18)</w:t>
            </w:r>
          </w:p>
        </w:tc>
        <w:tc>
          <w:tcPr>
            <w:tcW w:w="708" w:type="pct"/>
            <w:vAlign w:val="center"/>
          </w:tcPr>
          <w:p w14:paraId="44E2EAE0" w14:textId="1D2AA035" w:rsidR="009A5027" w:rsidRPr="0084293A" w:rsidRDefault="009A5027" w:rsidP="0084293A">
            <w:pPr>
              <w:pStyle w:val="TableCentre"/>
              <w:rPr>
                <w:rFonts w:eastAsiaTheme="minorEastAsia"/>
              </w:rPr>
            </w:pPr>
            <w:r w:rsidRPr="0084293A">
              <w:rPr>
                <w:rFonts w:eastAsiaTheme="minorEastAsia"/>
              </w:rPr>
              <w:t>63</w:t>
            </w:r>
            <w:r w:rsidR="0037202B" w:rsidRPr="0084293A">
              <w:rPr>
                <w:rFonts w:eastAsiaTheme="minorEastAsia"/>
              </w:rPr>
              <w:t xml:space="preserve"> (18)</w:t>
            </w:r>
          </w:p>
        </w:tc>
        <w:tc>
          <w:tcPr>
            <w:tcW w:w="679" w:type="pct"/>
            <w:vAlign w:val="center"/>
          </w:tcPr>
          <w:p w14:paraId="505978E7" w14:textId="60456D6A" w:rsidR="009A5027" w:rsidRPr="0084293A" w:rsidRDefault="009A5027" w:rsidP="0084293A">
            <w:pPr>
              <w:pStyle w:val="TableCentre"/>
              <w:rPr>
                <w:rFonts w:eastAsiaTheme="minorEastAsia"/>
              </w:rPr>
            </w:pPr>
            <w:r w:rsidRPr="0084293A">
              <w:rPr>
                <w:rFonts w:eastAsiaTheme="minorEastAsia"/>
              </w:rPr>
              <w:t>62</w:t>
            </w:r>
            <w:r w:rsidR="0037202B" w:rsidRPr="0084293A">
              <w:rPr>
                <w:rFonts w:eastAsiaTheme="minorEastAsia"/>
              </w:rPr>
              <w:t xml:space="preserve"> (17)</w:t>
            </w:r>
          </w:p>
        </w:tc>
        <w:tc>
          <w:tcPr>
            <w:tcW w:w="730" w:type="pct"/>
            <w:shd w:val="clear" w:color="auto" w:fill="BFBFBF" w:themeFill="background1" w:themeFillShade="BF"/>
            <w:vAlign w:val="center"/>
          </w:tcPr>
          <w:p w14:paraId="1380147B" w14:textId="77777777" w:rsidR="009A5027" w:rsidRPr="0084293A" w:rsidRDefault="009A5027" w:rsidP="0084293A">
            <w:pPr>
              <w:pStyle w:val="TableCentre"/>
              <w:rPr>
                <w:rFonts w:eastAsiaTheme="minorEastAsia"/>
              </w:rPr>
            </w:pPr>
          </w:p>
        </w:tc>
        <w:tc>
          <w:tcPr>
            <w:tcW w:w="757" w:type="pct"/>
            <w:shd w:val="clear" w:color="auto" w:fill="BFBFBF" w:themeFill="background1" w:themeFillShade="BF"/>
            <w:vAlign w:val="center"/>
          </w:tcPr>
          <w:p w14:paraId="339E6F01" w14:textId="59779BEC" w:rsidR="009A5027" w:rsidRPr="0084293A" w:rsidRDefault="009A5027" w:rsidP="0084293A">
            <w:pPr>
              <w:pStyle w:val="TableCentre"/>
              <w:rPr>
                <w:rFonts w:eastAsiaTheme="minorEastAsia"/>
              </w:rPr>
            </w:pPr>
          </w:p>
        </w:tc>
      </w:tr>
      <w:tr w:rsidR="009A5027" w:rsidRPr="00411193" w14:paraId="551F41F1" w14:textId="77777777" w:rsidTr="00EA3B1D">
        <w:trPr>
          <w:gridAfter w:val="1"/>
          <w:wAfter w:w="7" w:type="pct"/>
        </w:trPr>
        <w:tc>
          <w:tcPr>
            <w:tcW w:w="1501" w:type="pct"/>
          </w:tcPr>
          <w:p w14:paraId="28B56115" w14:textId="151B7581" w:rsidR="009A5027" w:rsidRPr="00FF01D3" w:rsidRDefault="009A5027" w:rsidP="00A43335">
            <w:pPr>
              <w:pStyle w:val="TableText"/>
              <w:rPr>
                <w:rFonts w:eastAsiaTheme="minorEastAsia"/>
                <w:lang w:val="en-AU"/>
              </w:rPr>
            </w:pPr>
            <w:r w:rsidRPr="00FF01D3">
              <w:rPr>
                <w:rFonts w:eastAsiaTheme="minorEastAsia"/>
                <w:lang w:val="en-AU"/>
              </w:rPr>
              <w:t>Week 1</w:t>
            </w:r>
          </w:p>
          <w:p w14:paraId="3EF1DDC0" w14:textId="77777777" w:rsidR="009A5027" w:rsidRPr="00FF01D3" w:rsidRDefault="009A5027" w:rsidP="00A43335">
            <w:pPr>
              <w:pStyle w:val="TableText"/>
              <w:rPr>
                <w:rFonts w:eastAsiaTheme="minorEastAsia"/>
                <w:lang w:val="en-AU"/>
              </w:rPr>
            </w:pPr>
            <w:r w:rsidRPr="00FF01D3">
              <w:rPr>
                <w:rFonts w:eastAsiaTheme="minorEastAsia"/>
                <w:lang w:val="en-AU"/>
              </w:rPr>
              <w:t xml:space="preserve">     LSM Change from </w:t>
            </w:r>
          </w:p>
          <w:p w14:paraId="489262E6" w14:textId="62993AD7" w:rsidR="0037202B" w:rsidRPr="00FF01D3" w:rsidRDefault="009A5027" w:rsidP="00325106">
            <w:pPr>
              <w:pStyle w:val="TableText"/>
              <w:rPr>
                <w:rFonts w:eastAsiaTheme="minorEastAsia"/>
              </w:rPr>
            </w:pPr>
            <w:r w:rsidRPr="00FF01D3">
              <w:rPr>
                <w:rFonts w:eastAsiaTheme="minorEastAsia"/>
                <w:lang w:val="en-AU"/>
              </w:rPr>
              <w:t xml:space="preserve">     Baseline</w:t>
            </w:r>
            <w:r w:rsidR="002503BC" w:rsidRPr="00FF01D3">
              <w:rPr>
                <w:rFonts w:eastAsiaTheme="minorEastAsia"/>
                <w:lang w:val="en-AU"/>
              </w:rPr>
              <w:t xml:space="preserve"> (</w:t>
            </w:r>
            <w:r w:rsidR="00622CA3">
              <w:rPr>
                <w:rFonts w:eastAsiaTheme="minorEastAsia"/>
                <w:lang w:val="en-AU"/>
              </w:rPr>
              <w:t>SER</w:t>
            </w:r>
            <w:r w:rsidR="002503BC" w:rsidRPr="00FF01D3">
              <w:rPr>
                <w:rFonts w:eastAsiaTheme="minorEastAsia"/>
                <w:lang w:val="en-AU"/>
              </w:rPr>
              <w:t>)</w:t>
            </w:r>
          </w:p>
        </w:tc>
        <w:tc>
          <w:tcPr>
            <w:tcW w:w="618" w:type="pct"/>
            <w:vAlign w:val="center"/>
          </w:tcPr>
          <w:p w14:paraId="32E8E972" w14:textId="3366AF75" w:rsidR="009A5027" w:rsidRPr="0084293A" w:rsidRDefault="00124583" w:rsidP="0084293A">
            <w:pPr>
              <w:pStyle w:val="TableCentre"/>
              <w:rPr>
                <w:rFonts w:eastAsiaTheme="minorEastAsia"/>
              </w:rPr>
            </w:pPr>
            <w:r w:rsidRPr="0084293A">
              <w:rPr>
                <w:rFonts w:eastAsiaTheme="minorEastAsia"/>
              </w:rPr>
              <w:t>2</w:t>
            </w:r>
            <w:r w:rsidR="0037202B" w:rsidRPr="0084293A">
              <w:rPr>
                <w:rFonts w:eastAsiaTheme="minorEastAsia"/>
              </w:rPr>
              <w:t xml:space="preserve"> </w:t>
            </w:r>
            <w:r w:rsidR="004C2036" w:rsidRPr="0084293A">
              <w:rPr>
                <w:rFonts w:eastAsiaTheme="minorEastAsia"/>
              </w:rPr>
              <w:t>(1)</w:t>
            </w:r>
          </w:p>
        </w:tc>
        <w:tc>
          <w:tcPr>
            <w:tcW w:w="708" w:type="pct"/>
            <w:vAlign w:val="center"/>
          </w:tcPr>
          <w:p w14:paraId="2C5096BA" w14:textId="4C54602A" w:rsidR="009A5027" w:rsidRPr="0084293A" w:rsidRDefault="00124583" w:rsidP="0084293A">
            <w:pPr>
              <w:pStyle w:val="TableCentre"/>
              <w:rPr>
                <w:rFonts w:eastAsiaTheme="minorEastAsia"/>
              </w:rPr>
            </w:pPr>
            <w:r w:rsidRPr="0084293A">
              <w:rPr>
                <w:rFonts w:eastAsiaTheme="minorEastAsia"/>
              </w:rPr>
              <w:t>6</w:t>
            </w:r>
            <w:r w:rsidR="004C2036" w:rsidRPr="0084293A">
              <w:rPr>
                <w:rFonts w:eastAsiaTheme="minorEastAsia"/>
              </w:rPr>
              <w:t xml:space="preserve"> (1)</w:t>
            </w:r>
          </w:p>
        </w:tc>
        <w:tc>
          <w:tcPr>
            <w:tcW w:w="679" w:type="pct"/>
            <w:vAlign w:val="center"/>
          </w:tcPr>
          <w:p w14:paraId="2AB32F05" w14:textId="33D18BBC" w:rsidR="009A5027" w:rsidRPr="0084293A" w:rsidRDefault="00124583" w:rsidP="0084293A">
            <w:pPr>
              <w:pStyle w:val="TableCentre"/>
              <w:rPr>
                <w:rFonts w:eastAsiaTheme="minorEastAsia"/>
              </w:rPr>
            </w:pPr>
            <w:r w:rsidRPr="0084293A">
              <w:rPr>
                <w:rFonts w:eastAsiaTheme="minorEastAsia"/>
              </w:rPr>
              <w:t>8</w:t>
            </w:r>
            <w:r w:rsidR="004C2036" w:rsidRPr="0084293A">
              <w:rPr>
                <w:rFonts w:eastAsiaTheme="minorEastAsia"/>
              </w:rPr>
              <w:t xml:space="preserve"> (1)</w:t>
            </w:r>
          </w:p>
        </w:tc>
        <w:tc>
          <w:tcPr>
            <w:tcW w:w="730" w:type="pct"/>
            <w:vAlign w:val="center"/>
          </w:tcPr>
          <w:p w14:paraId="371F974D" w14:textId="6450091B" w:rsidR="009A5027" w:rsidRPr="0084293A" w:rsidRDefault="00124583" w:rsidP="0084293A">
            <w:pPr>
              <w:pStyle w:val="TableCentre"/>
              <w:rPr>
                <w:rFonts w:eastAsiaTheme="minorEastAsia"/>
              </w:rPr>
            </w:pPr>
            <w:r w:rsidRPr="0084293A">
              <w:rPr>
                <w:rFonts w:eastAsiaTheme="minorEastAsia"/>
              </w:rPr>
              <w:t>4***</w:t>
            </w:r>
            <w:r w:rsidR="007423A5" w:rsidRPr="0084293A">
              <w:rPr>
                <w:rFonts w:eastAsiaTheme="minorEastAsia"/>
              </w:rPr>
              <w:t xml:space="preserve"> (</w:t>
            </w:r>
            <w:r w:rsidR="00782DE0" w:rsidRPr="0084293A">
              <w:rPr>
                <w:rFonts w:eastAsiaTheme="minorEastAsia"/>
              </w:rPr>
              <w:t>1)</w:t>
            </w:r>
          </w:p>
        </w:tc>
        <w:tc>
          <w:tcPr>
            <w:tcW w:w="757" w:type="pct"/>
            <w:vAlign w:val="center"/>
          </w:tcPr>
          <w:p w14:paraId="51FC3F8F" w14:textId="0DE3E819" w:rsidR="009A5027" w:rsidRPr="0084293A" w:rsidRDefault="00124583" w:rsidP="0084293A">
            <w:pPr>
              <w:pStyle w:val="TableCentre"/>
              <w:rPr>
                <w:rFonts w:eastAsiaTheme="minorEastAsia"/>
              </w:rPr>
            </w:pPr>
            <w:r w:rsidRPr="0084293A">
              <w:rPr>
                <w:rFonts w:eastAsiaTheme="minorEastAsia"/>
              </w:rPr>
              <w:t>6***</w:t>
            </w:r>
            <w:r w:rsidR="00782DE0" w:rsidRPr="0084293A">
              <w:rPr>
                <w:rFonts w:eastAsiaTheme="minorEastAsia"/>
              </w:rPr>
              <w:t xml:space="preserve"> (1)</w:t>
            </w:r>
          </w:p>
        </w:tc>
      </w:tr>
      <w:tr w:rsidR="009A5027" w:rsidRPr="00411193" w14:paraId="4C9EBF37" w14:textId="77777777" w:rsidTr="00EA3B1D">
        <w:trPr>
          <w:gridAfter w:val="1"/>
          <w:wAfter w:w="7" w:type="pct"/>
        </w:trPr>
        <w:tc>
          <w:tcPr>
            <w:tcW w:w="1501" w:type="pct"/>
          </w:tcPr>
          <w:p w14:paraId="7831BF42" w14:textId="138B974C" w:rsidR="009A5027" w:rsidRPr="00FF01D3" w:rsidRDefault="009A5027" w:rsidP="00A43335">
            <w:pPr>
              <w:pStyle w:val="TableText"/>
              <w:rPr>
                <w:rFonts w:eastAsiaTheme="minorEastAsia"/>
                <w:lang w:val="en-AU"/>
              </w:rPr>
            </w:pPr>
            <w:r w:rsidRPr="00FF01D3">
              <w:rPr>
                <w:rFonts w:eastAsiaTheme="minorEastAsia"/>
                <w:lang w:val="en-AU"/>
              </w:rPr>
              <w:t>Month 1</w:t>
            </w:r>
          </w:p>
          <w:p w14:paraId="2829B565" w14:textId="77777777" w:rsidR="009A5027" w:rsidRPr="00FF01D3" w:rsidRDefault="009A5027" w:rsidP="00A43335">
            <w:pPr>
              <w:pStyle w:val="TableText"/>
              <w:rPr>
                <w:rFonts w:eastAsiaTheme="minorEastAsia"/>
                <w:lang w:val="en-AU"/>
              </w:rPr>
            </w:pPr>
            <w:r w:rsidRPr="00FF01D3">
              <w:rPr>
                <w:rFonts w:eastAsiaTheme="minorEastAsia"/>
                <w:lang w:val="en-AU"/>
              </w:rPr>
              <w:t xml:space="preserve">     LSM Change from            </w:t>
            </w:r>
          </w:p>
          <w:p w14:paraId="2B319118" w14:textId="2B734045" w:rsidR="004C2036" w:rsidRPr="00FF01D3" w:rsidRDefault="009A5027" w:rsidP="00325106">
            <w:pPr>
              <w:pStyle w:val="TableText"/>
              <w:rPr>
                <w:rFonts w:eastAsiaTheme="minorEastAsia"/>
              </w:rPr>
            </w:pPr>
            <w:r w:rsidRPr="00FF01D3">
              <w:rPr>
                <w:rFonts w:eastAsiaTheme="minorEastAsia"/>
                <w:lang w:val="en-AU"/>
              </w:rPr>
              <w:t xml:space="preserve">     Baseline</w:t>
            </w:r>
            <w:r w:rsidR="002503BC" w:rsidRPr="00FF01D3">
              <w:rPr>
                <w:rFonts w:eastAsiaTheme="minorEastAsia"/>
                <w:lang w:val="en-AU"/>
              </w:rPr>
              <w:t xml:space="preserve"> (</w:t>
            </w:r>
            <w:r w:rsidR="00622CA3">
              <w:rPr>
                <w:rFonts w:eastAsiaTheme="minorEastAsia"/>
                <w:lang w:val="en-AU"/>
              </w:rPr>
              <w:t>SER</w:t>
            </w:r>
            <w:r w:rsidR="002503BC" w:rsidRPr="00FF01D3">
              <w:rPr>
                <w:rFonts w:eastAsiaTheme="minorEastAsia"/>
                <w:lang w:val="en-AU"/>
              </w:rPr>
              <w:t>)</w:t>
            </w:r>
          </w:p>
        </w:tc>
        <w:tc>
          <w:tcPr>
            <w:tcW w:w="618" w:type="pct"/>
            <w:vAlign w:val="center"/>
          </w:tcPr>
          <w:p w14:paraId="52EE77C8" w14:textId="212D223D" w:rsidR="009A5027" w:rsidRPr="0084293A" w:rsidRDefault="00124583" w:rsidP="0084293A">
            <w:pPr>
              <w:pStyle w:val="TableCentre"/>
              <w:rPr>
                <w:rFonts w:eastAsiaTheme="minorEastAsia"/>
              </w:rPr>
            </w:pPr>
            <w:r w:rsidRPr="0084293A">
              <w:rPr>
                <w:rFonts w:eastAsiaTheme="minorEastAsia"/>
              </w:rPr>
              <w:t>6</w:t>
            </w:r>
            <w:r w:rsidR="00782DE0" w:rsidRPr="0084293A">
              <w:rPr>
                <w:rFonts w:eastAsiaTheme="minorEastAsia"/>
              </w:rPr>
              <w:t xml:space="preserve"> </w:t>
            </w:r>
            <w:r w:rsidR="00E541A5" w:rsidRPr="0084293A">
              <w:rPr>
                <w:rFonts w:eastAsiaTheme="minorEastAsia"/>
              </w:rPr>
              <w:t>(1)</w:t>
            </w:r>
          </w:p>
          <w:p w14:paraId="279817B1" w14:textId="2176502C" w:rsidR="004C2036" w:rsidRPr="0084293A" w:rsidRDefault="004C2036" w:rsidP="0084293A">
            <w:pPr>
              <w:pStyle w:val="TableCentre"/>
              <w:rPr>
                <w:rFonts w:eastAsiaTheme="minorEastAsia"/>
              </w:rPr>
            </w:pPr>
          </w:p>
        </w:tc>
        <w:tc>
          <w:tcPr>
            <w:tcW w:w="708" w:type="pct"/>
            <w:vAlign w:val="center"/>
          </w:tcPr>
          <w:p w14:paraId="10D1B034" w14:textId="4558EB74" w:rsidR="009A5027" w:rsidRPr="0084293A" w:rsidRDefault="00124583" w:rsidP="0084293A">
            <w:pPr>
              <w:pStyle w:val="TableCentre"/>
              <w:rPr>
                <w:rFonts w:eastAsiaTheme="minorEastAsia"/>
              </w:rPr>
            </w:pPr>
            <w:r w:rsidRPr="0084293A">
              <w:rPr>
                <w:rFonts w:eastAsiaTheme="minorEastAsia"/>
              </w:rPr>
              <w:t>8</w:t>
            </w:r>
            <w:r w:rsidR="00E541A5" w:rsidRPr="0084293A">
              <w:rPr>
                <w:rFonts w:eastAsiaTheme="minorEastAsia"/>
              </w:rPr>
              <w:t xml:space="preserve"> (1)</w:t>
            </w:r>
          </w:p>
        </w:tc>
        <w:tc>
          <w:tcPr>
            <w:tcW w:w="679" w:type="pct"/>
            <w:vAlign w:val="center"/>
          </w:tcPr>
          <w:p w14:paraId="576178A1" w14:textId="715CEA2B" w:rsidR="009A5027" w:rsidRPr="0084293A" w:rsidRDefault="00124583" w:rsidP="0084293A">
            <w:pPr>
              <w:pStyle w:val="TableCentre"/>
              <w:rPr>
                <w:rFonts w:eastAsiaTheme="minorEastAsia"/>
              </w:rPr>
            </w:pPr>
            <w:r w:rsidRPr="0084293A">
              <w:rPr>
                <w:rFonts w:eastAsiaTheme="minorEastAsia"/>
              </w:rPr>
              <w:t>9</w:t>
            </w:r>
            <w:r w:rsidR="00E541A5" w:rsidRPr="0084293A">
              <w:rPr>
                <w:rFonts w:eastAsiaTheme="minorEastAsia"/>
              </w:rPr>
              <w:t xml:space="preserve"> (1)</w:t>
            </w:r>
          </w:p>
        </w:tc>
        <w:tc>
          <w:tcPr>
            <w:tcW w:w="730" w:type="pct"/>
            <w:vAlign w:val="center"/>
          </w:tcPr>
          <w:p w14:paraId="515DAC1A" w14:textId="5A3E58DF" w:rsidR="009A5027" w:rsidRPr="0084293A" w:rsidRDefault="00124583" w:rsidP="0084293A">
            <w:pPr>
              <w:pStyle w:val="TableCentre"/>
              <w:rPr>
                <w:rFonts w:eastAsiaTheme="minorEastAsia"/>
              </w:rPr>
            </w:pPr>
            <w:r w:rsidRPr="0084293A">
              <w:rPr>
                <w:rFonts w:eastAsiaTheme="minorEastAsia"/>
              </w:rPr>
              <w:t>2***</w:t>
            </w:r>
            <w:r w:rsidR="00E541A5" w:rsidRPr="0084293A">
              <w:rPr>
                <w:rFonts w:eastAsiaTheme="minorEastAsia"/>
              </w:rPr>
              <w:t xml:space="preserve"> (1)</w:t>
            </w:r>
          </w:p>
        </w:tc>
        <w:tc>
          <w:tcPr>
            <w:tcW w:w="757" w:type="pct"/>
            <w:vAlign w:val="center"/>
          </w:tcPr>
          <w:p w14:paraId="11A045B4" w14:textId="49A05431" w:rsidR="009A5027" w:rsidRPr="0084293A" w:rsidRDefault="00423F7D" w:rsidP="0084293A">
            <w:pPr>
              <w:pStyle w:val="TableCentre"/>
              <w:rPr>
                <w:rFonts w:eastAsiaTheme="minorEastAsia"/>
              </w:rPr>
            </w:pPr>
            <w:r w:rsidRPr="0084293A">
              <w:rPr>
                <w:rFonts w:eastAsiaTheme="minorEastAsia"/>
              </w:rPr>
              <w:t>4</w:t>
            </w:r>
            <w:r w:rsidR="00124583" w:rsidRPr="0084293A">
              <w:rPr>
                <w:rFonts w:eastAsiaTheme="minorEastAsia"/>
              </w:rPr>
              <w:t>***</w:t>
            </w:r>
            <w:r w:rsidR="00E541A5" w:rsidRPr="0084293A">
              <w:rPr>
                <w:rFonts w:eastAsiaTheme="minorEastAsia"/>
              </w:rPr>
              <w:t xml:space="preserve"> (1)</w:t>
            </w:r>
          </w:p>
        </w:tc>
      </w:tr>
      <w:tr w:rsidR="009A5027" w:rsidRPr="00411193" w14:paraId="4DF667D7" w14:textId="77777777" w:rsidTr="00EA3B1D">
        <w:trPr>
          <w:gridAfter w:val="1"/>
          <w:wAfter w:w="7" w:type="pct"/>
        </w:trPr>
        <w:tc>
          <w:tcPr>
            <w:tcW w:w="1501" w:type="pct"/>
            <w:tcBorders>
              <w:bottom w:val="single" w:sz="4" w:space="0" w:color="auto"/>
            </w:tcBorders>
          </w:tcPr>
          <w:p w14:paraId="6C972360" w14:textId="0C7C7E77" w:rsidR="009A5027" w:rsidRPr="00FF01D3" w:rsidRDefault="009A5027" w:rsidP="00A43335">
            <w:pPr>
              <w:pStyle w:val="TableText"/>
              <w:rPr>
                <w:rFonts w:eastAsiaTheme="minorEastAsia"/>
                <w:lang w:val="en-AU"/>
              </w:rPr>
            </w:pPr>
            <w:r w:rsidRPr="00FF01D3">
              <w:rPr>
                <w:rFonts w:eastAsiaTheme="minorEastAsia"/>
                <w:lang w:val="en-AU"/>
              </w:rPr>
              <w:t>Month 6</w:t>
            </w:r>
          </w:p>
          <w:p w14:paraId="65199195" w14:textId="77777777" w:rsidR="00385A8A" w:rsidRPr="00325106" w:rsidRDefault="009A5027" w:rsidP="00325106">
            <w:pPr>
              <w:pStyle w:val="TableText"/>
              <w:rPr>
                <w:rFonts w:eastAsiaTheme="minorEastAsia"/>
              </w:rPr>
            </w:pPr>
            <w:r w:rsidRPr="00325106">
              <w:rPr>
                <w:rFonts w:eastAsiaTheme="minorEastAsia"/>
              </w:rPr>
              <w:t xml:space="preserve">LSM Change from </w:t>
            </w:r>
          </w:p>
          <w:p w14:paraId="7D350DB6" w14:textId="7F755BB2" w:rsidR="00EA5522" w:rsidRPr="00325106" w:rsidRDefault="009A5027" w:rsidP="00325106">
            <w:pPr>
              <w:pStyle w:val="TableText"/>
              <w:rPr>
                <w:rFonts w:eastAsiaTheme="minorEastAsia"/>
              </w:rPr>
            </w:pPr>
            <w:r w:rsidRPr="00325106">
              <w:rPr>
                <w:rFonts w:eastAsiaTheme="minorEastAsia"/>
              </w:rPr>
              <w:t>Baseline</w:t>
            </w:r>
            <w:r w:rsidR="002503BC" w:rsidRPr="00325106">
              <w:rPr>
                <w:rFonts w:eastAsiaTheme="minorEastAsia"/>
              </w:rPr>
              <w:t xml:space="preserve"> (</w:t>
            </w:r>
            <w:r w:rsidR="00622CA3" w:rsidRPr="00325106">
              <w:rPr>
                <w:rFonts w:eastAsiaTheme="minorEastAsia"/>
              </w:rPr>
              <w:t>SER</w:t>
            </w:r>
            <w:r w:rsidR="002503BC" w:rsidRPr="00325106">
              <w:rPr>
                <w:rFonts w:eastAsiaTheme="minorEastAsia"/>
              </w:rPr>
              <w:t>)</w:t>
            </w:r>
          </w:p>
        </w:tc>
        <w:tc>
          <w:tcPr>
            <w:tcW w:w="618" w:type="pct"/>
            <w:tcBorders>
              <w:bottom w:val="single" w:sz="4" w:space="0" w:color="auto"/>
            </w:tcBorders>
            <w:vAlign w:val="center"/>
          </w:tcPr>
          <w:p w14:paraId="775BF86C" w14:textId="6070D631" w:rsidR="009A5027" w:rsidRPr="0084293A" w:rsidRDefault="009A5027" w:rsidP="0084293A">
            <w:pPr>
              <w:pStyle w:val="TableCentre"/>
              <w:rPr>
                <w:rFonts w:eastAsiaTheme="minorEastAsia"/>
              </w:rPr>
            </w:pPr>
            <w:r w:rsidRPr="0084293A">
              <w:rPr>
                <w:rFonts w:eastAsiaTheme="minorEastAsia"/>
              </w:rPr>
              <w:t>10</w:t>
            </w:r>
            <w:r w:rsidR="00EA5522" w:rsidRPr="0084293A">
              <w:rPr>
                <w:rFonts w:eastAsiaTheme="minorEastAsia"/>
              </w:rPr>
              <w:t xml:space="preserve"> (1)</w:t>
            </w:r>
          </w:p>
        </w:tc>
        <w:tc>
          <w:tcPr>
            <w:tcW w:w="708" w:type="pct"/>
            <w:tcBorders>
              <w:bottom w:val="single" w:sz="4" w:space="0" w:color="auto"/>
            </w:tcBorders>
            <w:vAlign w:val="center"/>
          </w:tcPr>
          <w:p w14:paraId="1E564A70" w14:textId="67D28BEF" w:rsidR="009A5027" w:rsidRPr="0084293A" w:rsidRDefault="009A5027" w:rsidP="0084293A">
            <w:pPr>
              <w:pStyle w:val="TableCentre"/>
              <w:rPr>
                <w:rFonts w:eastAsiaTheme="minorEastAsia"/>
              </w:rPr>
            </w:pPr>
            <w:r w:rsidRPr="0084293A">
              <w:rPr>
                <w:rFonts w:eastAsiaTheme="minorEastAsia"/>
              </w:rPr>
              <w:t>14</w:t>
            </w:r>
            <w:r w:rsidR="00EA5522" w:rsidRPr="0084293A">
              <w:rPr>
                <w:rFonts w:eastAsiaTheme="minorEastAsia"/>
              </w:rPr>
              <w:t xml:space="preserve"> (1)</w:t>
            </w:r>
          </w:p>
        </w:tc>
        <w:tc>
          <w:tcPr>
            <w:tcW w:w="679" w:type="pct"/>
            <w:tcBorders>
              <w:bottom w:val="single" w:sz="4" w:space="0" w:color="auto"/>
            </w:tcBorders>
            <w:vAlign w:val="center"/>
          </w:tcPr>
          <w:p w14:paraId="6F726042" w14:textId="1E4E3F97" w:rsidR="009A5027" w:rsidRPr="0084293A" w:rsidRDefault="009A5027" w:rsidP="0084293A">
            <w:pPr>
              <w:pStyle w:val="TableCentre"/>
              <w:rPr>
                <w:rFonts w:eastAsiaTheme="minorEastAsia"/>
              </w:rPr>
            </w:pPr>
            <w:r w:rsidRPr="0084293A">
              <w:rPr>
                <w:rFonts w:eastAsiaTheme="minorEastAsia"/>
              </w:rPr>
              <w:t>14</w:t>
            </w:r>
            <w:r w:rsidR="00EA5522" w:rsidRPr="0084293A">
              <w:rPr>
                <w:rFonts w:eastAsiaTheme="minorEastAsia"/>
              </w:rPr>
              <w:t xml:space="preserve"> (1)</w:t>
            </w:r>
          </w:p>
        </w:tc>
        <w:tc>
          <w:tcPr>
            <w:tcW w:w="730" w:type="pct"/>
            <w:tcBorders>
              <w:bottom w:val="single" w:sz="4" w:space="0" w:color="auto"/>
            </w:tcBorders>
            <w:vAlign w:val="center"/>
          </w:tcPr>
          <w:p w14:paraId="11E3BF50" w14:textId="544BCA8D" w:rsidR="009A5027" w:rsidRPr="0084293A" w:rsidRDefault="000A79F5" w:rsidP="0084293A">
            <w:pPr>
              <w:pStyle w:val="TableCentre"/>
              <w:rPr>
                <w:rFonts w:eastAsiaTheme="minorEastAsia"/>
              </w:rPr>
            </w:pPr>
            <w:r w:rsidRPr="0084293A">
              <w:rPr>
                <w:rFonts w:eastAsiaTheme="minorEastAsia"/>
              </w:rPr>
              <w:t>4</w:t>
            </w:r>
            <w:r w:rsidR="009A5027" w:rsidRPr="0084293A">
              <w:rPr>
                <w:rFonts w:eastAsiaTheme="minorEastAsia"/>
              </w:rPr>
              <w:t>***</w:t>
            </w:r>
            <w:r w:rsidR="00EA5522" w:rsidRPr="0084293A">
              <w:rPr>
                <w:rFonts w:eastAsiaTheme="minorEastAsia"/>
              </w:rPr>
              <w:t xml:space="preserve"> (</w:t>
            </w:r>
            <w:r w:rsidRPr="0084293A">
              <w:rPr>
                <w:rFonts w:eastAsiaTheme="minorEastAsia"/>
              </w:rPr>
              <w:t>1)</w:t>
            </w:r>
          </w:p>
        </w:tc>
        <w:tc>
          <w:tcPr>
            <w:tcW w:w="757" w:type="pct"/>
            <w:vAlign w:val="center"/>
          </w:tcPr>
          <w:p w14:paraId="692F12F0" w14:textId="42D30543" w:rsidR="009A5027" w:rsidRPr="0084293A" w:rsidRDefault="009A5027" w:rsidP="0084293A">
            <w:pPr>
              <w:pStyle w:val="TableCentre"/>
              <w:rPr>
                <w:rFonts w:eastAsiaTheme="minorEastAsia"/>
              </w:rPr>
            </w:pPr>
            <w:r w:rsidRPr="0084293A">
              <w:rPr>
                <w:rFonts w:eastAsiaTheme="minorEastAsia"/>
              </w:rPr>
              <w:t>5***</w:t>
            </w:r>
            <w:r w:rsidR="006D59C8" w:rsidRPr="0084293A">
              <w:rPr>
                <w:rFonts w:eastAsiaTheme="minorEastAsia"/>
              </w:rPr>
              <w:t xml:space="preserve"> (1)</w:t>
            </w:r>
          </w:p>
        </w:tc>
      </w:tr>
      <w:tr w:rsidR="009A5027" w:rsidRPr="00411193" w14:paraId="278E04A0" w14:textId="77777777" w:rsidTr="00364167">
        <w:trPr>
          <w:gridAfter w:val="1"/>
          <w:wAfter w:w="7" w:type="pct"/>
        </w:trPr>
        <w:tc>
          <w:tcPr>
            <w:tcW w:w="2119" w:type="pct"/>
            <w:gridSpan w:val="2"/>
            <w:tcBorders>
              <w:right w:val="nil"/>
            </w:tcBorders>
            <w:vAlign w:val="center"/>
          </w:tcPr>
          <w:p w14:paraId="00FA771B" w14:textId="59C46711" w:rsidR="009A5027" w:rsidRPr="00A43335" w:rsidRDefault="009A5027" w:rsidP="00A43335">
            <w:pPr>
              <w:pStyle w:val="TableHeading"/>
              <w:rPr>
                <w:rFonts w:eastAsiaTheme="minorEastAsia"/>
              </w:rPr>
            </w:pPr>
            <w:r w:rsidRPr="00A43335">
              <w:rPr>
                <w:rFonts w:eastAsiaTheme="minorEastAsia"/>
              </w:rPr>
              <w:t>Sleep Maintenance (sWASO), minutes</w:t>
            </w:r>
          </w:p>
        </w:tc>
        <w:tc>
          <w:tcPr>
            <w:tcW w:w="708" w:type="pct"/>
            <w:tcBorders>
              <w:left w:val="nil"/>
              <w:right w:val="nil"/>
            </w:tcBorders>
            <w:vAlign w:val="center"/>
          </w:tcPr>
          <w:p w14:paraId="23B7EBAD" w14:textId="77777777" w:rsidR="009A5027" w:rsidRPr="00FF01D3" w:rsidRDefault="009A5027" w:rsidP="0084293A">
            <w:pPr>
              <w:pStyle w:val="TableCentre"/>
              <w:rPr>
                <w:rFonts w:eastAsiaTheme="minorEastAsia"/>
                <w:lang w:val="en-AU"/>
              </w:rPr>
            </w:pPr>
          </w:p>
        </w:tc>
        <w:tc>
          <w:tcPr>
            <w:tcW w:w="679" w:type="pct"/>
            <w:tcBorders>
              <w:left w:val="nil"/>
              <w:right w:val="nil"/>
            </w:tcBorders>
            <w:vAlign w:val="center"/>
          </w:tcPr>
          <w:p w14:paraId="61D90D69" w14:textId="77777777" w:rsidR="009A5027" w:rsidRPr="00FF01D3" w:rsidRDefault="009A5027" w:rsidP="0084293A">
            <w:pPr>
              <w:pStyle w:val="TableCentre"/>
              <w:rPr>
                <w:rFonts w:eastAsiaTheme="minorEastAsia"/>
                <w:lang w:val="en-AU"/>
              </w:rPr>
            </w:pPr>
          </w:p>
        </w:tc>
        <w:tc>
          <w:tcPr>
            <w:tcW w:w="730" w:type="pct"/>
            <w:tcBorders>
              <w:left w:val="nil"/>
              <w:right w:val="nil"/>
            </w:tcBorders>
            <w:vAlign w:val="center"/>
          </w:tcPr>
          <w:p w14:paraId="5EE45803" w14:textId="77777777" w:rsidR="009A5027" w:rsidRPr="00FF01D3" w:rsidRDefault="009A5027" w:rsidP="0084293A">
            <w:pPr>
              <w:pStyle w:val="TableCentre"/>
              <w:rPr>
                <w:rFonts w:eastAsiaTheme="minorEastAsia"/>
                <w:lang w:val="en-AU"/>
              </w:rPr>
            </w:pPr>
          </w:p>
        </w:tc>
        <w:tc>
          <w:tcPr>
            <w:tcW w:w="757" w:type="pct"/>
            <w:tcBorders>
              <w:left w:val="nil"/>
              <w:right w:val="single" w:sz="4" w:space="0" w:color="auto"/>
            </w:tcBorders>
            <w:vAlign w:val="center"/>
          </w:tcPr>
          <w:p w14:paraId="79114B98" w14:textId="2663B285" w:rsidR="009A5027" w:rsidRPr="00FF01D3" w:rsidRDefault="009A5027" w:rsidP="0084293A">
            <w:pPr>
              <w:pStyle w:val="TableCentre"/>
              <w:rPr>
                <w:rFonts w:eastAsiaTheme="minorEastAsia"/>
                <w:lang w:val="en-AU"/>
              </w:rPr>
            </w:pPr>
          </w:p>
        </w:tc>
      </w:tr>
      <w:tr w:rsidR="009A5027" w:rsidRPr="00411193" w14:paraId="602E9243" w14:textId="77777777" w:rsidTr="00364167">
        <w:trPr>
          <w:gridAfter w:val="1"/>
          <w:wAfter w:w="7" w:type="pct"/>
        </w:trPr>
        <w:tc>
          <w:tcPr>
            <w:tcW w:w="1501" w:type="pct"/>
          </w:tcPr>
          <w:p w14:paraId="0E543217" w14:textId="3BF5F535" w:rsidR="009A5027" w:rsidRPr="00FF01D3" w:rsidRDefault="009A5027" w:rsidP="00A43335">
            <w:pPr>
              <w:pStyle w:val="TableText"/>
              <w:rPr>
                <w:rFonts w:eastAsiaTheme="minorEastAsia"/>
                <w:lang w:val="en-AU"/>
              </w:rPr>
            </w:pPr>
            <w:proofErr w:type="gramStart"/>
            <w:r w:rsidRPr="00FF01D3">
              <w:rPr>
                <w:rFonts w:eastAsiaTheme="minorEastAsia"/>
                <w:lang w:val="en-AU"/>
              </w:rPr>
              <w:t>Baseline</w:t>
            </w:r>
            <w:proofErr w:type="gramEnd"/>
            <w:r w:rsidRPr="00FF01D3">
              <w:rPr>
                <w:rFonts w:eastAsiaTheme="minorEastAsia"/>
                <w:lang w:val="en-AU"/>
              </w:rPr>
              <w:t xml:space="preserve"> mean</w:t>
            </w:r>
            <w:r w:rsidR="002503BC" w:rsidRPr="00FF01D3">
              <w:rPr>
                <w:rFonts w:eastAsiaTheme="minorEastAsia"/>
                <w:lang w:val="en-AU"/>
              </w:rPr>
              <w:t xml:space="preserve"> (</w:t>
            </w:r>
            <w:r w:rsidR="00622CA3">
              <w:rPr>
                <w:rFonts w:eastAsiaTheme="minorEastAsia"/>
                <w:lang w:val="en-AU"/>
              </w:rPr>
              <w:t>SD</w:t>
            </w:r>
            <w:r w:rsidR="002503BC" w:rsidRPr="00FF01D3">
              <w:rPr>
                <w:rFonts w:eastAsiaTheme="minorEastAsia"/>
                <w:lang w:val="en-AU"/>
              </w:rPr>
              <w:t>)</w:t>
            </w:r>
          </w:p>
        </w:tc>
        <w:tc>
          <w:tcPr>
            <w:tcW w:w="618" w:type="pct"/>
            <w:vAlign w:val="center"/>
          </w:tcPr>
          <w:p w14:paraId="4F12462A" w14:textId="65CCCE57" w:rsidR="009A5027" w:rsidRPr="0084293A" w:rsidRDefault="000410EC" w:rsidP="0084293A">
            <w:pPr>
              <w:pStyle w:val="TableCentre"/>
              <w:rPr>
                <w:rFonts w:eastAsiaTheme="minorEastAsia"/>
              </w:rPr>
            </w:pPr>
            <w:r w:rsidRPr="0084293A">
              <w:rPr>
                <w:rFonts w:eastAsiaTheme="minorEastAsia"/>
              </w:rPr>
              <w:t>132 (80)</w:t>
            </w:r>
          </w:p>
        </w:tc>
        <w:tc>
          <w:tcPr>
            <w:tcW w:w="708" w:type="pct"/>
            <w:vAlign w:val="center"/>
          </w:tcPr>
          <w:p w14:paraId="0B1AA0BD" w14:textId="6F05647D" w:rsidR="009A5027" w:rsidRPr="0084293A" w:rsidRDefault="009A5027" w:rsidP="0084293A">
            <w:pPr>
              <w:pStyle w:val="TableCentre"/>
              <w:rPr>
                <w:rFonts w:eastAsiaTheme="minorEastAsia"/>
              </w:rPr>
            </w:pPr>
            <w:r w:rsidRPr="0084293A">
              <w:rPr>
                <w:rFonts w:eastAsiaTheme="minorEastAsia"/>
              </w:rPr>
              <w:t>133</w:t>
            </w:r>
            <w:r w:rsidR="000410EC" w:rsidRPr="0084293A">
              <w:rPr>
                <w:rFonts w:eastAsiaTheme="minorEastAsia"/>
              </w:rPr>
              <w:t xml:space="preserve"> (83)</w:t>
            </w:r>
          </w:p>
        </w:tc>
        <w:tc>
          <w:tcPr>
            <w:tcW w:w="679" w:type="pct"/>
            <w:vAlign w:val="center"/>
          </w:tcPr>
          <w:p w14:paraId="17952038" w14:textId="126A06C7" w:rsidR="009A5027" w:rsidRPr="0084293A" w:rsidRDefault="009A5027" w:rsidP="0084293A">
            <w:pPr>
              <w:pStyle w:val="TableCentre"/>
              <w:rPr>
                <w:rFonts w:eastAsiaTheme="minorEastAsia"/>
              </w:rPr>
            </w:pPr>
            <w:r w:rsidRPr="0084293A">
              <w:rPr>
                <w:rFonts w:eastAsiaTheme="minorEastAsia"/>
              </w:rPr>
              <w:t>137</w:t>
            </w:r>
            <w:r w:rsidR="000410EC" w:rsidRPr="0084293A">
              <w:rPr>
                <w:rFonts w:eastAsiaTheme="minorEastAsia"/>
              </w:rPr>
              <w:t xml:space="preserve"> (</w:t>
            </w:r>
            <w:r w:rsidR="00782E2D" w:rsidRPr="0084293A">
              <w:rPr>
                <w:rFonts w:eastAsiaTheme="minorEastAsia"/>
              </w:rPr>
              <w:t>87)</w:t>
            </w:r>
          </w:p>
        </w:tc>
        <w:tc>
          <w:tcPr>
            <w:tcW w:w="730" w:type="pct"/>
            <w:shd w:val="clear" w:color="auto" w:fill="BFBFBF" w:themeFill="background1" w:themeFillShade="BF"/>
            <w:vAlign w:val="center"/>
          </w:tcPr>
          <w:p w14:paraId="4F01C89A" w14:textId="77777777" w:rsidR="009A5027" w:rsidRPr="0084293A" w:rsidRDefault="009A5027" w:rsidP="0084293A">
            <w:pPr>
              <w:pStyle w:val="TableCentre"/>
              <w:rPr>
                <w:rFonts w:eastAsiaTheme="minorEastAsia"/>
              </w:rPr>
            </w:pPr>
          </w:p>
        </w:tc>
        <w:tc>
          <w:tcPr>
            <w:tcW w:w="757" w:type="pct"/>
            <w:shd w:val="clear" w:color="auto" w:fill="BFBFBF" w:themeFill="background1" w:themeFillShade="BF"/>
            <w:vAlign w:val="center"/>
          </w:tcPr>
          <w:p w14:paraId="1279A7FF" w14:textId="4AD7C538" w:rsidR="009A5027" w:rsidRPr="0084293A" w:rsidRDefault="009A5027" w:rsidP="0084293A">
            <w:pPr>
              <w:pStyle w:val="TableCentre"/>
              <w:rPr>
                <w:rFonts w:eastAsiaTheme="minorEastAsia"/>
              </w:rPr>
            </w:pPr>
          </w:p>
        </w:tc>
      </w:tr>
      <w:tr w:rsidR="00124583" w:rsidRPr="00411193" w14:paraId="559AC700" w14:textId="77777777" w:rsidTr="00364167">
        <w:trPr>
          <w:gridAfter w:val="1"/>
          <w:wAfter w:w="7" w:type="pct"/>
        </w:trPr>
        <w:tc>
          <w:tcPr>
            <w:tcW w:w="1501" w:type="pct"/>
          </w:tcPr>
          <w:p w14:paraId="1903B121" w14:textId="4A94D95D" w:rsidR="00124583" w:rsidRPr="00FF01D3" w:rsidRDefault="00124583" w:rsidP="00A43335">
            <w:pPr>
              <w:pStyle w:val="TableText"/>
              <w:rPr>
                <w:rFonts w:eastAsiaTheme="minorEastAsia"/>
                <w:lang w:val="en-AU"/>
              </w:rPr>
            </w:pPr>
            <w:r w:rsidRPr="00FF01D3">
              <w:rPr>
                <w:rFonts w:eastAsiaTheme="minorEastAsia"/>
                <w:lang w:val="en-AU"/>
              </w:rPr>
              <w:t>Week 1</w:t>
            </w:r>
          </w:p>
          <w:p w14:paraId="5E1A1F4E" w14:textId="77777777" w:rsidR="00124583" w:rsidRPr="00FF01D3" w:rsidRDefault="00124583" w:rsidP="00A43335">
            <w:pPr>
              <w:pStyle w:val="TableText"/>
              <w:rPr>
                <w:rFonts w:eastAsiaTheme="minorEastAsia"/>
                <w:lang w:val="en-AU"/>
              </w:rPr>
            </w:pPr>
            <w:r w:rsidRPr="00FF01D3">
              <w:rPr>
                <w:rFonts w:eastAsiaTheme="minorEastAsia"/>
                <w:lang w:val="en-AU"/>
              </w:rPr>
              <w:t xml:space="preserve">     LSM Change from </w:t>
            </w:r>
          </w:p>
          <w:p w14:paraId="4F28555E" w14:textId="7D14C282" w:rsidR="00AD1218" w:rsidRPr="00FF01D3" w:rsidRDefault="00124583" w:rsidP="00325106">
            <w:pPr>
              <w:pStyle w:val="TableText"/>
              <w:rPr>
                <w:rFonts w:eastAsiaTheme="minorEastAsia"/>
              </w:rPr>
            </w:pPr>
            <w:r w:rsidRPr="00FF01D3">
              <w:rPr>
                <w:rFonts w:eastAsiaTheme="minorEastAsia"/>
                <w:lang w:val="en-AU"/>
              </w:rPr>
              <w:t xml:space="preserve">     Baseline</w:t>
            </w:r>
            <w:r w:rsidR="002503BC" w:rsidRPr="00FF01D3">
              <w:rPr>
                <w:rFonts w:eastAsiaTheme="minorEastAsia"/>
                <w:lang w:val="en-AU"/>
              </w:rPr>
              <w:t xml:space="preserve"> (</w:t>
            </w:r>
            <w:r w:rsidR="00622CA3">
              <w:rPr>
                <w:rFonts w:eastAsiaTheme="minorEastAsia"/>
                <w:lang w:val="en-AU"/>
              </w:rPr>
              <w:t>SER</w:t>
            </w:r>
            <w:r w:rsidR="002503BC" w:rsidRPr="00FF01D3">
              <w:rPr>
                <w:rFonts w:eastAsiaTheme="minorEastAsia"/>
                <w:lang w:val="en-AU"/>
              </w:rPr>
              <w:t>)</w:t>
            </w:r>
          </w:p>
        </w:tc>
        <w:tc>
          <w:tcPr>
            <w:tcW w:w="618" w:type="pct"/>
            <w:vAlign w:val="center"/>
          </w:tcPr>
          <w:p w14:paraId="595FC5BF" w14:textId="2CE46821" w:rsidR="00124583" w:rsidRPr="0084293A" w:rsidRDefault="009E2BC5" w:rsidP="0084293A">
            <w:pPr>
              <w:pStyle w:val="TableCentre"/>
              <w:rPr>
                <w:rFonts w:eastAsiaTheme="minorEastAsia"/>
              </w:rPr>
            </w:pPr>
            <w:r w:rsidRPr="0084293A">
              <w:rPr>
                <w:rFonts w:eastAsiaTheme="minorEastAsia"/>
              </w:rPr>
              <w:t>-5</w:t>
            </w:r>
            <w:r w:rsidR="00782E2D" w:rsidRPr="0084293A">
              <w:rPr>
                <w:rFonts w:eastAsiaTheme="minorEastAsia"/>
              </w:rPr>
              <w:t xml:space="preserve"> (3)</w:t>
            </w:r>
          </w:p>
        </w:tc>
        <w:tc>
          <w:tcPr>
            <w:tcW w:w="708" w:type="pct"/>
            <w:vAlign w:val="center"/>
          </w:tcPr>
          <w:p w14:paraId="4A321EFB" w14:textId="0D7763FB" w:rsidR="00124583" w:rsidRPr="0084293A" w:rsidRDefault="009E2BC5" w:rsidP="0084293A">
            <w:pPr>
              <w:pStyle w:val="TableCentre"/>
              <w:rPr>
                <w:rFonts w:eastAsiaTheme="minorEastAsia"/>
              </w:rPr>
            </w:pPr>
            <w:r w:rsidRPr="0084293A">
              <w:rPr>
                <w:rFonts w:eastAsiaTheme="minorEastAsia"/>
              </w:rPr>
              <w:t>-19</w:t>
            </w:r>
            <w:r w:rsidR="00782E2D" w:rsidRPr="0084293A">
              <w:rPr>
                <w:rFonts w:eastAsiaTheme="minorEastAsia"/>
              </w:rPr>
              <w:t xml:space="preserve"> (3)</w:t>
            </w:r>
          </w:p>
        </w:tc>
        <w:tc>
          <w:tcPr>
            <w:tcW w:w="679" w:type="pct"/>
            <w:vAlign w:val="center"/>
          </w:tcPr>
          <w:p w14:paraId="7FDB60EA" w14:textId="4B578870" w:rsidR="00124583" w:rsidRPr="0084293A" w:rsidRDefault="009E2BC5" w:rsidP="0084293A">
            <w:pPr>
              <w:pStyle w:val="TableCentre"/>
              <w:rPr>
                <w:rFonts w:eastAsiaTheme="minorEastAsia"/>
              </w:rPr>
            </w:pPr>
            <w:r w:rsidRPr="0084293A">
              <w:rPr>
                <w:rFonts w:eastAsiaTheme="minorEastAsia"/>
              </w:rPr>
              <w:t>-21</w:t>
            </w:r>
            <w:r w:rsidR="00782E2D" w:rsidRPr="0084293A">
              <w:rPr>
                <w:rFonts w:eastAsiaTheme="minorEastAsia"/>
              </w:rPr>
              <w:t xml:space="preserve"> (</w:t>
            </w:r>
            <w:r w:rsidR="0012714A" w:rsidRPr="0084293A">
              <w:rPr>
                <w:rFonts w:eastAsiaTheme="minorEastAsia"/>
              </w:rPr>
              <w:t>3)</w:t>
            </w:r>
          </w:p>
        </w:tc>
        <w:tc>
          <w:tcPr>
            <w:tcW w:w="730" w:type="pct"/>
            <w:vAlign w:val="center"/>
          </w:tcPr>
          <w:p w14:paraId="1E21FA21" w14:textId="4A4F5490" w:rsidR="00124583" w:rsidRPr="0084293A" w:rsidRDefault="009E2BC5" w:rsidP="0084293A">
            <w:pPr>
              <w:pStyle w:val="TableCentre"/>
              <w:rPr>
                <w:rFonts w:eastAsiaTheme="minorEastAsia"/>
              </w:rPr>
            </w:pPr>
            <w:r w:rsidRPr="0084293A">
              <w:rPr>
                <w:rFonts w:eastAsiaTheme="minorEastAsia"/>
              </w:rPr>
              <w:t>-14***</w:t>
            </w:r>
            <w:r w:rsidR="0012714A" w:rsidRPr="0084293A">
              <w:rPr>
                <w:rFonts w:eastAsiaTheme="minorEastAsia"/>
              </w:rPr>
              <w:t xml:space="preserve"> </w:t>
            </w:r>
            <w:r w:rsidR="0005339E" w:rsidRPr="0084293A">
              <w:rPr>
                <w:rFonts w:eastAsiaTheme="minorEastAsia"/>
              </w:rPr>
              <w:t>(4)</w:t>
            </w:r>
          </w:p>
        </w:tc>
        <w:tc>
          <w:tcPr>
            <w:tcW w:w="757" w:type="pct"/>
            <w:vAlign w:val="center"/>
          </w:tcPr>
          <w:p w14:paraId="1885870D" w14:textId="46EF2BE4" w:rsidR="00124583" w:rsidRPr="0084293A" w:rsidRDefault="009E2BC5" w:rsidP="0084293A">
            <w:pPr>
              <w:pStyle w:val="TableCentre"/>
              <w:rPr>
                <w:rFonts w:eastAsiaTheme="minorEastAsia"/>
              </w:rPr>
            </w:pPr>
            <w:r w:rsidRPr="0084293A">
              <w:rPr>
                <w:rFonts w:eastAsiaTheme="minorEastAsia"/>
              </w:rPr>
              <w:t>-17***</w:t>
            </w:r>
            <w:r w:rsidR="0005339E" w:rsidRPr="0084293A">
              <w:rPr>
                <w:rFonts w:eastAsiaTheme="minorEastAsia"/>
              </w:rPr>
              <w:t xml:space="preserve"> (4)</w:t>
            </w:r>
          </w:p>
        </w:tc>
      </w:tr>
      <w:tr w:rsidR="00124583" w:rsidRPr="00411193" w14:paraId="33A10437" w14:textId="77777777" w:rsidTr="00364167">
        <w:trPr>
          <w:gridAfter w:val="1"/>
          <w:wAfter w:w="7" w:type="pct"/>
        </w:trPr>
        <w:tc>
          <w:tcPr>
            <w:tcW w:w="1501" w:type="pct"/>
          </w:tcPr>
          <w:p w14:paraId="6821136C" w14:textId="013DA917" w:rsidR="00124583" w:rsidRPr="00FF01D3" w:rsidRDefault="00124583" w:rsidP="00A43335">
            <w:pPr>
              <w:pStyle w:val="TableText"/>
              <w:rPr>
                <w:rFonts w:eastAsiaTheme="minorEastAsia"/>
                <w:lang w:val="en-AU"/>
              </w:rPr>
            </w:pPr>
            <w:r w:rsidRPr="00FF01D3">
              <w:rPr>
                <w:rFonts w:eastAsiaTheme="minorEastAsia"/>
                <w:lang w:val="en-AU"/>
              </w:rPr>
              <w:t>Month 1</w:t>
            </w:r>
          </w:p>
          <w:p w14:paraId="023462DE" w14:textId="77777777" w:rsidR="00124583" w:rsidRPr="00FF01D3" w:rsidRDefault="00124583" w:rsidP="00A43335">
            <w:pPr>
              <w:pStyle w:val="TableText"/>
              <w:rPr>
                <w:rFonts w:eastAsiaTheme="minorEastAsia"/>
                <w:lang w:val="en-AU"/>
              </w:rPr>
            </w:pPr>
            <w:r w:rsidRPr="00FF01D3">
              <w:rPr>
                <w:rFonts w:eastAsiaTheme="minorEastAsia"/>
                <w:lang w:val="en-AU"/>
              </w:rPr>
              <w:t xml:space="preserve">     LSM Change from  </w:t>
            </w:r>
          </w:p>
          <w:p w14:paraId="2DD13D91" w14:textId="2076EC71" w:rsidR="00AD1218" w:rsidRPr="00FF01D3" w:rsidRDefault="00124583" w:rsidP="00325106">
            <w:pPr>
              <w:pStyle w:val="TableText"/>
              <w:rPr>
                <w:rFonts w:eastAsiaTheme="minorEastAsia"/>
              </w:rPr>
            </w:pPr>
            <w:r w:rsidRPr="00FF01D3">
              <w:rPr>
                <w:rFonts w:eastAsiaTheme="minorEastAsia"/>
                <w:lang w:val="en-AU"/>
              </w:rPr>
              <w:t xml:space="preserve">     Baseline</w:t>
            </w:r>
            <w:r w:rsidR="002503BC" w:rsidRPr="00FF01D3">
              <w:rPr>
                <w:rFonts w:eastAsiaTheme="minorEastAsia"/>
                <w:lang w:val="en-AU"/>
              </w:rPr>
              <w:t xml:space="preserve"> (</w:t>
            </w:r>
            <w:r w:rsidR="00622CA3">
              <w:rPr>
                <w:rFonts w:eastAsiaTheme="minorEastAsia"/>
                <w:lang w:val="en-AU"/>
              </w:rPr>
              <w:t>SER</w:t>
            </w:r>
            <w:r w:rsidR="002503BC" w:rsidRPr="00FF01D3">
              <w:rPr>
                <w:rFonts w:eastAsiaTheme="minorEastAsia"/>
                <w:lang w:val="en-AU"/>
              </w:rPr>
              <w:t>)</w:t>
            </w:r>
          </w:p>
        </w:tc>
        <w:tc>
          <w:tcPr>
            <w:tcW w:w="618" w:type="pct"/>
            <w:vAlign w:val="center"/>
          </w:tcPr>
          <w:p w14:paraId="4F33B319" w14:textId="1403F871" w:rsidR="00124583" w:rsidRPr="0084293A" w:rsidRDefault="009E2BC5" w:rsidP="0084293A">
            <w:pPr>
              <w:pStyle w:val="TableCentre"/>
              <w:rPr>
                <w:rFonts w:eastAsiaTheme="minorEastAsia"/>
              </w:rPr>
            </w:pPr>
            <w:r w:rsidRPr="0084293A">
              <w:rPr>
                <w:rFonts w:eastAsiaTheme="minorEastAsia"/>
              </w:rPr>
              <w:t>-17</w:t>
            </w:r>
            <w:r w:rsidR="0005339E" w:rsidRPr="0084293A">
              <w:rPr>
                <w:rFonts w:eastAsiaTheme="minorEastAsia"/>
              </w:rPr>
              <w:t xml:space="preserve"> </w:t>
            </w:r>
            <w:r w:rsidR="00FC665B" w:rsidRPr="0084293A">
              <w:rPr>
                <w:rFonts w:eastAsiaTheme="minorEastAsia"/>
              </w:rPr>
              <w:t>(3)</w:t>
            </w:r>
          </w:p>
        </w:tc>
        <w:tc>
          <w:tcPr>
            <w:tcW w:w="708" w:type="pct"/>
            <w:vAlign w:val="center"/>
          </w:tcPr>
          <w:p w14:paraId="0D6AB49B" w14:textId="01169331" w:rsidR="00124583" w:rsidRPr="0084293A" w:rsidRDefault="009E2BC5" w:rsidP="0084293A">
            <w:pPr>
              <w:pStyle w:val="TableCentre"/>
              <w:rPr>
                <w:rFonts w:eastAsiaTheme="minorEastAsia"/>
              </w:rPr>
            </w:pPr>
            <w:r w:rsidRPr="0084293A">
              <w:rPr>
                <w:rFonts w:eastAsiaTheme="minorEastAsia"/>
              </w:rPr>
              <w:t>-23</w:t>
            </w:r>
            <w:r w:rsidR="00FC665B" w:rsidRPr="0084293A">
              <w:rPr>
                <w:rFonts w:eastAsiaTheme="minorEastAsia"/>
              </w:rPr>
              <w:t xml:space="preserve"> (3)</w:t>
            </w:r>
          </w:p>
        </w:tc>
        <w:tc>
          <w:tcPr>
            <w:tcW w:w="679" w:type="pct"/>
            <w:vAlign w:val="center"/>
          </w:tcPr>
          <w:p w14:paraId="519F4EB6" w14:textId="732AB30D" w:rsidR="00124583" w:rsidRPr="0084293A" w:rsidRDefault="009E2BC5" w:rsidP="0084293A">
            <w:pPr>
              <w:pStyle w:val="TableCentre"/>
              <w:rPr>
                <w:rFonts w:eastAsiaTheme="minorEastAsia"/>
              </w:rPr>
            </w:pPr>
            <w:r w:rsidRPr="0084293A">
              <w:rPr>
                <w:rFonts w:eastAsiaTheme="minorEastAsia"/>
              </w:rPr>
              <w:t>-24</w:t>
            </w:r>
            <w:r w:rsidR="00FC665B" w:rsidRPr="0084293A">
              <w:rPr>
                <w:rFonts w:eastAsiaTheme="minorEastAsia"/>
              </w:rPr>
              <w:t xml:space="preserve"> (3)</w:t>
            </w:r>
          </w:p>
        </w:tc>
        <w:tc>
          <w:tcPr>
            <w:tcW w:w="730" w:type="pct"/>
            <w:vAlign w:val="center"/>
          </w:tcPr>
          <w:p w14:paraId="679B82FE" w14:textId="0B1262B2" w:rsidR="00124583" w:rsidRPr="0084293A" w:rsidRDefault="009E2BC5" w:rsidP="0084293A">
            <w:pPr>
              <w:pStyle w:val="TableCentre"/>
              <w:rPr>
                <w:rFonts w:eastAsiaTheme="minorEastAsia"/>
              </w:rPr>
            </w:pPr>
            <w:r w:rsidRPr="0084293A">
              <w:rPr>
                <w:rFonts w:eastAsiaTheme="minorEastAsia"/>
              </w:rPr>
              <w:t>-6</w:t>
            </w:r>
            <w:r w:rsidR="00CE6E1F" w:rsidRPr="0084293A">
              <w:rPr>
                <w:rFonts w:eastAsiaTheme="minorEastAsia"/>
              </w:rPr>
              <w:t xml:space="preserve"> (4)</w:t>
            </w:r>
          </w:p>
        </w:tc>
        <w:tc>
          <w:tcPr>
            <w:tcW w:w="757" w:type="pct"/>
            <w:vAlign w:val="center"/>
          </w:tcPr>
          <w:p w14:paraId="53FD332C" w14:textId="6386E7AF" w:rsidR="00124583" w:rsidRPr="0084293A" w:rsidRDefault="009E2BC5" w:rsidP="0084293A">
            <w:pPr>
              <w:pStyle w:val="TableCentre"/>
              <w:rPr>
                <w:rFonts w:eastAsiaTheme="minorEastAsia"/>
              </w:rPr>
            </w:pPr>
            <w:r w:rsidRPr="0084293A">
              <w:rPr>
                <w:rFonts w:eastAsiaTheme="minorEastAsia"/>
              </w:rPr>
              <w:t>-7</w:t>
            </w:r>
            <w:r w:rsidR="00CE6E1F" w:rsidRPr="0084293A">
              <w:rPr>
                <w:rFonts w:eastAsiaTheme="minorEastAsia"/>
              </w:rPr>
              <w:t xml:space="preserve"> (4)</w:t>
            </w:r>
          </w:p>
        </w:tc>
      </w:tr>
      <w:tr w:rsidR="009A5027" w:rsidRPr="00411193" w14:paraId="1F8EC05E" w14:textId="77777777" w:rsidTr="00364167">
        <w:trPr>
          <w:gridAfter w:val="1"/>
          <w:wAfter w:w="7" w:type="pct"/>
        </w:trPr>
        <w:tc>
          <w:tcPr>
            <w:tcW w:w="1501" w:type="pct"/>
            <w:tcBorders>
              <w:bottom w:val="single" w:sz="4" w:space="0" w:color="auto"/>
            </w:tcBorders>
          </w:tcPr>
          <w:p w14:paraId="28D9C1ED" w14:textId="5E2459A7" w:rsidR="009A5027" w:rsidRPr="00FF01D3" w:rsidRDefault="009A5027" w:rsidP="00A43335">
            <w:pPr>
              <w:pStyle w:val="TableText"/>
              <w:rPr>
                <w:rFonts w:eastAsiaTheme="minorEastAsia"/>
                <w:lang w:val="en-AU"/>
              </w:rPr>
            </w:pPr>
            <w:r w:rsidRPr="00FF01D3">
              <w:rPr>
                <w:rFonts w:eastAsiaTheme="minorEastAsia"/>
                <w:lang w:val="en-AU"/>
              </w:rPr>
              <w:t>Month 6</w:t>
            </w:r>
          </w:p>
          <w:p w14:paraId="174CAB3F" w14:textId="77777777" w:rsidR="00385A8A" w:rsidRPr="00325106" w:rsidRDefault="009A5027" w:rsidP="00325106">
            <w:pPr>
              <w:pStyle w:val="TableText"/>
              <w:rPr>
                <w:rFonts w:eastAsiaTheme="minorEastAsia"/>
              </w:rPr>
            </w:pPr>
            <w:r w:rsidRPr="00325106">
              <w:rPr>
                <w:rFonts w:eastAsiaTheme="minorEastAsia"/>
              </w:rPr>
              <w:t>LSM Change from</w:t>
            </w:r>
          </w:p>
          <w:p w14:paraId="44F1716C" w14:textId="3880B33C" w:rsidR="00AD1218" w:rsidRPr="00325106" w:rsidRDefault="009A5027" w:rsidP="00325106">
            <w:pPr>
              <w:pStyle w:val="TableText"/>
              <w:rPr>
                <w:rFonts w:eastAsiaTheme="minorEastAsia"/>
              </w:rPr>
            </w:pPr>
            <w:r w:rsidRPr="00325106">
              <w:rPr>
                <w:rFonts w:eastAsiaTheme="minorEastAsia"/>
              </w:rPr>
              <w:t>Baseline</w:t>
            </w:r>
            <w:r w:rsidR="002F1083" w:rsidRPr="00325106">
              <w:rPr>
                <w:rFonts w:eastAsiaTheme="minorEastAsia"/>
              </w:rPr>
              <w:t xml:space="preserve"> </w:t>
            </w:r>
            <w:r w:rsidR="002503BC" w:rsidRPr="00325106">
              <w:rPr>
                <w:rFonts w:eastAsiaTheme="minorEastAsia"/>
              </w:rPr>
              <w:t>(</w:t>
            </w:r>
            <w:r w:rsidR="00622CA3" w:rsidRPr="00325106">
              <w:rPr>
                <w:rFonts w:eastAsiaTheme="minorEastAsia"/>
              </w:rPr>
              <w:t>SER</w:t>
            </w:r>
            <w:r w:rsidR="002503BC" w:rsidRPr="00325106">
              <w:rPr>
                <w:rFonts w:eastAsiaTheme="minorEastAsia"/>
              </w:rPr>
              <w:t>)</w:t>
            </w:r>
          </w:p>
        </w:tc>
        <w:tc>
          <w:tcPr>
            <w:tcW w:w="618" w:type="pct"/>
            <w:tcBorders>
              <w:bottom w:val="single" w:sz="4" w:space="0" w:color="auto"/>
            </w:tcBorders>
            <w:vAlign w:val="center"/>
          </w:tcPr>
          <w:p w14:paraId="7D990B48" w14:textId="22E74399" w:rsidR="009A5027" w:rsidRPr="0084293A" w:rsidRDefault="009A5027" w:rsidP="0084293A">
            <w:pPr>
              <w:pStyle w:val="TableCentre"/>
              <w:rPr>
                <w:rFonts w:eastAsiaTheme="minorEastAsia"/>
              </w:rPr>
            </w:pPr>
            <w:r w:rsidRPr="0084293A">
              <w:rPr>
                <w:rFonts w:eastAsiaTheme="minorEastAsia"/>
              </w:rPr>
              <w:t>-29</w:t>
            </w:r>
            <w:r w:rsidR="009A5251" w:rsidRPr="0084293A">
              <w:rPr>
                <w:rFonts w:eastAsiaTheme="minorEastAsia"/>
              </w:rPr>
              <w:t xml:space="preserve"> (</w:t>
            </w:r>
            <w:r w:rsidR="002F1083" w:rsidRPr="0084293A">
              <w:rPr>
                <w:rFonts w:eastAsiaTheme="minorEastAsia"/>
              </w:rPr>
              <w:t>4)</w:t>
            </w:r>
          </w:p>
        </w:tc>
        <w:tc>
          <w:tcPr>
            <w:tcW w:w="708" w:type="pct"/>
            <w:tcBorders>
              <w:bottom w:val="single" w:sz="4" w:space="0" w:color="auto"/>
            </w:tcBorders>
            <w:vAlign w:val="center"/>
          </w:tcPr>
          <w:p w14:paraId="7352BB32" w14:textId="70098D0F" w:rsidR="009A5027" w:rsidRPr="0084293A" w:rsidRDefault="009A5027" w:rsidP="0084293A">
            <w:pPr>
              <w:pStyle w:val="TableCentre"/>
              <w:rPr>
                <w:rFonts w:eastAsiaTheme="minorEastAsia"/>
              </w:rPr>
            </w:pPr>
            <w:r w:rsidRPr="0084293A">
              <w:rPr>
                <w:rFonts w:eastAsiaTheme="minorEastAsia"/>
              </w:rPr>
              <w:t>-47</w:t>
            </w:r>
            <w:r w:rsidR="002F1083" w:rsidRPr="0084293A">
              <w:rPr>
                <w:rFonts w:eastAsiaTheme="minorEastAsia"/>
              </w:rPr>
              <w:t xml:space="preserve"> (4)</w:t>
            </w:r>
          </w:p>
        </w:tc>
        <w:tc>
          <w:tcPr>
            <w:tcW w:w="679" w:type="pct"/>
            <w:tcBorders>
              <w:bottom w:val="single" w:sz="4" w:space="0" w:color="auto"/>
            </w:tcBorders>
            <w:vAlign w:val="center"/>
          </w:tcPr>
          <w:p w14:paraId="47E458B0" w14:textId="011AB301" w:rsidR="009A5027" w:rsidRPr="0084293A" w:rsidRDefault="009A5027" w:rsidP="0084293A">
            <w:pPr>
              <w:pStyle w:val="TableCentre"/>
              <w:rPr>
                <w:rFonts w:eastAsiaTheme="minorEastAsia"/>
              </w:rPr>
            </w:pPr>
            <w:r w:rsidRPr="0084293A">
              <w:rPr>
                <w:rFonts w:eastAsiaTheme="minorEastAsia"/>
              </w:rPr>
              <w:t>-42</w:t>
            </w:r>
            <w:r w:rsidR="002F1083" w:rsidRPr="0084293A">
              <w:rPr>
                <w:rFonts w:eastAsiaTheme="minorEastAsia"/>
              </w:rPr>
              <w:t xml:space="preserve"> (4)</w:t>
            </w:r>
          </w:p>
        </w:tc>
        <w:tc>
          <w:tcPr>
            <w:tcW w:w="730" w:type="pct"/>
            <w:tcBorders>
              <w:bottom w:val="single" w:sz="4" w:space="0" w:color="auto"/>
            </w:tcBorders>
            <w:vAlign w:val="center"/>
          </w:tcPr>
          <w:p w14:paraId="1E2B2497" w14:textId="3C68C84F" w:rsidR="009A5027" w:rsidRPr="0084293A" w:rsidRDefault="009A5027" w:rsidP="0084293A">
            <w:pPr>
              <w:pStyle w:val="TableCentre"/>
              <w:rPr>
                <w:rFonts w:eastAsiaTheme="minorEastAsia"/>
              </w:rPr>
            </w:pPr>
            <w:r w:rsidRPr="0084293A">
              <w:rPr>
                <w:rFonts w:eastAsiaTheme="minorEastAsia"/>
              </w:rPr>
              <w:t>-1</w:t>
            </w:r>
            <w:r w:rsidR="002F1083" w:rsidRPr="0084293A">
              <w:rPr>
                <w:rFonts w:eastAsiaTheme="minorEastAsia"/>
              </w:rPr>
              <w:t>8</w:t>
            </w:r>
            <w:r w:rsidRPr="0084293A">
              <w:rPr>
                <w:rFonts w:eastAsiaTheme="minorEastAsia"/>
              </w:rPr>
              <w:t>***</w:t>
            </w:r>
            <w:r w:rsidR="002F1083" w:rsidRPr="0084293A">
              <w:rPr>
                <w:rFonts w:eastAsiaTheme="minorEastAsia"/>
              </w:rPr>
              <w:t xml:space="preserve"> (5)</w:t>
            </w:r>
          </w:p>
        </w:tc>
        <w:tc>
          <w:tcPr>
            <w:tcW w:w="757" w:type="pct"/>
            <w:tcBorders>
              <w:bottom w:val="single" w:sz="4" w:space="0" w:color="auto"/>
            </w:tcBorders>
            <w:vAlign w:val="center"/>
          </w:tcPr>
          <w:p w14:paraId="782787B9" w14:textId="7751EC1D" w:rsidR="009A5027" w:rsidRPr="0084293A" w:rsidRDefault="009A5027" w:rsidP="0084293A">
            <w:pPr>
              <w:pStyle w:val="TableCentre"/>
              <w:rPr>
                <w:rFonts w:eastAsiaTheme="minorEastAsia"/>
              </w:rPr>
            </w:pPr>
            <w:r w:rsidRPr="0084293A">
              <w:rPr>
                <w:rFonts w:eastAsiaTheme="minorEastAsia"/>
              </w:rPr>
              <w:t>-13*</w:t>
            </w:r>
            <w:r w:rsidR="002F1083" w:rsidRPr="0084293A">
              <w:rPr>
                <w:rFonts w:eastAsiaTheme="minorEastAsia"/>
              </w:rPr>
              <w:t xml:space="preserve"> (5)</w:t>
            </w:r>
          </w:p>
        </w:tc>
      </w:tr>
      <w:tr w:rsidR="009A5027" w:rsidRPr="00411193" w14:paraId="48EC4111" w14:textId="77777777" w:rsidTr="00A16C93">
        <w:tc>
          <w:tcPr>
            <w:tcW w:w="5000" w:type="pct"/>
            <w:gridSpan w:val="7"/>
            <w:tcBorders>
              <w:left w:val="nil"/>
              <w:bottom w:val="nil"/>
              <w:right w:val="nil"/>
            </w:tcBorders>
          </w:tcPr>
          <w:p w14:paraId="427688E0" w14:textId="0F7C8823" w:rsidR="009A5027" w:rsidRPr="0084293A" w:rsidRDefault="009A5027" w:rsidP="0084293A">
            <w:pPr>
              <w:pStyle w:val="TableFootnote"/>
            </w:pPr>
            <w:r w:rsidRPr="0084293A">
              <w:t>LSGM: Least squares geometric mean; LSM: Least squares mean</w:t>
            </w:r>
            <w:r w:rsidR="00622CA3" w:rsidRPr="0084293A">
              <w:t>;</w:t>
            </w:r>
            <w:r w:rsidR="002503BC" w:rsidRPr="0084293A">
              <w:t xml:space="preserve"> </w:t>
            </w:r>
            <w:r w:rsidR="00622CA3" w:rsidRPr="0084293A">
              <w:t xml:space="preserve">SD: </w:t>
            </w:r>
            <w:r w:rsidR="0082463B" w:rsidRPr="0084293A">
              <w:t>s</w:t>
            </w:r>
            <w:r w:rsidR="002503BC" w:rsidRPr="0084293A">
              <w:t>t</w:t>
            </w:r>
            <w:r w:rsidR="00622CA3" w:rsidRPr="0084293A">
              <w:t>andar</w:t>
            </w:r>
            <w:r w:rsidR="002503BC" w:rsidRPr="0084293A">
              <w:t>d dev</w:t>
            </w:r>
            <w:r w:rsidR="00622CA3" w:rsidRPr="0084293A">
              <w:t>iation;</w:t>
            </w:r>
            <w:r w:rsidR="002503BC" w:rsidRPr="0084293A">
              <w:t xml:space="preserve"> </w:t>
            </w:r>
            <w:r w:rsidR="00622CA3" w:rsidRPr="0084293A">
              <w:t>SER</w:t>
            </w:r>
            <w:r w:rsidR="002503BC" w:rsidRPr="0084293A">
              <w:t xml:space="preserve">; </w:t>
            </w:r>
            <w:r w:rsidR="0082463B" w:rsidRPr="0084293A">
              <w:t>s</w:t>
            </w:r>
            <w:r w:rsidR="002503BC" w:rsidRPr="0084293A">
              <w:t>t</w:t>
            </w:r>
            <w:r w:rsidR="00622CA3" w:rsidRPr="0084293A">
              <w:t>andar</w:t>
            </w:r>
            <w:r w:rsidR="002503BC" w:rsidRPr="0084293A">
              <w:t xml:space="preserve">d error </w:t>
            </w:r>
          </w:p>
          <w:p w14:paraId="5631A0A2" w14:textId="66CDD11F" w:rsidR="009A5027" w:rsidRPr="00961BB2" w:rsidRDefault="009A5027" w:rsidP="004C0136">
            <w:pPr>
              <w:pStyle w:val="TableFootnote"/>
              <w:spacing w:before="0"/>
              <w:rPr>
                <w:rFonts w:eastAsiaTheme="minorEastAsia" w:cs="Arial"/>
                <w:i/>
                <w:szCs w:val="18"/>
                <w:lang w:val="en-AU"/>
              </w:rPr>
            </w:pPr>
            <w:r w:rsidRPr="005864F7">
              <w:rPr>
                <w:rFonts w:eastAsiaTheme="minorEastAsia" w:cs="Arial"/>
                <w:i/>
                <w:szCs w:val="18"/>
              </w:rPr>
              <w:t>*P &lt;0.05</w:t>
            </w:r>
            <w:r w:rsidR="00F0217E">
              <w:rPr>
                <w:rFonts w:eastAsiaTheme="minorEastAsia" w:cs="Arial"/>
                <w:i/>
                <w:szCs w:val="18"/>
              </w:rPr>
              <w:t xml:space="preserve">; </w:t>
            </w:r>
            <w:r w:rsidRPr="00961BB2">
              <w:rPr>
                <w:rFonts w:eastAsiaTheme="minorEastAsia" w:cs="Arial"/>
                <w:i/>
                <w:szCs w:val="18"/>
              </w:rPr>
              <w:t>**P &lt;0.01</w:t>
            </w:r>
            <w:r w:rsidR="00F0217E">
              <w:rPr>
                <w:rFonts w:eastAsiaTheme="minorEastAsia" w:cs="Arial"/>
                <w:i/>
                <w:szCs w:val="18"/>
              </w:rPr>
              <w:t xml:space="preserve">; </w:t>
            </w:r>
            <w:r w:rsidRPr="00961BB2">
              <w:rPr>
                <w:rFonts w:eastAsiaTheme="minorEastAsia" w:cs="Arial"/>
                <w:i/>
                <w:szCs w:val="18"/>
              </w:rPr>
              <w:t>***P &lt;0.001</w:t>
            </w:r>
          </w:p>
        </w:tc>
      </w:tr>
    </w:tbl>
    <w:p w14:paraId="32F89258" w14:textId="76E0869E" w:rsidR="00E00EFA" w:rsidRPr="004F3422" w:rsidRDefault="00E00EFA" w:rsidP="00A43D61">
      <w:pPr>
        <w:pStyle w:val="BodyText"/>
        <w:rPr>
          <w:rFonts w:eastAsiaTheme="minorEastAsia"/>
        </w:rPr>
      </w:pPr>
    </w:p>
    <w:p w14:paraId="576C3054" w14:textId="2F81198A" w:rsidR="00A7450F" w:rsidRPr="004F3422" w:rsidRDefault="00A7450F" w:rsidP="00A7450F">
      <w:pPr>
        <w:pStyle w:val="BodyText"/>
        <w:rPr>
          <w:rFonts w:eastAsiaTheme="minorEastAsia"/>
        </w:rPr>
      </w:pPr>
      <w:r w:rsidRPr="004F3422">
        <w:rPr>
          <w:rFonts w:eastAsiaTheme="minorEastAsia"/>
        </w:rPr>
        <w:t xml:space="preserve">Study 304 was a 1-month, </w:t>
      </w:r>
      <w:r w:rsidR="000557C6">
        <w:rPr>
          <w:rFonts w:eastAsiaTheme="minorEastAsia"/>
        </w:rPr>
        <w:t>randomised</w:t>
      </w:r>
      <w:r w:rsidRPr="004F3422">
        <w:rPr>
          <w:rFonts w:eastAsiaTheme="minorEastAsia"/>
        </w:rPr>
        <w:t>, double-blind, placebo- and active-controlled, multi</w:t>
      </w:r>
      <w:r w:rsidR="00804006" w:rsidRPr="004F3422">
        <w:rPr>
          <w:rFonts w:eastAsiaTheme="minorEastAsia"/>
        </w:rPr>
        <w:noBreakHyphen/>
        <w:t>centre</w:t>
      </w:r>
      <w:r w:rsidRPr="004F3422">
        <w:rPr>
          <w:rFonts w:eastAsiaTheme="minorEastAsia"/>
        </w:rPr>
        <w:t>, parallel-group clinical trial in adult female patients age 55 and older and male patients 65</w:t>
      </w:r>
      <w:r w:rsidR="003B2F8E">
        <w:rPr>
          <w:rFonts w:eastAsiaTheme="minorEastAsia"/>
        </w:rPr>
        <w:t> </w:t>
      </w:r>
      <w:r w:rsidRPr="004F3422">
        <w:rPr>
          <w:rFonts w:eastAsiaTheme="minorEastAsia"/>
        </w:rPr>
        <w:t xml:space="preserve">years and older who met DSM-5 criteria for insomnia disorder. Patients were </w:t>
      </w:r>
      <w:r w:rsidR="000557C6">
        <w:rPr>
          <w:rFonts w:eastAsiaTheme="minorEastAsia"/>
        </w:rPr>
        <w:t>randomised</w:t>
      </w:r>
      <w:r w:rsidRPr="004F3422">
        <w:rPr>
          <w:rFonts w:eastAsiaTheme="minorEastAsia"/>
        </w:rPr>
        <w:t xml:space="preserve"> to placebo (n=208), DAYVIGO 5</w:t>
      </w:r>
      <w:r w:rsidR="005317E4">
        <w:rPr>
          <w:rFonts w:eastAsiaTheme="minorEastAsia"/>
        </w:rPr>
        <w:t> mg</w:t>
      </w:r>
      <w:r w:rsidRPr="004F3422">
        <w:rPr>
          <w:rFonts w:eastAsiaTheme="minorEastAsia"/>
        </w:rPr>
        <w:t xml:space="preserve"> (n=266) or 10</w:t>
      </w:r>
      <w:r w:rsidR="005317E4">
        <w:rPr>
          <w:rFonts w:eastAsiaTheme="minorEastAsia"/>
        </w:rPr>
        <w:t> mg</w:t>
      </w:r>
      <w:r w:rsidRPr="004F3422">
        <w:rPr>
          <w:rFonts w:eastAsiaTheme="minorEastAsia"/>
        </w:rPr>
        <w:t xml:space="preserve"> (n=269), or </w:t>
      </w:r>
      <w:r w:rsidR="00884DEA" w:rsidRPr="004F3422">
        <w:rPr>
          <w:rFonts w:eastAsiaTheme="minorEastAsia"/>
        </w:rPr>
        <w:t xml:space="preserve">zolpidem tartrate extended release </w:t>
      </w:r>
      <w:r w:rsidRPr="004F3422">
        <w:rPr>
          <w:rFonts w:eastAsiaTheme="minorEastAsia"/>
        </w:rPr>
        <w:t>(</w:t>
      </w:r>
      <w:r w:rsidR="00884DEA" w:rsidRPr="004F3422">
        <w:rPr>
          <w:rFonts w:eastAsiaTheme="minorEastAsia"/>
        </w:rPr>
        <w:t xml:space="preserve">ER; </w:t>
      </w:r>
      <w:r w:rsidRPr="004F3422">
        <w:rPr>
          <w:rFonts w:eastAsiaTheme="minorEastAsia"/>
        </w:rPr>
        <w:t>n=263) once nightly.</w:t>
      </w:r>
    </w:p>
    <w:p w14:paraId="2B98F11C" w14:textId="77777777" w:rsidR="00A7450F" w:rsidRPr="004F3422" w:rsidRDefault="00A7450F" w:rsidP="00A7450F">
      <w:pPr>
        <w:pStyle w:val="BodyText"/>
        <w:rPr>
          <w:rFonts w:eastAsiaTheme="minorEastAsia"/>
        </w:rPr>
      </w:pPr>
    </w:p>
    <w:p w14:paraId="6C86FD0D" w14:textId="31EE5D22" w:rsidR="00A7450F" w:rsidRPr="004F3422" w:rsidRDefault="00A7450F" w:rsidP="00A7450F">
      <w:pPr>
        <w:pStyle w:val="BodyText"/>
        <w:rPr>
          <w:rFonts w:eastAsiaTheme="minorEastAsia"/>
        </w:rPr>
      </w:pPr>
      <w:r w:rsidRPr="004F3422">
        <w:rPr>
          <w:rFonts w:eastAsiaTheme="minorEastAsia"/>
        </w:rPr>
        <w:t xml:space="preserve">The primary efficacy endpoint was the mean change in log-transformed latency to persistent sleep (LPS) from baseline to end of treatment (Days 29/30), as measured by overnight </w:t>
      </w:r>
      <w:r w:rsidRPr="004F3422">
        <w:rPr>
          <w:rFonts w:eastAsiaTheme="minorEastAsia"/>
        </w:rPr>
        <w:lastRenderedPageBreak/>
        <w:t>polysomnography (PSG) monitoring. LPS was defined as the number of minutes from lights off to the first 10 consecutive minutes of non-wakefulness. The pre-specified secondary efficacy endpoints in Study 304 were the mean change from baseline to end of treatment (Days 29/30) in sleep efficiency (SEF) and wake after sleep onset (WASO) measured by PSG.</w:t>
      </w:r>
      <w:r w:rsidR="00884DEA" w:rsidRPr="004F3422">
        <w:rPr>
          <w:rFonts w:eastAsiaTheme="minorEastAsia"/>
        </w:rPr>
        <w:t xml:space="preserve">  An additional prespecified key secondary endpoint compared DAVIGO 5</w:t>
      </w:r>
      <w:r w:rsidR="005317E4">
        <w:rPr>
          <w:rFonts w:eastAsiaTheme="minorEastAsia"/>
        </w:rPr>
        <w:t> mg</w:t>
      </w:r>
      <w:r w:rsidR="00884DEA" w:rsidRPr="004F3422">
        <w:rPr>
          <w:rFonts w:eastAsiaTheme="minorEastAsia"/>
        </w:rPr>
        <w:t xml:space="preserve"> and 10</w:t>
      </w:r>
      <w:r w:rsidR="005317E4">
        <w:rPr>
          <w:rFonts w:eastAsiaTheme="minorEastAsia"/>
        </w:rPr>
        <w:t> mg</w:t>
      </w:r>
      <w:r w:rsidR="00884DEA" w:rsidRPr="004F3422">
        <w:rPr>
          <w:rFonts w:eastAsiaTheme="minorEastAsia"/>
        </w:rPr>
        <w:t xml:space="preserve"> with zolpidem ER on wake after sleep onset in the second half of the night (WASO2H), as assessed by polysomnography.</w:t>
      </w:r>
    </w:p>
    <w:p w14:paraId="17B008BB" w14:textId="77777777" w:rsidR="00A7450F" w:rsidRPr="004F3422" w:rsidRDefault="00A7450F" w:rsidP="00A7450F">
      <w:pPr>
        <w:pStyle w:val="BodyText"/>
        <w:rPr>
          <w:rFonts w:eastAsiaTheme="minorEastAsia"/>
        </w:rPr>
      </w:pPr>
    </w:p>
    <w:p w14:paraId="11A6C334" w14:textId="2077A610" w:rsidR="00A7450F" w:rsidRDefault="00A7450F" w:rsidP="00A7450F">
      <w:pPr>
        <w:pStyle w:val="BodyText"/>
        <w:rPr>
          <w:rFonts w:eastAsiaTheme="minorEastAsia"/>
        </w:rPr>
      </w:pPr>
      <w:r w:rsidRPr="004F3422">
        <w:rPr>
          <w:rFonts w:eastAsiaTheme="minorEastAsia"/>
        </w:rPr>
        <w:t>The demographic and baseline characteristics of patients in Study 304 were similar across the treatment arms. Patients had a median age of 63</w:t>
      </w:r>
      <w:r w:rsidR="003B2F8E">
        <w:rPr>
          <w:rFonts w:eastAsiaTheme="minorEastAsia"/>
        </w:rPr>
        <w:t> </w:t>
      </w:r>
      <w:r w:rsidRPr="004F3422">
        <w:rPr>
          <w:rFonts w:eastAsiaTheme="minorEastAsia"/>
        </w:rPr>
        <w:t>years (range 55 to 88) and were 86% female, 72% White, 25% Black or African American, and 2% other; 45% were elderly (≥65 years).</w:t>
      </w:r>
    </w:p>
    <w:p w14:paraId="7EE7D3D2" w14:textId="77777777" w:rsidR="00AD6679" w:rsidRPr="004F3422" w:rsidRDefault="00AD6679" w:rsidP="00A7450F">
      <w:pPr>
        <w:pStyle w:val="BodyText"/>
        <w:rPr>
          <w:rFonts w:eastAsiaTheme="minorEastAsia"/>
        </w:rPr>
      </w:pPr>
    </w:p>
    <w:p w14:paraId="05637F9F" w14:textId="066FA913" w:rsidR="00A51149" w:rsidRPr="004F3422" w:rsidRDefault="00A7450F" w:rsidP="00A7450F">
      <w:pPr>
        <w:pStyle w:val="BodyText"/>
        <w:rPr>
          <w:rFonts w:eastAsiaTheme="minorEastAsia"/>
        </w:rPr>
      </w:pPr>
      <w:r w:rsidRPr="004F3422">
        <w:rPr>
          <w:rFonts w:eastAsiaTheme="minorEastAsia"/>
        </w:rPr>
        <w:t>In Study 304, DAYVIGO 5</w:t>
      </w:r>
      <w:r w:rsidR="005317E4">
        <w:rPr>
          <w:rFonts w:eastAsiaTheme="minorEastAsia"/>
        </w:rPr>
        <w:t> mg</w:t>
      </w:r>
      <w:r w:rsidRPr="004F3422">
        <w:rPr>
          <w:rFonts w:eastAsiaTheme="minorEastAsia"/>
        </w:rPr>
        <w:t xml:space="preserve"> and 10</w:t>
      </w:r>
      <w:r w:rsidR="005317E4">
        <w:rPr>
          <w:rFonts w:eastAsiaTheme="minorEastAsia"/>
        </w:rPr>
        <w:t> mg</w:t>
      </w:r>
      <w:r w:rsidRPr="004F3422">
        <w:rPr>
          <w:rFonts w:eastAsiaTheme="minorEastAsia"/>
        </w:rPr>
        <w:t xml:space="preserve"> demonstrated statistically significant superiority on the primary efficacy measure, LPS, compared to placebo</w:t>
      </w:r>
      <w:r w:rsidR="00884DEA" w:rsidRPr="004F3422">
        <w:rPr>
          <w:rFonts w:eastAsiaTheme="minorEastAsia"/>
        </w:rPr>
        <w:t xml:space="preserve"> at the end of month of treatment, </w:t>
      </w:r>
      <w:proofErr w:type="gramStart"/>
      <w:r w:rsidR="00884DEA" w:rsidRPr="004F3422">
        <w:rPr>
          <w:rFonts w:eastAsiaTheme="minorEastAsia"/>
        </w:rPr>
        <w:t>and also</w:t>
      </w:r>
      <w:proofErr w:type="gramEnd"/>
      <w:r w:rsidR="00884DEA" w:rsidRPr="004F3422">
        <w:rPr>
          <w:rFonts w:eastAsiaTheme="minorEastAsia"/>
        </w:rPr>
        <w:t xml:space="preserve"> across the first 2 nights of dosing</w:t>
      </w:r>
      <w:r w:rsidRPr="004F3422">
        <w:rPr>
          <w:rFonts w:eastAsiaTheme="minorEastAsia"/>
        </w:rPr>
        <w:t xml:space="preserve"> (</w:t>
      </w:r>
      <w:r w:rsidR="0063687D">
        <w:rPr>
          <w:rFonts w:eastAsiaTheme="minorEastAsia"/>
        </w:rPr>
        <w:fldChar w:fldCharType="begin"/>
      </w:r>
      <w:r w:rsidR="0063687D">
        <w:rPr>
          <w:rFonts w:eastAsiaTheme="minorEastAsia"/>
        </w:rPr>
        <w:instrText xml:space="preserve"> REF _Ref76991796 \h </w:instrText>
      </w:r>
      <w:r w:rsidR="0063687D">
        <w:rPr>
          <w:rFonts w:eastAsiaTheme="minorEastAsia"/>
        </w:rPr>
      </w:r>
      <w:r w:rsidR="0063687D">
        <w:rPr>
          <w:rFonts w:eastAsiaTheme="minorEastAsia"/>
        </w:rPr>
        <w:fldChar w:fldCharType="separate"/>
      </w:r>
      <w:r w:rsidR="00EA67B1" w:rsidRPr="00A43335">
        <w:t>Table 3</w:t>
      </w:r>
      <w:r w:rsidR="0063687D">
        <w:rPr>
          <w:rFonts w:eastAsiaTheme="minorEastAsia"/>
        </w:rPr>
        <w:fldChar w:fldCharType="end"/>
      </w:r>
      <w:r w:rsidRPr="004F3422">
        <w:rPr>
          <w:rFonts w:eastAsiaTheme="minorEastAsia"/>
        </w:rPr>
        <w:t xml:space="preserve">). </w:t>
      </w:r>
    </w:p>
    <w:p w14:paraId="6A56F7FB" w14:textId="2610209E" w:rsidR="00A7450F" w:rsidRPr="004F3422" w:rsidRDefault="00A7450F" w:rsidP="00EA67B1">
      <w:pPr>
        <w:pStyle w:val="BodyText"/>
      </w:pPr>
    </w:p>
    <w:tbl>
      <w:tblPr>
        <w:tblStyle w:val="TableGrid6"/>
        <w:tblW w:w="5000" w:type="pct"/>
        <w:tblInd w:w="-95" w:type="dxa"/>
        <w:tblCellMar>
          <w:left w:w="14" w:type="dxa"/>
          <w:right w:w="14" w:type="dxa"/>
        </w:tblCellMar>
        <w:tblLook w:val="04A0" w:firstRow="1" w:lastRow="0" w:firstColumn="1" w:lastColumn="0" w:noHBand="0" w:noVBand="1"/>
      </w:tblPr>
      <w:tblGrid>
        <w:gridCol w:w="1510"/>
        <w:gridCol w:w="851"/>
        <w:gridCol w:w="1563"/>
        <w:gridCol w:w="1561"/>
        <w:gridCol w:w="1702"/>
        <w:gridCol w:w="1839"/>
      </w:tblGrid>
      <w:tr w:rsidR="00EA67B1" w:rsidRPr="004F3422" w14:paraId="12878052" w14:textId="77777777" w:rsidTr="00EA67B1">
        <w:trPr>
          <w:trHeight w:val="584"/>
          <w:tblHeader/>
        </w:trPr>
        <w:tc>
          <w:tcPr>
            <w:tcW w:w="5000" w:type="pct"/>
            <w:gridSpan w:val="6"/>
            <w:tcBorders>
              <w:top w:val="nil"/>
              <w:left w:val="nil"/>
              <w:bottom w:val="single" w:sz="4" w:space="0" w:color="auto"/>
              <w:right w:val="nil"/>
            </w:tcBorders>
          </w:tcPr>
          <w:p w14:paraId="7B7D5735" w14:textId="53C013AE" w:rsidR="00EA67B1" w:rsidRPr="00EA3B1D" w:rsidRDefault="00EA67B1" w:rsidP="00EA67B1">
            <w:pPr>
              <w:pStyle w:val="Caption"/>
            </w:pPr>
            <w:bookmarkStart w:id="22" w:name="_Ref38378202"/>
            <w:bookmarkStart w:id="23" w:name="_Ref76991796"/>
            <w:r w:rsidRPr="00A43335">
              <w:t xml:space="preserve">Table </w:t>
            </w:r>
            <w:bookmarkEnd w:id="22"/>
            <w:r w:rsidRPr="00A43335">
              <w:fldChar w:fldCharType="begin"/>
            </w:r>
            <w:r w:rsidRPr="00A43335">
              <w:instrText xml:space="preserve"> SEQ Table \* ARABIC </w:instrText>
            </w:r>
            <w:r w:rsidRPr="00A43335">
              <w:fldChar w:fldCharType="separate"/>
            </w:r>
            <w:r w:rsidRPr="00A43335">
              <w:t>3</w:t>
            </w:r>
            <w:r w:rsidRPr="00A43335">
              <w:fldChar w:fldCharType="end"/>
            </w:r>
            <w:bookmarkEnd w:id="23"/>
            <w:r w:rsidRPr="00A43335">
              <w:t>: Polysomnographic Assessments of Sleep Parameters in Study 304</w:t>
            </w:r>
          </w:p>
        </w:tc>
      </w:tr>
      <w:tr w:rsidR="00EA67B1" w:rsidRPr="004F3422" w14:paraId="067E7427" w14:textId="77777777" w:rsidTr="00EA67B1">
        <w:trPr>
          <w:trHeight w:val="584"/>
          <w:tblHeader/>
        </w:trPr>
        <w:tc>
          <w:tcPr>
            <w:tcW w:w="836" w:type="pct"/>
            <w:vMerge w:val="restart"/>
            <w:tcBorders>
              <w:top w:val="single" w:sz="4" w:space="0" w:color="auto"/>
            </w:tcBorders>
          </w:tcPr>
          <w:p w14:paraId="45D278DA" w14:textId="77777777" w:rsidR="00A51149" w:rsidRPr="00EA3B1D" w:rsidRDefault="00A51149" w:rsidP="00EA3B1D"/>
        </w:tc>
        <w:tc>
          <w:tcPr>
            <w:tcW w:w="471" w:type="pct"/>
            <w:vMerge w:val="restart"/>
            <w:tcBorders>
              <w:top w:val="single" w:sz="4" w:space="0" w:color="auto"/>
            </w:tcBorders>
            <w:vAlign w:val="center"/>
          </w:tcPr>
          <w:p w14:paraId="02BE1AFC" w14:textId="77777777" w:rsidR="00A51149" w:rsidRPr="00EA3B1D" w:rsidRDefault="00A51149" w:rsidP="00E127AE">
            <w:pPr>
              <w:pStyle w:val="TableHead"/>
            </w:pPr>
            <w:r w:rsidRPr="00EA3B1D">
              <w:t>Placebo</w:t>
            </w:r>
          </w:p>
          <w:p w14:paraId="36731FF5" w14:textId="521DDD42" w:rsidR="00A51149" w:rsidRPr="00EA3B1D" w:rsidRDefault="00A51149" w:rsidP="00E127AE">
            <w:pPr>
              <w:pStyle w:val="TableHead"/>
            </w:pPr>
            <w:r w:rsidRPr="00EA3B1D">
              <w:t>n=208</w:t>
            </w:r>
          </w:p>
        </w:tc>
        <w:tc>
          <w:tcPr>
            <w:tcW w:w="1731" w:type="pct"/>
            <w:gridSpan w:val="2"/>
            <w:tcBorders>
              <w:top w:val="single" w:sz="4" w:space="0" w:color="auto"/>
            </w:tcBorders>
            <w:vAlign w:val="center"/>
          </w:tcPr>
          <w:p w14:paraId="36171FAD" w14:textId="005C553B" w:rsidR="00A51149" w:rsidRPr="00EA3B1D" w:rsidRDefault="00A51149" w:rsidP="00E127AE">
            <w:pPr>
              <w:pStyle w:val="TableHead"/>
              <w:rPr>
                <w:rFonts w:eastAsiaTheme="minorEastAsia"/>
              </w:rPr>
            </w:pPr>
            <w:r w:rsidRPr="00953E23">
              <w:t>DAYVIGO</w:t>
            </w:r>
          </w:p>
        </w:tc>
        <w:tc>
          <w:tcPr>
            <w:tcW w:w="1962" w:type="pct"/>
            <w:gridSpan w:val="2"/>
            <w:tcBorders>
              <w:top w:val="single" w:sz="4" w:space="0" w:color="auto"/>
            </w:tcBorders>
            <w:vAlign w:val="center"/>
          </w:tcPr>
          <w:p w14:paraId="3FDCF602" w14:textId="77777777" w:rsidR="00A51149" w:rsidRPr="00EA3B1D" w:rsidRDefault="00A51149" w:rsidP="00E127AE">
            <w:pPr>
              <w:pStyle w:val="TableHead"/>
              <w:rPr>
                <w:rFonts w:eastAsiaTheme="minorEastAsia"/>
              </w:rPr>
            </w:pPr>
            <w:r w:rsidRPr="00EA3B1D">
              <w:t xml:space="preserve">Difference between </w:t>
            </w:r>
            <w:r w:rsidRPr="00EA3B1D">
              <w:rPr>
                <w:rFonts w:eastAsiaTheme="minorEastAsia"/>
              </w:rPr>
              <w:t>DAYVIGO</w:t>
            </w:r>
          </w:p>
          <w:p w14:paraId="30270CAF" w14:textId="1AD68D7C" w:rsidR="00A51149" w:rsidRPr="00EA3B1D" w:rsidRDefault="00A51149" w:rsidP="00E127AE">
            <w:pPr>
              <w:pStyle w:val="TableHead"/>
            </w:pPr>
            <w:r w:rsidRPr="00EA3B1D">
              <w:t xml:space="preserve"> and Placebo</w:t>
            </w:r>
          </w:p>
        </w:tc>
      </w:tr>
      <w:tr w:rsidR="00EA67B1" w:rsidRPr="004F3422" w14:paraId="7449F7B8" w14:textId="77777777" w:rsidTr="00EA67B1">
        <w:trPr>
          <w:trHeight w:val="584"/>
          <w:tblHeader/>
        </w:trPr>
        <w:tc>
          <w:tcPr>
            <w:tcW w:w="836" w:type="pct"/>
            <w:vMerge/>
          </w:tcPr>
          <w:p w14:paraId="2C244DF0" w14:textId="77777777" w:rsidR="00A51149" w:rsidRPr="00EA3B1D" w:rsidRDefault="00A51149" w:rsidP="00EA3B1D">
            <w:pPr>
              <w:spacing w:before="0"/>
              <w:rPr>
                <w:lang w:val="en-AU"/>
              </w:rPr>
            </w:pPr>
          </w:p>
        </w:tc>
        <w:tc>
          <w:tcPr>
            <w:tcW w:w="471" w:type="pct"/>
            <w:vMerge/>
            <w:vAlign w:val="center"/>
          </w:tcPr>
          <w:p w14:paraId="1FB1082E" w14:textId="16A63EA6" w:rsidR="00A51149" w:rsidRPr="00EA3B1D" w:rsidRDefault="00A51149" w:rsidP="00E127AE">
            <w:pPr>
              <w:pStyle w:val="TableHead"/>
              <w:rPr>
                <w:szCs w:val="20"/>
                <w:lang w:val="en-AU"/>
              </w:rPr>
            </w:pPr>
          </w:p>
        </w:tc>
        <w:tc>
          <w:tcPr>
            <w:tcW w:w="866" w:type="pct"/>
            <w:vMerge w:val="restart"/>
            <w:vAlign w:val="center"/>
          </w:tcPr>
          <w:p w14:paraId="65938727" w14:textId="57385458" w:rsidR="00A51149" w:rsidRPr="00EA3B1D" w:rsidRDefault="00A51149" w:rsidP="00E127AE">
            <w:pPr>
              <w:pStyle w:val="TableHead"/>
              <w:rPr>
                <w:rFonts w:eastAsiaTheme="minorEastAsia"/>
              </w:rPr>
            </w:pPr>
          </w:p>
          <w:p w14:paraId="67B4D714" w14:textId="27089501" w:rsidR="00A51149" w:rsidRPr="00EA3B1D" w:rsidRDefault="00A51149" w:rsidP="00E127AE">
            <w:pPr>
              <w:pStyle w:val="TableHead"/>
            </w:pPr>
            <w:r w:rsidRPr="00EA3B1D">
              <w:t>5 mg</w:t>
            </w:r>
          </w:p>
          <w:p w14:paraId="1FAC1A65" w14:textId="77777777" w:rsidR="00A51149" w:rsidRPr="00EA3B1D" w:rsidRDefault="00A51149" w:rsidP="00E127AE">
            <w:pPr>
              <w:pStyle w:val="TableHead"/>
            </w:pPr>
            <w:r w:rsidRPr="00EA3B1D">
              <w:t>n=266</w:t>
            </w:r>
          </w:p>
        </w:tc>
        <w:tc>
          <w:tcPr>
            <w:tcW w:w="865" w:type="pct"/>
            <w:vMerge w:val="restart"/>
            <w:vAlign w:val="center"/>
          </w:tcPr>
          <w:p w14:paraId="287D5F66" w14:textId="0F490376" w:rsidR="00A51149" w:rsidRPr="00EA3B1D" w:rsidRDefault="00A51149" w:rsidP="00E127AE">
            <w:pPr>
              <w:pStyle w:val="TableHead"/>
              <w:rPr>
                <w:rFonts w:eastAsiaTheme="minorEastAsia"/>
              </w:rPr>
            </w:pPr>
          </w:p>
          <w:p w14:paraId="6CC18333" w14:textId="7F166CE7" w:rsidR="00A51149" w:rsidRPr="00EA3B1D" w:rsidRDefault="00A51149" w:rsidP="00E127AE">
            <w:pPr>
              <w:pStyle w:val="TableHead"/>
            </w:pPr>
            <w:r w:rsidRPr="00EA3B1D">
              <w:t>10 mg</w:t>
            </w:r>
          </w:p>
          <w:p w14:paraId="56D32FBD" w14:textId="77777777" w:rsidR="00A51149" w:rsidRPr="00EA3B1D" w:rsidRDefault="00A51149" w:rsidP="00E127AE">
            <w:pPr>
              <w:pStyle w:val="TableHead"/>
            </w:pPr>
            <w:r w:rsidRPr="00EA3B1D">
              <w:t>n=269</w:t>
            </w:r>
          </w:p>
        </w:tc>
        <w:tc>
          <w:tcPr>
            <w:tcW w:w="1962" w:type="pct"/>
            <w:gridSpan w:val="2"/>
            <w:vAlign w:val="center"/>
          </w:tcPr>
          <w:p w14:paraId="404D3310" w14:textId="37342070" w:rsidR="00A51149" w:rsidRPr="00EA3B1D" w:rsidRDefault="00A51149" w:rsidP="00E127AE">
            <w:pPr>
              <w:pStyle w:val="TableHead"/>
            </w:pPr>
            <w:r>
              <w:t>DAYVIGO</w:t>
            </w:r>
            <w:r w:rsidRPr="00EA3B1D">
              <w:t xml:space="preserve"> </w:t>
            </w:r>
          </w:p>
        </w:tc>
      </w:tr>
      <w:tr w:rsidR="00EA67B1" w:rsidRPr="004F3422" w14:paraId="300B7751" w14:textId="77777777" w:rsidTr="00EA67B1">
        <w:trPr>
          <w:trHeight w:val="584"/>
          <w:tblHeader/>
        </w:trPr>
        <w:tc>
          <w:tcPr>
            <w:tcW w:w="836" w:type="pct"/>
            <w:vMerge/>
            <w:tcBorders>
              <w:bottom w:val="single" w:sz="4" w:space="0" w:color="auto"/>
            </w:tcBorders>
          </w:tcPr>
          <w:p w14:paraId="54B15085" w14:textId="77777777" w:rsidR="00A51149" w:rsidRPr="003A0FF4" w:rsidRDefault="00A51149" w:rsidP="003A0FF4">
            <w:pPr>
              <w:spacing w:before="0"/>
              <w:rPr>
                <w:lang w:val="en-AU"/>
              </w:rPr>
            </w:pPr>
          </w:p>
        </w:tc>
        <w:tc>
          <w:tcPr>
            <w:tcW w:w="471" w:type="pct"/>
            <w:vMerge/>
            <w:tcBorders>
              <w:bottom w:val="single" w:sz="4" w:space="0" w:color="auto"/>
            </w:tcBorders>
            <w:vAlign w:val="center"/>
          </w:tcPr>
          <w:p w14:paraId="316ACFC4" w14:textId="77777777" w:rsidR="00A51149" w:rsidRPr="003A0FF4" w:rsidRDefault="00A51149" w:rsidP="00E127AE">
            <w:pPr>
              <w:pStyle w:val="TableHead"/>
              <w:rPr>
                <w:szCs w:val="20"/>
                <w:lang w:val="en-AU"/>
              </w:rPr>
            </w:pPr>
          </w:p>
        </w:tc>
        <w:tc>
          <w:tcPr>
            <w:tcW w:w="866" w:type="pct"/>
            <w:vMerge/>
            <w:tcBorders>
              <w:bottom w:val="single" w:sz="4" w:space="0" w:color="auto"/>
            </w:tcBorders>
            <w:vAlign w:val="center"/>
          </w:tcPr>
          <w:p w14:paraId="69B156AF" w14:textId="77777777" w:rsidR="00A51149" w:rsidRPr="003A0FF4" w:rsidRDefault="00A51149" w:rsidP="00E127AE">
            <w:pPr>
              <w:pStyle w:val="TableHead"/>
              <w:rPr>
                <w:szCs w:val="20"/>
                <w:lang w:val="en-AU"/>
              </w:rPr>
            </w:pPr>
          </w:p>
        </w:tc>
        <w:tc>
          <w:tcPr>
            <w:tcW w:w="865" w:type="pct"/>
            <w:vMerge/>
            <w:tcBorders>
              <w:bottom w:val="single" w:sz="4" w:space="0" w:color="auto"/>
            </w:tcBorders>
            <w:vAlign w:val="center"/>
          </w:tcPr>
          <w:p w14:paraId="53577886" w14:textId="77777777" w:rsidR="00A51149" w:rsidRPr="003A0FF4" w:rsidRDefault="00A51149" w:rsidP="00E127AE">
            <w:pPr>
              <w:pStyle w:val="TableHead"/>
              <w:rPr>
                <w:szCs w:val="20"/>
                <w:lang w:val="en-AU"/>
              </w:rPr>
            </w:pPr>
          </w:p>
        </w:tc>
        <w:tc>
          <w:tcPr>
            <w:tcW w:w="943" w:type="pct"/>
            <w:tcBorders>
              <w:bottom w:val="single" w:sz="4" w:space="0" w:color="auto"/>
            </w:tcBorders>
            <w:vAlign w:val="center"/>
          </w:tcPr>
          <w:p w14:paraId="5DB79DAC" w14:textId="3531C38A" w:rsidR="00A51149" w:rsidRPr="00EA3B1D" w:rsidRDefault="00A51149" w:rsidP="00E127AE">
            <w:pPr>
              <w:pStyle w:val="TableHead"/>
              <w:rPr>
                <w:rFonts w:eastAsiaTheme="minorEastAsia"/>
              </w:rPr>
            </w:pPr>
          </w:p>
          <w:p w14:paraId="6828A606" w14:textId="51276138" w:rsidR="00A51149" w:rsidRPr="00EA3B1D" w:rsidRDefault="00A51149" w:rsidP="00E127AE">
            <w:pPr>
              <w:pStyle w:val="TableHead"/>
            </w:pPr>
            <w:r w:rsidRPr="00EA3B1D">
              <w:t>5 mg</w:t>
            </w:r>
          </w:p>
        </w:tc>
        <w:tc>
          <w:tcPr>
            <w:tcW w:w="1019" w:type="pct"/>
            <w:tcBorders>
              <w:bottom w:val="single" w:sz="4" w:space="0" w:color="auto"/>
            </w:tcBorders>
            <w:vAlign w:val="center"/>
          </w:tcPr>
          <w:p w14:paraId="7A762C83" w14:textId="43E35C19" w:rsidR="00A51149" w:rsidRPr="00EA3B1D" w:rsidRDefault="00A51149" w:rsidP="00E127AE">
            <w:pPr>
              <w:pStyle w:val="TableHead"/>
              <w:rPr>
                <w:rFonts w:eastAsiaTheme="minorEastAsia"/>
              </w:rPr>
            </w:pPr>
          </w:p>
          <w:p w14:paraId="229692DB" w14:textId="045104A0" w:rsidR="00A51149" w:rsidRPr="00EA3B1D" w:rsidRDefault="00A51149" w:rsidP="00E127AE">
            <w:pPr>
              <w:pStyle w:val="TableHead"/>
            </w:pPr>
            <w:r w:rsidRPr="00EA3B1D">
              <w:t>10 mg</w:t>
            </w:r>
          </w:p>
        </w:tc>
      </w:tr>
      <w:tr w:rsidR="00A51149" w:rsidRPr="00635FE6" w14:paraId="23A51C45" w14:textId="77777777" w:rsidTr="00A51149">
        <w:trPr>
          <w:trHeight w:val="177"/>
        </w:trPr>
        <w:tc>
          <w:tcPr>
            <w:tcW w:w="5000" w:type="pct"/>
            <w:gridSpan w:val="6"/>
          </w:tcPr>
          <w:p w14:paraId="4396722E" w14:textId="3F7E912A" w:rsidR="00A51149" w:rsidRPr="00635FE6" w:rsidRDefault="00A51149" w:rsidP="00A51149">
            <w:pPr>
              <w:pStyle w:val="TableHeading"/>
              <w:rPr>
                <w:rFonts w:cs="Arial"/>
              </w:rPr>
            </w:pPr>
            <w:r w:rsidRPr="00635FE6">
              <w:t>Sleep Onset (LPS), minutes</w:t>
            </w:r>
          </w:p>
        </w:tc>
      </w:tr>
      <w:tr w:rsidR="00EA67B1" w:rsidRPr="004F3422" w14:paraId="690F3FA9" w14:textId="77777777" w:rsidTr="00EA67B1">
        <w:trPr>
          <w:trHeight w:val="177"/>
        </w:trPr>
        <w:tc>
          <w:tcPr>
            <w:tcW w:w="836" w:type="pct"/>
            <w:shd w:val="clear" w:color="auto" w:fill="auto"/>
          </w:tcPr>
          <w:p w14:paraId="4E3D046C" w14:textId="77777777" w:rsidR="00A51149" w:rsidRPr="00A43335" w:rsidRDefault="00A51149" w:rsidP="00A43335">
            <w:pPr>
              <w:pStyle w:val="TableText"/>
            </w:pPr>
            <w:r w:rsidRPr="00A43335">
              <w:t xml:space="preserve">Baseline </w:t>
            </w:r>
          </w:p>
          <w:p w14:paraId="52E19B85" w14:textId="4ADBB526" w:rsidR="00A51149" w:rsidRPr="00325106" w:rsidRDefault="00A51149" w:rsidP="00325106">
            <w:pPr>
              <w:pStyle w:val="TableText"/>
            </w:pPr>
            <w:r w:rsidRPr="00325106">
              <w:t>Geometric Mean</w:t>
            </w:r>
          </w:p>
          <w:p w14:paraId="103A393E" w14:textId="3C4C36DD" w:rsidR="00A51149" w:rsidRPr="00325106" w:rsidRDefault="00A51149" w:rsidP="00325106">
            <w:pPr>
              <w:pStyle w:val="TableText"/>
            </w:pPr>
            <w:r w:rsidRPr="00325106">
              <w:t>(SD)</w:t>
            </w:r>
          </w:p>
        </w:tc>
        <w:tc>
          <w:tcPr>
            <w:tcW w:w="471" w:type="pct"/>
            <w:shd w:val="clear" w:color="auto" w:fill="auto"/>
            <w:vAlign w:val="center"/>
          </w:tcPr>
          <w:p w14:paraId="24B2BF84" w14:textId="69C14586" w:rsidR="00A51149" w:rsidRPr="0084293A" w:rsidRDefault="00A51149" w:rsidP="0084293A">
            <w:pPr>
              <w:pStyle w:val="TableCentre"/>
            </w:pPr>
            <w:r w:rsidRPr="0084293A">
              <w:t>34 (26)</w:t>
            </w:r>
          </w:p>
        </w:tc>
        <w:tc>
          <w:tcPr>
            <w:tcW w:w="866" w:type="pct"/>
            <w:shd w:val="clear" w:color="auto" w:fill="auto"/>
            <w:vAlign w:val="center"/>
          </w:tcPr>
          <w:p w14:paraId="7869E312" w14:textId="369513E6" w:rsidR="00A51149" w:rsidRPr="0084293A" w:rsidRDefault="00A51149" w:rsidP="0084293A">
            <w:pPr>
              <w:pStyle w:val="TableCentre"/>
            </w:pPr>
            <w:r w:rsidRPr="0084293A">
              <w:t>33 (27)</w:t>
            </w:r>
          </w:p>
        </w:tc>
        <w:tc>
          <w:tcPr>
            <w:tcW w:w="865" w:type="pct"/>
            <w:shd w:val="clear" w:color="auto" w:fill="auto"/>
            <w:vAlign w:val="center"/>
          </w:tcPr>
          <w:p w14:paraId="11392B9E" w14:textId="10293FD1" w:rsidR="00A51149" w:rsidRPr="0084293A" w:rsidRDefault="00A51149" w:rsidP="0084293A">
            <w:pPr>
              <w:pStyle w:val="TableCentre"/>
            </w:pPr>
            <w:r w:rsidRPr="0084293A">
              <w:t>33 (27)</w:t>
            </w:r>
          </w:p>
        </w:tc>
        <w:tc>
          <w:tcPr>
            <w:tcW w:w="943" w:type="pct"/>
            <w:shd w:val="clear" w:color="auto" w:fill="BFBFBF" w:themeFill="background1" w:themeFillShade="BF"/>
            <w:vAlign w:val="center"/>
          </w:tcPr>
          <w:p w14:paraId="594B0C76" w14:textId="77777777" w:rsidR="00A51149" w:rsidRPr="0084293A" w:rsidRDefault="00A51149" w:rsidP="0084293A">
            <w:pPr>
              <w:pStyle w:val="TableCentre"/>
            </w:pPr>
          </w:p>
        </w:tc>
        <w:tc>
          <w:tcPr>
            <w:tcW w:w="1019" w:type="pct"/>
            <w:shd w:val="clear" w:color="auto" w:fill="BFBFBF" w:themeFill="background1" w:themeFillShade="BF"/>
            <w:vAlign w:val="center"/>
          </w:tcPr>
          <w:p w14:paraId="2F29F052" w14:textId="77777777" w:rsidR="00A51149" w:rsidRPr="0084293A" w:rsidRDefault="00A51149" w:rsidP="0084293A">
            <w:pPr>
              <w:pStyle w:val="TableCentre"/>
            </w:pPr>
          </w:p>
        </w:tc>
      </w:tr>
      <w:tr w:rsidR="00EA67B1" w:rsidRPr="004F3422" w14:paraId="461F001A" w14:textId="77777777" w:rsidTr="00EA67B1">
        <w:trPr>
          <w:trHeight w:val="343"/>
        </w:trPr>
        <w:tc>
          <w:tcPr>
            <w:tcW w:w="836" w:type="pct"/>
            <w:shd w:val="clear" w:color="auto" w:fill="auto"/>
          </w:tcPr>
          <w:p w14:paraId="090A1F39" w14:textId="77777777" w:rsidR="00A51149" w:rsidRPr="00EA3B1D" w:rsidRDefault="00A51149" w:rsidP="00325106">
            <w:pPr>
              <w:pStyle w:val="TableText"/>
              <w:rPr>
                <w:rFonts w:eastAsiaTheme="minorEastAsia"/>
                <w:lang w:val="en-AU"/>
              </w:rPr>
            </w:pPr>
            <w:r w:rsidRPr="00EA3B1D">
              <w:rPr>
                <w:rFonts w:eastAsiaTheme="minorEastAsia"/>
                <w:lang w:val="en-AU"/>
              </w:rPr>
              <w:t>Days 1/2</w:t>
            </w:r>
          </w:p>
          <w:p w14:paraId="645C859A" w14:textId="58CC41A5" w:rsidR="00A51149" w:rsidRPr="00EA3B1D" w:rsidRDefault="00A51149" w:rsidP="00325106">
            <w:pPr>
              <w:pStyle w:val="TableText"/>
              <w:rPr>
                <w:rFonts w:eastAsiaTheme="minorEastAsia"/>
                <w:lang w:val="en-AU"/>
              </w:rPr>
            </w:pPr>
            <w:r w:rsidRPr="00EA3B1D">
              <w:rPr>
                <w:rFonts w:eastAsiaTheme="minorEastAsia"/>
                <w:lang w:val="en-AU"/>
              </w:rPr>
              <w:t>Geometric Mean Change from Baseline</w:t>
            </w:r>
          </w:p>
        </w:tc>
        <w:tc>
          <w:tcPr>
            <w:tcW w:w="471" w:type="pct"/>
            <w:shd w:val="clear" w:color="auto" w:fill="auto"/>
            <w:vAlign w:val="center"/>
          </w:tcPr>
          <w:p w14:paraId="4C7E521E" w14:textId="2EFF45B0" w:rsidR="00A51149" w:rsidRPr="0084293A" w:rsidRDefault="00A51149" w:rsidP="0084293A">
            <w:pPr>
              <w:pStyle w:val="TableCentre"/>
            </w:pPr>
            <w:r w:rsidRPr="0084293A">
              <w:t>-7</w:t>
            </w:r>
          </w:p>
        </w:tc>
        <w:tc>
          <w:tcPr>
            <w:tcW w:w="866" w:type="pct"/>
            <w:shd w:val="clear" w:color="auto" w:fill="auto"/>
            <w:vAlign w:val="center"/>
          </w:tcPr>
          <w:p w14:paraId="25211554" w14:textId="12213640" w:rsidR="00A51149" w:rsidRPr="0084293A" w:rsidRDefault="00A51149" w:rsidP="0084293A">
            <w:pPr>
              <w:pStyle w:val="TableCentre"/>
            </w:pPr>
            <w:r w:rsidRPr="0084293A">
              <w:t>-11</w:t>
            </w:r>
          </w:p>
        </w:tc>
        <w:tc>
          <w:tcPr>
            <w:tcW w:w="865" w:type="pct"/>
            <w:shd w:val="clear" w:color="auto" w:fill="auto"/>
            <w:vAlign w:val="center"/>
          </w:tcPr>
          <w:p w14:paraId="013BF57C" w14:textId="1F2AE967" w:rsidR="00A51149" w:rsidRPr="0084293A" w:rsidRDefault="00A51149" w:rsidP="0084293A">
            <w:pPr>
              <w:pStyle w:val="TableCentre"/>
            </w:pPr>
            <w:r w:rsidRPr="0084293A">
              <w:t>-13</w:t>
            </w:r>
          </w:p>
        </w:tc>
        <w:tc>
          <w:tcPr>
            <w:tcW w:w="943" w:type="pct"/>
            <w:shd w:val="clear" w:color="auto" w:fill="auto"/>
            <w:vAlign w:val="center"/>
          </w:tcPr>
          <w:p w14:paraId="744551D6" w14:textId="4C48D814" w:rsidR="00A51149" w:rsidRPr="0084293A" w:rsidRDefault="00A51149" w:rsidP="0084293A">
            <w:pPr>
              <w:pStyle w:val="TableCentre"/>
            </w:pPr>
            <w:r w:rsidRPr="0084293A">
              <w:t>-4</w:t>
            </w:r>
          </w:p>
        </w:tc>
        <w:tc>
          <w:tcPr>
            <w:tcW w:w="1019" w:type="pct"/>
            <w:shd w:val="clear" w:color="auto" w:fill="auto"/>
            <w:vAlign w:val="center"/>
          </w:tcPr>
          <w:p w14:paraId="22617D00" w14:textId="219651EE" w:rsidR="00A51149" w:rsidRPr="0084293A" w:rsidRDefault="00A51149" w:rsidP="0084293A">
            <w:pPr>
              <w:pStyle w:val="TableCentre"/>
            </w:pPr>
            <w:r w:rsidRPr="0084293A">
              <w:t>-6</w:t>
            </w:r>
          </w:p>
        </w:tc>
      </w:tr>
      <w:tr w:rsidR="00EA67B1" w:rsidRPr="004F3422" w14:paraId="19C36B09" w14:textId="77777777" w:rsidTr="00EA67B1">
        <w:trPr>
          <w:trHeight w:val="177"/>
        </w:trPr>
        <w:tc>
          <w:tcPr>
            <w:tcW w:w="836" w:type="pct"/>
          </w:tcPr>
          <w:p w14:paraId="2E53CDAC" w14:textId="77777777" w:rsidR="00A51149" w:rsidRPr="00A43335" w:rsidRDefault="00A51149" w:rsidP="00A43335">
            <w:pPr>
              <w:pStyle w:val="TableText"/>
            </w:pPr>
            <w:r w:rsidRPr="00A43335">
              <w:t>LSGM Ratio</w:t>
            </w:r>
          </w:p>
        </w:tc>
        <w:tc>
          <w:tcPr>
            <w:tcW w:w="471" w:type="pct"/>
            <w:vAlign w:val="center"/>
          </w:tcPr>
          <w:p w14:paraId="60060C5C" w14:textId="77777777" w:rsidR="00A51149" w:rsidRPr="0084293A" w:rsidRDefault="00A51149" w:rsidP="0084293A">
            <w:pPr>
              <w:pStyle w:val="TableCentre"/>
            </w:pPr>
            <w:r w:rsidRPr="0084293A">
              <w:t>0.763</w:t>
            </w:r>
          </w:p>
        </w:tc>
        <w:tc>
          <w:tcPr>
            <w:tcW w:w="866" w:type="pct"/>
            <w:vAlign w:val="center"/>
          </w:tcPr>
          <w:p w14:paraId="63150D32" w14:textId="77777777" w:rsidR="00A51149" w:rsidRPr="0084293A" w:rsidRDefault="00A51149" w:rsidP="0084293A">
            <w:pPr>
              <w:pStyle w:val="TableCentre"/>
            </w:pPr>
            <w:r w:rsidRPr="0084293A">
              <w:t>0.649</w:t>
            </w:r>
          </w:p>
        </w:tc>
        <w:tc>
          <w:tcPr>
            <w:tcW w:w="865" w:type="pct"/>
            <w:vAlign w:val="center"/>
          </w:tcPr>
          <w:p w14:paraId="39A826F5" w14:textId="77777777" w:rsidR="00A51149" w:rsidRPr="0084293A" w:rsidRDefault="00A51149" w:rsidP="0084293A">
            <w:pPr>
              <w:pStyle w:val="TableCentre"/>
            </w:pPr>
            <w:r w:rsidRPr="0084293A">
              <w:t>0.607</w:t>
            </w:r>
          </w:p>
        </w:tc>
        <w:tc>
          <w:tcPr>
            <w:tcW w:w="943" w:type="pct"/>
            <w:vAlign w:val="center"/>
          </w:tcPr>
          <w:p w14:paraId="02EB5F26" w14:textId="77777777" w:rsidR="00A51149" w:rsidRPr="0084293A" w:rsidRDefault="00A51149" w:rsidP="0084293A">
            <w:pPr>
              <w:pStyle w:val="TableCentre"/>
            </w:pPr>
            <w:r w:rsidRPr="0084293A">
              <w:t>0.850**</w:t>
            </w:r>
          </w:p>
        </w:tc>
        <w:tc>
          <w:tcPr>
            <w:tcW w:w="1019" w:type="pct"/>
            <w:vAlign w:val="center"/>
          </w:tcPr>
          <w:p w14:paraId="1AADD5A0" w14:textId="77777777" w:rsidR="00A51149" w:rsidRPr="0084293A" w:rsidRDefault="00A51149" w:rsidP="0084293A">
            <w:pPr>
              <w:pStyle w:val="TableCentre"/>
            </w:pPr>
            <w:r w:rsidRPr="0084293A">
              <w:t>0.795***</w:t>
            </w:r>
          </w:p>
        </w:tc>
      </w:tr>
      <w:tr w:rsidR="00EA67B1" w:rsidRPr="004F3422" w14:paraId="757A4928" w14:textId="77777777" w:rsidTr="00EA67B1">
        <w:trPr>
          <w:trHeight w:val="343"/>
        </w:trPr>
        <w:tc>
          <w:tcPr>
            <w:tcW w:w="836" w:type="pct"/>
            <w:tcBorders>
              <w:bottom w:val="single" w:sz="4" w:space="0" w:color="auto"/>
            </w:tcBorders>
          </w:tcPr>
          <w:p w14:paraId="78EDFA34" w14:textId="77777777" w:rsidR="00A51149" w:rsidRPr="00EA3B1D" w:rsidRDefault="00A51149" w:rsidP="00325106">
            <w:pPr>
              <w:pStyle w:val="TableText"/>
              <w:rPr>
                <w:rFonts w:eastAsiaTheme="minorEastAsia"/>
                <w:lang w:val="en-AU"/>
              </w:rPr>
            </w:pPr>
            <w:r w:rsidRPr="00EA3B1D">
              <w:rPr>
                <w:rFonts w:eastAsiaTheme="minorEastAsia"/>
                <w:lang w:val="en-AU"/>
              </w:rPr>
              <w:t xml:space="preserve">Month 1 </w:t>
            </w:r>
          </w:p>
          <w:p w14:paraId="5CA49719" w14:textId="2F025B5C" w:rsidR="00A51149" w:rsidRPr="00EA3B1D" w:rsidRDefault="00A51149" w:rsidP="00325106">
            <w:pPr>
              <w:pStyle w:val="TableText"/>
              <w:rPr>
                <w:lang w:val="en-AU"/>
              </w:rPr>
            </w:pPr>
            <w:r w:rsidRPr="00EA3B1D">
              <w:rPr>
                <w:rFonts w:eastAsiaTheme="minorEastAsia"/>
                <w:lang w:val="en-AU"/>
              </w:rPr>
              <w:t>Geometric Mean Change from Baseline</w:t>
            </w:r>
          </w:p>
        </w:tc>
        <w:tc>
          <w:tcPr>
            <w:tcW w:w="471" w:type="pct"/>
            <w:tcBorders>
              <w:bottom w:val="single" w:sz="4" w:space="0" w:color="auto"/>
            </w:tcBorders>
            <w:vAlign w:val="center"/>
          </w:tcPr>
          <w:p w14:paraId="31457DD0" w14:textId="77777777" w:rsidR="00A51149" w:rsidRPr="0084293A" w:rsidRDefault="00A51149" w:rsidP="0084293A">
            <w:pPr>
              <w:pStyle w:val="TableCentre"/>
            </w:pPr>
            <w:r w:rsidRPr="0084293A">
              <w:t>-8</w:t>
            </w:r>
          </w:p>
        </w:tc>
        <w:tc>
          <w:tcPr>
            <w:tcW w:w="866" w:type="pct"/>
            <w:tcBorders>
              <w:bottom w:val="single" w:sz="4" w:space="0" w:color="auto"/>
            </w:tcBorders>
            <w:vAlign w:val="center"/>
          </w:tcPr>
          <w:p w14:paraId="51F86556" w14:textId="0877A3E1" w:rsidR="00A51149" w:rsidRPr="0084293A" w:rsidRDefault="00A51149" w:rsidP="0084293A">
            <w:pPr>
              <w:pStyle w:val="TableCentre"/>
            </w:pPr>
            <w:r w:rsidRPr="0084293A">
              <w:t>-14</w:t>
            </w:r>
          </w:p>
        </w:tc>
        <w:tc>
          <w:tcPr>
            <w:tcW w:w="865" w:type="pct"/>
            <w:tcBorders>
              <w:bottom w:val="single" w:sz="4" w:space="0" w:color="auto"/>
            </w:tcBorders>
            <w:vAlign w:val="center"/>
          </w:tcPr>
          <w:p w14:paraId="415466BD" w14:textId="70D69ED7" w:rsidR="00A51149" w:rsidRPr="0084293A" w:rsidRDefault="00A51149" w:rsidP="0084293A">
            <w:pPr>
              <w:pStyle w:val="TableCentre"/>
            </w:pPr>
            <w:r w:rsidRPr="0084293A">
              <w:t>-16</w:t>
            </w:r>
          </w:p>
        </w:tc>
        <w:tc>
          <w:tcPr>
            <w:tcW w:w="943" w:type="pct"/>
            <w:tcBorders>
              <w:bottom w:val="single" w:sz="4" w:space="0" w:color="auto"/>
            </w:tcBorders>
            <w:vAlign w:val="center"/>
          </w:tcPr>
          <w:p w14:paraId="5DF639F9" w14:textId="77777777" w:rsidR="00A51149" w:rsidRPr="0084293A" w:rsidRDefault="00A51149" w:rsidP="0084293A">
            <w:pPr>
              <w:pStyle w:val="TableCentre"/>
            </w:pPr>
            <w:r w:rsidRPr="0084293A">
              <w:t>-12</w:t>
            </w:r>
          </w:p>
        </w:tc>
        <w:tc>
          <w:tcPr>
            <w:tcW w:w="1019" w:type="pct"/>
            <w:tcBorders>
              <w:bottom w:val="single" w:sz="4" w:space="0" w:color="auto"/>
            </w:tcBorders>
            <w:vAlign w:val="center"/>
          </w:tcPr>
          <w:p w14:paraId="4A1AF314" w14:textId="77777777" w:rsidR="00A51149" w:rsidRPr="0084293A" w:rsidRDefault="00A51149" w:rsidP="0084293A">
            <w:pPr>
              <w:pStyle w:val="TableCentre"/>
            </w:pPr>
            <w:r w:rsidRPr="0084293A">
              <w:t>-13</w:t>
            </w:r>
          </w:p>
        </w:tc>
      </w:tr>
      <w:tr w:rsidR="00EA67B1" w:rsidRPr="004F3422" w14:paraId="5735934C" w14:textId="77777777" w:rsidTr="00EA67B1">
        <w:trPr>
          <w:trHeight w:val="206"/>
        </w:trPr>
        <w:tc>
          <w:tcPr>
            <w:tcW w:w="836" w:type="pct"/>
            <w:tcBorders>
              <w:bottom w:val="single" w:sz="4" w:space="0" w:color="auto"/>
            </w:tcBorders>
          </w:tcPr>
          <w:p w14:paraId="6F557DA9" w14:textId="77777777" w:rsidR="00A51149" w:rsidRPr="00A43335" w:rsidRDefault="00A51149" w:rsidP="00A43335">
            <w:pPr>
              <w:pStyle w:val="TableText"/>
            </w:pPr>
            <w:r w:rsidRPr="00A43335">
              <w:t>LSGM Ratio</w:t>
            </w:r>
          </w:p>
        </w:tc>
        <w:tc>
          <w:tcPr>
            <w:tcW w:w="471" w:type="pct"/>
            <w:tcBorders>
              <w:bottom w:val="single" w:sz="4" w:space="0" w:color="auto"/>
            </w:tcBorders>
            <w:vAlign w:val="center"/>
          </w:tcPr>
          <w:p w14:paraId="3DC2BF98" w14:textId="77777777" w:rsidR="00A51149" w:rsidRPr="0084293A" w:rsidRDefault="00A51149" w:rsidP="0084293A">
            <w:pPr>
              <w:pStyle w:val="TableCentre"/>
            </w:pPr>
            <w:r w:rsidRPr="0084293A">
              <w:t>0.699</w:t>
            </w:r>
          </w:p>
        </w:tc>
        <w:tc>
          <w:tcPr>
            <w:tcW w:w="866" w:type="pct"/>
            <w:tcBorders>
              <w:bottom w:val="single" w:sz="4" w:space="0" w:color="auto"/>
            </w:tcBorders>
            <w:vAlign w:val="center"/>
          </w:tcPr>
          <w:p w14:paraId="733D0627" w14:textId="77777777" w:rsidR="00A51149" w:rsidRPr="0084293A" w:rsidRDefault="00A51149" w:rsidP="0084293A">
            <w:pPr>
              <w:pStyle w:val="TableCentre"/>
            </w:pPr>
            <w:r w:rsidRPr="0084293A">
              <w:t>0.541</w:t>
            </w:r>
          </w:p>
        </w:tc>
        <w:tc>
          <w:tcPr>
            <w:tcW w:w="865" w:type="pct"/>
            <w:tcBorders>
              <w:bottom w:val="single" w:sz="4" w:space="0" w:color="auto"/>
            </w:tcBorders>
            <w:vAlign w:val="center"/>
          </w:tcPr>
          <w:p w14:paraId="07220181" w14:textId="77777777" w:rsidR="00A51149" w:rsidRPr="0084293A" w:rsidRDefault="00A51149" w:rsidP="0084293A">
            <w:pPr>
              <w:pStyle w:val="TableCentre"/>
            </w:pPr>
            <w:r w:rsidRPr="0084293A">
              <w:t>0.506</w:t>
            </w:r>
          </w:p>
        </w:tc>
        <w:tc>
          <w:tcPr>
            <w:tcW w:w="943" w:type="pct"/>
            <w:tcBorders>
              <w:bottom w:val="single" w:sz="4" w:space="0" w:color="auto"/>
            </w:tcBorders>
            <w:vAlign w:val="center"/>
          </w:tcPr>
          <w:p w14:paraId="3EA064BD" w14:textId="77777777" w:rsidR="00A51149" w:rsidRPr="0084293A" w:rsidRDefault="00A51149" w:rsidP="0084293A">
            <w:pPr>
              <w:pStyle w:val="TableCentre"/>
            </w:pPr>
            <w:r w:rsidRPr="0084293A">
              <w:t>0.773***</w:t>
            </w:r>
          </w:p>
        </w:tc>
        <w:tc>
          <w:tcPr>
            <w:tcW w:w="1019" w:type="pct"/>
            <w:tcBorders>
              <w:bottom w:val="single" w:sz="4" w:space="0" w:color="auto"/>
            </w:tcBorders>
            <w:vAlign w:val="center"/>
          </w:tcPr>
          <w:p w14:paraId="2A458D50" w14:textId="77777777" w:rsidR="00A51149" w:rsidRPr="0084293A" w:rsidRDefault="00A51149" w:rsidP="0084293A">
            <w:pPr>
              <w:pStyle w:val="TableCentre"/>
            </w:pPr>
            <w:r w:rsidRPr="0084293A">
              <w:t>0.723***</w:t>
            </w:r>
          </w:p>
        </w:tc>
      </w:tr>
      <w:tr w:rsidR="00A51149" w:rsidRPr="00635FE6" w14:paraId="1517122E" w14:textId="77777777" w:rsidTr="00A51149">
        <w:trPr>
          <w:trHeight w:val="143"/>
        </w:trPr>
        <w:tc>
          <w:tcPr>
            <w:tcW w:w="5000" w:type="pct"/>
            <w:gridSpan w:val="6"/>
          </w:tcPr>
          <w:p w14:paraId="5599E226" w14:textId="178E8828" w:rsidR="00A51149" w:rsidRPr="00635FE6" w:rsidRDefault="00A51149" w:rsidP="00A51149">
            <w:pPr>
              <w:pStyle w:val="TableHeading"/>
              <w:rPr>
                <w:rFonts w:cs="Arial"/>
                <w:i/>
              </w:rPr>
            </w:pPr>
            <w:r w:rsidRPr="00635FE6">
              <w:t>Sleep Maintenance (SE), %</w:t>
            </w:r>
          </w:p>
        </w:tc>
      </w:tr>
      <w:tr w:rsidR="00EA67B1" w:rsidRPr="004F3422" w14:paraId="7258A557" w14:textId="77777777" w:rsidTr="00EA67B1">
        <w:trPr>
          <w:trHeight w:val="177"/>
        </w:trPr>
        <w:tc>
          <w:tcPr>
            <w:tcW w:w="836" w:type="pct"/>
          </w:tcPr>
          <w:p w14:paraId="5BB4B8D3" w14:textId="1BC4E80E" w:rsidR="00A51149" w:rsidRPr="00A43335" w:rsidRDefault="00A51149" w:rsidP="00A43335">
            <w:pPr>
              <w:pStyle w:val="TableText"/>
            </w:pPr>
            <w:r w:rsidRPr="00A43335">
              <w:t xml:space="preserve">Baseline </w:t>
            </w:r>
          </w:p>
          <w:p w14:paraId="31213E70" w14:textId="6C07257E" w:rsidR="00A51149" w:rsidRPr="00325106" w:rsidRDefault="00A51149" w:rsidP="00325106">
            <w:pPr>
              <w:pStyle w:val="TableText"/>
            </w:pPr>
            <w:r w:rsidRPr="00325106">
              <w:t>Mean (SD)</w:t>
            </w:r>
          </w:p>
        </w:tc>
        <w:tc>
          <w:tcPr>
            <w:tcW w:w="471" w:type="pct"/>
            <w:vAlign w:val="center"/>
          </w:tcPr>
          <w:p w14:paraId="63650C5A" w14:textId="2235B8C2" w:rsidR="00A51149" w:rsidRPr="0084293A" w:rsidRDefault="00A51149" w:rsidP="0084293A">
            <w:pPr>
              <w:pStyle w:val="TableCentre"/>
            </w:pPr>
            <w:r w:rsidRPr="0084293A">
              <w:t>69 (10)</w:t>
            </w:r>
          </w:p>
        </w:tc>
        <w:tc>
          <w:tcPr>
            <w:tcW w:w="866" w:type="pct"/>
            <w:vAlign w:val="center"/>
          </w:tcPr>
          <w:p w14:paraId="3697C558" w14:textId="689350EC" w:rsidR="00A51149" w:rsidRPr="0084293A" w:rsidRDefault="00A51149" w:rsidP="0084293A">
            <w:pPr>
              <w:pStyle w:val="TableCentre"/>
            </w:pPr>
            <w:r w:rsidRPr="0084293A">
              <w:t>68 (11)</w:t>
            </w:r>
          </w:p>
        </w:tc>
        <w:tc>
          <w:tcPr>
            <w:tcW w:w="865" w:type="pct"/>
            <w:vAlign w:val="center"/>
          </w:tcPr>
          <w:p w14:paraId="777A82FA" w14:textId="471B56C1" w:rsidR="00A51149" w:rsidRPr="0084293A" w:rsidRDefault="00A51149" w:rsidP="0084293A">
            <w:pPr>
              <w:pStyle w:val="TableCentre"/>
            </w:pPr>
            <w:r w:rsidRPr="0084293A">
              <w:t>68 (11)</w:t>
            </w:r>
          </w:p>
        </w:tc>
        <w:tc>
          <w:tcPr>
            <w:tcW w:w="943" w:type="pct"/>
            <w:shd w:val="clear" w:color="auto" w:fill="BFBFBF" w:themeFill="background1" w:themeFillShade="BF"/>
            <w:vAlign w:val="center"/>
          </w:tcPr>
          <w:p w14:paraId="31FFB1FF" w14:textId="77777777" w:rsidR="00A51149" w:rsidRPr="0084293A" w:rsidRDefault="00A51149" w:rsidP="0084293A">
            <w:pPr>
              <w:pStyle w:val="TableCentre"/>
            </w:pPr>
          </w:p>
        </w:tc>
        <w:tc>
          <w:tcPr>
            <w:tcW w:w="1019" w:type="pct"/>
            <w:shd w:val="clear" w:color="auto" w:fill="BFBFBF" w:themeFill="background1" w:themeFillShade="BF"/>
            <w:vAlign w:val="center"/>
          </w:tcPr>
          <w:p w14:paraId="395C632C" w14:textId="77777777" w:rsidR="00A51149" w:rsidRPr="0084293A" w:rsidRDefault="00A51149" w:rsidP="0084293A">
            <w:pPr>
              <w:pStyle w:val="TableCentre"/>
            </w:pPr>
          </w:p>
        </w:tc>
      </w:tr>
      <w:tr w:rsidR="00EA67B1" w:rsidRPr="004F3422" w14:paraId="5C4AD16E" w14:textId="77777777" w:rsidTr="00EA67B1">
        <w:trPr>
          <w:trHeight w:val="343"/>
        </w:trPr>
        <w:tc>
          <w:tcPr>
            <w:tcW w:w="836" w:type="pct"/>
          </w:tcPr>
          <w:p w14:paraId="4DCBF3D7" w14:textId="77777777" w:rsidR="00A51149" w:rsidRPr="00A43335" w:rsidRDefault="00A51149" w:rsidP="00A43335">
            <w:pPr>
              <w:pStyle w:val="TableText"/>
            </w:pPr>
            <w:r w:rsidRPr="00A43335">
              <w:t>Days 1/2</w:t>
            </w:r>
          </w:p>
          <w:p w14:paraId="2456550D" w14:textId="69364CC1" w:rsidR="00A51149" w:rsidRPr="00EA3B1D" w:rsidRDefault="00A51149" w:rsidP="00325106">
            <w:pPr>
              <w:pStyle w:val="TableText"/>
              <w:rPr>
                <w:lang w:val="en-AU"/>
              </w:rPr>
            </w:pPr>
            <w:r w:rsidRPr="00EA3B1D">
              <w:t>LSM Change from Baseline (</w:t>
            </w:r>
            <w:r>
              <w:t>SER</w:t>
            </w:r>
            <w:r w:rsidRPr="00EA3B1D">
              <w:t>)</w:t>
            </w:r>
          </w:p>
        </w:tc>
        <w:tc>
          <w:tcPr>
            <w:tcW w:w="471" w:type="pct"/>
            <w:vAlign w:val="center"/>
          </w:tcPr>
          <w:p w14:paraId="1F099450" w14:textId="08F29B00" w:rsidR="00A51149" w:rsidRPr="0084293A" w:rsidRDefault="00A51149" w:rsidP="0084293A">
            <w:pPr>
              <w:pStyle w:val="TableCentre"/>
            </w:pPr>
            <w:r w:rsidRPr="0084293A">
              <w:t>5 (1)</w:t>
            </w:r>
          </w:p>
        </w:tc>
        <w:tc>
          <w:tcPr>
            <w:tcW w:w="866" w:type="pct"/>
            <w:vAlign w:val="center"/>
          </w:tcPr>
          <w:p w14:paraId="4D8B8A91" w14:textId="62E35B1C" w:rsidR="00A51149" w:rsidRPr="0084293A" w:rsidRDefault="00A51149" w:rsidP="0084293A">
            <w:pPr>
              <w:pStyle w:val="TableCentre"/>
            </w:pPr>
            <w:r w:rsidRPr="0084293A">
              <w:t>14 (0)</w:t>
            </w:r>
          </w:p>
        </w:tc>
        <w:tc>
          <w:tcPr>
            <w:tcW w:w="865" w:type="pct"/>
            <w:vAlign w:val="center"/>
          </w:tcPr>
          <w:p w14:paraId="7D4FBDC8" w14:textId="1325D3C1" w:rsidR="00A51149" w:rsidRPr="0084293A" w:rsidRDefault="00A51149" w:rsidP="0084293A">
            <w:pPr>
              <w:pStyle w:val="TableCentre"/>
            </w:pPr>
            <w:r w:rsidRPr="0084293A">
              <w:t>17 (0)</w:t>
            </w:r>
          </w:p>
        </w:tc>
        <w:tc>
          <w:tcPr>
            <w:tcW w:w="943" w:type="pct"/>
            <w:vAlign w:val="center"/>
          </w:tcPr>
          <w:p w14:paraId="77308B14" w14:textId="0692DEF1" w:rsidR="00A51149" w:rsidRPr="0084293A" w:rsidRDefault="00A51149" w:rsidP="0084293A">
            <w:pPr>
              <w:pStyle w:val="TableCentre"/>
            </w:pPr>
            <w:r w:rsidRPr="0084293A">
              <w:t>9*** (1)</w:t>
            </w:r>
          </w:p>
        </w:tc>
        <w:tc>
          <w:tcPr>
            <w:tcW w:w="1019" w:type="pct"/>
            <w:vAlign w:val="center"/>
          </w:tcPr>
          <w:p w14:paraId="1C546DFC" w14:textId="14C3130A" w:rsidR="00A51149" w:rsidRPr="0084293A" w:rsidRDefault="00A51149" w:rsidP="0084293A">
            <w:pPr>
              <w:pStyle w:val="TableCentre"/>
            </w:pPr>
            <w:r w:rsidRPr="0084293A">
              <w:t>12*** (1)</w:t>
            </w:r>
          </w:p>
        </w:tc>
      </w:tr>
      <w:tr w:rsidR="00EA67B1" w:rsidRPr="004F3422" w14:paraId="2187A196" w14:textId="77777777" w:rsidTr="00EA67B1">
        <w:trPr>
          <w:trHeight w:val="358"/>
        </w:trPr>
        <w:tc>
          <w:tcPr>
            <w:tcW w:w="836" w:type="pct"/>
            <w:tcBorders>
              <w:bottom w:val="single" w:sz="4" w:space="0" w:color="auto"/>
            </w:tcBorders>
          </w:tcPr>
          <w:p w14:paraId="3D5155D5" w14:textId="77777777" w:rsidR="00A51149" w:rsidRPr="00A43335" w:rsidRDefault="00A51149" w:rsidP="00A43335">
            <w:pPr>
              <w:pStyle w:val="TableText"/>
            </w:pPr>
            <w:r w:rsidRPr="00A43335">
              <w:lastRenderedPageBreak/>
              <w:t>Month 1</w:t>
            </w:r>
          </w:p>
          <w:p w14:paraId="092222DC" w14:textId="77777777" w:rsidR="00A51149" w:rsidRPr="00EA3B1D" w:rsidRDefault="00A51149" w:rsidP="00325106">
            <w:pPr>
              <w:pStyle w:val="TableText"/>
            </w:pPr>
            <w:r w:rsidRPr="00EA3B1D">
              <w:t>LSM Change from Baseline</w:t>
            </w:r>
          </w:p>
          <w:p w14:paraId="7456A34B" w14:textId="632B7D39" w:rsidR="00A51149" w:rsidRPr="00EA3B1D" w:rsidRDefault="00A51149" w:rsidP="00325106">
            <w:pPr>
              <w:pStyle w:val="TableText"/>
              <w:rPr>
                <w:lang w:val="en-AU"/>
              </w:rPr>
            </w:pPr>
            <w:r w:rsidRPr="00EA3B1D">
              <w:t>(</w:t>
            </w:r>
            <w:r>
              <w:t>SER</w:t>
            </w:r>
            <w:r w:rsidRPr="00EA3B1D">
              <w:t>)</w:t>
            </w:r>
          </w:p>
        </w:tc>
        <w:tc>
          <w:tcPr>
            <w:tcW w:w="471" w:type="pct"/>
            <w:tcBorders>
              <w:bottom w:val="single" w:sz="4" w:space="0" w:color="auto"/>
            </w:tcBorders>
            <w:vAlign w:val="center"/>
          </w:tcPr>
          <w:p w14:paraId="3AC3690F" w14:textId="0CAA1814" w:rsidR="00A51149" w:rsidRPr="0084293A" w:rsidRDefault="00A51149" w:rsidP="0084293A">
            <w:pPr>
              <w:pStyle w:val="TableCentre"/>
            </w:pPr>
            <w:r w:rsidRPr="0084293A">
              <w:t>6 (1)</w:t>
            </w:r>
          </w:p>
        </w:tc>
        <w:tc>
          <w:tcPr>
            <w:tcW w:w="866" w:type="pct"/>
            <w:tcBorders>
              <w:bottom w:val="single" w:sz="4" w:space="0" w:color="auto"/>
            </w:tcBorders>
            <w:vAlign w:val="center"/>
          </w:tcPr>
          <w:p w14:paraId="75A2452E" w14:textId="1682D6D1" w:rsidR="00A51149" w:rsidRPr="0084293A" w:rsidRDefault="00A51149" w:rsidP="0084293A">
            <w:pPr>
              <w:pStyle w:val="TableCentre"/>
            </w:pPr>
            <w:r w:rsidRPr="0084293A">
              <w:t>13 (1)</w:t>
            </w:r>
          </w:p>
        </w:tc>
        <w:tc>
          <w:tcPr>
            <w:tcW w:w="865" w:type="pct"/>
            <w:tcBorders>
              <w:bottom w:val="single" w:sz="4" w:space="0" w:color="auto"/>
            </w:tcBorders>
            <w:vAlign w:val="center"/>
          </w:tcPr>
          <w:p w14:paraId="6D44E2A7" w14:textId="7A91CF3A" w:rsidR="00A51149" w:rsidRPr="0084293A" w:rsidRDefault="00A51149" w:rsidP="0084293A">
            <w:pPr>
              <w:pStyle w:val="TableCentre"/>
            </w:pPr>
            <w:r w:rsidRPr="0084293A">
              <w:t>14 (1)</w:t>
            </w:r>
          </w:p>
        </w:tc>
        <w:tc>
          <w:tcPr>
            <w:tcW w:w="943" w:type="pct"/>
            <w:tcBorders>
              <w:bottom w:val="single" w:sz="4" w:space="0" w:color="auto"/>
            </w:tcBorders>
            <w:vAlign w:val="center"/>
          </w:tcPr>
          <w:p w14:paraId="06B82512" w14:textId="25BD46D2" w:rsidR="00A51149" w:rsidRPr="0084293A" w:rsidRDefault="00A51149" w:rsidP="0084293A">
            <w:pPr>
              <w:pStyle w:val="TableCentre"/>
            </w:pPr>
            <w:r w:rsidRPr="0084293A">
              <w:t>7*** (1)</w:t>
            </w:r>
          </w:p>
        </w:tc>
        <w:tc>
          <w:tcPr>
            <w:tcW w:w="1019" w:type="pct"/>
            <w:tcBorders>
              <w:bottom w:val="single" w:sz="4" w:space="0" w:color="auto"/>
            </w:tcBorders>
            <w:vAlign w:val="center"/>
          </w:tcPr>
          <w:p w14:paraId="6172D584" w14:textId="1F5A2899" w:rsidR="00A51149" w:rsidRPr="0084293A" w:rsidRDefault="00A51149" w:rsidP="0084293A">
            <w:pPr>
              <w:pStyle w:val="TableCentre"/>
            </w:pPr>
            <w:r w:rsidRPr="0084293A">
              <w:t>8*** (1)</w:t>
            </w:r>
          </w:p>
        </w:tc>
      </w:tr>
      <w:tr w:rsidR="00A51149" w:rsidRPr="004F3422" w14:paraId="0F600407" w14:textId="77777777" w:rsidTr="00A51149">
        <w:trPr>
          <w:trHeight w:val="152"/>
        </w:trPr>
        <w:tc>
          <w:tcPr>
            <w:tcW w:w="5000" w:type="pct"/>
            <w:gridSpan w:val="6"/>
          </w:tcPr>
          <w:p w14:paraId="0EB229C4" w14:textId="0891B2CE" w:rsidR="00A51149" w:rsidRPr="00635FE6" w:rsidRDefault="00A51149" w:rsidP="00A43335">
            <w:pPr>
              <w:pStyle w:val="TableHeading"/>
            </w:pPr>
            <w:r w:rsidRPr="00635FE6">
              <w:t>Sleep Maintenance (WASO), minutes</w:t>
            </w:r>
          </w:p>
        </w:tc>
      </w:tr>
      <w:tr w:rsidR="00EA67B1" w:rsidRPr="004F3422" w14:paraId="4266F199" w14:textId="77777777" w:rsidTr="00EA67B1">
        <w:trPr>
          <w:trHeight w:val="164"/>
        </w:trPr>
        <w:tc>
          <w:tcPr>
            <w:tcW w:w="836" w:type="pct"/>
          </w:tcPr>
          <w:p w14:paraId="5F68C4D1" w14:textId="77777777" w:rsidR="00A51149" w:rsidRPr="00A43335" w:rsidRDefault="00A51149" w:rsidP="00A43335">
            <w:pPr>
              <w:pStyle w:val="TableText"/>
            </w:pPr>
            <w:r w:rsidRPr="00A43335">
              <w:t xml:space="preserve">Baseline </w:t>
            </w:r>
          </w:p>
          <w:p w14:paraId="117C8A5A" w14:textId="072ACF2D" w:rsidR="00A51149" w:rsidRPr="00325106" w:rsidRDefault="00A51149" w:rsidP="00325106">
            <w:pPr>
              <w:pStyle w:val="TableText"/>
            </w:pPr>
            <w:r w:rsidRPr="00325106">
              <w:t>Mean (SD)</w:t>
            </w:r>
          </w:p>
        </w:tc>
        <w:tc>
          <w:tcPr>
            <w:tcW w:w="471" w:type="pct"/>
            <w:vAlign w:val="center"/>
          </w:tcPr>
          <w:p w14:paraId="71D449DA" w14:textId="040015A8" w:rsidR="00A51149" w:rsidRPr="0084293A" w:rsidRDefault="00A51149" w:rsidP="0084293A">
            <w:pPr>
              <w:pStyle w:val="TableCentre"/>
            </w:pPr>
            <w:r w:rsidRPr="0084293A">
              <w:t>112 (37)</w:t>
            </w:r>
          </w:p>
        </w:tc>
        <w:tc>
          <w:tcPr>
            <w:tcW w:w="866" w:type="pct"/>
            <w:vAlign w:val="center"/>
          </w:tcPr>
          <w:p w14:paraId="78222202" w14:textId="11DB3304" w:rsidR="00A51149" w:rsidRPr="0084293A" w:rsidRDefault="00A51149" w:rsidP="0084293A">
            <w:pPr>
              <w:pStyle w:val="TableCentre"/>
            </w:pPr>
            <w:r w:rsidRPr="0084293A">
              <w:t>113 (39)</w:t>
            </w:r>
          </w:p>
        </w:tc>
        <w:tc>
          <w:tcPr>
            <w:tcW w:w="865" w:type="pct"/>
            <w:vAlign w:val="center"/>
          </w:tcPr>
          <w:p w14:paraId="507FA3A2" w14:textId="2F97C8BB" w:rsidR="00A51149" w:rsidRPr="0084293A" w:rsidRDefault="00A51149" w:rsidP="0084293A">
            <w:pPr>
              <w:pStyle w:val="TableCentre"/>
            </w:pPr>
            <w:r w:rsidRPr="0084293A">
              <w:t>115 (40)</w:t>
            </w:r>
          </w:p>
        </w:tc>
        <w:tc>
          <w:tcPr>
            <w:tcW w:w="943" w:type="pct"/>
            <w:shd w:val="clear" w:color="auto" w:fill="BFBFBF" w:themeFill="background1" w:themeFillShade="BF"/>
            <w:vAlign w:val="center"/>
          </w:tcPr>
          <w:p w14:paraId="4BB54FE6" w14:textId="77777777" w:rsidR="00A51149" w:rsidRPr="0084293A" w:rsidRDefault="00A51149" w:rsidP="0084293A">
            <w:pPr>
              <w:pStyle w:val="TableCentre"/>
            </w:pPr>
          </w:p>
        </w:tc>
        <w:tc>
          <w:tcPr>
            <w:tcW w:w="1019" w:type="pct"/>
            <w:shd w:val="clear" w:color="auto" w:fill="BFBFBF" w:themeFill="background1" w:themeFillShade="BF"/>
            <w:vAlign w:val="center"/>
          </w:tcPr>
          <w:p w14:paraId="05C7006D" w14:textId="77777777" w:rsidR="00A51149" w:rsidRPr="0084293A" w:rsidRDefault="00A51149" w:rsidP="0084293A">
            <w:pPr>
              <w:pStyle w:val="TableCentre"/>
            </w:pPr>
          </w:p>
        </w:tc>
      </w:tr>
      <w:tr w:rsidR="00EA67B1" w:rsidRPr="004F3422" w14:paraId="391094DC" w14:textId="77777777" w:rsidTr="00EA67B1">
        <w:trPr>
          <w:trHeight w:val="358"/>
        </w:trPr>
        <w:tc>
          <w:tcPr>
            <w:tcW w:w="836" w:type="pct"/>
          </w:tcPr>
          <w:p w14:paraId="024F5879" w14:textId="77777777" w:rsidR="00A51149" w:rsidRPr="00A43335" w:rsidRDefault="00A51149" w:rsidP="00A43335">
            <w:pPr>
              <w:pStyle w:val="TableText"/>
            </w:pPr>
            <w:r w:rsidRPr="00A43335">
              <w:t>Days 1/2</w:t>
            </w:r>
          </w:p>
          <w:p w14:paraId="3901BDEC" w14:textId="105AAD38" w:rsidR="00A51149" w:rsidRPr="00EA3B1D" w:rsidRDefault="00A51149" w:rsidP="00325106">
            <w:pPr>
              <w:pStyle w:val="TableText"/>
              <w:rPr>
                <w:lang w:val="en-AU"/>
              </w:rPr>
            </w:pPr>
            <w:r w:rsidRPr="00EA3B1D">
              <w:t>LSM Change from Baseline (</w:t>
            </w:r>
            <w:r>
              <w:t>SER</w:t>
            </w:r>
            <w:r w:rsidRPr="00EA3B1D">
              <w:t>)</w:t>
            </w:r>
          </w:p>
        </w:tc>
        <w:tc>
          <w:tcPr>
            <w:tcW w:w="471" w:type="pct"/>
            <w:vAlign w:val="center"/>
          </w:tcPr>
          <w:p w14:paraId="12DFE7C6" w14:textId="2E9EA39F" w:rsidR="00A51149" w:rsidRPr="0084293A" w:rsidRDefault="00A51149" w:rsidP="0084293A">
            <w:pPr>
              <w:pStyle w:val="TableCentre"/>
            </w:pPr>
            <w:r w:rsidRPr="0084293A">
              <w:t>-18 (2)</w:t>
            </w:r>
          </w:p>
        </w:tc>
        <w:tc>
          <w:tcPr>
            <w:tcW w:w="866" w:type="pct"/>
            <w:vAlign w:val="center"/>
          </w:tcPr>
          <w:p w14:paraId="32CB43AA" w14:textId="4105C545" w:rsidR="00A51149" w:rsidRPr="0084293A" w:rsidRDefault="00A51149" w:rsidP="0084293A">
            <w:pPr>
              <w:pStyle w:val="TableCentre"/>
            </w:pPr>
            <w:r w:rsidRPr="0084293A">
              <w:t>-51 (2)</w:t>
            </w:r>
          </w:p>
        </w:tc>
        <w:tc>
          <w:tcPr>
            <w:tcW w:w="865" w:type="pct"/>
            <w:vAlign w:val="center"/>
          </w:tcPr>
          <w:p w14:paraId="3AEF9518" w14:textId="17391B08" w:rsidR="00A51149" w:rsidRPr="0084293A" w:rsidRDefault="00A51149" w:rsidP="0084293A">
            <w:pPr>
              <w:pStyle w:val="TableCentre"/>
            </w:pPr>
            <w:r w:rsidRPr="0084293A">
              <w:t>-60 (2)</w:t>
            </w:r>
          </w:p>
        </w:tc>
        <w:tc>
          <w:tcPr>
            <w:tcW w:w="943" w:type="pct"/>
            <w:vAlign w:val="center"/>
          </w:tcPr>
          <w:p w14:paraId="14378660" w14:textId="5E7F5A95" w:rsidR="00A51149" w:rsidRPr="0084293A" w:rsidRDefault="00A51149" w:rsidP="0084293A">
            <w:pPr>
              <w:pStyle w:val="TableCentre"/>
            </w:pPr>
            <w:r w:rsidRPr="0084293A">
              <w:t>-33*** (3)</w:t>
            </w:r>
          </w:p>
        </w:tc>
        <w:tc>
          <w:tcPr>
            <w:tcW w:w="1019" w:type="pct"/>
            <w:vAlign w:val="center"/>
          </w:tcPr>
          <w:p w14:paraId="312ABD62" w14:textId="31263F95" w:rsidR="00A51149" w:rsidRPr="0084293A" w:rsidRDefault="00A51149" w:rsidP="0084293A">
            <w:pPr>
              <w:pStyle w:val="TableCentre"/>
            </w:pPr>
            <w:r w:rsidRPr="0084293A">
              <w:t>-42*** (3)</w:t>
            </w:r>
          </w:p>
        </w:tc>
      </w:tr>
      <w:tr w:rsidR="00EA67B1" w:rsidRPr="004F3422" w14:paraId="2254CD88" w14:textId="77777777" w:rsidTr="00EA67B1">
        <w:trPr>
          <w:trHeight w:val="343"/>
        </w:trPr>
        <w:tc>
          <w:tcPr>
            <w:tcW w:w="836" w:type="pct"/>
            <w:tcBorders>
              <w:bottom w:val="single" w:sz="4" w:space="0" w:color="auto"/>
            </w:tcBorders>
          </w:tcPr>
          <w:p w14:paraId="4C2B8607" w14:textId="77777777" w:rsidR="00A51149" w:rsidRPr="00A43335" w:rsidRDefault="00A51149" w:rsidP="00A43335">
            <w:pPr>
              <w:pStyle w:val="TableText"/>
            </w:pPr>
            <w:r w:rsidRPr="00A43335">
              <w:t>Month 1</w:t>
            </w:r>
          </w:p>
          <w:p w14:paraId="60901F0E" w14:textId="77777777" w:rsidR="00A51149" w:rsidRPr="00EA3B1D" w:rsidRDefault="00A51149" w:rsidP="00325106">
            <w:pPr>
              <w:pStyle w:val="TableText"/>
            </w:pPr>
            <w:r w:rsidRPr="00EA3B1D">
              <w:t>LSM Change from Baseline</w:t>
            </w:r>
          </w:p>
          <w:p w14:paraId="3CC186AC" w14:textId="01B3F5D8" w:rsidR="00A51149" w:rsidRPr="00EA3B1D" w:rsidRDefault="00A51149" w:rsidP="00325106">
            <w:pPr>
              <w:pStyle w:val="TableText"/>
              <w:rPr>
                <w:lang w:val="en-AU"/>
              </w:rPr>
            </w:pPr>
            <w:r w:rsidRPr="00EA3B1D">
              <w:t>(</w:t>
            </w:r>
            <w:r>
              <w:t>SER</w:t>
            </w:r>
            <w:r w:rsidRPr="00EA3B1D">
              <w:t>)</w:t>
            </w:r>
          </w:p>
        </w:tc>
        <w:tc>
          <w:tcPr>
            <w:tcW w:w="471" w:type="pct"/>
            <w:tcBorders>
              <w:bottom w:val="single" w:sz="4" w:space="0" w:color="auto"/>
            </w:tcBorders>
            <w:vAlign w:val="center"/>
          </w:tcPr>
          <w:p w14:paraId="67583CF0" w14:textId="1DABB23B" w:rsidR="00A51149" w:rsidRPr="0084293A" w:rsidRDefault="00A51149" w:rsidP="0084293A">
            <w:pPr>
              <w:pStyle w:val="TableCentre"/>
            </w:pPr>
            <w:r w:rsidRPr="0084293A">
              <w:t>-21 (2)</w:t>
            </w:r>
          </w:p>
        </w:tc>
        <w:tc>
          <w:tcPr>
            <w:tcW w:w="866" w:type="pct"/>
            <w:tcBorders>
              <w:bottom w:val="single" w:sz="4" w:space="0" w:color="auto"/>
            </w:tcBorders>
            <w:vAlign w:val="center"/>
          </w:tcPr>
          <w:p w14:paraId="3F26B5D4" w14:textId="16200C3D" w:rsidR="00A51149" w:rsidRPr="0084293A" w:rsidRDefault="00A51149" w:rsidP="0084293A">
            <w:pPr>
              <w:pStyle w:val="TableCentre"/>
            </w:pPr>
            <w:r w:rsidRPr="0084293A">
              <w:t>-45 (2)</w:t>
            </w:r>
          </w:p>
        </w:tc>
        <w:tc>
          <w:tcPr>
            <w:tcW w:w="865" w:type="pct"/>
            <w:tcBorders>
              <w:bottom w:val="single" w:sz="4" w:space="0" w:color="auto"/>
            </w:tcBorders>
            <w:vAlign w:val="center"/>
          </w:tcPr>
          <w:p w14:paraId="4B1A5C68" w14:textId="47958DB6" w:rsidR="00A51149" w:rsidRPr="0084293A" w:rsidRDefault="00A51149" w:rsidP="0084293A">
            <w:pPr>
              <w:pStyle w:val="TableCentre"/>
            </w:pPr>
            <w:r w:rsidRPr="0084293A">
              <w:t>-47 (2)</w:t>
            </w:r>
          </w:p>
        </w:tc>
        <w:tc>
          <w:tcPr>
            <w:tcW w:w="943" w:type="pct"/>
            <w:tcBorders>
              <w:bottom w:val="single" w:sz="4" w:space="0" w:color="auto"/>
            </w:tcBorders>
            <w:vAlign w:val="center"/>
          </w:tcPr>
          <w:p w14:paraId="4D57EC2E" w14:textId="343B6297" w:rsidR="00A51149" w:rsidRPr="0084293A" w:rsidRDefault="00A51149" w:rsidP="0084293A">
            <w:pPr>
              <w:pStyle w:val="TableCentre"/>
            </w:pPr>
            <w:r w:rsidRPr="0084293A">
              <w:t>-24*** (3)</w:t>
            </w:r>
          </w:p>
        </w:tc>
        <w:tc>
          <w:tcPr>
            <w:tcW w:w="1019" w:type="pct"/>
            <w:tcBorders>
              <w:bottom w:val="single" w:sz="4" w:space="0" w:color="auto"/>
            </w:tcBorders>
            <w:vAlign w:val="center"/>
          </w:tcPr>
          <w:p w14:paraId="410C77DA" w14:textId="2A22F979" w:rsidR="00A51149" w:rsidRPr="0084293A" w:rsidRDefault="00A51149" w:rsidP="0084293A">
            <w:pPr>
              <w:pStyle w:val="TableCentre"/>
            </w:pPr>
            <w:r w:rsidRPr="0084293A">
              <w:t>-25*** (3)</w:t>
            </w:r>
          </w:p>
        </w:tc>
      </w:tr>
      <w:tr w:rsidR="00A51149" w:rsidRPr="004F3422" w14:paraId="417BDAC1" w14:textId="77777777" w:rsidTr="00A51149">
        <w:trPr>
          <w:trHeight w:val="164"/>
        </w:trPr>
        <w:tc>
          <w:tcPr>
            <w:tcW w:w="5000" w:type="pct"/>
            <w:gridSpan w:val="6"/>
          </w:tcPr>
          <w:p w14:paraId="2ECF0888" w14:textId="46622E40" w:rsidR="00A51149" w:rsidRPr="00635FE6" w:rsidRDefault="00A51149" w:rsidP="00A43335">
            <w:pPr>
              <w:pStyle w:val="TableHeading"/>
            </w:pPr>
            <w:r w:rsidRPr="00635FE6">
              <w:t>Sleep Maintenance (WASO2H), minutes</w:t>
            </w:r>
          </w:p>
        </w:tc>
      </w:tr>
      <w:tr w:rsidR="00EA67B1" w:rsidRPr="004F3422" w14:paraId="362156C7" w14:textId="77777777" w:rsidTr="00EA67B1">
        <w:trPr>
          <w:trHeight w:val="164"/>
        </w:trPr>
        <w:tc>
          <w:tcPr>
            <w:tcW w:w="836" w:type="pct"/>
          </w:tcPr>
          <w:p w14:paraId="4ECC91F3" w14:textId="77777777" w:rsidR="00A51149" w:rsidRPr="00A43335" w:rsidRDefault="00A51149" w:rsidP="00A43335">
            <w:pPr>
              <w:pStyle w:val="TableText"/>
            </w:pPr>
            <w:r w:rsidRPr="00A43335">
              <w:t xml:space="preserve">Baseline </w:t>
            </w:r>
          </w:p>
          <w:p w14:paraId="5A85E509" w14:textId="2803626F" w:rsidR="00A51149" w:rsidRPr="00325106" w:rsidRDefault="00A51149" w:rsidP="00325106">
            <w:pPr>
              <w:pStyle w:val="TableText"/>
            </w:pPr>
            <w:r w:rsidRPr="00325106">
              <w:t>Mean (SD)</w:t>
            </w:r>
          </w:p>
        </w:tc>
        <w:tc>
          <w:tcPr>
            <w:tcW w:w="471" w:type="pct"/>
            <w:vAlign w:val="center"/>
          </w:tcPr>
          <w:p w14:paraId="5DB07ACF" w14:textId="50999CC5" w:rsidR="00A51149" w:rsidRPr="0084293A" w:rsidRDefault="00A51149" w:rsidP="0084293A">
            <w:pPr>
              <w:pStyle w:val="TableCentre"/>
            </w:pPr>
            <w:r w:rsidRPr="0084293A">
              <w:t>74 (30)</w:t>
            </w:r>
          </w:p>
        </w:tc>
        <w:tc>
          <w:tcPr>
            <w:tcW w:w="866" w:type="pct"/>
            <w:vAlign w:val="center"/>
          </w:tcPr>
          <w:p w14:paraId="566450A8" w14:textId="2CCA60A8" w:rsidR="00A51149" w:rsidRPr="0084293A" w:rsidRDefault="00A51149" w:rsidP="0084293A">
            <w:pPr>
              <w:pStyle w:val="TableCentre"/>
            </w:pPr>
            <w:r w:rsidRPr="0084293A">
              <w:t>77 (33)</w:t>
            </w:r>
          </w:p>
        </w:tc>
        <w:tc>
          <w:tcPr>
            <w:tcW w:w="865" w:type="pct"/>
            <w:vAlign w:val="center"/>
          </w:tcPr>
          <w:p w14:paraId="617727BA" w14:textId="687F1A05" w:rsidR="00A51149" w:rsidRPr="0084293A" w:rsidRDefault="00A51149" w:rsidP="0084293A">
            <w:pPr>
              <w:pStyle w:val="TableCentre"/>
            </w:pPr>
            <w:r w:rsidRPr="0084293A">
              <w:t>77 (32)</w:t>
            </w:r>
          </w:p>
        </w:tc>
        <w:tc>
          <w:tcPr>
            <w:tcW w:w="943" w:type="pct"/>
            <w:shd w:val="clear" w:color="auto" w:fill="BFBFBF" w:themeFill="background1" w:themeFillShade="BF"/>
            <w:vAlign w:val="center"/>
          </w:tcPr>
          <w:p w14:paraId="333BFD96" w14:textId="77777777" w:rsidR="00A51149" w:rsidRPr="0084293A" w:rsidRDefault="00A51149" w:rsidP="0084293A">
            <w:pPr>
              <w:pStyle w:val="TableCentre"/>
            </w:pPr>
          </w:p>
        </w:tc>
        <w:tc>
          <w:tcPr>
            <w:tcW w:w="1019" w:type="pct"/>
            <w:shd w:val="clear" w:color="auto" w:fill="BFBFBF" w:themeFill="background1" w:themeFillShade="BF"/>
            <w:vAlign w:val="center"/>
          </w:tcPr>
          <w:p w14:paraId="1F7C365D" w14:textId="77777777" w:rsidR="00A51149" w:rsidRPr="0084293A" w:rsidRDefault="00A51149" w:rsidP="0084293A">
            <w:pPr>
              <w:pStyle w:val="TableCentre"/>
            </w:pPr>
          </w:p>
        </w:tc>
      </w:tr>
      <w:tr w:rsidR="00EA67B1" w:rsidRPr="004F3422" w14:paraId="5F6C957E" w14:textId="77777777" w:rsidTr="00EA67B1">
        <w:trPr>
          <w:trHeight w:val="358"/>
        </w:trPr>
        <w:tc>
          <w:tcPr>
            <w:tcW w:w="836" w:type="pct"/>
          </w:tcPr>
          <w:p w14:paraId="380ADA66" w14:textId="77777777" w:rsidR="00A51149" w:rsidRPr="00A43335" w:rsidRDefault="00A51149" w:rsidP="00A43335">
            <w:pPr>
              <w:pStyle w:val="TableText"/>
            </w:pPr>
            <w:r w:rsidRPr="00A43335">
              <w:t>Days 1/2</w:t>
            </w:r>
          </w:p>
          <w:p w14:paraId="4E81EB9F" w14:textId="77777777" w:rsidR="00A51149" w:rsidRPr="00EA3B1D" w:rsidRDefault="00A51149" w:rsidP="00325106">
            <w:pPr>
              <w:pStyle w:val="TableText"/>
            </w:pPr>
            <w:r w:rsidRPr="00EA3B1D">
              <w:t>LSM Change from Baseline</w:t>
            </w:r>
          </w:p>
          <w:p w14:paraId="1369472F" w14:textId="5CEE1E08" w:rsidR="00A51149" w:rsidRPr="00EA3B1D" w:rsidRDefault="00A51149" w:rsidP="00325106">
            <w:pPr>
              <w:pStyle w:val="TableText"/>
              <w:rPr>
                <w:lang w:val="en-AU"/>
              </w:rPr>
            </w:pPr>
            <w:r w:rsidRPr="00EA3B1D">
              <w:t>(</w:t>
            </w:r>
            <w:r>
              <w:t>SER</w:t>
            </w:r>
            <w:r w:rsidRPr="00EA3B1D">
              <w:t>)</w:t>
            </w:r>
          </w:p>
        </w:tc>
        <w:tc>
          <w:tcPr>
            <w:tcW w:w="471" w:type="pct"/>
            <w:vAlign w:val="center"/>
          </w:tcPr>
          <w:p w14:paraId="48DC9E88" w14:textId="60D348B1" w:rsidR="00A51149" w:rsidRPr="0084293A" w:rsidRDefault="00A51149" w:rsidP="0084293A">
            <w:pPr>
              <w:pStyle w:val="TableCentre"/>
            </w:pPr>
            <w:r w:rsidRPr="0084293A">
              <w:t>-9 (2)</w:t>
            </w:r>
          </w:p>
        </w:tc>
        <w:tc>
          <w:tcPr>
            <w:tcW w:w="866" w:type="pct"/>
            <w:vAlign w:val="center"/>
          </w:tcPr>
          <w:p w14:paraId="52BA93AF" w14:textId="4590CF70" w:rsidR="00A51149" w:rsidRPr="0084293A" w:rsidRDefault="00A51149" w:rsidP="0084293A">
            <w:pPr>
              <w:pStyle w:val="TableCentre"/>
            </w:pPr>
            <w:r w:rsidRPr="0084293A">
              <w:t>-30 (2)</w:t>
            </w:r>
          </w:p>
        </w:tc>
        <w:tc>
          <w:tcPr>
            <w:tcW w:w="865" w:type="pct"/>
            <w:vAlign w:val="center"/>
          </w:tcPr>
          <w:p w14:paraId="5AC076F7" w14:textId="6FB5E7DB" w:rsidR="00A51149" w:rsidRPr="0084293A" w:rsidRDefault="00A51149" w:rsidP="0084293A">
            <w:pPr>
              <w:pStyle w:val="TableCentre"/>
            </w:pPr>
            <w:r w:rsidRPr="0084293A">
              <w:t>-37 (2)</w:t>
            </w:r>
          </w:p>
        </w:tc>
        <w:tc>
          <w:tcPr>
            <w:tcW w:w="943" w:type="pct"/>
            <w:vAlign w:val="center"/>
          </w:tcPr>
          <w:p w14:paraId="24A0CC21" w14:textId="0EFD83B7" w:rsidR="00A51149" w:rsidRPr="0084293A" w:rsidRDefault="00A51149" w:rsidP="0084293A">
            <w:pPr>
              <w:pStyle w:val="TableCentre"/>
            </w:pPr>
            <w:r w:rsidRPr="0084293A">
              <w:t>-22*** (2)</w:t>
            </w:r>
          </w:p>
        </w:tc>
        <w:tc>
          <w:tcPr>
            <w:tcW w:w="1019" w:type="pct"/>
            <w:vAlign w:val="center"/>
          </w:tcPr>
          <w:p w14:paraId="47C3E521" w14:textId="68F479AF" w:rsidR="00A51149" w:rsidRPr="0084293A" w:rsidRDefault="00A51149" w:rsidP="0084293A">
            <w:pPr>
              <w:pStyle w:val="TableCentre"/>
            </w:pPr>
            <w:r w:rsidRPr="0084293A">
              <w:t>-28*** (2)</w:t>
            </w:r>
          </w:p>
        </w:tc>
      </w:tr>
      <w:tr w:rsidR="00EA67B1" w:rsidRPr="00E127AE" w14:paraId="13C18F65" w14:textId="77777777" w:rsidTr="00EA67B1">
        <w:trPr>
          <w:trHeight w:val="343"/>
        </w:trPr>
        <w:tc>
          <w:tcPr>
            <w:tcW w:w="836" w:type="pct"/>
            <w:tcBorders>
              <w:bottom w:val="single" w:sz="4" w:space="0" w:color="auto"/>
            </w:tcBorders>
          </w:tcPr>
          <w:p w14:paraId="63AFDBA3" w14:textId="77777777" w:rsidR="00A51149" w:rsidRPr="00A43335" w:rsidRDefault="00A51149" w:rsidP="00A43335">
            <w:pPr>
              <w:pStyle w:val="TableText"/>
            </w:pPr>
            <w:r w:rsidRPr="00A43335">
              <w:t>Month 1</w:t>
            </w:r>
          </w:p>
          <w:p w14:paraId="38123D7A" w14:textId="77777777" w:rsidR="00A51149" w:rsidRPr="00EA3B1D" w:rsidRDefault="00A51149" w:rsidP="00325106">
            <w:pPr>
              <w:pStyle w:val="TableText"/>
            </w:pPr>
            <w:r w:rsidRPr="00EA3B1D">
              <w:t>LSM Change from Baseline</w:t>
            </w:r>
          </w:p>
          <w:p w14:paraId="6C89E663" w14:textId="3603087A" w:rsidR="00A51149" w:rsidRPr="00EA3B1D" w:rsidRDefault="00A51149" w:rsidP="00325106">
            <w:pPr>
              <w:pStyle w:val="TableText"/>
              <w:rPr>
                <w:lang w:val="en-AU"/>
              </w:rPr>
            </w:pPr>
            <w:r w:rsidRPr="00EA3B1D">
              <w:t>(</w:t>
            </w:r>
            <w:r>
              <w:t>SER</w:t>
            </w:r>
            <w:r w:rsidRPr="00EA3B1D">
              <w:t>)</w:t>
            </w:r>
          </w:p>
        </w:tc>
        <w:tc>
          <w:tcPr>
            <w:tcW w:w="471" w:type="pct"/>
            <w:tcBorders>
              <w:bottom w:val="single" w:sz="4" w:space="0" w:color="auto"/>
            </w:tcBorders>
            <w:vAlign w:val="center"/>
          </w:tcPr>
          <w:p w14:paraId="01584C92" w14:textId="17A53ECB" w:rsidR="00A51149" w:rsidRPr="0084293A" w:rsidRDefault="00A51149" w:rsidP="0084293A">
            <w:pPr>
              <w:pStyle w:val="TableCentre"/>
            </w:pPr>
            <w:r w:rsidRPr="0084293A">
              <w:t>-11 (2)</w:t>
            </w:r>
          </w:p>
        </w:tc>
        <w:tc>
          <w:tcPr>
            <w:tcW w:w="866" w:type="pct"/>
            <w:tcBorders>
              <w:bottom w:val="single" w:sz="4" w:space="0" w:color="auto"/>
            </w:tcBorders>
            <w:vAlign w:val="center"/>
          </w:tcPr>
          <w:p w14:paraId="337E2008" w14:textId="6A0240DA" w:rsidR="00A51149" w:rsidRPr="0084293A" w:rsidRDefault="00A51149" w:rsidP="0084293A">
            <w:pPr>
              <w:pStyle w:val="TableCentre"/>
            </w:pPr>
            <w:r w:rsidRPr="0084293A">
              <w:t>-27 (2)</w:t>
            </w:r>
          </w:p>
        </w:tc>
        <w:tc>
          <w:tcPr>
            <w:tcW w:w="865" w:type="pct"/>
            <w:tcBorders>
              <w:bottom w:val="single" w:sz="4" w:space="0" w:color="auto"/>
            </w:tcBorders>
            <w:vAlign w:val="center"/>
          </w:tcPr>
          <w:p w14:paraId="089FA615" w14:textId="41C2B8E8" w:rsidR="00A51149" w:rsidRPr="0084293A" w:rsidRDefault="00A51149" w:rsidP="0084293A">
            <w:pPr>
              <w:pStyle w:val="TableCentre"/>
            </w:pPr>
            <w:r w:rsidRPr="0084293A">
              <w:t>-29 (2)</w:t>
            </w:r>
          </w:p>
        </w:tc>
        <w:tc>
          <w:tcPr>
            <w:tcW w:w="943" w:type="pct"/>
            <w:tcBorders>
              <w:bottom w:val="single" w:sz="4" w:space="0" w:color="auto"/>
            </w:tcBorders>
            <w:vAlign w:val="center"/>
          </w:tcPr>
          <w:p w14:paraId="6FB32411" w14:textId="165B2581" w:rsidR="00A51149" w:rsidRPr="0084293A" w:rsidRDefault="00A51149" w:rsidP="0084293A">
            <w:pPr>
              <w:pStyle w:val="TableCentre"/>
            </w:pPr>
            <w:r w:rsidRPr="0084293A">
              <w:t>-16*** (2)</w:t>
            </w:r>
          </w:p>
        </w:tc>
        <w:tc>
          <w:tcPr>
            <w:tcW w:w="1019" w:type="pct"/>
            <w:tcBorders>
              <w:bottom w:val="single" w:sz="4" w:space="0" w:color="auto"/>
            </w:tcBorders>
            <w:vAlign w:val="center"/>
          </w:tcPr>
          <w:p w14:paraId="467B9DB8" w14:textId="0E67345E" w:rsidR="00A51149" w:rsidRPr="0084293A" w:rsidRDefault="00A51149" w:rsidP="0084293A">
            <w:pPr>
              <w:pStyle w:val="TableCentre"/>
            </w:pPr>
            <w:r w:rsidRPr="0084293A">
              <w:t>-18*** (2)</w:t>
            </w:r>
          </w:p>
        </w:tc>
      </w:tr>
    </w:tbl>
    <w:p w14:paraId="382A560B" w14:textId="04B5F700" w:rsidR="00EA67B1" w:rsidRPr="00A16C93" w:rsidRDefault="00EA67B1" w:rsidP="00EA67B1">
      <w:pPr>
        <w:pStyle w:val="TableFootnote"/>
      </w:pPr>
      <w:r w:rsidRPr="00A16C93">
        <w:t xml:space="preserve">LSGM: Least squares geometric mean; LSM: Least squares mean; </w:t>
      </w:r>
      <w:r>
        <w:t xml:space="preserve">SD: standard deviation; SER: Standard </w:t>
      </w:r>
      <w:proofErr w:type="gramStart"/>
      <w:r>
        <w:t>error;</w:t>
      </w:r>
      <w:proofErr w:type="gramEnd"/>
      <w:r>
        <w:t xml:space="preserve"> </w:t>
      </w:r>
    </w:p>
    <w:p w14:paraId="6EA20BE1" w14:textId="4B555B07" w:rsidR="005C3BAA" w:rsidRDefault="00EA67B1" w:rsidP="00EA67B1">
      <w:pPr>
        <w:pStyle w:val="TableFootnote"/>
        <w:rPr>
          <w:i/>
          <w:iCs/>
        </w:rPr>
      </w:pPr>
      <w:r w:rsidRPr="00EA67B1">
        <w:rPr>
          <w:i/>
          <w:iCs/>
        </w:rPr>
        <w:t>*</w:t>
      </w:r>
      <w:proofErr w:type="gramStart"/>
      <w:r w:rsidRPr="00EA67B1">
        <w:rPr>
          <w:i/>
          <w:iCs/>
        </w:rPr>
        <w:t>P  &lt;</w:t>
      </w:r>
      <w:proofErr w:type="gramEnd"/>
      <w:r w:rsidRPr="00EA67B1">
        <w:rPr>
          <w:i/>
          <w:iCs/>
        </w:rPr>
        <w:t>0.05;  **P  &lt;0.01; ***P &lt;0.001</w:t>
      </w:r>
    </w:p>
    <w:p w14:paraId="2491FD7A" w14:textId="77777777" w:rsidR="00EA67B1" w:rsidRPr="00EA67B1" w:rsidRDefault="00EA67B1" w:rsidP="00EA67B1">
      <w:pPr>
        <w:pStyle w:val="TableFootnote"/>
        <w:rPr>
          <w:rFonts w:eastAsiaTheme="minorEastAsia"/>
          <w:i/>
          <w:iCs/>
        </w:rPr>
      </w:pPr>
    </w:p>
    <w:p w14:paraId="5915E465" w14:textId="3F2B65C9" w:rsidR="004F3422" w:rsidRPr="004F3422" w:rsidRDefault="00884DEA" w:rsidP="00A43D61">
      <w:pPr>
        <w:pStyle w:val="BodyText"/>
        <w:rPr>
          <w:rFonts w:eastAsiaTheme="minorEastAsia"/>
        </w:rPr>
      </w:pPr>
      <w:r w:rsidRPr="004F3422">
        <w:rPr>
          <w:rFonts w:eastAsiaTheme="minorEastAsia"/>
        </w:rPr>
        <w:t>Examination of subgroups by age, race, and sex did not suggest differences in response to DAYVIGO in either study.</w:t>
      </w:r>
    </w:p>
    <w:p w14:paraId="5A24A188" w14:textId="2D6B4D4F" w:rsidR="00A7450F" w:rsidRPr="004F3422" w:rsidRDefault="00A7450F" w:rsidP="00A43D61">
      <w:pPr>
        <w:pStyle w:val="BodyText"/>
        <w:rPr>
          <w:rFonts w:eastAsiaTheme="minorEastAsia"/>
        </w:rPr>
      </w:pPr>
    </w:p>
    <w:p w14:paraId="5113EE65" w14:textId="77777777" w:rsidR="00981D19" w:rsidRPr="004F3422" w:rsidRDefault="00981D19" w:rsidP="00981D19">
      <w:pPr>
        <w:pStyle w:val="Heading4"/>
      </w:pPr>
      <w:r w:rsidRPr="004F3422">
        <w:t>Special Safety Studies</w:t>
      </w:r>
    </w:p>
    <w:p w14:paraId="04AD7DA0" w14:textId="0A9AA225" w:rsidR="00981D19" w:rsidRPr="004F3422" w:rsidRDefault="00981D19" w:rsidP="00981D19">
      <w:pPr>
        <w:pStyle w:val="BodyText"/>
        <w:rPr>
          <w:rFonts w:eastAsiaTheme="minorEastAsia"/>
          <w:b/>
        </w:rPr>
      </w:pPr>
      <w:r w:rsidRPr="004F3422">
        <w:rPr>
          <w:rFonts w:eastAsiaTheme="minorEastAsia"/>
          <w:b/>
        </w:rPr>
        <w:t xml:space="preserve">Middle of the Night Safety </w:t>
      </w:r>
      <w:r w:rsidR="000520FD" w:rsidRPr="004F3422">
        <w:rPr>
          <w:rFonts w:eastAsiaTheme="minorEastAsia"/>
          <w:b/>
        </w:rPr>
        <w:t>in Older Patients (age 55 years and older)</w:t>
      </w:r>
    </w:p>
    <w:p w14:paraId="6A9DEB5E" w14:textId="1D9F55AB" w:rsidR="000520FD" w:rsidRPr="004F3422" w:rsidRDefault="000520FD" w:rsidP="00981D19">
      <w:pPr>
        <w:pStyle w:val="BodyText"/>
        <w:rPr>
          <w:rFonts w:eastAsiaTheme="minorEastAsia"/>
          <w:iCs/>
        </w:rPr>
      </w:pPr>
      <w:r w:rsidRPr="00F866DE">
        <w:rPr>
          <w:rFonts w:eastAsiaTheme="minorEastAsia"/>
          <w:iCs/>
        </w:rPr>
        <w:t xml:space="preserve">The effect of </w:t>
      </w:r>
      <w:r w:rsidR="00F95F52" w:rsidRPr="00F866DE">
        <w:rPr>
          <w:rFonts w:eastAsiaTheme="minorEastAsia"/>
          <w:iCs/>
        </w:rPr>
        <w:t>DAYVIGO</w:t>
      </w:r>
      <w:r w:rsidRPr="00F866DE">
        <w:rPr>
          <w:rFonts w:eastAsiaTheme="minorEastAsia"/>
          <w:iCs/>
        </w:rPr>
        <w:t xml:space="preserve"> was evaluated in a </w:t>
      </w:r>
      <w:r w:rsidR="000557C6">
        <w:rPr>
          <w:rFonts w:eastAsiaTheme="minorEastAsia"/>
          <w:iCs/>
        </w:rPr>
        <w:t>randomised</w:t>
      </w:r>
      <w:r w:rsidRPr="00F866DE">
        <w:rPr>
          <w:rFonts w:eastAsiaTheme="minorEastAsia"/>
          <w:iCs/>
        </w:rPr>
        <w:t xml:space="preserve">, placebo- and active-controlled trial with a scheduled awakening 4 hours after the start of the 8-hour time in bed. Postural stability, the ability to awaken in response to a sound stimulus, and attention and memory were tested following the awakening. The comparator in the study, zolpidem tartrate ER, </w:t>
      </w:r>
      <w:r w:rsidRPr="00F866DE">
        <w:rPr>
          <w:rFonts w:eastAsiaTheme="minorEastAsia"/>
          <w:iCs/>
        </w:rPr>
        <w:lastRenderedPageBreak/>
        <w:t xml:space="preserve">showed a statistically significant decrease in postural stability (increased body sway) compared to both lemborexant and placebo. There were no statistical differences between lemborexant and placebo on the ability to awaken in response to sound. There were no </w:t>
      </w:r>
      <w:r w:rsidR="00BD5F4E">
        <w:rPr>
          <w:rFonts w:eastAsiaTheme="minorEastAsia"/>
          <w:iCs/>
        </w:rPr>
        <w:t>meaningful</w:t>
      </w:r>
      <w:r w:rsidR="003E7C8E">
        <w:rPr>
          <w:rFonts w:eastAsiaTheme="minorEastAsia"/>
          <w:iCs/>
        </w:rPr>
        <w:t xml:space="preserve"> </w:t>
      </w:r>
      <w:r w:rsidRPr="00F866DE">
        <w:rPr>
          <w:rFonts w:eastAsiaTheme="minorEastAsia"/>
          <w:iCs/>
        </w:rPr>
        <w:t>differences between lemborexant 5</w:t>
      </w:r>
      <w:r w:rsidR="005317E4">
        <w:rPr>
          <w:rFonts w:eastAsiaTheme="minorEastAsia"/>
          <w:iCs/>
        </w:rPr>
        <w:t> mg</w:t>
      </w:r>
      <w:r w:rsidRPr="00F866DE">
        <w:rPr>
          <w:rFonts w:eastAsiaTheme="minorEastAsia"/>
          <w:iCs/>
        </w:rPr>
        <w:t xml:space="preserve"> and placebo on measures of attention and memory</w:t>
      </w:r>
      <w:r w:rsidR="00A51C34">
        <w:rPr>
          <w:rFonts w:eastAsiaTheme="minorEastAsia"/>
          <w:iCs/>
        </w:rPr>
        <w:t>.</w:t>
      </w:r>
    </w:p>
    <w:p w14:paraId="7FA0E515" w14:textId="77777777" w:rsidR="00981D19" w:rsidRPr="004F3422" w:rsidRDefault="00981D19" w:rsidP="00981D19">
      <w:pPr>
        <w:pStyle w:val="BodyText"/>
        <w:rPr>
          <w:rFonts w:eastAsiaTheme="minorEastAsia"/>
        </w:rPr>
      </w:pPr>
    </w:p>
    <w:p w14:paraId="4D998B10" w14:textId="00A8E4CD" w:rsidR="00981D19" w:rsidRPr="004F3422" w:rsidRDefault="00981D19" w:rsidP="00981D19">
      <w:pPr>
        <w:pStyle w:val="BodyText"/>
        <w:rPr>
          <w:rFonts w:eastAsiaTheme="minorEastAsia"/>
          <w:b/>
        </w:rPr>
      </w:pPr>
      <w:r w:rsidRPr="004F3422">
        <w:rPr>
          <w:rFonts w:eastAsiaTheme="minorEastAsia"/>
          <w:b/>
        </w:rPr>
        <w:t>Effects on Next-day Postural Stability and Memory</w:t>
      </w:r>
    </w:p>
    <w:p w14:paraId="1678CE64" w14:textId="4773307B" w:rsidR="00981D19" w:rsidRPr="00F866DE" w:rsidRDefault="00981D19" w:rsidP="00981D19">
      <w:pPr>
        <w:pStyle w:val="BodyText"/>
        <w:rPr>
          <w:rFonts w:eastAsiaTheme="minorEastAsia"/>
        </w:rPr>
      </w:pPr>
      <w:r w:rsidRPr="00F866DE">
        <w:rPr>
          <w:rFonts w:eastAsiaTheme="minorEastAsia"/>
        </w:rPr>
        <w:t xml:space="preserve">The effects of DAYVIGO on next day postural stability and memory were evaluated in two </w:t>
      </w:r>
      <w:r w:rsidR="000557C6">
        <w:rPr>
          <w:rFonts w:eastAsiaTheme="minorEastAsia"/>
        </w:rPr>
        <w:t>randomised</w:t>
      </w:r>
      <w:r w:rsidRPr="00F866DE">
        <w:rPr>
          <w:rFonts w:eastAsiaTheme="minorEastAsia"/>
        </w:rPr>
        <w:t xml:space="preserve">, placebo- and active-controlled trials in healthy subjects and insomnia patients </w:t>
      </w:r>
      <w:r w:rsidR="00605791" w:rsidRPr="00F866DE">
        <w:rPr>
          <w:rFonts w:eastAsiaTheme="minorEastAsia"/>
        </w:rPr>
        <w:t>age</w:t>
      </w:r>
      <w:r w:rsidRPr="00F866DE">
        <w:rPr>
          <w:rFonts w:eastAsiaTheme="minorEastAsia"/>
        </w:rPr>
        <w:t xml:space="preserve"> 55 and older.</w:t>
      </w:r>
    </w:p>
    <w:p w14:paraId="5BA17931" w14:textId="77777777" w:rsidR="00981D19" w:rsidRPr="00F866DE" w:rsidRDefault="00981D19" w:rsidP="00981D19">
      <w:pPr>
        <w:pStyle w:val="BodyText"/>
        <w:rPr>
          <w:rFonts w:eastAsiaTheme="minorEastAsia"/>
        </w:rPr>
      </w:pPr>
    </w:p>
    <w:p w14:paraId="3392832F" w14:textId="2B3D3EDE" w:rsidR="00981D19" w:rsidRPr="004F3422" w:rsidRDefault="00981D19" w:rsidP="00981D19">
      <w:pPr>
        <w:pStyle w:val="BodyText"/>
        <w:rPr>
          <w:rFonts w:eastAsiaTheme="minorEastAsia"/>
        </w:rPr>
      </w:pPr>
      <w:r w:rsidRPr="004F3422">
        <w:rPr>
          <w:rFonts w:eastAsiaTheme="minorEastAsia"/>
        </w:rPr>
        <w:t>There were no meaningful differences between DAYVIGO (5</w:t>
      </w:r>
      <w:r w:rsidR="005317E4">
        <w:rPr>
          <w:rFonts w:eastAsiaTheme="minorEastAsia"/>
        </w:rPr>
        <w:t> mg</w:t>
      </w:r>
      <w:r w:rsidRPr="004F3422">
        <w:rPr>
          <w:rFonts w:eastAsiaTheme="minorEastAsia"/>
        </w:rPr>
        <w:t xml:space="preserve"> or 10</w:t>
      </w:r>
      <w:r w:rsidR="005317E4">
        <w:rPr>
          <w:rFonts w:eastAsiaTheme="minorEastAsia"/>
        </w:rPr>
        <w:t> mg</w:t>
      </w:r>
      <w:r w:rsidRPr="004F3422">
        <w:rPr>
          <w:rFonts w:eastAsiaTheme="minorEastAsia"/>
        </w:rPr>
        <w:t>) and placebo on next-day postural stability or memory</w:t>
      </w:r>
      <w:r w:rsidR="00844D9E">
        <w:rPr>
          <w:rFonts w:eastAsiaTheme="minorEastAsia"/>
        </w:rPr>
        <w:t>.</w:t>
      </w:r>
    </w:p>
    <w:p w14:paraId="4ECB59D1" w14:textId="77777777" w:rsidR="00981D19" w:rsidRPr="004F3422" w:rsidRDefault="00981D19" w:rsidP="00981D19">
      <w:pPr>
        <w:pStyle w:val="BodyText"/>
        <w:rPr>
          <w:rFonts w:eastAsiaTheme="minorEastAsia"/>
        </w:rPr>
      </w:pPr>
    </w:p>
    <w:p w14:paraId="16BF6609" w14:textId="77777777" w:rsidR="00981D19" w:rsidRPr="004F3422" w:rsidRDefault="00981D19" w:rsidP="00981D19">
      <w:pPr>
        <w:pStyle w:val="BodyText"/>
        <w:rPr>
          <w:rFonts w:eastAsiaTheme="minorEastAsia"/>
          <w:b/>
        </w:rPr>
      </w:pPr>
      <w:r w:rsidRPr="004F3422">
        <w:rPr>
          <w:rFonts w:eastAsiaTheme="minorEastAsia"/>
          <w:b/>
        </w:rPr>
        <w:t>Effects on Driving</w:t>
      </w:r>
    </w:p>
    <w:p w14:paraId="46731FD9" w14:textId="7772DE73" w:rsidR="000520FD" w:rsidRPr="004F3422" w:rsidRDefault="00981D19" w:rsidP="00981D19">
      <w:pPr>
        <w:pStyle w:val="BodyText"/>
        <w:rPr>
          <w:rFonts w:eastAsiaTheme="minorEastAsia"/>
          <w:iCs/>
        </w:rPr>
      </w:pPr>
      <w:r w:rsidRPr="004F3422">
        <w:rPr>
          <w:rFonts w:eastAsiaTheme="minorEastAsia"/>
        </w:rPr>
        <w:t xml:space="preserve">A </w:t>
      </w:r>
      <w:r w:rsidR="000557C6">
        <w:rPr>
          <w:rFonts w:eastAsiaTheme="minorEastAsia"/>
        </w:rPr>
        <w:t>randomised</w:t>
      </w:r>
      <w:r w:rsidRPr="004F3422">
        <w:rPr>
          <w:rFonts w:eastAsiaTheme="minorEastAsia"/>
        </w:rPr>
        <w:t xml:space="preserve">, double-blind, placebo- and active-controlled, four-period crossover study evaluated the effects of </w:t>
      </w:r>
      <w:proofErr w:type="gramStart"/>
      <w:r w:rsidRPr="004F3422">
        <w:rPr>
          <w:rFonts w:eastAsiaTheme="minorEastAsia"/>
        </w:rPr>
        <w:t>night time</w:t>
      </w:r>
      <w:proofErr w:type="gramEnd"/>
      <w:r w:rsidRPr="004F3422">
        <w:rPr>
          <w:rFonts w:eastAsiaTheme="minorEastAsia"/>
        </w:rPr>
        <w:t xml:space="preserve"> administration of DAYVIGO on next-morning driving performance approximately 9</w:t>
      </w:r>
      <w:r w:rsidR="003B2F8E">
        <w:rPr>
          <w:rFonts w:eastAsiaTheme="minorEastAsia"/>
        </w:rPr>
        <w:t> </w:t>
      </w:r>
      <w:r w:rsidRPr="004F3422">
        <w:rPr>
          <w:rFonts w:eastAsiaTheme="minorEastAsia"/>
        </w:rPr>
        <w:t>hours after dosing in 24 healthy elderly subjects (≥65 years, median age 67</w:t>
      </w:r>
      <w:r w:rsidR="003B2F8E">
        <w:rPr>
          <w:rFonts w:eastAsiaTheme="minorEastAsia"/>
        </w:rPr>
        <w:t> </w:t>
      </w:r>
      <w:r w:rsidRPr="004F3422">
        <w:rPr>
          <w:rFonts w:eastAsiaTheme="minorEastAsia"/>
        </w:rPr>
        <w:t>years; 14 men, 10 women) and 24 adult subjects (median age 49</w:t>
      </w:r>
      <w:r w:rsidR="003B2F8E">
        <w:rPr>
          <w:rFonts w:eastAsiaTheme="minorEastAsia"/>
        </w:rPr>
        <w:t> </w:t>
      </w:r>
      <w:r w:rsidRPr="004F3422">
        <w:rPr>
          <w:rFonts w:eastAsiaTheme="minorEastAsia"/>
        </w:rPr>
        <w:t>years; 12</w:t>
      </w:r>
      <w:r w:rsidR="003B2F8E">
        <w:rPr>
          <w:rFonts w:eastAsiaTheme="minorEastAsia"/>
        </w:rPr>
        <w:t> </w:t>
      </w:r>
      <w:r w:rsidRPr="004F3422">
        <w:rPr>
          <w:rFonts w:eastAsiaTheme="minorEastAsia"/>
        </w:rPr>
        <w:t xml:space="preserve">men, 12 women). </w:t>
      </w:r>
      <w:r w:rsidR="000520FD" w:rsidRPr="004F3422">
        <w:rPr>
          <w:rFonts w:eastAsiaTheme="minorEastAsia"/>
          <w:iCs/>
        </w:rPr>
        <w:t>The primary driving performance outcome measure was change in Standard Deviation of Lateral Position (SDLP). Testing was conducted after on</w:t>
      </w:r>
      <w:r w:rsidR="000520FD" w:rsidRPr="00F866DE">
        <w:rPr>
          <w:rFonts w:eastAsiaTheme="minorEastAsia"/>
          <w:iCs/>
        </w:rPr>
        <w:t xml:space="preserve">e night (a single dose) and after eight consecutive nights of treatment with </w:t>
      </w:r>
      <w:r w:rsidR="00F95F52" w:rsidRPr="00F866DE">
        <w:rPr>
          <w:rFonts w:eastAsiaTheme="minorEastAsia"/>
        </w:rPr>
        <w:t>DAYVIGO</w:t>
      </w:r>
      <w:r w:rsidR="000520FD" w:rsidRPr="00F866DE">
        <w:rPr>
          <w:rFonts w:eastAsiaTheme="minorEastAsia"/>
          <w:iCs/>
        </w:rPr>
        <w:t xml:space="preserve">. Although </w:t>
      </w:r>
      <w:r w:rsidR="00F95F52" w:rsidRPr="00F866DE">
        <w:rPr>
          <w:rFonts w:eastAsiaTheme="minorEastAsia"/>
        </w:rPr>
        <w:t>DAYVIGO</w:t>
      </w:r>
      <w:r w:rsidR="000520FD" w:rsidRPr="00F866DE">
        <w:rPr>
          <w:rFonts w:eastAsiaTheme="minorEastAsia"/>
          <w:iCs/>
        </w:rPr>
        <w:t xml:space="preserve"> at doses of 5</w:t>
      </w:r>
      <w:r w:rsidR="005317E4">
        <w:rPr>
          <w:rFonts w:eastAsiaTheme="minorEastAsia"/>
          <w:iCs/>
        </w:rPr>
        <w:t> mg</w:t>
      </w:r>
      <w:r w:rsidR="000520FD" w:rsidRPr="00F866DE">
        <w:rPr>
          <w:rFonts w:eastAsiaTheme="minorEastAsia"/>
          <w:iCs/>
        </w:rPr>
        <w:t xml:space="preserve"> and 10</w:t>
      </w:r>
      <w:r w:rsidR="005317E4">
        <w:rPr>
          <w:rFonts w:eastAsiaTheme="minorEastAsia"/>
          <w:iCs/>
        </w:rPr>
        <w:t> mg</w:t>
      </w:r>
      <w:r w:rsidR="000520FD" w:rsidRPr="00F866DE">
        <w:rPr>
          <w:rFonts w:eastAsiaTheme="minorEastAsia"/>
          <w:iCs/>
        </w:rPr>
        <w:t xml:space="preserve"> did not cause statistically significant impairment in next-morning driving performance in adult or elder</w:t>
      </w:r>
      <w:r w:rsidR="000520FD" w:rsidRPr="004F3422">
        <w:rPr>
          <w:rFonts w:eastAsiaTheme="minorEastAsia"/>
          <w:iCs/>
        </w:rPr>
        <w:t>ly subjects (compared with placebo), driving ability was impaired in some subjects taking 10</w:t>
      </w:r>
      <w:r w:rsidR="005317E4">
        <w:rPr>
          <w:rFonts w:eastAsiaTheme="minorEastAsia"/>
          <w:iCs/>
        </w:rPr>
        <w:t> mg</w:t>
      </w:r>
      <w:r w:rsidR="000520FD" w:rsidRPr="004F3422">
        <w:rPr>
          <w:rFonts w:eastAsiaTheme="minorEastAsia"/>
          <w:iCs/>
        </w:rPr>
        <w:t xml:space="preserve"> </w:t>
      </w:r>
      <w:r w:rsidR="00F95F52" w:rsidRPr="004F3422">
        <w:rPr>
          <w:rFonts w:eastAsiaTheme="minorEastAsia"/>
        </w:rPr>
        <w:t>DAYVIGO</w:t>
      </w:r>
      <w:r w:rsidR="000520FD" w:rsidRPr="004F3422">
        <w:rPr>
          <w:rFonts w:eastAsiaTheme="minorEastAsia"/>
          <w:iCs/>
        </w:rPr>
        <w:t>. Patients using the 10</w:t>
      </w:r>
      <w:r w:rsidR="005317E4">
        <w:rPr>
          <w:rFonts w:eastAsiaTheme="minorEastAsia"/>
          <w:iCs/>
        </w:rPr>
        <w:t> mg</w:t>
      </w:r>
      <w:r w:rsidR="000520FD" w:rsidRPr="004F3422">
        <w:rPr>
          <w:rFonts w:eastAsiaTheme="minorEastAsia"/>
          <w:iCs/>
        </w:rPr>
        <w:t xml:space="preserve"> dose should be cautioned about the potential for next-morning driving impairment because there is individual variation in sensitivity to </w:t>
      </w:r>
      <w:r w:rsidR="00F95F52" w:rsidRPr="004F3422">
        <w:rPr>
          <w:rFonts w:eastAsiaTheme="minorEastAsia"/>
        </w:rPr>
        <w:t>DAYVIGO</w:t>
      </w:r>
      <w:r w:rsidR="000520FD" w:rsidRPr="004F3422">
        <w:rPr>
          <w:rFonts w:eastAsiaTheme="minorEastAsia"/>
          <w:iCs/>
        </w:rPr>
        <w:t>.</w:t>
      </w:r>
      <w:r w:rsidR="000D1FEF" w:rsidRPr="004F3422">
        <w:rPr>
          <w:rFonts w:eastAsiaTheme="minorEastAsia"/>
        </w:rPr>
        <w:t xml:space="preserve"> The results of a symmetry analysis support the findings from the primary outcome</w:t>
      </w:r>
    </w:p>
    <w:p w14:paraId="7BDEC053" w14:textId="77777777" w:rsidR="000520FD" w:rsidRPr="00F866DE" w:rsidRDefault="000520FD" w:rsidP="000520FD">
      <w:pPr>
        <w:pStyle w:val="BodyText"/>
        <w:rPr>
          <w:rFonts w:eastAsiaTheme="minorEastAsia"/>
        </w:rPr>
      </w:pPr>
    </w:p>
    <w:p w14:paraId="378BFBF7" w14:textId="77777777" w:rsidR="00981D19" w:rsidRPr="004F3422" w:rsidRDefault="00981D19" w:rsidP="00981D19">
      <w:pPr>
        <w:pStyle w:val="BodyText"/>
        <w:rPr>
          <w:rFonts w:eastAsiaTheme="minorEastAsia"/>
          <w:b/>
        </w:rPr>
      </w:pPr>
      <w:r w:rsidRPr="004F3422">
        <w:rPr>
          <w:rFonts w:eastAsiaTheme="minorEastAsia"/>
          <w:b/>
        </w:rPr>
        <w:t>Rebound Insomnia</w:t>
      </w:r>
    </w:p>
    <w:p w14:paraId="104DF6FE" w14:textId="0CCCE6C7" w:rsidR="00981D19" w:rsidRPr="004F3422" w:rsidRDefault="00981D19" w:rsidP="00981D19">
      <w:pPr>
        <w:pStyle w:val="BodyText"/>
        <w:rPr>
          <w:rFonts w:eastAsiaTheme="minorEastAsia"/>
        </w:rPr>
      </w:pPr>
      <w:r w:rsidRPr="004F3422">
        <w:rPr>
          <w:rFonts w:eastAsiaTheme="minorEastAsia"/>
        </w:rPr>
        <w:t>Rebound insomnia was assessed by comparing sleep diary-recorded sSOL and sWASO from the screening period to the two weeks following treatment discontinuation in both Stud</w:t>
      </w:r>
      <w:r w:rsidR="00551798" w:rsidRPr="004F3422">
        <w:rPr>
          <w:rFonts w:eastAsiaTheme="minorEastAsia"/>
        </w:rPr>
        <w:t>y</w:t>
      </w:r>
      <w:r w:rsidRPr="004F3422">
        <w:rPr>
          <w:rFonts w:eastAsiaTheme="minorEastAsia"/>
        </w:rPr>
        <w:t xml:space="preserve"> 303</w:t>
      </w:r>
      <w:r w:rsidR="00551798" w:rsidRPr="004F3422">
        <w:rPr>
          <w:rFonts w:eastAsiaTheme="minorEastAsia"/>
        </w:rPr>
        <w:t xml:space="preserve"> </w:t>
      </w:r>
      <w:r w:rsidR="00095E29" w:rsidRPr="004F3422">
        <w:rPr>
          <w:rFonts w:eastAsiaTheme="minorEastAsia"/>
        </w:rPr>
        <w:t>(12</w:t>
      </w:r>
      <w:r w:rsidR="003B2F8E">
        <w:rPr>
          <w:rFonts w:eastAsiaTheme="minorEastAsia"/>
        </w:rPr>
        <w:t> </w:t>
      </w:r>
      <w:r w:rsidR="00095E29" w:rsidRPr="004F3422">
        <w:rPr>
          <w:rFonts w:eastAsiaTheme="minorEastAsia"/>
        </w:rPr>
        <w:t>months)</w:t>
      </w:r>
      <w:r w:rsidRPr="004F3422">
        <w:rPr>
          <w:rFonts w:eastAsiaTheme="minorEastAsia"/>
        </w:rPr>
        <w:t xml:space="preserve"> and </w:t>
      </w:r>
      <w:r w:rsidR="00600095">
        <w:rPr>
          <w:rFonts w:eastAsiaTheme="minorEastAsia"/>
        </w:rPr>
        <w:t xml:space="preserve">Study </w:t>
      </w:r>
      <w:r w:rsidRPr="004F3422">
        <w:rPr>
          <w:rFonts w:eastAsiaTheme="minorEastAsia"/>
        </w:rPr>
        <w:t>304</w:t>
      </w:r>
      <w:r w:rsidR="00095E29" w:rsidRPr="004F3422">
        <w:rPr>
          <w:rFonts w:eastAsiaTheme="minorEastAsia"/>
        </w:rPr>
        <w:t xml:space="preserve"> (1 month)</w:t>
      </w:r>
      <w:r w:rsidRPr="004F3422">
        <w:rPr>
          <w:rFonts w:eastAsiaTheme="minorEastAsia"/>
        </w:rPr>
        <w:t>. Analyses of group means and the proportion of patients with rebound insomnia suggest that DAYVIGO was not associated with rebound insomnia following treatment discontinuation.</w:t>
      </w:r>
    </w:p>
    <w:p w14:paraId="60D520D4" w14:textId="77777777" w:rsidR="00981D19" w:rsidRPr="004F3422" w:rsidRDefault="00981D19" w:rsidP="00981D19">
      <w:pPr>
        <w:pStyle w:val="BodyText"/>
        <w:rPr>
          <w:rFonts w:eastAsiaTheme="minorEastAsia"/>
        </w:rPr>
      </w:pPr>
    </w:p>
    <w:p w14:paraId="1A0933F6" w14:textId="77777777" w:rsidR="00981D19" w:rsidRPr="004F3422" w:rsidRDefault="00981D19" w:rsidP="00981D19">
      <w:pPr>
        <w:pStyle w:val="BodyText"/>
        <w:rPr>
          <w:rFonts w:eastAsiaTheme="minorEastAsia"/>
          <w:b/>
        </w:rPr>
      </w:pPr>
      <w:r w:rsidRPr="004F3422">
        <w:rPr>
          <w:rFonts w:eastAsiaTheme="minorEastAsia"/>
          <w:b/>
        </w:rPr>
        <w:t>Withdrawal Effects</w:t>
      </w:r>
    </w:p>
    <w:p w14:paraId="0881ACEA" w14:textId="386AA2D2" w:rsidR="00981D19" w:rsidRPr="004F3422" w:rsidRDefault="00981D19" w:rsidP="00981D19">
      <w:pPr>
        <w:pStyle w:val="BodyText"/>
        <w:rPr>
          <w:rFonts w:eastAsiaTheme="minorEastAsia"/>
        </w:rPr>
      </w:pPr>
      <w:r w:rsidRPr="004F3422">
        <w:rPr>
          <w:rFonts w:eastAsiaTheme="minorEastAsia"/>
        </w:rPr>
        <w:t>In 12-month and 1-month controlled safety and efficacy trials (Studies 303 and 304, respectively), withdrawal effects were assessed by the Tyrer Benzodiazepine Withdrawal Symptom Questionnaire following discontinuation from study drug in patients who received DAYVIGO 5</w:t>
      </w:r>
      <w:r w:rsidR="005317E4">
        <w:rPr>
          <w:rFonts w:eastAsiaTheme="minorEastAsia"/>
        </w:rPr>
        <w:t> mg</w:t>
      </w:r>
      <w:r w:rsidRPr="004F3422">
        <w:rPr>
          <w:rFonts w:eastAsiaTheme="minorEastAsia"/>
        </w:rPr>
        <w:t xml:space="preserve"> or 10</w:t>
      </w:r>
      <w:r w:rsidR="005317E4">
        <w:rPr>
          <w:rFonts w:eastAsiaTheme="minorEastAsia"/>
        </w:rPr>
        <w:t> mg</w:t>
      </w:r>
      <w:r w:rsidRPr="004F3422">
        <w:rPr>
          <w:rFonts w:eastAsiaTheme="minorEastAsia"/>
        </w:rPr>
        <w:t>. There was no evidence of withdrawal effects following DAYVIGO discontinuation at either dose.</w:t>
      </w:r>
    </w:p>
    <w:p w14:paraId="243B4CFB" w14:textId="30C9A03C" w:rsidR="00981D19" w:rsidRPr="004F3422" w:rsidRDefault="00981D19" w:rsidP="00981D19">
      <w:pPr>
        <w:pStyle w:val="BodyText"/>
        <w:rPr>
          <w:rFonts w:eastAsiaTheme="minorEastAsia"/>
        </w:rPr>
      </w:pPr>
    </w:p>
    <w:p w14:paraId="0B4BBD73" w14:textId="77777777" w:rsidR="00981D19" w:rsidRPr="004F3422" w:rsidRDefault="00981D19" w:rsidP="004E5F53">
      <w:pPr>
        <w:pStyle w:val="BodyText"/>
        <w:keepNext/>
        <w:rPr>
          <w:rFonts w:eastAsiaTheme="minorEastAsia"/>
          <w:b/>
        </w:rPr>
      </w:pPr>
      <w:r w:rsidRPr="004F3422">
        <w:rPr>
          <w:rFonts w:eastAsiaTheme="minorEastAsia"/>
          <w:b/>
        </w:rPr>
        <w:t>Respiratory Safety</w:t>
      </w:r>
    </w:p>
    <w:p w14:paraId="4214ECB2" w14:textId="72E6F16E" w:rsidR="00981D19" w:rsidRPr="004F3422" w:rsidRDefault="00981D19" w:rsidP="00981D19">
      <w:pPr>
        <w:pStyle w:val="BodyText"/>
        <w:rPr>
          <w:rFonts w:eastAsiaTheme="minorEastAsia"/>
        </w:rPr>
      </w:pPr>
      <w:r w:rsidRPr="004F3422">
        <w:rPr>
          <w:rFonts w:eastAsiaTheme="minorEastAsia"/>
        </w:rPr>
        <w:t>In a study of healthy adult and elderly patients, there were no differences between placebo and DAYVIGO 10</w:t>
      </w:r>
      <w:r w:rsidR="005317E4">
        <w:rPr>
          <w:rFonts w:eastAsiaTheme="minorEastAsia"/>
        </w:rPr>
        <w:t> mg</w:t>
      </w:r>
      <w:r w:rsidRPr="004F3422">
        <w:rPr>
          <w:rFonts w:eastAsiaTheme="minorEastAsia"/>
        </w:rPr>
        <w:t xml:space="preserve"> and 25</w:t>
      </w:r>
      <w:r w:rsidR="005317E4">
        <w:rPr>
          <w:rFonts w:eastAsiaTheme="minorEastAsia"/>
        </w:rPr>
        <w:t> mg</w:t>
      </w:r>
      <w:r w:rsidRPr="004F3422">
        <w:rPr>
          <w:rFonts w:eastAsiaTheme="minorEastAsia"/>
        </w:rPr>
        <w:t xml:space="preserve"> with respect to oxygen saturation during sleep. In a study of patients with mild sleep apnoea, there was no effect of DAYVIGO on the apnoea</w:t>
      </w:r>
      <w:r w:rsidRPr="004F3422">
        <w:rPr>
          <w:rFonts w:eastAsiaTheme="minorEastAsia"/>
        </w:rPr>
        <w:noBreakHyphen/>
        <w:t>hypopnoea index when compared with placebo following single and multiple doses.</w:t>
      </w:r>
    </w:p>
    <w:p w14:paraId="6D360B45" w14:textId="3BA1A864" w:rsidR="00981D19" w:rsidRPr="004F3422" w:rsidRDefault="00981D19" w:rsidP="00981D19">
      <w:pPr>
        <w:pStyle w:val="BodyText"/>
        <w:rPr>
          <w:rFonts w:eastAsiaTheme="minorEastAsia"/>
        </w:rPr>
      </w:pPr>
    </w:p>
    <w:p w14:paraId="6E4EE98E" w14:textId="77777777" w:rsidR="00981D19" w:rsidRPr="004F3422" w:rsidRDefault="00981D19" w:rsidP="00981D19">
      <w:pPr>
        <w:pStyle w:val="BodyText"/>
        <w:rPr>
          <w:rFonts w:eastAsiaTheme="minorEastAsia"/>
          <w:b/>
        </w:rPr>
      </w:pPr>
      <w:r w:rsidRPr="004F3422">
        <w:rPr>
          <w:rFonts w:eastAsiaTheme="minorEastAsia"/>
          <w:b/>
        </w:rPr>
        <w:t>Daily Functioning</w:t>
      </w:r>
    </w:p>
    <w:p w14:paraId="1C94F205" w14:textId="18B6D0BE" w:rsidR="00981D19" w:rsidRPr="004F3422" w:rsidRDefault="00981D19" w:rsidP="00981D19">
      <w:pPr>
        <w:pStyle w:val="BodyText"/>
        <w:rPr>
          <w:rFonts w:eastAsiaTheme="minorEastAsia"/>
        </w:rPr>
      </w:pPr>
      <w:r w:rsidRPr="004F3422">
        <w:rPr>
          <w:rFonts w:eastAsiaTheme="minorEastAsia"/>
        </w:rPr>
        <w:t xml:space="preserve">In Study 303 and Study 304, the effect of DAYVIGO on daily functioning was assessed by scores on the Insomnia Severity Index (ISI). For patients treated with DAYVIGO, the ISI score decreased significantly compared to placebo, indicating that patients treated with DAYVIGO </w:t>
      </w:r>
      <w:r w:rsidR="00551798" w:rsidRPr="004F3422">
        <w:rPr>
          <w:rFonts w:eastAsiaTheme="minorEastAsia"/>
        </w:rPr>
        <w:t xml:space="preserve">reported </w:t>
      </w:r>
      <w:r w:rsidRPr="004F3422">
        <w:rPr>
          <w:rFonts w:eastAsiaTheme="minorEastAsia"/>
        </w:rPr>
        <w:t>improvement of functional impairment.</w:t>
      </w:r>
    </w:p>
    <w:p w14:paraId="3E250E92" w14:textId="77777777" w:rsidR="00981D19" w:rsidRPr="004F3422" w:rsidRDefault="00981D19" w:rsidP="00981D19">
      <w:pPr>
        <w:pStyle w:val="BodyText"/>
        <w:rPr>
          <w:rFonts w:eastAsiaTheme="minorEastAsia"/>
        </w:rPr>
      </w:pPr>
    </w:p>
    <w:p w14:paraId="19155B46" w14:textId="67871CDB" w:rsidR="00981D19" w:rsidRPr="004F3422" w:rsidRDefault="00981D19" w:rsidP="00981D19">
      <w:pPr>
        <w:pStyle w:val="BodyText"/>
        <w:rPr>
          <w:rFonts w:eastAsiaTheme="minorEastAsia"/>
          <w:b/>
        </w:rPr>
      </w:pPr>
      <w:r w:rsidRPr="004F3422">
        <w:rPr>
          <w:rFonts w:eastAsiaTheme="minorEastAsia"/>
          <w:b/>
        </w:rPr>
        <w:t>Sleep Stages</w:t>
      </w:r>
    </w:p>
    <w:p w14:paraId="43C5D567" w14:textId="36A73FBA" w:rsidR="00981D19" w:rsidRPr="004F3422" w:rsidRDefault="00981D19" w:rsidP="00981D19">
      <w:pPr>
        <w:pStyle w:val="BodyText"/>
        <w:rPr>
          <w:rFonts w:eastAsiaTheme="minorEastAsia"/>
        </w:rPr>
      </w:pPr>
      <w:r w:rsidRPr="004F3422">
        <w:rPr>
          <w:rFonts w:eastAsiaTheme="minorEastAsia"/>
        </w:rPr>
        <w:t>In Study 304, sleep stages for patients treated with DAYVIGO were assessed by polysomnography. DAYVIGO demonstrated a significant increase in rapid eye movement (REM) sleep compared to placebo and to zolpidem tartrate ER.</w:t>
      </w:r>
    </w:p>
    <w:p w14:paraId="06FCB441" w14:textId="77777777" w:rsidR="00981D19" w:rsidRPr="004F3422" w:rsidRDefault="00981D19" w:rsidP="00981D19">
      <w:pPr>
        <w:pStyle w:val="BodyText"/>
        <w:rPr>
          <w:rFonts w:eastAsiaTheme="minorEastAsia"/>
        </w:rPr>
      </w:pPr>
    </w:p>
    <w:p w14:paraId="1642AA46" w14:textId="4F787FCC" w:rsidR="00D85D9B" w:rsidRPr="004F3422" w:rsidRDefault="00D85D9B" w:rsidP="00D85D9B">
      <w:pPr>
        <w:pStyle w:val="Heading2"/>
        <w:ind w:left="578" w:hanging="578"/>
      </w:pPr>
      <w:bookmarkStart w:id="24" w:name="_Ref2178479"/>
      <w:bookmarkStart w:id="25" w:name="_Ref38373817"/>
      <w:r w:rsidRPr="00F866DE">
        <w:t>Pharmacokinetic properties</w:t>
      </w:r>
      <w:bookmarkEnd w:id="24"/>
      <w:bookmarkEnd w:id="25"/>
    </w:p>
    <w:p w14:paraId="214C60D2" w14:textId="77777777" w:rsidR="004D7A69" w:rsidRPr="00F866DE" w:rsidRDefault="004D7A69" w:rsidP="004D7A69">
      <w:pPr>
        <w:pStyle w:val="Heading3"/>
      </w:pPr>
      <w:r w:rsidRPr="00F866DE">
        <w:t>Absorption</w:t>
      </w:r>
    </w:p>
    <w:p w14:paraId="444A1362" w14:textId="09415DD9" w:rsidR="008872FA" w:rsidRPr="004F3422" w:rsidRDefault="008872FA" w:rsidP="008872FA">
      <w:pPr>
        <w:pStyle w:val="BodyText"/>
      </w:pPr>
      <w:r w:rsidRPr="004F3422">
        <w:t>In healthy patients, the pharmacokinetic profile of lemborexant was examined after single doses of up to 200</w:t>
      </w:r>
      <w:r w:rsidR="003B2F8E">
        <w:t> </w:t>
      </w:r>
      <w:r w:rsidR="005317E4">
        <w:t>mg</w:t>
      </w:r>
      <w:r w:rsidRPr="004F3422">
        <w:t xml:space="preserve"> and after once-daily administration of up to 75</w:t>
      </w:r>
      <w:r w:rsidR="003B2F8E">
        <w:t> </w:t>
      </w:r>
      <w:r w:rsidR="005317E4">
        <w:t>mg</w:t>
      </w:r>
      <w:r w:rsidRPr="004F3422">
        <w:t xml:space="preserve"> for 14</w:t>
      </w:r>
      <w:r w:rsidR="003B2F8E">
        <w:t> </w:t>
      </w:r>
      <w:r w:rsidRPr="004F3422">
        <w:t>days. Lemborexant is rapidly absorbed, with a time to peak concentration (t</w:t>
      </w:r>
      <w:r w:rsidRPr="004F3422">
        <w:rPr>
          <w:vertAlign w:val="subscript"/>
        </w:rPr>
        <w:t>max</w:t>
      </w:r>
      <w:r w:rsidRPr="004F3422">
        <w:t>) of approximately 1 to 3 hours. Lemborexant exhibits linear pharmacokinetics with multi-exponential decline in plasma concentrations. The extent of accumulation of lemborexant at steady-state is 1.5- to 2</w:t>
      </w:r>
      <w:r w:rsidRPr="004F3422">
        <w:noBreakHyphen/>
        <w:t>fold across the dose range. The effective half-life for 5</w:t>
      </w:r>
      <w:r w:rsidR="003B2F8E">
        <w:t> </w:t>
      </w:r>
      <w:r w:rsidR="005317E4">
        <w:t>mg</w:t>
      </w:r>
      <w:r w:rsidRPr="004F3422">
        <w:t xml:space="preserve"> and 10</w:t>
      </w:r>
      <w:r w:rsidR="003B2F8E">
        <w:t> </w:t>
      </w:r>
      <w:r w:rsidR="005317E4">
        <w:t>mg</w:t>
      </w:r>
      <w:r w:rsidRPr="004F3422">
        <w:t xml:space="preserve"> is 17 and 19</w:t>
      </w:r>
      <w:r w:rsidR="003B2F8E">
        <w:t> </w:t>
      </w:r>
      <w:r w:rsidRPr="004F3422">
        <w:t>hours respectively. The plasma concentration at 9</w:t>
      </w:r>
      <w:r w:rsidR="003B2F8E">
        <w:t> </w:t>
      </w:r>
      <w:r w:rsidRPr="004F3422">
        <w:t>hours after administration is approximately 10% to 13% of the C</w:t>
      </w:r>
      <w:r w:rsidRPr="004F3422">
        <w:rPr>
          <w:vertAlign w:val="subscript"/>
        </w:rPr>
        <w:t>max</w:t>
      </w:r>
      <w:r w:rsidRPr="004F3422">
        <w:t>.</w:t>
      </w:r>
    </w:p>
    <w:p w14:paraId="130A2D0F" w14:textId="77777777" w:rsidR="008872FA" w:rsidRPr="004F3422" w:rsidRDefault="008872FA" w:rsidP="008872FA">
      <w:pPr>
        <w:pStyle w:val="BodyText"/>
      </w:pPr>
    </w:p>
    <w:p w14:paraId="27F5E9AD" w14:textId="2BBA153E" w:rsidR="008872FA" w:rsidRPr="004F3422" w:rsidRDefault="008872FA" w:rsidP="008872FA">
      <w:pPr>
        <w:pStyle w:val="BodyText"/>
      </w:pPr>
      <w:r w:rsidRPr="004F3422">
        <w:t>Ingestion of DAYVIGO with a high-fat meal resulted in a slight decrease in the rate of absorption as demonstrated by 23% decrease in C</w:t>
      </w:r>
      <w:r w:rsidRPr="004F3422">
        <w:rPr>
          <w:vertAlign w:val="subscript"/>
        </w:rPr>
        <w:t>max</w:t>
      </w:r>
      <w:r w:rsidRPr="004F3422">
        <w:t xml:space="preserve"> and delay in t</w:t>
      </w:r>
      <w:r w:rsidRPr="004F3422">
        <w:rPr>
          <w:vertAlign w:val="subscript"/>
        </w:rPr>
        <w:t>max</w:t>
      </w:r>
      <w:r w:rsidRPr="004F3422">
        <w:t xml:space="preserve"> of 2</w:t>
      </w:r>
      <w:r w:rsidR="003B2F8E">
        <w:t> </w:t>
      </w:r>
      <w:r w:rsidRPr="004F3422">
        <w:t xml:space="preserve">hours and 18% increase in total exposure AUC. </w:t>
      </w:r>
    </w:p>
    <w:p w14:paraId="021FBB1F" w14:textId="2745A563" w:rsidR="008872FA" w:rsidRPr="004F3422" w:rsidRDefault="008872FA" w:rsidP="008872FA">
      <w:pPr>
        <w:pStyle w:val="BodyText"/>
      </w:pPr>
    </w:p>
    <w:p w14:paraId="3023241B" w14:textId="00880CB6" w:rsidR="004D7A69" w:rsidRPr="004F3422" w:rsidRDefault="004D7A69" w:rsidP="004D7A69">
      <w:pPr>
        <w:pStyle w:val="Heading3"/>
      </w:pPr>
      <w:r w:rsidRPr="004F3422">
        <w:t>Distribution</w:t>
      </w:r>
    </w:p>
    <w:p w14:paraId="2FB51D28" w14:textId="1CCDA2F9" w:rsidR="000520FD" w:rsidRPr="004F3422" w:rsidRDefault="000520FD" w:rsidP="008872FA">
      <w:pPr>
        <w:pStyle w:val="BodyText"/>
      </w:pPr>
      <w:r w:rsidRPr="004F3422">
        <w:t>The volume of distribution of lemborexant is 1970</w:t>
      </w:r>
      <w:r w:rsidR="003B2F8E">
        <w:t> </w:t>
      </w:r>
      <w:r w:rsidRPr="004F3422">
        <w:t>L. Protein binding of lemborexant is approximately 94% in vitro. The blood to plasma concentration ratio of lemborexant is 0.65.</w:t>
      </w:r>
    </w:p>
    <w:p w14:paraId="694CCF6A" w14:textId="684A0D66" w:rsidR="008872FA" w:rsidRPr="004F3422" w:rsidRDefault="008872FA" w:rsidP="008872FA">
      <w:pPr>
        <w:pStyle w:val="BodyText"/>
      </w:pPr>
    </w:p>
    <w:p w14:paraId="7723826D" w14:textId="1D60E040" w:rsidR="004D7A69" w:rsidRPr="004F3422" w:rsidRDefault="004D7A69" w:rsidP="004D7A69">
      <w:pPr>
        <w:pStyle w:val="Heading3"/>
      </w:pPr>
      <w:r w:rsidRPr="004F3422">
        <w:lastRenderedPageBreak/>
        <w:t>Metabolism</w:t>
      </w:r>
    </w:p>
    <w:p w14:paraId="7B1DEA56" w14:textId="373D5014" w:rsidR="004D7A69" w:rsidRPr="004F3422" w:rsidRDefault="008872FA" w:rsidP="008872FA">
      <w:pPr>
        <w:pStyle w:val="BodyText"/>
      </w:pPr>
      <w:r w:rsidRPr="004F3422">
        <w:t xml:space="preserve">Lemborexant is primarily </w:t>
      </w:r>
      <w:r w:rsidR="000557C6">
        <w:t>metabolised</w:t>
      </w:r>
      <w:r w:rsidR="007D2488" w:rsidRPr="004F3422">
        <w:t xml:space="preserve"> by</w:t>
      </w:r>
      <w:r w:rsidRPr="004F3422">
        <w:t xml:space="preserve"> CYP3A4</w:t>
      </w:r>
      <w:r w:rsidR="007D2488" w:rsidRPr="004F3422">
        <w:t xml:space="preserve"> and to a lesser extent by CYP3A5</w:t>
      </w:r>
      <w:r w:rsidRPr="004F3422">
        <w:t>. M10 is the only major circulating metabolite (12% of parent). The contribution of this metabolite to the pharmacologic</w:t>
      </w:r>
      <w:r w:rsidR="00953E23">
        <w:t>al</w:t>
      </w:r>
      <w:r w:rsidRPr="004F3422">
        <w:t xml:space="preserve"> activity of lemborexant is </w:t>
      </w:r>
      <w:r w:rsidR="00953E23">
        <w:t>low</w:t>
      </w:r>
      <w:r w:rsidRPr="004F3422">
        <w:t>.</w:t>
      </w:r>
    </w:p>
    <w:p w14:paraId="565778B2" w14:textId="77777777" w:rsidR="008872FA" w:rsidRPr="004F3422" w:rsidRDefault="008872FA" w:rsidP="008872FA">
      <w:pPr>
        <w:pStyle w:val="BodyText"/>
      </w:pPr>
    </w:p>
    <w:p w14:paraId="0BFDA58B" w14:textId="0E74D556" w:rsidR="004D7A69" w:rsidRPr="004F3422" w:rsidRDefault="004D7A69" w:rsidP="004D7A69">
      <w:pPr>
        <w:pStyle w:val="Heading3"/>
      </w:pPr>
      <w:r w:rsidRPr="004F3422">
        <w:t>Excretion</w:t>
      </w:r>
    </w:p>
    <w:p w14:paraId="677764FC" w14:textId="5BBF56B5" w:rsidR="004D7A69" w:rsidRPr="004F3422" w:rsidRDefault="008872FA" w:rsidP="008872FA">
      <w:pPr>
        <w:pStyle w:val="BodyText"/>
      </w:pPr>
      <w:r w:rsidRPr="004F3422">
        <w:t xml:space="preserve">The primary route of elimination is through the </w:t>
      </w:r>
      <w:r w:rsidR="000557C6">
        <w:t>faeces</w:t>
      </w:r>
      <w:r w:rsidRPr="004F3422">
        <w:t xml:space="preserve">, with 57.4% of </w:t>
      </w:r>
      <w:r w:rsidR="000557C6">
        <w:t>radiolabelled</w:t>
      </w:r>
      <w:r w:rsidRPr="004F3422">
        <w:t xml:space="preserve"> dose recovered in the </w:t>
      </w:r>
      <w:r w:rsidR="000557C6">
        <w:t>faeces</w:t>
      </w:r>
      <w:r w:rsidRPr="004F3422">
        <w:t xml:space="preserve"> and 29.1% in the urine. The percent of lemborexant excreted unchanged in the urine is negligible (&lt;1% dose). The effective half-life of lemborexant 5</w:t>
      </w:r>
      <w:r w:rsidR="003B2F8E">
        <w:t> </w:t>
      </w:r>
      <w:r w:rsidR="005317E4">
        <w:t>mg</w:t>
      </w:r>
      <w:r w:rsidRPr="004F3422">
        <w:t xml:space="preserve"> and 10</w:t>
      </w:r>
      <w:r w:rsidR="003B2F8E">
        <w:t> </w:t>
      </w:r>
      <w:r w:rsidR="005317E4">
        <w:t>mg</w:t>
      </w:r>
      <w:r w:rsidRPr="004F3422">
        <w:t xml:space="preserve"> is 17 and 19</w:t>
      </w:r>
      <w:r w:rsidR="003B2F8E">
        <w:t> </w:t>
      </w:r>
      <w:r w:rsidRPr="004F3422">
        <w:t>hours respectively.</w:t>
      </w:r>
    </w:p>
    <w:p w14:paraId="1B888880" w14:textId="45B2BD86" w:rsidR="004D7A69" w:rsidRPr="004F3422" w:rsidRDefault="004D7A69" w:rsidP="004D7A69">
      <w:pPr>
        <w:pStyle w:val="BodyText"/>
      </w:pPr>
    </w:p>
    <w:p w14:paraId="4C2E8835" w14:textId="566E4CDF" w:rsidR="004D7A69" w:rsidRPr="004F3422" w:rsidRDefault="004D7A69" w:rsidP="004D7A69">
      <w:pPr>
        <w:pStyle w:val="Heading3"/>
      </w:pPr>
      <w:bookmarkStart w:id="26" w:name="_Ref36654795"/>
      <w:r w:rsidRPr="004F3422">
        <w:t xml:space="preserve">Special </w:t>
      </w:r>
      <w:bookmarkEnd w:id="26"/>
      <w:r w:rsidR="00EA2088">
        <w:t>P</w:t>
      </w:r>
      <w:r w:rsidR="00EA2088" w:rsidRPr="004F3422">
        <w:t>opulations</w:t>
      </w:r>
    </w:p>
    <w:p w14:paraId="099CA324" w14:textId="55865629" w:rsidR="008872FA" w:rsidRPr="004F3422" w:rsidRDefault="007D2488" w:rsidP="008872FA">
      <w:pPr>
        <w:pStyle w:val="Heading4"/>
      </w:pPr>
      <w:r w:rsidRPr="004F3422">
        <w:t xml:space="preserve">Age, </w:t>
      </w:r>
      <w:r w:rsidR="000E6F91" w:rsidRPr="004F3422">
        <w:t>s</w:t>
      </w:r>
      <w:r w:rsidR="008872FA" w:rsidRPr="004F3422">
        <w:t xml:space="preserve">ex, </w:t>
      </w:r>
      <w:r w:rsidR="000E6F91" w:rsidRPr="004F3422">
        <w:t>r</w:t>
      </w:r>
      <w:r w:rsidR="008872FA" w:rsidRPr="004F3422">
        <w:t>ace</w:t>
      </w:r>
      <w:r w:rsidRPr="004F3422">
        <w:t>/</w:t>
      </w:r>
      <w:proofErr w:type="gramStart"/>
      <w:r w:rsidR="000E6F91" w:rsidRPr="004F3422">
        <w:t>e</w:t>
      </w:r>
      <w:r w:rsidRPr="004F3422">
        <w:t>thnicity</w:t>
      </w:r>
      <w:proofErr w:type="gramEnd"/>
      <w:r w:rsidR="008872FA" w:rsidRPr="004F3422">
        <w:t xml:space="preserve"> and BMI</w:t>
      </w:r>
    </w:p>
    <w:p w14:paraId="759CB2E0" w14:textId="77777777" w:rsidR="000E6F91" w:rsidRPr="00C019CB" w:rsidRDefault="007D2488" w:rsidP="008872FA">
      <w:pPr>
        <w:pStyle w:val="BodyText"/>
      </w:pPr>
      <w:r w:rsidRPr="00C019CB">
        <w:t>No clinically significant differences in the pharmacokinetics of lemborexant were observed based on age, sex, race/ethnicity, or body mass index.</w:t>
      </w:r>
    </w:p>
    <w:p w14:paraId="78642C2C" w14:textId="77777777" w:rsidR="008872FA" w:rsidRPr="00F866DE" w:rsidRDefault="008872FA" w:rsidP="008872FA">
      <w:pPr>
        <w:pStyle w:val="BodyText"/>
      </w:pPr>
    </w:p>
    <w:p w14:paraId="264299C3" w14:textId="12C59764" w:rsidR="008872FA" w:rsidRPr="004F3422" w:rsidRDefault="008872FA" w:rsidP="008872FA">
      <w:pPr>
        <w:pStyle w:val="Heading4"/>
      </w:pPr>
      <w:r w:rsidRPr="004F3422">
        <w:t xml:space="preserve">Elderly </w:t>
      </w:r>
      <w:r w:rsidR="000E6F91" w:rsidRPr="004F3422">
        <w:t>p</w:t>
      </w:r>
      <w:r w:rsidRPr="004F3422">
        <w:t>atients</w:t>
      </w:r>
    </w:p>
    <w:p w14:paraId="09396139" w14:textId="5D867B09" w:rsidR="008872FA" w:rsidRPr="004F3422" w:rsidRDefault="008872FA" w:rsidP="008872FA">
      <w:pPr>
        <w:pStyle w:val="BodyText"/>
      </w:pPr>
      <w:r w:rsidRPr="004F3422">
        <w:t>Based on a population pharmacokinetic analysis in patients receiving 5 or 10</w:t>
      </w:r>
      <w:r w:rsidR="003B2F8E">
        <w:t> </w:t>
      </w:r>
      <w:r w:rsidR="005317E4">
        <w:t>mg</w:t>
      </w:r>
      <w:r w:rsidRPr="004F3422">
        <w:t xml:space="preserve"> DAYVIGO once daily, apparent clearance was 26% lower in elderly (&gt;65</w:t>
      </w:r>
      <w:r w:rsidR="003B2F8E">
        <w:t> </w:t>
      </w:r>
      <w:r w:rsidRPr="004F3422">
        <w:t xml:space="preserve">years of age). However, this effect was not clinically relevant (see Section </w:t>
      </w:r>
      <w:r w:rsidRPr="004F3422">
        <w:fldChar w:fldCharType="begin"/>
      </w:r>
      <w:r w:rsidRPr="004F3422">
        <w:instrText xml:space="preserve"> REF _Ref503529038 \r \h </w:instrText>
      </w:r>
      <w:r w:rsidRPr="004F3422">
        <w:fldChar w:fldCharType="separate"/>
      </w:r>
      <w:r w:rsidR="003A0FF4">
        <w:t>4.2</w:t>
      </w:r>
      <w:r w:rsidRPr="004F3422">
        <w:fldChar w:fldCharType="end"/>
      </w:r>
      <w:r w:rsidRPr="004F3422">
        <w:t xml:space="preserve"> </w:t>
      </w:r>
      <w:r w:rsidRPr="004F3422">
        <w:fldChar w:fldCharType="begin"/>
      </w:r>
      <w:r w:rsidRPr="004F3422">
        <w:instrText xml:space="preserve"> REF _Ref503529038 \h </w:instrText>
      </w:r>
      <w:r w:rsidRPr="004F3422">
        <w:fldChar w:fldCharType="separate"/>
      </w:r>
      <w:r w:rsidR="003A0FF4" w:rsidRPr="004F3422">
        <w:t>Dose and method of administration</w:t>
      </w:r>
      <w:r w:rsidRPr="004F3422">
        <w:fldChar w:fldCharType="end"/>
      </w:r>
      <w:r w:rsidRPr="004F3422">
        <w:t>).</w:t>
      </w:r>
    </w:p>
    <w:p w14:paraId="6A099031" w14:textId="77777777" w:rsidR="008872FA" w:rsidRPr="00F866DE" w:rsidRDefault="008872FA" w:rsidP="008872FA">
      <w:pPr>
        <w:pStyle w:val="BodyText"/>
      </w:pPr>
    </w:p>
    <w:p w14:paraId="795382F9" w14:textId="34172D0D" w:rsidR="008872FA" w:rsidRPr="004F3422" w:rsidRDefault="008872FA" w:rsidP="008872FA">
      <w:pPr>
        <w:pStyle w:val="Heading4"/>
      </w:pPr>
      <w:r w:rsidRPr="004F3422">
        <w:t xml:space="preserve">Paediatric </w:t>
      </w:r>
      <w:r w:rsidR="000E6F91" w:rsidRPr="004F3422">
        <w:t>p</w:t>
      </w:r>
      <w:r w:rsidRPr="004F3422">
        <w:t>atients</w:t>
      </w:r>
    </w:p>
    <w:p w14:paraId="59FDFC8E" w14:textId="7155822C" w:rsidR="008872FA" w:rsidRPr="004F3422" w:rsidRDefault="008872FA" w:rsidP="008872FA">
      <w:pPr>
        <w:pStyle w:val="BodyText"/>
      </w:pPr>
      <w:r w:rsidRPr="004F3422">
        <w:t xml:space="preserve">No studies have been conducted to investigate the pharmacokinetics of lemborexant in paediatric patients (see Section </w:t>
      </w:r>
      <w:r w:rsidRPr="004F3422">
        <w:fldChar w:fldCharType="begin"/>
      </w:r>
      <w:r w:rsidRPr="004F3422">
        <w:instrText xml:space="preserve"> REF _Ref503529038 \r \h </w:instrText>
      </w:r>
      <w:r w:rsidRPr="004F3422">
        <w:fldChar w:fldCharType="separate"/>
      </w:r>
      <w:r w:rsidR="003A0FF4">
        <w:t>4.2</w:t>
      </w:r>
      <w:r w:rsidRPr="004F3422">
        <w:fldChar w:fldCharType="end"/>
      </w:r>
      <w:r w:rsidRPr="004F3422">
        <w:t xml:space="preserve"> </w:t>
      </w:r>
      <w:r w:rsidRPr="004F3422">
        <w:fldChar w:fldCharType="begin"/>
      </w:r>
      <w:r w:rsidRPr="004F3422">
        <w:instrText xml:space="preserve"> REF _Ref503529038 \h </w:instrText>
      </w:r>
      <w:r w:rsidRPr="004F3422">
        <w:fldChar w:fldCharType="separate"/>
      </w:r>
      <w:r w:rsidR="003A0FF4" w:rsidRPr="004F3422">
        <w:t>Dose and method of administration</w:t>
      </w:r>
      <w:r w:rsidRPr="004F3422">
        <w:fldChar w:fldCharType="end"/>
      </w:r>
      <w:r w:rsidRPr="004F3422">
        <w:t>).</w:t>
      </w:r>
    </w:p>
    <w:p w14:paraId="69515DE9" w14:textId="77777777" w:rsidR="008872FA" w:rsidRPr="00F866DE" w:rsidRDefault="008872FA" w:rsidP="008872FA">
      <w:pPr>
        <w:pStyle w:val="BodyText"/>
      </w:pPr>
    </w:p>
    <w:p w14:paraId="7FCEB058" w14:textId="162F9204" w:rsidR="008872FA" w:rsidRPr="004F3422" w:rsidRDefault="008872FA" w:rsidP="008872FA">
      <w:pPr>
        <w:pStyle w:val="Heading4"/>
      </w:pPr>
      <w:bookmarkStart w:id="27" w:name="_Ref38374125"/>
      <w:r w:rsidRPr="004F3422">
        <w:t xml:space="preserve">Patients with </w:t>
      </w:r>
      <w:r w:rsidR="000E6F91" w:rsidRPr="004F3422">
        <w:t>r</w:t>
      </w:r>
      <w:r w:rsidRPr="004F3422">
        <w:t xml:space="preserve">enal </w:t>
      </w:r>
      <w:r w:rsidR="000E6F91" w:rsidRPr="004F3422">
        <w:t>i</w:t>
      </w:r>
      <w:r w:rsidRPr="004F3422">
        <w:t>mpairment</w:t>
      </w:r>
      <w:bookmarkEnd w:id="27"/>
    </w:p>
    <w:p w14:paraId="5A2DDE82" w14:textId="085090EA" w:rsidR="008872FA" w:rsidRPr="004F3422" w:rsidRDefault="008872FA" w:rsidP="008872FA">
      <w:pPr>
        <w:pStyle w:val="BodyText"/>
      </w:pPr>
      <w:r w:rsidRPr="004F3422">
        <w:t>Severe renal impairment (urinary creatinine clearance ≤30</w:t>
      </w:r>
      <w:r w:rsidR="003B2F8E">
        <w:t> </w:t>
      </w:r>
      <w:r w:rsidRPr="004F3422">
        <w:t>mL/min/1.73m</w:t>
      </w:r>
      <w:r w:rsidRPr="004F3422">
        <w:rPr>
          <w:vertAlign w:val="superscript"/>
        </w:rPr>
        <w:t>2</w:t>
      </w:r>
      <w:r w:rsidRPr="004F3422">
        <w:t>) increased lemborexant exposure (AUC) 1.5-fold but had no effect on C</w:t>
      </w:r>
      <w:r w:rsidRPr="004F3422">
        <w:rPr>
          <w:vertAlign w:val="subscript"/>
        </w:rPr>
        <w:t>max</w:t>
      </w:r>
      <w:r w:rsidRPr="004F3422">
        <w:t xml:space="preserve">. No dose adjustment is required in patients with renal impairment (see Section </w:t>
      </w:r>
      <w:r w:rsidRPr="004F3422">
        <w:fldChar w:fldCharType="begin"/>
      </w:r>
      <w:r w:rsidRPr="004F3422">
        <w:instrText xml:space="preserve"> REF _Ref503529038 \r \h </w:instrText>
      </w:r>
      <w:r w:rsidRPr="004F3422">
        <w:fldChar w:fldCharType="separate"/>
      </w:r>
      <w:r w:rsidR="003A0FF4">
        <w:t>4.2</w:t>
      </w:r>
      <w:r w:rsidRPr="004F3422">
        <w:fldChar w:fldCharType="end"/>
      </w:r>
      <w:r w:rsidRPr="004F3422">
        <w:t xml:space="preserve"> </w:t>
      </w:r>
      <w:r w:rsidRPr="004F3422">
        <w:fldChar w:fldCharType="begin"/>
      </w:r>
      <w:r w:rsidRPr="004F3422">
        <w:instrText xml:space="preserve"> REF _Ref503529038 \h </w:instrText>
      </w:r>
      <w:r w:rsidRPr="004F3422">
        <w:fldChar w:fldCharType="separate"/>
      </w:r>
      <w:r w:rsidR="003A0FF4" w:rsidRPr="004F3422">
        <w:t>Dose and method of administration</w:t>
      </w:r>
      <w:r w:rsidRPr="004F3422">
        <w:fldChar w:fldCharType="end"/>
      </w:r>
      <w:r w:rsidRPr="004F3422">
        <w:t>).</w:t>
      </w:r>
    </w:p>
    <w:p w14:paraId="3C7294FB" w14:textId="77777777" w:rsidR="008872FA" w:rsidRPr="00F866DE" w:rsidRDefault="008872FA" w:rsidP="008872FA">
      <w:pPr>
        <w:pStyle w:val="BodyText"/>
      </w:pPr>
    </w:p>
    <w:p w14:paraId="2CBDF8F8" w14:textId="23F21A27" w:rsidR="008872FA" w:rsidRPr="004F3422" w:rsidRDefault="008872FA" w:rsidP="008872FA">
      <w:pPr>
        <w:pStyle w:val="Heading4"/>
      </w:pPr>
      <w:bookmarkStart w:id="28" w:name="_Ref38373861"/>
      <w:r w:rsidRPr="004F3422">
        <w:t xml:space="preserve">Patients with </w:t>
      </w:r>
      <w:r w:rsidR="000E6F91" w:rsidRPr="004F3422">
        <w:t>h</w:t>
      </w:r>
      <w:r w:rsidRPr="004F3422">
        <w:t xml:space="preserve">epatic </w:t>
      </w:r>
      <w:r w:rsidR="000E6F91" w:rsidRPr="004F3422">
        <w:t>i</w:t>
      </w:r>
      <w:r w:rsidRPr="004F3422">
        <w:t>mpairment</w:t>
      </w:r>
      <w:bookmarkEnd w:id="28"/>
    </w:p>
    <w:p w14:paraId="5698EE94" w14:textId="45EEC169" w:rsidR="008872FA" w:rsidRPr="004F3422" w:rsidRDefault="007D2488" w:rsidP="008872FA">
      <w:pPr>
        <w:pStyle w:val="BodyText"/>
      </w:pPr>
      <w:r w:rsidRPr="004F3422">
        <w:t xml:space="preserve">Lemborexant has not been studied in patients with severe hepatic impairment. Use in this population is not recommended. </w:t>
      </w:r>
      <w:r w:rsidR="008872FA" w:rsidRPr="004F3422">
        <w:t>Mild (Child-Pugh A) and moderate (Ch</w:t>
      </w:r>
      <w:r w:rsidR="008872FA" w:rsidRPr="00F866DE">
        <w:t>ild-Pugh B) hepatic insufficiency increased lemborexant AUC and C</w:t>
      </w:r>
      <w:r w:rsidR="008872FA" w:rsidRPr="00F866DE">
        <w:rPr>
          <w:vertAlign w:val="subscript"/>
        </w:rPr>
        <w:t>max</w:t>
      </w:r>
      <w:r w:rsidR="008872FA" w:rsidRPr="00F866DE">
        <w:t xml:space="preserve"> by 1.5-fold. </w:t>
      </w:r>
      <w:r w:rsidRPr="00F866DE">
        <w:t xml:space="preserve">Terminal half-life was only </w:t>
      </w:r>
      <w:r w:rsidR="0011735F" w:rsidRPr="004F3422">
        <w:t>increased</w:t>
      </w:r>
      <w:r w:rsidRPr="004F3422">
        <w:t xml:space="preserve"> in patients with moderate hepatic impairment (Child-Pugh B). </w:t>
      </w:r>
      <w:r w:rsidR="008872FA" w:rsidRPr="004F3422">
        <w:t xml:space="preserve">No relationship between these findings and hepatic function was observed. No dose adjustment is required in </w:t>
      </w:r>
      <w:r w:rsidR="008872FA" w:rsidRPr="004F3422">
        <w:lastRenderedPageBreak/>
        <w:t xml:space="preserve">patients with mild or moderate hepatic impairment (see Section </w:t>
      </w:r>
      <w:r w:rsidR="008872FA" w:rsidRPr="004F3422">
        <w:fldChar w:fldCharType="begin"/>
      </w:r>
      <w:r w:rsidR="008872FA" w:rsidRPr="004F3422">
        <w:instrText xml:space="preserve"> REF _Ref503529038 \r \h </w:instrText>
      </w:r>
      <w:r w:rsidR="008872FA" w:rsidRPr="004F3422">
        <w:fldChar w:fldCharType="separate"/>
      </w:r>
      <w:r w:rsidR="003A0FF4">
        <w:t>4.2</w:t>
      </w:r>
      <w:r w:rsidR="008872FA" w:rsidRPr="004F3422">
        <w:fldChar w:fldCharType="end"/>
      </w:r>
      <w:r w:rsidR="008872FA" w:rsidRPr="004F3422">
        <w:t xml:space="preserve"> </w:t>
      </w:r>
      <w:r w:rsidR="008872FA" w:rsidRPr="004F3422">
        <w:fldChar w:fldCharType="begin"/>
      </w:r>
      <w:r w:rsidR="008872FA" w:rsidRPr="004F3422">
        <w:instrText xml:space="preserve"> REF _Ref503529038 \h </w:instrText>
      </w:r>
      <w:r w:rsidR="008872FA" w:rsidRPr="004F3422">
        <w:fldChar w:fldCharType="separate"/>
      </w:r>
      <w:r w:rsidR="003A0FF4" w:rsidRPr="004F3422">
        <w:t>Dose and method of administration</w:t>
      </w:r>
      <w:r w:rsidR="008872FA" w:rsidRPr="004F3422">
        <w:fldChar w:fldCharType="end"/>
      </w:r>
      <w:r w:rsidR="008872FA" w:rsidRPr="004F3422">
        <w:t>).</w:t>
      </w:r>
    </w:p>
    <w:p w14:paraId="1E09979D" w14:textId="438EB1F9" w:rsidR="00756E0A" w:rsidRPr="004F3422" w:rsidRDefault="00756E0A" w:rsidP="004D7A69">
      <w:pPr>
        <w:pStyle w:val="BodyText"/>
      </w:pPr>
    </w:p>
    <w:p w14:paraId="56037A2F" w14:textId="07A44C76" w:rsidR="007D2488" w:rsidRPr="00C019CB" w:rsidRDefault="007D2488" w:rsidP="00C019CB">
      <w:pPr>
        <w:pStyle w:val="BodyText"/>
      </w:pPr>
      <w:r w:rsidRPr="00C019CB">
        <w:t xml:space="preserve">Exposures of lemborexant in patients with hepatic and renal impairment are </w:t>
      </w:r>
      <w:r w:rsidR="000557C6">
        <w:t>summarised</w:t>
      </w:r>
      <w:r w:rsidRPr="00C019CB">
        <w:t xml:space="preserve"> in </w:t>
      </w:r>
      <w:r w:rsidR="004F3422" w:rsidRPr="00C019CB">
        <w:fldChar w:fldCharType="begin"/>
      </w:r>
      <w:r w:rsidR="004F3422" w:rsidRPr="00C019CB">
        <w:instrText xml:space="preserve"> REF _Ref38378879 \h </w:instrText>
      </w:r>
      <w:r w:rsidR="004F3422" w:rsidRPr="00C019CB">
        <w:fldChar w:fldCharType="separate"/>
      </w:r>
      <w:r w:rsidR="003A0FF4" w:rsidRPr="004F3422">
        <w:t xml:space="preserve">Figure </w:t>
      </w:r>
      <w:r w:rsidR="003A0FF4">
        <w:rPr>
          <w:noProof/>
        </w:rPr>
        <w:t>1</w:t>
      </w:r>
      <w:r w:rsidR="004F3422" w:rsidRPr="00C019CB">
        <w:fldChar w:fldCharType="end"/>
      </w:r>
      <w:r w:rsidRPr="00C019CB">
        <w:t>.</w:t>
      </w:r>
    </w:p>
    <w:p w14:paraId="19A47426" w14:textId="77777777" w:rsidR="004F3422" w:rsidRPr="00C019CB" w:rsidRDefault="004F3422" w:rsidP="00C019CB">
      <w:pPr>
        <w:pStyle w:val="BodyText"/>
      </w:pPr>
    </w:p>
    <w:p w14:paraId="00BF939E" w14:textId="0116FC42" w:rsidR="007D2488" w:rsidRPr="00C019CB" w:rsidRDefault="004F3422" w:rsidP="00C019CB">
      <w:pPr>
        <w:pStyle w:val="Caption"/>
      </w:pPr>
      <w:bookmarkStart w:id="29" w:name="_Ref38378879"/>
      <w:r w:rsidRPr="004F3422">
        <w:t xml:space="preserve">Figure </w:t>
      </w:r>
      <w:r>
        <w:fldChar w:fldCharType="begin"/>
      </w:r>
      <w:r>
        <w:instrText>SEQ Figure \* ARABIC</w:instrText>
      </w:r>
      <w:r>
        <w:fldChar w:fldCharType="separate"/>
      </w:r>
      <w:r w:rsidR="003A0FF4">
        <w:rPr>
          <w:noProof/>
        </w:rPr>
        <w:t>1</w:t>
      </w:r>
      <w:r>
        <w:fldChar w:fldCharType="end"/>
      </w:r>
      <w:bookmarkEnd w:id="29"/>
      <w:r w:rsidRPr="00A16C93">
        <w:t>:</w:t>
      </w:r>
      <w:r w:rsidRPr="00C019CB" w:rsidDel="004F3422">
        <w:t xml:space="preserve"> </w:t>
      </w:r>
      <w:r w:rsidR="007D2488" w:rsidRPr="00C019CB">
        <w:t>Effects of Hepatic and Renal Impairment on Lemborexant Pharmacokinetics</w:t>
      </w:r>
    </w:p>
    <w:p w14:paraId="544E8156" w14:textId="3F9BDCFA" w:rsidR="007D2488" w:rsidRPr="00A43335" w:rsidRDefault="007D2488" w:rsidP="00F777E2">
      <w:pPr>
        <w:pStyle w:val="BodyText"/>
        <w:jc w:val="center"/>
      </w:pPr>
      <w:r w:rsidRPr="00A43335">
        <w:object w:dxaOrig="11362" w:dyaOrig="6977" w14:anchorId="6EB75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45.2pt" o:ole="">
            <v:imagedata r:id="rId13" o:title=""/>
          </v:shape>
          <o:OLEObject Type="Embed" ProgID="Prism8.Document" ShapeID="_x0000_i1025" DrawAspect="Content" ObjectID="_1709986818" r:id="rId14"/>
        </w:object>
      </w:r>
    </w:p>
    <w:p w14:paraId="160A9A5F" w14:textId="77777777" w:rsidR="007D2488" w:rsidRPr="004F3422" w:rsidRDefault="007D2488" w:rsidP="004D7A69">
      <w:pPr>
        <w:pStyle w:val="BodyText"/>
      </w:pPr>
    </w:p>
    <w:p w14:paraId="79B57A03" w14:textId="77777777" w:rsidR="00C202D6" w:rsidRPr="004F3422" w:rsidRDefault="00C202D6" w:rsidP="00C202D6">
      <w:pPr>
        <w:pStyle w:val="Heading3"/>
      </w:pPr>
      <w:r w:rsidRPr="004F3422">
        <w:t>Drug Interaction Studies</w:t>
      </w:r>
    </w:p>
    <w:p w14:paraId="1DF8D21D" w14:textId="77777777" w:rsidR="004F3422" w:rsidRPr="00F866DE" w:rsidRDefault="004F3422" w:rsidP="00C019CB">
      <w:pPr>
        <w:pStyle w:val="Heading4"/>
      </w:pPr>
      <w:r w:rsidRPr="004F3422">
        <w:t>The effects of other drugs on lemborexant</w:t>
      </w:r>
    </w:p>
    <w:p w14:paraId="68F5FCB8" w14:textId="5C5AEA03" w:rsidR="00A5776C" w:rsidRPr="004F3422" w:rsidRDefault="00A5776C" w:rsidP="00C202D6">
      <w:pPr>
        <w:pStyle w:val="BodyText"/>
        <w:rPr>
          <w:iCs/>
        </w:rPr>
      </w:pPr>
      <w:r w:rsidRPr="004F3422">
        <w:rPr>
          <w:iCs/>
        </w:rPr>
        <w:t>The effects of other drugs on the pharmacokinetics of lemborexant (10</w:t>
      </w:r>
      <w:r w:rsidR="003B2F8E">
        <w:rPr>
          <w:iCs/>
        </w:rPr>
        <w:t> </w:t>
      </w:r>
      <w:r w:rsidR="005317E4">
        <w:rPr>
          <w:iCs/>
        </w:rPr>
        <w:t>mg</w:t>
      </w:r>
      <w:r w:rsidRPr="004F3422">
        <w:rPr>
          <w:iCs/>
        </w:rPr>
        <w:t xml:space="preserve">) are presented in </w:t>
      </w:r>
      <w:r w:rsidR="004F3422" w:rsidRPr="004F3422">
        <w:rPr>
          <w:iCs/>
        </w:rPr>
        <w:fldChar w:fldCharType="begin"/>
      </w:r>
      <w:r w:rsidR="004F3422" w:rsidRPr="004F3422">
        <w:rPr>
          <w:iCs/>
        </w:rPr>
        <w:instrText xml:space="preserve"> REF _Ref38379141 \h </w:instrText>
      </w:r>
      <w:r w:rsidR="004F3422" w:rsidRPr="004F3422">
        <w:rPr>
          <w:iCs/>
        </w:rPr>
      </w:r>
      <w:r w:rsidR="004F3422" w:rsidRPr="004F3422">
        <w:rPr>
          <w:iCs/>
        </w:rPr>
        <w:fldChar w:fldCharType="separate"/>
      </w:r>
      <w:r w:rsidR="003A0FF4" w:rsidRPr="004F3422">
        <w:t xml:space="preserve">Figure </w:t>
      </w:r>
      <w:r w:rsidR="003A0FF4">
        <w:rPr>
          <w:noProof/>
        </w:rPr>
        <w:t>2</w:t>
      </w:r>
      <w:r w:rsidR="004F3422" w:rsidRPr="004F3422">
        <w:rPr>
          <w:iCs/>
        </w:rPr>
        <w:fldChar w:fldCharType="end"/>
      </w:r>
      <w:r w:rsidR="004F3422" w:rsidRPr="004F3422">
        <w:rPr>
          <w:iCs/>
        </w:rPr>
        <w:t xml:space="preserve"> </w:t>
      </w:r>
      <w:r w:rsidRPr="00F866DE">
        <w:rPr>
          <w:iCs/>
        </w:rPr>
        <w:t xml:space="preserve">as change relative to lemborexant alone (test/reference). </w:t>
      </w:r>
      <w:r w:rsidRPr="00F866DE">
        <w:t>Using a physiologically based pharmacokinetic (PBPK) model, a weak effect is predicted when weak CYP3A inhibitors (e.g., fluoxetine) are co-administered with lemborexant.</w:t>
      </w:r>
      <w:r w:rsidRPr="00F866DE">
        <w:rPr>
          <w:iCs/>
        </w:rPr>
        <w:t xml:space="preserve"> Co-administration of moderate (e.g., fluconazole) or strong (e.g., itraconazole) CYP3A inhibitors significantly increased lemborexant exposure. CYP3A inducers (e.g., rifampin) significantly decreased lemborexant exposure</w:t>
      </w:r>
      <w:r w:rsidR="00BC474B" w:rsidRPr="00F866DE">
        <w:rPr>
          <w:iCs/>
        </w:rPr>
        <w:t>.</w:t>
      </w:r>
    </w:p>
    <w:p w14:paraId="318573DE" w14:textId="3DC9C032" w:rsidR="00BC474B" w:rsidRPr="00F866DE" w:rsidRDefault="00BC474B" w:rsidP="00C202D6">
      <w:pPr>
        <w:pStyle w:val="BodyText"/>
        <w:rPr>
          <w:iCs/>
        </w:rPr>
      </w:pPr>
    </w:p>
    <w:p w14:paraId="7FDF027F" w14:textId="43589920" w:rsidR="00BC474B" w:rsidRPr="00F866DE" w:rsidRDefault="00BC474B" w:rsidP="00C202D6">
      <w:pPr>
        <w:pStyle w:val="BodyText"/>
        <w:rPr>
          <w:iCs/>
        </w:rPr>
      </w:pPr>
      <w:r w:rsidRPr="00F866DE">
        <w:rPr>
          <w:rFonts w:eastAsia="MS Mincho"/>
        </w:rPr>
        <w:t>There was no evidence of an additive effect on impairing postural stability (as evidenced by body sway) when lemborexant was co-administered with alcohol; lemborexant did not impact postural stability when dosed alone. An additive negative effect on cognitive performance was observed up to 6</w:t>
      </w:r>
      <w:r w:rsidR="003B2F8E">
        <w:rPr>
          <w:rFonts w:eastAsia="MS Mincho"/>
        </w:rPr>
        <w:t> </w:t>
      </w:r>
      <w:r w:rsidRPr="00F866DE">
        <w:rPr>
          <w:rFonts w:eastAsia="MS Mincho"/>
        </w:rPr>
        <w:t>hours post dose when lemborexant 10</w:t>
      </w:r>
      <w:r w:rsidR="003B2F8E">
        <w:rPr>
          <w:rFonts w:eastAsia="MS Mincho"/>
        </w:rPr>
        <w:t> </w:t>
      </w:r>
      <w:r w:rsidR="005317E4">
        <w:rPr>
          <w:rFonts w:eastAsia="MS Mincho"/>
        </w:rPr>
        <w:t>mg</w:t>
      </w:r>
      <w:r w:rsidRPr="00F866DE">
        <w:rPr>
          <w:rFonts w:eastAsia="MS Mincho"/>
        </w:rPr>
        <w:t xml:space="preserve"> was co-administered with a single dose of alcohol (0.6</w:t>
      </w:r>
      <w:r w:rsidR="003B2F8E">
        <w:rPr>
          <w:rFonts w:eastAsia="MS Mincho"/>
        </w:rPr>
        <w:t> </w:t>
      </w:r>
      <w:r w:rsidRPr="00F866DE">
        <w:rPr>
          <w:rFonts w:eastAsia="MS Mincho"/>
        </w:rPr>
        <w:t>g/kg for females and 0.7</w:t>
      </w:r>
      <w:r w:rsidR="003B2F8E">
        <w:rPr>
          <w:rFonts w:eastAsia="MS Mincho"/>
        </w:rPr>
        <w:t> </w:t>
      </w:r>
      <w:r w:rsidRPr="00F866DE">
        <w:rPr>
          <w:rFonts w:eastAsia="MS Mincho"/>
        </w:rPr>
        <w:t>g/kg for males)</w:t>
      </w:r>
    </w:p>
    <w:p w14:paraId="6C8E4DEA" w14:textId="24F8BD28" w:rsidR="00A5776C" w:rsidRPr="004F3422" w:rsidRDefault="00A5776C" w:rsidP="00C202D6">
      <w:pPr>
        <w:pStyle w:val="BodyText"/>
        <w:rPr>
          <w:iCs/>
        </w:rPr>
      </w:pPr>
    </w:p>
    <w:p w14:paraId="677C900F" w14:textId="11E3380F" w:rsidR="00A5776C" w:rsidRPr="00CB44E0" w:rsidRDefault="00A5776C" w:rsidP="00C019CB">
      <w:pPr>
        <w:pStyle w:val="BodyText"/>
      </w:pPr>
      <w:r w:rsidRPr="00080750">
        <w:t>Co-administration of an H2 blocker (famotidine) with lemborexant decreased C</w:t>
      </w:r>
      <w:r w:rsidRPr="00080750">
        <w:rPr>
          <w:vertAlign w:val="subscript"/>
        </w:rPr>
        <w:t>max</w:t>
      </w:r>
      <w:r w:rsidRPr="00080750">
        <w:t xml:space="preserve"> by </w:t>
      </w:r>
      <w:r w:rsidRPr="00055D66">
        <w:t>27% and delayed t</w:t>
      </w:r>
      <w:r w:rsidRPr="00055D66">
        <w:rPr>
          <w:vertAlign w:val="subscript"/>
        </w:rPr>
        <w:t>max</w:t>
      </w:r>
      <w:r w:rsidRPr="00055D66">
        <w:t xml:space="preserve"> by 0.5</w:t>
      </w:r>
      <w:r w:rsidR="003B2F8E">
        <w:t> </w:t>
      </w:r>
      <w:proofErr w:type="gramStart"/>
      <w:r w:rsidRPr="00055D66">
        <w:t>hours, but</w:t>
      </w:r>
      <w:proofErr w:type="gramEnd"/>
      <w:r w:rsidRPr="00055D66">
        <w:t xml:space="preserve"> had no statistically significant effect on overall </w:t>
      </w:r>
      <w:r w:rsidRPr="00055D66">
        <w:lastRenderedPageBreak/>
        <w:t>lemborexant exposure (AUC). A population analysis of Phase 1-3 data also showed no effect of proton pump inhibitors (PPIs) on apparent clearance of lemborexant. A poo</w:t>
      </w:r>
      <w:r w:rsidRPr="004650DD">
        <w:t xml:space="preserve">led analysis </w:t>
      </w:r>
      <w:r w:rsidR="009B7AF9">
        <w:t>of data from</w:t>
      </w:r>
      <w:r w:rsidRPr="004650DD">
        <w:t xml:space="preserve"> patients takin</w:t>
      </w:r>
      <w:r w:rsidR="009437FB" w:rsidRPr="004650DD">
        <w:t>g PPIs or H2 blockers in Study 303</w:t>
      </w:r>
      <w:r w:rsidRPr="004650DD">
        <w:t xml:space="preserve"> an</w:t>
      </w:r>
      <w:r w:rsidR="009437FB" w:rsidRPr="004650DD">
        <w:t>d 304</w:t>
      </w:r>
      <w:r w:rsidRPr="004650DD">
        <w:t xml:space="preserve"> showed that there was no effect on sleep latency or on safety parameters. Thus</w:t>
      </w:r>
      <w:r w:rsidR="00235EA3">
        <w:t>,</w:t>
      </w:r>
      <w:r w:rsidRPr="004650DD">
        <w:t xml:space="preserve"> lemborexant can be co-administered with gastric acid-reducing agents (PPIs or H2 blockers).</w:t>
      </w:r>
    </w:p>
    <w:p w14:paraId="3D9CCF37" w14:textId="77777777" w:rsidR="004F3422" w:rsidRPr="00CB44E0" w:rsidRDefault="004F3422" w:rsidP="00C019CB">
      <w:pPr>
        <w:pStyle w:val="BodyText"/>
      </w:pPr>
    </w:p>
    <w:p w14:paraId="757D6352" w14:textId="7B43BFF3" w:rsidR="00A5776C" w:rsidRPr="004F3422" w:rsidRDefault="00A5776C" w:rsidP="00A5776C">
      <w:pPr>
        <w:pStyle w:val="BodyText"/>
        <w:rPr>
          <w:rFonts w:eastAsiaTheme="minorEastAsia"/>
          <w:iCs/>
        </w:rPr>
      </w:pPr>
      <w:r w:rsidRPr="004F3422">
        <w:rPr>
          <w:rFonts w:eastAsiaTheme="minorEastAsia"/>
          <w:iCs/>
        </w:rPr>
        <w:t xml:space="preserve">Co-administration of an oral contraceptive containing norethindrone (NE) and ethinyl estradiol (EE) with lemborexant had no statistically significant effect on lemborexant </w:t>
      </w:r>
      <w:r w:rsidR="004F3422" w:rsidRPr="00F866DE">
        <w:rPr>
          <w:rFonts w:eastAsiaTheme="minorEastAsia"/>
          <w:iCs/>
        </w:rPr>
        <w:t>pharmacokinetics</w:t>
      </w:r>
      <w:r w:rsidRPr="00F866DE">
        <w:rPr>
          <w:rFonts w:eastAsiaTheme="minorEastAsia"/>
          <w:iCs/>
        </w:rPr>
        <w:t>.</w:t>
      </w:r>
    </w:p>
    <w:p w14:paraId="698CCD78" w14:textId="2C79ADE2" w:rsidR="00A5776C" w:rsidRPr="004F3422" w:rsidRDefault="00A5776C" w:rsidP="00A5776C">
      <w:pPr>
        <w:pStyle w:val="BodyText"/>
        <w:rPr>
          <w:rFonts w:eastAsiaTheme="minorEastAsia"/>
          <w:iCs/>
        </w:rPr>
      </w:pPr>
    </w:p>
    <w:p w14:paraId="346011C5" w14:textId="54EA47C7" w:rsidR="004F3422" w:rsidRPr="004F3422" w:rsidRDefault="004F3422" w:rsidP="004F3422">
      <w:pPr>
        <w:pStyle w:val="Caption"/>
      </w:pPr>
      <w:bookmarkStart w:id="30" w:name="_Ref38379141"/>
      <w:r w:rsidRPr="004F3422">
        <w:t xml:space="preserve">Figure </w:t>
      </w:r>
      <w:r>
        <w:fldChar w:fldCharType="begin"/>
      </w:r>
      <w:r>
        <w:instrText>SEQ Figure \* ARABIC</w:instrText>
      </w:r>
      <w:r>
        <w:fldChar w:fldCharType="separate"/>
      </w:r>
      <w:r w:rsidR="003A0FF4">
        <w:rPr>
          <w:noProof/>
        </w:rPr>
        <w:t>2</w:t>
      </w:r>
      <w:r>
        <w:fldChar w:fldCharType="end"/>
      </w:r>
      <w:bookmarkEnd w:id="30"/>
      <w:r w:rsidRPr="004F3422">
        <w:t>: Effects of Co-administered Drugs on the Pharmacokinetics of Lemborexant 10</w:t>
      </w:r>
      <w:r w:rsidR="005317E4">
        <w:t xml:space="preserve"> mg</w:t>
      </w:r>
    </w:p>
    <w:p w14:paraId="4CF1458F" w14:textId="41055889" w:rsidR="00A0321E" w:rsidRPr="00A43335" w:rsidRDefault="00A0321E" w:rsidP="00F777E2">
      <w:pPr>
        <w:pStyle w:val="BodyText"/>
        <w:jc w:val="center"/>
      </w:pPr>
      <w:r w:rsidRPr="00A43335">
        <w:object w:dxaOrig="11309" w:dyaOrig="6281" w14:anchorId="21593E3E">
          <v:shape id="_x0000_i1026" type="#_x0000_t75" style="width:393.75pt;height:217.95pt" o:ole="">
            <v:imagedata r:id="rId15" o:title=""/>
          </v:shape>
          <o:OLEObject Type="Embed" ProgID="Prism8.Document" ShapeID="_x0000_i1026" DrawAspect="Content" ObjectID="_1709986819" r:id="rId16"/>
        </w:object>
      </w:r>
    </w:p>
    <w:p w14:paraId="05225604" w14:textId="77777777" w:rsidR="004F3422" w:rsidRPr="004F3422" w:rsidRDefault="004F3422" w:rsidP="004F3422">
      <w:pPr>
        <w:pStyle w:val="BodyText"/>
      </w:pPr>
    </w:p>
    <w:p w14:paraId="5AEB2FF0" w14:textId="352166DE" w:rsidR="00A5776C" w:rsidRPr="004F3422" w:rsidRDefault="00A5776C" w:rsidP="00C019CB">
      <w:pPr>
        <w:pStyle w:val="Heading4"/>
      </w:pPr>
      <w:r w:rsidRPr="004F3422">
        <w:t xml:space="preserve">Effects of </w:t>
      </w:r>
      <w:r w:rsidR="004F3422" w:rsidRPr="004F3422">
        <w:t>l</w:t>
      </w:r>
      <w:r w:rsidRPr="00F866DE">
        <w:t xml:space="preserve">emborexant on </w:t>
      </w:r>
      <w:r w:rsidR="004F3422" w:rsidRPr="004F3422">
        <w:t>o</w:t>
      </w:r>
      <w:r w:rsidRPr="00C019CB">
        <w:t>ther</w:t>
      </w:r>
      <w:r w:rsidRPr="004F3422">
        <w:t xml:space="preserve"> </w:t>
      </w:r>
      <w:r w:rsidR="004F3422" w:rsidRPr="004F3422">
        <w:t>d</w:t>
      </w:r>
      <w:r w:rsidRPr="00F866DE">
        <w:t xml:space="preserve">rugs </w:t>
      </w:r>
    </w:p>
    <w:p w14:paraId="13F99A8E" w14:textId="2560AE6B" w:rsidR="004F3422" w:rsidRPr="004F3422" w:rsidRDefault="00A5776C" w:rsidP="00C019CB">
      <w:pPr>
        <w:pStyle w:val="BodyText"/>
      </w:pPr>
      <w:r w:rsidRPr="004F3422">
        <w:rPr>
          <w:i/>
        </w:rPr>
        <w:t>In vitro</w:t>
      </w:r>
      <w:r w:rsidRPr="00F866DE">
        <w:t xml:space="preserve"> metabolism studies demonstrated that lemborexant and M10 have a potential to induce CYP3A and a weak potential to inhibit CYP3A and induce CYP2B6.</w:t>
      </w:r>
      <w:r w:rsidR="00A0321E" w:rsidRPr="00F866DE">
        <w:rPr>
          <w:vertAlign w:val="superscript"/>
        </w:rPr>
        <w:t xml:space="preserve"> </w:t>
      </w:r>
      <w:r w:rsidR="00A0321E" w:rsidRPr="00F866DE">
        <w:t xml:space="preserve"> </w:t>
      </w:r>
      <w:r w:rsidRPr="00F866DE">
        <w:t>Lemborexant and M10 do not have the potential to inhibit other CYP isoforms or transporters (P-gp, BCRP, BSEP, OAT1, OAT3, OATP1B1, OATP1B3, OCT1, OCT2, MATE1, and MATE2-K).</w:t>
      </w:r>
      <w:r w:rsidRPr="00F866DE">
        <w:rPr>
          <w:vertAlign w:val="superscript"/>
        </w:rPr>
        <w:t xml:space="preserve"> </w:t>
      </w:r>
      <w:r w:rsidRPr="00F866DE">
        <w:t>Lemborexant is a poor substrate of P-gp, but M10 is a substrate of P-gp.</w:t>
      </w:r>
      <w:r w:rsidR="00A0321E" w:rsidRPr="00080750">
        <w:t xml:space="preserve"> </w:t>
      </w:r>
      <w:r w:rsidRPr="00080750">
        <w:t xml:space="preserve">Lemborexant and M10 are not substrates of BCRP, OATP1B1, or OATP1B3 </w:t>
      </w:r>
      <w:r w:rsidR="004F3422" w:rsidRPr="00055D66">
        <w:t>(</w:t>
      </w:r>
      <w:r w:rsidRPr="00C019CB">
        <w:t xml:space="preserve">see Section </w:t>
      </w:r>
      <w:r w:rsidR="004F3422" w:rsidRPr="00A16C93">
        <w:fldChar w:fldCharType="begin"/>
      </w:r>
      <w:r w:rsidR="004F3422" w:rsidRPr="00A16C93">
        <w:instrText xml:space="preserve"> REF _Ref38379273 \r \h </w:instrText>
      </w:r>
      <w:r w:rsidR="004F3422" w:rsidRPr="00A16C93">
        <w:fldChar w:fldCharType="separate"/>
      </w:r>
      <w:r w:rsidR="003A0FF4">
        <w:t>4.5</w:t>
      </w:r>
      <w:r w:rsidR="004F3422" w:rsidRPr="00A16C93">
        <w:fldChar w:fldCharType="end"/>
      </w:r>
      <w:r w:rsidR="004F3422" w:rsidRPr="00A16C93">
        <w:t xml:space="preserve"> </w:t>
      </w:r>
      <w:r w:rsidR="004F3422" w:rsidRPr="00A16C93">
        <w:fldChar w:fldCharType="begin"/>
      </w:r>
      <w:r w:rsidR="004F3422" w:rsidRPr="00A16C93">
        <w:instrText xml:space="preserve"> REF _Ref38379273 \h </w:instrText>
      </w:r>
      <w:r w:rsidR="004F3422" w:rsidRPr="00A16C93">
        <w:fldChar w:fldCharType="separate"/>
      </w:r>
      <w:r w:rsidR="003A0FF4" w:rsidRPr="004F3422">
        <w:t>Interactions with other medicines and other forms of interactions</w:t>
      </w:r>
      <w:r w:rsidR="004F3422" w:rsidRPr="00A16C93">
        <w:fldChar w:fldCharType="end"/>
      </w:r>
      <w:r w:rsidR="004F3422" w:rsidRPr="004F3422">
        <w:t>)</w:t>
      </w:r>
      <w:r w:rsidRPr="00C019CB">
        <w:t>.</w:t>
      </w:r>
    </w:p>
    <w:p w14:paraId="0B9AF124" w14:textId="26D4E02A" w:rsidR="00A5776C" w:rsidRPr="00F866DE" w:rsidRDefault="00A5776C" w:rsidP="00C019CB">
      <w:pPr>
        <w:pStyle w:val="BodyText"/>
      </w:pPr>
    </w:p>
    <w:p w14:paraId="5221BB95" w14:textId="5C1BB1B6" w:rsidR="00A5776C" w:rsidRPr="00A16C93" w:rsidRDefault="00A5776C" w:rsidP="00C019CB">
      <w:pPr>
        <w:pStyle w:val="BodyText"/>
      </w:pPr>
      <w:r w:rsidRPr="00F866DE">
        <w:t xml:space="preserve">Specific </w:t>
      </w:r>
      <w:r w:rsidRPr="00F866DE">
        <w:rPr>
          <w:i/>
        </w:rPr>
        <w:t>in vivo</w:t>
      </w:r>
      <w:r w:rsidRPr="00F866DE">
        <w:t xml:space="preserve"> effects of lemborexant (10</w:t>
      </w:r>
      <w:r w:rsidR="003B2F8E">
        <w:t> </w:t>
      </w:r>
      <w:r w:rsidR="005317E4">
        <w:t>mg</w:t>
      </w:r>
      <w:r w:rsidRPr="00F866DE">
        <w:t xml:space="preserve">) on the pharmacokinetics of bupropion, oral contraceptives, and midazolam are presented in </w:t>
      </w:r>
      <w:r w:rsidR="004F3422" w:rsidRPr="00A16C93">
        <w:fldChar w:fldCharType="begin"/>
      </w:r>
      <w:r w:rsidR="004F3422" w:rsidRPr="00A16C93">
        <w:instrText xml:space="preserve"> REF _Ref38379298 \h </w:instrText>
      </w:r>
      <w:r w:rsidR="004F3422" w:rsidRPr="00A16C93">
        <w:fldChar w:fldCharType="separate"/>
      </w:r>
      <w:r w:rsidR="003A0FF4" w:rsidRPr="004F3422">
        <w:t xml:space="preserve">Figure </w:t>
      </w:r>
      <w:r w:rsidR="003A0FF4">
        <w:rPr>
          <w:noProof/>
        </w:rPr>
        <w:t>3</w:t>
      </w:r>
      <w:r w:rsidR="004F3422" w:rsidRPr="00A16C93">
        <w:fldChar w:fldCharType="end"/>
      </w:r>
      <w:r w:rsidR="004F3422" w:rsidRPr="00A16C93">
        <w:t xml:space="preserve"> </w:t>
      </w:r>
      <w:r w:rsidRPr="00A16C93">
        <w:t>as a change relative to the interacting drug administered alone (test/reference).</w:t>
      </w:r>
      <w:r w:rsidR="00A0321E" w:rsidRPr="00A16C93">
        <w:t xml:space="preserve"> </w:t>
      </w:r>
    </w:p>
    <w:p w14:paraId="5D798A78" w14:textId="77777777" w:rsidR="004F3422" w:rsidRPr="00A16C93" w:rsidRDefault="004F3422" w:rsidP="00C019CB">
      <w:pPr>
        <w:pStyle w:val="BodyText"/>
        <w:rPr>
          <w:rFonts w:eastAsiaTheme="minorEastAsia"/>
          <w:iCs/>
        </w:rPr>
      </w:pPr>
    </w:p>
    <w:p w14:paraId="7326243C" w14:textId="2D7D7FD7" w:rsidR="00A5776C" w:rsidRPr="00A16C93" w:rsidRDefault="00A5776C" w:rsidP="00C019CB">
      <w:pPr>
        <w:pStyle w:val="BodyText"/>
        <w:rPr>
          <w:rFonts w:eastAsiaTheme="minorEastAsia"/>
          <w:iCs/>
        </w:rPr>
      </w:pPr>
      <w:r w:rsidRPr="00A16C93">
        <w:rPr>
          <w:rFonts w:eastAsiaTheme="minorEastAsia"/>
          <w:iCs/>
        </w:rPr>
        <w:t>Co-administration of an oral contraceptive containing norethindrone (NE) and ethinyl estradiol (EE) with lemborexant (10</w:t>
      </w:r>
      <w:r w:rsidR="003B2F8E">
        <w:rPr>
          <w:rFonts w:eastAsiaTheme="minorEastAsia"/>
          <w:iCs/>
        </w:rPr>
        <w:t> </w:t>
      </w:r>
      <w:r w:rsidR="005317E4">
        <w:rPr>
          <w:rFonts w:eastAsiaTheme="minorEastAsia"/>
          <w:iCs/>
        </w:rPr>
        <w:t>mg</w:t>
      </w:r>
      <w:r w:rsidRPr="00A16C93">
        <w:rPr>
          <w:rFonts w:eastAsiaTheme="minorEastAsia"/>
          <w:iCs/>
        </w:rPr>
        <w:t>) did not affect the C</w:t>
      </w:r>
      <w:r w:rsidRPr="00A16C93">
        <w:rPr>
          <w:rFonts w:eastAsiaTheme="minorEastAsia"/>
          <w:iCs/>
          <w:vertAlign w:val="subscript"/>
        </w:rPr>
        <w:t>max</w:t>
      </w:r>
      <w:r w:rsidRPr="00A16C93">
        <w:rPr>
          <w:rFonts w:eastAsiaTheme="minorEastAsia"/>
          <w:iCs/>
        </w:rPr>
        <w:t xml:space="preserve"> and AUC of NE or the C</w:t>
      </w:r>
      <w:r w:rsidRPr="00A16C93">
        <w:rPr>
          <w:rFonts w:eastAsiaTheme="minorEastAsia"/>
          <w:iCs/>
          <w:vertAlign w:val="subscript"/>
        </w:rPr>
        <w:t>max</w:t>
      </w:r>
      <w:r w:rsidRPr="00A16C93">
        <w:rPr>
          <w:rFonts w:eastAsiaTheme="minorEastAsia"/>
          <w:iCs/>
        </w:rPr>
        <w:t xml:space="preserve"> </w:t>
      </w:r>
      <w:r w:rsidRPr="00A16C93">
        <w:rPr>
          <w:rFonts w:eastAsiaTheme="minorEastAsia"/>
          <w:iCs/>
        </w:rPr>
        <w:lastRenderedPageBreak/>
        <w:t>of EE, and increased AUC of EE by 13%. This latter small change is not considered clinically relevant.</w:t>
      </w:r>
    </w:p>
    <w:p w14:paraId="4665D2B6" w14:textId="77777777" w:rsidR="004F3422" w:rsidRPr="004F3422" w:rsidRDefault="004F3422">
      <w:pPr>
        <w:pStyle w:val="BodyText"/>
      </w:pPr>
    </w:p>
    <w:p w14:paraId="15D30B2C" w14:textId="26633144" w:rsidR="00A5776C" w:rsidRPr="004F3422" w:rsidRDefault="00A5776C">
      <w:pPr>
        <w:pStyle w:val="BodyText"/>
      </w:pPr>
      <w:r w:rsidRPr="00F866DE">
        <w:t xml:space="preserve">Clinical studies with substrates of CYP3A or CYP2B6: Despite the </w:t>
      </w:r>
      <w:r w:rsidRPr="00F866DE">
        <w:rPr>
          <w:i/>
        </w:rPr>
        <w:t>in vitro</w:t>
      </w:r>
      <w:r w:rsidRPr="00F866DE">
        <w:t xml:space="preserve"> findings, lemborexant does not induce or inhibit CYP3A4. Lemborexant weakly induces CYP2B6 (e.g., bupropion is CYP2B6 substrate). CYP3A and CYP2B6 substrates can be co-administered with lemborexant.</w:t>
      </w:r>
    </w:p>
    <w:p w14:paraId="17267BEE" w14:textId="65E53019" w:rsidR="00C202D6" w:rsidRPr="004F3422" w:rsidRDefault="00C202D6" w:rsidP="00C202D6">
      <w:pPr>
        <w:pStyle w:val="BodyText"/>
      </w:pPr>
    </w:p>
    <w:p w14:paraId="39753CCB" w14:textId="429E2416" w:rsidR="004F3422" w:rsidRPr="004F3422" w:rsidRDefault="004F3422" w:rsidP="004F3422">
      <w:pPr>
        <w:pStyle w:val="Caption"/>
      </w:pPr>
      <w:bookmarkStart w:id="31" w:name="_Ref38379298"/>
      <w:r w:rsidRPr="004F3422">
        <w:t xml:space="preserve">Figure </w:t>
      </w:r>
      <w:r>
        <w:fldChar w:fldCharType="begin"/>
      </w:r>
      <w:r>
        <w:instrText>SEQ Figure \* ARABIC</w:instrText>
      </w:r>
      <w:r>
        <w:fldChar w:fldCharType="separate"/>
      </w:r>
      <w:r w:rsidR="003A0FF4">
        <w:rPr>
          <w:noProof/>
        </w:rPr>
        <w:t>3</w:t>
      </w:r>
      <w:r>
        <w:fldChar w:fldCharType="end"/>
      </w:r>
      <w:bookmarkEnd w:id="31"/>
      <w:r w:rsidRPr="004F3422">
        <w:t>: Effects of Lemborexant 10</w:t>
      </w:r>
      <w:r w:rsidR="005317E4">
        <w:t xml:space="preserve"> mg</w:t>
      </w:r>
      <w:r w:rsidRPr="004F3422">
        <w:t xml:space="preserve"> on the Pharmacokinetics of Co-Administered Drugs</w:t>
      </w:r>
    </w:p>
    <w:p w14:paraId="1EA488B7" w14:textId="72AB94CD" w:rsidR="00C202D6" w:rsidRPr="00A43335" w:rsidRDefault="00C202D6" w:rsidP="00F777E2">
      <w:pPr>
        <w:pStyle w:val="BodyText"/>
        <w:jc w:val="center"/>
      </w:pPr>
      <w:r w:rsidRPr="00A43335">
        <w:object w:dxaOrig="7980" w:dyaOrig="4680" w14:anchorId="2B9D6423">
          <v:shape id="_x0000_i1027" type="#_x0000_t75" style="width:395.7pt;height:234.15pt" o:ole="">
            <v:imagedata r:id="rId17" o:title=""/>
          </v:shape>
          <o:OLEObject Type="Embed" ProgID="Prism8.Document" ShapeID="_x0000_i1027" DrawAspect="Content" ObjectID="_1709986820" r:id="rId18"/>
        </w:object>
      </w:r>
    </w:p>
    <w:p w14:paraId="3CF5A9CA" w14:textId="77777777" w:rsidR="00C202D6" w:rsidRPr="00F866DE" w:rsidRDefault="00C202D6" w:rsidP="00C202D6">
      <w:pPr>
        <w:pStyle w:val="BodyText"/>
      </w:pPr>
    </w:p>
    <w:p w14:paraId="0C27B3C7" w14:textId="2A89C031" w:rsidR="00D85D9B" w:rsidRPr="004F3422" w:rsidRDefault="00D85D9B" w:rsidP="00D85D9B">
      <w:pPr>
        <w:pStyle w:val="Heading2"/>
        <w:ind w:left="578" w:hanging="578"/>
      </w:pPr>
      <w:r w:rsidRPr="004F3422">
        <w:t>Preclinical safety data</w:t>
      </w:r>
    </w:p>
    <w:p w14:paraId="387910C8" w14:textId="77777777" w:rsidR="00953E23" w:rsidRPr="004F3422" w:rsidRDefault="00953E23" w:rsidP="00953E23">
      <w:pPr>
        <w:pStyle w:val="Heading3"/>
      </w:pPr>
      <w:r w:rsidRPr="004F3422">
        <w:t>Genotoxicity</w:t>
      </w:r>
    </w:p>
    <w:p w14:paraId="1785A5B8" w14:textId="233B18CD" w:rsidR="00953E23" w:rsidRDefault="00953E23" w:rsidP="00953E23">
      <w:pPr>
        <w:pStyle w:val="BodyText"/>
        <w:rPr>
          <w:iCs/>
        </w:rPr>
      </w:pPr>
      <w:r w:rsidRPr="00F866DE">
        <w:t xml:space="preserve">Lemborexant was </w:t>
      </w:r>
      <w:r>
        <w:t>not</w:t>
      </w:r>
      <w:r w:rsidRPr="00F866DE">
        <w:t xml:space="preserve"> mutagenic </w:t>
      </w:r>
      <w:r>
        <w:t xml:space="preserve">in the </w:t>
      </w:r>
      <w:r w:rsidRPr="00F866DE">
        <w:rPr>
          <w:i/>
        </w:rPr>
        <w:t>in vitro</w:t>
      </w:r>
      <w:r>
        <w:rPr>
          <w:i/>
        </w:rPr>
        <w:t xml:space="preserve"> </w:t>
      </w:r>
      <w:r w:rsidRPr="007C46BD">
        <w:rPr>
          <w:iCs/>
        </w:rPr>
        <w:t xml:space="preserve">bacterial reverse mutation (Ames) assay or in the </w:t>
      </w:r>
      <w:r w:rsidRPr="00F866DE">
        <w:rPr>
          <w:i/>
        </w:rPr>
        <w:t>in vi</w:t>
      </w:r>
      <w:r>
        <w:rPr>
          <w:i/>
        </w:rPr>
        <w:t xml:space="preserve">tro </w:t>
      </w:r>
      <w:r w:rsidRPr="007C46BD">
        <w:rPr>
          <w:iCs/>
        </w:rPr>
        <w:t xml:space="preserve">mouse lymphoma thymidine kinase </w:t>
      </w:r>
      <w:proofErr w:type="gramStart"/>
      <w:r w:rsidRPr="007C46BD">
        <w:rPr>
          <w:iCs/>
        </w:rPr>
        <w:t>assay, and</w:t>
      </w:r>
      <w:proofErr w:type="gramEnd"/>
      <w:r w:rsidRPr="007C46BD">
        <w:rPr>
          <w:iCs/>
        </w:rPr>
        <w:t xml:space="preserve"> was not clastogenic in the</w:t>
      </w:r>
      <w:r>
        <w:rPr>
          <w:i/>
        </w:rPr>
        <w:t xml:space="preserve"> in vivo </w:t>
      </w:r>
      <w:r w:rsidRPr="007C46BD">
        <w:rPr>
          <w:iCs/>
        </w:rPr>
        <w:t>rat micronucleus assay.</w:t>
      </w:r>
    </w:p>
    <w:p w14:paraId="2D333E40" w14:textId="77777777" w:rsidR="00953E23" w:rsidRDefault="00953E23" w:rsidP="00953E23">
      <w:pPr>
        <w:pStyle w:val="BodyText"/>
        <w:rPr>
          <w:iCs/>
        </w:rPr>
      </w:pPr>
    </w:p>
    <w:p w14:paraId="35C65894" w14:textId="152693EF" w:rsidR="00032264" w:rsidRPr="004F3422" w:rsidRDefault="00032264" w:rsidP="00032264">
      <w:pPr>
        <w:pStyle w:val="Heading3"/>
      </w:pPr>
      <w:r w:rsidRPr="004F3422">
        <w:t>Carcinogenicity</w:t>
      </w:r>
    </w:p>
    <w:p w14:paraId="6BE847D4" w14:textId="1EAD9C3F" w:rsidR="007D2488" w:rsidRPr="00C019CB" w:rsidRDefault="007D2488" w:rsidP="00C019CB">
      <w:pPr>
        <w:pStyle w:val="BodyText"/>
      </w:pPr>
      <w:r w:rsidRPr="00C019CB">
        <w:t>Lemborexant did not increase the incidence of tumo</w:t>
      </w:r>
      <w:r w:rsidR="004F3422" w:rsidRPr="00C019CB">
        <w:t>u</w:t>
      </w:r>
      <w:r w:rsidRPr="00C019CB">
        <w:t>rs in rats treated for 2</w:t>
      </w:r>
      <w:r w:rsidR="003B2F8E">
        <w:t> </w:t>
      </w:r>
      <w:r w:rsidRPr="00C019CB">
        <w:t>years at oral doses of 30, 100, and 300</w:t>
      </w:r>
      <w:r w:rsidR="003B2F8E">
        <w:t> </w:t>
      </w:r>
      <w:r w:rsidR="005317E4">
        <w:t>mg</w:t>
      </w:r>
      <w:r w:rsidRPr="00C019CB">
        <w:t>/kg/day (males) and 10, 30, and 100</w:t>
      </w:r>
      <w:r w:rsidR="003B2F8E">
        <w:t> </w:t>
      </w:r>
      <w:r w:rsidR="005317E4">
        <w:t>mg</w:t>
      </w:r>
      <w:r w:rsidRPr="00C019CB">
        <w:t>/kg/day (females), which are &gt;80 times the MRHD based on AUC.  Lemborexant did not increase the incidence of tumo</w:t>
      </w:r>
      <w:r w:rsidR="004F3422" w:rsidRPr="00C019CB">
        <w:t>u</w:t>
      </w:r>
      <w:r w:rsidRPr="00C019CB">
        <w:t>rs in Tg ras H2 mice treated for 26 weeks at oral doses of 50, 150, and 500</w:t>
      </w:r>
      <w:r w:rsidR="003B2F8E">
        <w:t> </w:t>
      </w:r>
      <w:r w:rsidR="005317E4">
        <w:t>mg</w:t>
      </w:r>
      <w:r w:rsidRPr="00C019CB">
        <w:t>/kg/day</w:t>
      </w:r>
      <w:r w:rsidR="00B76517">
        <w:t xml:space="preserve">, which are estimated up to </w:t>
      </w:r>
      <w:r w:rsidR="005179CA">
        <w:rPr>
          <w:rFonts w:cs="Times New Roman"/>
        </w:rPr>
        <w:t>≥</w:t>
      </w:r>
      <w:r w:rsidR="005179CA">
        <w:t xml:space="preserve"> 47</w:t>
      </w:r>
      <w:r w:rsidR="00B76517">
        <w:t xml:space="preserve"> times the MRHD based on AUC</w:t>
      </w:r>
      <w:r w:rsidRPr="00C019CB">
        <w:t>.</w:t>
      </w:r>
    </w:p>
    <w:p w14:paraId="6345D5E6" w14:textId="77777777" w:rsidR="00C202D6" w:rsidRPr="00F866DE" w:rsidRDefault="00C202D6" w:rsidP="00C202D6">
      <w:pPr>
        <w:pStyle w:val="BodyText"/>
      </w:pPr>
    </w:p>
    <w:p w14:paraId="740B83F5" w14:textId="77777777" w:rsidR="00C202D6" w:rsidRPr="00F866DE" w:rsidRDefault="00C202D6" w:rsidP="00C202D6">
      <w:pPr>
        <w:pStyle w:val="BodyText"/>
      </w:pPr>
    </w:p>
    <w:p w14:paraId="7594AE21" w14:textId="77777777" w:rsidR="00D85D9B" w:rsidRPr="00F866DE" w:rsidRDefault="00D85D9B" w:rsidP="00D85D9B">
      <w:pPr>
        <w:pStyle w:val="Heading1"/>
        <w:ind w:left="431" w:hanging="431"/>
      </w:pPr>
      <w:r w:rsidRPr="00F866DE">
        <w:lastRenderedPageBreak/>
        <w:t>Pharmaceutical particulars</w:t>
      </w:r>
    </w:p>
    <w:p w14:paraId="63E91B3A" w14:textId="78BF1AEF" w:rsidR="00D85D9B" w:rsidRPr="004F3422" w:rsidRDefault="00D85D9B" w:rsidP="00D85D9B">
      <w:pPr>
        <w:pStyle w:val="Heading2"/>
        <w:ind w:left="578" w:hanging="578"/>
      </w:pPr>
      <w:bookmarkStart w:id="32" w:name="_Ref503187308"/>
      <w:bookmarkStart w:id="33" w:name="_Ref38373062"/>
      <w:bookmarkStart w:id="34" w:name="_Ref38373395"/>
      <w:r w:rsidRPr="00F866DE">
        <w:t>List of excipients</w:t>
      </w:r>
      <w:bookmarkEnd w:id="32"/>
      <w:bookmarkEnd w:id="33"/>
      <w:bookmarkEnd w:id="34"/>
    </w:p>
    <w:p w14:paraId="29F7FF8C" w14:textId="69EE2612" w:rsidR="00523C51" w:rsidRPr="00F866DE" w:rsidRDefault="00E82CEC" w:rsidP="00523C51">
      <w:pPr>
        <w:pStyle w:val="BodyText"/>
      </w:pPr>
      <w:r w:rsidRPr="00F866DE">
        <w:t xml:space="preserve">The </w:t>
      </w:r>
      <w:r w:rsidR="002E13F1">
        <w:t>film coated</w:t>
      </w:r>
      <w:r w:rsidRPr="00F866DE">
        <w:t xml:space="preserve"> tablets contain the excipients </w:t>
      </w:r>
      <w:r w:rsidR="00523C51" w:rsidRPr="00F866DE">
        <w:t xml:space="preserve">lactose monohydrate, hyprolose, magnesium stearate, </w:t>
      </w:r>
      <w:r w:rsidR="00273EDB">
        <w:t>Opadry complete film coating system 03F42222 – ARTG PI No. 138472 (5</w:t>
      </w:r>
      <w:r w:rsidR="003B2F8E">
        <w:t> </w:t>
      </w:r>
      <w:r w:rsidR="005317E4">
        <w:t>mg</w:t>
      </w:r>
      <w:r w:rsidR="00273EDB">
        <w:t>) and Opadry complete film coating system 03F43101 Orange – ARTG PI No. 138465 (10</w:t>
      </w:r>
      <w:r w:rsidR="003B2F8E">
        <w:t> </w:t>
      </w:r>
      <w:r w:rsidR="005317E4">
        <w:t>mg</w:t>
      </w:r>
      <w:r w:rsidR="00273EDB">
        <w:t>).</w:t>
      </w:r>
    </w:p>
    <w:p w14:paraId="6E9F4F85" w14:textId="77777777" w:rsidR="00523C51" w:rsidRPr="004F3422" w:rsidRDefault="00523C51" w:rsidP="00C740BA">
      <w:pPr>
        <w:pStyle w:val="BodyText"/>
      </w:pPr>
    </w:p>
    <w:p w14:paraId="28780873" w14:textId="093E2689" w:rsidR="00D85D9B" w:rsidRPr="004F3422" w:rsidRDefault="00D85D9B" w:rsidP="00D85D9B">
      <w:pPr>
        <w:pStyle w:val="Heading2"/>
        <w:ind w:left="578" w:hanging="578"/>
      </w:pPr>
      <w:r w:rsidRPr="004F3422">
        <w:t xml:space="preserve">Incompatibilities </w:t>
      </w:r>
    </w:p>
    <w:p w14:paraId="074E10BB" w14:textId="77777777" w:rsidR="00E82CEC" w:rsidRPr="004F3422" w:rsidRDefault="00E82CEC" w:rsidP="00E82CEC">
      <w:pPr>
        <w:pStyle w:val="BodyText"/>
      </w:pPr>
      <w:r w:rsidRPr="004F3422">
        <w:t>Incompatibilities were either not assessed or not identified as part of the registration of this medicine.</w:t>
      </w:r>
    </w:p>
    <w:p w14:paraId="7B0408BF" w14:textId="6E4D9488" w:rsidR="00E82CEC" w:rsidRPr="004F3422" w:rsidRDefault="00E82CEC" w:rsidP="00C740BA">
      <w:pPr>
        <w:pStyle w:val="BodyText"/>
      </w:pPr>
    </w:p>
    <w:p w14:paraId="0A965D3F" w14:textId="6E369382" w:rsidR="00D85D9B" w:rsidRPr="004F3422" w:rsidRDefault="00D85D9B" w:rsidP="00D85D9B">
      <w:pPr>
        <w:pStyle w:val="Heading2"/>
        <w:ind w:left="578" w:hanging="578"/>
      </w:pPr>
      <w:r w:rsidRPr="004F3422">
        <w:t xml:space="preserve">Shelf life </w:t>
      </w:r>
    </w:p>
    <w:p w14:paraId="3EC5DADD" w14:textId="3B4670C8" w:rsidR="00C740BA" w:rsidRPr="004F3422" w:rsidRDefault="00E82CEC" w:rsidP="00C740BA">
      <w:pPr>
        <w:pStyle w:val="BodyText"/>
      </w:pPr>
      <w:r w:rsidRPr="004F3422">
        <w:t>In Australia, information on the shelf life can be found on the public summary of the Australian Register of Therapeutic Goods (ARTG). The expiry date can be found on the packaging.</w:t>
      </w:r>
    </w:p>
    <w:p w14:paraId="18617E4D" w14:textId="77777777" w:rsidR="00E82CEC" w:rsidRPr="004F3422" w:rsidRDefault="00E82CEC" w:rsidP="00C740BA">
      <w:pPr>
        <w:pStyle w:val="BodyText"/>
      </w:pPr>
    </w:p>
    <w:p w14:paraId="1CE7A567" w14:textId="4A700989" w:rsidR="00D85D9B" w:rsidRPr="004F3422" w:rsidRDefault="00D85D9B" w:rsidP="00D85D9B">
      <w:pPr>
        <w:pStyle w:val="Heading2"/>
        <w:ind w:left="578" w:hanging="578"/>
      </w:pPr>
      <w:r w:rsidRPr="004F3422">
        <w:t xml:space="preserve">Special precautions for storage </w:t>
      </w:r>
    </w:p>
    <w:p w14:paraId="472AB140" w14:textId="5852A6F1" w:rsidR="00C740BA" w:rsidRPr="004F3422" w:rsidRDefault="00E82CEC" w:rsidP="00C740BA">
      <w:pPr>
        <w:pStyle w:val="BodyText"/>
      </w:pPr>
      <w:r w:rsidRPr="004F3422">
        <w:t>Store below 30°C.</w:t>
      </w:r>
    </w:p>
    <w:p w14:paraId="355191C0" w14:textId="77777777" w:rsidR="005F3CE2" w:rsidRPr="00F866DE" w:rsidRDefault="005F3CE2" w:rsidP="005F3CE2">
      <w:pPr>
        <w:pStyle w:val="BodyText"/>
      </w:pPr>
    </w:p>
    <w:p w14:paraId="75DB4337" w14:textId="31229B2F" w:rsidR="00E82CEC" w:rsidRPr="00F866DE" w:rsidRDefault="005F3CE2" w:rsidP="005F3CE2">
      <w:pPr>
        <w:pStyle w:val="BodyText"/>
      </w:pPr>
      <w:r w:rsidRPr="00F866DE">
        <w:t>Store in original container.</w:t>
      </w:r>
    </w:p>
    <w:p w14:paraId="17A815DF" w14:textId="77777777" w:rsidR="005F3CE2" w:rsidRPr="004F3422" w:rsidRDefault="005F3CE2" w:rsidP="005F3CE2">
      <w:pPr>
        <w:pStyle w:val="BodyText"/>
      </w:pPr>
    </w:p>
    <w:p w14:paraId="3F22CF38" w14:textId="65140F9D" w:rsidR="00D85D9B" w:rsidRPr="004F3422" w:rsidRDefault="00D85D9B" w:rsidP="00D85D9B">
      <w:pPr>
        <w:pStyle w:val="Heading2"/>
        <w:ind w:left="578" w:hanging="578"/>
      </w:pPr>
      <w:r w:rsidRPr="004F3422">
        <w:t xml:space="preserve">Nature and contents of container </w:t>
      </w:r>
    </w:p>
    <w:p w14:paraId="37803321" w14:textId="342B1ED1" w:rsidR="00C740BA" w:rsidRPr="00BD253C" w:rsidRDefault="00523C51" w:rsidP="00C740BA">
      <w:pPr>
        <w:pStyle w:val="BodyText"/>
      </w:pPr>
      <w:r w:rsidRPr="004F3422">
        <w:t>DAYVIGO 5</w:t>
      </w:r>
      <w:r w:rsidR="003B2F8E">
        <w:t> </w:t>
      </w:r>
      <w:r w:rsidR="005317E4">
        <w:t>mg</w:t>
      </w:r>
      <w:r w:rsidR="00C740BA" w:rsidRPr="004F3422">
        <w:t xml:space="preserve"> is </w:t>
      </w:r>
      <w:r w:rsidR="00C740BA" w:rsidRPr="00BD253C">
        <w:t xml:space="preserve">available in </w:t>
      </w:r>
      <w:r w:rsidR="00C740BA" w:rsidRPr="00385A8A">
        <w:t>PVC/aluminium blister</w:t>
      </w:r>
      <w:r w:rsidR="00273EDB">
        <w:t xml:space="preserve"> pack</w:t>
      </w:r>
      <w:r w:rsidRPr="00BD253C">
        <w:t xml:space="preserve"> </w:t>
      </w:r>
      <w:r w:rsidR="00273EDB">
        <w:t>containing</w:t>
      </w:r>
      <w:r w:rsidRPr="00BD253C">
        <w:t xml:space="preserve"> </w:t>
      </w:r>
      <w:r w:rsidR="00483398">
        <w:t xml:space="preserve">3 tablets or </w:t>
      </w:r>
      <w:r w:rsidRPr="00BD253C">
        <w:t>28</w:t>
      </w:r>
      <w:r w:rsidR="00273EDB">
        <w:t xml:space="preserve"> tablets</w:t>
      </w:r>
      <w:r w:rsidR="00C740BA" w:rsidRPr="00BD253C">
        <w:t xml:space="preserve">. </w:t>
      </w:r>
    </w:p>
    <w:p w14:paraId="696C2BF2" w14:textId="24057216" w:rsidR="00523C51" w:rsidRDefault="00523C51" w:rsidP="00C740BA">
      <w:pPr>
        <w:pStyle w:val="BodyText"/>
      </w:pPr>
      <w:r w:rsidRPr="00BD253C">
        <w:t>DAYVIGO 10</w:t>
      </w:r>
      <w:r w:rsidR="003B2F8E">
        <w:t> </w:t>
      </w:r>
      <w:r w:rsidR="005317E4">
        <w:t>mg</w:t>
      </w:r>
      <w:r w:rsidRPr="00BD253C">
        <w:t xml:space="preserve"> is available in </w:t>
      </w:r>
      <w:r w:rsidRPr="00385A8A">
        <w:t>PVC/aluminium blister</w:t>
      </w:r>
      <w:r w:rsidR="00273EDB">
        <w:t xml:space="preserve"> pack</w:t>
      </w:r>
      <w:r w:rsidRPr="00385A8A">
        <w:t>s</w:t>
      </w:r>
      <w:r w:rsidR="00273EDB">
        <w:t xml:space="preserve"> containing</w:t>
      </w:r>
      <w:r w:rsidRPr="00BD253C">
        <w:t xml:space="preserve"> 28</w:t>
      </w:r>
      <w:r w:rsidR="00273EDB">
        <w:t xml:space="preserve"> tablets</w:t>
      </w:r>
      <w:r w:rsidRPr="00BD253C">
        <w:t>.</w:t>
      </w:r>
      <w:r w:rsidRPr="004F3422">
        <w:t xml:space="preserve"> </w:t>
      </w:r>
    </w:p>
    <w:p w14:paraId="67075F93" w14:textId="07E16396" w:rsidR="00483398" w:rsidRDefault="00483398" w:rsidP="00C740BA">
      <w:pPr>
        <w:pStyle w:val="BodyText"/>
      </w:pPr>
    </w:p>
    <w:p w14:paraId="6CB632D4" w14:textId="57ADD12E" w:rsidR="00483398" w:rsidRPr="004F3422" w:rsidRDefault="00483398" w:rsidP="00C740BA">
      <w:pPr>
        <w:pStyle w:val="BodyText"/>
      </w:pPr>
      <w:r>
        <w:t>Not all pack sizes may be marketed.</w:t>
      </w:r>
    </w:p>
    <w:p w14:paraId="6CCFD012" w14:textId="77777777" w:rsidR="00C740BA" w:rsidRPr="004F3422" w:rsidRDefault="00C740BA" w:rsidP="00C740BA">
      <w:pPr>
        <w:pStyle w:val="BodyText"/>
      </w:pPr>
    </w:p>
    <w:p w14:paraId="0616778C" w14:textId="0BDB2EA0" w:rsidR="00D85D9B" w:rsidRPr="004F3422" w:rsidRDefault="00D85D9B" w:rsidP="00D85D9B">
      <w:pPr>
        <w:pStyle w:val="Heading2"/>
        <w:ind w:left="578" w:hanging="578"/>
      </w:pPr>
      <w:r w:rsidRPr="004F3422">
        <w:t xml:space="preserve">Special precautions for disposal </w:t>
      </w:r>
    </w:p>
    <w:p w14:paraId="6193E22A" w14:textId="77777777" w:rsidR="00E82CEC" w:rsidRPr="004F3422" w:rsidRDefault="00E82CEC" w:rsidP="00E82CEC">
      <w:pPr>
        <w:pStyle w:val="BodyText"/>
      </w:pPr>
      <w:r w:rsidRPr="004F3422">
        <w:t>In Australia, any unused medicine or waste material should be disposed of by taking to your local pharmacy.</w:t>
      </w:r>
    </w:p>
    <w:p w14:paraId="729875BB" w14:textId="77777777" w:rsidR="00C740BA" w:rsidRPr="004F3422" w:rsidRDefault="00C740BA" w:rsidP="00C740BA">
      <w:pPr>
        <w:pStyle w:val="BodyText"/>
      </w:pPr>
    </w:p>
    <w:p w14:paraId="0E20627A" w14:textId="60EE6899" w:rsidR="00D85D9B" w:rsidRPr="004F3422" w:rsidRDefault="00D85D9B" w:rsidP="00D85D9B">
      <w:pPr>
        <w:pStyle w:val="Heading2"/>
        <w:ind w:left="578" w:hanging="578"/>
      </w:pPr>
      <w:r w:rsidRPr="004F3422">
        <w:t>Physicochemical properties</w:t>
      </w:r>
    </w:p>
    <w:p w14:paraId="7C42044E" w14:textId="7FF66C29" w:rsidR="004E5F53" w:rsidRPr="00A9340E" w:rsidRDefault="00F83B12" w:rsidP="00A9340E">
      <w:pPr>
        <w:pStyle w:val="BodyText"/>
      </w:pPr>
      <w:r w:rsidRPr="00385A8A">
        <w:t>Lemborexant is a white to off-white powder that is practically insoluble in water.</w:t>
      </w:r>
    </w:p>
    <w:p w14:paraId="0B6EAA68" w14:textId="765E7D5F" w:rsidR="00D85D9B" w:rsidRPr="00F866DE" w:rsidRDefault="00D85D9B" w:rsidP="00D85D9B">
      <w:pPr>
        <w:pStyle w:val="Heading3"/>
      </w:pPr>
      <w:r w:rsidRPr="00F866DE">
        <w:t xml:space="preserve">Chemical </w:t>
      </w:r>
      <w:r w:rsidR="00EA2088">
        <w:t>S</w:t>
      </w:r>
      <w:r w:rsidR="00EA2088" w:rsidRPr="00F866DE">
        <w:t>tructure</w:t>
      </w:r>
    </w:p>
    <w:p w14:paraId="61634683" w14:textId="4EDA95EB" w:rsidR="00523C51" w:rsidRPr="004F3422" w:rsidRDefault="00523C51" w:rsidP="00523C51">
      <w:pPr>
        <w:pStyle w:val="BodyText"/>
      </w:pPr>
      <w:r w:rsidRPr="004F3422">
        <w:t>Chemical name: (1</w:t>
      </w:r>
      <w:r w:rsidRPr="004F3422">
        <w:rPr>
          <w:i/>
        </w:rPr>
        <w:t>R</w:t>
      </w:r>
      <w:r w:rsidRPr="004F3422">
        <w:t>,2</w:t>
      </w:r>
      <w:r w:rsidRPr="004F3422">
        <w:rPr>
          <w:i/>
        </w:rPr>
        <w:t>S</w:t>
      </w:r>
      <w:r w:rsidRPr="004F3422">
        <w:t>)-2-{[(2,4-Dimethylpyrimidin-5-</w:t>
      </w:r>
      <w:proofErr w:type="gramStart"/>
      <w:r w:rsidRPr="004F3422">
        <w:t>yl)oxy</w:t>
      </w:r>
      <w:proofErr w:type="gramEnd"/>
      <w:r w:rsidRPr="004F3422">
        <w:t>]methyl}-2-(3-fluorophenyl)-</w:t>
      </w:r>
      <w:r w:rsidRPr="004F3422">
        <w:rPr>
          <w:i/>
        </w:rPr>
        <w:t>N</w:t>
      </w:r>
      <w:r w:rsidRPr="004F3422">
        <w:t>-(5-fluoropyridin</w:t>
      </w:r>
      <w:r w:rsidR="0088660D" w:rsidRPr="004F3422">
        <w:t>-2-yl)cyclopropanecarboxamide</w:t>
      </w:r>
    </w:p>
    <w:p w14:paraId="32B63821" w14:textId="77777777" w:rsidR="0088660D" w:rsidRPr="004F3422" w:rsidRDefault="0088660D" w:rsidP="00523C51">
      <w:pPr>
        <w:pStyle w:val="BodyText"/>
      </w:pPr>
    </w:p>
    <w:p w14:paraId="48FBF6E2" w14:textId="2C424CFF" w:rsidR="00523C51" w:rsidRPr="00C019CB" w:rsidRDefault="00523C51" w:rsidP="00523C51">
      <w:pPr>
        <w:pStyle w:val="BodyText"/>
        <w:rPr>
          <w:vertAlign w:val="subscript"/>
          <w:lang w:val="pt-BR"/>
        </w:rPr>
      </w:pPr>
      <w:r w:rsidRPr="00C019CB">
        <w:rPr>
          <w:lang w:val="pt-BR"/>
        </w:rPr>
        <w:t>Empirical formula: C</w:t>
      </w:r>
      <w:r w:rsidRPr="00C019CB">
        <w:rPr>
          <w:vertAlign w:val="subscript"/>
          <w:lang w:val="pt-BR"/>
        </w:rPr>
        <w:t>22</w:t>
      </w:r>
      <w:r w:rsidRPr="00C019CB">
        <w:rPr>
          <w:lang w:val="pt-BR"/>
        </w:rPr>
        <w:t>H</w:t>
      </w:r>
      <w:r w:rsidRPr="00C019CB">
        <w:rPr>
          <w:vertAlign w:val="subscript"/>
          <w:lang w:val="pt-BR"/>
        </w:rPr>
        <w:t>20</w:t>
      </w:r>
      <w:r w:rsidRPr="00C019CB">
        <w:rPr>
          <w:lang w:val="pt-BR"/>
        </w:rPr>
        <w:t>F</w:t>
      </w:r>
      <w:r w:rsidRPr="00C019CB">
        <w:rPr>
          <w:vertAlign w:val="subscript"/>
          <w:lang w:val="pt-BR"/>
        </w:rPr>
        <w:t>2</w:t>
      </w:r>
      <w:r w:rsidRPr="00C019CB">
        <w:rPr>
          <w:lang w:val="pt-BR"/>
        </w:rPr>
        <w:t>N</w:t>
      </w:r>
      <w:r w:rsidRPr="00C019CB">
        <w:rPr>
          <w:vertAlign w:val="subscript"/>
          <w:lang w:val="pt-BR"/>
        </w:rPr>
        <w:t>4</w:t>
      </w:r>
      <w:r w:rsidRPr="00C019CB">
        <w:rPr>
          <w:lang w:val="pt-BR"/>
        </w:rPr>
        <w:t>O</w:t>
      </w:r>
      <w:r w:rsidRPr="00C019CB">
        <w:rPr>
          <w:vertAlign w:val="subscript"/>
          <w:lang w:val="pt-BR"/>
        </w:rPr>
        <w:t>2</w:t>
      </w:r>
    </w:p>
    <w:p w14:paraId="0690952D" w14:textId="77777777" w:rsidR="0088660D" w:rsidRPr="00C019CB" w:rsidRDefault="0088660D" w:rsidP="00523C51">
      <w:pPr>
        <w:pStyle w:val="BodyText"/>
        <w:rPr>
          <w:lang w:val="pt-BR"/>
        </w:rPr>
      </w:pPr>
    </w:p>
    <w:p w14:paraId="053B23BB" w14:textId="219A8B64" w:rsidR="00523C51" w:rsidRPr="00C019CB" w:rsidRDefault="00523C51" w:rsidP="00523C51">
      <w:pPr>
        <w:pStyle w:val="BodyText"/>
        <w:rPr>
          <w:lang w:val="pt-BR"/>
        </w:rPr>
      </w:pPr>
      <w:r w:rsidRPr="00C019CB">
        <w:rPr>
          <w:lang w:val="pt-BR"/>
        </w:rPr>
        <w:t>M</w:t>
      </w:r>
      <w:r w:rsidR="0088660D" w:rsidRPr="00C019CB">
        <w:rPr>
          <w:lang w:val="pt-BR"/>
        </w:rPr>
        <w:t>olecular weight: 410.42</w:t>
      </w:r>
      <w:r w:rsidR="003B2F8E">
        <w:rPr>
          <w:lang w:val="pt-BR"/>
        </w:rPr>
        <w:t> </w:t>
      </w:r>
      <w:r w:rsidR="0088660D" w:rsidRPr="00C019CB">
        <w:rPr>
          <w:lang w:val="pt-BR"/>
        </w:rPr>
        <w:t>g/mol</w:t>
      </w:r>
    </w:p>
    <w:p w14:paraId="76F763B3" w14:textId="77777777" w:rsidR="0088660D" w:rsidRPr="00C019CB" w:rsidRDefault="0088660D" w:rsidP="00523C51">
      <w:pPr>
        <w:pStyle w:val="BodyText"/>
        <w:rPr>
          <w:lang w:val="pt-BR"/>
        </w:rPr>
      </w:pPr>
    </w:p>
    <w:p w14:paraId="527D2272" w14:textId="1592B9B6" w:rsidR="00523C51" w:rsidRPr="004F3422" w:rsidRDefault="0088660D" w:rsidP="00385A8A">
      <w:pPr>
        <w:pStyle w:val="BodyText"/>
        <w:keepNext/>
      </w:pPr>
      <w:r w:rsidRPr="004F3422">
        <w:t>Chemical Structure</w:t>
      </w:r>
      <w:r w:rsidR="00523C51" w:rsidRPr="004F3422">
        <w:t>:</w:t>
      </w:r>
    </w:p>
    <w:p w14:paraId="38EB4825" w14:textId="6E27690B" w:rsidR="0088660D" w:rsidRPr="004F3422" w:rsidRDefault="007D2488" w:rsidP="003862D9">
      <w:pPr>
        <w:pStyle w:val="BodyText"/>
        <w:rPr>
          <w:b/>
          <w:bCs/>
        </w:rPr>
      </w:pPr>
      <w:r w:rsidRPr="00C019CB" w:rsidDel="000E60F3">
        <w:rPr>
          <w:noProof/>
          <w:lang w:eastAsia="en-AU"/>
        </w:rPr>
        <w:drawing>
          <wp:inline distT="0" distB="0" distL="0" distR="0" wp14:anchorId="78F5BBD6" wp14:editId="0633EFDD">
            <wp:extent cx="3265957" cy="147875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4297" cy="1496117"/>
                    </a:xfrm>
                    <a:prstGeom prst="rect">
                      <a:avLst/>
                    </a:prstGeom>
                    <a:noFill/>
                    <a:ln>
                      <a:noFill/>
                    </a:ln>
                  </pic:spPr>
                </pic:pic>
              </a:graphicData>
            </a:graphic>
          </wp:inline>
        </w:drawing>
      </w:r>
    </w:p>
    <w:p w14:paraId="129D5094" w14:textId="07513C26" w:rsidR="00D85D9B" w:rsidRPr="004F3422" w:rsidRDefault="00D85D9B" w:rsidP="00523C51">
      <w:pPr>
        <w:pStyle w:val="Heading3"/>
      </w:pPr>
      <w:r w:rsidRPr="004F3422">
        <w:t xml:space="preserve">CAS Number: </w:t>
      </w:r>
    </w:p>
    <w:p w14:paraId="3C16D1C0" w14:textId="524CA843" w:rsidR="004D7A69" w:rsidRPr="004F3422" w:rsidRDefault="004D7A69" w:rsidP="004D7A69">
      <w:pPr>
        <w:pStyle w:val="BodyText"/>
      </w:pPr>
      <w:r w:rsidRPr="004F3422">
        <w:t>CAS Number</w:t>
      </w:r>
      <w:r w:rsidRPr="00F866DE">
        <w:t xml:space="preserve">: </w:t>
      </w:r>
      <w:r w:rsidR="008C05D2" w:rsidRPr="00C019CB">
        <w:t xml:space="preserve"> 1369764-02-2</w:t>
      </w:r>
    </w:p>
    <w:p w14:paraId="0B7AA690" w14:textId="77777777" w:rsidR="004D7A69" w:rsidRPr="00F866DE" w:rsidRDefault="004D7A69" w:rsidP="004D7A69">
      <w:pPr>
        <w:pStyle w:val="BodyText"/>
      </w:pPr>
    </w:p>
    <w:p w14:paraId="137C1F9A" w14:textId="051F6F13" w:rsidR="00D85D9B" w:rsidRPr="00F866DE" w:rsidRDefault="00D85D9B" w:rsidP="00D85D9B">
      <w:pPr>
        <w:pStyle w:val="Heading1"/>
      </w:pPr>
      <w:r w:rsidRPr="00F866DE">
        <w:t>M</w:t>
      </w:r>
      <w:r w:rsidR="00E755E0">
        <w:t>edicine Schedule (poison standard)</w:t>
      </w:r>
    </w:p>
    <w:p w14:paraId="4540070B" w14:textId="77777777" w:rsidR="00E82CEC" w:rsidRPr="004F3422" w:rsidRDefault="00E82CEC" w:rsidP="00E82CEC">
      <w:pPr>
        <w:pStyle w:val="BodyText"/>
      </w:pPr>
      <w:r w:rsidRPr="004F3422">
        <w:t>Schedule 4 – Prescription only medicine</w:t>
      </w:r>
    </w:p>
    <w:p w14:paraId="445B0E6F" w14:textId="77777777" w:rsidR="00E82CEC" w:rsidRPr="004F3422" w:rsidRDefault="00E82CEC" w:rsidP="00E82CEC">
      <w:pPr>
        <w:pStyle w:val="BodyText"/>
      </w:pPr>
    </w:p>
    <w:p w14:paraId="74457F34" w14:textId="47645DDA" w:rsidR="00E82CEC" w:rsidRPr="004F3422" w:rsidRDefault="00E755E0" w:rsidP="00E82CEC">
      <w:pPr>
        <w:pStyle w:val="Heading1"/>
        <w:numPr>
          <w:ilvl w:val="0"/>
          <w:numId w:val="15"/>
        </w:numPr>
      </w:pPr>
      <w:r>
        <w:t>S</w:t>
      </w:r>
      <w:r w:rsidR="00E82CEC" w:rsidRPr="004F3422">
        <w:t>ponsor</w:t>
      </w:r>
    </w:p>
    <w:p w14:paraId="292DE7A7" w14:textId="77777777" w:rsidR="00E82CEC" w:rsidRPr="004F3422" w:rsidRDefault="00E82CEC" w:rsidP="00E82CEC">
      <w:pPr>
        <w:pStyle w:val="BodyText"/>
      </w:pPr>
      <w:r w:rsidRPr="004F3422">
        <w:t>Eisai Australia Pty. Ltd.</w:t>
      </w:r>
    </w:p>
    <w:p w14:paraId="611CAB96" w14:textId="77777777" w:rsidR="00E82CEC" w:rsidRPr="004F3422" w:rsidRDefault="00E82CEC" w:rsidP="00E82CEC">
      <w:pPr>
        <w:pStyle w:val="BodyText"/>
      </w:pPr>
      <w:r w:rsidRPr="004F3422">
        <w:t>Level 2, 437 St Kilda Road</w:t>
      </w:r>
    </w:p>
    <w:p w14:paraId="23EF82FE" w14:textId="77777777" w:rsidR="00E82CEC" w:rsidRPr="004F3422" w:rsidRDefault="00E82CEC" w:rsidP="00E82CEC">
      <w:pPr>
        <w:pStyle w:val="BodyText"/>
      </w:pPr>
      <w:r w:rsidRPr="004F3422">
        <w:t>Melbourne, VIC, 3004</w:t>
      </w:r>
    </w:p>
    <w:p w14:paraId="36811A86" w14:textId="77777777" w:rsidR="00E82CEC" w:rsidRPr="004F3422" w:rsidRDefault="00E82CEC" w:rsidP="00E82CEC">
      <w:pPr>
        <w:pStyle w:val="BodyText"/>
      </w:pPr>
      <w:r w:rsidRPr="004F3422">
        <w:t>03 9832 9100</w:t>
      </w:r>
    </w:p>
    <w:p w14:paraId="11E34EC4" w14:textId="77777777" w:rsidR="00E82CEC" w:rsidRPr="004F3422" w:rsidRDefault="00E82CEC" w:rsidP="00E82CEC">
      <w:pPr>
        <w:pStyle w:val="BodyText"/>
      </w:pPr>
      <w:r w:rsidRPr="004F3422">
        <w:t>medinfo_australia@eisai.net</w:t>
      </w:r>
    </w:p>
    <w:p w14:paraId="58515EA3" w14:textId="77777777" w:rsidR="00E82CEC" w:rsidRPr="004F3422" w:rsidRDefault="00E82CEC" w:rsidP="00E82CEC">
      <w:pPr>
        <w:pStyle w:val="BodyText"/>
      </w:pPr>
    </w:p>
    <w:p w14:paraId="2866E072" w14:textId="04A1E790" w:rsidR="00BE78D8" w:rsidRPr="004F3422" w:rsidRDefault="00D85D9B" w:rsidP="00D85D9B">
      <w:pPr>
        <w:pStyle w:val="Heading1"/>
      </w:pPr>
      <w:r w:rsidRPr="004F3422">
        <w:t xml:space="preserve">Date of </w:t>
      </w:r>
      <w:r w:rsidR="00E755E0">
        <w:t>f</w:t>
      </w:r>
      <w:r w:rsidRPr="004F3422">
        <w:t xml:space="preserve">irst </w:t>
      </w:r>
      <w:r w:rsidR="00E755E0">
        <w:t>a</w:t>
      </w:r>
      <w:r w:rsidRPr="004F3422">
        <w:t>pproval</w:t>
      </w:r>
    </w:p>
    <w:p w14:paraId="4B68CC49" w14:textId="26490E43" w:rsidR="00E82CEC" w:rsidRDefault="000A33B4" w:rsidP="00E82CEC">
      <w:pPr>
        <w:pStyle w:val="BodyText"/>
      </w:pPr>
      <w:r>
        <w:t>16 July 2021</w:t>
      </w:r>
    </w:p>
    <w:p w14:paraId="6642B45A" w14:textId="77777777" w:rsidR="00F040D6" w:rsidRDefault="00F040D6" w:rsidP="00E82CEC">
      <w:pPr>
        <w:pStyle w:val="BodyText"/>
      </w:pPr>
    </w:p>
    <w:p w14:paraId="02B5D885" w14:textId="04227672" w:rsidR="003D7D0B" w:rsidRDefault="003D7D0B" w:rsidP="003D7D0B">
      <w:pPr>
        <w:pStyle w:val="Heading1"/>
      </w:pPr>
      <w:r w:rsidRPr="004F3422">
        <w:t xml:space="preserve">Date of </w:t>
      </w:r>
      <w:r>
        <w:t>revision</w:t>
      </w:r>
    </w:p>
    <w:p w14:paraId="5037AB5C" w14:textId="2BA06D9D" w:rsidR="003D7D0B" w:rsidRPr="004F3422" w:rsidRDefault="003D7D0B" w:rsidP="00E82CEC">
      <w:pPr>
        <w:pStyle w:val="BodyText"/>
      </w:pPr>
      <w:r>
        <w:t>Not applicable</w:t>
      </w:r>
    </w:p>
    <w:p w14:paraId="2AE48F3A" w14:textId="77777777" w:rsidR="00E82CEC" w:rsidRPr="004F3422" w:rsidRDefault="00E82CEC" w:rsidP="00E82CEC">
      <w:pPr>
        <w:pStyle w:val="BodyText"/>
      </w:pPr>
    </w:p>
    <w:p w14:paraId="00DE1596" w14:textId="77777777" w:rsidR="00E82CEC" w:rsidRPr="004F3422" w:rsidRDefault="00E82CEC" w:rsidP="00E82CEC">
      <w:pPr>
        <w:pStyle w:val="Heading3"/>
      </w:pPr>
      <w:r w:rsidRPr="004F3422">
        <w:t>Summary Table of changes</w:t>
      </w:r>
    </w:p>
    <w:tbl>
      <w:tblPr>
        <w:tblStyle w:val="TableGrid2"/>
        <w:tblW w:w="0" w:type="auto"/>
        <w:tblLook w:val="04A0" w:firstRow="1" w:lastRow="0" w:firstColumn="1" w:lastColumn="0" w:noHBand="0" w:noVBand="1"/>
      </w:tblPr>
      <w:tblGrid>
        <w:gridCol w:w="1096"/>
        <w:gridCol w:w="1130"/>
        <w:gridCol w:w="6790"/>
      </w:tblGrid>
      <w:tr w:rsidR="00E82CEC" w:rsidRPr="004F3422" w14:paraId="70FA00E8" w14:textId="77777777" w:rsidTr="001D51FB">
        <w:tc>
          <w:tcPr>
            <w:tcW w:w="1101" w:type="dxa"/>
          </w:tcPr>
          <w:p w14:paraId="62EECE4B" w14:textId="77777777" w:rsidR="00E82CEC" w:rsidRPr="004F3422" w:rsidRDefault="00E82CEC" w:rsidP="00741BDD">
            <w:pPr>
              <w:pStyle w:val="TableHeading"/>
            </w:pPr>
            <w:r w:rsidRPr="004F3422">
              <w:t>Version Number</w:t>
            </w:r>
          </w:p>
        </w:tc>
        <w:tc>
          <w:tcPr>
            <w:tcW w:w="1134" w:type="dxa"/>
          </w:tcPr>
          <w:p w14:paraId="7E6CF2ED" w14:textId="77777777" w:rsidR="00E82CEC" w:rsidRPr="004F3422" w:rsidRDefault="00E82CEC" w:rsidP="00741BDD">
            <w:pPr>
              <w:pStyle w:val="TableHeading"/>
            </w:pPr>
            <w:r w:rsidRPr="004F3422">
              <w:t>Section changed</w:t>
            </w:r>
          </w:p>
        </w:tc>
        <w:tc>
          <w:tcPr>
            <w:tcW w:w="7007" w:type="dxa"/>
          </w:tcPr>
          <w:p w14:paraId="34B0780B" w14:textId="77777777" w:rsidR="00E82CEC" w:rsidRPr="004F3422" w:rsidRDefault="00E82CEC" w:rsidP="00741BDD">
            <w:pPr>
              <w:pStyle w:val="TableHeading"/>
            </w:pPr>
            <w:r w:rsidRPr="004F3422">
              <w:t>Summary of new information</w:t>
            </w:r>
          </w:p>
        </w:tc>
      </w:tr>
      <w:tr w:rsidR="00C720CA" w:rsidRPr="004F3422" w14:paraId="05976F80" w14:textId="77777777" w:rsidTr="001D51FB">
        <w:tc>
          <w:tcPr>
            <w:tcW w:w="1101" w:type="dxa"/>
          </w:tcPr>
          <w:p w14:paraId="4201A5FD" w14:textId="7D49DBA6" w:rsidR="00C720CA" w:rsidRPr="004F3422" w:rsidRDefault="0088660D" w:rsidP="00741BDD">
            <w:pPr>
              <w:pStyle w:val="TableText"/>
            </w:pPr>
            <w:r w:rsidRPr="004F3422">
              <w:t>1</w:t>
            </w:r>
          </w:p>
        </w:tc>
        <w:tc>
          <w:tcPr>
            <w:tcW w:w="1134" w:type="dxa"/>
          </w:tcPr>
          <w:p w14:paraId="5449AF5A" w14:textId="154EA561" w:rsidR="00C720CA" w:rsidRPr="004F3422" w:rsidRDefault="00C720CA" w:rsidP="00741BDD">
            <w:pPr>
              <w:pStyle w:val="TableText"/>
            </w:pPr>
            <w:r w:rsidRPr="004F3422">
              <w:t>All</w:t>
            </w:r>
          </w:p>
        </w:tc>
        <w:tc>
          <w:tcPr>
            <w:tcW w:w="7007" w:type="dxa"/>
          </w:tcPr>
          <w:p w14:paraId="29D904BC" w14:textId="2C6D18A1" w:rsidR="00C720CA" w:rsidRPr="004F3422" w:rsidRDefault="0088660D" w:rsidP="00741BDD">
            <w:pPr>
              <w:pStyle w:val="TableText"/>
            </w:pPr>
            <w:r w:rsidRPr="004F3422">
              <w:t>New Product Information</w:t>
            </w:r>
          </w:p>
        </w:tc>
      </w:tr>
      <w:tr w:rsidR="00C720CA" w:rsidRPr="004F3422" w14:paraId="13CBA3E1" w14:textId="77777777" w:rsidTr="001D51FB">
        <w:tc>
          <w:tcPr>
            <w:tcW w:w="1101" w:type="dxa"/>
          </w:tcPr>
          <w:p w14:paraId="1D9D34C1" w14:textId="3A241938" w:rsidR="00C720CA" w:rsidRPr="004F3422" w:rsidRDefault="00C720CA" w:rsidP="00741BDD">
            <w:pPr>
              <w:pStyle w:val="TableText"/>
            </w:pPr>
          </w:p>
        </w:tc>
        <w:tc>
          <w:tcPr>
            <w:tcW w:w="1134" w:type="dxa"/>
          </w:tcPr>
          <w:p w14:paraId="32FD8CE2" w14:textId="6C6C9478" w:rsidR="00C720CA" w:rsidRPr="004F3422" w:rsidRDefault="00C720CA" w:rsidP="00741BDD">
            <w:pPr>
              <w:pStyle w:val="TableText"/>
            </w:pPr>
          </w:p>
        </w:tc>
        <w:tc>
          <w:tcPr>
            <w:tcW w:w="7007" w:type="dxa"/>
          </w:tcPr>
          <w:p w14:paraId="4412797E" w14:textId="054969CD" w:rsidR="00C720CA" w:rsidRPr="004F3422" w:rsidRDefault="00C720CA" w:rsidP="00741BDD">
            <w:pPr>
              <w:pStyle w:val="TableText"/>
            </w:pPr>
          </w:p>
        </w:tc>
      </w:tr>
    </w:tbl>
    <w:p w14:paraId="5E8DE30E" w14:textId="77777777" w:rsidR="00E82CEC" w:rsidRPr="004F3422" w:rsidRDefault="00E82CEC" w:rsidP="00E82CEC">
      <w:pPr>
        <w:pStyle w:val="BodyText"/>
      </w:pPr>
    </w:p>
    <w:sectPr w:rsidR="00E82CEC" w:rsidRPr="004F3422" w:rsidSect="0088349C">
      <w:headerReference w:type="even" r:id="rId20"/>
      <w:headerReference w:type="default" r:id="rId21"/>
      <w:footerReference w:type="default" r:id="rId22"/>
      <w:head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809B1" w14:textId="77777777" w:rsidR="003531A6" w:rsidRDefault="003531A6" w:rsidP="00984B4D">
      <w:r>
        <w:separator/>
      </w:r>
    </w:p>
  </w:endnote>
  <w:endnote w:type="continuationSeparator" w:id="0">
    <w:p w14:paraId="4E77E56C" w14:textId="77777777" w:rsidR="003531A6" w:rsidRDefault="003531A6" w:rsidP="00984B4D">
      <w:r>
        <w:continuationSeparator/>
      </w:r>
    </w:p>
  </w:endnote>
  <w:endnote w:type="continuationNotice" w:id="1">
    <w:p w14:paraId="3F7638F4" w14:textId="77777777" w:rsidR="003531A6" w:rsidRDefault="00353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rPr>
      <w:id w:val="-66274004"/>
      <w:docPartObj>
        <w:docPartGallery w:val="Page Numbers (Bottom of Page)"/>
        <w:docPartUnique/>
      </w:docPartObj>
    </w:sdtPr>
    <w:sdtEndPr>
      <w:rPr>
        <w:noProof/>
      </w:rPr>
    </w:sdtEndPr>
    <w:sdtContent>
      <w:p w14:paraId="1222C42C" w14:textId="77777777" w:rsidR="003531A6" w:rsidRDefault="003531A6" w:rsidP="00C720CA">
        <w:pPr>
          <w:pStyle w:val="Footer"/>
          <w:rPr>
            <w:sz w:val="20"/>
          </w:rPr>
        </w:pPr>
      </w:p>
      <w:p w14:paraId="2866E086" w14:textId="5A09DC05" w:rsidR="003531A6" w:rsidRPr="00C720CA" w:rsidRDefault="003531A6" w:rsidP="005F3CE2">
        <w:pPr>
          <w:pStyle w:val="Footer"/>
        </w:pPr>
        <w:r>
          <w:rPr>
            <w:sz w:val="20"/>
          </w:rPr>
          <w:t xml:space="preserve">Dayvigo </w:t>
        </w:r>
        <w:r w:rsidRPr="005C4E46">
          <w:rPr>
            <w:sz w:val="20"/>
          </w:rPr>
          <w:t xml:space="preserve">PI </w:t>
        </w:r>
        <w:r>
          <w:rPr>
            <w:sz w:val="20"/>
          </w:rPr>
          <w:t>Version 1</w:t>
        </w:r>
        <w:r w:rsidRPr="005C4E46">
          <w:rPr>
            <w:sz w:val="20"/>
          </w:rPr>
          <w:tab/>
        </w:r>
        <w:r w:rsidRPr="005C4E46">
          <w:rPr>
            <w:sz w:val="20"/>
          </w:rPr>
          <w:tab/>
          <w:t xml:space="preserve">Page </w:t>
        </w:r>
        <w:r w:rsidRPr="005C4E46">
          <w:rPr>
            <w:sz w:val="20"/>
          </w:rPr>
          <w:fldChar w:fldCharType="begin"/>
        </w:r>
        <w:r w:rsidRPr="005C4E46">
          <w:rPr>
            <w:sz w:val="20"/>
          </w:rPr>
          <w:instrText xml:space="preserve"> PAGE   \* MERGEFORMAT </w:instrText>
        </w:r>
        <w:r w:rsidRPr="005C4E46">
          <w:rPr>
            <w:sz w:val="20"/>
          </w:rPr>
          <w:fldChar w:fldCharType="separate"/>
        </w:r>
        <w:r>
          <w:rPr>
            <w:noProof/>
            <w:sz w:val="20"/>
          </w:rPr>
          <w:t>16</w:t>
        </w:r>
        <w:r w:rsidRPr="005C4E46">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8DA0" w14:textId="77777777" w:rsidR="003531A6" w:rsidRDefault="003531A6" w:rsidP="00984B4D">
      <w:r>
        <w:separator/>
      </w:r>
    </w:p>
  </w:footnote>
  <w:footnote w:type="continuationSeparator" w:id="0">
    <w:p w14:paraId="3DA1F94F" w14:textId="77777777" w:rsidR="003531A6" w:rsidRDefault="003531A6" w:rsidP="00984B4D">
      <w:r>
        <w:continuationSeparator/>
      </w:r>
    </w:p>
  </w:footnote>
  <w:footnote w:type="continuationNotice" w:id="1">
    <w:p w14:paraId="5B9743AF" w14:textId="77777777" w:rsidR="003531A6" w:rsidRDefault="003531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1A60B" w14:textId="166D9BC8" w:rsidR="00500500" w:rsidRDefault="00742955">
    <w:pPr>
      <w:pStyle w:val="Header"/>
    </w:pPr>
    <w:r>
      <w:rPr>
        <w:noProof/>
      </w:rPr>
      <w:pict w14:anchorId="658E1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209378" o:spid="_x0000_s98306" type="#_x0000_t136" style="position:absolute;margin-left:0;margin-top:0;width:593.85pt;height:42.4pt;rotation:315;z-index:-251655168;mso-position-horizontal:center;mso-position-horizontal-relative:margin;mso-position-vertical:center;mso-position-vertical-relative:margin" o:allowincell="f" fillcolor="silver" stroked="f">
          <v:fill opacity=".5"/>
          <v:textpath style="font-family:&quot;Arial&quot;;font-size:1pt" string="Word Copy - Do Not Distribu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shd w:val="clear" w:color="auto" w:fill="E4F2E0"/>
      <w:tblLook w:val="04A0" w:firstRow="1" w:lastRow="0" w:firstColumn="1" w:lastColumn="0" w:noHBand="0" w:noVBand="1"/>
    </w:tblPr>
    <w:tblGrid>
      <w:gridCol w:w="8472"/>
    </w:tblGrid>
    <w:tr w:rsidR="00324AA3" w:rsidRPr="000B2145" w14:paraId="78E90C9F" w14:textId="77777777" w:rsidTr="00324AA3">
      <w:trPr>
        <w:trHeight w:val="590"/>
        <w:jc w:val="center"/>
      </w:trPr>
      <w:tc>
        <w:tcPr>
          <w:tcW w:w="8472" w:type="dxa"/>
          <w:shd w:val="clear" w:color="auto" w:fill="E4F2E0"/>
        </w:tcPr>
        <w:p w14:paraId="1A3B884F" w14:textId="77777777" w:rsidR="00324AA3" w:rsidRPr="000B2145" w:rsidRDefault="00324AA3" w:rsidP="00324AA3">
          <w:pPr>
            <w:pStyle w:val="Footer"/>
            <w:rPr>
              <w:b/>
              <w:sz w:val="18"/>
              <w:szCs w:val="18"/>
            </w:rPr>
          </w:pPr>
          <w:bookmarkStart w:id="35" w:name="_Hlk80614836"/>
          <w:r w:rsidRPr="00324AA3">
            <w:rPr>
              <w:b/>
              <w:sz w:val="18"/>
              <w:szCs w:val="18"/>
            </w:rPr>
            <w:t xml:space="preserve">Attachment 1: </w:t>
          </w:r>
          <w:proofErr w:type="spellStart"/>
          <w:r w:rsidRPr="00324AA3">
            <w:rPr>
              <w:b/>
              <w:sz w:val="18"/>
              <w:szCs w:val="18"/>
            </w:rPr>
            <w:t>AusPAR</w:t>
          </w:r>
          <w:proofErr w:type="spellEnd"/>
          <w:r w:rsidRPr="00324AA3">
            <w:rPr>
              <w:b/>
              <w:sz w:val="18"/>
              <w:szCs w:val="18"/>
            </w:rPr>
            <w:t xml:space="preserve"> – </w:t>
          </w:r>
          <w:proofErr w:type="spellStart"/>
          <w:r w:rsidRPr="00324AA3">
            <w:rPr>
              <w:b/>
              <w:sz w:val="18"/>
              <w:szCs w:val="18"/>
            </w:rPr>
            <w:t>Dayvigo</w:t>
          </w:r>
          <w:proofErr w:type="spellEnd"/>
          <w:r w:rsidRPr="00324AA3">
            <w:rPr>
              <w:b/>
              <w:sz w:val="18"/>
              <w:szCs w:val="18"/>
            </w:rPr>
            <w:t xml:space="preserve"> – </w:t>
          </w:r>
          <w:proofErr w:type="spellStart"/>
          <w:r w:rsidRPr="00324AA3">
            <w:rPr>
              <w:b/>
              <w:sz w:val="18"/>
              <w:szCs w:val="18"/>
            </w:rPr>
            <w:t>lemborexant</w:t>
          </w:r>
          <w:proofErr w:type="spellEnd"/>
          <w:r w:rsidRPr="00324AA3">
            <w:rPr>
              <w:b/>
              <w:sz w:val="18"/>
              <w:szCs w:val="18"/>
            </w:rPr>
            <w:t xml:space="preserve"> – Eisai Australia Pty Ltd – PM-2020-02421-1-1</w:t>
          </w:r>
          <w:r w:rsidRPr="00324AA3">
            <w:rPr>
              <w:b/>
              <w:sz w:val="18"/>
              <w:szCs w:val="18"/>
            </w:rPr>
            <w:br/>
            <w:t>FINAL 9 March 2022. This is the Product Information that was approved with the submission</w:t>
          </w:r>
          <w:r w:rsidRPr="000B2145">
            <w:rPr>
              <w:b/>
              <w:sz w:val="18"/>
              <w:szCs w:val="18"/>
            </w:rPr>
            <w:t xml:space="preserve"> described in this </w:t>
          </w:r>
          <w:proofErr w:type="spellStart"/>
          <w:r w:rsidRPr="000B2145">
            <w:rPr>
              <w:b/>
              <w:sz w:val="18"/>
              <w:szCs w:val="18"/>
            </w:rPr>
            <w:t>AusPAR</w:t>
          </w:r>
          <w:proofErr w:type="spellEnd"/>
          <w:r w:rsidRPr="000B2145">
            <w:rPr>
              <w:b/>
              <w:sz w:val="18"/>
              <w:szCs w:val="18"/>
            </w:rPr>
            <w:t>.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bookmarkEnd w:id="35"/>
  <w:p w14:paraId="4CC67F97" w14:textId="3679EB19" w:rsidR="00500500" w:rsidRDefault="00742955">
    <w:pPr>
      <w:pStyle w:val="Header"/>
    </w:pPr>
    <w:r>
      <w:rPr>
        <w:noProof/>
      </w:rPr>
      <w:pict w14:anchorId="6438B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209379" o:spid="_x0000_s98307" type="#_x0000_t136" style="position:absolute;margin-left:0;margin-top:0;width:593.85pt;height:42.4pt;rotation:315;z-index:-251653120;mso-position-horizontal:center;mso-position-horizontal-relative:margin;mso-position-vertical:center;mso-position-vertical-relative:margin" o:allowincell="f" fillcolor="silver" stroked="f">
          <v:fill opacity=".5"/>
          <v:textpath style="font-family:&quot;Arial&quot;;font-size:1pt" string="Word Copy - Do Not Distribu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F9592" w14:textId="3A7959C5" w:rsidR="00500500" w:rsidRDefault="00742955">
    <w:pPr>
      <w:pStyle w:val="Header"/>
    </w:pPr>
    <w:r>
      <w:rPr>
        <w:noProof/>
      </w:rPr>
      <w:pict w14:anchorId="3B580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209377" o:spid="_x0000_s98305" type="#_x0000_t136" style="position:absolute;margin-left:0;margin-top:0;width:593.85pt;height:42.4pt;rotation:315;z-index:-251657216;mso-position-horizontal:center;mso-position-horizontal-relative:margin;mso-position-vertical:center;mso-position-vertical-relative:margin" o:allowincell="f" fillcolor="silver" stroked="f">
          <v:fill opacity=".5"/>
          <v:textpath style="font-family:&quot;Arial&quot;;font-size:1pt" string="Word Copy - Do Not Distribu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2AE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8E2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9C9E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FE4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D077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B66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5862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2BE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BC04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8EBB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52D"/>
    <w:multiLevelType w:val="hybridMultilevel"/>
    <w:tmpl w:val="914E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6C6823"/>
    <w:multiLevelType w:val="hybridMultilevel"/>
    <w:tmpl w:val="8D0EE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A6C3140"/>
    <w:multiLevelType w:val="hybridMultilevel"/>
    <w:tmpl w:val="ACB8C0A8"/>
    <w:lvl w:ilvl="0" w:tplc="77C43F66">
      <w:start w:val="1"/>
      <w:numFmt w:val="lowerLetter"/>
      <w:lvlText w:val="%1"/>
      <w:lvlJc w:val="left"/>
      <w:pPr>
        <w:ind w:left="360" w:hanging="360"/>
      </w:pPr>
      <w:rPr>
        <w:rFonts w:hint="default"/>
        <w:sz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472911"/>
    <w:multiLevelType w:val="hybridMultilevel"/>
    <w:tmpl w:val="40DC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F5E98"/>
    <w:multiLevelType w:val="multilevel"/>
    <w:tmpl w:val="E44E457C"/>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C816749"/>
    <w:multiLevelType w:val="hybridMultilevel"/>
    <w:tmpl w:val="FA30BA3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5F443E"/>
    <w:multiLevelType w:val="hybridMultilevel"/>
    <w:tmpl w:val="86526BD4"/>
    <w:lvl w:ilvl="0" w:tplc="3C2CCA9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C84DF7"/>
    <w:multiLevelType w:val="hybridMultilevel"/>
    <w:tmpl w:val="B914CE2C"/>
    <w:lvl w:ilvl="0" w:tplc="6E10E9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E32B0D"/>
    <w:multiLevelType w:val="singleLevel"/>
    <w:tmpl w:val="59B625FA"/>
    <w:name w:val="WWtf"/>
    <w:lvl w:ilvl="0">
      <w:start w:val="1"/>
      <w:numFmt w:val="lowerLetter"/>
      <w:lvlText w:val="%1"/>
      <w:lvlJc w:val="left"/>
      <w:pPr>
        <w:tabs>
          <w:tab w:val="num" w:pos="360"/>
        </w:tabs>
        <w:ind w:left="360" w:hanging="360"/>
      </w:pPr>
      <w:rPr>
        <w:rFonts w:ascii="Times New Roman" w:hAnsi="Times New Roman" w:cs="Times New Roman" w:hint="default"/>
        <w:b w:val="0"/>
        <w:i w:val="0"/>
        <w:caps w:val="0"/>
        <w:sz w:val="20"/>
        <w:u w:val="none"/>
        <w:vertAlign w:val="superscript"/>
      </w:rPr>
    </w:lvl>
  </w:abstractNum>
  <w:abstractNum w:abstractNumId="19" w15:restartNumberingAfterBreak="0">
    <w:nsid w:val="5EE40F7A"/>
    <w:multiLevelType w:val="hybridMultilevel"/>
    <w:tmpl w:val="CBC287AC"/>
    <w:lvl w:ilvl="0" w:tplc="77C43F66">
      <w:start w:val="1"/>
      <w:numFmt w:val="lowerLetter"/>
      <w:lvlText w:val="%1"/>
      <w:lvlJc w:val="left"/>
      <w:pPr>
        <w:ind w:left="720" w:hanging="360"/>
      </w:pPr>
      <w:rPr>
        <w:rFonts w:hint="default"/>
        <w:sz w:val="18"/>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55242FD"/>
    <w:multiLevelType w:val="hybridMultilevel"/>
    <w:tmpl w:val="56FC8C1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21186C"/>
    <w:multiLevelType w:val="hybridMultilevel"/>
    <w:tmpl w:val="592EC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CA5570"/>
    <w:multiLevelType w:val="hybridMultilevel"/>
    <w:tmpl w:val="C7C43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16"/>
  </w:num>
  <w:num w:numId="23">
    <w:abstractNumId w:val="19"/>
  </w:num>
  <w:num w:numId="24">
    <w:abstractNumId w:val="20"/>
  </w:num>
  <w:num w:numId="25">
    <w:abstractNumId w:val="15"/>
  </w:num>
  <w:num w:numId="26">
    <w:abstractNumId w:val="13"/>
  </w:num>
  <w:num w:numId="27">
    <w:abstractNumId w:val="17"/>
  </w:num>
  <w:num w:numId="28">
    <w:abstractNumId w:val="22"/>
  </w:num>
  <w:num w:numId="29">
    <w:abstractNumId w:val="2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activeWritingStyle w:appName="MSWord" w:lang="pt-B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98308"/>
    <o:shapelayout v:ext="edit">
      <o:idmap v:ext="edit" data="9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476"/>
    <w:rsid w:val="00002D0E"/>
    <w:rsid w:val="00003E6D"/>
    <w:rsid w:val="00005AE5"/>
    <w:rsid w:val="00011F1D"/>
    <w:rsid w:val="00026C88"/>
    <w:rsid w:val="00032264"/>
    <w:rsid w:val="00036583"/>
    <w:rsid w:val="000410EC"/>
    <w:rsid w:val="0004393A"/>
    <w:rsid w:val="00043AB0"/>
    <w:rsid w:val="000520FD"/>
    <w:rsid w:val="0005339E"/>
    <w:rsid w:val="000557C6"/>
    <w:rsid w:val="00055D66"/>
    <w:rsid w:val="00060472"/>
    <w:rsid w:val="00063338"/>
    <w:rsid w:val="00066BB0"/>
    <w:rsid w:val="00071E07"/>
    <w:rsid w:val="00073AA6"/>
    <w:rsid w:val="000773B9"/>
    <w:rsid w:val="00080750"/>
    <w:rsid w:val="00084538"/>
    <w:rsid w:val="00085ED0"/>
    <w:rsid w:val="00090376"/>
    <w:rsid w:val="00092849"/>
    <w:rsid w:val="00093695"/>
    <w:rsid w:val="00095E1F"/>
    <w:rsid w:val="00095E29"/>
    <w:rsid w:val="000A0E85"/>
    <w:rsid w:val="000A3363"/>
    <w:rsid w:val="000A33B4"/>
    <w:rsid w:val="000A5296"/>
    <w:rsid w:val="000A76C2"/>
    <w:rsid w:val="000A79F5"/>
    <w:rsid w:val="000B27D5"/>
    <w:rsid w:val="000C2000"/>
    <w:rsid w:val="000C3872"/>
    <w:rsid w:val="000D1FEF"/>
    <w:rsid w:val="000D687C"/>
    <w:rsid w:val="000E199D"/>
    <w:rsid w:val="000E1EA1"/>
    <w:rsid w:val="000E315A"/>
    <w:rsid w:val="000E64DC"/>
    <w:rsid w:val="000E6F91"/>
    <w:rsid w:val="000E7732"/>
    <w:rsid w:val="000F6B0C"/>
    <w:rsid w:val="000F6F69"/>
    <w:rsid w:val="000F700D"/>
    <w:rsid w:val="00100A7D"/>
    <w:rsid w:val="00103A9C"/>
    <w:rsid w:val="001060B8"/>
    <w:rsid w:val="00110D34"/>
    <w:rsid w:val="00113948"/>
    <w:rsid w:val="00115C93"/>
    <w:rsid w:val="0011735F"/>
    <w:rsid w:val="00124583"/>
    <w:rsid w:val="001250F6"/>
    <w:rsid w:val="00126D06"/>
    <w:rsid w:val="0012714A"/>
    <w:rsid w:val="0012782C"/>
    <w:rsid w:val="00133550"/>
    <w:rsid w:val="00135867"/>
    <w:rsid w:val="00137332"/>
    <w:rsid w:val="00137D26"/>
    <w:rsid w:val="00142501"/>
    <w:rsid w:val="001426D6"/>
    <w:rsid w:val="00145151"/>
    <w:rsid w:val="00145B50"/>
    <w:rsid w:val="0015665E"/>
    <w:rsid w:val="00157B48"/>
    <w:rsid w:val="00160A24"/>
    <w:rsid w:val="001616C4"/>
    <w:rsid w:val="001620CE"/>
    <w:rsid w:val="00162746"/>
    <w:rsid w:val="00162C64"/>
    <w:rsid w:val="001641B7"/>
    <w:rsid w:val="00164F35"/>
    <w:rsid w:val="001702C6"/>
    <w:rsid w:val="00170529"/>
    <w:rsid w:val="00174EED"/>
    <w:rsid w:val="0018221D"/>
    <w:rsid w:val="00193468"/>
    <w:rsid w:val="001946D6"/>
    <w:rsid w:val="00194E14"/>
    <w:rsid w:val="001A119C"/>
    <w:rsid w:val="001A3F07"/>
    <w:rsid w:val="001A6BCA"/>
    <w:rsid w:val="001B54FB"/>
    <w:rsid w:val="001B58E5"/>
    <w:rsid w:val="001B6080"/>
    <w:rsid w:val="001B6EB9"/>
    <w:rsid w:val="001B7C0D"/>
    <w:rsid w:val="001C5637"/>
    <w:rsid w:val="001C7220"/>
    <w:rsid w:val="001D51FB"/>
    <w:rsid w:val="001D6874"/>
    <w:rsid w:val="001D79E4"/>
    <w:rsid w:val="001E2A38"/>
    <w:rsid w:val="001E3615"/>
    <w:rsid w:val="001E509D"/>
    <w:rsid w:val="001E5BDD"/>
    <w:rsid w:val="001E775A"/>
    <w:rsid w:val="001E7FAC"/>
    <w:rsid w:val="001F38FE"/>
    <w:rsid w:val="00200445"/>
    <w:rsid w:val="0020202A"/>
    <w:rsid w:val="0020425D"/>
    <w:rsid w:val="002043C0"/>
    <w:rsid w:val="00204FD1"/>
    <w:rsid w:val="00205363"/>
    <w:rsid w:val="002062BD"/>
    <w:rsid w:val="002125F6"/>
    <w:rsid w:val="00214E83"/>
    <w:rsid w:val="002155FF"/>
    <w:rsid w:val="0021584E"/>
    <w:rsid w:val="002178CE"/>
    <w:rsid w:val="00221DDE"/>
    <w:rsid w:val="00221E35"/>
    <w:rsid w:val="002229AE"/>
    <w:rsid w:val="00233DB8"/>
    <w:rsid w:val="00234095"/>
    <w:rsid w:val="002351A2"/>
    <w:rsid w:val="00235EA3"/>
    <w:rsid w:val="00236B3C"/>
    <w:rsid w:val="00240ADF"/>
    <w:rsid w:val="00243213"/>
    <w:rsid w:val="002501EF"/>
    <w:rsid w:val="002503BC"/>
    <w:rsid w:val="00251DEA"/>
    <w:rsid w:val="002524C7"/>
    <w:rsid w:val="0025588F"/>
    <w:rsid w:val="00256A10"/>
    <w:rsid w:val="00257015"/>
    <w:rsid w:val="00260593"/>
    <w:rsid w:val="002640E6"/>
    <w:rsid w:val="002725D4"/>
    <w:rsid w:val="00273EDB"/>
    <w:rsid w:val="00280271"/>
    <w:rsid w:val="002821A2"/>
    <w:rsid w:val="002834AD"/>
    <w:rsid w:val="002872CC"/>
    <w:rsid w:val="00287B21"/>
    <w:rsid w:val="00292CC2"/>
    <w:rsid w:val="00297416"/>
    <w:rsid w:val="002A2911"/>
    <w:rsid w:val="002A500F"/>
    <w:rsid w:val="002B0203"/>
    <w:rsid w:val="002B1E01"/>
    <w:rsid w:val="002B1F5C"/>
    <w:rsid w:val="002B22DF"/>
    <w:rsid w:val="002B49C8"/>
    <w:rsid w:val="002B4E0D"/>
    <w:rsid w:val="002C30C2"/>
    <w:rsid w:val="002C5D3A"/>
    <w:rsid w:val="002C5F91"/>
    <w:rsid w:val="002C77FA"/>
    <w:rsid w:val="002D14A0"/>
    <w:rsid w:val="002D3610"/>
    <w:rsid w:val="002E0680"/>
    <w:rsid w:val="002E13F1"/>
    <w:rsid w:val="002E15DC"/>
    <w:rsid w:val="002E6C48"/>
    <w:rsid w:val="002F0503"/>
    <w:rsid w:val="002F1083"/>
    <w:rsid w:val="002F1C85"/>
    <w:rsid w:val="002F2B52"/>
    <w:rsid w:val="002F5578"/>
    <w:rsid w:val="003038F8"/>
    <w:rsid w:val="00303B57"/>
    <w:rsid w:val="003101E7"/>
    <w:rsid w:val="00314FF0"/>
    <w:rsid w:val="00315C01"/>
    <w:rsid w:val="00317BF5"/>
    <w:rsid w:val="00317DCA"/>
    <w:rsid w:val="0032045C"/>
    <w:rsid w:val="003212D8"/>
    <w:rsid w:val="00324AA3"/>
    <w:rsid w:val="00325106"/>
    <w:rsid w:val="00331D32"/>
    <w:rsid w:val="0033334B"/>
    <w:rsid w:val="0034217F"/>
    <w:rsid w:val="00342C7D"/>
    <w:rsid w:val="00346E9F"/>
    <w:rsid w:val="00352697"/>
    <w:rsid w:val="00352D54"/>
    <w:rsid w:val="003531A6"/>
    <w:rsid w:val="00356253"/>
    <w:rsid w:val="00357B61"/>
    <w:rsid w:val="0036120C"/>
    <w:rsid w:val="00364167"/>
    <w:rsid w:val="003641D5"/>
    <w:rsid w:val="00365948"/>
    <w:rsid w:val="003663AC"/>
    <w:rsid w:val="00366E64"/>
    <w:rsid w:val="00367A23"/>
    <w:rsid w:val="003700EA"/>
    <w:rsid w:val="00370C1C"/>
    <w:rsid w:val="00370E17"/>
    <w:rsid w:val="00371A33"/>
    <w:rsid w:val="0037202B"/>
    <w:rsid w:val="00372091"/>
    <w:rsid w:val="00372B7F"/>
    <w:rsid w:val="00377368"/>
    <w:rsid w:val="00385A8A"/>
    <w:rsid w:val="00385FF1"/>
    <w:rsid w:val="003862D9"/>
    <w:rsid w:val="00386878"/>
    <w:rsid w:val="00392005"/>
    <w:rsid w:val="00392164"/>
    <w:rsid w:val="0039306E"/>
    <w:rsid w:val="00395FE4"/>
    <w:rsid w:val="00396ADC"/>
    <w:rsid w:val="00397476"/>
    <w:rsid w:val="003A0068"/>
    <w:rsid w:val="003A020B"/>
    <w:rsid w:val="003A0FF4"/>
    <w:rsid w:val="003A2D53"/>
    <w:rsid w:val="003A4B14"/>
    <w:rsid w:val="003A6049"/>
    <w:rsid w:val="003A7EF9"/>
    <w:rsid w:val="003B0040"/>
    <w:rsid w:val="003B2F8E"/>
    <w:rsid w:val="003B47AB"/>
    <w:rsid w:val="003B50B3"/>
    <w:rsid w:val="003C3244"/>
    <w:rsid w:val="003D1718"/>
    <w:rsid w:val="003D7D0B"/>
    <w:rsid w:val="003E2AEC"/>
    <w:rsid w:val="003E40D8"/>
    <w:rsid w:val="003E55F1"/>
    <w:rsid w:val="003E5DE2"/>
    <w:rsid w:val="003E65BE"/>
    <w:rsid w:val="003E7C8E"/>
    <w:rsid w:val="003F2D3A"/>
    <w:rsid w:val="003F34F7"/>
    <w:rsid w:val="003F63E5"/>
    <w:rsid w:val="003F755A"/>
    <w:rsid w:val="00400241"/>
    <w:rsid w:val="004019C0"/>
    <w:rsid w:val="0040274D"/>
    <w:rsid w:val="00405928"/>
    <w:rsid w:val="00405969"/>
    <w:rsid w:val="00406623"/>
    <w:rsid w:val="00411193"/>
    <w:rsid w:val="00421764"/>
    <w:rsid w:val="00422ECB"/>
    <w:rsid w:val="00423F7D"/>
    <w:rsid w:val="00426553"/>
    <w:rsid w:val="0042688E"/>
    <w:rsid w:val="00431655"/>
    <w:rsid w:val="0043593E"/>
    <w:rsid w:val="00443628"/>
    <w:rsid w:val="00444E8F"/>
    <w:rsid w:val="00445A84"/>
    <w:rsid w:val="00450F9E"/>
    <w:rsid w:val="0045362A"/>
    <w:rsid w:val="00455667"/>
    <w:rsid w:val="004650DD"/>
    <w:rsid w:val="00465816"/>
    <w:rsid w:val="0047274D"/>
    <w:rsid w:val="00472DD1"/>
    <w:rsid w:val="0047588E"/>
    <w:rsid w:val="0047610F"/>
    <w:rsid w:val="00476986"/>
    <w:rsid w:val="004770E6"/>
    <w:rsid w:val="0048048B"/>
    <w:rsid w:val="00483398"/>
    <w:rsid w:val="00486040"/>
    <w:rsid w:val="0048643D"/>
    <w:rsid w:val="00486AF6"/>
    <w:rsid w:val="0049090A"/>
    <w:rsid w:val="00491F6B"/>
    <w:rsid w:val="00496CDF"/>
    <w:rsid w:val="00496D1B"/>
    <w:rsid w:val="004A3F4C"/>
    <w:rsid w:val="004A5BDE"/>
    <w:rsid w:val="004B7E8C"/>
    <w:rsid w:val="004C0136"/>
    <w:rsid w:val="004C0495"/>
    <w:rsid w:val="004C2036"/>
    <w:rsid w:val="004C768E"/>
    <w:rsid w:val="004D19DF"/>
    <w:rsid w:val="004D4EB9"/>
    <w:rsid w:val="004D57A0"/>
    <w:rsid w:val="004D715C"/>
    <w:rsid w:val="004D7A69"/>
    <w:rsid w:val="004E074D"/>
    <w:rsid w:val="004E0BBD"/>
    <w:rsid w:val="004E223E"/>
    <w:rsid w:val="004E5F53"/>
    <w:rsid w:val="004E6828"/>
    <w:rsid w:val="004E79D5"/>
    <w:rsid w:val="004E7F9E"/>
    <w:rsid w:val="004F22BF"/>
    <w:rsid w:val="004F3422"/>
    <w:rsid w:val="004F4322"/>
    <w:rsid w:val="004F4E71"/>
    <w:rsid w:val="00500500"/>
    <w:rsid w:val="00500F8B"/>
    <w:rsid w:val="00503521"/>
    <w:rsid w:val="00503EFF"/>
    <w:rsid w:val="005059F4"/>
    <w:rsid w:val="00505A55"/>
    <w:rsid w:val="00505C3C"/>
    <w:rsid w:val="00506152"/>
    <w:rsid w:val="005105D0"/>
    <w:rsid w:val="00510686"/>
    <w:rsid w:val="0051124F"/>
    <w:rsid w:val="0051143D"/>
    <w:rsid w:val="00511931"/>
    <w:rsid w:val="005132D1"/>
    <w:rsid w:val="005179CA"/>
    <w:rsid w:val="0052249D"/>
    <w:rsid w:val="00523C51"/>
    <w:rsid w:val="00526263"/>
    <w:rsid w:val="00527492"/>
    <w:rsid w:val="00527EC3"/>
    <w:rsid w:val="005317E4"/>
    <w:rsid w:val="005338A5"/>
    <w:rsid w:val="005421C6"/>
    <w:rsid w:val="0054379E"/>
    <w:rsid w:val="0054415C"/>
    <w:rsid w:val="005443B1"/>
    <w:rsid w:val="005472C0"/>
    <w:rsid w:val="00551798"/>
    <w:rsid w:val="00554495"/>
    <w:rsid w:val="0056331C"/>
    <w:rsid w:val="005648C7"/>
    <w:rsid w:val="00566615"/>
    <w:rsid w:val="005732BF"/>
    <w:rsid w:val="00574E0B"/>
    <w:rsid w:val="005752D5"/>
    <w:rsid w:val="0057560E"/>
    <w:rsid w:val="00575D9E"/>
    <w:rsid w:val="00576501"/>
    <w:rsid w:val="00577EB6"/>
    <w:rsid w:val="00580692"/>
    <w:rsid w:val="00580E6C"/>
    <w:rsid w:val="005856A8"/>
    <w:rsid w:val="005858F0"/>
    <w:rsid w:val="005862DD"/>
    <w:rsid w:val="005864F7"/>
    <w:rsid w:val="00586FB8"/>
    <w:rsid w:val="00587B28"/>
    <w:rsid w:val="00596E40"/>
    <w:rsid w:val="005A492A"/>
    <w:rsid w:val="005A5CF8"/>
    <w:rsid w:val="005A741C"/>
    <w:rsid w:val="005B3A6B"/>
    <w:rsid w:val="005C0B97"/>
    <w:rsid w:val="005C0E1D"/>
    <w:rsid w:val="005C2410"/>
    <w:rsid w:val="005C29FE"/>
    <w:rsid w:val="005C3A97"/>
    <w:rsid w:val="005C3BAA"/>
    <w:rsid w:val="005C4E46"/>
    <w:rsid w:val="005C5F4A"/>
    <w:rsid w:val="005C7588"/>
    <w:rsid w:val="005D06A3"/>
    <w:rsid w:val="005D13C6"/>
    <w:rsid w:val="005D2656"/>
    <w:rsid w:val="005D31F1"/>
    <w:rsid w:val="005E03F0"/>
    <w:rsid w:val="005E6937"/>
    <w:rsid w:val="005F078A"/>
    <w:rsid w:val="005F3CE2"/>
    <w:rsid w:val="005F6A99"/>
    <w:rsid w:val="00600095"/>
    <w:rsid w:val="00601524"/>
    <w:rsid w:val="00605791"/>
    <w:rsid w:val="006101F4"/>
    <w:rsid w:val="006123C4"/>
    <w:rsid w:val="006135FD"/>
    <w:rsid w:val="00614F49"/>
    <w:rsid w:val="00617E05"/>
    <w:rsid w:val="00620A0F"/>
    <w:rsid w:val="00622CA3"/>
    <w:rsid w:val="006241A3"/>
    <w:rsid w:val="00626AEC"/>
    <w:rsid w:val="00627D21"/>
    <w:rsid w:val="00630772"/>
    <w:rsid w:val="00635FE6"/>
    <w:rsid w:val="0063687D"/>
    <w:rsid w:val="0063690E"/>
    <w:rsid w:val="00637A67"/>
    <w:rsid w:val="0064373A"/>
    <w:rsid w:val="00643F41"/>
    <w:rsid w:val="0064422E"/>
    <w:rsid w:val="006444F1"/>
    <w:rsid w:val="00645B48"/>
    <w:rsid w:val="0065012E"/>
    <w:rsid w:val="00650AB7"/>
    <w:rsid w:val="00650F56"/>
    <w:rsid w:val="00651E17"/>
    <w:rsid w:val="0065454C"/>
    <w:rsid w:val="0065743E"/>
    <w:rsid w:val="0066337E"/>
    <w:rsid w:val="006660FD"/>
    <w:rsid w:val="0067563F"/>
    <w:rsid w:val="00681D12"/>
    <w:rsid w:val="00683A83"/>
    <w:rsid w:val="00683ECC"/>
    <w:rsid w:val="00685AFF"/>
    <w:rsid w:val="00690779"/>
    <w:rsid w:val="006943ED"/>
    <w:rsid w:val="0069711D"/>
    <w:rsid w:val="006A39BA"/>
    <w:rsid w:val="006A3A08"/>
    <w:rsid w:val="006B5065"/>
    <w:rsid w:val="006B697D"/>
    <w:rsid w:val="006C7153"/>
    <w:rsid w:val="006D59C8"/>
    <w:rsid w:val="006E4356"/>
    <w:rsid w:val="006E768D"/>
    <w:rsid w:val="006E772B"/>
    <w:rsid w:val="006F175F"/>
    <w:rsid w:val="006F2EF8"/>
    <w:rsid w:val="006F4263"/>
    <w:rsid w:val="006F62F3"/>
    <w:rsid w:val="00706AEA"/>
    <w:rsid w:val="007102B9"/>
    <w:rsid w:val="00712CD4"/>
    <w:rsid w:val="00714972"/>
    <w:rsid w:val="0071548A"/>
    <w:rsid w:val="00725ECA"/>
    <w:rsid w:val="00732AFF"/>
    <w:rsid w:val="00734283"/>
    <w:rsid w:val="00737DAA"/>
    <w:rsid w:val="00740233"/>
    <w:rsid w:val="0074068C"/>
    <w:rsid w:val="00740730"/>
    <w:rsid w:val="00741BDD"/>
    <w:rsid w:val="007420C7"/>
    <w:rsid w:val="007423A5"/>
    <w:rsid w:val="00742955"/>
    <w:rsid w:val="00744CC7"/>
    <w:rsid w:val="007513E5"/>
    <w:rsid w:val="00753B48"/>
    <w:rsid w:val="0075622C"/>
    <w:rsid w:val="00756E0A"/>
    <w:rsid w:val="00764259"/>
    <w:rsid w:val="00766DEC"/>
    <w:rsid w:val="00766F3B"/>
    <w:rsid w:val="00770765"/>
    <w:rsid w:val="00773016"/>
    <w:rsid w:val="007739E4"/>
    <w:rsid w:val="00782549"/>
    <w:rsid w:val="00782DE0"/>
    <w:rsid w:val="00782E2D"/>
    <w:rsid w:val="00784E26"/>
    <w:rsid w:val="007855E3"/>
    <w:rsid w:val="007861E1"/>
    <w:rsid w:val="00786A1E"/>
    <w:rsid w:val="00786BF4"/>
    <w:rsid w:val="00790787"/>
    <w:rsid w:val="00790EA5"/>
    <w:rsid w:val="00795AA5"/>
    <w:rsid w:val="00796670"/>
    <w:rsid w:val="007A02CA"/>
    <w:rsid w:val="007A1D6F"/>
    <w:rsid w:val="007B31D9"/>
    <w:rsid w:val="007B4197"/>
    <w:rsid w:val="007B654C"/>
    <w:rsid w:val="007C06A8"/>
    <w:rsid w:val="007C2CD8"/>
    <w:rsid w:val="007C36D5"/>
    <w:rsid w:val="007C448B"/>
    <w:rsid w:val="007C5E73"/>
    <w:rsid w:val="007D0B91"/>
    <w:rsid w:val="007D2488"/>
    <w:rsid w:val="007D3EBF"/>
    <w:rsid w:val="007D44C5"/>
    <w:rsid w:val="007D47A5"/>
    <w:rsid w:val="007D4D46"/>
    <w:rsid w:val="007D6350"/>
    <w:rsid w:val="007E25A8"/>
    <w:rsid w:val="007E25D1"/>
    <w:rsid w:val="007E4FF0"/>
    <w:rsid w:val="007E60FE"/>
    <w:rsid w:val="007E610F"/>
    <w:rsid w:val="007F24FB"/>
    <w:rsid w:val="007F5D0B"/>
    <w:rsid w:val="007F65EB"/>
    <w:rsid w:val="00804006"/>
    <w:rsid w:val="0080509B"/>
    <w:rsid w:val="00806A04"/>
    <w:rsid w:val="00806D5C"/>
    <w:rsid w:val="00810DCF"/>
    <w:rsid w:val="00811770"/>
    <w:rsid w:val="0082463B"/>
    <w:rsid w:val="00827DE3"/>
    <w:rsid w:val="00835476"/>
    <w:rsid w:val="00837C20"/>
    <w:rsid w:val="00840979"/>
    <w:rsid w:val="0084293A"/>
    <w:rsid w:val="0084459E"/>
    <w:rsid w:val="00844D9E"/>
    <w:rsid w:val="008466B1"/>
    <w:rsid w:val="008475F3"/>
    <w:rsid w:val="00852A8B"/>
    <w:rsid w:val="00853095"/>
    <w:rsid w:val="00853A30"/>
    <w:rsid w:val="00854358"/>
    <w:rsid w:val="0086295D"/>
    <w:rsid w:val="00871878"/>
    <w:rsid w:val="0087779B"/>
    <w:rsid w:val="00882A53"/>
    <w:rsid w:val="0088349C"/>
    <w:rsid w:val="00884DEA"/>
    <w:rsid w:val="0088660D"/>
    <w:rsid w:val="008872FA"/>
    <w:rsid w:val="0089759B"/>
    <w:rsid w:val="008A1B20"/>
    <w:rsid w:val="008A71BD"/>
    <w:rsid w:val="008A7290"/>
    <w:rsid w:val="008A7BEC"/>
    <w:rsid w:val="008B1A90"/>
    <w:rsid w:val="008B2CA4"/>
    <w:rsid w:val="008B5FA3"/>
    <w:rsid w:val="008B658A"/>
    <w:rsid w:val="008C05D2"/>
    <w:rsid w:val="008C3848"/>
    <w:rsid w:val="008D0E34"/>
    <w:rsid w:val="008D4197"/>
    <w:rsid w:val="008D50B2"/>
    <w:rsid w:val="008D5B63"/>
    <w:rsid w:val="008E098A"/>
    <w:rsid w:val="008E3719"/>
    <w:rsid w:val="008E4446"/>
    <w:rsid w:val="008E5AEA"/>
    <w:rsid w:val="008F24F6"/>
    <w:rsid w:val="008F3E9D"/>
    <w:rsid w:val="008F7854"/>
    <w:rsid w:val="00900D1C"/>
    <w:rsid w:val="00902A05"/>
    <w:rsid w:val="00910A3E"/>
    <w:rsid w:val="00912F98"/>
    <w:rsid w:val="009153DC"/>
    <w:rsid w:val="0091587A"/>
    <w:rsid w:val="00920EBA"/>
    <w:rsid w:val="00931E1B"/>
    <w:rsid w:val="0093357E"/>
    <w:rsid w:val="00933981"/>
    <w:rsid w:val="00934632"/>
    <w:rsid w:val="00935C80"/>
    <w:rsid w:val="009377AC"/>
    <w:rsid w:val="00937B65"/>
    <w:rsid w:val="009437FB"/>
    <w:rsid w:val="0094416B"/>
    <w:rsid w:val="00946012"/>
    <w:rsid w:val="00951577"/>
    <w:rsid w:val="00953E23"/>
    <w:rsid w:val="00961BB2"/>
    <w:rsid w:val="009712BD"/>
    <w:rsid w:val="00974AA8"/>
    <w:rsid w:val="00975590"/>
    <w:rsid w:val="00977185"/>
    <w:rsid w:val="0098196D"/>
    <w:rsid w:val="00981D19"/>
    <w:rsid w:val="00984A6B"/>
    <w:rsid w:val="00984B4D"/>
    <w:rsid w:val="00984ED8"/>
    <w:rsid w:val="00987D69"/>
    <w:rsid w:val="009905A3"/>
    <w:rsid w:val="009919B6"/>
    <w:rsid w:val="00992E3E"/>
    <w:rsid w:val="009A1D5E"/>
    <w:rsid w:val="009A5027"/>
    <w:rsid w:val="009A5251"/>
    <w:rsid w:val="009A637E"/>
    <w:rsid w:val="009B1AEA"/>
    <w:rsid w:val="009B7610"/>
    <w:rsid w:val="009B7AF9"/>
    <w:rsid w:val="009C0381"/>
    <w:rsid w:val="009D592B"/>
    <w:rsid w:val="009D7EAE"/>
    <w:rsid w:val="009E2BC5"/>
    <w:rsid w:val="009E377F"/>
    <w:rsid w:val="009E50BF"/>
    <w:rsid w:val="009E54CE"/>
    <w:rsid w:val="009F02E0"/>
    <w:rsid w:val="009F4525"/>
    <w:rsid w:val="00A02711"/>
    <w:rsid w:val="00A0321E"/>
    <w:rsid w:val="00A1689A"/>
    <w:rsid w:val="00A16C93"/>
    <w:rsid w:val="00A201F2"/>
    <w:rsid w:val="00A21782"/>
    <w:rsid w:val="00A255ED"/>
    <w:rsid w:val="00A265DA"/>
    <w:rsid w:val="00A27C80"/>
    <w:rsid w:val="00A33BA7"/>
    <w:rsid w:val="00A34C10"/>
    <w:rsid w:val="00A40620"/>
    <w:rsid w:val="00A40939"/>
    <w:rsid w:val="00A41191"/>
    <w:rsid w:val="00A43335"/>
    <w:rsid w:val="00A43D61"/>
    <w:rsid w:val="00A500D8"/>
    <w:rsid w:val="00A51149"/>
    <w:rsid w:val="00A511F2"/>
    <w:rsid w:val="00A51C34"/>
    <w:rsid w:val="00A51E6E"/>
    <w:rsid w:val="00A552CF"/>
    <w:rsid w:val="00A56386"/>
    <w:rsid w:val="00A5776C"/>
    <w:rsid w:val="00A57B23"/>
    <w:rsid w:val="00A65410"/>
    <w:rsid w:val="00A6627D"/>
    <w:rsid w:val="00A67715"/>
    <w:rsid w:val="00A7450F"/>
    <w:rsid w:val="00A76C00"/>
    <w:rsid w:val="00A80C9C"/>
    <w:rsid w:val="00A83B23"/>
    <w:rsid w:val="00A851D4"/>
    <w:rsid w:val="00A87572"/>
    <w:rsid w:val="00A9340E"/>
    <w:rsid w:val="00A947D1"/>
    <w:rsid w:val="00AA00DF"/>
    <w:rsid w:val="00AA031C"/>
    <w:rsid w:val="00AA0C60"/>
    <w:rsid w:val="00AA1F9E"/>
    <w:rsid w:val="00AA4B7F"/>
    <w:rsid w:val="00AA6B02"/>
    <w:rsid w:val="00AB0729"/>
    <w:rsid w:val="00AB1224"/>
    <w:rsid w:val="00AB6C19"/>
    <w:rsid w:val="00AC1803"/>
    <w:rsid w:val="00AC5478"/>
    <w:rsid w:val="00AD1218"/>
    <w:rsid w:val="00AD29AE"/>
    <w:rsid w:val="00AD5C0D"/>
    <w:rsid w:val="00AD64D8"/>
    <w:rsid w:val="00AD6679"/>
    <w:rsid w:val="00AE0681"/>
    <w:rsid w:val="00AE1D15"/>
    <w:rsid w:val="00AE7B66"/>
    <w:rsid w:val="00AF016C"/>
    <w:rsid w:val="00AF5F6B"/>
    <w:rsid w:val="00AF6DF1"/>
    <w:rsid w:val="00B06465"/>
    <w:rsid w:val="00B06997"/>
    <w:rsid w:val="00B105E0"/>
    <w:rsid w:val="00B12BB8"/>
    <w:rsid w:val="00B148AA"/>
    <w:rsid w:val="00B1573B"/>
    <w:rsid w:val="00B22524"/>
    <w:rsid w:val="00B27DF9"/>
    <w:rsid w:val="00B31DEA"/>
    <w:rsid w:val="00B33289"/>
    <w:rsid w:val="00B3371A"/>
    <w:rsid w:val="00B377A9"/>
    <w:rsid w:val="00B405EF"/>
    <w:rsid w:val="00B5080D"/>
    <w:rsid w:val="00B53142"/>
    <w:rsid w:val="00B53FFF"/>
    <w:rsid w:val="00B549ED"/>
    <w:rsid w:val="00B60CC1"/>
    <w:rsid w:val="00B64000"/>
    <w:rsid w:val="00B74A99"/>
    <w:rsid w:val="00B76517"/>
    <w:rsid w:val="00B86B45"/>
    <w:rsid w:val="00B92839"/>
    <w:rsid w:val="00B94692"/>
    <w:rsid w:val="00B97A0F"/>
    <w:rsid w:val="00BA1B54"/>
    <w:rsid w:val="00BB13AE"/>
    <w:rsid w:val="00BB3770"/>
    <w:rsid w:val="00BB3992"/>
    <w:rsid w:val="00BB5A74"/>
    <w:rsid w:val="00BB5DC0"/>
    <w:rsid w:val="00BC474B"/>
    <w:rsid w:val="00BD0B19"/>
    <w:rsid w:val="00BD253C"/>
    <w:rsid w:val="00BD54CE"/>
    <w:rsid w:val="00BD5F4E"/>
    <w:rsid w:val="00BD691B"/>
    <w:rsid w:val="00BD7E2E"/>
    <w:rsid w:val="00BE1D5B"/>
    <w:rsid w:val="00BE3D75"/>
    <w:rsid w:val="00BE69D9"/>
    <w:rsid w:val="00BE788B"/>
    <w:rsid w:val="00BE78D8"/>
    <w:rsid w:val="00BF1157"/>
    <w:rsid w:val="00BF1B88"/>
    <w:rsid w:val="00BF2654"/>
    <w:rsid w:val="00BF2B32"/>
    <w:rsid w:val="00BF3F09"/>
    <w:rsid w:val="00BF6DCD"/>
    <w:rsid w:val="00BF7107"/>
    <w:rsid w:val="00C019CB"/>
    <w:rsid w:val="00C07E1F"/>
    <w:rsid w:val="00C1096A"/>
    <w:rsid w:val="00C1129D"/>
    <w:rsid w:val="00C116EA"/>
    <w:rsid w:val="00C202D6"/>
    <w:rsid w:val="00C205C3"/>
    <w:rsid w:val="00C208A2"/>
    <w:rsid w:val="00C20B13"/>
    <w:rsid w:val="00C22503"/>
    <w:rsid w:val="00C300C1"/>
    <w:rsid w:val="00C302CD"/>
    <w:rsid w:val="00C3102B"/>
    <w:rsid w:val="00C322E6"/>
    <w:rsid w:val="00C378AD"/>
    <w:rsid w:val="00C4320E"/>
    <w:rsid w:val="00C43F43"/>
    <w:rsid w:val="00C472CA"/>
    <w:rsid w:val="00C54A3F"/>
    <w:rsid w:val="00C56134"/>
    <w:rsid w:val="00C564F4"/>
    <w:rsid w:val="00C6307C"/>
    <w:rsid w:val="00C65BBC"/>
    <w:rsid w:val="00C669C3"/>
    <w:rsid w:val="00C70669"/>
    <w:rsid w:val="00C71AAD"/>
    <w:rsid w:val="00C720CA"/>
    <w:rsid w:val="00C740BA"/>
    <w:rsid w:val="00C762D1"/>
    <w:rsid w:val="00C87544"/>
    <w:rsid w:val="00C9001B"/>
    <w:rsid w:val="00C92360"/>
    <w:rsid w:val="00C92DDE"/>
    <w:rsid w:val="00CA072E"/>
    <w:rsid w:val="00CB0232"/>
    <w:rsid w:val="00CB05CC"/>
    <w:rsid w:val="00CB2644"/>
    <w:rsid w:val="00CB2B7E"/>
    <w:rsid w:val="00CB2DC4"/>
    <w:rsid w:val="00CB44E0"/>
    <w:rsid w:val="00CB617C"/>
    <w:rsid w:val="00CC745D"/>
    <w:rsid w:val="00CD02DC"/>
    <w:rsid w:val="00CD2AA1"/>
    <w:rsid w:val="00CE170F"/>
    <w:rsid w:val="00CE4A29"/>
    <w:rsid w:val="00CE6E1F"/>
    <w:rsid w:val="00CF06ED"/>
    <w:rsid w:val="00CF3E4F"/>
    <w:rsid w:val="00CF44BE"/>
    <w:rsid w:val="00D021B3"/>
    <w:rsid w:val="00D0635A"/>
    <w:rsid w:val="00D06435"/>
    <w:rsid w:val="00D06CA8"/>
    <w:rsid w:val="00D15BD2"/>
    <w:rsid w:val="00D178F2"/>
    <w:rsid w:val="00D17B5A"/>
    <w:rsid w:val="00D227AD"/>
    <w:rsid w:val="00D30DAD"/>
    <w:rsid w:val="00D34F3B"/>
    <w:rsid w:val="00D36097"/>
    <w:rsid w:val="00D417F7"/>
    <w:rsid w:val="00D43674"/>
    <w:rsid w:val="00D43DDE"/>
    <w:rsid w:val="00D44E66"/>
    <w:rsid w:val="00D52723"/>
    <w:rsid w:val="00D528EF"/>
    <w:rsid w:val="00D576AC"/>
    <w:rsid w:val="00D57A04"/>
    <w:rsid w:val="00D61A3B"/>
    <w:rsid w:val="00D62C11"/>
    <w:rsid w:val="00D64A62"/>
    <w:rsid w:val="00D670AB"/>
    <w:rsid w:val="00D673ED"/>
    <w:rsid w:val="00D712C4"/>
    <w:rsid w:val="00D72F28"/>
    <w:rsid w:val="00D81AB7"/>
    <w:rsid w:val="00D85D9B"/>
    <w:rsid w:val="00D86AD6"/>
    <w:rsid w:val="00D93D65"/>
    <w:rsid w:val="00D96111"/>
    <w:rsid w:val="00DA67B3"/>
    <w:rsid w:val="00DB0F79"/>
    <w:rsid w:val="00DB5011"/>
    <w:rsid w:val="00DC0CCA"/>
    <w:rsid w:val="00DC24D0"/>
    <w:rsid w:val="00DC5E06"/>
    <w:rsid w:val="00DD32F1"/>
    <w:rsid w:val="00DE0435"/>
    <w:rsid w:val="00DE0952"/>
    <w:rsid w:val="00DE4E15"/>
    <w:rsid w:val="00DE5022"/>
    <w:rsid w:val="00DE5051"/>
    <w:rsid w:val="00DE685C"/>
    <w:rsid w:val="00DF207C"/>
    <w:rsid w:val="00DF231C"/>
    <w:rsid w:val="00DF5694"/>
    <w:rsid w:val="00DF6080"/>
    <w:rsid w:val="00DF6D95"/>
    <w:rsid w:val="00E00B24"/>
    <w:rsid w:val="00E00EFA"/>
    <w:rsid w:val="00E01E31"/>
    <w:rsid w:val="00E06D84"/>
    <w:rsid w:val="00E07AED"/>
    <w:rsid w:val="00E127AE"/>
    <w:rsid w:val="00E14350"/>
    <w:rsid w:val="00E228B2"/>
    <w:rsid w:val="00E22BA6"/>
    <w:rsid w:val="00E30247"/>
    <w:rsid w:val="00E3366C"/>
    <w:rsid w:val="00E37739"/>
    <w:rsid w:val="00E42376"/>
    <w:rsid w:val="00E456A1"/>
    <w:rsid w:val="00E47F61"/>
    <w:rsid w:val="00E51773"/>
    <w:rsid w:val="00E51A13"/>
    <w:rsid w:val="00E51D32"/>
    <w:rsid w:val="00E52433"/>
    <w:rsid w:val="00E541A5"/>
    <w:rsid w:val="00E544B2"/>
    <w:rsid w:val="00E555BE"/>
    <w:rsid w:val="00E7478E"/>
    <w:rsid w:val="00E755E0"/>
    <w:rsid w:val="00E757D7"/>
    <w:rsid w:val="00E768E4"/>
    <w:rsid w:val="00E77097"/>
    <w:rsid w:val="00E82CEC"/>
    <w:rsid w:val="00E83127"/>
    <w:rsid w:val="00E84DC8"/>
    <w:rsid w:val="00E86467"/>
    <w:rsid w:val="00E879C8"/>
    <w:rsid w:val="00E90915"/>
    <w:rsid w:val="00EA041B"/>
    <w:rsid w:val="00EA2088"/>
    <w:rsid w:val="00EA3B1D"/>
    <w:rsid w:val="00EA5522"/>
    <w:rsid w:val="00EA67B1"/>
    <w:rsid w:val="00EB3EEB"/>
    <w:rsid w:val="00EB5C0B"/>
    <w:rsid w:val="00EB7926"/>
    <w:rsid w:val="00EC4E77"/>
    <w:rsid w:val="00EC6F5D"/>
    <w:rsid w:val="00EC7ACC"/>
    <w:rsid w:val="00ED67A2"/>
    <w:rsid w:val="00ED7099"/>
    <w:rsid w:val="00ED7231"/>
    <w:rsid w:val="00EE10CE"/>
    <w:rsid w:val="00EE42B2"/>
    <w:rsid w:val="00EE4CD6"/>
    <w:rsid w:val="00EE5DA3"/>
    <w:rsid w:val="00EF37DC"/>
    <w:rsid w:val="00EF6814"/>
    <w:rsid w:val="00EF71EC"/>
    <w:rsid w:val="00F01578"/>
    <w:rsid w:val="00F0217E"/>
    <w:rsid w:val="00F040D6"/>
    <w:rsid w:val="00F10003"/>
    <w:rsid w:val="00F3420D"/>
    <w:rsid w:val="00F421BC"/>
    <w:rsid w:val="00F45590"/>
    <w:rsid w:val="00F505C8"/>
    <w:rsid w:val="00F508B1"/>
    <w:rsid w:val="00F5689B"/>
    <w:rsid w:val="00F57669"/>
    <w:rsid w:val="00F60815"/>
    <w:rsid w:val="00F60E22"/>
    <w:rsid w:val="00F61214"/>
    <w:rsid w:val="00F631CA"/>
    <w:rsid w:val="00F71377"/>
    <w:rsid w:val="00F76B0A"/>
    <w:rsid w:val="00F777E2"/>
    <w:rsid w:val="00F8140B"/>
    <w:rsid w:val="00F82D51"/>
    <w:rsid w:val="00F83B12"/>
    <w:rsid w:val="00F866DE"/>
    <w:rsid w:val="00F93FD8"/>
    <w:rsid w:val="00F95318"/>
    <w:rsid w:val="00F95F52"/>
    <w:rsid w:val="00FA4E56"/>
    <w:rsid w:val="00FB5C1B"/>
    <w:rsid w:val="00FC4217"/>
    <w:rsid w:val="00FC5570"/>
    <w:rsid w:val="00FC665B"/>
    <w:rsid w:val="00FD151A"/>
    <w:rsid w:val="00FE04AC"/>
    <w:rsid w:val="00FE17C1"/>
    <w:rsid w:val="00FE3A2F"/>
    <w:rsid w:val="00FE621C"/>
    <w:rsid w:val="00FF01D3"/>
    <w:rsid w:val="00FF0E17"/>
    <w:rsid w:val="00FF4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8"/>
    <o:shapelayout v:ext="edit">
      <o:idmap v:ext="edit" data="1"/>
    </o:shapelayout>
  </w:shapeDefaults>
  <w:decimalSymbol w:val="."/>
  <w:listSeparator w:val=","/>
  <w14:docId w14:val="2866D939"/>
  <w15:docId w15:val="{2CBD8941-5F30-4494-9727-F6EFF757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422"/>
  </w:style>
  <w:style w:type="paragraph" w:styleId="Heading1">
    <w:name w:val="heading 1"/>
    <w:basedOn w:val="Normal"/>
    <w:next w:val="BodyText"/>
    <w:link w:val="Heading1Char"/>
    <w:uiPriority w:val="9"/>
    <w:qFormat/>
    <w:rsid w:val="00D85D9B"/>
    <w:pPr>
      <w:keepNext/>
      <w:keepLines/>
      <w:numPr>
        <w:numId w:val="21"/>
      </w:numPr>
      <w:spacing w:before="120" w:after="240"/>
      <w:outlineLvl w:val="0"/>
    </w:pPr>
    <w:rPr>
      <w:rFonts w:asciiTheme="majorHAnsi" w:eastAsiaTheme="majorEastAsia" w:hAnsiTheme="majorHAnsi" w:cstheme="majorBidi"/>
      <w:b/>
      <w:bCs/>
      <w:caps/>
      <w:sz w:val="28"/>
      <w:szCs w:val="28"/>
    </w:rPr>
  </w:style>
  <w:style w:type="paragraph" w:styleId="Heading2">
    <w:name w:val="heading 2"/>
    <w:basedOn w:val="Normal"/>
    <w:next w:val="BodyText"/>
    <w:link w:val="Heading2Char"/>
    <w:uiPriority w:val="9"/>
    <w:unhideWhenUsed/>
    <w:qFormat/>
    <w:rsid w:val="00D85D9B"/>
    <w:pPr>
      <w:keepNext/>
      <w:numPr>
        <w:ilvl w:val="1"/>
        <w:numId w:val="21"/>
      </w:numPr>
      <w:spacing w:before="120" w:after="120"/>
      <w:outlineLvl w:val="1"/>
    </w:pPr>
    <w:rPr>
      <w:rFonts w:asciiTheme="majorHAnsi" w:hAnsiTheme="majorHAnsi"/>
      <w:b/>
      <w:smallCaps/>
      <w:sz w:val="24"/>
    </w:rPr>
  </w:style>
  <w:style w:type="paragraph" w:styleId="Heading3">
    <w:name w:val="heading 3"/>
    <w:basedOn w:val="Normal"/>
    <w:next w:val="BodyText"/>
    <w:link w:val="Heading3Char"/>
    <w:uiPriority w:val="9"/>
    <w:unhideWhenUsed/>
    <w:qFormat/>
    <w:rsid w:val="00D85D9B"/>
    <w:pPr>
      <w:keepNext/>
      <w:keepLines/>
      <w:spacing w:before="120" w:after="120"/>
      <w:ind w:left="227"/>
      <w:outlineLvl w:val="2"/>
    </w:pPr>
    <w:rPr>
      <w:rFonts w:asciiTheme="majorHAnsi" w:eastAsiaTheme="majorEastAsia" w:hAnsiTheme="majorHAnsi" w:cstheme="majorBidi"/>
      <w:b/>
      <w:bCs/>
      <w:sz w:val="24"/>
    </w:rPr>
  </w:style>
  <w:style w:type="paragraph" w:styleId="Heading4">
    <w:name w:val="heading 4"/>
    <w:basedOn w:val="Heading3"/>
    <w:next w:val="Normal"/>
    <w:link w:val="Heading4Char"/>
    <w:uiPriority w:val="9"/>
    <w:unhideWhenUsed/>
    <w:qFormat/>
    <w:rsid w:val="00D85D9B"/>
    <w:pPr>
      <w:outlineLvl w:val="3"/>
    </w:pPr>
    <w:rPr>
      <w:b w:val="0"/>
      <w:i/>
      <w:u w:val="single"/>
    </w:rPr>
  </w:style>
  <w:style w:type="paragraph" w:styleId="Heading5">
    <w:name w:val="heading 5"/>
    <w:basedOn w:val="Normal"/>
    <w:next w:val="Normal"/>
    <w:link w:val="Heading5Char"/>
    <w:uiPriority w:val="9"/>
    <w:unhideWhenUsed/>
    <w:qFormat/>
    <w:rsid w:val="00D85D9B"/>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85D9B"/>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85D9B"/>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85D9B"/>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85D9B"/>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D9B"/>
    <w:rPr>
      <w:rFonts w:ascii="Tahoma" w:hAnsi="Tahoma" w:cs="Tahoma"/>
      <w:sz w:val="16"/>
      <w:szCs w:val="16"/>
    </w:rPr>
  </w:style>
  <w:style w:type="table" w:styleId="TableGrid">
    <w:name w:val="Table Grid"/>
    <w:basedOn w:val="TableNormal"/>
    <w:uiPriority w:val="59"/>
    <w:rsid w:val="00D8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A7450F"/>
    <w:pPr>
      <w:spacing w:after="0" w:line="240" w:lineRule="auto"/>
    </w:pPr>
    <w:rPr>
      <w:rFonts w:eastAsiaTheme="minorEastAsia"/>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92CC2"/>
  </w:style>
  <w:style w:type="paragraph" w:customStyle="1" w:styleId="Default">
    <w:name w:val="Default"/>
    <w:rsid w:val="00BE78D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CommentReference">
    <w:name w:val="annotation reference"/>
    <w:basedOn w:val="DefaultParagraphFont"/>
    <w:unhideWhenUsed/>
    <w:rsid w:val="00D85D9B"/>
    <w:rPr>
      <w:sz w:val="16"/>
      <w:szCs w:val="16"/>
    </w:rPr>
  </w:style>
  <w:style w:type="paragraph" w:styleId="CommentSubject">
    <w:name w:val="annotation subject"/>
    <w:basedOn w:val="Normal"/>
    <w:next w:val="Normal"/>
    <w:link w:val="CommentSubjectChar"/>
    <w:uiPriority w:val="99"/>
    <w:semiHidden/>
    <w:unhideWhenUsed/>
    <w:rsid w:val="0084293A"/>
    <w:pPr>
      <w:spacing w:line="240" w:lineRule="auto"/>
    </w:pPr>
    <w:rPr>
      <w:rFonts w:ascii="Cambria" w:hAnsi="Cambria"/>
      <w:b/>
      <w:bCs/>
      <w:sz w:val="20"/>
      <w:szCs w:val="20"/>
    </w:rPr>
  </w:style>
  <w:style w:type="character" w:customStyle="1" w:styleId="CommentSubjectChar">
    <w:name w:val="Comment Subject Char"/>
    <w:basedOn w:val="DefaultParagraphFont"/>
    <w:link w:val="CommentSubject"/>
    <w:uiPriority w:val="99"/>
    <w:semiHidden/>
    <w:rsid w:val="0084293A"/>
    <w:rPr>
      <w:rFonts w:ascii="Cambria" w:hAnsi="Cambria"/>
      <w:b/>
      <w:bCs/>
      <w:sz w:val="20"/>
      <w:szCs w:val="20"/>
    </w:rPr>
  </w:style>
  <w:style w:type="paragraph" w:styleId="Caption">
    <w:name w:val="caption"/>
    <w:basedOn w:val="Normal"/>
    <w:next w:val="Normal"/>
    <w:link w:val="CaptionChar"/>
    <w:unhideWhenUsed/>
    <w:qFormat/>
    <w:rsid w:val="00A7450F"/>
    <w:pPr>
      <w:keepNext/>
      <w:spacing w:after="0" w:line="240" w:lineRule="auto"/>
    </w:pPr>
    <w:rPr>
      <w:rFonts w:ascii="Times New Roman" w:eastAsia="MS Mincho" w:hAnsi="Times New Roman" w:cs="Times New Roman"/>
      <w:b/>
      <w:bCs/>
      <w:sz w:val="24"/>
      <w:szCs w:val="20"/>
    </w:rPr>
  </w:style>
  <w:style w:type="paragraph" w:customStyle="1" w:styleId="Paragraph">
    <w:name w:val="Paragraph"/>
    <w:basedOn w:val="Normal"/>
    <w:link w:val="ParagraphChar"/>
    <w:qFormat/>
    <w:rsid w:val="00D85D9B"/>
    <w:pPr>
      <w:spacing w:after="240" w:line="280" w:lineRule="exact"/>
    </w:pPr>
    <w:rPr>
      <w:rFonts w:ascii="Times New Roman" w:eastAsia="MS Mincho" w:hAnsi="Times New Roman" w:cs="Times New Roman"/>
      <w:sz w:val="24"/>
      <w:szCs w:val="20"/>
      <w:lang w:val="en-US"/>
    </w:rPr>
  </w:style>
  <w:style w:type="character" w:customStyle="1" w:styleId="ParagraphChar">
    <w:name w:val="Paragraph Char"/>
    <w:link w:val="Paragraph"/>
    <w:rsid w:val="007B31D9"/>
    <w:rPr>
      <w:rFonts w:ascii="Times New Roman" w:eastAsia="MS Mincho" w:hAnsi="Times New Roman" w:cs="Times New Roman"/>
      <w:sz w:val="24"/>
      <w:szCs w:val="20"/>
      <w:lang w:val="en-US"/>
    </w:rPr>
  </w:style>
  <w:style w:type="character" w:customStyle="1" w:styleId="CaptionChar">
    <w:name w:val="Caption Char"/>
    <w:link w:val="Caption"/>
    <w:rsid w:val="00A7450F"/>
    <w:rPr>
      <w:rFonts w:ascii="Times New Roman" w:eastAsia="MS Mincho" w:hAnsi="Times New Roman" w:cs="Times New Roman"/>
      <w:b/>
      <w:bCs/>
      <w:sz w:val="24"/>
      <w:szCs w:val="20"/>
    </w:rPr>
  </w:style>
  <w:style w:type="paragraph" w:styleId="Header">
    <w:name w:val="header"/>
    <w:basedOn w:val="Normal"/>
    <w:link w:val="HeaderChar"/>
    <w:uiPriority w:val="99"/>
    <w:unhideWhenUsed/>
    <w:rsid w:val="00D8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D9B"/>
  </w:style>
  <w:style w:type="paragraph" w:styleId="Footer">
    <w:name w:val="footer"/>
    <w:basedOn w:val="Normal"/>
    <w:link w:val="FooterChar"/>
    <w:unhideWhenUsed/>
    <w:rsid w:val="00D85D9B"/>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D85D9B"/>
    <w:rPr>
      <w:rFonts w:ascii="Cambria" w:hAnsi="Cambria"/>
    </w:rPr>
  </w:style>
  <w:style w:type="paragraph" w:customStyle="1" w:styleId="TableTitle">
    <w:name w:val="Table Title"/>
    <w:next w:val="TableHead"/>
    <w:rsid w:val="002178CE"/>
    <w:pPr>
      <w:keepNext/>
      <w:keepLines/>
      <w:tabs>
        <w:tab w:val="left" w:pos="1440"/>
      </w:tabs>
      <w:spacing w:before="60" w:after="120" w:line="240" w:lineRule="auto"/>
      <w:ind w:left="1440" w:hanging="1440"/>
    </w:pPr>
    <w:rPr>
      <w:rFonts w:ascii="Arial" w:eastAsia="Times New Roman" w:hAnsi="Arial" w:cs="Times New Roman"/>
      <w:b/>
      <w:color w:val="000000"/>
      <w:sz w:val="24"/>
      <w:szCs w:val="24"/>
      <w:lang w:val="en-US"/>
    </w:rPr>
  </w:style>
  <w:style w:type="paragraph" w:customStyle="1" w:styleId="TableHead">
    <w:name w:val="Table Head"/>
    <w:basedOn w:val="Normal"/>
    <w:rsid w:val="00804006"/>
    <w:pPr>
      <w:spacing w:before="60" w:after="60"/>
      <w:jc w:val="center"/>
    </w:pPr>
    <w:rPr>
      <w:rFonts w:ascii="Arial" w:hAnsi="Arial"/>
      <w:b/>
      <w:szCs w:val="48"/>
      <w:lang w:val="en-US"/>
    </w:rPr>
  </w:style>
  <w:style w:type="paragraph" w:styleId="EndnoteText">
    <w:name w:val="endnote text"/>
    <w:basedOn w:val="Normal"/>
    <w:link w:val="EndnoteTextChar"/>
    <w:semiHidden/>
    <w:rsid w:val="002178CE"/>
    <w:pPr>
      <w:spacing w:before="60"/>
    </w:pPr>
    <w:rPr>
      <w:sz w:val="20"/>
      <w:lang w:val="en-US"/>
    </w:rPr>
  </w:style>
  <w:style w:type="character" w:customStyle="1" w:styleId="EndnoteTextChar">
    <w:name w:val="Endnote Text Char"/>
    <w:basedOn w:val="DefaultParagraphFont"/>
    <w:link w:val="EndnoteText"/>
    <w:semiHidden/>
    <w:rsid w:val="002178CE"/>
    <w:rPr>
      <w:rFonts w:ascii="Times New Roman" w:eastAsia="Times New Roman" w:hAnsi="Times New Roman" w:cs="Times New Roman"/>
      <w:sz w:val="20"/>
      <w:szCs w:val="20"/>
      <w:lang w:val="en-US"/>
    </w:rPr>
  </w:style>
  <w:style w:type="character" w:styleId="EndnoteReference">
    <w:name w:val="endnote reference"/>
    <w:basedOn w:val="DefaultParagraphFont"/>
    <w:semiHidden/>
    <w:rsid w:val="002178CE"/>
    <w:rPr>
      <w:vertAlign w:val="superscript"/>
    </w:rPr>
  </w:style>
  <w:style w:type="paragraph" w:customStyle="1" w:styleId="TableFootnote">
    <w:name w:val="Table Footnote"/>
    <w:basedOn w:val="Normal"/>
    <w:qFormat/>
    <w:rsid w:val="00D85D9B"/>
    <w:pPr>
      <w:spacing w:after="0" w:line="240" w:lineRule="auto"/>
    </w:pPr>
    <w:rPr>
      <w:rFonts w:ascii="Arial" w:hAnsi="Arial"/>
      <w:sz w:val="18"/>
      <w:szCs w:val="20"/>
    </w:rPr>
  </w:style>
  <w:style w:type="paragraph" w:styleId="Revision">
    <w:name w:val="Revision"/>
    <w:hidden/>
    <w:uiPriority w:val="99"/>
    <w:semiHidden/>
    <w:rsid w:val="00920EBA"/>
    <w:pPr>
      <w:spacing w:after="0" w:line="240" w:lineRule="auto"/>
    </w:pPr>
    <w:rPr>
      <w:rFonts w:ascii="Times New Roman" w:eastAsia="Times New Roman" w:hAnsi="Times New Roman" w:cs="Times New Roman"/>
      <w:color w:val="000000"/>
      <w:sz w:val="24"/>
      <w:szCs w:val="20"/>
      <w:lang w:val="en-GB" w:eastAsia="de-DE"/>
    </w:rPr>
  </w:style>
  <w:style w:type="paragraph" w:customStyle="1" w:styleId="StyleBoldAutoLeft0cmHanging25cm">
    <w:name w:val="Style Bold Auto Left:  0 cm Hanging:  2.5 cm"/>
    <w:basedOn w:val="Normal"/>
    <w:rsid w:val="00496CDF"/>
    <w:pPr>
      <w:keepNext/>
      <w:ind w:left="1418" w:hanging="1418"/>
    </w:pPr>
    <w:rPr>
      <w:b/>
      <w:bCs/>
    </w:rPr>
  </w:style>
  <w:style w:type="table" w:customStyle="1" w:styleId="TableGrid1">
    <w:name w:val="Table Grid1"/>
    <w:basedOn w:val="TableNormal"/>
    <w:next w:val="TableGrid"/>
    <w:rsid w:val="00D178F2"/>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D85D9B"/>
    <w:pPr>
      <w:spacing w:after="0"/>
    </w:pPr>
    <w:rPr>
      <w:rFonts w:ascii="Times New Roman" w:hAnsi="Times New Roman"/>
      <w:sz w:val="24"/>
    </w:rPr>
  </w:style>
  <w:style w:type="character" w:customStyle="1" w:styleId="BodyTextChar">
    <w:name w:val="Body Text Char"/>
    <w:basedOn w:val="DefaultParagraphFont"/>
    <w:link w:val="BodyText"/>
    <w:uiPriority w:val="99"/>
    <w:rsid w:val="00D85D9B"/>
    <w:rPr>
      <w:rFonts w:ascii="Times New Roman" w:hAnsi="Times New Roman"/>
      <w:sz w:val="24"/>
    </w:rPr>
  </w:style>
  <w:style w:type="paragraph" w:styleId="BodyText2">
    <w:name w:val="Body Text 2"/>
    <w:basedOn w:val="Normal"/>
    <w:link w:val="BodyText2Char"/>
    <w:uiPriority w:val="99"/>
    <w:unhideWhenUsed/>
    <w:rsid w:val="00D85D9B"/>
    <w:pPr>
      <w:spacing w:after="120" w:line="480" w:lineRule="auto"/>
    </w:pPr>
  </w:style>
  <w:style w:type="character" w:customStyle="1" w:styleId="BodyText2Char">
    <w:name w:val="Body Text 2 Char"/>
    <w:basedOn w:val="DefaultParagraphFont"/>
    <w:link w:val="BodyText2"/>
    <w:uiPriority w:val="99"/>
    <w:rsid w:val="00D85D9B"/>
  </w:style>
  <w:style w:type="paragraph" w:styleId="BodyText3">
    <w:name w:val="Body Text 3"/>
    <w:basedOn w:val="Normal"/>
    <w:link w:val="BodyText3Char"/>
    <w:uiPriority w:val="99"/>
    <w:semiHidden/>
    <w:unhideWhenUsed/>
    <w:rsid w:val="00D85D9B"/>
    <w:pPr>
      <w:spacing w:after="120"/>
    </w:pPr>
    <w:rPr>
      <w:sz w:val="16"/>
      <w:szCs w:val="16"/>
    </w:rPr>
  </w:style>
  <w:style w:type="character" w:customStyle="1" w:styleId="BodyText3Char">
    <w:name w:val="Body Text 3 Char"/>
    <w:basedOn w:val="DefaultParagraphFont"/>
    <w:link w:val="BodyText3"/>
    <w:uiPriority w:val="99"/>
    <w:semiHidden/>
    <w:rsid w:val="00D85D9B"/>
    <w:rPr>
      <w:sz w:val="16"/>
      <w:szCs w:val="16"/>
    </w:rPr>
  </w:style>
  <w:style w:type="character" w:styleId="FootnoteReference">
    <w:name w:val="footnote reference"/>
    <w:basedOn w:val="DefaultParagraphFont"/>
    <w:uiPriority w:val="99"/>
    <w:unhideWhenUsed/>
    <w:rsid w:val="00D85D9B"/>
    <w:rPr>
      <w:vertAlign w:val="superscript"/>
    </w:rPr>
  </w:style>
  <w:style w:type="paragraph" w:styleId="FootnoteText">
    <w:name w:val="footnote text"/>
    <w:basedOn w:val="Normal"/>
    <w:link w:val="FootnoteTextChar"/>
    <w:uiPriority w:val="99"/>
    <w:rsid w:val="00D85D9B"/>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D85D9B"/>
    <w:rPr>
      <w:rFonts w:ascii="Calibri" w:eastAsia="Calibri" w:hAnsi="Calibri" w:cs="Times New Roman"/>
      <w:sz w:val="20"/>
    </w:rPr>
  </w:style>
  <w:style w:type="character" w:customStyle="1" w:styleId="Heading1Char">
    <w:name w:val="Heading 1 Char"/>
    <w:basedOn w:val="DefaultParagraphFont"/>
    <w:link w:val="Heading1"/>
    <w:uiPriority w:val="9"/>
    <w:rsid w:val="00D85D9B"/>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D85D9B"/>
    <w:rPr>
      <w:rFonts w:asciiTheme="majorHAnsi" w:hAnsiTheme="majorHAnsi"/>
      <w:b/>
      <w:smallCaps/>
      <w:sz w:val="24"/>
    </w:rPr>
  </w:style>
  <w:style w:type="character" w:customStyle="1" w:styleId="Heading3Char">
    <w:name w:val="Heading 3 Char"/>
    <w:basedOn w:val="DefaultParagraphFont"/>
    <w:link w:val="Heading3"/>
    <w:uiPriority w:val="9"/>
    <w:rsid w:val="00D85D9B"/>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D85D9B"/>
    <w:rPr>
      <w:rFonts w:asciiTheme="majorHAnsi" w:eastAsiaTheme="majorEastAsia" w:hAnsiTheme="majorHAnsi" w:cstheme="majorBidi"/>
      <w:bCs/>
      <w:i/>
      <w:sz w:val="24"/>
      <w:u w:val="single"/>
    </w:rPr>
  </w:style>
  <w:style w:type="character" w:customStyle="1" w:styleId="Heading5Char">
    <w:name w:val="Heading 5 Char"/>
    <w:basedOn w:val="DefaultParagraphFont"/>
    <w:link w:val="Heading5"/>
    <w:uiPriority w:val="9"/>
    <w:rsid w:val="00D85D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D85D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85D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5D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5D9B"/>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D85D9B"/>
    <w:rPr>
      <w:color w:val="0000FF" w:themeColor="hyperlink"/>
      <w:u w:val="single"/>
    </w:rPr>
  </w:style>
  <w:style w:type="table" w:styleId="LightGrid">
    <w:name w:val="Light Grid"/>
    <w:basedOn w:val="TableNormal"/>
    <w:uiPriority w:val="62"/>
    <w:rsid w:val="00D85D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3">
    <w:name w:val="List 3"/>
    <w:basedOn w:val="Normal"/>
    <w:uiPriority w:val="99"/>
    <w:unhideWhenUsed/>
    <w:rsid w:val="00D85D9B"/>
    <w:pPr>
      <w:ind w:left="849" w:hanging="283"/>
      <w:contextualSpacing/>
    </w:pPr>
  </w:style>
  <w:style w:type="paragraph" w:styleId="ListBullet">
    <w:name w:val="List Bullet"/>
    <w:basedOn w:val="Normal"/>
    <w:uiPriority w:val="99"/>
    <w:unhideWhenUsed/>
    <w:rsid w:val="00D85D9B"/>
    <w:pPr>
      <w:numPr>
        <w:numId w:val="22"/>
      </w:numPr>
      <w:spacing w:after="0"/>
      <w:contextualSpacing/>
    </w:pPr>
    <w:rPr>
      <w:rFonts w:ascii="Times New Roman" w:hAnsi="Times New Roman"/>
      <w:sz w:val="24"/>
    </w:rPr>
  </w:style>
  <w:style w:type="paragraph" w:styleId="ListParagraph">
    <w:name w:val="List Paragraph"/>
    <w:basedOn w:val="Normal"/>
    <w:uiPriority w:val="34"/>
    <w:qFormat/>
    <w:rsid w:val="00D85D9B"/>
    <w:pPr>
      <w:ind w:left="720"/>
      <w:contextualSpacing/>
    </w:pPr>
    <w:rPr>
      <w:rFonts w:ascii="Cambria" w:hAnsi="Cambria"/>
    </w:rPr>
  </w:style>
  <w:style w:type="paragraph" w:styleId="PlainText">
    <w:name w:val="Plain Text"/>
    <w:basedOn w:val="Normal"/>
    <w:link w:val="PlainTextChar"/>
    <w:rsid w:val="00D85D9B"/>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D85D9B"/>
    <w:rPr>
      <w:rFonts w:ascii="Courier New" w:eastAsia="Times New Roman" w:hAnsi="Courier New" w:cs="Courier New"/>
      <w:sz w:val="20"/>
      <w:szCs w:val="20"/>
      <w:lang w:val="en-US"/>
    </w:rPr>
  </w:style>
  <w:style w:type="paragraph" w:customStyle="1" w:styleId="TableCellCenter">
    <w:name w:val="Table Cell Center"/>
    <w:basedOn w:val="Paragraph"/>
    <w:rsid w:val="00D85D9B"/>
    <w:pPr>
      <w:keepLines/>
      <w:spacing w:before="50" w:after="50" w:line="240" w:lineRule="exact"/>
      <w:jc w:val="center"/>
    </w:pPr>
    <w:rPr>
      <w:rFonts w:eastAsia="Times New Roman"/>
      <w:sz w:val="20"/>
      <w:lang w:val="en-GB"/>
    </w:rPr>
  </w:style>
  <w:style w:type="paragraph" w:customStyle="1" w:styleId="TableCellLeft">
    <w:name w:val="Table Cell Left"/>
    <w:basedOn w:val="Paragraph"/>
    <w:rsid w:val="00D85D9B"/>
    <w:pPr>
      <w:keepLines/>
      <w:spacing w:before="50" w:after="50" w:line="240" w:lineRule="exact"/>
    </w:pPr>
    <w:rPr>
      <w:rFonts w:eastAsia="Times New Roman"/>
      <w:sz w:val="20"/>
      <w:lang w:val="en-GB"/>
    </w:rPr>
  </w:style>
  <w:style w:type="paragraph" w:customStyle="1" w:styleId="TableText">
    <w:name w:val="Table Text"/>
    <w:basedOn w:val="Normal"/>
    <w:qFormat/>
    <w:rsid w:val="00D85D9B"/>
    <w:pPr>
      <w:spacing w:after="0" w:line="240" w:lineRule="auto"/>
    </w:pPr>
    <w:rPr>
      <w:rFonts w:ascii="Arial" w:hAnsi="Arial"/>
      <w:sz w:val="20"/>
      <w:szCs w:val="20"/>
    </w:rPr>
  </w:style>
  <w:style w:type="paragraph" w:customStyle="1" w:styleId="TableCentre">
    <w:name w:val="Table Centre"/>
    <w:basedOn w:val="TableText"/>
    <w:qFormat/>
    <w:rsid w:val="00D85D9B"/>
    <w:pPr>
      <w:jc w:val="center"/>
    </w:pPr>
  </w:style>
  <w:style w:type="paragraph" w:customStyle="1" w:styleId="TableHeading">
    <w:name w:val="Table Heading"/>
    <w:basedOn w:val="BodyText"/>
    <w:next w:val="TableText"/>
    <w:qFormat/>
    <w:rsid w:val="00C54A3F"/>
    <w:pPr>
      <w:keepNext/>
      <w:spacing w:line="240" w:lineRule="auto"/>
    </w:pPr>
    <w:rPr>
      <w:rFonts w:ascii="Arial" w:eastAsia="Times New Roman" w:hAnsi="Arial" w:cs="Times New Roman"/>
      <w:b/>
      <w:bCs/>
      <w:sz w:val="20"/>
      <w:szCs w:val="20"/>
      <w:lang w:val="en-US"/>
    </w:rPr>
  </w:style>
  <w:style w:type="paragraph" w:styleId="TOAHeading">
    <w:name w:val="toa heading"/>
    <w:basedOn w:val="Normal"/>
    <w:next w:val="Normal"/>
    <w:uiPriority w:val="99"/>
    <w:unhideWhenUsed/>
    <w:rsid w:val="00D85D9B"/>
    <w:pPr>
      <w:spacing w:before="120"/>
    </w:pPr>
    <w:rPr>
      <w:rFonts w:asciiTheme="majorHAnsi" w:eastAsiaTheme="majorEastAsia" w:hAnsiTheme="majorHAnsi" w:cstheme="majorBidi"/>
      <w:b/>
      <w:bCs/>
      <w:sz w:val="24"/>
      <w:szCs w:val="24"/>
    </w:rPr>
  </w:style>
  <w:style w:type="paragraph" w:customStyle="1" w:styleId="TextTi12">
    <w:name w:val="Text:Ti12"/>
    <w:basedOn w:val="Normal"/>
    <w:rsid w:val="00A7450F"/>
    <w:pPr>
      <w:spacing w:after="170" w:line="256" w:lineRule="auto"/>
      <w:jc w:val="both"/>
    </w:pPr>
    <w:rPr>
      <w:rFonts w:eastAsiaTheme="minorEastAsia"/>
      <w:lang w:val="en-US" w:eastAsia="ja-JP"/>
    </w:rPr>
  </w:style>
  <w:style w:type="table" w:customStyle="1" w:styleId="TableGrid5">
    <w:name w:val="Table Grid5"/>
    <w:basedOn w:val="TableNormal"/>
    <w:uiPriority w:val="39"/>
    <w:rsid w:val="00A7450F"/>
    <w:pPr>
      <w:spacing w:after="0" w:line="240" w:lineRule="auto"/>
    </w:pPr>
    <w:rPr>
      <w:rFonts w:eastAsiaTheme="minorEastAsia"/>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82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A5776C"/>
    <w:pPr>
      <w:spacing w:after="120" w:line="480" w:lineRule="auto"/>
      <w:ind w:left="360"/>
    </w:pPr>
  </w:style>
  <w:style w:type="character" w:customStyle="1" w:styleId="BodyTextIndent2Char">
    <w:name w:val="Body Text Indent 2 Char"/>
    <w:basedOn w:val="DefaultParagraphFont"/>
    <w:link w:val="BodyTextIndent2"/>
    <w:uiPriority w:val="99"/>
    <w:semiHidden/>
    <w:rsid w:val="00A5776C"/>
  </w:style>
  <w:style w:type="table" w:customStyle="1" w:styleId="TableGrid3">
    <w:name w:val="Table Grid3"/>
    <w:basedOn w:val="TableNormal"/>
    <w:next w:val="TableGrid"/>
    <w:uiPriority w:val="59"/>
    <w:rsid w:val="00E00EFA"/>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C3BAA"/>
    <w:pPr>
      <w:spacing w:before="60"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Indent">
    <w:name w:val="Table Heading Indent"/>
    <w:basedOn w:val="TableHeading"/>
    <w:rsid w:val="00804006"/>
    <w:pPr>
      <w:spacing w:before="60"/>
      <w:ind w:left="254"/>
    </w:pPr>
  </w:style>
  <w:style w:type="paragraph" w:customStyle="1" w:styleId="TableTextIndent">
    <w:name w:val="Table Text Indent"/>
    <w:basedOn w:val="TableText"/>
    <w:rsid w:val="004F3422"/>
    <w:pPr>
      <w:spacing w:before="60"/>
      <w:ind w:left="269"/>
    </w:pPr>
    <w:rPr>
      <w:rFonts w:eastAsia="Times New Roman" w:cs="Times New Roman"/>
    </w:rPr>
  </w:style>
  <w:style w:type="paragraph" w:styleId="NormalWeb">
    <w:name w:val="Normal (Web)"/>
    <w:basedOn w:val="Normal"/>
    <w:uiPriority w:val="99"/>
    <w:semiHidden/>
    <w:unhideWhenUsed/>
    <w:rsid w:val="002229AE"/>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UnresolvedMention">
    <w:name w:val="Unresolved Mention"/>
    <w:basedOn w:val="DefaultParagraphFont"/>
    <w:uiPriority w:val="99"/>
    <w:semiHidden/>
    <w:unhideWhenUsed/>
    <w:rsid w:val="0085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08395">
      <w:bodyDiv w:val="1"/>
      <w:marLeft w:val="0"/>
      <w:marRight w:val="0"/>
      <w:marTop w:val="0"/>
      <w:marBottom w:val="0"/>
      <w:divBdr>
        <w:top w:val="none" w:sz="0" w:space="0" w:color="auto"/>
        <w:left w:val="none" w:sz="0" w:space="0" w:color="auto"/>
        <w:bottom w:val="none" w:sz="0" w:space="0" w:color="auto"/>
        <w:right w:val="none" w:sz="0" w:space="0" w:color="auto"/>
      </w:divBdr>
    </w:div>
    <w:div w:id="126167132">
      <w:bodyDiv w:val="1"/>
      <w:marLeft w:val="0"/>
      <w:marRight w:val="0"/>
      <w:marTop w:val="0"/>
      <w:marBottom w:val="0"/>
      <w:divBdr>
        <w:top w:val="none" w:sz="0" w:space="0" w:color="auto"/>
        <w:left w:val="none" w:sz="0" w:space="0" w:color="auto"/>
        <w:bottom w:val="none" w:sz="0" w:space="0" w:color="auto"/>
        <w:right w:val="none" w:sz="0" w:space="0" w:color="auto"/>
      </w:divBdr>
    </w:div>
    <w:div w:id="271208159">
      <w:bodyDiv w:val="1"/>
      <w:marLeft w:val="0"/>
      <w:marRight w:val="0"/>
      <w:marTop w:val="0"/>
      <w:marBottom w:val="0"/>
      <w:divBdr>
        <w:top w:val="none" w:sz="0" w:space="0" w:color="auto"/>
        <w:left w:val="none" w:sz="0" w:space="0" w:color="auto"/>
        <w:bottom w:val="none" w:sz="0" w:space="0" w:color="auto"/>
        <w:right w:val="none" w:sz="0" w:space="0" w:color="auto"/>
      </w:divBdr>
    </w:div>
    <w:div w:id="291641869">
      <w:bodyDiv w:val="1"/>
      <w:marLeft w:val="0"/>
      <w:marRight w:val="0"/>
      <w:marTop w:val="0"/>
      <w:marBottom w:val="0"/>
      <w:divBdr>
        <w:top w:val="none" w:sz="0" w:space="0" w:color="auto"/>
        <w:left w:val="none" w:sz="0" w:space="0" w:color="auto"/>
        <w:bottom w:val="none" w:sz="0" w:space="0" w:color="auto"/>
        <w:right w:val="none" w:sz="0" w:space="0" w:color="auto"/>
      </w:divBdr>
    </w:div>
    <w:div w:id="469827877">
      <w:bodyDiv w:val="1"/>
      <w:marLeft w:val="0"/>
      <w:marRight w:val="0"/>
      <w:marTop w:val="0"/>
      <w:marBottom w:val="0"/>
      <w:divBdr>
        <w:top w:val="none" w:sz="0" w:space="0" w:color="auto"/>
        <w:left w:val="none" w:sz="0" w:space="0" w:color="auto"/>
        <w:bottom w:val="none" w:sz="0" w:space="0" w:color="auto"/>
        <w:right w:val="none" w:sz="0" w:space="0" w:color="auto"/>
      </w:divBdr>
    </w:div>
    <w:div w:id="618335503">
      <w:bodyDiv w:val="1"/>
      <w:marLeft w:val="0"/>
      <w:marRight w:val="0"/>
      <w:marTop w:val="0"/>
      <w:marBottom w:val="0"/>
      <w:divBdr>
        <w:top w:val="none" w:sz="0" w:space="0" w:color="auto"/>
        <w:left w:val="none" w:sz="0" w:space="0" w:color="auto"/>
        <w:bottom w:val="none" w:sz="0" w:space="0" w:color="auto"/>
        <w:right w:val="none" w:sz="0" w:space="0" w:color="auto"/>
      </w:divBdr>
    </w:div>
    <w:div w:id="640691121">
      <w:bodyDiv w:val="1"/>
      <w:marLeft w:val="0"/>
      <w:marRight w:val="0"/>
      <w:marTop w:val="0"/>
      <w:marBottom w:val="0"/>
      <w:divBdr>
        <w:top w:val="none" w:sz="0" w:space="0" w:color="auto"/>
        <w:left w:val="none" w:sz="0" w:space="0" w:color="auto"/>
        <w:bottom w:val="none" w:sz="0" w:space="0" w:color="auto"/>
        <w:right w:val="none" w:sz="0" w:space="0" w:color="auto"/>
      </w:divBdr>
    </w:div>
    <w:div w:id="762800366">
      <w:bodyDiv w:val="1"/>
      <w:marLeft w:val="0"/>
      <w:marRight w:val="0"/>
      <w:marTop w:val="0"/>
      <w:marBottom w:val="0"/>
      <w:divBdr>
        <w:top w:val="none" w:sz="0" w:space="0" w:color="auto"/>
        <w:left w:val="none" w:sz="0" w:space="0" w:color="auto"/>
        <w:bottom w:val="none" w:sz="0" w:space="0" w:color="auto"/>
        <w:right w:val="none" w:sz="0" w:space="0" w:color="auto"/>
      </w:divBdr>
    </w:div>
    <w:div w:id="817380271">
      <w:bodyDiv w:val="1"/>
      <w:marLeft w:val="0"/>
      <w:marRight w:val="0"/>
      <w:marTop w:val="0"/>
      <w:marBottom w:val="0"/>
      <w:divBdr>
        <w:top w:val="none" w:sz="0" w:space="0" w:color="auto"/>
        <w:left w:val="none" w:sz="0" w:space="0" w:color="auto"/>
        <w:bottom w:val="none" w:sz="0" w:space="0" w:color="auto"/>
        <w:right w:val="none" w:sz="0" w:space="0" w:color="auto"/>
      </w:divBdr>
    </w:div>
    <w:div w:id="847255508">
      <w:bodyDiv w:val="1"/>
      <w:marLeft w:val="0"/>
      <w:marRight w:val="0"/>
      <w:marTop w:val="0"/>
      <w:marBottom w:val="0"/>
      <w:divBdr>
        <w:top w:val="none" w:sz="0" w:space="0" w:color="auto"/>
        <w:left w:val="none" w:sz="0" w:space="0" w:color="auto"/>
        <w:bottom w:val="none" w:sz="0" w:space="0" w:color="auto"/>
        <w:right w:val="none" w:sz="0" w:space="0" w:color="auto"/>
      </w:divBdr>
    </w:div>
    <w:div w:id="1069305685">
      <w:bodyDiv w:val="1"/>
      <w:marLeft w:val="0"/>
      <w:marRight w:val="0"/>
      <w:marTop w:val="0"/>
      <w:marBottom w:val="0"/>
      <w:divBdr>
        <w:top w:val="none" w:sz="0" w:space="0" w:color="auto"/>
        <w:left w:val="none" w:sz="0" w:space="0" w:color="auto"/>
        <w:bottom w:val="none" w:sz="0" w:space="0" w:color="auto"/>
        <w:right w:val="none" w:sz="0" w:space="0" w:color="auto"/>
      </w:divBdr>
    </w:div>
    <w:div w:id="1278296612">
      <w:bodyDiv w:val="1"/>
      <w:marLeft w:val="0"/>
      <w:marRight w:val="0"/>
      <w:marTop w:val="0"/>
      <w:marBottom w:val="0"/>
      <w:divBdr>
        <w:top w:val="none" w:sz="0" w:space="0" w:color="auto"/>
        <w:left w:val="none" w:sz="0" w:space="0" w:color="auto"/>
        <w:bottom w:val="none" w:sz="0" w:space="0" w:color="auto"/>
        <w:right w:val="none" w:sz="0" w:space="0" w:color="auto"/>
      </w:divBdr>
    </w:div>
    <w:div w:id="1290354003">
      <w:bodyDiv w:val="1"/>
      <w:marLeft w:val="0"/>
      <w:marRight w:val="0"/>
      <w:marTop w:val="0"/>
      <w:marBottom w:val="0"/>
      <w:divBdr>
        <w:top w:val="none" w:sz="0" w:space="0" w:color="auto"/>
        <w:left w:val="none" w:sz="0" w:space="0" w:color="auto"/>
        <w:bottom w:val="none" w:sz="0" w:space="0" w:color="auto"/>
        <w:right w:val="none" w:sz="0" w:space="0" w:color="auto"/>
      </w:divBdr>
    </w:div>
    <w:div w:id="1358848188">
      <w:bodyDiv w:val="1"/>
      <w:marLeft w:val="0"/>
      <w:marRight w:val="0"/>
      <w:marTop w:val="0"/>
      <w:marBottom w:val="0"/>
      <w:divBdr>
        <w:top w:val="none" w:sz="0" w:space="0" w:color="auto"/>
        <w:left w:val="none" w:sz="0" w:space="0" w:color="auto"/>
        <w:bottom w:val="none" w:sz="0" w:space="0" w:color="auto"/>
        <w:right w:val="none" w:sz="0" w:space="0" w:color="auto"/>
      </w:divBdr>
    </w:div>
    <w:div w:id="1496913981">
      <w:bodyDiv w:val="1"/>
      <w:marLeft w:val="0"/>
      <w:marRight w:val="0"/>
      <w:marTop w:val="0"/>
      <w:marBottom w:val="0"/>
      <w:divBdr>
        <w:top w:val="none" w:sz="0" w:space="0" w:color="auto"/>
        <w:left w:val="none" w:sz="0" w:space="0" w:color="auto"/>
        <w:bottom w:val="none" w:sz="0" w:space="0" w:color="auto"/>
        <w:right w:val="none" w:sz="0" w:space="0" w:color="auto"/>
      </w:divBdr>
    </w:div>
    <w:div w:id="1546140679">
      <w:bodyDiv w:val="1"/>
      <w:marLeft w:val="0"/>
      <w:marRight w:val="0"/>
      <w:marTop w:val="0"/>
      <w:marBottom w:val="0"/>
      <w:divBdr>
        <w:top w:val="none" w:sz="0" w:space="0" w:color="auto"/>
        <w:left w:val="none" w:sz="0" w:space="0" w:color="auto"/>
        <w:bottom w:val="none" w:sz="0" w:space="0" w:color="auto"/>
        <w:right w:val="none" w:sz="0" w:space="0" w:color="auto"/>
      </w:divBdr>
    </w:div>
    <w:div w:id="1558929199">
      <w:bodyDiv w:val="1"/>
      <w:marLeft w:val="0"/>
      <w:marRight w:val="0"/>
      <w:marTop w:val="0"/>
      <w:marBottom w:val="0"/>
      <w:divBdr>
        <w:top w:val="none" w:sz="0" w:space="0" w:color="auto"/>
        <w:left w:val="none" w:sz="0" w:space="0" w:color="auto"/>
        <w:bottom w:val="none" w:sz="0" w:space="0" w:color="auto"/>
        <w:right w:val="none" w:sz="0" w:space="0" w:color="auto"/>
      </w:divBdr>
    </w:div>
    <w:div w:id="1656685776">
      <w:bodyDiv w:val="1"/>
      <w:marLeft w:val="0"/>
      <w:marRight w:val="0"/>
      <w:marTop w:val="0"/>
      <w:marBottom w:val="0"/>
      <w:divBdr>
        <w:top w:val="none" w:sz="0" w:space="0" w:color="auto"/>
        <w:left w:val="none" w:sz="0" w:space="0" w:color="auto"/>
        <w:bottom w:val="none" w:sz="0" w:space="0" w:color="auto"/>
        <w:right w:val="none" w:sz="0" w:space="0" w:color="auto"/>
      </w:divBdr>
      <w:divsChild>
        <w:div w:id="196741797">
          <w:marLeft w:val="0"/>
          <w:marRight w:val="0"/>
          <w:marTop w:val="0"/>
          <w:marBottom w:val="0"/>
          <w:divBdr>
            <w:top w:val="none" w:sz="0" w:space="0" w:color="auto"/>
            <w:left w:val="none" w:sz="0" w:space="0" w:color="auto"/>
            <w:bottom w:val="none" w:sz="0" w:space="0" w:color="auto"/>
            <w:right w:val="none" w:sz="0" w:space="0" w:color="auto"/>
          </w:divBdr>
        </w:div>
      </w:divsChild>
    </w:div>
    <w:div w:id="1658413917">
      <w:bodyDiv w:val="1"/>
      <w:marLeft w:val="0"/>
      <w:marRight w:val="0"/>
      <w:marTop w:val="0"/>
      <w:marBottom w:val="0"/>
      <w:divBdr>
        <w:top w:val="none" w:sz="0" w:space="0" w:color="auto"/>
        <w:left w:val="none" w:sz="0" w:space="0" w:color="auto"/>
        <w:bottom w:val="none" w:sz="0" w:space="0" w:color="auto"/>
        <w:right w:val="none" w:sz="0" w:space="0" w:color="auto"/>
      </w:divBdr>
    </w:div>
    <w:div w:id="1672954136">
      <w:bodyDiv w:val="1"/>
      <w:marLeft w:val="0"/>
      <w:marRight w:val="0"/>
      <w:marTop w:val="0"/>
      <w:marBottom w:val="0"/>
      <w:divBdr>
        <w:top w:val="none" w:sz="0" w:space="0" w:color="auto"/>
        <w:left w:val="none" w:sz="0" w:space="0" w:color="auto"/>
        <w:bottom w:val="none" w:sz="0" w:space="0" w:color="auto"/>
        <w:right w:val="none" w:sz="0" w:space="0" w:color="auto"/>
      </w:divBdr>
    </w:div>
    <w:div w:id="1821726598">
      <w:bodyDiv w:val="1"/>
      <w:marLeft w:val="0"/>
      <w:marRight w:val="0"/>
      <w:marTop w:val="0"/>
      <w:marBottom w:val="0"/>
      <w:divBdr>
        <w:top w:val="none" w:sz="0" w:space="0" w:color="auto"/>
        <w:left w:val="none" w:sz="0" w:space="0" w:color="auto"/>
        <w:bottom w:val="none" w:sz="0" w:space="0" w:color="auto"/>
        <w:right w:val="none" w:sz="0" w:space="0" w:color="auto"/>
      </w:divBdr>
    </w:div>
    <w:div w:id="1907645748">
      <w:bodyDiv w:val="1"/>
      <w:marLeft w:val="0"/>
      <w:marRight w:val="0"/>
      <w:marTop w:val="0"/>
      <w:marBottom w:val="0"/>
      <w:divBdr>
        <w:top w:val="none" w:sz="0" w:space="0" w:color="auto"/>
        <w:left w:val="none" w:sz="0" w:space="0" w:color="auto"/>
        <w:bottom w:val="none" w:sz="0" w:space="0" w:color="auto"/>
        <w:right w:val="none" w:sz="0" w:space="0" w:color="auto"/>
      </w:divBdr>
    </w:div>
    <w:div w:id="2026249520">
      <w:bodyDiv w:val="1"/>
      <w:marLeft w:val="0"/>
      <w:marRight w:val="0"/>
      <w:marTop w:val="0"/>
      <w:marBottom w:val="0"/>
      <w:divBdr>
        <w:top w:val="none" w:sz="0" w:space="0" w:color="auto"/>
        <w:left w:val="none" w:sz="0" w:space="0" w:color="auto"/>
        <w:bottom w:val="none" w:sz="0" w:space="0" w:color="auto"/>
        <w:right w:val="none" w:sz="0" w:space="0" w:color="auto"/>
      </w:divBdr>
    </w:div>
    <w:div w:id="21254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8127d4-f2b6-41c3-a3f4-6e7e2b50e44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C5FD91ED4FF4BA88BB563E748D557" ma:contentTypeVersion="6" ma:contentTypeDescription="Create a new document." ma:contentTypeScope="" ma:versionID="c3be4738a7760aef6569a00673764947">
  <xsd:schema xmlns:xsd="http://www.w3.org/2001/XMLSchema" xmlns:xs="http://www.w3.org/2001/XMLSchema" xmlns:p="http://schemas.microsoft.com/office/2006/metadata/properties" xmlns:ns2="19a91fd1-a103-4388-ac34-bcde85c3a4ea" xmlns:ns3="988127d4-f2b6-41c3-a3f4-6e7e2b50e44d" targetNamespace="http://schemas.microsoft.com/office/2006/metadata/properties" ma:root="true" ma:fieldsID="e7c095f4b49bb1341b4943891b2ec9f3" ns2:_="" ns3:_="">
    <xsd:import namespace="19a91fd1-a103-4388-ac34-bcde85c3a4ea"/>
    <xsd:import namespace="988127d4-f2b6-41c3-a3f4-6e7e2b50e4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91fd1-a103-4388-ac34-bcde85c3a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127d4-f2b6-41c3-a3f4-6e7e2b50e4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94FD0F-BAC8-403B-B2E9-5CDE0FB91528}">
  <ds:schemaRefs>
    <ds:schemaRef ds:uri="http://schemas.openxmlformats.org/officeDocument/2006/bibliography"/>
  </ds:schemaRefs>
</ds:datastoreItem>
</file>

<file path=customXml/itemProps2.xml><?xml version="1.0" encoding="utf-8"?>
<ds:datastoreItem xmlns:ds="http://schemas.openxmlformats.org/officeDocument/2006/customXml" ds:itemID="{3B59001D-EF3B-47C8-801B-D63C47D398A3}">
  <ds:schemaRefs>
    <ds:schemaRef ds:uri="http://schemas.microsoft.com/sharepoint/v3/contenttype/forms"/>
  </ds:schemaRefs>
</ds:datastoreItem>
</file>

<file path=customXml/itemProps3.xml><?xml version="1.0" encoding="utf-8"?>
<ds:datastoreItem xmlns:ds="http://schemas.openxmlformats.org/officeDocument/2006/customXml" ds:itemID="{34D4AF99-928A-4C7D-A608-844D2F28C0C0}">
  <ds:schemaRef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576a7631-34f4-4699-b48d-07b4efb8378b"/>
    <ds:schemaRef ds:uri="http://schemas.microsoft.com/office/2006/metadata/properties"/>
    <ds:schemaRef ds:uri="988127d4-f2b6-41c3-a3f4-6e7e2b50e44d"/>
  </ds:schemaRefs>
</ds:datastoreItem>
</file>

<file path=customXml/itemProps4.xml><?xml version="1.0" encoding="utf-8"?>
<ds:datastoreItem xmlns:ds="http://schemas.openxmlformats.org/officeDocument/2006/customXml" ds:itemID="{C35F4CED-9127-4871-AE4E-113950923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91fd1-a103-4388-ac34-bcde85c3a4ea"/>
    <ds:schemaRef ds:uri="988127d4-f2b6-41c3-a3f4-6e7e2b50e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24</Pages>
  <Words>6896</Words>
  <Characters>39312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Commercial Eyes</Company>
  <LinksUpToDate>false</LinksUpToDate>
  <CharactersWithSpaces>46116</CharactersWithSpaces>
  <SharedDoc>false</SharedDoc>
  <HLinks>
    <vt:vector size="6" baseType="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Lemborexant</dc:title>
  <dc:subject>prescription medicines</dc:subject>
  <dc:creator>Eisai Australia Pty Ltd</dc:creator>
  <cp:lastModifiedBy>KOLARIK-OREILLY, Kristy</cp:lastModifiedBy>
  <cp:revision>11</cp:revision>
  <cp:lastPrinted>2021-03-11T22:59:00Z</cp:lastPrinted>
  <dcterms:created xsi:type="dcterms:W3CDTF">2021-07-13T01:59:00Z</dcterms:created>
  <dcterms:modified xsi:type="dcterms:W3CDTF">2022-03-28T04:34:00Z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http://localhost/site/document</vt:lpwstr>
  </property>
  <property fmtid="{D5CDD505-2E9C-101B-9397-08002B2CF9AE}" pid="3" name="Order">
    <vt:r8>200</vt:r8>
  </property>
  <property fmtid="{D5CDD505-2E9C-101B-9397-08002B2CF9AE}" pid="4" name="_NewReviewCycle">
    <vt:lpwstr/>
  </property>
  <property fmtid="{D5CDD505-2E9C-101B-9397-08002B2CF9AE}" pid="5" name="ContentTypeId">
    <vt:lpwstr>0x010100078C5FD91ED4FF4BA88BB563E748D557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_AdHocReviewCycleID">
    <vt:i4>1091413645</vt:i4>
  </property>
  <property fmtid="{D5CDD505-2E9C-101B-9397-08002B2CF9AE}" pid="13" name="_EmailSubject">
    <vt:lpwstr>Draft AusPAR for DAYVIGO – lemborexant – Eisai Australia Pty Ltd – PM-2020-02421-1-1 [SEC=OFFICIAL]</vt:lpwstr>
  </property>
  <property fmtid="{D5CDD505-2E9C-101B-9397-08002B2CF9AE}" pid="14" name="_AuthorEmail">
    <vt:lpwstr>Safety_Australia@eisai.net</vt:lpwstr>
  </property>
  <property fmtid="{D5CDD505-2E9C-101B-9397-08002B2CF9AE}" pid="15" name="_AuthorEmailDisplayName">
    <vt:lpwstr>EAP Safety Australia</vt:lpwstr>
  </property>
  <property fmtid="{D5CDD505-2E9C-101B-9397-08002B2CF9AE}" pid="16" name="_ReviewingToolsShownOnce">
    <vt:lpwstr/>
  </property>
</Properties>
</file>