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8E7846" w:rsidRPr="00487162" w:rsidTr="002729EB">
        <w:trPr>
          <w:trHeight w:val="1863"/>
        </w:trPr>
        <w:tc>
          <w:tcPr>
            <w:tcW w:w="9606" w:type="dxa"/>
            <w:tcBorders>
              <w:top w:val="nil"/>
              <w:left w:val="nil"/>
              <w:bottom w:val="nil"/>
              <w:right w:val="nil"/>
            </w:tcBorders>
          </w:tcPr>
          <w:p w:rsidR="008E7846" w:rsidRDefault="002729EB" w:rsidP="0017078F">
            <w:pPr>
              <w:rPr>
                <w:rFonts w:ascii="Arial" w:hAnsi="Arial" w:cs="Arial"/>
                <w:b/>
                <w:color w:val="002C47"/>
                <w:sz w:val="36"/>
                <w:szCs w:val="36"/>
              </w:rPr>
            </w:pPr>
            <w:r>
              <w:rPr>
                <w:rFonts w:ascii="Arial" w:hAnsi="Arial" w:cs="Arial"/>
                <w:b/>
                <w:color w:val="002C47"/>
                <w:sz w:val="36"/>
                <w:szCs w:val="36"/>
              </w:rPr>
              <w:t>First Round CER report: 19 October 2014</w:t>
            </w:r>
          </w:p>
          <w:p w:rsidR="002729EB" w:rsidRPr="0017078F" w:rsidRDefault="00E76F97" w:rsidP="0017078F">
            <w:pPr>
              <w:rPr>
                <w:rFonts w:ascii="Arial" w:hAnsi="Arial" w:cs="Arial"/>
                <w:b/>
                <w:color w:val="002C47"/>
                <w:sz w:val="36"/>
                <w:szCs w:val="36"/>
              </w:rPr>
            </w:pPr>
            <w:r>
              <w:rPr>
                <w:rFonts w:ascii="Arial" w:hAnsi="Arial" w:cs="Arial"/>
                <w:b/>
                <w:color w:val="002C47"/>
                <w:sz w:val="36"/>
                <w:szCs w:val="36"/>
              </w:rPr>
              <w:t>Second Ro</w:t>
            </w:r>
            <w:r w:rsidR="001F663E">
              <w:rPr>
                <w:rFonts w:ascii="Arial" w:hAnsi="Arial" w:cs="Arial"/>
                <w:b/>
                <w:color w:val="002C47"/>
                <w:sz w:val="36"/>
                <w:szCs w:val="36"/>
              </w:rPr>
              <w:t>und CER report</w:t>
            </w:r>
            <w:r w:rsidR="002729EB">
              <w:rPr>
                <w:rFonts w:ascii="Arial" w:hAnsi="Arial" w:cs="Arial"/>
                <w:b/>
                <w:color w:val="002C47"/>
                <w:sz w:val="36"/>
                <w:szCs w:val="36"/>
              </w:rPr>
              <w:t>: 4 January 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proofErr w:type="spellStart"/>
            <w:r>
              <w:rPr>
                <w:color w:val="FFFFFF" w:themeColor="background1"/>
              </w:rPr>
              <w:t>AusPAR</w:t>
            </w:r>
            <w:proofErr w:type="spellEnd"/>
            <w:r>
              <w:rPr>
                <w:color w:val="FFFFFF" w:themeColor="background1"/>
              </w:rPr>
              <w:t xml:space="preserve"> Attachment 2</w:t>
            </w:r>
          </w:p>
        </w:tc>
      </w:tr>
      <w:tr w:rsidR="00E07F15" w:rsidRPr="00A964D1" w:rsidTr="00E07F15">
        <w:trPr>
          <w:trHeight w:val="868"/>
        </w:trPr>
        <w:tc>
          <w:tcPr>
            <w:tcW w:w="9079" w:type="dxa"/>
          </w:tcPr>
          <w:p w:rsidR="00E07F15" w:rsidRPr="00A964D1" w:rsidRDefault="00E07F15" w:rsidP="002729EB">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proofErr w:type="spellStart"/>
            <w:r w:rsidR="00F72A0E">
              <w:rPr>
                <w:color w:val="FFFFFF" w:themeColor="background1"/>
              </w:rPr>
              <w:t>ledipasvir</w:t>
            </w:r>
            <w:proofErr w:type="spellEnd"/>
            <w:r w:rsidR="00F72A0E">
              <w:rPr>
                <w:color w:val="FFFFFF" w:themeColor="background1"/>
              </w:rPr>
              <w:t xml:space="preserve"> / </w:t>
            </w:r>
            <w:proofErr w:type="spellStart"/>
            <w:r w:rsidR="00F72A0E">
              <w:rPr>
                <w:color w:val="FFFFFF" w:themeColor="background1"/>
              </w:rPr>
              <w:t>sofosbuvir</w:t>
            </w:r>
            <w:proofErr w:type="spellEnd"/>
          </w:p>
        </w:tc>
      </w:tr>
      <w:tr w:rsidR="00E07F15" w:rsidRPr="00B64760" w:rsidTr="00E07F15">
        <w:tc>
          <w:tcPr>
            <w:tcW w:w="9079" w:type="dxa"/>
          </w:tcPr>
          <w:p w:rsidR="00E07F15" w:rsidRPr="008E7846" w:rsidRDefault="00E07F15" w:rsidP="002729EB">
            <w:pPr>
              <w:pStyle w:val="Subtitle"/>
              <w:rPr>
                <w:color w:val="FFFFFF" w:themeColor="background1"/>
              </w:rPr>
            </w:pPr>
            <w:r w:rsidRPr="008E7846">
              <w:rPr>
                <w:color w:val="FFFFFF" w:themeColor="background1"/>
              </w:rPr>
              <w:t xml:space="preserve">Proprietary Product Name: </w:t>
            </w:r>
            <w:proofErr w:type="spellStart"/>
            <w:r w:rsidR="002729EB">
              <w:rPr>
                <w:color w:val="FFFFFF" w:themeColor="background1"/>
              </w:rPr>
              <w:t>Harvoni</w:t>
            </w:r>
            <w:proofErr w:type="spellEnd"/>
          </w:p>
        </w:tc>
      </w:tr>
      <w:tr w:rsidR="00E07F15" w:rsidRPr="00B64760" w:rsidTr="00E07F15">
        <w:trPr>
          <w:trHeight w:val="486"/>
        </w:trPr>
        <w:tc>
          <w:tcPr>
            <w:tcW w:w="9079" w:type="dxa"/>
          </w:tcPr>
          <w:p w:rsidR="00E07F15" w:rsidRPr="008E7846" w:rsidRDefault="00E07F15" w:rsidP="002729EB">
            <w:pPr>
              <w:pStyle w:val="Subtitle"/>
              <w:rPr>
                <w:color w:val="FFFFFF" w:themeColor="background1"/>
              </w:rPr>
            </w:pPr>
            <w:r w:rsidRPr="008E7846">
              <w:rPr>
                <w:color w:val="FFFFFF" w:themeColor="background1"/>
              </w:rPr>
              <w:t xml:space="preserve">Sponsor: </w:t>
            </w:r>
            <w:r w:rsidR="002729EB">
              <w:rPr>
                <w:color w:val="FFFFFF" w:themeColor="background1"/>
              </w:rPr>
              <w:t>Gilead Sciences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3142B6">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3142B6">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applying a risk management approach designed to ensure therapeutic goods supplied in Australia meet acceptable standards of quality, safety and efficacy (performance), when necessary.</w:t>
      </w:r>
    </w:p>
    <w:p w:rsidR="008E7846" w:rsidRDefault="008E7846" w:rsidP="003142B6">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3142B6">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3142B6">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2C1A19">
          <w:rPr>
            <w:rStyle w:val="Hyperlink"/>
          </w:rPr>
          <w:t>https://www.tga.gov.au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2C1A19">
          <w:rPr>
            <w:rStyle w:val="Hyperlink"/>
          </w:rPr>
          <w:t>https://www.tga.gov.au/product-information-pi</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87961">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512D7D"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32073896" w:history="1">
            <w:r w:rsidR="00512D7D" w:rsidRPr="00896F87">
              <w:rPr>
                <w:rStyle w:val="Hyperlink"/>
                <w:noProof/>
              </w:rPr>
              <w:t>Common abbreviations</w:t>
            </w:r>
            <w:r w:rsidR="00512D7D">
              <w:rPr>
                <w:noProof/>
                <w:webHidden/>
              </w:rPr>
              <w:tab/>
            </w:r>
            <w:r w:rsidR="00512D7D">
              <w:rPr>
                <w:noProof/>
                <w:webHidden/>
              </w:rPr>
              <w:fldChar w:fldCharType="begin"/>
            </w:r>
            <w:r w:rsidR="00512D7D">
              <w:rPr>
                <w:noProof/>
                <w:webHidden/>
              </w:rPr>
              <w:instrText xml:space="preserve"> PAGEREF _Toc432073896 \h </w:instrText>
            </w:r>
            <w:r w:rsidR="00512D7D">
              <w:rPr>
                <w:noProof/>
                <w:webHidden/>
              </w:rPr>
            </w:r>
            <w:r w:rsidR="00512D7D">
              <w:rPr>
                <w:noProof/>
                <w:webHidden/>
              </w:rPr>
              <w:fldChar w:fldCharType="separate"/>
            </w:r>
            <w:r w:rsidR="00512D7D">
              <w:rPr>
                <w:noProof/>
                <w:webHidden/>
              </w:rPr>
              <w:t>5</w:t>
            </w:r>
            <w:r w:rsidR="00512D7D">
              <w:rPr>
                <w:noProof/>
                <w:webHidden/>
              </w:rPr>
              <w:fldChar w:fldCharType="end"/>
            </w:r>
          </w:hyperlink>
        </w:p>
        <w:p w:rsidR="00512D7D" w:rsidRDefault="00886813">
          <w:pPr>
            <w:pStyle w:val="TOC2"/>
            <w:tabs>
              <w:tab w:val="left" w:pos="1100"/>
            </w:tabs>
            <w:rPr>
              <w:rFonts w:asciiTheme="minorHAnsi" w:eastAsiaTheme="minorEastAsia" w:hAnsiTheme="minorHAnsi" w:cstheme="minorBidi"/>
              <w:b w:val="0"/>
              <w:noProof/>
              <w:sz w:val="22"/>
              <w:lang w:eastAsia="en-AU"/>
            </w:rPr>
          </w:pPr>
          <w:hyperlink w:anchor="_Toc432073897" w:history="1">
            <w:r w:rsidR="00512D7D" w:rsidRPr="00896F87">
              <w:rPr>
                <w:rStyle w:val="Hyperlink"/>
                <w:noProof/>
                <w:lang w:eastAsia="en-AU"/>
              </w:rPr>
              <w:t>1.</w:t>
            </w:r>
            <w:r w:rsidR="00512D7D">
              <w:rPr>
                <w:rFonts w:asciiTheme="minorHAnsi" w:eastAsiaTheme="minorEastAsia" w:hAnsiTheme="minorHAnsi" w:cstheme="minorBidi"/>
                <w:b w:val="0"/>
                <w:noProof/>
                <w:sz w:val="22"/>
                <w:lang w:eastAsia="en-AU"/>
              </w:rPr>
              <w:tab/>
            </w:r>
            <w:r w:rsidR="00512D7D" w:rsidRPr="00896F87">
              <w:rPr>
                <w:rStyle w:val="Hyperlink"/>
                <w:noProof/>
                <w:lang w:eastAsia="en-AU"/>
              </w:rPr>
              <w:t>Background</w:t>
            </w:r>
            <w:r w:rsidR="00512D7D">
              <w:rPr>
                <w:noProof/>
                <w:webHidden/>
              </w:rPr>
              <w:tab/>
            </w:r>
            <w:r w:rsidR="00512D7D">
              <w:rPr>
                <w:noProof/>
                <w:webHidden/>
              </w:rPr>
              <w:fldChar w:fldCharType="begin"/>
            </w:r>
            <w:r w:rsidR="00512D7D">
              <w:rPr>
                <w:noProof/>
                <w:webHidden/>
              </w:rPr>
              <w:instrText xml:space="preserve"> PAGEREF _Toc432073897 \h </w:instrText>
            </w:r>
            <w:r w:rsidR="00512D7D">
              <w:rPr>
                <w:noProof/>
                <w:webHidden/>
              </w:rPr>
            </w:r>
            <w:r w:rsidR="00512D7D">
              <w:rPr>
                <w:noProof/>
                <w:webHidden/>
              </w:rPr>
              <w:fldChar w:fldCharType="separate"/>
            </w:r>
            <w:r w:rsidR="00512D7D">
              <w:rPr>
                <w:noProof/>
                <w:webHidden/>
              </w:rPr>
              <w:t>12</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898" w:history="1">
            <w:r w:rsidR="00512D7D" w:rsidRPr="00896F87">
              <w:rPr>
                <w:rStyle w:val="Hyperlink"/>
                <w:noProof/>
              </w:rPr>
              <w:t>1.1.</w:t>
            </w:r>
            <w:r w:rsidR="00512D7D">
              <w:rPr>
                <w:rFonts w:asciiTheme="minorHAnsi" w:eastAsiaTheme="minorEastAsia" w:hAnsiTheme="minorHAnsi" w:cstheme="minorBidi"/>
                <w:noProof/>
                <w:lang w:eastAsia="en-AU"/>
              </w:rPr>
              <w:tab/>
            </w:r>
            <w:r w:rsidR="00512D7D" w:rsidRPr="00896F87">
              <w:rPr>
                <w:rStyle w:val="Hyperlink"/>
                <w:noProof/>
              </w:rPr>
              <w:t>Submission type</w:t>
            </w:r>
            <w:r w:rsidR="00512D7D">
              <w:rPr>
                <w:noProof/>
                <w:webHidden/>
              </w:rPr>
              <w:tab/>
            </w:r>
            <w:r w:rsidR="00512D7D">
              <w:rPr>
                <w:noProof/>
                <w:webHidden/>
              </w:rPr>
              <w:fldChar w:fldCharType="begin"/>
            </w:r>
            <w:r w:rsidR="00512D7D">
              <w:rPr>
                <w:noProof/>
                <w:webHidden/>
              </w:rPr>
              <w:instrText xml:space="preserve"> PAGEREF _Toc432073898 \h </w:instrText>
            </w:r>
            <w:r w:rsidR="00512D7D">
              <w:rPr>
                <w:noProof/>
                <w:webHidden/>
              </w:rPr>
            </w:r>
            <w:r w:rsidR="00512D7D">
              <w:rPr>
                <w:noProof/>
                <w:webHidden/>
              </w:rPr>
              <w:fldChar w:fldCharType="separate"/>
            </w:r>
            <w:r w:rsidR="00512D7D">
              <w:rPr>
                <w:noProof/>
                <w:webHidden/>
              </w:rPr>
              <w:t>12</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899" w:history="1">
            <w:r w:rsidR="00512D7D" w:rsidRPr="00896F87">
              <w:rPr>
                <w:rStyle w:val="Hyperlink"/>
                <w:noProof/>
              </w:rPr>
              <w:t>1.2.</w:t>
            </w:r>
            <w:r w:rsidR="00512D7D">
              <w:rPr>
                <w:rFonts w:asciiTheme="minorHAnsi" w:eastAsiaTheme="minorEastAsia" w:hAnsiTheme="minorHAnsi" w:cstheme="minorBidi"/>
                <w:noProof/>
                <w:lang w:eastAsia="en-AU"/>
              </w:rPr>
              <w:tab/>
            </w:r>
            <w:r w:rsidR="00512D7D" w:rsidRPr="00896F87">
              <w:rPr>
                <w:rStyle w:val="Hyperlink"/>
                <w:noProof/>
              </w:rPr>
              <w:t>Drug class and therapeutic indication</w:t>
            </w:r>
            <w:r w:rsidR="00512D7D">
              <w:rPr>
                <w:noProof/>
                <w:webHidden/>
              </w:rPr>
              <w:tab/>
            </w:r>
            <w:r w:rsidR="00512D7D">
              <w:rPr>
                <w:noProof/>
                <w:webHidden/>
              </w:rPr>
              <w:fldChar w:fldCharType="begin"/>
            </w:r>
            <w:r w:rsidR="00512D7D">
              <w:rPr>
                <w:noProof/>
                <w:webHidden/>
              </w:rPr>
              <w:instrText xml:space="preserve"> PAGEREF _Toc432073899 \h </w:instrText>
            </w:r>
            <w:r w:rsidR="00512D7D">
              <w:rPr>
                <w:noProof/>
                <w:webHidden/>
              </w:rPr>
            </w:r>
            <w:r w:rsidR="00512D7D">
              <w:rPr>
                <w:noProof/>
                <w:webHidden/>
              </w:rPr>
              <w:fldChar w:fldCharType="separate"/>
            </w:r>
            <w:r w:rsidR="00512D7D">
              <w:rPr>
                <w:noProof/>
                <w:webHidden/>
              </w:rPr>
              <w:t>12</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00" w:history="1">
            <w:r w:rsidR="00512D7D" w:rsidRPr="00896F87">
              <w:rPr>
                <w:rStyle w:val="Hyperlink"/>
                <w:noProof/>
              </w:rPr>
              <w:t>1.3.</w:t>
            </w:r>
            <w:r w:rsidR="00512D7D">
              <w:rPr>
                <w:rFonts w:asciiTheme="minorHAnsi" w:eastAsiaTheme="minorEastAsia" w:hAnsiTheme="minorHAnsi" w:cstheme="minorBidi"/>
                <w:noProof/>
                <w:lang w:eastAsia="en-AU"/>
              </w:rPr>
              <w:tab/>
            </w:r>
            <w:r w:rsidR="00512D7D" w:rsidRPr="00896F87">
              <w:rPr>
                <w:rStyle w:val="Hyperlink"/>
                <w:noProof/>
              </w:rPr>
              <w:t>Dosage forms and strengths</w:t>
            </w:r>
            <w:r w:rsidR="00512D7D">
              <w:rPr>
                <w:noProof/>
                <w:webHidden/>
              </w:rPr>
              <w:tab/>
            </w:r>
            <w:r w:rsidR="00512D7D">
              <w:rPr>
                <w:noProof/>
                <w:webHidden/>
              </w:rPr>
              <w:fldChar w:fldCharType="begin"/>
            </w:r>
            <w:r w:rsidR="00512D7D">
              <w:rPr>
                <w:noProof/>
                <w:webHidden/>
              </w:rPr>
              <w:instrText xml:space="preserve"> PAGEREF _Toc432073900 \h </w:instrText>
            </w:r>
            <w:r w:rsidR="00512D7D">
              <w:rPr>
                <w:noProof/>
                <w:webHidden/>
              </w:rPr>
            </w:r>
            <w:r w:rsidR="00512D7D">
              <w:rPr>
                <w:noProof/>
                <w:webHidden/>
              </w:rPr>
              <w:fldChar w:fldCharType="separate"/>
            </w:r>
            <w:r w:rsidR="00512D7D">
              <w:rPr>
                <w:noProof/>
                <w:webHidden/>
              </w:rPr>
              <w:t>12</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01" w:history="1">
            <w:r w:rsidR="00512D7D" w:rsidRPr="00896F87">
              <w:rPr>
                <w:rStyle w:val="Hyperlink"/>
                <w:noProof/>
              </w:rPr>
              <w:t>1.4.</w:t>
            </w:r>
            <w:r w:rsidR="00512D7D">
              <w:rPr>
                <w:rFonts w:asciiTheme="minorHAnsi" w:eastAsiaTheme="minorEastAsia" w:hAnsiTheme="minorHAnsi" w:cstheme="minorBidi"/>
                <w:noProof/>
                <w:lang w:eastAsia="en-AU"/>
              </w:rPr>
              <w:tab/>
            </w:r>
            <w:r w:rsidR="00512D7D" w:rsidRPr="00896F87">
              <w:rPr>
                <w:rStyle w:val="Hyperlink"/>
                <w:noProof/>
              </w:rPr>
              <w:t>Dosage and administration</w:t>
            </w:r>
            <w:r w:rsidR="00512D7D">
              <w:rPr>
                <w:noProof/>
                <w:webHidden/>
              </w:rPr>
              <w:tab/>
            </w:r>
            <w:r w:rsidR="00512D7D">
              <w:rPr>
                <w:noProof/>
                <w:webHidden/>
              </w:rPr>
              <w:fldChar w:fldCharType="begin"/>
            </w:r>
            <w:r w:rsidR="00512D7D">
              <w:rPr>
                <w:noProof/>
                <w:webHidden/>
              </w:rPr>
              <w:instrText xml:space="preserve"> PAGEREF _Toc432073901 \h </w:instrText>
            </w:r>
            <w:r w:rsidR="00512D7D">
              <w:rPr>
                <w:noProof/>
                <w:webHidden/>
              </w:rPr>
            </w:r>
            <w:r w:rsidR="00512D7D">
              <w:rPr>
                <w:noProof/>
                <w:webHidden/>
              </w:rPr>
              <w:fldChar w:fldCharType="separate"/>
            </w:r>
            <w:r w:rsidR="00512D7D">
              <w:rPr>
                <w:noProof/>
                <w:webHidden/>
              </w:rPr>
              <w:t>12</w:t>
            </w:r>
            <w:r w:rsidR="00512D7D">
              <w:rPr>
                <w:noProof/>
                <w:webHidden/>
              </w:rPr>
              <w:fldChar w:fldCharType="end"/>
            </w:r>
          </w:hyperlink>
        </w:p>
        <w:p w:rsidR="00512D7D" w:rsidRDefault="00886813">
          <w:pPr>
            <w:pStyle w:val="TOC2"/>
            <w:tabs>
              <w:tab w:val="left" w:pos="1100"/>
            </w:tabs>
            <w:rPr>
              <w:rFonts w:asciiTheme="minorHAnsi" w:eastAsiaTheme="minorEastAsia" w:hAnsiTheme="minorHAnsi" w:cstheme="minorBidi"/>
              <w:b w:val="0"/>
              <w:noProof/>
              <w:sz w:val="22"/>
              <w:lang w:eastAsia="en-AU"/>
            </w:rPr>
          </w:pPr>
          <w:hyperlink w:anchor="_Toc432073902" w:history="1">
            <w:r w:rsidR="00512D7D" w:rsidRPr="00896F87">
              <w:rPr>
                <w:rStyle w:val="Hyperlink"/>
                <w:noProof/>
                <w:lang w:eastAsia="en-AU"/>
              </w:rPr>
              <w:t>2.</w:t>
            </w:r>
            <w:r w:rsidR="00512D7D">
              <w:rPr>
                <w:rFonts w:asciiTheme="minorHAnsi" w:eastAsiaTheme="minorEastAsia" w:hAnsiTheme="minorHAnsi" w:cstheme="minorBidi"/>
                <w:b w:val="0"/>
                <w:noProof/>
                <w:sz w:val="22"/>
                <w:lang w:eastAsia="en-AU"/>
              </w:rPr>
              <w:tab/>
            </w:r>
            <w:r w:rsidR="00512D7D" w:rsidRPr="00896F87">
              <w:rPr>
                <w:rStyle w:val="Hyperlink"/>
                <w:noProof/>
                <w:lang w:eastAsia="en-AU"/>
              </w:rPr>
              <w:t>Clinical rationale</w:t>
            </w:r>
            <w:r w:rsidR="00512D7D">
              <w:rPr>
                <w:noProof/>
                <w:webHidden/>
              </w:rPr>
              <w:tab/>
            </w:r>
            <w:r w:rsidR="00512D7D">
              <w:rPr>
                <w:noProof/>
                <w:webHidden/>
              </w:rPr>
              <w:fldChar w:fldCharType="begin"/>
            </w:r>
            <w:r w:rsidR="00512D7D">
              <w:rPr>
                <w:noProof/>
                <w:webHidden/>
              </w:rPr>
              <w:instrText xml:space="preserve"> PAGEREF _Toc432073902 \h </w:instrText>
            </w:r>
            <w:r w:rsidR="00512D7D">
              <w:rPr>
                <w:noProof/>
                <w:webHidden/>
              </w:rPr>
            </w:r>
            <w:r w:rsidR="00512D7D">
              <w:rPr>
                <w:noProof/>
                <w:webHidden/>
              </w:rPr>
              <w:fldChar w:fldCharType="separate"/>
            </w:r>
            <w:r w:rsidR="00512D7D">
              <w:rPr>
                <w:noProof/>
                <w:webHidden/>
              </w:rPr>
              <w:t>13</w:t>
            </w:r>
            <w:r w:rsidR="00512D7D">
              <w:rPr>
                <w:noProof/>
                <w:webHidden/>
              </w:rPr>
              <w:fldChar w:fldCharType="end"/>
            </w:r>
          </w:hyperlink>
        </w:p>
        <w:p w:rsidR="00512D7D" w:rsidRDefault="00886813">
          <w:pPr>
            <w:pStyle w:val="TOC2"/>
            <w:tabs>
              <w:tab w:val="left" w:pos="1100"/>
            </w:tabs>
            <w:rPr>
              <w:rFonts w:asciiTheme="minorHAnsi" w:eastAsiaTheme="minorEastAsia" w:hAnsiTheme="minorHAnsi" w:cstheme="minorBidi"/>
              <w:b w:val="0"/>
              <w:noProof/>
              <w:sz w:val="22"/>
              <w:lang w:eastAsia="en-AU"/>
            </w:rPr>
          </w:pPr>
          <w:hyperlink w:anchor="_Toc432073903" w:history="1">
            <w:r w:rsidR="00512D7D" w:rsidRPr="00896F87">
              <w:rPr>
                <w:rStyle w:val="Hyperlink"/>
                <w:noProof/>
                <w:lang w:eastAsia="en-AU"/>
              </w:rPr>
              <w:t>3.</w:t>
            </w:r>
            <w:r w:rsidR="00512D7D">
              <w:rPr>
                <w:rFonts w:asciiTheme="minorHAnsi" w:eastAsiaTheme="minorEastAsia" w:hAnsiTheme="minorHAnsi" w:cstheme="minorBidi"/>
                <w:b w:val="0"/>
                <w:noProof/>
                <w:sz w:val="22"/>
                <w:lang w:eastAsia="en-AU"/>
              </w:rPr>
              <w:tab/>
            </w:r>
            <w:r w:rsidR="00512D7D" w:rsidRPr="00896F87">
              <w:rPr>
                <w:rStyle w:val="Hyperlink"/>
                <w:noProof/>
                <w:lang w:eastAsia="en-AU"/>
              </w:rPr>
              <w:t>Contents of the clinical dossier</w:t>
            </w:r>
            <w:r w:rsidR="00512D7D">
              <w:rPr>
                <w:noProof/>
                <w:webHidden/>
              </w:rPr>
              <w:tab/>
            </w:r>
            <w:r w:rsidR="00512D7D">
              <w:rPr>
                <w:noProof/>
                <w:webHidden/>
              </w:rPr>
              <w:fldChar w:fldCharType="begin"/>
            </w:r>
            <w:r w:rsidR="00512D7D">
              <w:rPr>
                <w:noProof/>
                <w:webHidden/>
              </w:rPr>
              <w:instrText xml:space="preserve"> PAGEREF _Toc432073903 \h </w:instrText>
            </w:r>
            <w:r w:rsidR="00512D7D">
              <w:rPr>
                <w:noProof/>
                <w:webHidden/>
              </w:rPr>
            </w:r>
            <w:r w:rsidR="00512D7D">
              <w:rPr>
                <w:noProof/>
                <w:webHidden/>
              </w:rPr>
              <w:fldChar w:fldCharType="separate"/>
            </w:r>
            <w:r w:rsidR="00512D7D">
              <w:rPr>
                <w:noProof/>
                <w:webHidden/>
              </w:rPr>
              <w:t>13</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04" w:history="1">
            <w:r w:rsidR="00512D7D" w:rsidRPr="00896F87">
              <w:rPr>
                <w:rStyle w:val="Hyperlink"/>
                <w:noProof/>
              </w:rPr>
              <w:t>3.1.</w:t>
            </w:r>
            <w:r w:rsidR="00512D7D">
              <w:rPr>
                <w:rFonts w:asciiTheme="minorHAnsi" w:eastAsiaTheme="minorEastAsia" w:hAnsiTheme="minorHAnsi" w:cstheme="minorBidi"/>
                <w:noProof/>
                <w:lang w:eastAsia="en-AU"/>
              </w:rPr>
              <w:tab/>
            </w:r>
            <w:r w:rsidR="00512D7D" w:rsidRPr="00896F87">
              <w:rPr>
                <w:rStyle w:val="Hyperlink"/>
                <w:noProof/>
              </w:rPr>
              <w:t>Scope of the clinical dossier</w:t>
            </w:r>
            <w:r w:rsidR="00512D7D">
              <w:rPr>
                <w:noProof/>
                <w:webHidden/>
              </w:rPr>
              <w:tab/>
            </w:r>
            <w:r w:rsidR="00512D7D">
              <w:rPr>
                <w:noProof/>
                <w:webHidden/>
              </w:rPr>
              <w:fldChar w:fldCharType="begin"/>
            </w:r>
            <w:r w:rsidR="00512D7D">
              <w:rPr>
                <w:noProof/>
                <w:webHidden/>
              </w:rPr>
              <w:instrText xml:space="preserve"> PAGEREF _Toc432073904 \h </w:instrText>
            </w:r>
            <w:r w:rsidR="00512D7D">
              <w:rPr>
                <w:noProof/>
                <w:webHidden/>
              </w:rPr>
            </w:r>
            <w:r w:rsidR="00512D7D">
              <w:rPr>
                <w:noProof/>
                <w:webHidden/>
              </w:rPr>
              <w:fldChar w:fldCharType="separate"/>
            </w:r>
            <w:r w:rsidR="00512D7D">
              <w:rPr>
                <w:noProof/>
                <w:webHidden/>
              </w:rPr>
              <w:t>13</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05" w:history="1">
            <w:r w:rsidR="00512D7D" w:rsidRPr="00896F87">
              <w:rPr>
                <w:rStyle w:val="Hyperlink"/>
                <w:noProof/>
              </w:rPr>
              <w:t>3.2.</w:t>
            </w:r>
            <w:r w:rsidR="00512D7D">
              <w:rPr>
                <w:rFonts w:asciiTheme="minorHAnsi" w:eastAsiaTheme="minorEastAsia" w:hAnsiTheme="minorHAnsi" w:cstheme="minorBidi"/>
                <w:noProof/>
                <w:lang w:eastAsia="en-AU"/>
              </w:rPr>
              <w:tab/>
            </w:r>
            <w:r w:rsidR="00512D7D" w:rsidRPr="00896F87">
              <w:rPr>
                <w:rStyle w:val="Hyperlink"/>
                <w:noProof/>
              </w:rPr>
              <w:t>Paediatric data</w:t>
            </w:r>
            <w:r w:rsidR="00512D7D">
              <w:rPr>
                <w:noProof/>
                <w:webHidden/>
              </w:rPr>
              <w:tab/>
            </w:r>
            <w:r w:rsidR="00512D7D">
              <w:rPr>
                <w:noProof/>
                <w:webHidden/>
              </w:rPr>
              <w:fldChar w:fldCharType="begin"/>
            </w:r>
            <w:r w:rsidR="00512D7D">
              <w:rPr>
                <w:noProof/>
                <w:webHidden/>
              </w:rPr>
              <w:instrText xml:space="preserve"> PAGEREF _Toc432073905 \h </w:instrText>
            </w:r>
            <w:r w:rsidR="00512D7D">
              <w:rPr>
                <w:noProof/>
                <w:webHidden/>
              </w:rPr>
            </w:r>
            <w:r w:rsidR="00512D7D">
              <w:rPr>
                <w:noProof/>
                <w:webHidden/>
              </w:rPr>
              <w:fldChar w:fldCharType="separate"/>
            </w:r>
            <w:r w:rsidR="00512D7D">
              <w:rPr>
                <w:noProof/>
                <w:webHidden/>
              </w:rPr>
              <w:t>14</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06" w:history="1">
            <w:r w:rsidR="00512D7D" w:rsidRPr="00896F87">
              <w:rPr>
                <w:rStyle w:val="Hyperlink"/>
                <w:noProof/>
              </w:rPr>
              <w:t>3.3.</w:t>
            </w:r>
            <w:r w:rsidR="00512D7D">
              <w:rPr>
                <w:rFonts w:asciiTheme="minorHAnsi" w:eastAsiaTheme="minorEastAsia" w:hAnsiTheme="minorHAnsi" w:cstheme="minorBidi"/>
                <w:noProof/>
                <w:lang w:eastAsia="en-AU"/>
              </w:rPr>
              <w:tab/>
            </w:r>
            <w:r w:rsidR="00512D7D" w:rsidRPr="00896F87">
              <w:rPr>
                <w:rStyle w:val="Hyperlink"/>
                <w:noProof/>
              </w:rPr>
              <w:t>Good clinical practice</w:t>
            </w:r>
            <w:r w:rsidR="00512D7D">
              <w:rPr>
                <w:noProof/>
                <w:webHidden/>
              </w:rPr>
              <w:tab/>
            </w:r>
            <w:r w:rsidR="00512D7D">
              <w:rPr>
                <w:noProof/>
                <w:webHidden/>
              </w:rPr>
              <w:fldChar w:fldCharType="begin"/>
            </w:r>
            <w:r w:rsidR="00512D7D">
              <w:rPr>
                <w:noProof/>
                <w:webHidden/>
              </w:rPr>
              <w:instrText xml:space="preserve"> PAGEREF _Toc432073906 \h </w:instrText>
            </w:r>
            <w:r w:rsidR="00512D7D">
              <w:rPr>
                <w:noProof/>
                <w:webHidden/>
              </w:rPr>
            </w:r>
            <w:r w:rsidR="00512D7D">
              <w:rPr>
                <w:noProof/>
                <w:webHidden/>
              </w:rPr>
              <w:fldChar w:fldCharType="separate"/>
            </w:r>
            <w:r w:rsidR="00512D7D">
              <w:rPr>
                <w:noProof/>
                <w:webHidden/>
              </w:rPr>
              <w:t>14</w:t>
            </w:r>
            <w:r w:rsidR="00512D7D">
              <w:rPr>
                <w:noProof/>
                <w:webHidden/>
              </w:rPr>
              <w:fldChar w:fldCharType="end"/>
            </w:r>
          </w:hyperlink>
        </w:p>
        <w:p w:rsidR="00512D7D" w:rsidRDefault="00886813">
          <w:pPr>
            <w:pStyle w:val="TOC2"/>
            <w:tabs>
              <w:tab w:val="left" w:pos="1100"/>
            </w:tabs>
            <w:rPr>
              <w:rFonts w:asciiTheme="minorHAnsi" w:eastAsiaTheme="minorEastAsia" w:hAnsiTheme="minorHAnsi" w:cstheme="minorBidi"/>
              <w:b w:val="0"/>
              <w:noProof/>
              <w:sz w:val="22"/>
              <w:lang w:eastAsia="en-AU"/>
            </w:rPr>
          </w:pPr>
          <w:hyperlink w:anchor="_Toc432073907" w:history="1">
            <w:r w:rsidR="00512D7D" w:rsidRPr="00896F87">
              <w:rPr>
                <w:rStyle w:val="Hyperlink"/>
                <w:noProof/>
              </w:rPr>
              <w:t>4.</w:t>
            </w:r>
            <w:r w:rsidR="00512D7D">
              <w:rPr>
                <w:rFonts w:asciiTheme="minorHAnsi" w:eastAsiaTheme="minorEastAsia" w:hAnsiTheme="minorHAnsi" w:cstheme="minorBidi"/>
                <w:b w:val="0"/>
                <w:noProof/>
                <w:sz w:val="22"/>
                <w:lang w:eastAsia="en-AU"/>
              </w:rPr>
              <w:tab/>
            </w:r>
            <w:r w:rsidR="00512D7D" w:rsidRPr="00896F87">
              <w:rPr>
                <w:rStyle w:val="Hyperlink"/>
                <w:noProof/>
              </w:rPr>
              <w:t>Pharmacokinetics</w:t>
            </w:r>
            <w:r w:rsidR="00512D7D">
              <w:rPr>
                <w:noProof/>
                <w:webHidden/>
              </w:rPr>
              <w:tab/>
            </w:r>
            <w:r w:rsidR="00512D7D">
              <w:rPr>
                <w:noProof/>
                <w:webHidden/>
              </w:rPr>
              <w:fldChar w:fldCharType="begin"/>
            </w:r>
            <w:r w:rsidR="00512D7D">
              <w:rPr>
                <w:noProof/>
                <w:webHidden/>
              </w:rPr>
              <w:instrText xml:space="preserve"> PAGEREF _Toc432073907 \h </w:instrText>
            </w:r>
            <w:r w:rsidR="00512D7D">
              <w:rPr>
                <w:noProof/>
                <w:webHidden/>
              </w:rPr>
            </w:r>
            <w:r w:rsidR="00512D7D">
              <w:rPr>
                <w:noProof/>
                <w:webHidden/>
              </w:rPr>
              <w:fldChar w:fldCharType="separate"/>
            </w:r>
            <w:r w:rsidR="00512D7D">
              <w:rPr>
                <w:noProof/>
                <w:webHidden/>
              </w:rPr>
              <w:t>14</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08" w:history="1">
            <w:r w:rsidR="00512D7D" w:rsidRPr="00896F87">
              <w:rPr>
                <w:rStyle w:val="Hyperlink"/>
                <w:noProof/>
              </w:rPr>
              <w:t>4.1.</w:t>
            </w:r>
            <w:r w:rsidR="00512D7D">
              <w:rPr>
                <w:rFonts w:asciiTheme="minorHAnsi" w:eastAsiaTheme="minorEastAsia" w:hAnsiTheme="minorHAnsi" w:cstheme="minorBidi"/>
                <w:noProof/>
                <w:lang w:eastAsia="en-AU"/>
              </w:rPr>
              <w:tab/>
            </w:r>
            <w:r w:rsidR="00512D7D" w:rsidRPr="00896F87">
              <w:rPr>
                <w:rStyle w:val="Hyperlink"/>
                <w:noProof/>
              </w:rPr>
              <w:t>Studies providing pharmacokinetic data</w:t>
            </w:r>
            <w:r w:rsidR="00512D7D">
              <w:rPr>
                <w:noProof/>
                <w:webHidden/>
              </w:rPr>
              <w:tab/>
            </w:r>
            <w:r w:rsidR="00512D7D">
              <w:rPr>
                <w:noProof/>
                <w:webHidden/>
              </w:rPr>
              <w:fldChar w:fldCharType="begin"/>
            </w:r>
            <w:r w:rsidR="00512D7D">
              <w:rPr>
                <w:noProof/>
                <w:webHidden/>
              </w:rPr>
              <w:instrText xml:space="preserve"> PAGEREF _Toc432073908 \h </w:instrText>
            </w:r>
            <w:r w:rsidR="00512D7D">
              <w:rPr>
                <w:noProof/>
                <w:webHidden/>
              </w:rPr>
            </w:r>
            <w:r w:rsidR="00512D7D">
              <w:rPr>
                <w:noProof/>
                <w:webHidden/>
              </w:rPr>
              <w:fldChar w:fldCharType="separate"/>
            </w:r>
            <w:r w:rsidR="00512D7D">
              <w:rPr>
                <w:noProof/>
                <w:webHidden/>
              </w:rPr>
              <w:t>14</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09" w:history="1">
            <w:r w:rsidR="00512D7D" w:rsidRPr="00896F87">
              <w:rPr>
                <w:rStyle w:val="Hyperlink"/>
                <w:noProof/>
              </w:rPr>
              <w:t>4.2.</w:t>
            </w:r>
            <w:r w:rsidR="00512D7D">
              <w:rPr>
                <w:rFonts w:asciiTheme="minorHAnsi" w:eastAsiaTheme="minorEastAsia" w:hAnsiTheme="minorHAnsi" w:cstheme="minorBidi"/>
                <w:noProof/>
                <w:lang w:eastAsia="en-AU"/>
              </w:rPr>
              <w:tab/>
            </w:r>
            <w:r w:rsidR="00512D7D" w:rsidRPr="00896F87">
              <w:rPr>
                <w:rStyle w:val="Hyperlink"/>
                <w:noProof/>
              </w:rPr>
              <w:t>Summary of pharmacokinetics for sofosbuvir</w:t>
            </w:r>
            <w:r w:rsidR="00512D7D">
              <w:rPr>
                <w:noProof/>
                <w:webHidden/>
              </w:rPr>
              <w:tab/>
            </w:r>
            <w:r w:rsidR="00512D7D">
              <w:rPr>
                <w:noProof/>
                <w:webHidden/>
              </w:rPr>
              <w:fldChar w:fldCharType="begin"/>
            </w:r>
            <w:r w:rsidR="00512D7D">
              <w:rPr>
                <w:noProof/>
                <w:webHidden/>
              </w:rPr>
              <w:instrText xml:space="preserve"> PAGEREF _Toc432073909 \h </w:instrText>
            </w:r>
            <w:r w:rsidR="00512D7D">
              <w:rPr>
                <w:noProof/>
                <w:webHidden/>
              </w:rPr>
            </w:r>
            <w:r w:rsidR="00512D7D">
              <w:rPr>
                <w:noProof/>
                <w:webHidden/>
              </w:rPr>
              <w:fldChar w:fldCharType="separate"/>
            </w:r>
            <w:r w:rsidR="00512D7D">
              <w:rPr>
                <w:noProof/>
                <w:webHidden/>
              </w:rPr>
              <w:t>15</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10" w:history="1">
            <w:r w:rsidR="00512D7D" w:rsidRPr="00896F87">
              <w:rPr>
                <w:rStyle w:val="Hyperlink"/>
                <w:noProof/>
              </w:rPr>
              <w:t>4.3.</w:t>
            </w:r>
            <w:r w:rsidR="00512D7D">
              <w:rPr>
                <w:rFonts w:asciiTheme="minorHAnsi" w:eastAsiaTheme="minorEastAsia" w:hAnsiTheme="minorHAnsi" w:cstheme="minorBidi"/>
                <w:noProof/>
                <w:lang w:eastAsia="en-AU"/>
              </w:rPr>
              <w:tab/>
            </w:r>
            <w:r w:rsidR="00512D7D" w:rsidRPr="00896F87">
              <w:rPr>
                <w:rStyle w:val="Hyperlink"/>
                <w:noProof/>
              </w:rPr>
              <w:t>Summary of pharmacokinetics for ledipasvir</w:t>
            </w:r>
            <w:r w:rsidR="00512D7D">
              <w:rPr>
                <w:noProof/>
                <w:webHidden/>
              </w:rPr>
              <w:tab/>
            </w:r>
            <w:r w:rsidR="00512D7D">
              <w:rPr>
                <w:noProof/>
                <w:webHidden/>
              </w:rPr>
              <w:fldChar w:fldCharType="begin"/>
            </w:r>
            <w:r w:rsidR="00512D7D">
              <w:rPr>
                <w:noProof/>
                <w:webHidden/>
              </w:rPr>
              <w:instrText xml:space="preserve"> PAGEREF _Toc432073910 \h </w:instrText>
            </w:r>
            <w:r w:rsidR="00512D7D">
              <w:rPr>
                <w:noProof/>
                <w:webHidden/>
              </w:rPr>
            </w:r>
            <w:r w:rsidR="00512D7D">
              <w:rPr>
                <w:noProof/>
                <w:webHidden/>
              </w:rPr>
              <w:fldChar w:fldCharType="separate"/>
            </w:r>
            <w:r w:rsidR="00512D7D">
              <w:rPr>
                <w:noProof/>
                <w:webHidden/>
              </w:rPr>
              <w:t>17</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11" w:history="1">
            <w:r w:rsidR="00512D7D" w:rsidRPr="00896F87">
              <w:rPr>
                <w:rStyle w:val="Hyperlink"/>
                <w:noProof/>
              </w:rPr>
              <w:t>4.4.</w:t>
            </w:r>
            <w:r w:rsidR="00512D7D">
              <w:rPr>
                <w:rFonts w:asciiTheme="minorHAnsi" w:eastAsiaTheme="minorEastAsia" w:hAnsiTheme="minorHAnsi" w:cstheme="minorBidi"/>
                <w:noProof/>
                <w:lang w:eastAsia="en-AU"/>
              </w:rPr>
              <w:tab/>
            </w:r>
            <w:r w:rsidR="00512D7D" w:rsidRPr="00896F87">
              <w:rPr>
                <w:rStyle w:val="Hyperlink"/>
                <w:noProof/>
              </w:rPr>
              <w:t>Summary of pharmacokinetics for sofosbuvir/ledipasvir</w:t>
            </w:r>
            <w:r w:rsidR="00512D7D">
              <w:rPr>
                <w:noProof/>
                <w:webHidden/>
              </w:rPr>
              <w:tab/>
            </w:r>
            <w:r w:rsidR="00512D7D">
              <w:rPr>
                <w:noProof/>
                <w:webHidden/>
              </w:rPr>
              <w:fldChar w:fldCharType="begin"/>
            </w:r>
            <w:r w:rsidR="00512D7D">
              <w:rPr>
                <w:noProof/>
                <w:webHidden/>
              </w:rPr>
              <w:instrText xml:space="preserve"> PAGEREF _Toc432073911 \h </w:instrText>
            </w:r>
            <w:r w:rsidR="00512D7D">
              <w:rPr>
                <w:noProof/>
                <w:webHidden/>
              </w:rPr>
            </w:r>
            <w:r w:rsidR="00512D7D">
              <w:rPr>
                <w:noProof/>
                <w:webHidden/>
              </w:rPr>
              <w:fldChar w:fldCharType="separate"/>
            </w:r>
            <w:r w:rsidR="00512D7D">
              <w:rPr>
                <w:noProof/>
                <w:webHidden/>
              </w:rPr>
              <w:t>22</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12" w:history="1">
            <w:r w:rsidR="00512D7D" w:rsidRPr="00896F87">
              <w:rPr>
                <w:rStyle w:val="Hyperlink"/>
                <w:noProof/>
              </w:rPr>
              <w:t>4.5.</w:t>
            </w:r>
            <w:r w:rsidR="00512D7D">
              <w:rPr>
                <w:rFonts w:asciiTheme="minorHAnsi" w:eastAsiaTheme="minorEastAsia" w:hAnsiTheme="minorHAnsi" w:cstheme="minorBidi"/>
                <w:noProof/>
                <w:lang w:eastAsia="en-AU"/>
              </w:rPr>
              <w:tab/>
            </w:r>
            <w:r w:rsidR="00512D7D" w:rsidRPr="00896F87">
              <w:rPr>
                <w:rStyle w:val="Hyperlink"/>
                <w:noProof/>
              </w:rPr>
              <w:t>Evaluator’s overall conclusions on pharmacokinetics</w:t>
            </w:r>
            <w:r w:rsidR="00512D7D">
              <w:rPr>
                <w:noProof/>
                <w:webHidden/>
              </w:rPr>
              <w:tab/>
            </w:r>
            <w:r w:rsidR="00512D7D">
              <w:rPr>
                <w:noProof/>
                <w:webHidden/>
              </w:rPr>
              <w:fldChar w:fldCharType="begin"/>
            </w:r>
            <w:r w:rsidR="00512D7D">
              <w:rPr>
                <w:noProof/>
                <w:webHidden/>
              </w:rPr>
              <w:instrText xml:space="preserve"> PAGEREF _Toc432073912 \h </w:instrText>
            </w:r>
            <w:r w:rsidR="00512D7D">
              <w:rPr>
                <w:noProof/>
                <w:webHidden/>
              </w:rPr>
            </w:r>
            <w:r w:rsidR="00512D7D">
              <w:rPr>
                <w:noProof/>
                <w:webHidden/>
              </w:rPr>
              <w:fldChar w:fldCharType="separate"/>
            </w:r>
            <w:r w:rsidR="00512D7D">
              <w:rPr>
                <w:noProof/>
                <w:webHidden/>
              </w:rPr>
              <w:t>24</w:t>
            </w:r>
            <w:r w:rsidR="00512D7D">
              <w:rPr>
                <w:noProof/>
                <w:webHidden/>
              </w:rPr>
              <w:fldChar w:fldCharType="end"/>
            </w:r>
          </w:hyperlink>
        </w:p>
        <w:p w:rsidR="00512D7D" w:rsidRDefault="00886813">
          <w:pPr>
            <w:pStyle w:val="TOC2"/>
            <w:tabs>
              <w:tab w:val="left" w:pos="1100"/>
            </w:tabs>
            <w:rPr>
              <w:rFonts w:asciiTheme="minorHAnsi" w:eastAsiaTheme="minorEastAsia" w:hAnsiTheme="minorHAnsi" w:cstheme="minorBidi"/>
              <w:b w:val="0"/>
              <w:noProof/>
              <w:sz w:val="22"/>
              <w:lang w:eastAsia="en-AU"/>
            </w:rPr>
          </w:pPr>
          <w:hyperlink w:anchor="_Toc432073913" w:history="1">
            <w:r w:rsidR="00512D7D" w:rsidRPr="00896F87">
              <w:rPr>
                <w:rStyle w:val="Hyperlink"/>
                <w:noProof/>
              </w:rPr>
              <w:t>5.</w:t>
            </w:r>
            <w:r w:rsidR="00512D7D">
              <w:rPr>
                <w:rFonts w:asciiTheme="minorHAnsi" w:eastAsiaTheme="minorEastAsia" w:hAnsiTheme="minorHAnsi" w:cstheme="minorBidi"/>
                <w:b w:val="0"/>
                <w:noProof/>
                <w:sz w:val="22"/>
                <w:lang w:eastAsia="en-AU"/>
              </w:rPr>
              <w:tab/>
            </w:r>
            <w:r w:rsidR="00512D7D" w:rsidRPr="00896F87">
              <w:rPr>
                <w:rStyle w:val="Hyperlink"/>
                <w:noProof/>
              </w:rPr>
              <w:t>Pharmacodynamics</w:t>
            </w:r>
            <w:r w:rsidR="00512D7D">
              <w:rPr>
                <w:noProof/>
                <w:webHidden/>
              </w:rPr>
              <w:tab/>
            </w:r>
            <w:r w:rsidR="00512D7D">
              <w:rPr>
                <w:noProof/>
                <w:webHidden/>
              </w:rPr>
              <w:fldChar w:fldCharType="begin"/>
            </w:r>
            <w:r w:rsidR="00512D7D">
              <w:rPr>
                <w:noProof/>
                <w:webHidden/>
              </w:rPr>
              <w:instrText xml:space="preserve"> PAGEREF _Toc432073913 \h </w:instrText>
            </w:r>
            <w:r w:rsidR="00512D7D">
              <w:rPr>
                <w:noProof/>
                <w:webHidden/>
              </w:rPr>
            </w:r>
            <w:r w:rsidR="00512D7D">
              <w:rPr>
                <w:noProof/>
                <w:webHidden/>
              </w:rPr>
              <w:fldChar w:fldCharType="separate"/>
            </w:r>
            <w:r w:rsidR="00512D7D">
              <w:rPr>
                <w:noProof/>
                <w:webHidden/>
              </w:rPr>
              <w:t>24</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14" w:history="1">
            <w:r w:rsidR="00512D7D" w:rsidRPr="00896F87">
              <w:rPr>
                <w:rStyle w:val="Hyperlink"/>
                <w:noProof/>
              </w:rPr>
              <w:t>5.1.</w:t>
            </w:r>
            <w:r w:rsidR="00512D7D">
              <w:rPr>
                <w:rFonts w:asciiTheme="minorHAnsi" w:eastAsiaTheme="minorEastAsia" w:hAnsiTheme="minorHAnsi" w:cstheme="minorBidi"/>
                <w:noProof/>
                <w:lang w:eastAsia="en-AU"/>
              </w:rPr>
              <w:tab/>
            </w:r>
            <w:r w:rsidR="00512D7D" w:rsidRPr="00896F87">
              <w:rPr>
                <w:rStyle w:val="Hyperlink"/>
                <w:noProof/>
              </w:rPr>
              <w:t>Studies providing pharmacodynamic data</w:t>
            </w:r>
            <w:r w:rsidR="00512D7D">
              <w:rPr>
                <w:noProof/>
                <w:webHidden/>
              </w:rPr>
              <w:tab/>
            </w:r>
            <w:r w:rsidR="00512D7D">
              <w:rPr>
                <w:noProof/>
                <w:webHidden/>
              </w:rPr>
              <w:fldChar w:fldCharType="begin"/>
            </w:r>
            <w:r w:rsidR="00512D7D">
              <w:rPr>
                <w:noProof/>
                <w:webHidden/>
              </w:rPr>
              <w:instrText xml:space="preserve"> PAGEREF _Toc432073914 \h </w:instrText>
            </w:r>
            <w:r w:rsidR="00512D7D">
              <w:rPr>
                <w:noProof/>
                <w:webHidden/>
              </w:rPr>
            </w:r>
            <w:r w:rsidR="00512D7D">
              <w:rPr>
                <w:noProof/>
                <w:webHidden/>
              </w:rPr>
              <w:fldChar w:fldCharType="separate"/>
            </w:r>
            <w:r w:rsidR="00512D7D">
              <w:rPr>
                <w:noProof/>
                <w:webHidden/>
              </w:rPr>
              <w:t>24</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15" w:history="1">
            <w:r w:rsidR="00512D7D" w:rsidRPr="00896F87">
              <w:rPr>
                <w:rStyle w:val="Hyperlink"/>
                <w:noProof/>
              </w:rPr>
              <w:t>5.2.</w:t>
            </w:r>
            <w:r w:rsidR="00512D7D">
              <w:rPr>
                <w:rFonts w:asciiTheme="minorHAnsi" w:eastAsiaTheme="minorEastAsia" w:hAnsiTheme="minorHAnsi" w:cstheme="minorBidi"/>
                <w:noProof/>
                <w:lang w:eastAsia="en-AU"/>
              </w:rPr>
              <w:tab/>
            </w:r>
            <w:r w:rsidR="00512D7D" w:rsidRPr="00896F87">
              <w:rPr>
                <w:rStyle w:val="Hyperlink"/>
                <w:noProof/>
              </w:rPr>
              <w:t>Summary of pharmacodynamics</w:t>
            </w:r>
            <w:r w:rsidR="00512D7D">
              <w:rPr>
                <w:noProof/>
                <w:webHidden/>
              </w:rPr>
              <w:tab/>
            </w:r>
            <w:r w:rsidR="00512D7D">
              <w:rPr>
                <w:noProof/>
                <w:webHidden/>
              </w:rPr>
              <w:fldChar w:fldCharType="begin"/>
            </w:r>
            <w:r w:rsidR="00512D7D">
              <w:rPr>
                <w:noProof/>
                <w:webHidden/>
              </w:rPr>
              <w:instrText xml:space="preserve"> PAGEREF _Toc432073915 \h </w:instrText>
            </w:r>
            <w:r w:rsidR="00512D7D">
              <w:rPr>
                <w:noProof/>
                <w:webHidden/>
              </w:rPr>
            </w:r>
            <w:r w:rsidR="00512D7D">
              <w:rPr>
                <w:noProof/>
                <w:webHidden/>
              </w:rPr>
              <w:fldChar w:fldCharType="separate"/>
            </w:r>
            <w:r w:rsidR="00512D7D">
              <w:rPr>
                <w:noProof/>
                <w:webHidden/>
              </w:rPr>
              <w:t>25</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16" w:history="1">
            <w:r w:rsidR="00512D7D" w:rsidRPr="00896F87">
              <w:rPr>
                <w:rStyle w:val="Hyperlink"/>
                <w:noProof/>
              </w:rPr>
              <w:t>5.3.</w:t>
            </w:r>
            <w:r w:rsidR="00512D7D">
              <w:rPr>
                <w:rFonts w:asciiTheme="minorHAnsi" w:eastAsiaTheme="minorEastAsia" w:hAnsiTheme="minorHAnsi" w:cstheme="minorBidi"/>
                <w:noProof/>
                <w:lang w:eastAsia="en-AU"/>
              </w:rPr>
              <w:tab/>
            </w:r>
            <w:r w:rsidR="00512D7D" w:rsidRPr="00896F87">
              <w:rPr>
                <w:rStyle w:val="Hyperlink"/>
                <w:noProof/>
              </w:rPr>
              <w:t>Evaluator’s overall conclusions on pharmacodynamics</w:t>
            </w:r>
            <w:r w:rsidR="00512D7D">
              <w:rPr>
                <w:noProof/>
                <w:webHidden/>
              </w:rPr>
              <w:tab/>
            </w:r>
            <w:r w:rsidR="00512D7D">
              <w:rPr>
                <w:noProof/>
                <w:webHidden/>
              </w:rPr>
              <w:fldChar w:fldCharType="begin"/>
            </w:r>
            <w:r w:rsidR="00512D7D">
              <w:rPr>
                <w:noProof/>
                <w:webHidden/>
              </w:rPr>
              <w:instrText xml:space="preserve"> PAGEREF _Toc432073916 \h </w:instrText>
            </w:r>
            <w:r w:rsidR="00512D7D">
              <w:rPr>
                <w:noProof/>
                <w:webHidden/>
              </w:rPr>
            </w:r>
            <w:r w:rsidR="00512D7D">
              <w:rPr>
                <w:noProof/>
                <w:webHidden/>
              </w:rPr>
              <w:fldChar w:fldCharType="separate"/>
            </w:r>
            <w:r w:rsidR="00512D7D">
              <w:rPr>
                <w:noProof/>
                <w:webHidden/>
              </w:rPr>
              <w:t>26</w:t>
            </w:r>
            <w:r w:rsidR="00512D7D">
              <w:rPr>
                <w:noProof/>
                <w:webHidden/>
              </w:rPr>
              <w:fldChar w:fldCharType="end"/>
            </w:r>
          </w:hyperlink>
        </w:p>
        <w:p w:rsidR="00512D7D" w:rsidRDefault="00886813">
          <w:pPr>
            <w:pStyle w:val="TOC2"/>
            <w:tabs>
              <w:tab w:val="left" w:pos="1100"/>
            </w:tabs>
            <w:rPr>
              <w:rFonts w:asciiTheme="minorHAnsi" w:eastAsiaTheme="minorEastAsia" w:hAnsiTheme="minorHAnsi" w:cstheme="minorBidi"/>
              <w:b w:val="0"/>
              <w:noProof/>
              <w:sz w:val="22"/>
              <w:lang w:eastAsia="en-AU"/>
            </w:rPr>
          </w:pPr>
          <w:hyperlink w:anchor="_Toc432073917" w:history="1">
            <w:r w:rsidR="00512D7D" w:rsidRPr="00896F87">
              <w:rPr>
                <w:rStyle w:val="Hyperlink"/>
                <w:noProof/>
              </w:rPr>
              <w:t>6.</w:t>
            </w:r>
            <w:r w:rsidR="00512D7D">
              <w:rPr>
                <w:rFonts w:asciiTheme="minorHAnsi" w:eastAsiaTheme="minorEastAsia" w:hAnsiTheme="minorHAnsi" w:cstheme="minorBidi"/>
                <w:b w:val="0"/>
                <w:noProof/>
                <w:sz w:val="22"/>
                <w:lang w:eastAsia="en-AU"/>
              </w:rPr>
              <w:tab/>
            </w:r>
            <w:r w:rsidR="00512D7D" w:rsidRPr="00896F87">
              <w:rPr>
                <w:rStyle w:val="Hyperlink"/>
                <w:noProof/>
              </w:rPr>
              <w:t>Dosage selection for the pivotal studies</w:t>
            </w:r>
            <w:r w:rsidR="00512D7D">
              <w:rPr>
                <w:noProof/>
                <w:webHidden/>
              </w:rPr>
              <w:tab/>
            </w:r>
            <w:r w:rsidR="00512D7D">
              <w:rPr>
                <w:noProof/>
                <w:webHidden/>
              </w:rPr>
              <w:fldChar w:fldCharType="begin"/>
            </w:r>
            <w:r w:rsidR="00512D7D">
              <w:rPr>
                <w:noProof/>
                <w:webHidden/>
              </w:rPr>
              <w:instrText xml:space="preserve"> PAGEREF _Toc432073917 \h </w:instrText>
            </w:r>
            <w:r w:rsidR="00512D7D">
              <w:rPr>
                <w:noProof/>
                <w:webHidden/>
              </w:rPr>
            </w:r>
            <w:r w:rsidR="00512D7D">
              <w:rPr>
                <w:noProof/>
                <w:webHidden/>
              </w:rPr>
              <w:fldChar w:fldCharType="separate"/>
            </w:r>
            <w:r w:rsidR="00512D7D">
              <w:rPr>
                <w:noProof/>
                <w:webHidden/>
              </w:rPr>
              <w:t>26</w:t>
            </w:r>
            <w:r w:rsidR="00512D7D">
              <w:rPr>
                <w:noProof/>
                <w:webHidden/>
              </w:rPr>
              <w:fldChar w:fldCharType="end"/>
            </w:r>
          </w:hyperlink>
        </w:p>
        <w:p w:rsidR="00512D7D" w:rsidRDefault="00886813">
          <w:pPr>
            <w:pStyle w:val="TOC2"/>
            <w:tabs>
              <w:tab w:val="left" w:pos="1100"/>
            </w:tabs>
            <w:rPr>
              <w:rFonts w:asciiTheme="minorHAnsi" w:eastAsiaTheme="minorEastAsia" w:hAnsiTheme="minorHAnsi" w:cstheme="minorBidi"/>
              <w:b w:val="0"/>
              <w:noProof/>
              <w:sz w:val="22"/>
              <w:lang w:eastAsia="en-AU"/>
            </w:rPr>
          </w:pPr>
          <w:hyperlink w:anchor="_Toc432073918" w:history="1">
            <w:r w:rsidR="00512D7D" w:rsidRPr="00896F87">
              <w:rPr>
                <w:rStyle w:val="Hyperlink"/>
                <w:noProof/>
              </w:rPr>
              <w:t>7.</w:t>
            </w:r>
            <w:r w:rsidR="00512D7D">
              <w:rPr>
                <w:rFonts w:asciiTheme="minorHAnsi" w:eastAsiaTheme="minorEastAsia" w:hAnsiTheme="minorHAnsi" w:cstheme="minorBidi"/>
                <w:b w:val="0"/>
                <w:noProof/>
                <w:sz w:val="22"/>
                <w:lang w:eastAsia="en-AU"/>
              </w:rPr>
              <w:tab/>
            </w:r>
            <w:r w:rsidR="00512D7D" w:rsidRPr="00896F87">
              <w:rPr>
                <w:rStyle w:val="Hyperlink"/>
                <w:noProof/>
              </w:rPr>
              <w:t>Clinical efficacy</w:t>
            </w:r>
            <w:r w:rsidR="00512D7D">
              <w:rPr>
                <w:noProof/>
                <w:webHidden/>
              </w:rPr>
              <w:tab/>
            </w:r>
            <w:r w:rsidR="00512D7D">
              <w:rPr>
                <w:noProof/>
                <w:webHidden/>
              </w:rPr>
              <w:fldChar w:fldCharType="begin"/>
            </w:r>
            <w:r w:rsidR="00512D7D">
              <w:rPr>
                <w:noProof/>
                <w:webHidden/>
              </w:rPr>
              <w:instrText xml:space="preserve"> PAGEREF _Toc432073918 \h </w:instrText>
            </w:r>
            <w:r w:rsidR="00512D7D">
              <w:rPr>
                <w:noProof/>
                <w:webHidden/>
              </w:rPr>
            </w:r>
            <w:r w:rsidR="00512D7D">
              <w:rPr>
                <w:noProof/>
                <w:webHidden/>
              </w:rPr>
              <w:fldChar w:fldCharType="separate"/>
            </w:r>
            <w:r w:rsidR="00512D7D">
              <w:rPr>
                <w:noProof/>
                <w:webHidden/>
              </w:rPr>
              <w:t>26</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19" w:history="1">
            <w:r w:rsidR="00512D7D" w:rsidRPr="00896F87">
              <w:rPr>
                <w:rStyle w:val="Hyperlink"/>
                <w:noProof/>
              </w:rPr>
              <w:t>7.1.</w:t>
            </w:r>
            <w:r w:rsidR="00512D7D">
              <w:rPr>
                <w:rFonts w:asciiTheme="minorHAnsi" w:eastAsiaTheme="minorEastAsia" w:hAnsiTheme="minorHAnsi" w:cstheme="minorBidi"/>
                <w:noProof/>
                <w:lang w:eastAsia="en-AU"/>
              </w:rPr>
              <w:tab/>
            </w:r>
            <w:r w:rsidR="00512D7D" w:rsidRPr="00896F87">
              <w:rPr>
                <w:rStyle w:val="Hyperlink"/>
                <w:noProof/>
              </w:rPr>
              <w:t>Chronic Hepatitis C Genotype 1</w:t>
            </w:r>
            <w:r w:rsidR="00512D7D">
              <w:rPr>
                <w:noProof/>
                <w:webHidden/>
              </w:rPr>
              <w:tab/>
            </w:r>
            <w:r w:rsidR="00512D7D">
              <w:rPr>
                <w:noProof/>
                <w:webHidden/>
              </w:rPr>
              <w:fldChar w:fldCharType="begin"/>
            </w:r>
            <w:r w:rsidR="00512D7D">
              <w:rPr>
                <w:noProof/>
                <w:webHidden/>
              </w:rPr>
              <w:instrText xml:space="preserve"> PAGEREF _Toc432073919 \h </w:instrText>
            </w:r>
            <w:r w:rsidR="00512D7D">
              <w:rPr>
                <w:noProof/>
                <w:webHidden/>
              </w:rPr>
            </w:r>
            <w:r w:rsidR="00512D7D">
              <w:rPr>
                <w:noProof/>
                <w:webHidden/>
              </w:rPr>
              <w:fldChar w:fldCharType="separate"/>
            </w:r>
            <w:r w:rsidR="00512D7D">
              <w:rPr>
                <w:noProof/>
                <w:webHidden/>
              </w:rPr>
              <w:t>26</w:t>
            </w:r>
            <w:r w:rsidR="00512D7D">
              <w:rPr>
                <w:noProof/>
                <w:webHidden/>
              </w:rPr>
              <w:fldChar w:fldCharType="end"/>
            </w:r>
          </w:hyperlink>
        </w:p>
        <w:p w:rsidR="00512D7D" w:rsidRDefault="00886813">
          <w:pPr>
            <w:pStyle w:val="TOC2"/>
            <w:tabs>
              <w:tab w:val="left" w:pos="1100"/>
            </w:tabs>
            <w:rPr>
              <w:rFonts w:asciiTheme="minorHAnsi" w:eastAsiaTheme="minorEastAsia" w:hAnsiTheme="minorHAnsi" w:cstheme="minorBidi"/>
              <w:b w:val="0"/>
              <w:noProof/>
              <w:sz w:val="22"/>
              <w:lang w:eastAsia="en-AU"/>
            </w:rPr>
          </w:pPr>
          <w:hyperlink w:anchor="_Toc432073920" w:history="1">
            <w:r w:rsidR="00512D7D" w:rsidRPr="00896F87">
              <w:rPr>
                <w:rStyle w:val="Hyperlink"/>
                <w:noProof/>
              </w:rPr>
              <w:t>8.</w:t>
            </w:r>
            <w:r w:rsidR="00512D7D">
              <w:rPr>
                <w:rFonts w:asciiTheme="minorHAnsi" w:eastAsiaTheme="minorEastAsia" w:hAnsiTheme="minorHAnsi" w:cstheme="minorBidi"/>
                <w:b w:val="0"/>
                <w:noProof/>
                <w:sz w:val="22"/>
                <w:lang w:eastAsia="en-AU"/>
              </w:rPr>
              <w:tab/>
            </w:r>
            <w:r w:rsidR="00512D7D" w:rsidRPr="00896F87">
              <w:rPr>
                <w:rStyle w:val="Hyperlink"/>
                <w:noProof/>
              </w:rPr>
              <w:t>Clinical safety</w:t>
            </w:r>
            <w:r w:rsidR="00512D7D">
              <w:rPr>
                <w:noProof/>
                <w:webHidden/>
              </w:rPr>
              <w:tab/>
            </w:r>
            <w:r w:rsidR="00512D7D">
              <w:rPr>
                <w:noProof/>
                <w:webHidden/>
              </w:rPr>
              <w:fldChar w:fldCharType="begin"/>
            </w:r>
            <w:r w:rsidR="00512D7D">
              <w:rPr>
                <w:noProof/>
                <w:webHidden/>
              </w:rPr>
              <w:instrText xml:space="preserve"> PAGEREF _Toc432073920 \h </w:instrText>
            </w:r>
            <w:r w:rsidR="00512D7D">
              <w:rPr>
                <w:noProof/>
                <w:webHidden/>
              </w:rPr>
            </w:r>
            <w:r w:rsidR="00512D7D">
              <w:rPr>
                <w:noProof/>
                <w:webHidden/>
              </w:rPr>
              <w:fldChar w:fldCharType="separate"/>
            </w:r>
            <w:r w:rsidR="00512D7D">
              <w:rPr>
                <w:noProof/>
                <w:webHidden/>
              </w:rPr>
              <w:t>39</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21" w:history="1">
            <w:r w:rsidR="00512D7D" w:rsidRPr="00896F87">
              <w:rPr>
                <w:rStyle w:val="Hyperlink"/>
                <w:noProof/>
              </w:rPr>
              <w:t>8.1.</w:t>
            </w:r>
            <w:r w:rsidR="00512D7D">
              <w:rPr>
                <w:rFonts w:asciiTheme="minorHAnsi" w:eastAsiaTheme="minorEastAsia" w:hAnsiTheme="minorHAnsi" w:cstheme="minorBidi"/>
                <w:noProof/>
                <w:lang w:eastAsia="en-AU"/>
              </w:rPr>
              <w:tab/>
            </w:r>
            <w:r w:rsidR="00512D7D" w:rsidRPr="00896F87">
              <w:rPr>
                <w:rStyle w:val="Hyperlink"/>
                <w:noProof/>
              </w:rPr>
              <w:t>Studies providing evaluable safety data</w:t>
            </w:r>
            <w:r w:rsidR="00512D7D">
              <w:rPr>
                <w:noProof/>
                <w:webHidden/>
              </w:rPr>
              <w:tab/>
            </w:r>
            <w:r w:rsidR="00512D7D">
              <w:rPr>
                <w:noProof/>
                <w:webHidden/>
              </w:rPr>
              <w:fldChar w:fldCharType="begin"/>
            </w:r>
            <w:r w:rsidR="00512D7D">
              <w:rPr>
                <w:noProof/>
                <w:webHidden/>
              </w:rPr>
              <w:instrText xml:space="preserve"> PAGEREF _Toc432073921 \h </w:instrText>
            </w:r>
            <w:r w:rsidR="00512D7D">
              <w:rPr>
                <w:noProof/>
                <w:webHidden/>
              </w:rPr>
            </w:r>
            <w:r w:rsidR="00512D7D">
              <w:rPr>
                <w:noProof/>
                <w:webHidden/>
              </w:rPr>
              <w:fldChar w:fldCharType="separate"/>
            </w:r>
            <w:r w:rsidR="00512D7D">
              <w:rPr>
                <w:noProof/>
                <w:webHidden/>
              </w:rPr>
              <w:t>39</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22" w:history="1">
            <w:r w:rsidR="00512D7D" w:rsidRPr="00896F87">
              <w:rPr>
                <w:rStyle w:val="Hyperlink"/>
                <w:noProof/>
              </w:rPr>
              <w:t>8.2.</w:t>
            </w:r>
            <w:r w:rsidR="00512D7D">
              <w:rPr>
                <w:rFonts w:asciiTheme="minorHAnsi" w:eastAsiaTheme="minorEastAsia" w:hAnsiTheme="minorHAnsi" w:cstheme="minorBidi"/>
                <w:noProof/>
                <w:lang w:eastAsia="en-AU"/>
              </w:rPr>
              <w:tab/>
            </w:r>
            <w:r w:rsidR="00512D7D" w:rsidRPr="00896F87">
              <w:rPr>
                <w:rStyle w:val="Hyperlink"/>
                <w:noProof/>
              </w:rPr>
              <w:t>Pivotal studies that assessed safety as a primary outcome</w:t>
            </w:r>
            <w:r w:rsidR="00512D7D">
              <w:rPr>
                <w:noProof/>
                <w:webHidden/>
              </w:rPr>
              <w:tab/>
            </w:r>
            <w:r w:rsidR="00512D7D">
              <w:rPr>
                <w:noProof/>
                <w:webHidden/>
              </w:rPr>
              <w:fldChar w:fldCharType="begin"/>
            </w:r>
            <w:r w:rsidR="00512D7D">
              <w:rPr>
                <w:noProof/>
                <w:webHidden/>
              </w:rPr>
              <w:instrText xml:space="preserve"> PAGEREF _Toc432073922 \h </w:instrText>
            </w:r>
            <w:r w:rsidR="00512D7D">
              <w:rPr>
                <w:noProof/>
                <w:webHidden/>
              </w:rPr>
            </w:r>
            <w:r w:rsidR="00512D7D">
              <w:rPr>
                <w:noProof/>
                <w:webHidden/>
              </w:rPr>
              <w:fldChar w:fldCharType="separate"/>
            </w:r>
            <w:r w:rsidR="00512D7D">
              <w:rPr>
                <w:noProof/>
                <w:webHidden/>
              </w:rPr>
              <w:t>39</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23" w:history="1">
            <w:r w:rsidR="00512D7D" w:rsidRPr="00896F87">
              <w:rPr>
                <w:rStyle w:val="Hyperlink"/>
                <w:noProof/>
              </w:rPr>
              <w:t>8.3.</w:t>
            </w:r>
            <w:r w:rsidR="00512D7D">
              <w:rPr>
                <w:rFonts w:asciiTheme="minorHAnsi" w:eastAsiaTheme="minorEastAsia" w:hAnsiTheme="minorHAnsi" w:cstheme="minorBidi"/>
                <w:noProof/>
                <w:lang w:eastAsia="en-AU"/>
              </w:rPr>
              <w:tab/>
            </w:r>
            <w:r w:rsidR="00512D7D" w:rsidRPr="00896F87">
              <w:rPr>
                <w:rStyle w:val="Hyperlink"/>
                <w:noProof/>
              </w:rPr>
              <w:t>Patient exposure</w:t>
            </w:r>
            <w:r w:rsidR="00512D7D">
              <w:rPr>
                <w:noProof/>
                <w:webHidden/>
              </w:rPr>
              <w:tab/>
            </w:r>
            <w:r w:rsidR="00512D7D">
              <w:rPr>
                <w:noProof/>
                <w:webHidden/>
              </w:rPr>
              <w:fldChar w:fldCharType="begin"/>
            </w:r>
            <w:r w:rsidR="00512D7D">
              <w:rPr>
                <w:noProof/>
                <w:webHidden/>
              </w:rPr>
              <w:instrText xml:space="preserve"> PAGEREF _Toc432073923 \h </w:instrText>
            </w:r>
            <w:r w:rsidR="00512D7D">
              <w:rPr>
                <w:noProof/>
                <w:webHidden/>
              </w:rPr>
            </w:r>
            <w:r w:rsidR="00512D7D">
              <w:rPr>
                <w:noProof/>
                <w:webHidden/>
              </w:rPr>
              <w:fldChar w:fldCharType="separate"/>
            </w:r>
            <w:r w:rsidR="00512D7D">
              <w:rPr>
                <w:noProof/>
                <w:webHidden/>
              </w:rPr>
              <w:t>40</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24" w:history="1">
            <w:r w:rsidR="00512D7D" w:rsidRPr="00896F87">
              <w:rPr>
                <w:rStyle w:val="Hyperlink"/>
                <w:noProof/>
              </w:rPr>
              <w:t>8.4.</w:t>
            </w:r>
            <w:r w:rsidR="00512D7D">
              <w:rPr>
                <w:rFonts w:asciiTheme="minorHAnsi" w:eastAsiaTheme="minorEastAsia" w:hAnsiTheme="minorHAnsi" w:cstheme="minorBidi"/>
                <w:noProof/>
                <w:lang w:eastAsia="en-AU"/>
              </w:rPr>
              <w:tab/>
            </w:r>
            <w:r w:rsidR="00512D7D" w:rsidRPr="00896F87">
              <w:rPr>
                <w:rStyle w:val="Hyperlink"/>
                <w:noProof/>
              </w:rPr>
              <w:t>Adverse events</w:t>
            </w:r>
            <w:r w:rsidR="00512D7D">
              <w:rPr>
                <w:noProof/>
                <w:webHidden/>
              </w:rPr>
              <w:tab/>
            </w:r>
            <w:r w:rsidR="00512D7D">
              <w:rPr>
                <w:noProof/>
                <w:webHidden/>
              </w:rPr>
              <w:fldChar w:fldCharType="begin"/>
            </w:r>
            <w:r w:rsidR="00512D7D">
              <w:rPr>
                <w:noProof/>
                <w:webHidden/>
              </w:rPr>
              <w:instrText xml:space="preserve"> PAGEREF _Toc432073924 \h </w:instrText>
            </w:r>
            <w:r w:rsidR="00512D7D">
              <w:rPr>
                <w:noProof/>
                <w:webHidden/>
              </w:rPr>
            </w:r>
            <w:r w:rsidR="00512D7D">
              <w:rPr>
                <w:noProof/>
                <w:webHidden/>
              </w:rPr>
              <w:fldChar w:fldCharType="separate"/>
            </w:r>
            <w:r w:rsidR="00512D7D">
              <w:rPr>
                <w:noProof/>
                <w:webHidden/>
              </w:rPr>
              <w:t>40</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25" w:history="1">
            <w:r w:rsidR="00512D7D" w:rsidRPr="00896F87">
              <w:rPr>
                <w:rStyle w:val="Hyperlink"/>
                <w:noProof/>
              </w:rPr>
              <w:t>8.5.</w:t>
            </w:r>
            <w:r w:rsidR="00512D7D">
              <w:rPr>
                <w:rFonts w:asciiTheme="minorHAnsi" w:eastAsiaTheme="minorEastAsia" w:hAnsiTheme="minorHAnsi" w:cstheme="minorBidi"/>
                <w:noProof/>
                <w:lang w:eastAsia="en-AU"/>
              </w:rPr>
              <w:tab/>
            </w:r>
            <w:r w:rsidR="00512D7D" w:rsidRPr="00896F87">
              <w:rPr>
                <w:rStyle w:val="Hyperlink"/>
                <w:noProof/>
              </w:rPr>
              <w:t>Laboratory tests</w:t>
            </w:r>
            <w:r w:rsidR="00512D7D">
              <w:rPr>
                <w:noProof/>
                <w:webHidden/>
              </w:rPr>
              <w:tab/>
            </w:r>
            <w:r w:rsidR="00512D7D">
              <w:rPr>
                <w:noProof/>
                <w:webHidden/>
              </w:rPr>
              <w:fldChar w:fldCharType="begin"/>
            </w:r>
            <w:r w:rsidR="00512D7D">
              <w:rPr>
                <w:noProof/>
                <w:webHidden/>
              </w:rPr>
              <w:instrText xml:space="preserve"> PAGEREF _Toc432073925 \h </w:instrText>
            </w:r>
            <w:r w:rsidR="00512D7D">
              <w:rPr>
                <w:noProof/>
                <w:webHidden/>
              </w:rPr>
            </w:r>
            <w:r w:rsidR="00512D7D">
              <w:rPr>
                <w:noProof/>
                <w:webHidden/>
              </w:rPr>
              <w:fldChar w:fldCharType="separate"/>
            </w:r>
            <w:r w:rsidR="00512D7D">
              <w:rPr>
                <w:noProof/>
                <w:webHidden/>
              </w:rPr>
              <w:t>43</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26" w:history="1">
            <w:r w:rsidR="00512D7D" w:rsidRPr="00896F87">
              <w:rPr>
                <w:rStyle w:val="Hyperlink"/>
                <w:noProof/>
              </w:rPr>
              <w:t>8.6.</w:t>
            </w:r>
            <w:r w:rsidR="00512D7D">
              <w:rPr>
                <w:rFonts w:asciiTheme="minorHAnsi" w:eastAsiaTheme="minorEastAsia" w:hAnsiTheme="minorHAnsi" w:cstheme="minorBidi"/>
                <w:noProof/>
                <w:lang w:eastAsia="en-AU"/>
              </w:rPr>
              <w:tab/>
            </w:r>
            <w:r w:rsidR="00512D7D" w:rsidRPr="00896F87">
              <w:rPr>
                <w:rStyle w:val="Hyperlink"/>
                <w:noProof/>
              </w:rPr>
              <w:t>Post-marketing experience</w:t>
            </w:r>
            <w:r w:rsidR="00512D7D">
              <w:rPr>
                <w:noProof/>
                <w:webHidden/>
              </w:rPr>
              <w:tab/>
            </w:r>
            <w:r w:rsidR="00512D7D">
              <w:rPr>
                <w:noProof/>
                <w:webHidden/>
              </w:rPr>
              <w:fldChar w:fldCharType="begin"/>
            </w:r>
            <w:r w:rsidR="00512D7D">
              <w:rPr>
                <w:noProof/>
                <w:webHidden/>
              </w:rPr>
              <w:instrText xml:space="preserve"> PAGEREF _Toc432073926 \h </w:instrText>
            </w:r>
            <w:r w:rsidR="00512D7D">
              <w:rPr>
                <w:noProof/>
                <w:webHidden/>
              </w:rPr>
            </w:r>
            <w:r w:rsidR="00512D7D">
              <w:rPr>
                <w:noProof/>
                <w:webHidden/>
              </w:rPr>
              <w:fldChar w:fldCharType="separate"/>
            </w:r>
            <w:r w:rsidR="00512D7D">
              <w:rPr>
                <w:noProof/>
                <w:webHidden/>
              </w:rPr>
              <w:t>45</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27" w:history="1">
            <w:r w:rsidR="00512D7D" w:rsidRPr="00896F87">
              <w:rPr>
                <w:rStyle w:val="Hyperlink"/>
                <w:noProof/>
              </w:rPr>
              <w:t>8.7.</w:t>
            </w:r>
            <w:r w:rsidR="00512D7D">
              <w:rPr>
                <w:rFonts w:asciiTheme="minorHAnsi" w:eastAsiaTheme="minorEastAsia" w:hAnsiTheme="minorHAnsi" w:cstheme="minorBidi"/>
                <w:noProof/>
                <w:lang w:eastAsia="en-AU"/>
              </w:rPr>
              <w:tab/>
            </w:r>
            <w:r w:rsidR="00512D7D" w:rsidRPr="00896F87">
              <w:rPr>
                <w:rStyle w:val="Hyperlink"/>
                <w:noProof/>
              </w:rPr>
              <w:t>Safety issues with the potential for major regulatory impact</w:t>
            </w:r>
            <w:r w:rsidR="00512D7D">
              <w:rPr>
                <w:noProof/>
                <w:webHidden/>
              </w:rPr>
              <w:tab/>
            </w:r>
            <w:r w:rsidR="00512D7D">
              <w:rPr>
                <w:noProof/>
                <w:webHidden/>
              </w:rPr>
              <w:fldChar w:fldCharType="begin"/>
            </w:r>
            <w:r w:rsidR="00512D7D">
              <w:rPr>
                <w:noProof/>
                <w:webHidden/>
              </w:rPr>
              <w:instrText xml:space="preserve"> PAGEREF _Toc432073927 \h </w:instrText>
            </w:r>
            <w:r w:rsidR="00512D7D">
              <w:rPr>
                <w:noProof/>
                <w:webHidden/>
              </w:rPr>
            </w:r>
            <w:r w:rsidR="00512D7D">
              <w:rPr>
                <w:noProof/>
                <w:webHidden/>
              </w:rPr>
              <w:fldChar w:fldCharType="separate"/>
            </w:r>
            <w:r w:rsidR="00512D7D">
              <w:rPr>
                <w:noProof/>
                <w:webHidden/>
              </w:rPr>
              <w:t>45</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28" w:history="1">
            <w:r w:rsidR="00512D7D" w:rsidRPr="00896F87">
              <w:rPr>
                <w:rStyle w:val="Hyperlink"/>
                <w:noProof/>
              </w:rPr>
              <w:t>8.8.</w:t>
            </w:r>
            <w:r w:rsidR="00512D7D">
              <w:rPr>
                <w:rFonts w:asciiTheme="minorHAnsi" w:eastAsiaTheme="minorEastAsia" w:hAnsiTheme="minorHAnsi" w:cstheme="minorBidi"/>
                <w:noProof/>
                <w:lang w:eastAsia="en-AU"/>
              </w:rPr>
              <w:tab/>
            </w:r>
            <w:r w:rsidR="00512D7D" w:rsidRPr="00896F87">
              <w:rPr>
                <w:rStyle w:val="Hyperlink"/>
                <w:noProof/>
              </w:rPr>
              <w:t>Other safety issues</w:t>
            </w:r>
            <w:r w:rsidR="00512D7D">
              <w:rPr>
                <w:noProof/>
                <w:webHidden/>
              </w:rPr>
              <w:tab/>
            </w:r>
            <w:r w:rsidR="00512D7D">
              <w:rPr>
                <w:noProof/>
                <w:webHidden/>
              </w:rPr>
              <w:fldChar w:fldCharType="begin"/>
            </w:r>
            <w:r w:rsidR="00512D7D">
              <w:rPr>
                <w:noProof/>
                <w:webHidden/>
              </w:rPr>
              <w:instrText xml:space="preserve"> PAGEREF _Toc432073928 \h </w:instrText>
            </w:r>
            <w:r w:rsidR="00512D7D">
              <w:rPr>
                <w:noProof/>
                <w:webHidden/>
              </w:rPr>
            </w:r>
            <w:r w:rsidR="00512D7D">
              <w:rPr>
                <w:noProof/>
                <w:webHidden/>
              </w:rPr>
              <w:fldChar w:fldCharType="separate"/>
            </w:r>
            <w:r w:rsidR="00512D7D">
              <w:rPr>
                <w:noProof/>
                <w:webHidden/>
              </w:rPr>
              <w:t>46</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29" w:history="1">
            <w:r w:rsidR="00512D7D" w:rsidRPr="00896F87">
              <w:rPr>
                <w:rStyle w:val="Hyperlink"/>
                <w:noProof/>
              </w:rPr>
              <w:t>8.9.</w:t>
            </w:r>
            <w:r w:rsidR="00512D7D">
              <w:rPr>
                <w:rFonts w:asciiTheme="minorHAnsi" w:eastAsiaTheme="minorEastAsia" w:hAnsiTheme="minorHAnsi" w:cstheme="minorBidi"/>
                <w:noProof/>
                <w:lang w:eastAsia="en-AU"/>
              </w:rPr>
              <w:tab/>
            </w:r>
            <w:r w:rsidR="00512D7D" w:rsidRPr="00896F87">
              <w:rPr>
                <w:rStyle w:val="Hyperlink"/>
                <w:noProof/>
              </w:rPr>
              <w:t>Evaluator’s overall conclusions on clinical safety</w:t>
            </w:r>
            <w:r w:rsidR="00512D7D">
              <w:rPr>
                <w:noProof/>
                <w:webHidden/>
              </w:rPr>
              <w:tab/>
            </w:r>
            <w:r w:rsidR="00512D7D">
              <w:rPr>
                <w:noProof/>
                <w:webHidden/>
              </w:rPr>
              <w:fldChar w:fldCharType="begin"/>
            </w:r>
            <w:r w:rsidR="00512D7D">
              <w:rPr>
                <w:noProof/>
                <w:webHidden/>
              </w:rPr>
              <w:instrText xml:space="preserve"> PAGEREF _Toc432073929 \h </w:instrText>
            </w:r>
            <w:r w:rsidR="00512D7D">
              <w:rPr>
                <w:noProof/>
                <w:webHidden/>
              </w:rPr>
            </w:r>
            <w:r w:rsidR="00512D7D">
              <w:rPr>
                <w:noProof/>
                <w:webHidden/>
              </w:rPr>
              <w:fldChar w:fldCharType="separate"/>
            </w:r>
            <w:r w:rsidR="00512D7D">
              <w:rPr>
                <w:noProof/>
                <w:webHidden/>
              </w:rPr>
              <w:t>46</w:t>
            </w:r>
            <w:r w:rsidR="00512D7D">
              <w:rPr>
                <w:noProof/>
                <w:webHidden/>
              </w:rPr>
              <w:fldChar w:fldCharType="end"/>
            </w:r>
          </w:hyperlink>
        </w:p>
        <w:p w:rsidR="00512D7D" w:rsidRDefault="00886813">
          <w:pPr>
            <w:pStyle w:val="TOC2"/>
            <w:tabs>
              <w:tab w:val="left" w:pos="1100"/>
            </w:tabs>
            <w:rPr>
              <w:rFonts w:asciiTheme="minorHAnsi" w:eastAsiaTheme="minorEastAsia" w:hAnsiTheme="minorHAnsi" w:cstheme="minorBidi"/>
              <w:b w:val="0"/>
              <w:noProof/>
              <w:sz w:val="22"/>
              <w:lang w:eastAsia="en-AU"/>
            </w:rPr>
          </w:pPr>
          <w:hyperlink w:anchor="_Toc432073930" w:history="1">
            <w:r w:rsidR="00512D7D" w:rsidRPr="00896F87">
              <w:rPr>
                <w:rStyle w:val="Hyperlink"/>
                <w:noProof/>
              </w:rPr>
              <w:t>9.</w:t>
            </w:r>
            <w:r w:rsidR="00512D7D">
              <w:rPr>
                <w:rFonts w:asciiTheme="minorHAnsi" w:eastAsiaTheme="minorEastAsia" w:hAnsiTheme="minorHAnsi" w:cstheme="minorBidi"/>
                <w:b w:val="0"/>
                <w:noProof/>
                <w:sz w:val="22"/>
                <w:lang w:eastAsia="en-AU"/>
              </w:rPr>
              <w:tab/>
            </w:r>
            <w:r w:rsidR="00512D7D" w:rsidRPr="00896F87">
              <w:rPr>
                <w:rStyle w:val="Hyperlink"/>
                <w:noProof/>
              </w:rPr>
              <w:t>First round benefit-risk assessment</w:t>
            </w:r>
            <w:r w:rsidR="00512D7D">
              <w:rPr>
                <w:noProof/>
                <w:webHidden/>
              </w:rPr>
              <w:tab/>
            </w:r>
            <w:r w:rsidR="00512D7D">
              <w:rPr>
                <w:noProof/>
                <w:webHidden/>
              </w:rPr>
              <w:fldChar w:fldCharType="begin"/>
            </w:r>
            <w:r w:rsidR="00512D7D">
              <w:rPr>
                <w:noProof/>
                <w:webHidden/>
              </w:rPr>
              <w:instrText xml:space="preserve"> PAGEREF _Toc432073930 \h </w:instrText>
            </w:r>
            <w:r w:rsidR="00512D7D">
              <w:rPr>
                <w:noProof/>
                <w:webHidden/>
              </w:rPr>
            </w:r>
            <w:r w:rsidR="00512D7D">
              <w:rPr>
                <w:noProof/>
                <w:webHidden/>
              </w:rPr>
              <w:fldChar w:fldCharType="separate"/>
            </w:r>
            <w:r w:rsidR="00512D7D">
              <w:rPr>
                <w:noProof/>
                <w:webHidden/>
              </w:rPr>
              <w:t>46</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31" w:history="1">
            <w:r w:rsidR="00512D7D" w:rsidRPr="00896F87">
              <w:rPr>
                <w:rStyle w:val="Hyperlink"/>
                <w:noProof/>
              </w:rPr>
              <w:t>9.1.</w:t>
            </w:r>
            <w:r w:rsidR="00512D7D">
              <w:rPr>
                <w:rFonts w:asciiTheme="minorHAnsi" w:eastAsiaTheme="minorEastAsia" w:hAnsiTheme="minorHAnsi" w:cstheme="minorBidi"/>
                <w:noProof/>
                <w:lang w:eastAsia="en-AU"/>
              </w:rPr>
              <w:tab/>
            </w:r>
            <w:r w:rsidR="00512D7D" w:rsidRPr="00896F87">
              <w:rPr>
                <w:rStyle w:val="Hyperlink"/>
                <w:noProof/>
              </w:rPr>
              <w:t>First round assessment of benefits</w:t>
            </w:r>
            <w:r w:rsidR="00512D7D">
              <w:rPr>
                <w:noProof/>
                <w:webHidden/>
              </w:rPr>
              <w:tab/>
            </w:r>
            <w:r w:rsidR="00512D7D">
              <w:rPr>
                <w:noProof/>
                <w:webHidden/>
              </w:rPr>
              <w:fldChar w:fldCharType="begin"/>
            </w:r>
            <w:r w:rsidR="00512D7D">
              <w:rPr>
                <w:noProof/>
                <w:webHidden/>
              </w:rPr>
              <w:instrText xml:space="preserve"> PAGEREF _Toc432073931 \h </w:instrText>
            </w:r>
            <w:r w:rsidR="00512D7D">
              <w:rPr>
                <w:noProof/>
                <w:webHidden/>
              </w:rPr>
            </w:r>
            <w:r w:rsidR="00512D7D">
              <w:rPr>
                <w:noProof/>
                <w:webHidden/>
              </w:rPr>
              <w:fldChar w:fldCharType="separate"/>
            </w:r>
            <w:r w:rsidR="00512D7D">
              <w:rPr>
                <w:noProof/>
                <w:webHidden/>
              </w:rPr>
              <w:t>46</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32" w:history="1">
            <w:r w:rsidR="00512D7D" w:rsidRPr="00896F87">
              <w:rPr>
                <w:rStyle w:val="Hyperlink"/>
                <w:noProof/>
              </w:rPr>
              <w:t>9.2.</w:t>
            </w:r>
            <w:r w:rsidR="00512D7D">
              <w:rPr>
                <w:rFonts w:asciiTheme="minorHAnsi" w:eastAsiaTheme="minorEastAsia" w:hAnsiTheme="minorHAnsi" w:cstheme="minorBidi"/>
                <w:noProof/>
                <w:lang w:eastAsia="en-AU"/>
              </w:rPr>
              <w:tab/>
            </w:r>
            <w:r w:rsidR="00512D7D" w:rsidRPr="00896F87">
              <w:rPr>
                <w:rStyle w:val="Hyperlink"/>
                <w:noProof/>
              </w:rPr>
              <w:t>First round assessment of risks</w:t>
            </w:r>
            <w:r w:rsidR="00512D7D">
              <w:rPr>
                <w:noProof/>
                <w:webHidden/>
              </w:rPr>
              <w:tab/>
            </w:r>
            <w:r w:rsidR="00512D7D">
              <w:rPr>
                <w:noProof/>
                <w:webHidden/>
              </w:rPr>
              <w:fldChar w:fldCharType="begin"/>
            </w:r>
            <w:r w:rsidR="00512D7D">
              <w:rPr>
                <w:noProof/>
                <w:webHidden/>
              </w:rPr>
              <w:instrText xml:space="preserve"> PAGEREF _Toc432073932 \h </w:instrText>
            </w:r>
            <w:r w:rsidR="00512D7D">
              <w:rPr>
                <w:noProof/>
                <w:webHidden/>
              </w:rPr>
            </w:r>
            <w:r w:rsidR="00512D7D">
              <w:rPr>
                <w:noProof/>
                <w:webHidden/>
              </w:rPr>
              <w:fldChar w:fldCharType="separate"/>
            </w:r>
            <w:r w:rsidR="00512D7D">
              <w:rPr>
                <w:noProof/>
                <w:webHidden/>
              </w:rPr>
              <w:t>48</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33" w:history="1">
            <w:r w:rsidR="00512D7D" w:rsidRPr="00896F87">
              <w:rPr>
                <w:rStyle w:val="Hyperlink"/>
                <w:noProof/>
              </w:rPr>
              <w:t>9.3.</w:t>
            </w:r>
            <w:r w:rsidR="00512D7D">
              <w:rPr>
                <w:rFonts w:asciiTheme="minorHAnsi" w:eastAsiaTheme="minorEastAsia" w:hAnsiTheme="minorHAnsi" w:cstheme="minorBidi"/>
                <w:noProof/>
                <w:lang w:eastAsia="en-AU"/>
              </w:rPr>
              <w:tab/>
            </w:r>
            <w:r w:rsidR="00512D7D" w:rsidRPr="00896F87">
              <w:rPr>
                <w:rStyle w:val="Hyperlink"/>
                <w:noProof/>
              </w:rPr>
              <w:t>First round assessment of benefit-risk balance</w:t>
            </w:r>
            <w:r w:rsidR="00512D7D">
              <w:rPr>
                <w:noProof/>
                <w:webHidden/>
              </w:rPr>
              <w:tab/>
            </w:r>
            <w:r w:rsidR="00512D7D">
              <w:rPr>
                <w:noProof/>
                <w:webHidden/>
              </w:rPr>
              <w:fldChar w:fldCharType="begin"/>
            </w:r>
            <w:r w:rsidR="00512D7D">
              <w:rPr>
                <w:noProof/>
                <w:webHidden/>
              </w:rPr>
              <w:instrText xml:space="preserve"> PAGEREF _Toc432073933 \h </w:instrText>
            </w:r>
            <w:r w:rsidR="00512D7D">
              <w:rPr>
                <w:noProof/>
                <w:webHidden/>
              </w:rPr>
            </w:r>
            <w:r w:rsidR="00512D7D">
              <w:rPr>
                <w:noProof/>
                <w:webHidden/>
              </w:rPr>
              <w:fldChar w:fldCharType="separate"/>
            </w:r>
            <w:r w:rsidR="00512D7D">
              <w:rPr>
                <w:noProof/>
                <w:webHidden/>
              </w:rPr>
              <w:t>48</w:t>
            </w:r>
            <w:r w:rsidR="00512D7D">
              <w:rPr>
                <w:noProof/>
                <w:webHidden/>
              </w:rPr>
              <w:fldChar w:fldCharType="end"/>
            </w:r>
          </w:hyperlink>
        </w:p>
        <w:p w:rsidR="00512D7D" w:rsidRDefault="00886813">
          <w:pPr>
            <w:pStyle w:val="TOC2"/>
            <w:tabs>
              <w:tab w:val="left" w:pos="1320"/>
            </w:tabs>
            <w:rPr>
              <w:rFonts w:asciiTheme="minorHAnsi" w:eastAsiaTheme="minorEastAsia" w:hAnsiTheme="minorHAnsi" w:cstheme="minorBidi"/>
              <w:b w:val="0"/>
              <w:noProof/>
              <w:sz w:val="22"/>
              <w:lang w:eastAsia="en-AU"/>
            </w:rPr>
          </w:pPr>
          <w:hyperlink w:anchor="_Toc432073934" w:history="1">
            <w:r w:rsidR="00512D7D" w:rsidRPr="00896F87">
              <w:rPr>
                <w:rStyle w:val="Hyperlink"/>
                <w:noProof/>
              </w:rPr>
              <w:t>10.</w:t>
            </w:r>
            <w:r w:rsidR="00512D7D">
              <w:rPr>
                <w:rFonts w:asciiTheme="minorHAnsi" w:eastAsiaTheme="minorEastAsia" w:hAnsiTheme="minorHAnsi" w:cstheme="minorBidi"/>
                <w:b w:val="0"/>
                <w:noProof/>
                <w:sz w:val="22"/>
                <w:lang w:eastAsia="en-AU"/>
              </w:rPr>
              <w:tab/>
            </w:r>
            <w:r w:rsidR="00512D7D" w:rsidRPr="00896F87">
              <w:rPr>
                <w:rStyle w:val="Hyperlink"/>
                <w:noProof/>
              </w:rPr>
              <w:t>First round recommendation regarding authorisation</w:t>
            </w:r>
            <w:r w:rsidR="00512D7D">
              <w:rPr>
                <w:noProof/>
                <w:webHidden/>
              </w:rPr>
              <w:tab/>
            </w:r>
            <w:r w:rsidR="00512D7D">
              <w:rPr>
                <w:noProof/>
                <w:webHidden/>
              </w:rPr>
              <w:fldChar w:fldCharType="begin"/>
            </w:r>
            <w:r w:rsidR="00512D7D">
              <w:rPr>
                <w:noProof/>
                <w:webHidden/>
              </w:rPr>
              <w:instrText xml:space="preserve"> PAGEREF _Toc432073934 \h </w:instrText>
            </w:r>
            <w:r w:rsidR="00512D7D">
              <w:rPr>
                <w:noProof/>
                <w:webHidden/>
              </w:rPr>
            </w:r>
            <w:r w:rsidR="00512D7D">
              <w:rPr>
                <w:noProof/>
                <w:webHidden/>
              </w:rPr>
              <w:fldChar w:fldCharType="separate"/>
            </w:r>
            <w:r w:rsidR="00512D7D">
              <w:rPr>
                <w:noProof/>
                <w:webHidden/>
              </w:rPr>
              <w:t>49</w:t>
            </w:r>
            <w:r w:rsidR="00512D7D">
              <w:rPr>
                <w:noProof/>
                <w:webHidden/>
              </w:rPr>
              <w:fldChar w:fldCharType="end"/>
            </w:r>
          </w:hyperlink>
        </w:p>
        <w:p w:rsidR="00512D7D" w:rsidRDefault="00886813">
          <w:pPr>
            <w:pStyle w:val="TOC2"/>
            <w:tabs>
              <w:tab w:val="left" w:pos="1320"/>
            </w:tabs>
            <w:rPr>
              <w:rFonts w:asciiTheme="minorHAnsi" w:eastAsiaTheme="minorEastAsia" w:hAnsiTheme="minorHAnsi" w:cstheme="minorBidi"/>
              <w:b w:val="0"/>
              <w:noProof/>
              <w:sz w:val="22"/>
              <w:lang w:eastAsia="en-AU"/>
            </w:rPr>
          </w:pPr>
          <w:hyperlink w:anchor="_Toc432073935" w:history="1">
            <w:r w:rsidR="00512D7D" w:rsidRPr="00896F87">
              <w:rPr>
                <w:rStyle w:val="Hyperlink"/>
                <w:noProof/>
              </w:rPr>
              <w:t>11.</w:t>
            </w:r>
            <w:r w:rsidR="00512D7D">
              <w:rPr>
                <w:rFonts w:asciiTheme="minorHAnsi" w:eastAsiaTheme="minorEastAsia" w:hAnsiTheme="minorHAnsi" w:cstheme="minorBidi"/>
                <w:b w:val="0"/>
                <w:noProof/>
                <w:sz w:val="22"/>
                <w:lang w:eastAsia="en-AU"/>
              </w:rPr>
              <w:tab/>
            </w:r>
            <w:r w:rsidR="00512D7D" w:rsidRPr="00896F87">
              <w:rPr>
                <w:rStyle w:val="Hyperlink"/>
                <w:noProof/>
              </w:rPr>
              <w:t>Clinical questions</w:t>
            </w:r>
            <w:r w:rsidR="00512D7D">
              <w:rPr>
                <w:noProof/>
                <w:webHidden/>
              </w:rPr>
              <w:tab/>
            </w:r>
            <w:r w:rsidR="00512D7D">
              <w:rPr>
                <w:noProof/>
                <w:webHidden/>
              </w:rPr>
              <w:fldChar w:fldCharType="begin"/>
            </w:r>
            <w:r w:rsidR="00512D7D">
              <w:rPr>
                <w:noProof/>
                <w:webHidden/>
              </w:rPr>
              <w:instrText xml:space="preserve"> PAGEREF _Toc432073935 \h </w:instrText>
            </w:r>
            <w:r w:rsidR="00512D7D">
              <w:rPr>
                <w:noProof/>
                <w:webHidden/>
              </w:rPr>
            </w:r>
            <w:r w:rsidR="00512D7D">
              <w:rPr>
                <w:noProof/>
                <w:webHidden/>
              </w:rPr>
              <w:fldChar w:fldCharType="separate"/>
            </w:r>
            <w:r w:rsidR="00512D7D">
              <w:rPr>
                <w:noProof/>
                <w:webHidden/>
              </w:rPr>
              <w:t>49</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36" w:history="1">
            <w:r w:rsidR="00512D7D" w:rsidRPr="00896F87">
              <w:rPr>
                <w:rStyle w:val="Hyperlink"/>
                <w:noProof/>
              </w:rPr>
              <w:t>11.1.</w:t>
            </w:r>
            <w:r w:rsidR="00512D7D">
              <w:rPr>
                <w:rFonts w:asciiTheme="minorHAnsi" w:eastAsiaTheme="minorEastAsia" w:hAnsiTheme="minorHAnsi" w:cstheme="minorBidi"/>
                <w:noProof/>
                <w:lang w:eastAsia="en-AU"/>
              </w:rPr>
              <w:tab/>
            </w:r>
            <w:r w:rsidR="00512D7D" w:rsidRPr="00896F87">
              <w:rPr>
                <w:rStyle w:val="Hyperlink"/>
                <w:noProof/>
              </w:rPr>
              <w:t>Pharmacokinetics</w:t>
            </w:r>
            <w:r w:rsidR="00512D7D">
              <w:rPr>
                <w:noProof/>
                <w:webHidden/>
              </w:rPr>
              <w:tab/>
            </w:r>
            <w:r w:rsidR="00512D7D">
              <w:rPr>
                <w:noProof/>
                <w:webHidden/>
              </w:rPr>
              <w:fldChar w:fldCharType="begin"/>
            </w:r>
            <w:r w:rsidR="00512D7D">
              <w:rPr>
                <w:noProof/>
                <w:webHidden/>
              </w:rPr>
              <w:instrText xml:space="preserve"> PAGEREF _Toc432073936 \h </w:instrText>
            </w:r>
            <w:r w:rsidR="00512D7D">
              <w:rPr>
                <w:noProof/>
                <w:webHidden/>
              </w:rPr>
            </w:r>
            <w:r w:rsidR="00512D7D">
              <w:rPr>
                <w:noProof/>
                <w:webHidden/>
              </w:rPr>
              <w:fldChar w:fldCharType="separate"/>
            </w:r>
            <w:r w:rsidR="00512D7D">
              <w:rPr>
                <w:noProof/>
                <w:webHidden/>
              </w:rPr>
              <w:t>49</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37" w:history="1">
            <w:r w:rsidR="00512D7D" w:rsidRPr="00896F87">
              <w:rPr>
                <w:rStyle w:val="Hyperlink"/>
                <w:noProof/>
              </w:rPr>
              <w:t>11.2.</w:t>
            </w:r>
            <w:r w:rsidR="00512D7D">
              <w:rPr>
                <w:rFonts w:asciiTheme="minorHAnsi" w:eastAsiaTheme="minorEastAsia" w:hAnsiTheme="minorHAnsi" w:cstheme="minorBidi"/>
                <w:noProof/>
                <w:lang w:eastAsia="en-AU"/>
              </w:rPr>
              <w:tab/>
            </w:r>
            <w:r w:rsidR="00512D7D" w:rsidRPr="00896F87">
              <w:rPr>
                <w:rStyle w:val="Hyperlink"/>
                <w:noProof/>
              </w:rPr>
              <w:t>Pharmacodynamics</w:t>
            </w:r>
            <w:r w:rsidR="00512D7D">
              <w:rPr>
                <w:noProof/>
                <w:webHidden/>
              </w:rPr>
              <w:tab/>
            </w:r>
            <w:r w:rsidR="00512D7D">
              <w:rPr>
                <w:noProof/>
                <w:webHidden/>
              </w:rPr>
              <w:fldChar w:fldCharType="begin"/>
            </w:r>
            <w:r w:rsidR="00512D7D">
              <w:rPr>
                <w:noProof/>
                <w:webHidden/>
              </w:rPr>
              <w:instrText xml:space="preserve"> PAGEREF _Toc432073937 \h </w:instrText>
            </w:r>
            <w:r w:rsidR="00512D7D">
              <w:rPr>
                <w:noProof/>
                <w:webHidden/>
              </w:rPr>
            </w:r>
            <w:r w:rsidR="00512D7D">
              <w:rPr>
                <w:noProof/>
                <w:webHidden/>
              </w:rPr>
              <w:fldChar w:fldCharType="separate"/>
            </w:r>
            <w:r w:rsidR="00512D7D">
              <w:rPr>
                <w:noProof/>
                <w:webHidden/>
              </w:rPr>
              <w:t>49</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38" w:history="1">
            <w:r w:rsidR="00512D7D" w:rsidRPr="00896F87">
              <w:rPr>
                <w:rStyle w:val="Hyperlink"/>
                <w:noProof/>
              </w:rPr>
              <w:t>11.3.</w:t>
            </w:r>
            <w:r w:rsidR="00512D7D">
              <w:rPr>
                <w:rFonts w:asciiTheme="minorHAnsi" w:eastAsiaTheme="minorEastAsia" w:hAnsiTheme="minorHAnsi" w:cstheme="minorBidi"/>
                <w:noProof/>
                <w:lang w:eastAsia="en-AU"/>
              </w:rPr>
              <w:tab/>
            </w:r>
            <w:r w:rsidR="00512D7D" w:rsidRPr="00896F87">
              <w:rPr>
                <w:rStyle w:val="Hyperlink"/>
                <w:noProof/>
              </w:rPr>
              <w:t>Efficacy</w:t>
            </w:r>
            <w:r w:rsidR="00512D7D">
              <w:rPr>
                <w:noProof/>
                <w:webHidden/>
              </w:rPr>
              <w:tab/>
            </w:r>
            <w:r w:rsidR="00512D7D">
              <w:rPr>
                <w:noProof/>
                <w:webHidden/>
              </w:rPr>
              <w:fldChar w:fldCharType="begin"/>
            </w:r>
            <w:r w:rsidR="00512D7D">
              <w:rPr>
                <w:noProof/>
                <w:webHidden/>
              </w:rPr>
              <w:instrText xml:space="preserve"> PAGEREF _Toc432073938 \h </w:instrText>
            </w:r>
            <w:r w:rsidR="00512D7D">
              <w:rPr>
                <w:noProof/>
                <w:webHidden/>
              </w:rPr>
            </w:r>
            <w:r w:rsidR="00512D7D">
              <w:rPr>
                <w:noProof/>
                <w:webHidden/>
              </w:rPr>
              <w:fldChar w:fldCharType="separate"/>
            </w:r>
            <w:r w:rsidR="00512D7D">
              <w:rPr>
                <w:noProof/>
                <w:webHidden/>
              </w:rPr>
              <w:t>49</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39" w:history="1">
            <w:r w:rsidR="00512D7D" w:rsidRPr="00896F87">
              <w:rPr>
                <w:rStyle w:val="Hyperlink"/>
                <w:noProof/>
              </w:rPr>
              <w:t>11.4.</w:t>
            </w:r>
            <w:r w:rsidR="00512D7D">
              <w:rPr>
                <w:rFonts w:asciiTheme="minorHAnsi" w:eastAsiaTheme="minorEastAsia" w:hAnsiTheme="minorHAnsi" w:cstheme="minorBidi"/>
                <w:noProof/>
                <w:lang w:eastAsia="en-AU"/>
              </w:rPr>
              <w:tab/>
            </w:r>
            <w:r w:rsidR="00512D7D" w:rsidRPr="00896F87">
              <w:rPr>
                <w:rStyle w:val="Hyperlink"/>
                <w:noProof/>
              </w:rPr>
              <w:t>Safety</w:t>
            </w:r>
            <w:r w:rsidR="00512D7D">
              <w:rPr>
                <w:noProof/>
                <w:webHidden/>
              </w:rPr>
              <w:tab/>
            </w:r>
            <w:r w:rsidR="00512D7D">
              <w:rPr>
                <w:noProof/>
                <w:webHidden/>
              </w:rPr>
              <w:fldChar w:fldCharType="begin"/>
            </w:r>
            <w:r w:rsidR="00512D7D">
              <w:rPr>
                <w:noProof/>
                <w:webHidden/>
              </w:rPr>
              <w:instrText xml:space="preserve"> PAGEREF _Toc432073939 \h </w:instrText>
            </w:r>
            <w:r w:rsidR="00512D7D">
              <w:rPr>
                <w:noProof/>
                <w:webHidden/>
              </w:rPr>
            </w:r>
            <w:r w:rsidR="00512D7D">
              <w:rPr>
                <w:noProof/>
                <w:webHidden/>
              </w:rPr>
              <w:fldChar w:fldCharType="separate"/>
            </w:r>
            <w:r w:rsidR="00512D7D">
              <w:rPr>
                <w:noProof/>
                <w:webHidden/>
              </w:rPr>
              <w:t>49</w:t>
            </w:r>
            <w:r w:rsidR="00512D7D">
              <w:rPr>
                <w:noProof/>
                <w:webHidden/>
              </w:rPr>
              <w:fldChar w:fldCharType="end"/>
            </w:r>
          </w:hyperlink>
        </w:p>
        <w:p w:rsidR="00512D7D" w:rsidRDefault="00886813">
          <w:pPr>
            <w:pStyle w:val="TOC2"/>
            <w:tabs>
              <w:tab w:val="left" w:pos="1320"/>
            </w:tabs>
            <w:rPr>
              <w:rFonts w:asciiTheme="minorHAnsi" w:eastAsiaTheme="minorEastAsia" w:hAnsiTheme="minorHAnsi" w:cstheme="minorBidi"/>
              <w:b w:val="0"/>
              <w:noProof/>
              <w:sz w:val="22"/>
              <w:lang w:eastAsia="en-AU"/>
            </w:rPr>
          </w:pPr>
          <w:hyperlink w:anchor="_Toc432073940" w:history="1">
            <w:r w:rsidR="00512D7D" w:rsidRPr="00896F87">
              <w:rPr>
                <w:rStyle w:val="Hyperlink"/>
                <w:noProof/>
              </w:rPr>
              <w:t>12.</w:t>
            </w:r>
            <w:r w:rsidR="00512D7D">
              <w:rPr>
                <w:rFonts w:asciiTheme="minorHAnsi" w:eastAsiaTheme="minorEastAsia" w:hAnsiTheme="minorHAnsi" w:cstheme="minorBidi"/>
                <w:b w:val="0"/>
                <w:noProof/>
                <w:sz w:val="22"/>
                <w:lang w:eastAsia="en-AU"/>
              </w:rPr>
              <w:tab/>
            </w:r>
            <w:r w:rsidR="00512D7D" w:rsidRPr="00896F87">
              <w:rPr>
                <w:rStyle w:val="Hyperlink"/>
                <w:noProof/>
              </w:rPr>
              <w:t>Second round evaluation</w:t>
            </w:r>
            <w:r w:rsidR="00512D7D">
              <w:rPr>
                <w:noProof/>
                <w:webHidden/>
              </w:rPr>
              <w:tab/>
            </w:r>
            <w:r w:rsidR="00512D7D">
              <w:rPr>
                <w:noProof/>
                <w:webHidden/>
              </w:rPr>
              <w:fldChar w:fldCharType="begin"/>
            </w:r>
            <w:r w:rsidR="00512D7D">
              <w:rPr>
                <w:noProof/>
                <w:webHidden/>
              </w:rPr>
              <w:instrText xml:space="preserve"> PAGEREF _Toc432073940 \h </w:instrText>
            </w:r>
            <w:r w:rsidR="00512D7D">
              <w:rPr>
                <w:noProof/>
                <w:webHidden/>
              </w:rPr>
            </w:r>
            <w:r w:rsidR="00512D7D">
              <w:rPr>
                <w:noProof/>
                <w:webHidden/>
              </w:rPr>
              <w:fldChar w:fldCharType="separate"/>
            </w:r>
            <w:r w:rsidR="00512D7D">
              <w:rPr>
                <w:noProof/>
                <w:webHidden/>
              </w:rPr>
              <w:t>49</w:t>
            </w:r>
            <w:r w:rsidR="00512D7D">
              <w:rPr>
                <w:noProof/>
                <w:webHidden/>
              </w:rPr>
              <w:fldChar w:fldCharType="end"/>
            </w:r>
          </w:hyperlink>
        </w:p>
        <w:p w:rsidR="00512D7D" w:rsidRDefault="00886813">
          <w:pPr>
            <w:pStyle w:val="TOC2"/>
            <w:tabs>
              <w:tab w:val="left" w:pos="1320"/>
            </w:tabs>
            <w:rPr>
              <w:rFonts w:asciiTheme="minorHAnsi" w:eastAsiaTheme="minorEastAsia" w:hAnsiTheme="minorHAnsi" w:cstheme="minorBidi"/>
              <w:b w:val="0"/>
              <w:noProof/>
              <w:sz w:val="22"/>
              <w:lang w:eastAsia="en-AU"/>
            </w:rPr>
          </w:pPr>
          <w:hyperlink w:anchor="_Toc432073941" w:history="1">
            <w:r w:rsidR="00512D7D" w:rsidRPr="00896F87">
              <w:rPr>
                <w:rStyle w:val="Hyperlink"/>
                <w:noProof/>
              </w:rPr>
              <w:t>13.</w:t>
            </w:r>
            <w:r w:rsidR="00512D7D">
              <w:rPr>
                <w:rFonts w:asciiTheme="minorHAnsi" w:eastAsiaTheme="minorEastAsia" w:hAnsiTheme="minorHAnsi" w:cstheme="minorBidi"/>
                <w:b w:val="0"/>
                <w:noProof/>
                <w:sz w:val="22"/>
                <w:lang w:eastAsia="en-AU"/>
              </w:rPr>
              <w:tab/>
            </w:r>
            <w:r w:rsidR="00512D7D" w:rsidRPr="00896F87">
              <w:rPr>
                <w:rStyle w:val="Hyperlink"/>
                <w:noProof/>
              </w:rPr>
              <w:t>Second round benefit-risk assessment</w:t>
            </w:r>
            <w:r w:rsidR="00512D7D">
              <w:rPr>
                <w:noProof/>
                <w:webHidden/>
              </w:rPr>
              <w:tab/>
            </w:r>
            <w:r w:rsidR="00512D7D">
              <w:rPr>
                <w:noProof/>
                <w:webHidden/>
              </w:rPr>
              <w:fldChar w:fldCharType="begin"/>
            </w:r>
            <w:r w:rsidR="00512D7D">
              <w:rPr>
                <w:noProof/>
                <w:webHidden/>
              </w:rPr>
              <w:instrText xml:space="preserve"> PAGEREF _Toc432073941 \h </w:instrText>
            </w:r>
            <w:r w:rsidR="00512D7D">
              <w:rPr>
                <w:noProof/>
                <w:webHidden/>
              </w:rPr>
            </w:r>
            <w:r w:rsidR="00512D7D">
              <w:rPr>
                <w:noProof/>
                <w:webHidden/>
              </w:rPr>
              <w:fldChar w:fldCharType="separate"/>
            </w:r>
            <w:r w:rsidR="00512D7D">
              <w:rPr>
                <w:noProof/>
                <w:webHidden/>
              </w:rPr>
              <w:t>53</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42" w:history="1">
            <w:r w:rsidR="00512D7D" w:rsidRPr="00896F87">
              <w:rPr>
                <w:rStyle w:val="Hyperlink"/>
                <w:noProof/>
              </w:rPr>
              <w:t>13.1.</w:t>
            </w:r>
            <w:r w:rsidR="00512D7D">
              <w:rPr>
                <w:rFonts w:asciiTheme="minorHAnsi" w:eastAsiaTheme="minorEastAsia" w:hAnsiTheme="minorHAnsi" w:cstheme="minorBidi"/>
                <w:noProof/>
                <w:lang w:eastAsia="en-AU"/>
              </w:rPr>
              <w:tab/>
            </w:r>
            <w:r w:rsidR="00512D7D" w:rsidRPr="00896F87">
              <w:rPr>
                <w:rStyle w:val="Hyperlink"/>
                <w:noProof/>
              </w:rPr>
              <w:t>Second round assessment of benefits</w:t>
            </w:r>
            <w:r w:rsidR="00512D7D">
              <w:rPr>
                <w:noProof/>
                <w:webHidden/>
              </w:rPr>
              <w:tab/>
            </w:r>
            <w:r w:rsidR="00512D7D">
              <w:rPr>
                <w:noProof/>
                <w:webHidden/>
              </w:rPr>
              <w:fldChar w:fldCharType="begin"/>
            </w:r>
            <w:r w:rsidR="00512D7D">
              <w:rPr>
                <w:noProof/>
                <w:webHidden/>
              </w:rPr>
              <w:instrText xml:space="preserve"> PAGEREF _Toc432073942 \h </w:instrText>
            </w:r>
            <w:r w:rsidR="00512D7D">
              <w:rPr>
                <w:noProof/>
                <w:webHidden/>
              </w:rPr>
            </w:r>
            <w:r w:rsidR="00512D7D">
              <w:rPr>
                <w:noProof/>
                <w:webHidden/>
              </w:rPr>
              <w:fldChar w:fldCharType="separate"/>
            </w:r>
            <w:r w:rsidR="00512D7D">
              <w:rPr>
                <w:noProof/>
                <w:webHidden/>
              </w:rPr>
              <w:t>53</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43" w:history="1">
            <w:r w:rsidR="00512D7D" w:rsidRPr="00896F87">
              <w:rPr>
                <w:rStyle w:val="Hyperlink"/>
                <w:noProof/>
              </w:rPr>
              <w:t>13.2.</w:t>
            </w:r>
            <w:r w:rsidR="00512D7D">
              <w:rPr>
                <w:rFonts w:asciiTheme="minorHAnsi" w:eastAsiaTheme="minorEastAsia" w:hAnsiTheme="minorHAnsi" w:cstheme="minorBidi"/>
                <w:noProof/>
                <w:lang w:eastAsia="en-AU"/>
              </w:rPr>
              <w:tab/>
            </w:r>
            <w:r w:rsidR="00512D7D" w:rsidRPr="00896F87">
              <w:rPr>
                <w:rStyle w:val="Hyperlink"/>
                <w:noProof/>
              </w:rPr>
              <w:t>Second round assessment of risks</w:t>
            </w:r>
            <w:r w:rsidR="00512D7D">
              <w:rPr>
                <w:noProof/>
                <w:webHidden/>
              </w:rPr>
              <w:tab/>
            </w:r>
            <w:r w:rsidR="00512D7D">
              <w:rPr>
                <w:noProof/>
                <w:webHidden/>
              </w:rPr>
              <w:fldChar w:fldCharType="begin"/>
            </w:r>
            <w:r w:rsidR="00512D7D">
              <w:rPr>
                <w:noProof/>
                <w:webHidden/>
              </w:rPr>
              <w:instrText xml:space="preserve"> PAGEREF _Toc432073943 \h </w:instrText>
            </w:r>
            <w:r w:rsidR="00512D7D">
              <w:rPr>
                <w:noProof/>
                <w:webHidden/>
              </w:rPr>
            </w:r>
            <w:r w:rsidR="00512D7D">
              <w:rPr>
                <w:noProof/>
                <w:webHidden/>
              </w:rPr>
              <w:fldChar w:fldCharType="separate"/>
            </w:r>
            <w:r w:rsidR="00512D7D">
              <w:rPr>
                <w:noProof/>
                <w:webHidden/>
              </w:rPr>
              <w:t>53</w:t>
            </w:r>
            <w:r w:rsidR="00512D7D">
              <w:rPr>
                <w:noProof/>
                <w:webHidden/>
              </w:rPr>
              <w:fldChar w:fldCharType="end"/>
            </w:r>
          </w:hyperlink>
        </w:p>
        <w:p w:rsidR="00512D7D" w:rsidRDefault="00886813">
          <w:pPr>
            <w:pStyle w:val="TOC3"/>
            <w:tabs>
              <w:tab w:val="left" w:pos="1760"/>
            </w:tabs>
            <w:rPr>
              <w:rFonts w:asciiTheme="minorHAnsi" w:eastAsiaTheme="minorEastAsia" w:hAnsiTheme="minorHAnsi" w:cstheme="minorBidi"/>
              <w:noProof/>
              <w:lang w:eastAsia="en-AU"/>
            </w:rPr>
          </w:pPr>
          <w:hyperlink w:anchor="_Toc432073944" w:history="1">
            <w:r w:rsidR="00512D7D" w:rsidRPr="00896F87">
              <w:rPr>
                <w:rStyle w:val="Hyperlink"/>
                <w:noProof/>
              </w:rPr>
              <w:t>13.3.</w:t>
            </w:r>
            <w:r w:rsidR="00512D7D">
              <w:rPr>
                <w:rFonts w:asciiTheme="minorHAnsi" w:eastAsiaTheme="minorEastAsia" w:hAnsiTheme="minorHAnsi" w:cstheme="minorBidi"/>
                <w:noProof/>
                <w:lang w:eastAsia="en-AU"/>
              </w:rPr>
              <w:tab/>
            </w:r>
            <w:r w:rsidR="00512D7D" w:rsidRPr="00896F87">
              <w:rPr>
                <w:rStyle w:val="Hyperlink"/>
                <w:noProof/>
              </w:rPr>
              <w:t>Second round assessment of benefit-risk balance</w:t>
            </w:r>
            <w:r w:rsidR="00512D7D">
              <w:rPr>
                <w:noProof/>
                <w:webHidden/>
              </w:rPr>
              <w:tab/>
            </w:r>
            <w:r w:rsidR="00512D7D">
              <w:rPr>
                <w:noProof/>
                <w:webHidden/>
              </w:rPr>
              <w:fldChar w:fldCharType="begin"/>
            </w:r>
            <w:r w:rsidR="00512D7D">
              <w:rPr>
                <w:noProof/>
                <w:webHidden/>
              </w:rPr>
              <w:instrText xml:space="preserve"> PAGEREF _Toc432073944 \h </w:instrText>
            </w:r>
            <w:r w:rsidR="00512D7D">
              <w:rPr>
                <w:noProof/>
                <w:webHidden/>
              </w:rPr>
            </w:r>
            <w:r w:rsidR="00512D7D">
              <w:rPr>
                <w:noProof/>
                <w:webHidden/>
              </w:rPr>
              <w:fldChar w:fldCharType="separate"/>
            </w:r>
            <w:r w:rsidR="00512D7D">
              <w:rPr>
                <w:noProof/>
                <w:webHidden/>
              </w:rPr>
              <w:t>53</w:t>
            </w:r>
            <w:r w:rsidR="00512D7D">
              <w:rPr>
                <w:noProof/>
                <w:webHidden/>
              </w:rPr>
              <w:fldChar w:fldCharType="end"/>
            </w:r>
          </w:hyperlink>
        </w:p>
        <w:p w:rsidR="00512D7D" w:rsidRDefault="00886813">
          <w:pPr>
            <w:pStyle w:val="TOC2"/>
            <w:tabs>
              <w:tab w:val="left" w:pos="1320"/>
            </w:tabs>
            <w:rPr>
              <w:rFonts w:asciiTheme="minorHAnsi" w:eastAsiaTheme="minorEastAsia" w:hAnsiTheme="minorHAnsi" w:cstheme="minorBidi"/>
              <w:b w:val="0"/>
              <w:noProof/>
              <w:sz w:val="22"/>
              <w:lang w:eastAsia="en-AU"/>
            </w:rPr>
          </w:pPr>
          <w:hyperlink w:anchor="_Toc432073945" w:history="1">
            <w:r w:rsidR="00512D7D" w:rsidRPr="00896F87">
              <w:rPr>
                <w:rStyle w:val="Hyperlink"/>
                <w:noProof/>
              </w:rPr>
              <w:t>14.</w:t>
            </w:r>
            <w:r w:rsidR="00512D7D">
              <w:rPr>
                <w:rFonts w:asciiTheme="minorHAnsi" w:eastAsiaTheme="minorEastAsia" w:hAnsiTheme="minorHAnsi" w:cstheme="minorBidi"/>
                <w:b w:val="0"/>
                <w:noProof/>
                <w:sz w:val="22"/>
                <w:lang w:eastAsia="en-AU"/>
              </w:rPr>
              <w:tab/>
            </w:r>
            <w:r w:rsidR="00512D7D" w:rsidRPr="00896F87">
              <w:rPr>
                <w:rStyle w:val="Hyperlink"/>
                <w:noProof/>
              </w:rPr>
              <w:t>Second round recommendation regarding authorisation</w:t>
            </w:r>
            <w:r w:rsidR="00512D7D">
              <w:rPr>
                <w:noProof/>
                <w:webHidden/>
              </w:rPr>
              <w:tab/>
            </w:r>
            <w:r w:rsidR="00512D7D">
              <w:rPr>
                <w:noProof/>
                <w:webHidden/>
              </w:rPr>
              <w:fldChar w:fldCharType="begin"/>
            </w:r>
            <w:r w:rsidR="00512D7D">
              <w:rPr>
                <w:noProof/>
                <w:webHidden/>
              </w:rPr>
              <w:instrText xml:space="preserve"> PAGEREF _Toc432073945 \h </w:instrText>
            </w:r>
            <w:r w:rsidR="00512D7D">
              <w:rPr>
                <w:noProof/>
                <w:webHidden/>
              </w:rPr>
            </w:r>
            <w:r w:rsidR="00512D7D">
              <w:rPr>
                <w:noProof/>
                <w:webHidden/>
              </w:rPr>
              <w:fldChar w:fldCharType="separate"/>
            </w:r>
            <w:r w:rsidR="00512D7D">
              <w:rPr>
                <w:noProof/>
                <w:webHidden/>
              </w:rPr>
              <w:t>53</w:t>
            </w:r>
            <w:r w:rsidR="00512D7D">
              <w:rPr>
                <w:noProof/>
                <w:webHidden/>
              </w:rPr>
              <w:fldChar w:fldCharType="end"/>
            </w:r>
          </w:hyperlink>
        </w:p>
        <w:p w:rsidR="003A7F6C" w:rsidRPr="00B811C6" w:rsidRDefault="004F4AF5" w:rsidP="00B811C6">
          <w:pPr>
            <w:pStyle w:val="TOC2"/>
          </w:pPr>
          <w:r>
            <w:fldChar w:fldCharType="end"/>
          </w:r>
        </w:p>
      </w:sdtContent>
    </w:sdt>
    <w:bookmarkStart w:id="2" w:name="_Toc314842482" w:displacedByCustomXml="prev"/>
    <w:p w:rsidR="002C3DA0" w:rsidRDefault="002C3DA0">
      <w:pPr>
        <w:spacing w:before="0" w:after="200" w:line="0" w:lineRule="auto"/>
        <w:rPr>
          <w:rFonts w:ascii="Arial" w:eastAsia="Times New Roman" w:hAnsi="Arial"/>
          <w:b/>
          <w:bCs/>
          <w:sz w:val="32"/>
          <w:szCs w:val="26"/>
          <w:lang w:eastAsia="ja-JP"/>
        </w:rPr>
      </w:pPr>
      <w:bookmarkStart w:id="3" w:name="_Toc351716269"/>
      <w:bookmarkStart w:id="4" w:name="_Toc351718881"/>
      <w:bookmarkStart w:id="5" w:name="_Toc355338616"/>
      <w:r>
        <w:br w:type="page"/>
      </w:r>
    </w:p>
    <w:p w:rsidR="00586F98" w:rsidRDefault="002C3DA0" w:rsidP="00586F98">
      <w:pPr>
        <w:pStyle w:val="Heading2"/>
        <w:numPr>
          <w:ilvl w:val="0"/>
          <w:numId w:val="0"/>
        </w:numPr>
      </w:pPr>
      <w:bookmarkStart w:id="6" w:name="_Toc432073896"/>
      <w:r>
        <w:t>Common</w:t>
      </w:r>
      <w:r w:rsidR="00586F98">
        <w:t xml:space="preserve"> abbreviations</w:t>
      </w:r>
      <w:bookmarkEnd w:id="3"/>
      <w:bookmarkEnd w:id="4"/>
      <w:bookmarkEnd w:id="5"/>
      <w:bookmarkEnd w:id="6"/>
    </w:p>
    <w:tbl>
      <w:tblPr>
        <w:tblStyle w:val="TableTGAblue"/>
        <w:tblW w:w="0" w:type="auto"/>
        <w:tblLook w:val="04A0" w:firstRow="1" w:lastRow="0" w:firstColumn="1" w:lastColumn="0" w:noHBand="0" w:noVBand="1"/>
      </w:tblPr>
      <w:tblGrid>
        <w:gridCol w:w="2093"/>
        <w:gridCol w:w="6762"/>
      </w:tblGrid>
      <w:tr w:rsidR="00586F98" w:rsidTr="00F638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3" w:type="dxa"/>
          </w:tcPr>
          <w:p w:rsidR="00586F98" w:rsidRDefault="00586F98" w:rsidP="002C1A19">
            <w:r>
              <w:t>Abbreviation</w:t>
            </w:r>
          </w:p>
        </w:tc>
        <w:tc>
          <w:tcPr>
            <w:tcW w:w="6762" w:type="dxa"/>
          </w:tcPr>
          <w:p w:rsidR="00586F98" w:rsidRDefault="00586F98" w:rsidP="002C1A19">
            <w:pPr>
              <w:cnfStyle w:val="100000000000" w:firstRow="1" w:lastRow="0" w:firstColumn="0" w:lastColumn="0" w:oddVBand="0" w:evenVBand="0" w:oddHBand="0" w:evenHBand="0" w:firstRowFirstColumn="0" w:firstRowLastColumn="0" w:lastRowFirstColumn="0" w:lastRowLastColumn="0"/>
            </w:pPr>
            <w:r>
              <w:t>Meaning</w:t>
            </w:r>
          </w:p>
        </w:tc>
      </w:tr>
      <w:tr w:rsidR="00586F98" w:rsidTr="00F6381F">
        <w:tc>
          <w:tcPr>
            <w:cnfStyle w:val="001000000000" w:firstRow="0" w:lastRow="0" w:firstColumn="1" w:lastColumn="0" w:oddVBand="0" w:evenVBand="0" w:oddHBand="0" w:evenHBand="0" w:firstRowFirstColumn="0" w:firstRowLastColumn="0" w:lastRowFirstColumn="0" w:lastRowLastColumn="0"/>
            <w:tcW w:w="2093" w:type="dxa"/>
          </w:tcPr>
          <w:p w:rsidR="00586F98" w:rsidRPr="0019594A" w:rsidRDefault="002729EB" w:rsidP="002C1A19">
            <w:r w:rsidRPr="0019594A">
              <w:t>3TC</w:t>
            </w:r>
          </w:p>
        </w:tc>
        <w:tc>
          <w:tcPr>
            <w:tcW w:w="6762" w:type="dxa"/>
          </w:tcPr>
          <w:p w:rsidR="00586F98" w:rsidRPr="0019594A" w:rsidRDefault="002729EB" w:rsidP="002C1A19">
            <w:pPr>
              <w:cnfStyle w:val="000000000000" w:firstRow="0" w:lastRow="0" w:firstColumn="0" w:lastColumn="0" w:oddVBand="0" w:evenVBand="0" w:oddHBand="0" w:evenHBand="0" w:firstRowFirstColumn="0" w:firstRowLastColumn="0" w:lastRowFirstColumn="0" w:lastRowLastColumn="0"/>
            </w:pPr>
            <w:r w:rsidRPr="0019594A">
              <w:t>Lamivudine</w:t>
            </w:r>
          </w:p>
        </w:tc>
      </w:tr>
      <w:tr w:rsidR="00586F98" w:rsidTr="00F6381F">
        <w:tc>
          <w:tcPr>
            <w:cnfStyle w:val="001000000000" w:firstRow="0" w:lastRow="0" w:firstColumn="1" w:lastColumn="0" w:oddVBand="0" w:evenVBand="0" w:oddHBand="0" w:evenHBand="0" w:firstRowFirstColumn="0" w:firstRowLastColumn="0" w:lastRowFirstColumn="0" w:lastRowLastColumn="0"/>
            <w:tcW w:w="2093" w:type="dxa"/>
          </w:tcPr>
          <w:p w:rsidR="00586F98" w:rsidRPr="0019594A" w:rsidRDefault="002729EB" w:rsidP="002C1A19">
            <w:r w:rsidRPr="0019594A">
              <w:t>ABC</w:t>
            </w:r>
          </w:p>
        </w:tc>
        <w:tc>
          <w:tcPr>
            <w:tcW w:w="6762" w:type="dxa"/>
          </w:tcPr>
          <w:p w:rsidR="00396C92" w:rsidRPr="0019594A" w:rsidRDefault="002729EB" w:rsidP="002C1A19">
            <w:pPr>
              <w:cnfStyle w:val="000000000000" w:firstRow="0" w:lastRow="0" w:firstColumn="0" w:lastColumn="0" w:oddVBand="0" w:evenVBand="0" w:oddHBand="0" w:evenHBand="0" w:firstRowFirstColumn="0" w:firstRowLastColumn="0" w:lastRowFirstColumn="0" w:lastRowLastColumn="0"/>
            </w:pPr>
            <w:proofErr w:type="spellStart"/>
            <w:r w:rsidRPr="0019594A">
              <w:t>Abacavir</w:t>
            </w:r>
            <w:proofErr w:type="spellEnd"/>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2729EB" w:rsidP="002C1A19">
            <w:r w:rsidRPr="0019594A">
              <w:t>ADME</w:t>
            </w:r>
          </w:p>
        </w:tc>
        <w:tc>
          <w:tcPr>
            <w:tcW w:w="6762" w:type="dxa"/>
          </w:tcPr>
          <w:p w:rsidR="002729EB" w:rsidRPr="0019594A" w:rsidRDefault="002729EB" w:rsidP="002C1A19">
            <w:pPr>
              <w:cnfStyle w:val="000000000000" w:firstRow="0" w:lastRow="0" w:firstColumn="0" w:lastColumn="0" w:oddVBand="0" w:evenVBand="0" w:oddHBand="0" w:evenHBand="0" w:firstRowFirstColumn="0" w:firstRowLastColumn="0" w:lastRowFirstColumn="0" w:lastRowLastColumn="0"/>
            </w:pPr>
            <w:r w:rsidRPr="0019594A">
              <w:t>Absorption, distribution, metabolism, and elimination</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2729EB" w:rsidP="002C1A19">
            <w:r w:rsidRPr="0019594A">
              <w:t>AE</w:t>
            </w:r>
          </w:p>
        </w:tc>
        <w:tc>
          <w:tcPr>
            <w:tcW w:w="6762" w:type="dxa"/>
          </w:tcPr>
          <w:p w:rsidR="002729EB" w:rsidRPr="0019594A" w:rsidRDefault="002729EB" w:rsidP="002C1A19">
            <w:pPr>
              <w:cnfStyle w:val="000000000000" w:firstRow="0" w:lastRow="0" w:firstColumn="0" w:lastColumn="0" w:oddVBand="0" w:evenVBand="0" w:oddHBand="0" w:evenHBand="0" w:firstRowFirstColumn="0" w:firstRowLastColumn="0" w:lastRowFirstColumn="0" w:lastRowLastColumn="0"/>
            </w:pPr>
            <w:r w:rsidRPr="0019594A">
              <w:t>Adverse event</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2729EB" w:rsidP="002C1A19">
            <w:r w:rsidRPr="0019594A">
              <w:t>ALAG</w:t>
            </w:r>
          </w:p>
        </w:tc>
        <w:tc>
          <w:tcPr>
            <w:tcW w:w="6762" w:type="dxa"/>
          </w:tcPr>
          <w:p w:rsidR="002729EB" w:rsidRPr="0019594A" w:rsidRDefault="002729EB" w:rsidP="002C1A19">
            <w:pPr>
              <w:cnfStyle w:val="000000000000" w:firstRow="0" w:lastRow="0" w:firstColumn="0" w:lastColumn="0" w:oddVBand="0" w:evenVBand="0" w:oddHBand="0" w:evenHBand="0" w:firstRowFirstColumn="0" w:firstRowLastColumn="0" w:lastRowFirstColumn="0" w:lastRowLastColumn="0"/>
            </w:pPr>
            <w:r w:rsidRPr="0019594A">
              <w:t>Absorption time lag</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2729EB" w:rsidP="002C1A19">
            <w:r w:rsidRPr="0019594A">
              <w:t>ALT</w:t>
            </w:r>
          </w:p>
        </w:tc>
        <w:tc>
          <w:tcPr>
            <w:tcW w:w="6762" w:type="dxa"/>
          </w:tcPr>
          <w:p w:rsidR="002729EB" w:rsidRPr="0019594A" w:rsidRDefault="002729EB" w:rsidP="002C1A19">
            <w:pPr>
              <w:cnfStyle w:val="000000000000" w:firstRow="0" w:lastRow="0" w:firstColumn="0" w:lastColumn="0" w:oddVBand="0" w:evenVBand="0" w:oddHBand="0" w:evenHBand="0" w:firstRowFirstColumn="0" w:firstRowLastColumn="0" w:lastRowFirstColumn="0" w:lastRowLastColumn="0"/>
            </w:pPr>
            <w:r w:rsidRPr="0019594A">
              <w:t>Alanine aminotransferase</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F6381F" w:rsidP="002C1A19">
            <w:r>
              <w:t>ARV</w:t>
            </w:r>
          </w:p>
        </w:tc>
        <w:tc>
          <w:tcPr>
            <w:tcW w:w="6762" w:type="dxa"/>
          </w:tcPr>
          <w:p w:rsidR="002729EB" w:rsidRPr="0019594A" w:rsidRDefault="002729EB" w:rsidP="002C1A19">
            <w:pPr>
              <w:cnfStyle w:val="000000000000" w:firstRow="0" w:lastRow="0" w:firstColumn="0" w:lastColumn="0" w:oddVBand="0" w:evenVBand="0" w:oddHBand="0" w:evenHBand="0" w:firstRowFirstColumn="0" w:firstRowLastColumn="0" w:lastRowFirstColumn="0" w:lastRowLastColumn="0"/>
            </w:pPr>
            <w:r w:rsidRPr="0019594A">
              <w:t>Antiretroviral</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2729EB" w:rsidP="002C1A19">
            <w:r w:rsidRPr="0019594A">
              <w:t>AST</w:t>
            </w:r>
          </w:p>
        </w:tc>
        <w:tc>
          <w:tcPr>
            <w:tcW w:w="6762" w:type="dxa"/>
          </w:tcPr>
          <w:p w:rsidR="002729EB" w:rsidRPr="0019594A" w:rsidRDefault="002729EB" w:rsidP="002C1A19">
            <w:pPr>
              <w:cnfStyle w:val="000000000000" w:firstRow="0" w:lastRow="0" w:firstColumn="0" w:lastColumn="0" w:oddVBand="0" w:evenVBand="0" w:oddHBand="0" w:evenHBand="0" w:firstRowFirstColumn="0" w:firstRowLastColumn="0" w:lastRowFirstColumn="0" w:lastRowLastColumn="0"/>
            </w:pPr>
            <w:r w:rsidRPr="0019594A">
              <w:t>Aspartate aminotransferase</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2729EB" w:rsidP="002C1A19">
            <w:r w:rsidRPr="0019594A">
              <w:t>ATV</w:t>
            </w:r>
          </w:p>
        </w:tc>
        <w:tc>
          <w:tcPr>
            <w:tcW w:w="6762" w:type="dxa"/>
          </w:tcPr>
          <w:p w:rsidR="002729EB" w:rsidRPr="0019594A" w:rsidRDefault="002729EB" w:rsidP="002C1A19">
            <w:pPr>
              <w:cnfStyle w:val="000000000000" w:firstRow="0" w:lastRow="0" w:firstColumn="0" w:lastColumn="0" w:oddVBand="0" w:evenVBand="0" w:oddHBand="0" w:evenHBand="0" w:firstRowFirstColumn="0" w:firstRowLastColumn="0" w:lastRowFirstColumn="0" w:lastRowLastColumn="0"/>
            </w:pPr>
            <w:proofErr w:type="spellStart"/>
            <w:r w:rsidRPr="0019594A">
              <w:t>Atazanavir</w:t>
            </w:r>
            <w:proofErr w:type="spellEnd"/>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2729EB" w:rsidP="002C1A19">
            <w:r w:rsidRPr="0019594A">
              <w:t>ATV/r</w:t>
            </w:r>
          </w:p>
        </w:tc>
        <w:tc>
          <w:tcPr>
            <w:tcW w:w="6762" w:type="dxa"/>
          </w:tcPr>
          <w:p w:rsidR="002729EB" w:rsidRPr="0019594A" w:rsidRDefault="002729EB" w:rsidP="002C1A19">
            <w:pPr>
              <w:cnfStyle w:val="000000000000" w:firstRow="0" w:lastRow="0" w:firstColumn="0" w:lastColumn="0" w:oddVBand="0" w:evenVBand="0" w:oddHBand="0" w:evenHBand="0" w:firstRowFirstColumn="0" w:firstRowLastColumn="0" w:lastRowFirstColumn="0" w:lastRowLastColumn="0"/>
            </w:pPr>
            <w:proofErr w:type="spellStart"/>
            <w:r w:rsidRPr="0019594A">
              <w:t>Atazanavir</w:t>
            </w:r>
            <w:proofErr w:type="spellEnd"/>
            <w:r w:rsidRPr="0019594A">
              <w:t xml:space="preserve"> and ritonavir</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2729EB" w:rsidP="002C1A19">
            <w:r w:rsidRPr="0019594A">
              <w:t>AUC</w:t>
            </w:r>
          </w:p>
        </w:tc>
        <w:tc>
          <w:tcPr>
            <w:tcW w:w="6762" w:type="dxa"/>
          </w:tcPr>
          <w:p w:rsidR="002729EB" w:rsidRPr="0019594A" w:rsidRDefault="002729EB" w:rsidP="002C1A19">
            <w:pPr>
              <w:cnfStyle w:val="000000000000" w:firstRow="0" w:lastRow="0" w:firstColumn="0" w:lastColumn="0" w:oddVBand="0" w:evenVBand="0" w:oddHBand="0" w:evenHBand="0" w:firstRowFirstColumn="0" w:firstRowLastColumn="0" w:lastRowFirstColumn="0" w:lastRowLastColumn="0"/>
            </w:pPr>
            <w:r w:rsidRPr="0019594A">
              <w:t>Area under the plasma/serum/PBMC concentration versus time curve</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2729EB" w:rsidP="002C1A19">
            <w:proofErr w:type="spellStart"/>
            <w:r w:rsidRPr="0019594A">
              <w:t>AUCtau</w:t>
            </w:r>
            <w:proofErr w:type="spellEnd"/>
          </w:p>
        </w:tc>
        <w:tc>
          <w:tcPr>
            <w:tcW w:w="6762" w:type="dxa"/>
          </w:tcPr>
          <w:p w:rsidR="002729EB" w:rsidRPr="0019594A" w:rsidRDefault="002729EB" w:rsidP="002C1A19">
            <w:pPr>
              <w:cnfStyle w:val="000000000000" w:firstRow="0" w:lastRow="0" w:firstColumn="0" w:lastColumn="0" w:oddVBand="0" w:evenVBand="0" w:oddHBand="0" w:evenHBand="0" w:firstRowFirstColumn="0" w:firstRowLastColumn="0" w:lastRowFirstColumn="0" w:lastRowLastColumn="0"/>
            </w:pPr>
            <w:r w:rsidRPr="0019594A">
              <w:t>Area under the plasma/serum/PBMC concentration versus time curve over the dosing interval</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9D44A6" w:rsidP="002C1A19">
            <w:r w:rsidRPr="0019594A">
              <w:t>BA</w:t>
            </w:r>
          </w:p>
        </w:tc>
        <w:tc>
          <w:tcPr>
            <w:tcW w:w="6762" w:type="dxa"/>
          </w:tcPr>
          <w:p w:rsidR="002729EB"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Bioavailability</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9D44A6" w:rsidP="002C1A19">
            <w:r w:rsidRPr="0019594A">
              <w:t>BCRP</w:t>
            </w:r>
          </w:p>
        </w:tc>
        <w:tc>
          <w:tcPr>
            <w:tcW w:w="6762" w:type="dxa"/>
          </w:tcPr>
          <w:p w:rsidR="002729EB"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Breast cancer resistance protein</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9D44A6" w:rsidP="002C1A19">
            <w:r w:rsidRPr="0019594A">
              <w:t>BCS</w:t>
            </w:r>
          </w:p>
        </w:tc>
        <w:tc>
          <w:tcPr>
            <w:tcW w:w="6762" w:type="dxa"/>
          </w:tcPr>
          <w:p w:rsidR="002729EB" w:rsidRPr="0019594A" w:rsidRDefault="009D44A6" w:rsidP="002C1A19">
            <w:pPr>
              <w:cnfStyle w:val="000000000000" w:firstRow="0" w:lastRow="0" w:firstColumn="0" w:lastColumn="0" w:oddVBand="0" w:evenVBand="0" w:oddHBand="0" w:evenHBand="0" w:firstRowFirstColumn="0" w:firstRowLastColumn="0" w:lastRowFirstColumn="0" w:lastRowLastColumn="0"/>
            </w:pPr>
            <w:proofErr w:type="spellStart"/>
            <w:r w:rsidRPr="0019594A">
              <w:t>Biopharmaceutics</w:t>
            </w:r>
            <w:proofErr w:type="spellEnd"/>
            <w:r w:rsidRPr="0019594A">
              <w:t xml:space="preserve"> Classification System</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9D44A6" w:rsidP="002C1A19">
            <w:r w:rsidRPr="0019594A">
              <w:t>BID</w:t>
            </w:r>
          </w:p>
        </w:tc>
        <w:tc>
          <w:tcPr>
            <w:tcW w:w="6762" w:type="dxa"/>
          </w:tcPr>
          <w:p w:rsidR="002729EB"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Twice daily</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9D44A6" w:rsidP="002C1A19">
            <w:r w:rsidRPr="0019594A">
              <w:t>BMI</w:t>
            </w:r>
          </w:p>
        </w:tc>
        <w:tc>
          <w:tcPr>
            <w:tcW w:w="6762" w:type="dxa"/>
          </w:tcPr>
          <w:p w:rsidR="002729EB"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Body mass index</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9D44A6" w:rsidP="002C1A19">
            <w:r w:rsidRPr="0019594A">
              <w:t>BOC</w:t>
            </w:r>
          </w:p>
        </w:tc>
        <w:tc>
          <w:tcPr>
            <w:tcW w:w="6762" w:type="dxa"/>
          </w:tcPr>
          <w:p w:rsidR="002729EB" w:rsidRPr="0019594A" w:rsidRDefault="009D44A6" w:rsidP="002C1A19">
            <w:pPr>
              <w:cnfStyle w:val="000000000000" w:firstRow="0" w:lastRow="0" w:firstColumn="0" w:lastColumn="0" w:oddVBand="0" w:evenVBand="0" w:oddHBand="0" w:evenHBand="0" w:firstRowFirstColumn="0" w:firstRowLastColumn="0" w:lastRowFirstColumn="0" w:lastRowLastColumn="0"/>
            </w:pPr>
            <w:proofErr w:type="spellStart"/>
            <w:r w:rsidRPr="0019594A">
              <w:t>Boceprevir</w:t>
            </w:r>
            <w:proofErr w:type="spellEnd"/>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9D44A6" w:rsidP="002C1A19">
            <w:r w:rsidRPr="0019594A">
              <w:t>BSEP</w:t>
            </w:r>
          </w:p>
        </w:tc>
        <w:tc>
          <w:tcPr>
            <w:tcW w:w="6762" w:type="dxa"/>
          </w:tcPr>
          <w:p w:rsidR="002729EB"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Bile salt export pump</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9D44A6" w:rsidP="002C1A19">
            <w:proofErr w:type="spellStart"/>
            <w:r w:rsidRPr="0019594A">
              <w:t>CatA</w:t>
            </w:r>
            <w:proofErr w:type="spellEnd"/>
          </w:p>
        </w:tc>
        <w:tc>
          <w:tcPr>
            <w:tcW w:w="6762" w:type="dxa"/>
          </w:tcPr>
          <w:p w:rsidR="002729EB" w:rsidRPr="0019594A" w:rsidRDefault="009D44A6" w:rsidP="002C1A19">
            <w:pPr>
              <w:cnfStyle w:val="000000000000" w:firstRow="0" w:lastRow="0" w:firstColumn="0" w:lastColumn="0" w:oddVBand="0" w:evenVBand="0" w:oddHBand="0" w:evenHBand="0" w:firstRowFirstColumn="0" w:firstRowLastColumn="0" w:lastRowFirstColumn="0" w:lastRowLastColumn="0"/>
            </w:pPr>
            <w:proofErr w:type="spellStart"/>
            <w:r w:rsidRPr="0019594A">
              <w:t>Cathepsin</w:t>
            </w:r>
            <w:proofErr w:type="spellEnd"/>
            <w:r w:rsidRPr="0019594A">
              <w:t xml:space="preserve"> A</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9D44A6" w:rsidP="002C1A19">
            <w:r w:rsidRPr="0019594A">
              <w:t>CES1</w:t>
            </w:r>
          </w:p>
        </w:tc>
        <w:tc>
          <w:tcPr>
            <w:tcW w:w="6762" w:type="dxa"/>
          </w:tcPr>
          <w:p w:rsidR="002729EB"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Carboxyl esterase 1</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9D44A6" w:rsidP="002C1A19">
            <w:r w:rsidRPr="0019594A">
              <w:t>CHC</w:t>
            </w:r>
          </w:p>
        </w:tc>
        <w:tc>
          <w:tcPr>
            <w:tcW w:w="6762" w:type="dxa"/>
          </w:tcPr>
          <w:p w:rsidR="002729EB" w:rsidRPr="0019594A" w:rsidRDefault="00F6381F" w:rsidP="002C1A19">
            <w:pPr>
              <w:cnfStyle w:val="000000000000" w:firstRow="0" w:lastRow="0" w:firstColumn="0" w:lastColumn="0" w:oddVBand="0" w:evenVBand="0" w:oddHBand="0" w:evenHBand="0" w:firstRowFirstColumn="0" w:firstRowLastColumn="0" w:lastRowFirstColumn="0" w:lastRowLastColumn="0"/>
            </w:pPr>
            <w:r>
              <w:t>Chronic Hepatitis C</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9D44A6" w:rsidP="002C1A19">
            <w:r w:rsidRPr="0019594A">
              <w:t xml:space="preserve">CI </w:t>
            </w:r>
          </w:p>
        </w:tc>
        <w:tc>
          <w:tcPr>
            <w:tcW w:w="6762" w:type="dxa"/>
          </w:tcPr>
          <w:p w:rsidR="002729EB"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Confidence interval</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F6381F" w:rsidP="002C1A19">
            <w:r>
              <w:t>CLDQ-HCV</w:t>
            </w:r>
          </w:p>
        </w:tc>
        <w:tc>
          <w:tcPr>
            <w:tcW w:w="6762" w:type="dxa"/>
          </w:tcPr>
          <w:p w:rsidR="002729EB"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Chronic Liver Disease Questionnaire HCV Version</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F6381F" w:rsidP="002C1A19">
            <w:r>
              <w:t>CL/F</w:t>
            </w:r>
          </w:p>
        </w:tc>
        <w:tc>
          <w:tcPr>
            <w:tcW w:w="6762" w:type="dxa"/>
          </w:tcPr>
          <w:p w:rsidR="002729EB"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Apparent oral clearance</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9D44A6" w:rsidP="002C1A19">
            <w:proofErr w:type="spellStart"/>
            <w:r w:rsidRPr="0019594A">
              <w:t>Cmax</w:t>
            </w:r>
            <w:proofErr w:type="spellEnd"/>
          </w:p>
        </w:tc>
        <w:tc>
          <w:tcPr>
            <w:tcW w:w="6762" w:type="dxa"/>
          </w:tcPr>
          <w:p w:rsidR="002729EB"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Maximum observed plasma/serum/PBMC concentration of drug</w:t>
            </w:r>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9D44A6" w:rsidP="002C1A19">
            <w:r w:rsidRPr="0019594A">
              <w:t>CNS</w:t>
            </w:r>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Central nervous system</w:t>
            </w:r>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9D44A6" w:rsidP="002C1A19">
            <w:r w:rsidRPr="0019594A">
              <w:t>COBI</w:t>
            </w:r>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proofErr w:type="spellStart"/>
            <w:r w:rsidRPr="0019594A">
              <w:t>Cobicistat</w:t>
            </w:r>
            <w:proofErr w:type="spellEnd"/>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9D44A6" w:rsidP="002C1A19">
            <w:r w:rsidRPr="0019594A">
              <w:t>CPT</w:t>
            </w:r>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Child-Pugh-</w:t>
            </w:r>
            <w:proofErr w:type="spellStart"/>
            <w:r w:rsidRPr="0019594A">
              <w:t>Turcotte</w:t>
            </w:r>
            <w:proofErr w:type="spellEnd"/>
            <w:r w:rsidRPr="0019594A">
              <w:t xml:space="preserve"> classification</w:t>
            </w:r>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9D44A6" w:rsidP="002C1A19">
            <w:r w:rsidRPr="0019594A">
              <w:t>CRCL</w:t>
            </w:r>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proofErr w:type="spellStart"/>
            <w:r w:rsidRPr="0019594A">
              <w:t>Creatinine</w:t>
            </w:r>
            <w:proofErr w:type="spellEnd"/>
            <w:r w:rsidRPr="0019594A">
              <w:t xml:space="preserve"> clearance</w:t>
            </w:r>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F6381F" w:rsidP="002C1A19">
            <w:proofErr w:type="spellStart"/>
            <w:r>
              <w:t>CsA</w:t>
            </w:r>
            <w:proofErr w:type="spellEnd"/>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Cyclosporine (</w:t>
            </w:r>
            <w:proofErr w:type="spellStart"/>
            <w:r w:rsidRPr="0019594A">
              <w:t>cyclosporin</w:t>
            </w:r>
            <w:proofErr w:type="spellEnd"/>
            <w:r w:rsidRPr="0019594A">
              <w:t xml:space="preserve"> A; </w:t>
            </w:r>
            <w:proofErr w:type="spellStart"/>
            <w:r w:rsidRPr="0019594A">
              <w:t>ciclosporin</w:t>
            </w:r>
            <w:proofErr w:type="spellEnd"/>
            <w:r w:rsidRPr="0019594A">
              <w:t>)</w:t>
            </w:r>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F6381F" w:rsidP="002C1A19">
            <w:proofErr w:type="spellStart"/>
            <w:r>
              <w:t>Ctau</w:t>
            </w:r>
            <w:proofErr w:type="spellEnd"/>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Observed drug concentration at the end of the dosing interval</w:t>
            </w:r>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F6381F" w:rsidP="002C1A19">
            <w:r>
              <w:t>CWRES</w:t>
            </w:r>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Conditional weighted residual</w:t>
            </w:r>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F6381F" w:rsidP="002C1A19">
            <w:r>
              <w:t>CYP</w:t>
            </w:r>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Cytochrome P450 enzyme(s)</w:t>
            </w:r>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9D44A6" w:rsidP="002C1A19">
            <w:r w:rsidRPr="0019594A">
              <w:t>DAA</w:t>
            </w:r>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Direct-acting antiviral</w:t>
            </w:r>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F6381F" w:rsidP="002C1A19">
            <w:r>
              <w:t>DCV</w:t>
            </w:r>
          </w:p>
        </w:tc>
        <w:tc>
          <w:tcPr>
            <w:tcW w:w="6762" w:type="dxa"/>
          </w:tcPr>
          <w:p w:rsidR="009D44A6" w:rsidRPr="0019594A" w:rsidRDefault="0019594A" w:rsidP="002C1A19">
            <w:pPr>
              <w:cnfStyle w:val="000000000000" w:firstRow="0" w:lastRow="0" w:firstColumn="0" w:lastColumn="0" w:oddVBand="0" w:evenVBand="0" w:oddHBand="0" w:evenHBand="0" w:firstRowFirstColumn="0" w:firstRowLastColumn="0" w:lastRowFirstColumn="0" w:lastRowLastColumn="0"/>
            </w:pPr>
            <w:proofErr w:type="spellStart"/>
            <w:r>
              <w:t>Daclatasvir</w:t>
            </w:r>
            <w:proofErr w:type="spellEnd"/>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9D44A6" w:rsidP="002C1A19">
            <w:r w:rsidRPr="0019594A">
              <w:t>DDI</w:t>
            </w:r>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Drug-drug interaction</w:t>
            </w:r>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9D44A6" w:rsidP="002C1A19">
            <w:r w:rsidRPr="0019594A">
              <w:t xml:space="preserve">DNA </w:t>
            </w:r>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Deoxyribonucleic acid</w:t>
            </w:r>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F6381F" w:rsidP="002C1A19">
            <w:r>
              <w:t>DRV</w:t>
            </w:r>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proofErr w:type="spellStart"/>
            <w:r w:rsidRPr="0019594A">
              <w:t>Darunavir</w:t>
            </w:r>
            <w:proofErr w:type="spellEnd"/>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F6381F" w:rsidP="002C1A19">
            <w:r>
              <w:t>DV</w:t>
            </w:r>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Dependent variable</w:t>
            </w:r>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F6381F" w:rsidP="002C1A19">
            <w:r>
              <w:t>EC50/90</w:t>
            </w:r>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Half-maximal/90% effective concentration</w:t>
            </w:r>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F6381F" w:rsidP="002C1A19">
            <w:r>
              <w:t>ECG</w:t>
            </w:r>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Electrocardiogram</w:t>
            </w:r>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F6381F" w:rsidP="002C1A19">
            <w:r>
              <w:t>EFV</w:t>
            </w:r>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proofErr w:type="spellStart"/>
            <w:r w:rsidRPr="0019594A">
              <w:t>Efavirenz</w:t>
            </w:r>
            <w:proofErr w:type="spellEnd"/>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F6381F" w:rsidP="002C1A19">
            <w:proofErr w:type="spellStart"/>
            <w:r>
              <w:t>eGFR</w:t>
            </w:r>
            <w:proofErr w:type="spellEnd"/>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Estimated glomerular filtration rate</w:t>
            </w:r>
          </w:p>
        </w:tc>
      </w:tr>
      <w:tr w:rsidR="009D44A6" w:rsidTr="00F6381F">
        <w:tc>
          <w:tcPr>
            <w:cnfStyle w:val="001000000000" w:firstRow="0" w:lastRow="0" w:firstColumn="1" w:lastColumn="0" w:oddVBand="0" w:evenVBand="0" w:oddHBand="0" w:evenHBand="0" w:firstRowFirstColumn="0" w:firstRowLastColumn="0" w:lastRowFirstColumn="0" w:lastRowLastColumn="0"/>
            <w:tcW w:w="2093" w:type="dxa"/>
          </w:tcPr>
          <w:p w:rsidR="009D44A6" w:rsidRPr="0019594A" w:rsidRDefault="00F6381F" w:rsidP="002C1A19">
            <w:proofErr w:type="spellStart"/>
            <w:r>
              <w:t>Emax</w:t>
            </w:r>
            <w:proofErr w:type="spellEnd"/>
          </w:p>
        </w:tc>
        <w:tc>
          <w:tcPr>
            <w:tcW w:w="6762" w:type="dxa"/>
          </w:tcPr>
          <w:p w:rsidR="009D44A6"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Maximum effect</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9D44A6" w:rsidP="002C1A19">
            <w:r w:rsidRPr="0019594A">
              <w:t>ESRD</w:t>
            </w:r>
          </w:p>
        </w:tc>
        <w:tc>
          <w:tcPr>
            <w:tcW w:w="6762" w:type="dxa"/>
          </w:tcPr>
          <w:p w:rsidR="002729EB" w:rsidRPr="0019594A" w:rsidRDefault="009D44A6" w:rsidP="002C1A19">
            <w:pPr>
              <w:cnfStyle w:val="000000000000" w:firstRow="0" w:lastRow="0" w:firstColumn="0" w:lastColumn="0" w:oddVBand="0" w:evenVBand="0" w:oddHBand="0" w:evenHBand="0" w:firstRowFirstColumn="0" w:firstRowLastColumn="0" w:lastRowFirstColumn="0" w:lastRowLastColumn="0"/>
            </w:pPr>
            <w:r w:rsidRPr="0019594A">
              <w:t>End-stage renal disease</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F6381F" w:rsidP="002C1A19">
            <w:r>
              <w:t>ETR</w:t>
            </w:r>
          </w:p>
        </w:tc>
        <w:tc>
          <w:tcPr>
            <w:tcW w:w="6762" w:type="dxa"/>
          </w:tcPr>
          <w:p w:rsidR="002729EB"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End of Treatment response (undetectable plasma HCV-RNA at the end of therapy)</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F6381F" w:rsidP="002C1A19">
            <w:r>
              <w:t>EU</w:t>
            </w:r>
          </w:p>
        </w:tc>
        <w:tc>
          <w:tcPr>
            <w:tcW w:w="6762" w:type="dxa"/>
          </w:tcPr>
          <w:p w:rsidR="002729EB"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European Union</w:t>
            </w:r>
          </w:p>
        </w:tc>
      </w:tr>
      <w:tr w:rsidR="002729EB" w:rsidTr="00F6381F">
        <w:tc>
          <w:tcPr>
            <w:cnfStyle w:val="001000000000" w:firstRow="0" w:lastRow="0" w:firstColumn="1" w:lastColumn="0" w:oddVBand="0" w:evenVBand="0" w:oddHBand="0" w:evenHBand="0" w:firstRowFirstColumn="0" w:firstRowLastColumn="0" w:lastRowFirstColumn="0" w:lastRowLastColumn="0"/>
            <w:tcW w:w="2093" w:type="dxa"/>
          </w:tcPr>
          <w:p w:rsidR="002729EB" w:rsidRPr="0019594A" w:rsidRDefault="00F6381F" w:rsidP="002C1A19">
            <w:r>
              <w:t>EVG</w:t>
            </w:r>
          </w:p>
        </w:tc>
        <w:tc>
          <w:tcPr>
            <w:tcW w:w="6762" w:type="dxa"/>
          </w:tcPr>
          <w:p w:rsidR="002729EB"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Elvitegravir</w:t>
            </w:r>
            <w:proofErr w:type="spellEnd"/>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tcPr>
          <w:p w:rsidR="00DD2BC0" w:rsidRPr="0019594A" w:rsidRDefault="00F6381F" w:rsidP="002C1A19">
            <w:r>
              <w:t>FACIT-F</w:t>
            </w:r>
          </w:p>
        </w:tc>
        <w:tc>
          <w:tcPr>
            <w:tcW w:w="6762" w:type="dxa"/>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Functional Assessment of Chronic Illness Therapy – Fatigue</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FBC</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Full blood count</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FDA (US)</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Food and Drug Administration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FDC</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Fixed-dose combination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FMO</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Flavin</w:t>
            </w:r>
            <w:proofErr w:type="spellEnd"/>
            <w:r w:rsidRPr="0019594A">
              <w:t xml:space="preserve"> </w:t>
            </w:r>
            <w:proofErr w:type="spellStart"/>
            <w:r w:rsidRPr="0019594A">
              <w:t>monooxygenase</w:t>
            </w:r>
            <w:proofErr w:type="spellEnd"/>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FOCE</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First order conditional estimation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FTC</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Emtricitabine</w:t>
            </w:r>
            <w:proofErr w:type="spellEnd"/>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FU-X</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Follow-up visit “X” weeks after completion of all treatment</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GGT</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Gamma-</w:t>
            </w:r>
            <w:proofErr w:type="spellStart"/>
            <w:r w:rsidRPr="0019594A">
              <w:t>glutamyltransferase</w:t>
            </w:r>
            <w:proofErr w:type="spellEnd"/>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Gilead</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Gilead Sciences, Inc.</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GLSM</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Geometric least squares mean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GS-5885</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Ledipasvir</w:t>
            </w:r>
            <w:proofErr w:type="spellEnd"/>
            <w:r w:rsidRPr="0019594A">
              <w:t xml:space="preserve"> (LDV)</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GS-7977</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Sofosbuvir</w:t>
            </w:r>
            <w:proofErr w:type="spellEnd"/>
            <w:r w:rsidRPr="0019594A">
              <w:t xml:space="preserve"> (SOF)</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GS-9451</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Vedroprevir</w:t>
            </w:r>
            <w:proofErr w:type="spellEnd"/>
            <w:r w:rsidRPr="0019594A">
              <w:t xml:space="preserve"> (VDV)</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GT</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Genotype</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GT1-HCV</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Genotype 1 Hepatitis C Infection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H2RA</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H2-receptor antagonist</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HbA1c</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Hemoglobin</w:t>
            </w:r>
            <w:proofErr w:type="spellEnd"/>
            <w:r w:rsidRPr="0019594A">
              <w:t xml:space="preserve"> A1c</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HBV</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Hepatitis B virus</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HCC</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Hepatocellular carcinoma</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HCV</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Hepatitis C virus</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HINT1</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Histidine</w:t>
            </w:r>
            <w:proofErr w:type="spellEnd"/>
            <w:r w:rsidRPr="0019594A">
              <w:t xml:space="preserve"> triad nucleotide binding protein 1</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HIV</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HIV-1 human immunodeficiency virus, type 1</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HRV</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Human rhinovirus</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F6381F" w:rsidP="002C1A19">
            <w:r>
              <w:t>HTA</w:t>
            </w:r>
          </w:p>
        </w:tc>
        <w:tc>
          <w:tcPr>
            <w:tcW w:w="6762" w:type="dxa"/>
            <w:vAlign w:val="center"/>
          </w:tcPr>
          <w:p w:rsidR="00DD2BC0" w:rsidRPr="0019594A" w:rsidRDefault="00F6381F" w:rsidP="002C1A19">
            <w:pPr>
              <w:cnfStyle w:val="000000000000" w:firstRow="0" w:lastRow="0" w:firstColumn="0" w:lastColumn="0" w:oddVBand="0" w:evenVBand="0" w:oddHBand="0" w:evenHBand="0" w:firstRowFirstColumn="0" w:firstRowLastColumn="0" w:lastRowFirstColumn="0" w:lastRowLastColumn="0"/>
            </w:pPr>
            <w:r>
              <w:t>Host targeting antiviral</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IC50</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half-maximal inhibitory concentration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ICH</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International Conference on Harmonization (of Technical Requirements for Registration of Pharmaceuticals for Human Use)</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IFN</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Interferon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IL28</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Interleukin 28</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IL28B</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Interleukin 28B gene</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F6381F" w:rsidP="002C1A19">
            <w:r>
              <w:t>IND</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Investigational New Drug (Application)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IPRED</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Individual predicted concentration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IQ</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Interquartile</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IRES</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Internal ribosome entry site</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ISS</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Integrated summary of safety</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proofErr w:type="spellStart"/>
            <w:r w:rsidRPr="0019594A">
              <w:t>iVSR</w:t>
            </w:r>
            <w:proofErr w:type="spellEnd"/>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Integrated virology study report</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IWRES</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Individual weighted residual</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LC/MS/MS</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Liquid chromatography/tandem mass spectrometry</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LDV</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Ledipasvir</w:t>
            </w:r>
            <w:proofErr w:type="spellEnd"/>
            <w:r w:rsidRPr="0019594A">
              <w:t xml:space="preserve"> (GS-5885)</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proofErr w:type="spellStart"/>
            <w:r w:rsidRPr="0019594A">
              <w:t>LiPA</w:t>
            </w:r>
            <w:proofErr w:type="spellEnd"/>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Line probe assay</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LLOQ</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Lower limit of quantitation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LOD</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Limit of detection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MATE1</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Multidrug and toxin extrusion protein 1</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proofErr w:type="spellStart"/>
            <w:r w:rsidRPr="0019594A">
              <w:t>MedDRA</w:t>
            </w:r>
            <w:proofErr w:type="spellEnd"/>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Medical Dictionary for Regulatory Activities</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MELD</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 xml:space="preserve">Model for End Stage Liver Disease </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mRNA</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Messenger ribonucleic acid</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MRP2</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Multidrug resistance-associate protein 2</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NI</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Nucleoside inhibitor</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NNI</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Non-nucleoside inhibitor</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NOAEL</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No observed adverse effect level</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NOEL</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No observed effect level</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19594A" w:rsidP="002C1A19">
            <w:r>
              <w:t xml:space="preserve">NS </w:t>
            </w:r>
            <w:r w:rsidR="00DD2BC0" w:rsidRPr="0019594A">
              <w:t>(3/4A/5A/5B)</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Nonstructural</w:t>
            </w:r>
            <w:proofErr w:type="spellEnd"/>
            <w:r w:rsidRPr="0019594A">
              <w:t xml:space="preserve"> protein (3/4A/5A/5B)</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OATP</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Organic anion transporting polypeptide</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OC</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Ortho Tri-</w:t>
            </w:r>
            <w:proofErr w:type="spellStart"/>
            <w:r w:rsidRPr="0019594A">
              <w:t>Cyclen</w:t>
            </w:r>
            <w:proofErr w:type="spellEnd"/>
            <w:r w:rsidRPr="0019594A">
              <w:t xml:space="preserve"> Lo</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OCT</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 xml:space="preserve">Organic </w:t>
            </w:r>
            <w:proofErr w:type="spellStart"/>
            <w:r w:rsidRPr="0019594A">
              <w:t>cation</w:t>
            </w:r>
            <w:proofErr w:type="spellEnd"/>
            <w:r w:rsidRPr="0019594A">
              <w:t xml:space="preserve"> transporter</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PD</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Pharmacodynamic</w:t>
            </w:r>
            <w:proofErr w:type="spellEnd"/>
            <w:r w:rsidRPr="0019594A">
              <w:t>(s)</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PEG</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Pegylated</w:t>
            </w:r>
            <w:proofErr w:type="spellEnd"/>
            <w:r w:rsidRPr="0019594A">
              <w:t xml:space="preserve"> interferon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Peg-IFN</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Pegylated</w:t>
            </w:r>
            <w:proofErr w:type="spellEnd"/>
            <w:r w:rsidRPr="0019594A">
              <w:t xml:space="preserve"> interferon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proofErr w:type="spellStart"/>
            <w:r w:rsidRPr="0019594A">
              <w:t>Pgp</w:t>
            </w:r>
            <w:proofErr w:type="spellEnd"/>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p-glycoprotein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PI</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Protease inhibitor</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PK</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Pharmacokinetic(s)</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PPI</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Proton pump inhibitor</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PRED</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predicted concentration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QD</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Once daily</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proofErr w:type="spellStart"/>
            <w:r w:rsidRPr="0019594A">
              <w:t>QTc</w:t>
            </w:r>
            <w:proofErr w:type="spellEnd"/>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QT interval corrected for heart rate</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proofErr w:type="spellStart"/>
            <w:r w:rsidRPr="0019594A">
              <w:t>QTcB</w:t>
            </w:r>
            <w:proofErr w:type="spellEnd"/>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 xml:space="preserve">QT interval corrected for heart rate using the </w:t>
            </w:r>
            <w:proofErr w:type="spellStart"/>
            <w:r w:rsidRPr="0019594A">
              <w:t>Bazett</w:t>
            </w:r>
            <w:proofErr w:type="spellEnd"/>
            <w:r w:rsidRPr="0019594A">
              <w:t xml:space="preserve"> formula</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proofErr w:type="spellStart"/>
            <w:r w:rsidRPr="0019594A">
              <w:t>QTcF</w:t>
            </w:r>
            <w:proofErr w:type="spellEnd"/>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 xml:space="preserve">QT interval corrected for heart rate using the </w:t>
            </w:r>
            <w:proofErr w:type="spellStart"/>
            <w:r w:rsidRPr="0019594A">
              <w:t>Fridericia</w:t>
            </w:r>
            <w:proofErr w:type="spellEnd"/>
            <w:r w:rsidRPr="0019594A">
              <w:t xml:space="preserve"> formula</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proofErr w:type="spellStart"/>
            <w:r w:rsidRPr="0019594A">
              <w:t>QTcI</w:t>
            </w:r>
            <w:proofErr w:type="spellEnd"/>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QT interval corrected for heart rate using subject-specific correction factor</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proofErr w:type="spellStart"/>
            <w:r w:rsidRPr="0019594A">
              <w:t>QTcN</w:t>
            </w:r>
            <w:proofErr w:type="spellEnd"/>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QT interval corrected for heart rate using population-specific correction factor</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RAL</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Raltegravir</w:t>
            </w:r>
            <w:proofErr w:type="spellEnd"/>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/r</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Boosted with ritonavir</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RAV</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Resistance-associated variant</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RBV</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Ribavirin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RGT</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Response-guided therapy</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RNA</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Ribonucleic acid</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RPV</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Rilpivirine</w:t>
            </w:r>
            <w:proofErr w:type="spellEnd"/>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RSV</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Respiratory syncytial virus</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RTV</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Ritonavir</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SAE</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Serious adverse event</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SD</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standard deviation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SE</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Standard error</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SF-36</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Short Form 36 Health Survey</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SMV</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Simeprevir</w:t>
            </w:r>
            <w:proofErr w:type="spellEnd"/>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SOF</w:t>
            </w:r>
          </w:p>
        </w:tc>
        <w:tc>
          <w:tcPr>
            <w:tcW w:w="6762" w:type="dxa"/>
            <w:vAlign w:val="center"/>
          </w:tcPr>
          <w:p w:rsidR="00DD2BC0" w:rsidRPr="0019594A" w:rsidRDefault="00F6381F" w:rsidP="002C1A19">
            <w:pPr>
              <w:cnfStyle w:val="000000000000" w:firstRow="0" w:lastRow="0" w:firstColumn="0" w:lastColumn="0" w:oddVBand="0" w:evenVBand="0" w:oddHBand="0" w:evenHBand="0" w:firstRowFirstColumn="0" w:firstRowLastColumn="0" w:lastRowFirstColumn="0" w:lastRowLastColumn="0"/>
            </w:pPr>
            <w:proofErr w:type="spellStart"/>
            <w:r>
              <w:t>Sofosbuvir</w:t>
            </w:r>
            <w:proofErr w:type="spellEnd"/>
            <w:r>
              <w:t xml:space="preserve"> (GS-7977</w:t>
            </w:r>
            <w:r w:rsidR="00032F4F">
              <w:t>)</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SVR</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 xml:space="preserve">Sustained </w:t>
            </w:r>
            <w:proofErr w:type="spellStart"/>
            <w:r w:rsidRPr="0019594A">
              <w:t>virologic</w:t>
            </w:r>
            <w:proofErr w:type="spellEnd"/>
            <w:r w:rsidRPr="0019594A">
              <w:t xml:space="preserve"> response</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SVRXX</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 xml:space="preserve">Sustained </w:t>
            </w:r>
            <w:proofErr w:type="spellStart"/>
            <w:r w:rsidRPr="0019594A">
              <w:t>virologic</w:t>
            </w:r>
            <w:proofErr w:type="spellEnd"/>
            <w:r w:rsidRPr="0019594A">
              <w:t xml:space="preserve"> response “XX” weeks following completion of all treatment</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TAD</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Time after dose</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TDF</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Tenofovir</w:t>
            </w:r>
            <w:proofErr w:type="spellEnd"/>
            <w:r w:rsidRPr="0019594A">
              <w:t xml:space="preserve"> </w:t>
            </w:r>
            <w:proofErr w:type="spellStart"/>
            <w:r w:rsidRPr="0019594A">
              <w:t>disoproxil</w:t>
            </w:r>
            <w:proofErr w:type="spellEnd"/>
            <w:r w:rsidRPr="0019594A">
              <w:t xml:space="preserve"> </w:t>
            </w:r>
            <w:proofErr w:type="spellStart"/>
            <w:r w:rsidRPr="0019594A">
              <w:t>fumarate</w:t>
            </w:r>
            <w:proofErr w:type="spellEnd"/>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 xml:space="preserve">TE </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Treatment experienced</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TFV</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Tenofovir</w:t>
            </w:r>
            <w:proofErr w:type="spellEnd"/>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2C1A19" w:rsidP="002C1A19">
            <w:r>
              <w:t>TGV</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Tegobuvir</w:t>
            </w:r>
            <w:proofErr w:type="spellEnd"/>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TN</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Treatment naïve</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TND</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Target not detected</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TVR</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Telaprevir</w:t>
            </w:r>
            <w:proofErr w:type="spellEnd"/>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UGT</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Uridine</w:t>
            </w:r>
            <w:proofErr w:type="spellEnd"/>
            <w:r w:rsidRPr="0019594A">
              <w:t xml:space="preserve"> </w:t>
            </w:r>
            <w:proofErr w:type="spellStart"/>
            <w:r w:rsidRPr="0019594A">
              <w:t>disphosphate</w:t>
            </w:r>
            <w:proofErr w:type="spellEnd"/>
            <w:r w:rsidRPr="0019594A">
              <w:t xml:space="preserve"> </w:t>
            </w:r>
            <w:proofErr w:type="spellStart"/>
            <w:r w:rsidRPr="0019594A">
              <w:t>glucuronosyltransferase</w:t>
            </w:r>
            <w:proofErr w:type="spellEnd"/>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ULN</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Upper limit of the normal range</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UMP-CMP</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proofErr w:type="spellStart"/>
            <w:r w:rsidRPr="0019594A">
              <w:t>Uridine</w:t>
            </w:r>
            <w:proofErr w:type="spellEnd"/>
            <w:r w:rsidRPr="0019594A">
              <w:t xml:space="preserve"> monophosphate-</w:t>
            </w:r>
            <w:proofErr w:type="spellStart"/>
            <w:r w:rsidRPr="0019594A">
              <w:t>cytidine</w:t>
            </w:r>
            <w:proofErr w:type="spellEnd"/>
            <w:r w:rsidRPr="0019594A">
              <w:t xml:space="preserve"> monophosphate</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URTI</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Upper respiratory tract infection</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USP</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United States Pharmacopeia</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VDV</w:t>
            </w:r>
          </w:p>
        </w:tc>
        <w:tc>
          <w:tcPr>
            <w:tcW w:w="6762" w:type="dxa"/>
            <w:vAlign w:val="center"/>
          </w:tcPr>
          <w:p w:rsidR="00DD2BC0" w:rsidRPr="0019594A" w:rsidRDefault="005D624B" w:rsidP="002C1A19">
            <w:pPr>
              <w:cnfStyle w:val="000000000000" w:firstRow="0" w:lastRow="0" w:firstColumn="0" w:lastColumn="0" w:oddVBand="0" w:evenVBand="0" w:oddHBand="0" w:evenHBand="0" w:firstRowFirstColumn="0" w:firstRowLastColumn="0" w:lastRowFirstColumn="0" w:lastRowLastColumn="0"/>
            </w:pPr>
            <w:proofErr w:type="spellStart"/>
            <w:r>
              <w:t>V</w:t>
            </w:r>
            <w:r w:rsidR="00DD2BC0" w:rsidRPr="0019594A">
              <w:t>edroprevir</w:t>
            </w:r>
            <w:proofErr w:type="spellEnd"/>
            <w:r w:rsidR="00DD2BC0" w:rsidRPr="0019594A">
              <w:t>, GS-9451</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VPC</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Visual predictive check</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proofErr w:type="spellStart"/>
            <w:r w:rsidRPr="0019594A">
              <w:t>vRVR</w:t>
            </w:r>
            <w:proofErr w:type="spellEnd"/>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 xml:space="preserve">Very rapid </w:t>
            </w:r>
            <w:proofErr w:type="spellStart"/>
            <w:r w:rsidRPr="0019594A">
              <w:t>virologic</w:t>
            </w:r>
            <w:proofErr w:type="spellEnd"/>
            <w:r w:rsidRPr="0019594A">
              <w:t xml:space="preserve"> response</w:t>
            </w:r>
          </w:p>
        </w:tc>
      </w:tr>
      <w:tr w:rsidR="00DD2BC0" w:rsidTr="00F6381F">
        <w:tc>
          <w:tcPr>
            <w:cnfStyle w:val="001000000000" w:firstRow="0" w:lastRow="0" w:firstColumn="1" w:lastColumn="0" w:oddVBand="0" w:evenVBand="0" w:oddHBand="0" w:evenHBand="0" w:firstRowFirstColumn="0" w:firstRowLastColumn="0" w:lastRowFirstColumn="0" w:lastRowLastColumn="0"/>
            <w:tcW w:w="2093" w:type="dxa"/>
            <w:vAlign w:val="center"/>
          </w:tcPr>
          <w:p w:rsidR="00DD2BC0" w:rsidRPr="0019594A" w:rsidRDefault="00DD2BC0" w:rsidP="002C1A19">
            <w:r w:rsidRPr="0019594A">
              <w:t>WPAI: Hep C</w:t>
            </w:r>
          </w:p>
        </w:tc>
        <w:tc>
          <w:tcPr>
            <w:tcW w:w="6762" w:type="dxa"/>
            <w:vAlign w:val="center"/>
          </w:tcPr>
          <w:p w:rsidR="00DD2BC0" w:rsidRPr="0019594A" w:rsidRDefault="00DD2BC0" w:rsidP="002C1A19">
            <w:pPr>
              <w:cnfStyle w:val="000000000000" w:firstRow="0" w:lastRow="0" w:firstColumn="0" w:lastColumn="0" w:oddVBand="0" w:evenVBand="0" w:oddHBand="0" w:evenHBand="0" w:firstRowFirstColumn="0" w:firstRowLastColumn="0" w:lastRowFirstColumn="0" w:lastRowLastColumn="0"/>
            </w:pPr>
            <w:r w:rsidRPr="0019594A">
              <w:t>Work Productivity and Impairment: Hepatitis C</w:t>
            </w:r>
          </w:p>
        </w:tc>
      </w:tr>
    </w:tbl>
    <w:p w:rsidR="00F6381F" w:rsidRDefault="00F6381F" w:rsidP="002C1A19">
      <w:pPr>
        <w:pStyle w:val="Heading2"/>
        <w:rPr>
          <w:lang w:eastAsia="en-AU"/>
        </w:rPr>
      </w:pPr>
      <w:bookmarkStart w:id="7" w:name="_Toc432073897"/>
      <w:bookmarkStart w:id="8" w:name="_Toc351718900"/>
      <w:bookmarkStart w:id="9" w:name="_Toc355338635"/>
      <w:r>
        <w:rPr>
          <w:lang w:eastAsia="en-AU"/>
        </w:rPr>
        <w:t>Background</w:t>
      </w:r>
      <w:bookmarkEnd w:id="7"/>
    </w:p>
    <w:p w:rsidR="00F6381F" w:rsidRPr="00F6381F" w:rsidRDefault="00F6381F" w:rsidP="002C1A19">
      <w:pPr>
        <w:pStyle w:val="Heading3"/>
      </w:pPr>
      <w:bookmarkStart w:id="10" w:name="_Toc272414595"/>
      <w:bookmarkStart w:id="11" w:name="_Toc290846217"/>
      <w:bookmarkStart w:id="12" w:name="_Toc408163990"/>
      <w:bookmarkStart w:id="13" w:name="_Toc432073898"/>
      <w:r w:rsidRPr="00F6381F">
        <w:t>Submission type</w:t>
      </w:r>
      <w:bookmarkEnd w:id="10"/>
      <w:bookmarkEnd w:id="11"/>
      <w:bookmarkEnd w:id="12"/>
      <w:bookmarkEnd w:id="13"/>
    </w:p>
    <w:p w:rsidR="00F6381F" w:rsidRPr="00F6381F" w:rsidRDefault="00F6381F" w:rsidP="002C1A19">
      <w:r w:rsidRPr="00F6381F">
        <w:t xml:space="preserve">This is a Category 1, Type A application to register </w:t>
      </w:r>
      <w:proofErr w:type="spellStart"/>
      <w:r w:rsidR="00643EE3">
        <w:t>Harvoni</w:t>
      </w:r>
      <w:proofErr w:type="spellEnd"/>
      <w:r w:rsidRPr="00F6381F">
        <w:t xml:space="preserve"> (90 mg </w:t>
      </w:r>
      <w:proofErr w:type="spellStart"/>
      <w:r w:rsidRPr="00F6381F">
        <w:t>ledipasvir</w:t>
      </w:r>
      <w:proofErr w:type="spellEnd"/>
      <w:r w:rsidRPr="00F6381F">
        <w:t xml:space="preserve"> / 400 mg </w:t>
      </w:r>
      <w:proofErr w:type="spellStart"/>
      <w:r w:rsidRPr="00F6381F">
        <w:t>sofosbuvir</w:t>
      </w:r>
      <w:proofErr w:type="spellEnd"/>
      <w:r w:rsidRPr="00F6381F">
        <w:t>) fixed dose combination tablets</w:t>
      </w:r>
      <w:r>
        <w:t>.</w:t>
      </w:r>
    </w:p>
    <w:p w:rsidR="00F6381F" w:rsidRPr="00F6381F" w:rsidRDefault="00F6381F" w:rsidP="00F6381F">
      <w:pPr>
        <w:pStyle w:val="Heading3"/>
      </w:pPr>
      <w:bookmarkStart w:id="14" w:name="_Toc272414596"/>
      <w:bookmarkStart w:id="15" w:name="_Toc290846218"/>
      <w:bookmarkStart w:id="16" w:name="_Toc408163991"/>
      <w:bookmarkStart w:id="17" w:name="_Toc432073899"/>
      <w:r w:rsidRPr="00F6381F">
        <w:t>Drug class and therapeutic indication</w:t>
      </w:r>
      <w:bookmarkEnd w:id="14"/>
      <w:bookmarkEnd w:id="15"/>
      <w:bookmarkEnd w:id="16"/>
      <w:bookmarkEnd w:id="17"/>
    </w:p>
    <w:p w:rsidR="00F6381F" w:rsidRPr="00F6381F" w:rsidRDefault="00F6381F" w:rsidP="002C1A19">
      <w:proofErr w:type="spellStart"/>
      <w:r w:rsidRPr="00F6381F">
        <w:t>Ledipasvir</w:t>
      </w:r>
      <w:proofErr w:type="spellEnd"/>
      <w:r w:rsidRPr="00F6381F">
        <w:t xml:space="preserve"> (LDV) is a new chemical entity that inhibits</w:t>
      </w:r>
      <w:r>
        <w:t xml:space="preserve"> HCV replication through NS5A. </w:t>
      </w:r>
      <w:r w:rsidRPr="00F6381F">
        <w:t>In cell-based replicon assays it has high potency, selectivity and specificity for HCV.</w:t>
      </w:r>
    </w:p>
    <w:p w:rsidR="00F6381F" w:rsidRPr="00F6381F" w:rsidRDefault="00F6381F" w:rsidP="00F6381F">
      <w:proofErr w:type="spellStart"/>
      <w:r w:rsidRPr="00F6381F">
        <w:t>Sofosbuvir</w:t>
      </w:r>
      <w:proofErr w:type="spellEnd"/>
      <w:r w:rsidRPr="00F6381F">
        <w:t xml:space="preserve"> (SOF) is a pro-drug of 2ʹ-deoxy-2ʹ-fluoro-2ʹ-C-</w:t>
      </w:r>
      <w:proofErr w:type="spellStart"/>
      <w:r w:rsidRPr="00F6381F">
        <w:t>methyluridine</w:t>
      </w:r>
      <w:proofErr w:type="spellEnd"/>
      <w:r>
        <w:t xml:space="preserve"> monophosphate. </w:t>
      </w:r>
      <w:r w:rsidRPr="00F6381F">
        <w:t xml:space="preserve">It is converted to the </w:t>
      </w:r>
      <w:r>
        <w:t xml:space="preserve">active form in the hepatocyte. </w:t>
      </w:r>
      <w:r w:rsidRPr="00F6381F">
        <w:t>It inhibits HCV replication by inhibiting RNA replication through inhibition of NS5B.</w:t>
      </w:r>
    </w:p>
    <w:p w:rsidR="00F6381F" w:rsidRPr="00F6381F" w:rsidRDefault="00F6381F" w:rsidP="00F6381F">
      <w:r w:rsidRPr="00F6381F">
        <w:t>The proposed indication is:</w:t>
      </w:r>
    </w:p>
    <w:p w:rsidR="00F6381F" w:rsidRPr="00F6381F" w:rsidRDefault="00643EE3" w:rsidP="00F6381F">
      <w:proofErr w:type="spellStart"/>
      <w:r>
        <w:t>Harvoni</w:t>
      </w:r>
      <w:proofErr w:type="spellEnd"/>
      <w:r w:rsidR="00F6381F" w:rsidRPr="00F6381F">
        <w:t xml:space="preserve"> is indicated for the treatment of chronic hepatitis C (CHC) genotype 1 infection in adults.</w:t>
      </w:r>
    </w:p>
    <w:p w:rsidR="00F6381F" w:rsidRPr="00F6381F" w:rsidRDefault="00F6381F" w:rsidP="00F6381F">
      <w:pPr>
        <w:pStyle w:val="Heading3"/>
      </w:pPr>
      <w:bookmarkStart w:id="18" w:name="_Toc272414597"/>
      <w:bookmarkStart w:id="19" w:name="_Toc290846219"/>
      <w:bookmarkStart w:id="20" w:name="_Toc408163992"/>
      <w:bookmarkStart w:id="21" w:name="_Toc432073900"/>
      <w:r w:rsidRPr="00F6381F">
        <w:t>Dosage forms and strengths</w:t>
      </w:r>
      <w:bookmarkEnd w:id="18"/>
      <w:bookmarkEnd w:id="19"/>
      <w:bookmarkEnd w:id="20"/>
      <w:bookmarkEnd w:id="21"/>
    </w:p>
    <w:p w:rsidR="00F6381F" w:rsidRPr="00F6381F" w:rsidRDefault="00F6381F" w:rsidP="00F6381F">
      <w:r w:rsidRPr="00F6381F">
        <w:t>The submission proposes registration of the following dosage forms and strengths:</w:t>
      </w:r>
    </w:p>
    <w:p w:rsidR="00F6381F" w:rsidRPr="00F6381F" w:rsidRDefault="00643EE3" w:rsidP="00F6381F">
      <w:proofErr w:type="spellStart"/>
      <w:r>
        <w:t>Harvoni</w:t>
      </w:r>
      <w:proofErr w:type="spellEnd"/>
      <w:r w:rsidR="00F6381F" w:rsidRPr="00F6381F">
        <w:t xml:space="preserve"> (90 mg </w:t>
      </w:r>
      <w:proofErr w:type="spellStart"/>
      <w:r w:rsidR="00F6381F" w:rsidRPr="00F6381F">
        <w:t>ledipasvir</w:t>
      </w:r>
      <w:proofErr w:type="spellEnd"/>
      <w:r w:rsidR="00F6381F" w:rsidRPr="00F6381F">
        <w:t xml:space="preserve">/ 400 mg </w:t>
      </w:r>
      <w:proofErr w:type="spellStart"/>
      <w:r w:rsidR="00F6381F" w:rsidRPr="00F6381F">
        <w:t>sofosbuvir</w:t>
      </w:r>
      <w:proofErr w:type="spellEnd"/>
      <w:r w:rsidR="00F6381F" w:rsidRPr="00F6381F">
        <w:t>) Fixed-Dose Combination Tablets, Bottle</w:t>
      </w:r>
    </w:p>
    <w:p w:rsidR="00F6381F" w:rsidRPr="00F6381F" w:rsidRDefault="00F6381F" w:rsidP="00F6381F">
      <w:pPr>
        <w:pStyle w:val="Heading3"/>
      </w:pPr>
      <w:bookmarkStart w:id="22" w:name="_Toc272414598"/>
      <w:bookmarkStart w:id="23" w:name="_Toc290846220"/>
      <w:bookmarkStart w:id="24" w:name="_Toc408163993"/>
      <w:bookmarkStart w:id="25" w:name="_Toc432073901"/>
      <w:r w:rsidRPr="00F6381F">
        <w:t>Dosage and administration</w:t>
      </w:r>
      <w:bookmarkEnd w:id="22"/>
      <w:bookmarkEnd w:id="23"/>
      <w:bookmarkEnd w:id="24"/>
      <w:bookmarkEnd w:id="25"/>
    </w:p>
    <w:p w:rsidR="00F6381F" w:rsidRPr="00F6381F" w:rsidRDefault="00F6381F" w:rsidP="00F6381F">
      <w:r w:rsidRPr="00F6381F">
        <w:t xml:space="preserve">The recommended dose of </w:t>
      </w:r>
      <w:proofErr w:type="spellStart"/>
      <w:r w:rsidR="00643EE3">
        <w:t>Harvoni</w:t>
      </w:r>
      <w:proofErr w:type="spellEnd"/>
      <w:r w:rsidRPr="00F6381F">
        <w:t xml:space="preserve"> tablets is one tablet, taken orally, o</w:t>
      </w:r>
      <w:r>
        <w:t>nce daily with or without food.</w:t>
      </w:r>
    </w:p>
    <w:p w:rsidR="00F6381F" w:rsidRDefault="00F6381F" w:rsidP="00F6381F">
      <w:r w:rsidRPr="00F6381F">
        <w:t>Duration of Treatment:</w:t>
      </w:r>
    </w:p>
    <w:p w:rsidR="0065712E" w:rsidRPr="00F6381F" w:rsidRDefault="0065712E" w:rsidP="002C1A19">
      <w:pPr>
        <w:pStyle w:val="ListBullet"/>
      </w:pPr>
      <w:r w:rsidRPr="00F6381F">
        <w:t>For treatment-naïve patients without cirrhosis the recommended duration of tre</w:t>
      </w:r>
      <w:r>
        <w:t xml:space="preserve">atment with </w:t>
      </w:r>
      <w:proofErr w:type="spellStart"/>
      <w:r>
        <w:t>Harvoni</w:t>
      </w:r>
      <w:proofErr w:type="spellEnd"/>
      <w:r>
        <w:t xml:space="preserve"> is 8 or 12 weeks.</w:t>
      </w:r>
    </w:p>
    <w:p w:rsidR="0065712E" w:rsidRDefault="0065712E" w:rsidP="002C1A19">
      <w:pPr>
        <w:pStyle w:val="ListBullet"/>
      </w:pPr>
      <w:r w:rsidRPr="00F6381F">
        <w:t xml:space="preserve">For treatment-naïve patients with cirrhosis and treatment-experienced patients </w:t>
      </w:r>
      <w:r>
        <w:t xml:space="preserve">without cirrhosis </w:t>
      </w:r>
      <w:r w:rsidRPr="00F6381F">
        <w:t>the recommended duration of trea</w:t>
      </w:r>
      <w:r>
        <w:t xml:space="preserve">tment with </w:t>
      </w:r>
      <w:proofErr w:type="spellStart"/>
      <w:r>
        <w:t>Harvoni</w:t>
      </w:r>
      <w:proofErr w:type="spellEnd"/>
      <w:r>
        <w:t xml:space="preserve"> is 12 weeks.</w:t>
      </w:r>
    </w:p>
    <w:p w:rsidR="002C1A19" w:rsidRDefault="0065712E" w:rsidP="0065712E">
      <w:pPr>
        <w:pStyle w:val="ListBullet"/>
        <w:numPr>
          <w:ilvl w:val="0"/>
          <w:numId w:val="1"/>
        </w:numPr>
      </w:pPr>
      <w:r w:rsidRPr="008B7E99">
        <w:t>For treatment</w:t>
      </w:r>
      <w:r>
        <w:t xml:space="preserve"> </w:t>
      </w:r>
      <w:r w:rsidRPr="008B7E99">
        <w:t xml:space="preserve">experienced patients </w:t>
      </w:r>
      <w:r>
        <w:t xml:space="preserve">with cirrhosis </w:t>
      </w:r>
      <w:r w:rsidRPr="008B7E99">
        <w:t xml:space="preserve">the recommended duration of treatment with </w:t>
      </w:r>
      <w:proofErr w:type="spellStart"/>
      <w:r w:rsidRPr="008B7E99">
        <w:t>H</w:t>
      </w:r>
      <w:r>
        <w:t>arvoni</w:t>
      </w:r>
      <w:proofErr w:type="spellEnd"/>
      <w:r w:rsidRPr="008B7E99">
        <w:t xml:space="preserve"> is </w:t>
      </w:r>
      <w:r>
        <w:t>24</w:t>
      </w:r>
      <w:r w:rsidRPr="008B7E99">
        <w:t xml:space="preserve"> weeks</w:t>
      </w:r>
      <w:r w:rsidR="002C1A19">
        <w:t>.</w:t>
      </w:r>
    </w:p>
    <w:p w:rsidR="00F6381F" w:rsidRPr="00F6381F" w:rsidRDefault="00F6381F" w:rsidP="00F6381F">
      <w:r w:rsidRPr="00F6381F">
        <w:t>Elderly: no dose adjustment is</w:t>
      </w:r>
      <w:r>
        <w:t xml:space="preserve"> warranted for elderly patients.</w:t>
      </w:r>
    </w:p>
    <w:p w:rsidR="00F6381F" w:rsidRPr="00F6381F" w:rsidRDefault="00F6381F" w:rsidP="00F6381F">
      <w:r w:rsidRPr="00F6381F">
        <w:t xml:space="preserve">Renal impairment: no dose adjustment of </w:t>
      </w:r>
      <w:proofErr w:type="spellStart"/>
      <w:r w:rsidR="00643EE3">
        <w:t>Harvoni</w:t>
      </w:r>
      <w:proofErr w:type="spellEnd"/>
      <w:r w:rsidRPr="00F6381F">
        <w:t xml:space="preserve"> is required for patients with mild</w:t>
      </w:r>
      <w:r>
        <w:t xml:space="preserve"> or moderate renal impairment. </w:t>
      </w:r>
      <w:r w:rsidRPr="00F6381F">
        <w:t xml:space="preserve">The safety of </w:t>
      </w:r>
      <w:proofErr w:type="spellStart"/>
      <w:r w:rsidR="00643EE3">
        <w:t>Harvoni</w:t>
      </w:r>
      <w:proofErr w:type="spellEnd"/>
      <w:r w:rsidRPr="00F6381F">
        <w:t xml:space="preserve"> has not been assessed in patients with severe renal impairment (</w:t>
      </w:r>
      <w:proofErr w:type="spellStart"/>
      <w:r w:rsidRPr="00F6381F">
        <w:t>eGFR</w:t>
      </w:r>
      <w:proofErr w:type="spellEnd"/>
      <w:r w:rsidRPr="00F6381F">
        <w:t xml:space="preserve"> &lt;</w:t>
      </w:r>
      <w:r w:rsidR="001C473D">
        <w:t xml:space="preserve"> </w:t>
      </w:r>
      <w:r w:rsidRPr="00F6381F">
        <w:t xml:space="preserve">30 mL/min) or end stage renal disease </w:t>
      </w:r>
      <w:r>
        <w:t>(ESRD) requiring haemodialysis.</w:t>
      </w:r>
    </w:p>
    <w:p w:rsidR="00F6381F" w:rsidRPr="00F6381F" w:rsidRDefault="00F6381F" w:rsidP="002C1A19">
      <w:r w:rsidRPr="00F6381F">
        <w:t xml:space="preserve">Hepatic impairment: no dose adjustment of </w:t>
      </w:r>
      <w:proofErr w:type="spellStart"/>
      <w:r w:rsidR="00643EE3">
        <w:t>Harvoni</w:t>
      </w:r>
      <w:proofErr w:type="spellEnd"/>
      <w:r w:rsidRPr="00F6381F">
        <w:t xml:space="preserve"> is required for patients with mild, moderate or severe hepatic impairment (Child-Pugh Class A, B or C)</w:t>
      </w:r>
      <w:r>
        <w:t>.</w:t>
      </w:r>
    </w:p>
    <w:p w:rsidR="00586F98" w:rsidRDefault="00586F98" w:rsidP="002C1A19">
      <w:pPr>
        <w:pStyle w:val="Heading2"/>
        <w:rPr>
          <w:lang w:eastAsia="en-AU"/>
        </w:rPr>
      </w:pPr>
      <w:bookmarkStart w:id="26" w:name="_Toc432073902"/>
      <w:r>
        <w:rPr>
          <w:lang w:eastAsia="en-AU"/>
        </w:rPr>
        <w:t>Clinical rationale</w:t>
      </w:r>
      <w:bookmarkEnd w:id="26"/>
    </w:p>
    <w:p w:rsidR="00F6381F" w:rsidRPr="00F6381F" w:rsidRDefault="00F6381F" w:rsidP="002C1A19">
      <w:r w:rsidRPr="00F6381F">
        <w:t>As stated in the Clinical Summary:</w:t>
      </w:r>
    </w:p>
    <w:p w:rsidR="00F6381F" w:rsidRPr="00F6381F" w:rsidRDefault="00F6381F" w:rsidP="002C1A19">
      <w:r w:rsidRPr="00F6381F">
        <w:t>“Chronic HCV infection is a global health problem with an estimated 170 million i</w:t>
      </w:r>
      <w:r>
        <w:t xml:space="preserve">ndividuals infected worldwide. </w:t>
      </w:r>
      <w:r w:rsidRPr="00F6381F">
        <w:t>In the US, an estimated 3.2 million peop</w:t>
      </w:r>
      <w:r>
        <w:t xml:space="preserve">le have chronic HCV infection. </w:t>
      </w:r>
      <w:r w:rsidRPr="00F6381F">
        <w:t>Chronic HCV infection leads to approximately 16,0</w:t>
      </w:r>
      <w:r>
        <w:t xml:space="preserve">00 deaths each year in the US. </w:t>
      </w:r>
      <w:r w:rsidRPr="00F6381F">
        <w:t>In Europe, an estimated 7.3 to 8.8 million people have chronic HCV infection leading to approxim</w:t>
      </w:r>
      <w:r>
        <w:t xml:space="preserve">ately 86,000 deaths each year. </w:t>
      </w:r>
      <w:r w:rsidRPr="00F6381F">
        <w:t>Up to 85% of individuals infected with HCV fail to clear the virus and progress to chronic infection: over the ensuing 20 years, as many as 20% of patients with chronic HCV infection are estimated to develop complications, including cirrhosis, end-stage liver disease, and h</w:t>
      </w:r>
      <w:r>
        <w:t xml:space="preserve">epatocellular carcinoma (HCC). </w:t>
      </w:r>
      <w:r w:rsidRPr="00F6381F">
        <w:t xml:space="preserve">Complications from chronic HCV infection are responsible for approximately half of all liver transplants; HCV is therefore the most frequent indication for </w:t>
      </w:r>
      <w:proofErr w:type="spellStart"/>
      <w:r w:rsidRPr="00F6381F">
        <w:t>orthotopic</w:t>
      </w:r>
      <w:proofErr w:type="spellEnd"/>
      <w:r w:rsidRPr="00F6381F">
        <w:t xml:space="preserve"> liver transplantation.”</w:t>
      </w:r>
    </w:p>
    <w:p w:rsidR="00F6381F" w:rsidRPr="00F6381F" w:rsidRDefault="00F6381F" w:rsidP="00F6381F">
      <w:r w:rsidRPr="00F6381F">
        <w:t>“For genotype 1 HCV infection (subtypes 1a or 1b), which represents the majority of all cases of chronic HCV infection in the US (70% to 75%, predominantly subtype 1a) and Europe (69%, predominantly subtype 1b), the current standard treatment for treatment-naive patients is 12 to 24 weeks of an oral protease inhibitor (PI) combined with 24 to 48 weeks of Peg-IFN+RBV, with duration of therapy gui</w:t>
      </w:r>
      <w:r>
        <w:t xml:space="preserve">ded by on-treatment response.” </w:t>
      </w:r>
      <w:r w:rsidRPr="00F6381F">
        <w:t>However, up to 50% of patients are not eligible for these treatments, and there are also serious disadvantages to these treatments, including poor tolerability, frequent adverse effects and high pill burdens.</w:t>
      </w:r>
    </w:p>
    <w:p w:rsidR="00F6381F" w:rsidRPr="00F6381F" w:rsidRDefault="00F6381F" w:rsidP="00F6381F">
      <w:r w:rsidRPr="00F6381F">
        <w:t>Hence “there remains a significant unmet medical need for simplified treatment regimens that are more effective than the current standard of care, with better safety/tolerability profiles.”</w:t>
      </w:r>
    </w:p>
    <w:p w:rsidR="00586F98" w:rsidRDefault="00586F98" w:rsidP="00586F98">
      <w:pPr>
        <w:pStyle w:val="Heading2"/>
        <w:rPr>
          <w:lang w:eastAsia="en-AU"/>
        </w:rPr>
      </w:pPr>
      <w:bookmarkStart w:id="27" w:name="_Toc432073903"/>
      <w:r>
        <w:rPr>
          <w:lang w:eastAsia="en-AU"/>
        </w:rPr>
        <w:t>Contents of the clinical dossier</w:t>
      </w:r>
      <w:bookmarkEnd w:id="8"/>
      <w:bookmarkEnd w:id="9"/>
      <w:bookmarkEnd w:id="27"/>
    </w:p>
    <w:p w:rsidR="00586F98" w:rsidRDefault="00586F98" w:rsidP="00586F98">
      <w:pPr>
        <w:pStyle w:val="Heading3"/>
      </w:pPr>
      <w:bookmarkStart w:id="28" w:name="_Toc432073904"/>
      <w:r>
        <w:t>Scope of the clinical dossier</w:t>
      </w:r>
      <w:bookmarkEnd w:id="28"/>
    </w:p>
    <w:p w:rsidR="00F6381F" w:rsidRDefault="00F6381F" w:rsidP="00F6381F">
      <w:r>
        <w:t>The submission contained the following clinical information:</w:t>
      </w:r>
    </w:p>
    <w:p w:rsidR="00F6381F" w:rsidRPr="00F6381F" w:rsidRDefault="00F6381F" w:rsidP="00F6381F">
      <w:r w:rsidRPr="00F6381F">
        <w:t>Module 5</w:t>
      </w:r>
    </w:p>
    <w:p w:rsidR="00F6381F" w:rsidRPr="00F6381F" w:rsidRDefault="00F6381F" w:rsidP="00450BEC">
      <w:pPr>
        <w:pStyle w:val="ListBullet"/>
      </w:pPr>
      <w:r w:rsidRPr="00F6381F">
        <w:t xml:space="preserve">25 clinical pharmacology studies, including 24 that provided pharmacokinetic data and one that provided </w:t>
      </w:r>
      <w:proofErr w:type="spellStart"/>
      <w:r w:rsidRPr="00F6381F">
        <w:t>pharmacodynamic</w:t>
      </w:r>
      <w:proofErr w:type="spellEnd"/>
      <w:r w:rsidRPr="00F6381F">
        <w:t xml:space="preserve"> data.</w:t>
      </w:r>
      <w:r>
        <w:t xml:space="preserve"> </w:t>
      </w:r>
      <w:r w:rsidRPr="00F6381F">
        <w:t>The pharmacokinetic studies were: Study GS-US-256-0110, Study GS-US-337-0101, Study GS-US-256-0101, Study GS-US-0108, Study GS-US-334-0111, Study GS-US-256-0102, Study GS-US-248-0117, Study GS-US-344-0101, Study GS-US-344-0108, Study GS-US-119-0113, GS-US-169-0105, Study GS-US-248-0102, Study GS-US-248-0104, Study GS-US-248-0107, Study GS-US-248-0125, Study GS-US-248-0127, Study GS-US-256-0129, Study GS-US-334-0101, Study GS-US-334-0146, Study GS-US-334-0148, GS-US-337-0127, Study GS-US-337-0128, Study GS-US-344</w:t>
      </w:r>
      <w:r w:rsidR="001C473D">
        <w:t>-0102, and Study MK-5172-pn023.</w:t>
      </w:r>
      <w:r w:rsidRPr="00F6381F">
        <w:t xml:space="preserve"> The </w:t>
      </w:r>
      <w:proofErr w:type="spellStart"/>
      <w:r w:rsidRPr="00F6381F">
        <w:t>pharmacodynamic</w:t>
      </w:r>
      <w:proofErr w:type="spellEnd"/>
      <w:r w:rsidRPr="00F6381F">
        <w:t xml:space="preserve"> study was: Study GS-US-344-0109</w:t>
      </w:r>
    </w:p>
    <w:p w:rsidR="00F6381F" w:rsidRPr="00F6381F" w:rsidRDefault="00F6381F" w:rsidP="00F6381F">
      <w:pPr>
        <w:pStyle w:val="ListBullet"/>
      </w:pPr>
      <w:r w:rsidRPr="00F6381F">
        <w:t xml:space="preserve">The pharmacokinetic studies were supplemented by 16 reports of in-vitro studies: Study AD-256-2094, Study AD-256-2095, </w:t>
      </w:r>
      <w:r w:rsidRPr="00643EE3">
        <w:t>Study AD-256-2096</w:t>
      </w:r>
      <w:r w:rsidRPr="00F6381F">
        <w:t xml:space="preserve">, </w:t>
      </w:r>
      <w:r w:rsidRPr="00643EE3">
        <w:t>Study AD256-2097</w:t>
      </w:r>
      <w:r w:rsidRPr="00F6381F">
        <w:t xml:space="preserve">, </w:t>
      </w:r>
      <w:r w:rsidRPr="00643EE3">
        <w:t>Study AD-256-2098</w:t>
      </w:r>
      <w:r w:rsidRPr="00F6381F">
        <w:t xml:space="preserve">, </w:t>
      </w:r>
      <w:r w:rsidRPr="00643EE3">
        <w:t>Study AD-256-2109</w:t>
      </w:r>
      <w:r w:rsidRPr="00F6381F">
        <w:t xml:space="preserve">, </w:t>
      </w:r>
      <w:r w:rsidRPr="00643EE3">
        <w:t>Study AD-256-2132</w:t>
      </w:r>
      <w:r w:rsidRPr="00F6381F">
        <w:t xml:space="preserve">, </w:t>
      </w:r>
      <w:r w:rsidRPr="00643EE3">
        <w:t>Study AD-256-2133</w:t>
      </w:r>
      <w:r w:rsidRPr="00F6381F">
        <w:t xml:space="preserve">, </w:t>
      </w:r>
      <w:r w:rsidRPr="00643EE3">
        <w:t>Study AD-256-2134</w:t>
      </w:r>
      <w:r w:rsidRPr="00F6381F">
        <w:t xml:space="preserve">, </w:t>
      </w:r>
      <w:r w:rsidRPr="00643EE3">
        <w:t>Study AD-256-2139</w:t>
      </w:r>
      <w:r w:rsidRPr="00F6381F">
        <w:t xml:space="preserve">, </w:t>
      </w:r>
      <w:r w:rsidRPr="00643EE3">
        <w:t>Study AD-256-2140</w:t>
      </w:r>
      <w:r w:rsidRPr="00F6381F">
        <w:t xml:space="preserve">, </w:t>
      </w:r>
      <w:r w:rsidRPr="00643EE3">
        <w:t>Study AD-256-2143</w:t>
      </w:r>
      <w:r w:rsidRPr="00F6381F">
        <w:t xml:space="preserve">, </w:t>
      </w:r>
      <w:r w:rsidRPr="00643EE3">
        <w:t>Study AD-256-2144</w:t>
      </w:r>
      <w:r w:rsidRPr="00F6381F">
        <w:t xml:space="preserve">, </w:t>
      </w:r>
      <w:r w:rsidRPr="00643EE3">
        <w:t>Study AD-256-2146</w:t>
      </w:r>
      <w:r w:rsidRPr="00F6381F">
        <w:t xml:space="preserve">, </w:t>
      </w:r>
      <w:r w:rsidRPr="00643EE3">
        <w:t>Study AD-256-2150</w:t>
      </w:r>
      <w:r w:rsidRPr="00F6381F">
        <w:t xml:space="preserve">, and </w:t>
      </w:r>
      <w:r w:rsidRPr="00643EE3">
        <w:t>Study AD-256-2108</w:t>
      </w:r>
    </w:p>
    <w:p w:rsidR="00F6381F" w:rsidRPr="00F6381F" w:rsidRDefault="00F6381F" w:rsidP="00F6381F">
      <w:pPr>
        <w:pStyle w:val="ListBullet"/>
      </w:pPr>
      <w:r w:rsidRPr="00F6381F">
        <w:t>Three population pharmacokinetic analyses: Pop-PK of GS331007, Pop-PK of SOF and Pop-PK of LV</w:t>
      </w:r>
    </w:p>
    <w:p w:rsidR="00F6381F" w:rsidRPr="00F6381F" w:rsidRDefault="00F6381F" w:rsidP="00F6381F">
      <w:pPr>
        <w:pStyle w:val="ListBullet"/>
      </w:pPr>
      <w:r w:rsidRPr="00F6381F">
        <w:t>Three pivotal efficacy/safety studies: Study GS-US-337-0102, Study GS-US-337-0108 and Study GS-US-337-0109</w:t>
      </w:r>
    </w:p>
    <w:p w:rsidR="00F6381F" w:rsidRPr="00F6381F" w:rsidRDefault="00F6381F" w:rsidP="00F6381F">
      <w:pPr>
        <w:pStyle w:val="ListBullet"/>
      </w:pPr>
      <w:r w:rsidRPr="00F6381F">
        <w:t>Three other efficacy/safety studies: GS-US-337-0118, GS-US-337-0122 and Study P7977-0523</w:t>
      </w:r>
    </w:p>
    <w:p w:rsidR="00F6381F" w:rsidRPr="00F6381F" w:rsidRDefault="00F6381F" w:rsidP="00F6381F">
      <w:pPr>
        <w:pStyle w:val="ListBullet"/>
      </w:pPr>
      <w:r w:rsidRPr="00F6381F">
        <w:t>An Integrated Summary of Efficacy and an Integrated Summary of Safety</w:t>
      </w:r>
    </w:p>
    <w:p w:rsidR="00586F98" w:rsidRDefault="00586F98" w:rsidP="00586F98">
      <w:pPr>
        <w:pStyle w:val="Heading3"/>
      </w:pPr>
      <w:bookmarkStart w:id="29" w:name="_Toc432073905"/>
      <w:r>
        <w:t>Paediatric data</w:t>
      </w:r>
      <w:bookmarkEnd w:id="29"/>
    </w:p>
    <w:p w:rsidR="00F6381F" w:rsidRPr="00F6381F" w:rsidRDefault="00F6381F" w:rsidP="00F6381F">
      <w:r w:rsidRPr="00F6381F">
        <w:t>The submission did not include paediatric data.</w:t>
      </w:r>
    </w:p>
    <w:p w:rsidR="00586F98" w:rsidRDefault="00586F98" w:rsidP="00586F98">
      <w:pPr>
        <w:pStyle w:val="Heading3"/>
      </w:pPr>
      <w:bookmarkStart w:id="30" w:name="_Toc432073906"/>
      <w:r>
        <w:t>Good clinical practice</w:t>
      </w:r>
      <w:bookmarkEnd w:id="30"/>
    </w:p>
    <w:p w:rsidR="00F6381F" w:rsidRPr="00F6381F" w:rsidRDefault="00F6381F" w:rsidP="00F6381F">
      <w:bookmarkStart w:id="31" w:name="_Toc241374282"/>
      <w:bookmarkStart w:id="32" w:name="_Toc355338639"/>
      <w:r w:rsidRPr="00F6381F">
        <w:t>The studies submitted in the present application all appeared to have been conducted according to Good Clinical Practice.</w:t>
      </w:r>
    </w:p>
    <w:p w:rsidR="00586F98" w:rsidRDefault="00586F98" w:rsidP="00450BEC">
      <w:pPr>
        <w:pStyle w:val="Heading2"/>
      </w:pPr>
      <w:bookmarkStart w:id="33" w:name="_Toc432073907"/>
      <w:bookmarkEnd w:id="31"/>
      <w:r>
        <w:t>Pharmacokinetics</w:t>
      </w:r>
      <w:bookmarkEnd w:id="32"/>
      <w:bookmarkEnd w:id="33"/>
    </w:p>
    <w:p w:rsidR="0086102A" w:rsidRPr="0086102A" w:rsidRDefault="0086102A" w:rsidP="00450BEC">
      <w:pPr>
        <w:pStyle w:val="Heading3"/>
      </w:pPr>
      <w:bookmarkStart w:id="34" w:name="_Ref271017296"/>
      <w:bookmarkStart w:id="35" w:name="_Ref271018924"/>
      <w:bookmarkStart w:id="36" w:name="_Ref271018934"/>
      <w:bookmarkStart w:id="37" w:name="_Toc272414614"/>
      <w:bookmarkStart w:id="38" w:name="_Toc290846238"/>
      <w:bookmarkStart w:id="39" w:name="_Toc408164011"/>
      <w:bookmarkStart w:id="40" w:name="_Toc432073908"/>
      <w:r w:rsidRPr="0086102A">
        <w:t>Studies</w:t>
      </w:r>
      <w:bookmarkEnd w:id="34"/>
      <w:bookmarkEnd w:id="35"/>
      <w:bookmarkEnd w:id="36"/>
      <w:r w:rsidRPr="0086102A">
        <w:t xml:space="preserve"> providing pharmacokinetic data</w:t>
      </w:r>
      <w:bookmarkEnd w:id="37"/>
      <w:bookmarkEnd w:id="38"/>
      <w:bookmarkEnd w:id="39"/>
      <w:bookmarkEnd w:id="40"/>
    </w:p>
    <w:p w:rsidR="0086102A" w:rsidRPr="0086102A" w:rsidRDefault="0086102A" w:rsidP="00450BEC">
      <w:r w:rsidRPr="00643EE3">
        <w:fldChar w:fldCharType="begin"/>
      </w:r>
      <w:r w:rsidRPr="00643EE3">
        <w:instrText xml:space="preserve"> REF _Ref272426277 \h  \* MERGEFORMAT </w:instrText>
      </w:r>
      <w:r w:rsidRPr="00643EE3">
        <w:fldChar w:fldCharType="separate"/>
      </w:r>
      <w:r w:rsidRPr="00643EE3">
        <w:t>Table 1</w:t>
      </w:r>
      <w:r w:rsidRPr="00643EE3">
        <w:fldChar w:fldCharType="end"/>
      </w:r>
      <w:r w:rsidRPr="0086102A">
        <w:t xml:space="preserve"> shows the studies relating to each pharmacokinetic topic and the location of each study summary.</w:t>
      </w:r>
      <w:bookmarkStart w:id="41" w:name="_Ref272426277"/>
      <w:bookmarkStart w:id="42" w:name="_Toc290888900"/>
    </w:p>
    <w:p w:rsidR="0086102A" w:rsidRPr="0086102A" w:rsidRDefault="0086102A" w:rsidP="00450BEC">
      <w:pPr>
        <w:pStyle w:val="Tabletitle"/>
      </w:pPr>
      <w:proofErr w:type="gramStart"/>
      <w:r w:rsidRPr="0086102A">
        <w:t>Tabl</w:t>
      </w:r>
      <w:bookmarkEnd w:id="41"/>
      <w:r w:rsidR="00EE6D9E">
        <w:t>e 1</w:t>
      </w:r>
      <w:r w:rsidRPr="0086102A">
        <w:t>.</w:t>
      </w:r>
      <w:proofErr w:type="gramEnd"/>
      <w:r w:rsidRPr="0086102A">
        <w:t xml:space="preserve"> </w:t>
      </w:r>
      <w:proofErr w:type="gramStart"/>
      <w:r w:rsidRPr="0086102A">
        <w:t>Submitted pharmacokinetic studies.</w:t>
      </w:r>
      <w:bookmarkEnd w:id="42"/>
      <w:proofErr w:type="gramEnd"/>
    </w:p>
    <w:p w:rsidR="0086102A" w:rsidRPr="007B198D" w:rsidRDefault="00535063" w:rsidP="00450BEC">
      <w:pPr>
        <w:rPr>
          <w:rFonts w:ascii="Times New Roman" w:hAnsi="Times New Roman"/>
          <w:sz w:val="24"/>
        </w:rPr>
      </w:pPr>
      <w:r>
        <w:rPr>
          <w:noProof/>
          <w:lang w:eastAsia="en-AU"/>
        </w:rPr>
        <w:drawing>
          <wp:inline distT="0" distB="0" distL="0" distR="0" wp14:anchorId="2EDC9FFC" wp14:editId="60F24BB4">
            <wp:extent cx="4375657" cy="4917940"/>
            <wp:effectExtent l="0" t="0" r="6350" b="0"/>
            <wp:docPr id="11" name="Picture 11" descr="Table 1. Submitted pharmacokinetic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381105" cy="4924063"/>
                    </a:xfrm>
                    <a:prstGeom prst="rect">
                      <a:avLst/>
                    </a:prstGeom>
                  </pic:spPr>
                </pic:pic>
              </a:graphicData>
            </a:graphic>
          </wp:inline>
        </w:drawing>
      </w:r>
    </w:p>
    <w:p w:rsidR="0086102A" w:rsidRDefault="0086102A" w:rsidP="0086102A">
      <w:r w:rsidRPr="0086102A">
        <w:t>None of the pharmacokinetic studies had deficiencies that excluded their results from consideration.</w:t>
      </w:r>
    </w:p>
    <w:p w:rsidR="0086102A" w:rsidRPr="0086102A" w:rsidRDefault="0086102A" w:rsidP="00886813">
      <w:pPr>
        <w:pStyle w:val="Heading3"/>
      </w:pPr>
      <w:bookmarkStart w:id="43" w:name="_Ref269118175"/>
      <w:bookmarkStart w:id="44" w:name="_Toc272414616"/>
      <w:bookmarkStart w:id="45" w:name="_Toc290846239"/>
      <w:bookmarkStart w:id="46" w:name="_Toc408164012"/>
      <w:bookmarkStart w:id="47" w:name="_Toc432073909"/>
      <w:r w:rsidRPr="0086102A">
        <w:t>Summary of pharmacokinetics</w:t>
      </w:r>
      <w:bookmarkEnd w:id="43"/>
      <w:bookmarkEnd w:id="44"/>
      <w:bookmarkEnd w:id="45"/>
      <w:r w:rsidRPr="0086102A">
        <w:t xml:space="preserve"> for </w:t>
      </w:r>
      <w:proofErr w:type="spellStart"/>
      <w:r w:rsidRPr="0086102A">
        <w:t>sofosbuvir</w:t>
      </w:r>
      <w:bookmarkEnd w:id="46"/>
      <w:bookmarkEnd w:id="47"/>
      <w:proofErr w:type="spellEnd"/>
    </w:p>
    <w:p w:rsidR="0086102A" w:rsidRPr="0086102A" w:rsidRDefault="0086102A" w:rsidP="0086102A">
      <w:r w:rsidRPr="0086102A">
        <w:t>The information in the following summary is derived from conventional pharmacokinetic studies unless otherwise stated.</w:t>
      </w:r>
      <w:r>
        <w:t xml:space="preserve"> </w:t>
      </w:r>
      <w:r w:rsidRPr="0086102A">
        <w:t>The information regarding SOF pharmacokinetics is extracted from the Clinical Evaluation Report for SOVALDI (</w:t>
      </w:r>
      <w:proofErr w:type="spellStart"/>
      <w:r w:rsidRPr="0086102A">
        <w:t>sofosbuvir</w:t>
      </w:r>
      <w:proofErr w:type="spellEnd"/>
      <w:r w:rsidRPr="0086102A">
        <w:t>) application number PM-2013-01283-1-2 and the Product Information Document.</w:t>
      </w:r>
    </w:p>
    <w:p w:rsidR="0086102A" w:rsidRPr="0086102A" w:rsidRDefault="0086102A" w:rsidP="00450BEC">
      <w:pPr>
        <w:pStyle w:val="Heading4"/>
        <w:pageBreakBefore/>
      </w:pPr>
      <w:bookmarkStart w:id="48" w:name="_Toc272414617"/>
      <w:bookmarkStart w:id="49" w:name="_Toc290846240"/>
      <w:bookmarkStart w:id="50" w:name="_Toc408164013"/>
      <w:r w:rsidRPr="0086102A">
        <w:t xml:space="preserve">Physicochemical characteristics of </w:t>
      </w:r>
      <w:bookmarkEnd w:id="48"/>
      <w:bookmarkEnd w:id="49"/>
      <w:proofErr w:type="spellStart"/>
      <w:r w:rsidRPr="0086102A">
        <w:t>sofosbuvir</w:t>
      </w:r>
      <w:bookmarkEnd w:id="50"/>
      <w:proofErr w:type="spellEnd"/>
    </w:p>
    <w:p w:rsidR="0086102A" w:rsidRPr="0086102A" w:rsidRDefault="0086102A" w:rsidP="0086102A">
      <w:r w:rsidRPr="0086102A">
        <w:t>The following information is derived from the Sponsor’s proposed PI:</w:t>
      </w:r>
    </w:p>
    <w:p w:rsidR="0086102A" w:rsidRPr="0086102A" w:rsidRDefault="0086102A" w:rsidP="0086102A">
      <w:r w:rsidRPr="0086102A">
        <w:t xml:space="preserve">The chemical name of </w:t>
      </w:r>
      <w:proofErr w:type="spellStart"/>
      <w:r w:rsidRPr="0086102A">
        <w:t>sofosbuvir</w:t>
      </w:r>
      <w:proofErr w:type="spellEnd"/>
      <w:r w:rsidRPr="0086102A">
        <w:t xml:space="preserve"> is (S)-Isopropyl 2-((S)-(((2R</w:t>
      </w:r>
      <w:proofErr w:type="gramStart"/>
      <w:r w:rsidRPr="0086102A">
        <w:t>,3R,4R,5R</w:t>
      </w:r>
      <w:proofErr w:type="gramEnd"/>
      <w:r w:rsidRPr="0086102A">
        <w:t>)-5-(2,4-dioxo-3,4-dihydropyrimidin-1(2H)-yl)-4-fluoro-3-hydroxy-4-methyltetrahydrofuran-2-yl)methoxy)-(phen</w:t>
      </w:r>
      <w:r w:rsidR="00920649">
        <w:t>oxy)phosphorylamino)propanoate.</w:t>
      </w:r>
      <w:r w:rsidRPr="0086102A">
        <w:t xml:space="preserve"> It has a molecular formula of C22H29FN3O9P and a molecular weight of 529.45. It has the following structural formula:</w:t>
      </w:r>
    </w:p>
    <w:p w:rsidR="0086102A" w:rsidRPr="00AA56A2" w:rsidRDefault="0086102A" w:rsidP="00450BEC">
      <w:r>
        <w:rPr>
          <w:noProof/>
          <w:lang w:eastAsia="en-AU"/>
        </w:rPr>
        <w:drawing>
          <wp:inline distT="0" distB="0" distL="0" distR="0" wp14:anchorId="23102A7D" wp14:editId="3E3AB9CE">
            <wp:extent cx="5920105" cy="1678940"/>
            <wp:effectExtent l="0" t="0" r="4445" b="0"/>
            <wp:docPr id="1" name="Picture 1" descr="CAS registry number: 1190307-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0105" cy="1678940"/>
                    </a:xfrm>
                    <a:prstGeom prst="rect">
                      <a:avLst/>
                    </a:prstGeom>
                    <a:noFill/>
                    <a:ln>
                      <a:noFill/>
                    </a:ln>
                  </pic:spPr>
                </pic:pic>
              </a:graphicData>
            </a:graphic>
          </wp:inline>
        </w:drawing>
      </w:r>
    </w:p>
    <w:p w:rsidR="0086102A" w:rsidRPr="00EE6D9E" w:rsidRDefault="0086102A" w:rsidP="00450BEC">
      <w:pPr>
        <w:pStyle w:val="FigureDescription"/>
      </w:pPr>
      <w:r w:rsidRPr="00EE6D9E">
        <w:t>CAS registry number: 1190307-88-0</w:t>
      </w:r>
    </w:p>
    <w:p w:rsidR="0086102A" w:rsidRDefault="0086102A" w:rsidP="0086102A">
      <w:proofErr w:type="spellStart"/>
      <w:r w:rsidRPr="0086102A">
        <w:t>Sofosbuvir</w:t>
      </w:r>
      <w:proofErr w:type="spellEnd"/>
      <w:r w:rsidRPr="0086102A">
        <w:t xml:space="preserve"> is a powder with a solubility of ≥ 2 mg/mL across the pH range of 2-7.7 at 37 °C. The partition coefficient (log P) for </w:t>
      </w:r>
      <w:proofErr w:type="spellStart"/>
      <w:r w:rsidRPr="0086102A">
        <w:t>sofosbuvir</w:t>
      </w:r>
      <w:proofErr w:type="spellEnd"/>
      <w:r w:rsidRPr="0086102A">
        <w:t xml:space="preserve"> is 1.62 and the </w:t>
      </w:r>
      <w:proofErr w:type="spellStart"/>
      <w:r w:rsidRPr="0086102A">
        <w:t>pKa</w:t>
      </w:r>
      <w:proofErr w:type="spellEnd"/>
      <w:r w:rsidRPr="0086102A">
        <w:t xml:space="preserve"> is 9.3.</w:t>
      </w:r>
    </w:p>
    <w:p w:rsidR="0086102A" w:rsidRPr="00145958" w:rsidRDefault="0086102A" w:rsidP="00145958">
      <w:pPr>
        <w:pStyle w:val="Heading4"/>
      </w:pPr>
      <w:bookmarkStart w:id="51" w:name="_Ref271189106"/>
      <w:bookmarkStart w:id="52" w:name="_Ref271189143"/>
      <w:bookmarkStart w:id="53" w:name="_Toc272414618"/>
      <w:bookmarkStart w:id="54" w:name="_Toc290846241"/>
      <w:bookmarkStart w:id="55" w:name="_Toc408164014"/>
      <w:r w:rsidRPr="00145958">
        <w:t xml:space="preserve">Pharmacokinetics of </w:t>
      </w:r>
      <w:proofErr w:type="spellStart"/>
      <w:r w:rsidRPr="00145958">
        <w:t>sofosbuvir</w:t>
      </w:r>
      <w:proofErr w:type="spellEnd"/>
      <w:r w:rsidRPr="00145958">
        <w:t xml:space="preserve"> in healthy subjects</w:t>
      </w:r>
      <w:bookmarkEnd w:id="51"/>
      <w:bookmarkEnd w:id="52"/>
      <w:bookmarkEnd w:id="53"/>
      <w:bookmarkEnd w:id="54"/>
      <w:bookmarkEnd w:id="55"/>
    </w:p>
    <w:p w:rsidR="0086102A" w:rsidRPr="0086102A" w:rsidRDefault="0086102A" w:rsidP="0086102A">
      <w:pPr>
        <w:pStyle w:val="Heading5"/>
      </w:pPr>
      <w:bookmarkStart w:id="56" w:name="_Toc272414619"/>
      <w:bookmarkStart w:id="57" w:name="_Toc290846242"/>
      <w:bookmarkStart w:id="58" w:name="_Toc408164015"/>
      <w:r w:rsidRPr="0086102A">
        <w:t>Absorption</w:t>
      </w:r>
      <w:bookmarkEnd w:id="56"/>
      <w:bookmarkEnd w:id="57"/>
      <w:bookmarkEnd w:id="58"/>
    </w:p>
    <w:p w:rsidR="0086102A" w:rsidRPr="0086102A" w:rsidRDefault="0086102A" w:rsidP="0086102A">
      <w:pPr>
        <w:pStyle w:val="Heading6"/>
      </w:pPr>
      <w:r w:rsidRPr="0086102A">
        <w:t>Sites and mechanisms of absorption</w:t>
      </w:r>
    </w:p>
    <w:p w:rsidR="0086102A" w:rsidRPr="0086102A" w:rsidRDefault="0086102A" w:rsidP="00886813">
      <w:r w:rsidRPr="0086102A">
        <w:t xml:space="preserve">Following oral administration of SOF, peak SOF concentrations were generally observed 0.5 to 2 </w:t>
      </w:r>
      <w:proofErr w:type="spellStart"/>
      <w:r w:rsidRPr="0086102A">
        <w:t>hrs</w:t>
      </w:r>
      <w:proofErr w:type="spellEnd"/>
      <w:r w:rsidRPr="0086102A">
        <w:t xml:space="preserve"> post-dose, regardless of dose level, in HCV-infected </w:t>
      </w:r>
      <w:r w:rsidR="00920649">
        <w:t xml:space="preserve">subjects and healthy subjects. </w:t>
      </w:r>
      <w:r w:rsidRPr="0086102A">
        <w:t>Peak plasma GS-331007 concentrations were generally observed 2</w:t>
      </w:r>
      <w:r>
        <w:t xml:space="preserve"> </w:t>
      </w:r>
      <w:r w:rsidRPr="0086102A">
        <w:t>-</w:t>
      </w:r>
      <w:r>
        <w:t xml:space="preserve"> </w:t>
      </w:r>
      <w:r w:rsidRPr="0086102A">
        <w:t>4</w:t>
      </w:r>
      <w:r w:rsidR="00920649">
        <w:t xml:space="preserve"> </w:t>
      </w:r>
      <w:proofErr w:type="spellStart"/>
      <w:r w:rsidR="00920649">
        <w:t>hrs</w:t>
      </w:r>
      <w:proofErr w:type="spellEnd"/>
      <w:r w:rsidR="00920649">
        <w:t xml:space="preserve"> after SOF administration. </w:t>
      </w:r>
      <w:r w:rsidRPr="0086102A">
        <w:t>Following a single-oral dose of [14C]-SOF to healthy male subjects, SOF was well and rapidly absorbed, subsequently eliminated in urine as GS-331007; as ≈80% of administered dose was recovered in urine this indicates ≥</w:t>
      </w:r>
      <w:r>
        <w:t xml:space="preserve"> </w:t>
      </w:r>
      <w:r w:rsidRPr="0086102A">
        <w:t>80% of the administered dose is absorbed into systemic circulation and renal excretion the primary route of elimination.</w:t>
      </w:r>
    </w:p>
    <w:p w:rsidR="0086102A" w:rsidRPr="00145958" w:rsidRDefault="0086102A" w:rsidP="00145958">
      <w:pPr>
        <w:pStyle w:val="Heading4"/>
      </w:pPr>
      <w:bookmarkStart w:id="59" w:name="_Toc241374287"/>
      <w:bookmarkStart w:id="60" w:name="_Toc272414620"/>
      <w:bookmarkStart w:id="61" w:name="_Toc290846243"/>
      <w:bookmarkStart w:id="62" w:name="_Toc408164016"/>
      <w:r w:rsidRPr="00145958">
        <w:t>Bioavailability</w:t>
      </w:r>
      <w:bookmarkEnd w:id="59"/>
      <w:bookmarkEnd w:id="60"/>
      <w:bookmarkEnd w:id="61"/>
      <w:bookmarkEnd w:id="62"/>
    </w:p>
    <w:p w:rsidR="0086102A" w:rsidRPr="0086102A" w:rsidRDefault="0086102A" w:rsidP="0086102A">
      <w:pPr>
        <w:pStyle w:val="Heading6"/>
      </w:pPr>
      <w:r w:rsidRPr="0086102A">
        <w:t>Absolute bioavailability</w:t>
      </w:r>
    </w:p>
    <w:p w:rsidR="0086102A" w:rsidRPr="0086102A" w:rsidRDefault="0086102A" w:rsidP="0086102A">
      <w:r w:rsidRPr="0086102A">
        <w:t xml:space="preserve">Absolute bioavailability studies were not provided for </w:t>
      </w:r>
      <w:proofErr w:type="spellStart"/>
      <w:r w:rsidRPr="0086102A">
        <w:t>sofosbuvir</w:t>
      </w:r>
      <w:proofErr w:type="spellEnd"/>
      <w:r w:rsidRPr="0086102A">
        <w:t xml:space="preserve"> because there is considered to be low systemic bioavailability because there is extensive first pass metabolism to GS-331007 which represe</w:t>
      </w:r>
      <w:r w:rsidR="00920649">
        <w:t>nts &gt;</w:t>
      </w:r>
      <w:r w:rsidR="00D5308D">
        <w:t xml:space="preserve"> </w:t>
      </w:r>
      <w:r w:rsidR="00920649">
        <w:t xml:space="preserve">90% of systemic exposure. </w:t>
      </w:r>
      <w:r w:rsidRPr="0086102A">
        <w:t>In dogs the systemic bioavailability was 9.89%.</w:t>
      </w:r>
    </w:p>
    <w:p w:rsidR="0086102A" w:rsidRPr="0086102A" w:rsidRDefault="0086102A" w:rsidP="0086102A">
      <w:pPr>
        <w:pStyle w:val="Heading6"/>
      </w:pPr>
      <w:r w:rsidRPr="0086102A">
        <w:t>Influence of food</w:t>
      </w:r>
    </w:p>
    <w:p w:rsidR="0086102A" w:rsidRPr="0086102A" w:rsidRDefault="0086102A" w:rsidP="0086102A">
      <w:r w:rsidRPr="0086102A">
        <w:t xml:space="preserve">Food slows the rate of absorption of SOF (a high fat meal increased </w:t>
      </w:r>
      <w:proofErr w:type="spellStart"/>
      <w:r w:rsidRPr="0086102A">
        <w:t>Tmax</w:t>
      </w:r>
      <w:proofErr w:type="spellEnd"/>
      <w:r w:rsidRPr="0086102A">
        <w:t xml:space="preserve"> for 2 to 4 hours) but did not significantly affect overall exposure (AUC).</w:t>
      </w:r>
    </w:p>
    <w:p w:rsidR="0086102A" w:rsidRPr="0086102A" w:rsidRDefault="0086102A" w:rsidP="0086102A">
      <w:pPr>
        <w:pStyle w:val="Heading6"/>
      </w:pPr>
      <w:r w:rsidRPr="0086102A">
        <w:t>Dose proportionality</w:t>
      </w:r>
    </w:p>
    <w:p w:rsidR="0086102A" w:rsidRPr="0086102A" w:rsidRDefault="0086102A" w:rsidP="0086102A">
      <w:r w:rsidRPr="0086102A">
        <w:t>There was near dose proportionality in the dose range 200 mg to 1200 mg.</w:t>
      </w:r>
    </w:p>
    <w:p w:rsidR="0086102A" w:rsidRPr="0086102A" w:rsidRDefault="0086102A" w:rsidP="0086102A">
      <w:pPr>
        <w:pStyle w:val="Heading6"/>
      </w:pPr>
      <w:r w:rsidRPr="0086102A">
        <w:t>Bioavailability during multiple-dosing</w:t>
      </w:r>
    </w:p>
    <w:p w:rsidR="0086102A" w:rsidRPr="0086102A" w:rsidRDefault="0086102A" w:rsidP="0086102A">
      <w:r w:rsidRPr="0086102A">
        <w:t>There was no apparent change in bioavailability with multiple dosing.</w:t>
      </w:r>
    </w:p>
    <w:p w:rsidR="0086102A" w:rsidRPr="0086102A" w:rsidRDefault="0086102A" w:rsidP="0086102A">
      <w:pPr>
        <w:pStyle w:val="Heading5"/>
      </w:pPr>
      <w:bookmarkStart w:id="63" w:name="_Toc241374288"/>
      <w:bookmarkStart w:id="64" w:name="_Toc272414621"/>
      <w:bookmarkStart w:id="65" w:name="_Toc290846244"/>
      <w:bookmarkStart w:id="66" w:name="_Toc408164017"/>
      <w:r w:rsidRPr="0086102A">
        <w:t>Distribution</w:t>
      </w:r>
      <w:bookmarkEnd w:id="63"/>
      <w:bookmarkEnd w:id="64"/>
      <w:bookmarkEnd w:id="65"/>
      <w:bookmarkEnd w:id="66"/>
    </w:p>
    <w:p w:rsidR="0086102A" w:rsidRPr="0086102A" w:rsidRDefault="0086102A" w:rsidP="0086102A">
      <w:pPr>
        <w:pStyle w:val="Heading6"/>
      </w:pPr>
      <w:r w:rsidRPr="0086102A">
        <w:t>Volume of distribution</w:t>
      </w:r>
    </w:p>
    <w:p w:rsidR="0086102A" w:rsidRPr="0086102A" w:rsidRDefault="0086102A" w:rsidP="0086102A">
      <w:r w:rsidRPr="0086102A">
        <w:t xml:space="preserve">The distribution PK of GS-331007 best fitted a two compartment model and the typical value of GS-331007 </w:t>
      </w:r>
      <w:proofErr w:type="spellStart"/>
      <w:r w:rsidRPr="0086102A">
        <w:t>Vc</w:t>
      </w:r>
      <w:proofErr w:type="spellEnd"/>
      <w:r w:rsidRPr="0086102A">
        <w:t>/F was estimated 218 L, respectively, and the typical value of the volume of the peripheral compartment (</w:t>
      </w:r>
      <w:proofErr w:type="spellStart"/>
      <w:r w:rsidRPr="0086102A">
        <w:t>V</w:t>
      </w:r>
      <w:r>
        <w:t>p</w:t>
      </w:r>
      <w:proofErr w:type="spellEnd"/>
      <w:r>
        <w:t>/F) was estimated to be 594 L.</w:t>
      </w:r>
    </w:p>
    <w:p w:rsidR="0086102A" w:rsidRPr="0086102A" w:rsidRDefault="0086102A" w:rsidP="0086102A">
      <w:pPr>
        <w:pStyle w:val="Heading6"/>
      </w:pPr>
      <w:r w:rsidRPr="0086102A">
        <w:t>Plasma protein binding</w:t>
      </w:r>
    </w:p>
    <w:p w:rsidR="0086102A" w:rsidRPr="0086102A" w:rsidRDefault="0086102A" w:rsidP="0086102A">
      <w:r w:rsidRPr="0086102A">
        <w:t>Plasma protein binding of SOF was ≈82-85% in healthy subjects and subjects with ESRD, respectively.</w:t>
      </w:r>
    </w:p>
    <w:p w:rsidR="0086102A" w:rsidRPr="0086102A" w:rsidRDefault="0086102A" w:rsidP="0086102A">
      <w:pPr>
        <w:pStyle w:val="Heading5"/>
      </w:pPr>
      <w:bookmarkStart w:id="67" w:name="_Metabolism"/>
      <w:bookmarkStart w:id="68" w:name="_Toc272414622"/>
      <w:bookmarkStart w:id="69" w:name="_Toc290846245"/>
      <w:bookmarkStart w:id="70" w:name="_Toc408164018"/>
      <w:bookmarkEnd w:id="67"/>
      <w:r w:rsidRPr="0086102A">
        <w:t>Metabolism</w:t>
      </w:r>
      <w:bookmarkEnd w:id="68"/>
      <w:bookmarkEnd w:id="69"/>
      <w:bookmarkEnd w:id="70"/>
    </w:p>
    <w:p w:rsidR="0086102A" w:rsidRPr="0086102A" w:rsidRDefault="0086102A" w:rsidP="00886813">
      <w:r w:rsidRPr="0086102A">
        <w:t xml:space="preserve">SOF is extensively metabolised in the liver to form the pharmacologically active nucleoside </w:t>
      </w:r>
      <w:proofErr w:type="spellStart"/>
      <w:r w:rsidRPr="0086102A">
        <w:t>analog</w:t>
      </w:r>
      <w:proofErr w:type="spellEnd"/>
      <w:r w:rsidRPr="0086102A">
        <w:t xml:space="preserve"> triphosphate GS-461203 which is then further metabolised and primarily</w:t>
      </w:r>
      <w:r w:rsidR="00C22ADB">
        <w:t xml:space="preserve"> excreted in urine as GS-331007. </w:t>
      </w:r>
      <w:r w:rsidRPr="0086102A">
        <w:t xml:space="preserve">The metabolic activation pathway involves sequential hydrolysis of the carboxyl ester moiety catalysed by human </w:t>
      </w:r>
      <w:proofErr w:type="spellStart"/>
      <w:r w:rsidRPr="0086102A">
        <w:t>cathepsin</w:t>
      </w:r>
      <w:proofErr w:type="spellEnd"/>
      <w:r w:rsidRPr="0086102A">
        <w:t xml:space="preserve"> A (</w:t>
      </w:r>
      <w:proofErr w:type="spellStart"/>
      <w:r w:rsidRPr="0086102A">
        <w:t>CatA</w:t>
      </w:r>
      <w:proofErr w:type="spellEnd"/>
      <w:r w:rsidRPr="0086102A">
        <w:t xml:space="preserve">) or </w:t>
      </w:r>
      <w:proofErr w:type="spellStart"/>
      <w:r w:rsidRPr="0086102A">
        <w:t>carboxylesterase</w:t>
      </w:r>
      <w:proofErr w:type="spellEnd"/>
      <w:r w:rsidRPr="0086102A">
        <w:t xml:space="preserve"> 1 (CES1) and </w:t>
      </w:r>
      <w:proofErr w:type="spellStart"/>
      <w:r w:rsidRPr="0086102A">
        <w:t>phosphoramidate</w:t>
      </w:r>
      <w:proofErr w:type="spellEnd"/>
      <w:r w:rsidRPr="0086102A">
        <w:t xml:space="preserve"> cleavage by </w:t>
      </w:r>
      <w:proofErr w:type="spellStart"/>
      <w:r w:rsidRPr="0086102A">
        <w:t>histidine</w:t>
      </w:r>
      <w:proofErr w:type="spellEnd"/>
      <w:r w:rsidRPr="0086102A">
        <w:t xml:space="preserve"> triad nucleotide-binding protein 1 (HINT1) followed by phosphorylation by the pyrimidine nu</w:t>
      </w:r>
      <w:r w:rsidR="00920649">
        <w:t xml:space="preserve">cleotide biosynthesis pathway. </w:t>
      </w:r>
      <w:proofErr w:type="spellStart"/>
      <w:r w:rsidRPr="0086102A">
        <w:t>Dephosphorylation</w:t>
      </w:r>
      <w:proofErr w:type="spellEnd"/>
      <w:r w:rsidRPr="0086102A">
        <w:t xml:space="preserve"> results in the formation of nucleoside metabolite GS-331007 that cannot be efficiently </w:t>
      </w:r>
      <w:proofErr w:type="spellStart"/>
      <w:r w:rsidRPr="0086102A">
        <w:t>rephosphorylated</w:t>
      </w:r>
      <w:proofErr w:type="spellEnd"/>
      <w:r w:rsidRPr="0086102A">
        <w:t xml:space="preserve"> and lac</w:t>
      </w:r>
      <w:r>
        <w:t xml:space="preserve">ks anti-HCV activity in vitro. </w:t>
      </w:r>
      <w:r w:rsidRPr="0086102A">
        <w:t>After a single 400 mg oral dose of [14C]-</w:t>
      </w:r>
      <w:proofErr w:type="spellStart"/>
      <w:r w:rsidRPr="0086102A">
        <w:t>sofosbuvir</w:t>
      </w:r>
      <w:proofErr w:type="spellEnd"/>
      <w:r w:rsidRPr="0086102A">
        <w:t>, GS-331007 accounted for approximately &gt;</w:t>
      </w:r>
      <w:r w:rsidR="00D5308D">
        <w:t xml:space="preserve"> </w:t>
      </w:r>
      <w:r>
        <w:t>90% of total systemic exposure.</w:t>
      </w:r>
    </w:p>
    <w:p w:rsidR="0086102A" w:rsidRPr="0086102A" w:rsidRDefault="0086102A" w:rsidP="0086102A">
      <w:pPr>
        <w:pStyle w:val="Heading5"/>
      </w:pPr>
      <w:bookmarkStart w:id="71" w:name="_Toc241374289"/>
      <w:bookmarkStart w:id="72" w:name="_Toc272414623"/>
      <w:bookmarkStart w:id="73" w:name="_Toc290846246"/>
      <w:bookmarkStart w:id="74" w:name="_Toc408164019"/>
      <w:r w:rsidRPr="0086102A">
        <w:t>E</w:t>
      </w:r>
      <w:bookmarkEnd w:id="71"/>
      <w:r w:rsidRPr="0086102A">
        <w:t>xcretion</w:t>
      </w:r>
      <w:bookmarkEnd w:id="72"/>
      <w:bookmarkEnd w:id="73"/>
      <w:bookmarkEnd w:id="74"/>
    </w:p>
    <w:p w:rsidR="0086102A" w:rsidRPr="0086102A" w:rsidRDefault="0086102A" w:rsidP="0086102A">
      <w:r w:rsidRPr="0086102A">
        <w:t>Following a single oral dose of [14C]-SOF, SOF was rapidly absorbed and elimina</w:t>
      </w:r>
      <w:r w:rsidR="00920649">
        <w:t xml:space="preserve">ted in the urine as GS-331007. </w:t>
      </w:r>
      <w:r w:rsidRPr="0086102A">
        <w:t>Mean total recovery of radioactive dose was &gt;</w:t>
      </w:r>
      <w:r w:rsidR="00D5308D">
        <w:t xml:space="preserve"> </w:t>
      </w:r>
      <w:r w:rsidRPr="0086102A">
        <w:t>92%, consisting of ≈80% recovered in urine, 14% in faeces and 2.5% in expired air.</w:t>
      </w:r>
    </w:p>
    <w:p w:rsidR="0086102A" w:rsidRPr="0086102A" w:rsidRDefault="0086102A" w:rsidP="0086102A">
      <w:pPr>
        <w:pStyle w:val="Heading4"/>
      </w:pPr>
      <w:bookmarkStart w:id="75" w:name="_Toc241374292"/>
      <w:bookmarkStart w:id="76" w:name="_Ref271189131"/>
      <w:bookmarkStart w:id="77" w:name="_Ref271189136"/>
      <w:bookmarkStart w:id="78" w:name="_Toc272414625"/>
      <w:bookmarkStart w:id="79" w:name="_Toc290846248"/>
      <w:bookmarkStart w:id="80" w:name="_Toc408164020"/>
      <w:r w:rsidRPr="0086102A">
        <w:t>Pharmacokinetics in the target population</w:t>
      </w:r>
      <w:bookmarkEnd w:id="75"/>
      <w:bookmarkEnd w:id="76"/>
      <w:bookmarkEnd w:id="77"/>
      <w:bookmarkEnd w:id="78"/>
      <w:bookmarkEnd w:id="79"/>
      <w:bookmarkEnd w:id="80"/>
    </w:p>
    <w:p w:rsidR="0086102A" w:rsidRPr="0086102A" w:rsidRDefault="0086102A" w:rsidP="0086102A">
      <w:r w:rsidRPr="0086102A">
        <w:t xml:space="preserve">Exposure in the HCV infected population is higher than in healthy subjects: mean SOF </w:t>
      </w:r>
      <w:proofErr w:type="spellStart"/>
      <w:r w:rsidRPr="0086102A">
        <w:t>AUCtau</w:t>
      </w:r>
      <w:proofErr w:type="spellEnd"/>
      <w:r w:rsidRPr="0086102A">
        <w:t xml:space="preserve"> was higher by 36%.</w:t>
      </w:r>
      <w:bookmarkStart w:id="81" w:name="_Toc241374293"/>
    </w:p>
    <w:p w:rsidR="0086102A" w:rsidRPr="0086102A" w:rsidRDefault="0086102A" w:rsidP="0086102A">
      <w:pPr>
        <w:pStyle w:val="Heading4"/>
      </w:pPr>
      <w:bookmarkStart w:id="82" w:name="_Toc272414626"/>
      <w:bookmarkStart w:id="83" w:name="_Toc290846249"/>
      <w:bookmarkStart w:id="84" w:name="_Toc408164021"/>
      <w:r w:rsidRPr="0086102A">
        <w:t>Pharmacokinetics in other special populations</w:t>
      </w:r>
      <w:bookmarkEnd w:id="81"/>
      <w:bookmarkEnd w:id="82"/>
      <w:bookmarkEnd w:id="83"/>
      <w:bookmarkEnd w:id="84"/>
    </w:p>
    <w:p w:rsidR="0086102A" w:rsidRPr="0086102A" w:rsidRDefault="0086102A" w:rsidP="0086102A">
      <w:r w:rsidRPr="0086102A">
        <w:t>Age, gender and ethnicity did not have any significant effects on exposure to GS-331007</w:t>
      </w:r>
    </w:p>
    <w:p w:rsidR="0086102A" w:rsidRPr="0086102A" w:rsidRDefault="0086102A" w:rsidP="0086102A">
      <w:pPr>
        <w:pStyle w:val="Heading4"/>
      </w:pPr>
      <w:bookmarkStart w:id="85" w:name="_Toc241374294"/>
      <w:bookmarkStart w:id="86" w:name="_Toc272414632"/>
      <w:bookmarkStart w:id="87" w:name="_Toc290846255"/>
      <w:bookmarkStart w:id="88" w:name="_Toc408164022"/>
      <w:r w:rsidRPr="0086102A">
        <w:t>Pharmacokinetic interactions</w:t>
      </w:r>
      <w:bookmarkEnd w:id="85"/>
      <w:bookmarkEnd w:id="86"/>
      <w:bookmarkEnd w:id="87"/>
      <w:bookmarkEnd w:id="88"/>
    </w:p>
    <w:p w:rsidR="0086102A" w:rsidRPr="0086102A" w:rsidRDefault="0086102A" w:rsidP="0086102A">
      <w:pPr>
        <w:pStyle w:val="Heading5"/>
      </w:pPr>
      <w:bookmarkStart w:id="89" w:name="_Pharmacokinetic_interactions_demons_2"/>
      <w:bookmarkStart w:id="90" w:name="_Toc272414633"/>
      <w:bookmarkStart w:id="91" w:name="_Toc290846256"/>
      <w:bookmarkStart w:id="92" w:name="_Toc408164023"/>
      <w:bookmarkEnd w:id="89"/>
      <w:r w:rsidRPr="0086102A">
        <w:t>Pharmacokinetic interactions demonstrated in human studies</w:t>
      </w:r>
      <w:bookmarkEnd w:id="90"/>
      <w:bookmarkEnd w:id="91"/>
      <w:bookmarkEnd w:id="92"/>
    </w:p>
    <w:p w:rsidR="0086102A" w:rsidRPr="0086102A" w:rsidRDefault="0086102A" w:rsidP="0086102A">
      <w:r w:rsidRPr="0086102A">
        <w:t xml:space="preserve">In the CER for SOVALDI </w:t>
      </w:r>
      <w:r w:rsidR="00145958">
        <w:t>(</w:t>
      </w:r>
      <w:proofErr w:type="spellStart"/>
      <w:r w:rsidR="00145958">
        <w:t>sofosbuvir</w:t>
      </w:r>
      <w:proofErr w:type="spellEnd"/>
      <w:r w:rsidR="00145958">
        <w:t xml:space="preserve">), </w:t>
      </w:r>
      <w:r w:rsidRPr="0086102A">
        <w:t>the only clinically</w:t>
      </w:r>
      <w:r w:rsidR="00145958">
        <w:t xml:space="preserve"> significant drug-drug/food/</w:t>
      </w:r>
      <w:r w:rsidRPr="0086102A">
        <w:t>herbal interaction was with potent P-</w:t>
      </w:r>
      <w:proofErr w:type="spellStart"/>
      <w:r w:rsidRPr="0086102A">
        <w:t>gp</w:t>
      </w:r>
      <w:proofErr w:type="spellEnd"/>
      <w:r w:rsidRPr="0086102A">
        <w:t xml:space="preserve"> inducers. The following additional information was included in the present submission:</w:t>
      </w:r>
    </w:p>
    <w:p w:rsidR="0086102A" w:rsidRPr="0086102A" w:rsidRDefault="0086102A" w:rsidP="0086102A">
      <w:r w:rsidRPr="0086102A">
        <w:t>There was no significant effect of SOF on the PK o</w:t>
      </w:r>
      <w:r w:rsidR="00C22ADB">
        <w:t>f GS-9669 (Study GS-US-334-0101)</w:t>
      </w:r>
      <w:r w:rsidRPr="0086102A">
        <w:t>.</w:t>
      </w:r>
    </w:p>
    <w:p w:rsidR="0086102A" w:rsidRPr="0086102A" w:rsidRDefault="0086102A" w:rsidP="0086102A">
      <w:r w:rsidRPr="0086102A">
        <w:t xml:space="preserve">GS-9669 increased the </w:t>
      </w:r>
      <w:proofErr w:type="spellStart"/>
      <w:r w:rsidRPr="0086102A">
        <w:t>AUCinf</w:t>
      </w:r>
      <w:proofErr w:type="spellEnd"/>
      <w:r w:rsidRPr="0086102A">
        <w:t xml:space="preserve"> of SOF by 35%, and </w:t>
      </w:r>
      <w:proofErr w:type="spellStart"/>
      <w:r w:rsidRPr="0086102A">
        <w:t>Cmax</w:t>
      </w:r>
      <w:proofErr w:type="spellEnd"/>
      <w:r w:rsidRPr="0086102A">
        <w:t xml:space="preserve"> by 30%, and this effect appeared to be additive to the effec</w:t>
      </w:r>
      <w:r w:rsidR="005C74A1">
        <w:t>ts of LDV (Study GS-US-334-0101</w:t>
      </w:r>
      <w:r>
        <w:t xml:space="preserve">). </w:t>
      </w:r>
      <w:r w:rsidRPr="0086102A">
        <w:t xml:space="preserve">The </w:t>
      </w:r>
      <w:proofErr w:type="spellStart"/>
      <w:r w:rsidRPr="0086102A">
        <w:t>AUCinf</w:t>
      </w:r>
      <w:proofErr w:type="spellEnd"/>
      <w:r w:rsidRPr="0086102A">
        <w:t xml:space="preserve"> for GS-566500 was</w:t>
      </w:r>
      <w:r w:rsidR="00920649">
        <w:t xml:space="preserve"> increased by 28%. </w:t>
      </w:r>
      <w:r w:rsidRPr="0086102A">
        <w:t xml:space="preserve">However, the </w:t>
      </w:r>
      <w:proofErr w:type="spellStart"/>
      <w:r w:rsidRPr="0086102A">
        <w:t>AUCinf</w:t>
      </w:r>
      <w:proofErr w:type="spellEnd"/>
      <w:r w:rsidRPr="0086102A">
        <w:t xml:space="preserve"> of GS-331007 was increased to a lesser extent (15%).</w:t>
      </w:r>
    </w:p>
    <w:p w:rsidR="0086102A" w:rsidRPr="0086102A" w:rsidRDefault="0086102A" w:rsidP="0086102A">
      <w:r w:rsidRPr="0086102A">
        <w:t xml:space="preserve">In an assessment of the effects of SOF on the combined oral contraceptive pill, </w:t>
      </w:r>
      <w:proofErr w:type="spellStart"/>
      <w:r w:rsidRPr="0086102A">
        <w:t>norelgestromin</w:t>
      </w:r>
      <w:proofErr w:type="spellEnd"/>
      <w:r w:rsidRPr="0086102A">
        <w:t xml:space="preserve"> </w:t>
      </w:r>
      <w:proofErr w:type="spellStart"/>
      <w:r w:rsidRPr="0086102A">
        <w:t>AUCtau</w:t>
      </w:r>
      <w:proofErr w:type="spellEnd"/>
      <w:r w:rsidRPr="0086102A">
        <w:t xml:space="preserve"> was not significantly affect</w:t>
      </w:r>
      <w:r w:rsidR="009B1982">
        <w:t>ed by SOF (Study GS-US-334-0146)</w:t>
      </w:r>
      <w:r w:rsidR="00DA14A5">
        <w:t>.</w:t>
      </w:r>
      <w:r>
        <w:t xml:space="preserve"> </w:t>
      </w:r>
      <w:r w:rsidRPr="0086102A">
        <w:t xml:space="preserve">However </w:t>
      </w:r>
      <w:proofErr w:type="spellStart"/>
      <w:r w:rsidRPr="0086102A">
        <w:t>norgestrel</w:t>
      </w:r>
      <w:proofErr w:type="spellEnd"/>
      <w:r w:rsidRPr="0086102A">
        <w:t xml:space="preserve"> </w:t>
      </w:r>
      <w:proofErr w:type="spellStart"/>
      <w:r w:rsidRPr="0086102A">
        <w:t>AUCtau</w:t>
      </w:r>
      <w:proofErr w:type="spellEnd"/>
      <w:r w:rsidRPr="0086102A">
        <w:t xml:space="preserve"> was increased by 1</w:t>
      </w:r>
      <w:r w:rsidR="00920649">
        <w:t xml:space="preserve">9% and </w:t>
      </w:r>
      <w:proofErr w:type="spellStart"/>
      <w:r w:rsidR="00920649">
        <w:t>ethinyl</w:t>
      </w:r>
      <w:proofErr w:type="spellEnd"/>
      <w:r w:rsidR="00920649">
        <w:t xml:space="preserve"> </w:t>
      </w:r>
      <w:proofErr w:type="spellStart"/>
      <w:r w:rsidR="00920649">
        <w:t>estradiol</w:t>
      </w:r>
      <w:proofErr w:type="spellEnd"/>
      <w:r w:rsidR="00920649">
        <w:t xml:space="preserve"> by 9%.</w:t>
      </w:r>
      <w:r w:rsidRPr="0086102A">
        <w:t xml:space="preserve"> This would not be expected to affect the efficacy or safety of the oral contraceptive pill.</w:t>
      </w:r>
    </w:p>
    <w:p w:rsidR="0086102A" w:rsidRPr="0086102A" w:rsidRDefault="0086102A" w:rsidP="0086102A">
      <w:r w:rsidRPr="0086102A">
        <w:t xml:space="preserve">VDV increased the </w:t>
      </w:r>
      <w:proofErr w:type="spellStart"/>
      <w:r w:rsidRPr="0086102A">
        <w:t>AUCinf</w:t>
      </w:r>
      <w:proofErr w:type="spellEnd"/>
      <w:r w:rsidRPr="0086102A">
        <w:t xml:space="preserve"> of SOF by 144%, GS-566500 by 111% and GS-33100</w:t>
      </w:r>
      <w:r w:rsidR="00140519">
        <w:t>7 by 19% (Study GS-US-334-0148). S</w:t>
      </w:r>
      <w:r w:rsidRPr="0086102A">
        <w:t xml:space="preserve">OF decreased the </w:t>
      </w:r>
      <w:proofErr w:type="spellStart"/>
      <w:r w:rsidRPr="0086102A">
        <w:t>AUCtau</w:t>
      </w:r>
      <w:proofErr w:type="spellEnd"/>
      <w:r w:rsidRPr="0086102A">
        <w:t xml:space="preserve"> of VDV by 6% and the </w:t>
      </w:r>
      <w:proofErr w:type="spellStart"/>
      <w:r w:rsidRPr="0086102A">
        <w:t>Cma</w:t>
      </w:r>
      <w:r w:rsidR="00140519">
        <w:t>x</w:t>
      </w:r>
      <w:proofErr w:type="spellEnd"/>
      <w:r w:rsidR="00140519">
        <w:t xml:space="preserve"> by 11% (Study GS-US-334-0148).</w:t>
      </w:r>
    </w:p>
    <w:p w:rsidR="0086102A" w:rsidRPr="0086102A" w:rsidRDefault="0086102A" w:rsidP="00886813">
      <w:pPr>
        <w:pStyle w:val="Heading3"/>
      </w:pPr>
      <w:bookmarkStart w:id="93" w:name="_Toc408164024"/>
      <w:bookmarkStart w:id="94" w:name="_Toc432073910"/>
      <w:r w:rsidRPr="0086102A">
        <w:t xml:space="preserve">Summary of pharmacokinetics for </w:t>
      </w:r>
      <w:proofErr w:type="spellStart"/>
      <w:r w:rsidRPr="0086102A">
        <w:t>ledipasvir</w:t>
      </w:r>
      <w:bookmarkEnd w:id="93"/>
      <w:bookmarkEnd w:id="94"/>
      <w:proofErr w:type="spellEnd"/>
    </w:p>
    <w:p w:rsidR="0086102A" w:rsidRPr="0086102A" w:rsidRDefault="0086102A" w:rsidP="0086102A">
      <w:r w:rsidRPr="0086102A">
        <w:t>The information in the following summary is derived from conventional pharmacokinetic studies unless otherwise stated.</w:t>
      </w:r>
    </w:p>
    <w:p w:rsidR="0086102A" w:rsidRPr="0086102A" w:rsidRDefault="0086102A" w:rsidP="0086102A">
      <w:pPr>
        <w:pStyle w:val="Heading4"/>
      </w:pPr>
      <w:bookmarkStart w:id="95" w:name="_Toc408164025"/>
      <w:r w:rsidRPr="0086102A">
        <w:t xml:space="preserve">Physicochemical characteristics of the </w:t>
      </w:r>
      <w:proofErr w:type="spellStart"/>
      <w:r w:rsidRPr="0086102A">
        <w:t>ledipasvir</w:t>
      </w:r>
      <w:bookmarkEnd w:id="95"/>
      <w:proofErr w:type="spellEnd"/>
    </w:p>
    <w:p w:rsidR="0086102A" w:rsidRPr="0086102A" w:rsidRDefault="0086102A" w:rsidP="0086102A">
      <w:r w:rsidRPr="0086102A">
        <w:t>The following information is derived from the Sponsor’s proposed PI:</w:t>
      </w:r>
    </w:p>
    <w:p w:rsidR="0086102A" w:rsidRPr="0086102A" w:rsidRDefault="0086102A" w:rsidP="0086102A">
      <w:r w:rsidRPr="0086102A">
        <w:t xml:space="preserve">The chemical name of </w:t>
      </w:r>
      <w:proofErr w:type="spellStart"/>
      <w:r w:rsidRPr="0086102A">
        <w:t>ledipasvir</w:t>
      </w:r>
      <w:proofErr w:type="spellEnd"/>
      <w:r w:rsidRPr="0086102A">
        <w:t xml:space="preserve"> is Methyl [(2S)-1-{(6S)-6-[5-(9,9-difluoro-7- {2-[(1R,3S,4S)-2-{(2S)-2-[(methoxycarbonyl)amino]-3-methylbutanoyl}-2-azabicyclo[2.2.1]hept-3-yl]-1H-benzimidazol-6-yl}-9H-fluoren-2-yl)-1H-imidazol-2-yl]-5-azaspiro[2.4]hept-5-yl}-3-met</w:t>
      </w:r>
      <w:r>
        <w:t>hyl-1-oxobutan-2-yl]carbamate.</w:t>
      </w:r>
    </w:p>
    <w:p w:rsidR="0086102A" w:rsidRPr="0086102A" w:rsidRDefault="0086102A" w:rsidP="0086102A">
      <w:r w:rsidRPr="0086102A">
        <w:t>It has a molecular formula of C49H54F2N8O6 and</w:t>
      </w:r>
      <w:r w:rsidR="00920649">
        <w:t xml:space="preserve"> a molecular weight of 889.00. </w:t>
      </w:r>
      <w:r w:rsidRPr="0086102A">
        <w:t>It has the following structural formula</w:t>
      </w:r>
      <w:r>
        <w:t>:</w:t>
      </w:r>
    </w:p>
    <w:p w:rsidR="0086102A" w:rsidRPr="00AA56A2" w:rsidRDefault="0086102A" w:rsidP="0086102A">
      <w:pPr>
        <w:autoSpaceDE w:val="0"/>
        <w:autoSpaceDN w:val="0"/>
        <w:adjustRightInd w:val="0"/>
        <w:rPr>
          <w:rFonts w:ascii="Times New Roman" w:hAnsi="Times New Roman"/>
          <w:b/>
          <w:bCs/>
          <w:sz w:val="24"/>
          <w:lang w:val="en-US"/>
        </w:rPr>
      </w:pPr>
      <w:r>
        <w:rPr>
          <w:rFonts w:ascii="Times New Roman" w:hAnsi="Times New Roman"/>
          <w:b/>
          <w:bCs/>
          <w:noProof/>
          <w:sz w:val="24"/>
          <w:lang w:eastAsia="en-AU"/>
        </w:rPr>
        <w:drawing>
          <wp:inline distT="0" distB="0" distL="0" distR="0" wp14:anchorId="0E9C6EAA" wp14:editId="224E2243">
            <wp:extent cx="5920105" cy="1150620"/>
            <wp:effectExtent l="0" t="0" r="4445" b="0"/>
            <wp:docPr id="4" name="Picture 4" descr="It has a molecular formula of C49H54F2N8O6 and a molecular weight of 88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0105" cy="1150620"/>
                    </a:xfrm>
                    <a:prstGeom prst="rect">
                      <a:avLst/>
                    </a:prstGeom>
                    <a:noFill/>
                    <a:ln>
                      <a:noFill/>
                    </a:ln>
                  </pic:spPr>
                </pic:pic>
              </a:graphicData>
            </a:graphic>
          </wp:inline>
        </w:drawing>
      </w:r>
    </w:p>
    <w:p w:rsidR="0086102A" w:rsidRPr="00512D7D" w:rsidRDefault="0086102A" w:rsidP="0086102A">
      <w:pPr>
        <w:rPr>
          <w:i/>
        </w:rPr>
      </w:pPr>
      <w:r w:rsidRPr="00512D7D">
        <w:rPr>
          <w:i/>
        </w:rPr>
        <w:t>CA</w:t>
      </w:r>
      <w:r w:rsidR="00886813">
        <w:rPr>
          <w:i/>
        </w:rPr>
        <w:t>S registry number: 1256388-51-8</w:t>
      </w:r>
    </w:p>
    <w:p w:rsidR="0086102A" w:rsidRPr="0086102A" w:rsidRDefault="0086102A" w:rsidP="0086102A">
      <w:proofErr w:type="spellStart"/>
      <w:r w:rsidRPr="0086102A">
        <w:t>Ledipasvir</w:t>
      </w:r>
      <w:proofErr w:type="spellEnd"/>
      <w:r w:rsidRPr="0086102A">
        <w:t xml:space="preserve"> is practically insoluble (&lt;</w:t>
      </w:r>
      <w:r w:rsidR="001C473D">
        <w:t xml:space="preserve"> </w:t>
      </w:r>
      <w:r w:rsidRPr="0086102A">
        <w:t>0.1 mg/mL) across the pH range of 4.0</w:t>
      </w:r>
      <w:r w:rsidR="001C473D">
        <w:t xml:space="preserve"> </w:t>
      </w:r>
      <w:r w:rsidRPr="0086102A">
        <w:t>-</w:t>
      </w:r>
      <w:r w:rsidR="001C473D">
        <w:t xml:space="preserve"> </w:t>
      </w:r>
      <w:r w:rsidRPr="0086102A">
        <w:t>7.5 and is slightly s</w:t>
      </w:r>
      <w:r w:rsidR="00920649">
        <w:t xml:space="preserve">oluble below pH 3.0 (4 mg/mL). </w:t>
      </w:r>
      <w:r w:rsidRPr="0086102A">
        <w:t xml:space="preserve">The partition coefficient (log P) for </w:t>
      </w:r>
      <w:proofErr w:type="spellStart"/>
      <w:r w:rsidRPr="0086102A">
        <w:t>ledipasvir</w:t>
      </w:r>
      <w:proofErr w:type="spellEnd"/>
      <w:r w:rsidRPr="0086102A">
        <w:t xml:space="preserve"> is 3.8 and the pKa1 is 4.0 and pKa2 is 5.0.</w:t>
      </w:r>
    </w:p>
    <w:p w:rsidR="0086102A" w:rsidRPr="0086102A" w:rsidRDefault="0086102A" w:rsidP="0086102A">
      <w:pPr>
        <w:pStyle w:val="Heading4"/>
      </w:pPr>
      <w:bookmarkStart w:id="96" w:name="_Toc408164026"/>
      <w:r w:rsidRPr="0086102A">
        <w:t xml:space="preserve">Pharmacokinetics of </w:t>
      </w:r>
      <w:proofErr w:type="spellStart"/>
      <w:r w:rsidRPr="0086102A">
        <w:t>ledipasvir</w:t>
      </w:r>
      <w:proofErr w:type="spellEnd"/>
      <w:r w:rsidRPr="0086102A">
        <w:t xml:space="preserve"> in healthy subjects</w:t>
      </w:r>
      <w:bookmarkEnd w:id="96"/>
    </w:p>
    <w:p w:rsidR="0086102A" w:rsidRPr="0086102A" w:rsidRDefault="0086102A" w:rsidP="0086102A">
      <w:pPr>
        <w:pStyle w:val="Heading5"/>
      </w:pPr>
      <w:bookmarkStart w:id="97" w:name="_Toc408164027"/>
      <w:r w:rsidRPr="0086102A">
        <w:t>Absorption</w:t>
      </w:r>
      <w:bookmarkEnd w:id="97"/>
    </w:p>
    <w:p w:rsidR="0086102A" w:rsidRPr="0086102A" w:rsidRDefault="0086102A" w:rsidP="0086102A">
      <w:pPr>
        <w:pStyle w:val="Heading6"/>
      </w:pPr>
      <w:bookmarkStart w:id="98" w:name="_Sites_and_mechanisms_of_absorption"/>
      <w:bookmarkEnd w:id="98"/>
      <w:r w:rsidRPr="0086102A">
        <w:t>Sites and mechanisms of absorption</w:t>
      </w:r>
    </w:p>
    <w:p w:rsidR="0086102A" w:rsidRPr="0086102A" w:rsidRDefault="0086102A" w:rsidP="0086102A">
      <w:r w:rsidRPr="0086102A">
        <w:t xml:space="preserve">LDV appears to have solubility limited absorption at oral doses greater than 100 mg in the </w:t>
      </w:r>
      <w:r w:rsidR="00145958">
        <w:t>fed state (Study GS-US-169-0105)</w:t>
      </w:r>
      <w:r w:rsidR="00920649">
        <w:t xml:space="preserve">. </w:t>
      </w:r>
      <w:r w:rsidRPr="0086102A">
        <w:t>The exposure to a 100 mg and a 360 mg</w:t>
      </w:r>
      <w:r w:rsidR="00920649">
        <w:t xml:space="preserve"> single oral dose was similar. </w:t>
      </w:r>
      <w:r w:rsidRPr="0086102A">
        <w:t xml:space="preserve">For a 360 mg dose the </w:t>
      </w:r>
      <w:proofErr w:type="spellStart"/>
      <w:r w:rsidRPr="0086102A">
        <w:t>AUCinf</w:t>
      </w:r>
      <w:proofErr w:type="spellEnd"/>
      <w:r w:rsidRPr="0086102A">
        <w:t xml:space="preserve"> was 8995.7 (54.4) </w:t>
      </w:r>
      <w:proofErr w:type="spellStart"/>
      <w:r w:rsidRPr="0086102A">
        <w:t>ng•hr</w:t>
      </w:r>
      <w:proofErr w:type="spellEnd"/>
      <w:r w:rsidRPr="0086102A">
        <w:t xml:space="preserve">/ml and for a 100 mg dose </w:t>
      </w:r>
      <w:r w:rsidR="00920649">
        <w:t xml:space="preserve">it was 7697.1 (34.3) </w:t>
      </w:r>
      <w:proofErr w:type="spellStart"/>
      <w:r w:rsidR="00920649">
        <w:t>ng•hr</w:t>
      </w:r>
      <w:proofErr w:type="spellEnd"/>
      <w:r w:rsidR="00920649">
        <w:t xml:space="preserve">/ml. </w:t>
      </w:r>
      <w:r w:rsidRPr="0086102A">
        <w:t xml:space="preserve">For a 360 mg dose the </w:t>
      </w:r>
      <w:proofErr w:type="spellStart"/>
      <w:r w:rsidRPr="0086102A">
        <w:t>Cmax</w:t>
      </w:r>
      <w:proofErr w:type="spellEnd"/>
      <w:r w:rsidRPr="0086102A">
        <w:t xml:space="preserve"> 287.2 (45.8) </w:t>
      </w:r>
      <w:proofErr w:type="spellStart"/>
      <w:r w:rsidRPr="0086102A">
        <w:t>ng</w:t>
      </w:r>
      <w:proofErr w:type="spellEnd"/>
      <w:r w:rsidRPr="0086102A">
        <w:t xml:space="preserve">/mL and for a 100 mg dose it was 215.5 (34.6) </w:t>
      </w:r>
      <w:proofErr w:type="spellStart"/>
      <w:r w:rsidRPr="0086102A">
        <w:t>ng</w:t>
      </w:r>
      <w:proofErr w:type="spellEnd"/>
      <w:r w:rsidRPr="0086102A">
        <w:t>/</w:t>
      </w:r>
      <w:proofErr w:type="spellStart"/>
      <w:r w:rsidRPr="0086102A">
        <w:t>mL.</w:t>
      </w:r>
      <w:proofErr w:type="spellEnd"/>
    </w:p>
    <w:p w:rsidR="0086102A" w:rsidRPr="0086102A" w:rsidRDefault="0086102A" w:rsidP="0086102A">
      <w:pPr>
        <w:pStyle w:val="Heading5"/>
      </w:pPr>
      <w:bookmarkStart w:id="99" w:name="_Bioavailability"/>
      <w:bookmarkStart w:id="100" w:name="_Toc408164028"/>
      <w:bookmarkEnd w:id="99"/>
      <w:r w:rsidRPr="0086102A">
        <w:t>Bioavailability</w:t>
      </w:r>
      <w:bookmarkEnd w:id="100"/>
    </w:p>
    <w:p w:rsidR="0086102A" w:rsidRPr="0086102A" w:rsidRDefault="0086102A" w:rsidP="0086102A">
      <w:pPr>
        <w:pStyle w:val="Heading6"/>
      </w:pPr>
      <w:r w:rsidRPr="0086102A">
        <w:t>Absolute bioavailability</w:t>
      </w:r>
    </w:p>
    <w:p w:rsidR="0086102A" w:rsidRPr="0086102A" w:rsidRDefault="0086102A" w:rsidP="0086102A">
      <w:r w:rsidRPr="0086102A">
        <w:t xml:space="preserve">Absolute bioavailability studies were not provided for </w:t>
      </w:r>
      <w:proofErr w:type="spellStart"/>
      <w:r w:rsidRPr="0086102A">
        <w:t>ledipasvir</w:t>
      </w:r>
      <w:proofErr w:type="spellEnd"/>
      <w:r w:rsidRPr="0086102A">
        <w:t xml:space="preserve"> because due to the low solubility of </w:t>
      </w:r>
      <w:proofErr w:type="spellStart"/>
      <w:r w:rsidRPr="0086102A">
        <w:t>ledipasvir</w:t>
      </w:r>
      <w:proofErr w:type="spellEnd"/>
      <w:r w:rsidRPr="0086102A">
        <w:t xml:space="preserve"> it was not possible for the sponsor to develop a formulation suitable for intravenous administration.</w:t>
      </w:r>
    </w:p>
    <w:p w:rsidR="0086102A" w:rsidRPr="0086102A" w:rsidRDefault="0086102A" w:rsidP="00886813">
      <w:pPr>
        <w:pStyle w:val="Heading6"/>
      </w:pPr>
      <w:r w:rsidRPr="0086102A">
        <w:t>Bioequivalence of clinical trial and market formulations</w:t>
      </w:r>
    </w:p>
    <w:p w:rsidR="0086102A" w:rsidRPr="0086102A" w:rsidRDefault="0086102A" w:rsidP="0086102A">
      <w:r w:rsidRPr="0086102A">
        <w:t xml:space="preserve">LDV exposure (AUC and </w:t>
      </w:r>
      <w:proofErr w:type="spellStart"/>
      <w:r w:rsidRPr="0086102A">
        <w:t>Cmax</w:t>
      </w:r>
      <w:proofErr w:type="spellEnd"/>
      <w:r w:rsidRPr="0086102A">
        <w:t>) increased by 23% in the spray died formulation compared with conventional</w:t>
      </w:r>
      <w:r w:rsidR="007753FF">
        <w:t xml:space="preserve"> tablets (Study GS-US-256-0110).</w:t>
      </w:r>
    </w:p>
    <w:p w:rsidR="0086102A" w:rsidRPr="0086102A" w:rsidRDefault="0086102A" w:rsidP="0086102A">
      <w:pPr>
        <w:pStyle w:val="Heading6"/>
      </w:pPr>
      <w:bookmarkStart w:id="101" w:name="_Influence_of_food_1"/>
      <w:bookmarkEnd w:id="101"/>
      <w:r w:rsidRPr="0086102A">
        <w:t>Influence of food</w:t>
      </w:r>
    </w:p>
    <w:p w:rsidR="0086102A" w:rsidRPr="0086102A" w:rsidRDefault="0086102A" w:rsidP="0086102A">
      <w:r w:rsidRPr="0086102A">
        <w:t>Food decreased bioavailability by 50% at the 30 mg dose level, with no ef</w:t>
      </w:r>
      <w:r w:rsidR="00B2557E">
        <w:t>fect on t½ (Study GS-US-256-0101).</w:t>
      </w:r>
    </w:p>
    <w:p w:rsidR="0086102A" w:rsidRPr="0086102A" w:rsidRDefault="0086102A" w:rsidP="0086102A">
      <w:pPr>
        <w:pStyle w:val="Heading6"/>
      </w:pPr>
      <w:r w:rsidRPr="0086102A">
        <w:t>Dose proportionality</w:t>
      </w:r>
    </w:p>
    <w:p w:rsidR="0086102A" w:rsidRPr="0086102A" w:rsidRDefault="0086102A" w:rsidP="0086102A">
      <w:r w:rsidRPr="0086102A">
        <w:t xml:space="preserve">In healthy volunteers LDV was dose proportional for </w:t>
      </w:r>
      <w:proofErr w:type="spellStart"/>
      <w:r w:rsidRPr="0086102A">
        <w:t>Cmax</w:t>
      </w:r>
      <w:proofErr w:type="spellEnd"/>
      <w:r w:rsidRPr="0086102A">
        <w:t xml:space="preserve"> and AUC in the dose range 3 mg t</w:t>
      </w:r>
      <w:r w:rsidR="005E04BF">
        <w:t>o 100 mg (Study GS-US-256-0101).</w:t>
      </w:r>
    </w:p>
    <w:p w:rsidR="0086102A" w:rsidRPr="0086102A" w:rsidRDefault="0086102A" w:rsidP="0086102A">
      <w:pPr>
        <w:pStyle w:val="Heading5"/>
      </w:pPr>
      <w:bookmarkStart w:id="102" w:name="_Toc408164029"/>
      <w:r w:rsidRPr="0086102A">
        <w:t>Distribution</w:t>
      </w:r>
      <w:bookmarkEnd w:id="102"/>
    </w:p>
    <w:p w:rsidR="0086102A" w:rsidRPr="0086102A" w:rsidRDefault="0086102A" w:rsidP="0086102A">
      <w:pPr>
        <w:pStyle w:val="Heading6"/>
      </w:pPr>
      <w:r w:rsidRPr="0086102A">
        <w:t>Volume of distribution</w:t>
      </w:r>
    </w:p>
    <w:p w:rsidR="0086102A" w:rsidRPr="0086102A" w:rsidRDefault="0086102A" w:rsidP="0086102A">
      <w:r w:rsidRPr="0086102A">
        <w:t>V/F is in the range of 87</w:t>
      </w:r>
      <w:r w:rsidR="00B71862">
        <w:t>6 to 1256 L (Study GS-US-256-0101).</w:t>
      </w:r>
    </w:p>
    <w:p w:rsidR="0086102A" w:rsidRPr="0086102A" w:rsidRDefault="0086102A" w:rsidP="0086102A">
      <w:pPr>
        <w:pStyle w:val="Heading6"/>
      </w:pPr>
      <w:r w:rsidRPr="0086102A">
        <w:t>Plasma protein binding</w:t>
      </w:r>
    </w:p>
    <w:p w:rsidR="0086102A" w:rsidRPr="0086102A" w:rsidRDefault="0086102A" w:rsidP="0086102A">
      <w:r w:rsidRPr="0086102A">
        <w:t xml:space="preserve">The mean (SD) plasma protein binding of </w:t>
      </w:r>
      <w:proofErr w:type="spellStart"/>
      <w:r w:rsidRPr="0086102A">
        <w:t>ledipasvir</w:t>
      </w:r>
      <w:proofErr w:type="spellEnd"/>
      <w:r w:rsidRPr="0086102A">
        <w:t xml:space="preserve"> was 0.05 (0.03) % at a 2 </w:t>
      </w:r>
      <w:proofErr w:type="spellStart"/>
      <w:r w:rsidRPr="0086102A">
        <w:t>μM</w:t>
      </w:r>
      <w:proofErr w:type="spellEnd"/>
      <w:r w:rsidRPr="0086102A">
        <w:t xml:space="preserve"> concentration and 0.06 (0.04) % at a 10 </w:t>
      </w:r>
      <w:proofErr w:type="spellStart"/>
      <w:r w:rsidRPr="0086102A">
        <w:t>μM</w:t>
      </w:r>
      <w:proofErr w:type="spellEnd"/>
      <w:r w:rsidRPr="0086102A">
        <w:t xml:space="preserve"> co</w:t>
      </w:r>
      <w:r w:rsidR="00DD45BF">
        <w:t>ncentration (Study AD-256-2094).</w:t>
      </w:r>
    </w:p>
    <w:p w:rsidR="0086102A" w:rsidRPr="00813BEC" w:rsidRDefault="0086102A" w:rsidP="00813BEC">
      <w:pPr>
        <w:pStyle w:val="Heading6"/>
      </w:pPr>
      <w:r w:rsidRPr="00813BEC">
        <w:t>Erythrocyte distribution</w:t>
      </w:r>
    </w:p>
    <w:p w:rsidR="0086102A" w:rsidRPr="00813BEC" w:rsidRDefault="00813BEC" w:rsidP="00813BEC">
      <w:r w:rsidRPr="00813BEC">
        <w:t>Not assessed.</w:t>
      </w:r>
    </w:p>
    <w:p w:rsidR="0086102A" w:rsidRPr="00813BEC" w:rsidRDefault="0086102A" w:rsidP="00813BEC">
      <w:pPr>
        <w:pStyle w:val="Heading6"/>
      </w:pPr>
      <w:r w:rsidRPr="00813BEC">
        <w:t>Tissue distribution</w:t>
      </w:r>
    </w:p>
    <w:p w:rsidR="0086102A" w:rsidRPr="00813BEC" w:rsidRDefault="0086102A" w:rsidP="00813BEC">
      <w:r w:rsidRPr="00813BEC">
        <w:t>The high volume of distribution indicates extensive tissue distribution.</w:t>
      </w:r>
    </w:p>
    <w:p w:rsidR="0086102A" w:rsidRPr="00813BEC" w:rsidRDefault="0086102A" w:rsidP="00813BEC">
      <w:pPr>
        <w:pStyle w:val="Heading5"/>
      </w:pPr>
      <w:bookmarkStart w:id="103" w:name="_Toc408164030"/>
      <w:r w:rsidRPr="00813BEC">
        <w:t>Metabolism</w:t>
      </w:r>
      <w:bookmarkEnd w:id="103"/>
    </w:p>
    <w:p w:rsidR="0086102A" w:rsidRPr="00813BEC" w:rsidRDefault="0086102A" w:rsidP="00813BEC">
      <w:pPr>
        <w:pStyle w:val="Heading6"/>
      </w:pPr>
      <w:proofErr w:type="spellStart"/>
      <w:r w:rsidRPr="00813BEC">
        <w:t>Interconversion</w:t>
      </w:r>
      <w:proofErr w:type="spellEnd"/>
      <w:r w:rsidRPr="00813BEC">
        <w:t xml:space="preserve"> between enantiomers</w:t>
      </w:r>
    </w:p>
    <w:p w:rsidR="0086102A" w:rsidRPr="00813BEC" w:rsidRDefault="00813BEC" w:rsidP="00813BEC">
      <w:r w:rsidRPr="00813BEC">
        <w:t>Not assessed.</w:t>
      </w:r>
    </w:p>
    <w:p w:rsidR="0086102A" w:rsidRPr="00813BEC" w:rsidRDefault="0086102A" w:rsidP="00813BEC">
      <w:pPr>
        <w:pStyle w:val="Heading6"/>
      </w:pPr>
      <w:bookmarkStart w:id="104" w:name="_Sites_of_metabolism_and_mechanisms_"/>
      <w:bookmarkEnd w:id="104"/>
      <w:r w:rsidRPr="00813BEC">
        <w:t>Non-renal clearance</w:t>
      </w:r>
    </w:p>
    <w:p w:rsidR="0086102A" w:rsidRPr="00813BEC" w:rsidRDefault="0086102A" w:rsidP="00813BEC">
      <w:r w:rsidRPr="00813BEC">
        <w:t>LDV is primarily ex</w:t>
      </w:r>
      <w:r w:rsidR="00813BEC" w:rsidRPr="00813BEC">
        <w:t>creted in the faeces unchanged.</w:t>
      </w:r>
    </w:p>
    <w:p w:rsidR="0086102A" w:rsidRPr="00813BEC" w:rsidRDefault="0086102A" w:rsidP="00813BEC">
      <w:pPr>
        <w:pStyle w:val="Heading6"/>
      </w:pPr>
      <w:r w:rsidRPr="00813BEC">
        <w:t>Metabolites identified in humans</w:t>
      </w:r>
    </w:p>
    <w:p w:rsidR="0086102A" w:rsidRPr="00AA56A2" w:rsidRDefault="0086102A" w:rsidP="003142B6">
      <w:pPr>
        <w:pStyle w:val="Heading6"/>
        <w:numPr>
          <w:ilvl w:val="5"/>
          <w:numId w:val="5"/>
        </w:numPr>
        <w:spacing w:before="0" w:line="240" w:lineRule="auto"/>
        <w:ind w:hanging="1985"/>
        <w:rPr>
          <w:rFonts w:ascii="Times New Roman" w:hAnsi="Times New Roman"/>
          <w:sz w:val="24"/>
          <w:szCs w:val="24"/>
        </w:rPr>
      </w:pPr>
      <w:r w:rsidRPr="00AA56A2">
        <w:rPr>
          <w:rFonts w:ascii="Times New Roman" w:hAnsi="Times New Roman"/>
          <w:sz w:val="24"/>
          <w:szCs w:val="24"/>
        </w:rPr>
        <w:t>Active metabolites</w:t>
      </w:r>
    </w:p>
    <w:p w:rsidR="0086102A" w:rsidRPr="00813BEC" w:rsidRDefault="0086102A" w:rsidP="0086102A">
      <w:proofErr w:type="spellStart"/>
      <w:r w:rsidRPr="00813BEC">
        <w:t>Ledipasvir</w:t>
      </w:r>
      <w:proofErr w:type="spellEnd"/>
      <w:r w:rsidRPr="00813BEC">
        <w:t xml:space="preserve"> was stable in incubations with pooled human hepatic microsomal fractions and with cryopreserved human </w:t>
      </w:r>
      <w:r w:rsidR="00CA689F">
        <w:t xml:space="preserve">hepatocytes (Study AD-256-2095). </w:t>
      </w:r>
      <w:r w:rsidRPr="00813BEC">
        <w:t>This indicates low hepatic metabolic clearance.</w:t>
      </w:r>
    </w:p>
    <w:p w:rsidR="0086102A" w:rsidRPr="00AA56A2" w:rsidRDefault="0086102A" w:rsidP="003142B6">
      <w:pPr>
        <w:pStyle w:val="Heading6"/>
        <w:numPr>
          <w:ilvl w:val="5"/>
          <w:numId w:val="5"/>
        </w:numPr>
        <w:spacing w:before="0" w:line="240" w:lineRule="auto"/>
        <w:ind w:hanging="1985"/>
        <w:rPr>
          <w:rFonts w:ascii="Times New Roman" w:hAnsi="Times New Roman"/>
          <w:sz w:val="24"/>
          <w:szCs w:val="24"/>
        </w:rPr>
      </w:pPr>
      <w:r w:rsidRPr="00AA56A2">
        <w:rPr>
          <w:rFonts w:ascii="Times New Roman" w:hAnsi="Times New Roman"/>
          <w:sz w:val="24"/>
          <w:szCs w:val="24"/>
        </w:rPr>
        <w:t>Other metabolites</w:t>
      </w:r>
    </w:p>
    <w:p w:rsidR="0086102A" w:rsidRPr="00813BEC" w:rsidRDefault="0086102A" w:rsidP="00813BEC">
      <w:r w:rsidRPr="00813BEC">
        <w:t>LDV undergoes limited metabolism and is primarily excreted unc</w:t>
      </w:r>
      <w:r w:rsidR="00813BEC">
        <w:t>hanged in the faeces and urine.</w:t>
      </w:r>
    </w:p>
    <w:p w:rsidR="0086102A" w:rsidRPr="00813BEC" w:rsidRDefault="0086102A" w:rsidP="00813BEC">
      <w:pPr>
        <w:pStyle w:val="Heading5"/>
      </w:pPr>
      <w:bookmarkStart w:id="105" w:name="_Toc408164031"/>
      <w:r w:rsidRPr="00813BEC">
        <w:t>Excretion</w:t>
      </w:r>
      <w:bookmarkEnd w:id="105"/>
    </w:p>
    <w:p w:rsidR="0086102A" w:rsidRPr="00813BEC" w:rsidRDefault="0086102A" w:rsidP="00813BEC">
      <w:pPr>
        <w:pStyle w:val="Heading6"/>
      </w:pPr>
      <w:r w:rsidRPr="00813BEC">
        <w:t>Routes and mechanisms of excretion</w:t>
      </w:r>
    </w:p>
    <w:p w:rsidR="0086102A" w:rsidRPr="00813BEC" w:rsidRDefault="0086102A" w:rsidP="0086102A">
      <w:r w:rsidRPr="00813BEC">
        <w:t>LDV is predominantly excreted by the faecal route.</w:t>
      </w:r>
    </w:p>
    <w:p w:rsidR="0086102A" w:rsidRPr="00813BEC" w:rsidRDefault="0086102A" w:rsidP="00813BEC">
      <w:pPr>
        <w:pStyle w:val="Heading6"/>
      </w:pPr>
      <w:bookmarkStart w:id="106" w:name="_Mass_balance_studies"/>
      <w:bookmarkEnd w:id="106"/>
      <w:r w:rsidRPr="00813BEC">
        <w:t>Mass balance studies</w:t>
      </w:r>
    </w:p>
    <w:p w:rsidR="0086102A" w:rsidRPr="00813BEC" w:rsidRDefault="0086102A" w:rsidP="00813BEC">
      <w:r w:rsidRPr="00813BEC">
        <w:t>The mass balance of LDV was studied using [</w:t>
      </w:r>
      <w:r w:rsidR="009C1785">
        <w:t xml:space="preserve">14C]-LDV (Study GS-US-256-0108). </w:t>
      </w:r>
      <w:r w:rsidRPr="00813BEC">
        <w:t>Over 4 days, no unchanged pare</w:t>
      </w:r>
      <w:r w:rsidR="00920649">
        <w:t xml:space="preserve">nt drug was detected in urine. </w:t>
      </w:r>
      <w:r w:rsidRPr="00813BEC">
        <w:t>M26 accounted for a mean of 0.632% of the dose and M27</w:t>
      </w:r>
      <w:r w:rsidR="00920649">
        <w:t xml:space="preserve"> a mean of 0.158% of the dose. </w:t>
      </w:r>
      <w:r w:rsidRPr="00813BEC">
        <w:t>All other radioactive components detected in urine each accounted f</w:t>
      </w:r>
      <w:r w:rsidR="00920649">
        <w:t xml:space="preserve">or less than 0.1% of the dose. </w:t>
      </w:r>
      <w:r w:rsidRPr="00813BEC">
        <w:t xml:space="preserve">The mean (SD) total </w:t>
      </w:r>
      <w:proofErr w:type="spellStart"/>
      <w:r w:rsidRPr="00813BEC">
        <w:t>percent</w:t>
      </w:r>
      <w:proofErr w:type="spellEnd"/>
      <w:r w:rsidRPr="00813BEC">
        <w:t xml:space="preserve"> of dose quantified in the faeces was 77.6% (6.8%); predominantly parent drug (70.0% of the dose up to 216 hours post-dose) with oxy-LDV-3 (M19) accounting for a mean of 2.21% of the dose up to 216 hours post-dose, and the remaining unidentified components each accounted for a mean of less than 1.7% of the dose up</w:t>
      </w:r>
      <w:r w:rsidR="00813BEC">
        <w:t xml:space="preserve"> to 216 hours post-dose.</w:t>
      </w:r>
    </w:p>
    <w:p w:rsidR="0086102A" w:rsidRPr="00813BEC" w:rsidRDefault="0086102A" w:rsidP="00813BEC">
      <w:pPr>
        <w:pStyle w:val="Heading6"/>
      </w:pPr>
      <w:r w:rsidRPr="00813BEC">
        <w:t>Renal clearance</w:t>
      </w:r>
    </w:p>
    <w:p w:rsidR="0086102A" w:rsidRPr="00813BEC" w:rsidRDefault="0086102A" w:rsidP="00886813">
      <w:r w:rsidRPr="00813BEC">
        <w:t>Renal clearance of LDV is minimal.</w:t>
      </w:r>
    </w:p>
    <w:p w:rsidR="0086102A" w:rsidRPr="00813BEC" w:rsidRDefault="0086102A" w:rsidP="00886813">
      <w:pPr>
        <w:pStyle w:val="Heading5"/>
      </w:pPr>
      <w:bookmarkStart w:id="107" w:name="_Toc408164032"/>
      <w:r w:rsidRPr="00813BEC">
        <w:t>Intra- and inter-individual variability of pharmacokinetics</w:t>
      </w:r>
      <w:bookmarkEnd w:id="107"/>
    </w:p>
    <w:p w:rsidR="0086102A" w:rsidRPr="00950CC8" w:rsidRDefault="0086102A" w:rsidP="00950CC8">
      <w:r w:rsidRPr="00950CC8">
        <w:t>The CV% for CL/F is in the order of 40</w:t>
      </w:r>
      <w:r w:rsidR="00950CC8">
        <w:t>% to 80% (Study GS-US-256-0101).</w:t>
      </w:r>
    </w:p>
    <w:p w:rsidR="0086102A" w:rsidRPr="00813BEC" w:rsidRDefault="0086102A" w:rsidP="00813BEC">
      <w:pPr>
        <w:pStyle w:val="Heading4"/>
      </w:pPr>
      <w:bookmarkStart w:id="108" w:name="_Pharmacokinetics_in_the_target_popu_1"/>
      <w:bookmarkStart w:id="109" w:name="_Toc408164033"/>
      <w:bookmarkEnd w:id="108"/>
      <w:r w:rsidRPr="00813BEC">
        <w:t>Pharmacokinetics in the target population</w:t>
      </w:r>
      <w:bookmarkEnd w:id="109"/>
    </w:p>
    <w:p w:rsidR="0086102A" w:rsidRPr="00813BEC" w:rsidRDefault="0086102A" w:rsidP="00813BEC">
      <w:r w:rsidRPr="00813BEC">
        <w:t>At the 90 mg dose level in subjects with HCV infection, with multiple dosing, mean (</w:t>
      </w:r>
      <w:proofErr w:type="gramStart"/>
      <w:r w:rsidRPr="00813BEC">
        <w:t>CV%</w:t>
      </w:r>
      <w:proofErr w:type="gramEnd"/>
      <w:r w:rsidRPr="00813BEC">
        <w:t xml:space="preserve">) CL/F was 27.7 (41.7) L/h, </w:t>
      </w:r>
      <w:proofErr w:type="spellStart"/>
      <w:r w:rsidRPr="00813BEC">
        <w:t>Cmax</w:t>
      </w:r>
      <w:proofErr w:type="spellEnd"/>
      <w:r w:rsidRPr="00813BEC">
        <w:t xml:space="preserve"> was 247.7 (45.4) </w:t>
      </w:r>
      <w:proofErr w:type="spellStart"/>
      <w:r w:rsidRPr="00813BEC">
        <w:t>ng</w:t>
      </w:r>
      <w:proofErr w:type="spellEnd"/>
      <w:r w:rsidRPr="00813BEC">
        <w:t xml:space="preserve">/mL, </w:t>
      </w:r>
      <w:proofErr w:type="spellStart"/>
      <w:r w:rsidRPr="00813BEC">
        <w:t>Ctau</w:t>
      </w:r>
      <w:proofErr w:type="spellEnd"/>
      <w:r w:rsidRPr="00813BEC">
        <w:t xml:space="preserve"> was 115.9 (42.6) </w:t>
      </w:r>
      <w:proofErr w:type="spellStart"/>
      <w:r w:rsidRPr="00813BEC">
        <w:t>ng</w:t>
      </w:r>
      <w:proofErr w:type="spellEnd"/>
      <w:r w:rsidRPr="00813BEC">
        <w:t>/mL and median (IQ range) t½ was 49.67 (37.76 to</w:t>
      </w:r>
      <w:r w:rsidR="0082604A">
        <w:t xml:space="preserve"> 54.33) h (GS-US-256-0102)</w:t>
      </w:r>
      <w:r w:rsidR="00813BEC">
        <w:t xml:space="preserve">. </w:t>
      </w:r>
      <w:r w:rsidRPr="00813BEC">
        <w:t xml:space="preserve">LDV was dose proportional in the dose range 1 mg to 90 mg for both single dose and multiple </w:t>
      </w:r>
      <w:proofErr w:type="gramStart"/>
      <w:r w:rsidRPr="00813BEC">
        <w:t>dose</w:t>
      </w:r>
      <w:proofErr w:type="gramEnd"/>
      <w:r w:rsidRPr="00813BEC">
        <w:t>.</w:t>
      </w:r>
    </w:p>
    <w:p w:rsidR="0086102A" w:rsidRPr="00813BEC" w:rsidRDefault="0086102A" w:rsidP="0086102A">
      <w:r w:rsidRPr="00813BEC">
        <w:t>There was an increase in CL/F of LDV of 26.7% in healthy volunteers compared to subjects with HCV (Study Pop-PK-L</w:t>
      </w:r>
      <w:r w:rsidR="005B4D03">
        <w:t>DV).</w:t>
      </w:r>
    </w:p>
    <w:p w:rsidR="0086102A" w:rsidRPr="00813BEC" w:rsidRDefault="0086102A" w:rsidP="00886813">
      <w:pPr>
        <w:pStyle w:val="Heading4"/>
      </w:pPr>
      <w:bookmarkStart w:id="110" w:name="_Toc408164034"/>
      <w:r w:rsidRPr="00813BEC">
        <w:t>Pharmacokinetics in other special populations</w:t>
      </w:r>
      <w:bookmarkEnd w:id="110"/>
    </w:p>
    <w:p w:rsidR="0086102A" w:rsidRPr="00813BEC" w:rsidRDefault="0086102A" w:rsidP="00813BEC">
      <w:pPr>
        <w:pStyle w:val="Heading5"/>
      </w:pPr>
      <w:bookmarkStart w:id="111" w:name="_Pharmacokinetics_in_subjects_with_i"/>
      <w:bookmarkStart w:id="112" w:name="_Toc408164035"/>
      <w:bookmarkEnd w:id="111"/>
      <w:r w:rsidRPr="00813BEC">
        <w:t>Pharmacokinetics in subjects with impaired hepatic function</w:t>
      </w:r>
      <w:bookmarkEnd w:id="112"/>
    </w:p>
    <w:p w:rsidR="0086102A" w:rsidRPr="00813BEC" w:rsidRDefault="0086102A" w:rsidP="00813BEC">
      <w:r w:rsidRPr="00813BEC">
        <w:t>Compared with subjects with normal hepatic function, subjects with moderate impairment in hepatic function (Child-Pugh-</w:t>
      </w:r>
      <w:proofErr w:type="spellStart"/>
      <w:r w:rsidRPr="00813BEC">
        <w:t>Turcotte</w:t>
      </w:r>
      <w:proofErr w:type="spellEnd"/>
      <w:r w:rsidRPr="00813BEC">
        <w:t xml:space="preserve"> (CPT) score of </w:t>
      </w:r>
      <w:smartTag w:uri="urn:schemas-microsoft-com:office:smarttags" w:element="time">
        <w:smartTagPr>
          <w:attr w:name="Hour" w:val="8"/>
          <w:attr w:name="Minute" w:val="53"/>
        </w:smartTagPr>
        <w:r w:rsidRPr="00813BEC">
          <w:t>7 to 9</w:t>
        </w:r>
      </w:smartTag>
      <w:r w:rsidRPr="00813BEC">
        <w:t>) did not have any increase in exposur</w:t>
      </w:r>
      <w:r w:rsidR="005E21F3">
        <w:t xml:space="preserve">e to LDV (Study GS-US-248-0117). </w:t>
      </w:r>
      <w:r w:rsidRPr="00813BEC">
        <w:t>Hence, dose adjustment would not be necessary in patients with mild or moderate hepatic impairment.</w:t>
      </w:r>
    </w:p>
    <w:p w:rsidR="0086102A" w:rsidRPr="00813BEC" w:rsidRDefault="0086102A" w:rsidP="00813BEC">
      <w:r w:rsidRPr="00813BEC">
        <w:t>Compared with subjects with normal hepatic function, subjects with severe impairment in hepatic function (Child-Pugh-</w:t>
      </w:r>
      <w:proofErr w:type="spellStart"/>
      <w:r w:rsidRPr="00813BEC">
        <w:t>Turcotte</w:t>
      </w:r>
      <w:proofErr w:type="spellEnd"/>
      <w:r w:rsidRPr="00813BEC">
        <w:t xml:space="preserve"> (CPT) score of 10 to 15) had an 8% increase in </w:t>
      </w:r>
      <w:proofErr w:type="spellStart"/>
      <w:r w:rsidRPr="00813BEC">
        <w:t>AUCinf</w:t>
      </w:r>
      <w:proofErr w:type="spellEnd"/>
      <w:r w:rsidRPr="00813BEC">
        <w:t xml:space="preserve"> and a 35% decrease in </w:t>
      </w:r>
      <w:proofErr w:type="spellStart"/>
      <w:r w:rsidRPr="00813BEC">
        <w:t>Cma</w:t>
      </w:r>
      <w:r w:rsidR="005E21F3">
        <w:t>x</w:t>
      </w:r>
      <w:proofErr w:type="spellEnd"/>
      <w:r w:rsidR="005E21F3">
        <w:t xml:space="preserve"> for LDV (Study GS-US-344-0101)</w:t>
      </w:r>
      <w:r w:rsidR="00813BEC">
        <w:t xml:space="preserve">. </w:t>
      </w:r>
      <w:r w:rsidRPr="00813BEC">
        <w:t xml:space="preserve">These changes would not be clinically significant, and dose adjustment would not be necessary in patients </w:t>
      </w:r>
      <w:r w:rsidR="00813BEC">
        <w:t>with severe hepatic impairment.</w:t>
      </w:r>
    </w:p>
    <w:p w:rsidR="0086102A" w:rsidRPr="00813BEC" w:rsidRDefault="0086102A" w:rsidP="00813BEC">
      <w:pPr>
        <w:pStyle w:val="Heading5"/>
      </w:pPr>
      <w:bookmarkStart w:id="113" w:name="_Pharmacokinetics_in_subjects_with_i_1"/>
      <w:bookmarkStart w:id="114" w:name="_Toc408164036"/>
      <w:bookmarkEnd w:id="113"/>
      <w:r w:rsidRPr="00813BEC">
        <w:t>Pharmacokinetics in subjects with impaired renal function</w:t>
      </w:r>
      <w:bookmarkEnd w:id="114"/>
    </w:p>
    <w:p w:rsidR="0086102A" w:rsidRPr="00813BEC" w:rsidRDefault="0086102A" w:rsidP="00813BEC">
      <w:r w:rsidRPr="00813BEC">
        <w:t xml:space="preserve">There was no significant difference in exposure to LDV for subjects with severe renal impairment and subjects with normal renal function: %GLSM Ratio (Impaired/Normal) (90% CI) 92.34 (70.24 to 121.39) for </w:t>
      </w:r>
      <w:proofErr w:type="spellStart"/>
      <w:r w:rsidRPr="00813BEC">
        <w:t>Cmax</w:t>
      </w:r>
      <w:proofErr w:type="spellEnd"/>
      <w:r w:rsidRPr="00813BEC">
        <w:t xml:space="preserve"> and 105.60 (75.32 to 148.05) for </w:t>
      </w:r>
      <w:proofErr w:type="spellStart"/>
      <w:r w:rsidRPr="00813BEC">
        <w:t>AUCinf</w:t>
      </w:r>
      <w:proofErr w:type="spellEnd"/>
      <w:r w:rsidRPr="00813BEC">
        <w:t xml:space="preserve"> (Study GS-US-344-01</w:t>
      </w:r>
      <w:r w:rsidR="00E121B0">
        <w:t>08).</w:t>
      </w:r>
    </w:p>
    <w:p w:rsidR="0086102A" w:rsidRPr="00813BEC" w:rsidRDefault="0086102A" w:rsidP="00813BEC">
      <w:pPr>
        <w:pStyle w:val="Heading5"/>
      </w:pPr>
      <w:bookmarkStart w:id="115" w:name="_Toc408164037"/>
      <w:r w:rsidRPr="00813BEC">
        <w:t>Pharmacokinetics according to age</w:t>
      </w:r>
      <w:bookmarkEnd w:id="115"/>
    </w:p>
    <w:p w:rsidR="0086102A" w:rsidRPr="00813BEC" w:rsidRDefault="0086102A" w:rsidP="00813BEC">
      <w:r w:rsidRPr="00813BEC">
        <w:t>Age did not have a clinically significant effect on</w:t>
      </w:r>
      <w:r w:rsidR="00CE61A0">
        <w:t xml:space="preserve"> PK variables (Study Pop-PK-LDV)</w:t>
      </w:r>
      <w:r w:rsidR="00813BEC">
        <w:t>.</w:t>
      </w:r>
    </w:p>
    <w:p w:rsidR="0086102A" w:rsidRPr="00813BEC" w:rsidRDefault="0086102A" w:rsidP="00813BEC">
      <w:pPr>
        <w:pStyle w:val="Heading5"/>
      </w:pPr>
      <w:bookmarkStart w:id="116" w:name="_Toc408164038"/>
      <w:r w:rsidRPr="00813BEC">
        <w:t>Pharmacokinetics related to genetic factors</w:t>
      </w:r>
      <w:bookmarkEnd w:id="116"/>
    </w:p>
    <w:p w:rsidR="0086102A" w:rsidRPr="00813BEC" w:rsidRDefault="0086102A" w:rsidP="00813BEC">
      <w:r w:rsidRPr="00813BEC">
        <w:t>There were no data relating to polymorphisms in</w:t>
      </w:r>
      <w:r w:rsidR="00813BEC" w:rsidRPr="00813BEC">
        <w:t xml:space="preserve"> transporters and effect on PK.</w:t>
      </w:r>
    </w:p>
    <w:p w:rsidR="0086102A" w:rsidRPr="00813BEC" w:rsidRDefault="0086102A" w:rsidP="00813BEC">
      <w:pPr>
        <w:pStyle w:val="Heading5"/>
      </w:pPr>
      <w:bookmarkStart w:id="117" w:name="_Toc408164039"/>
      <w:r w:rsidRPr="00813BEC">
        <w:t>Pharmacokinetics related to gender</w:t>
      </w:r>
      <w:bookmarkEnd w:id="117"/>
    </w:p>
    <w:p w:rsidR="0086102A" w:rsidRPr="00813BEC" w:rsidRDefault="0086102A" w:rsidP="00813BEC">
      <w:r w:rsidRPr="00813BEC">
        <w:t xml:space="preserve">There was a decrease in typical CL/F for LDV of -33% in females which translated to an increase </w:t>
      </w:r>
      <w:r w:rsidR="00CE61A0">
        <w:t>in AUC of 49% (Study Pop-PK-LDV</w:t>
      </w:r>
      <w:r w:rsidR="00813BEC" w:rsidRPr="00813BEC">
        <w:t>)</w:t>
      </w:r>
    </w:p>
    <w:p w:rsidR="0086102A" w:rsidRPr="00813BEC" w:rsidRDefault="0086102A" w:rsidP="00813BEC">
      <w:pPr>
        <w:pStyle w:val="Heading4"/>
      </w:pPr>
      <w:bookmarkStart w:id="118" w:name="_Toc408164040"/>
      <w:r w:rsidRPr="00813BEC">
        <w:t>Pharmacokinetic interactions</w:t>
      </w:r>
      <w:bookmarkEnd w:id="118"/>
    </w:p>
    <w:p w:rsidR="0086102A" w:rsidRPr="00813BEC" w:rsidRDefault="0086102A" w:rsidP="00886813">
      <w:pPr>
        <w:pStyle w:val="Heading5"/>
      </w:pPr>
      <w:bookmarkStart w:id="119" w:name="_Pharmacokinetic_interactions_demons"/>
      <w:bookmarkStart w:id="120" w:name="_Toc408164041"/>
      <w:bookmarkEnd w:id="119"/>
      <w:r w:rsidRPr="00813BEC">
        <w:t>Pharmacokinetic interactions demonstrated in human studies</w:t>
      </w:r>
      <w:bookmarkEnd w:id="120"/>
    </w:p>
    <w:p w:rsidR="0086102A" w:rsidRPr="00813BEC" w:rsidRDefault="0086102A" w:rsidP="00886813">
      <w:pPr>
        <w:pStyle w:val="Heading6"/>
      </w:pPr>
      <w:r w:rsidRPr="00813BEC">
        <w:t>Effects of interactions on LDV PK</w:t>
      </w:r>
    </w:p>
    <w:p w:rsidR="0086102A" w:rsidRPr="00813BEC" w:rsidRDefault="0086102A" w:rsidP="00886813">
      <w:pPr>
        <w:pStyle w:val="ListBullet"/>
      </w:pPr>
      <w:r w:rsidRPr="00813BEC">
        <w:t xml:space="preserve">LDV exposure decreased by over 40% when co-administered with omeprazole: </w:t>
      </w:r>
      <w:proofErr w:type="spellStart"/>
      <w:r w:rsidRPr="00813BEC">
        <w:t>AUCinf</w:t>
      </w:r>
      <w:proofErr w:type="spellEnd"/>
      <w:r w:rsidRPr="00813BEC">
        <w:t xml:space="preserve"> decreased by 47.7% and </w:t>
      </w:r>
      <w:proofErr w:type="spellStart"/>
      <w:r w:rsidRPr="00813BEC">
        <w:t>Cmax</w:t>
      </w:r>
      <w:proofErr w:type="spellEnd"/>
      <w:r w:rsidRPr="00813BEC">
        <w:t xml:space="preserve"> decreased </w:t>
      </w:r>
      <w:r w:rsidR="00055585">
        <w:t xml:space="preserve">by 47.7% (Study GS-US-256-0110). </w:t>
      </w:r>
      <w:r w:rsidRPr="00813BEC">
        <w:t>Omeprazole co-administration decreased the AUC of LDV by 50%, but there was no significant effect for fa</w:t>
      </w:r>
      <w:r w:rsidR="00055585">
        <w:t>motidine (Study GS-US-248-0104).</w:t>
      </w:r>
    </w:p>
    <w:p w:rsidR="0086102A" w:rsidRPr="00813BEC" w:rsidRDefault="0086102A" w:rsidP="00813BEC">
      <w:pPr>
        <w:pStyle w:val="ListBullet"/>
      </w:pPr>
      <w:r w:rsidRPr="00813BEC">
        <w:t>The AUC of LDV was increased five-fold in combination with GS-9256 and by 91% in combination with</w:t>
      </w:r>
      <w:r w:rsidR="00992FA9">
        <w:t xml:space="preserve"> GS-9451 (Study GS-US-248-0102). </w:t>
      </w:r>
      <w:r w:rsidRPr="00813BEC">
        <w:t>TGV and RBV did not</w:t>
      </w:r>
      <w:r w:rsidR="00813BEC">
        <w:t xml:space="preserve"> increase the exposure to LDV.</w:t>
      </w:r>
    </w:p>
    <w:p w:rsidR="0086102A" w:rsidRPr="00813BEC" w:rsidRDefault="0086102A" w:rsidP="00813BEC">
      <w:pPr>
        <w:pStyle w:val="ListBullet"/>
      </w:pPr>
      <w:proofErr w:type="spellStart"/>
      <w:r w:rsidRPr="00813BEC">
        <w:t>Rifampin</w:t>
      </w:r>
      <w:proofErr w:type="spellEnd"/>
      <w:r w:rsidRPr="00813BEC">
        <w:t xml:space="preserve"> decreased the </w:t>
      </w:r>
      <w:proofErr w:type="spellStart"/>
      <w:r w:rsidRPr="00813BEC">
        <w:t>AUCinf</w:t>
      </w:r>
      <w:proofErr w:type="spellEnd"/>
      <w:r w:rsidRPr="00813BEC">
        <w:t xml:space="preserve"> of LD</w:t>
      </w:r>
      <w:r w:rsidR="00992FA9">
        <w:t xml:space="preserve">V by 60% (Study GS-US-248-0125). </w:t>
      </w:r>
      <w:r w:rsidRPr="00813BEC">
        <w:t xml:space="preserve">This was attributed by the Sponsor to induction of </w:t>
      </w:r>
      <w:proofErr w:type="spellStart"/>
      <w:r w:rsidRPr="00813BEC">
        <w:t>Pgp</w:t>
      </w:r>
      <w:proofErr w:type="spellEnd"/>
      <w:r w:rsidRPr="00813BEC">
        <w:t xml:space="preserve"> by </w:t>
      </w:r>
      <w:proofErr w:type="spellStart"/>
      <w:r w:rsidRPr="00813BEC">
        <w:t>rifampin</w:t>
      </w:r>
      <w:proofErr w:type="spellEnd"/>
      <w:r w:rsidRPr="00813BEC">
        <w:t>.</w:t>
      </w:r>
    </w:p>
    <w:p w:rsidR="0086102A" w:rsidRPr="00813BEC" w:rsidRDefault="0086102A" w:rsidP="00813BEC">
      <w:pPr>
        <w:pStyle w:val="ListBullet"/>
      </w:pPr>
      <w:r w:rsidRPr="00813BEC">
        <w:t xml:space="preserve">Verapamil increased the </w:t>
      </w:r>
      <w:proofErr w:type="spellStart"/>
      <w:r w:rsidRPr="00813BEC">
        <w:t>AUCinf</w:t>
      </w:r>
      <w:proofErr w:type="spellEnd"/>
      <w:r w:rsidRPr="00813BEC">
        <w:t xml:space="preserve"> of LDV by 67% (Study GS-US-248-</w:t>
      </w:r>
      <w:r w:rsidR="00992FA9">
        <w:t xml:space="preserve">0125). </w:t>
      </w:r>
      <w:r w:rsidRPr="00813BEC">
        <w:t>This was attributed by the Sponsor to inhibition of P-</w:t>
      </w:r>
      <w:proofErr w:type="spellStart"/>
      <w:r w:rsidRPr="00813BEC">
        <w:t>gp</w:t>
      </w:r>
      <w:proofErr w:type="spellEnd"/>
      <w:r w:rsidRPr="00813BEC">
        <w:t xml:space="preserve"> by verapamil.</w:t>
      </w:r>
    </w:p>
    <w:p w:rsidR="0086102A" w:rsidRPr="00813BEC" w:rsidRDefault="0086102A" w:rsidP="00813BEC">
      <w:pPr>
        <w:pStyle w:val="ListBullet"/>
      </w:pPr>
      <w:proofErr w:type="spellStart"/>
      <w:r w:rsidRPr="00813BEC">
        <w:t>Ciclosporin</w:t>
      </w:r>
      <w:proofErr w:type="spellEnd"/>
      <w:r w:rsidRPr="00813BEC">
        <w:t xml:space="preserve"> increased the </w:t>
      </w:r>
      <w:proofErr w:type="spellStart"/>
      <w:r w:rsidRPr="00813BEC">
        <w:t>AUCtau</w:t>
      </w:r>
      <w:proofErr w:type="spellEnd"/>
      <w:r w:rsidRPr="00813BEC">
        <w:t xml:space="preserve"> of LD</w:t>
      </w:r>
      <w:r w:rsidR="00992FA9">
        <w:t xml:space="preserve">V by 15% (Study GS-US-248-0125). </w:t>
      </w:r>
      <w:r w:rsidRPr="00813BEC">
        <w:t>This is not likely to be clinically significant.</w:t>
      </w:r>
    </w:p>
    <w:p w:rsidR="0086102A" w:rsidRPr="00813BEC" w:rsidRDefault="0086102A" w:rsidP="00813BEC">
      <w:pPr>
        <w:pStyle w:val="ListBullet"/>
      </w:pPr>
      <w:r w:rsidRPr="00813BEC">
        <w:t xml:space="preserve">In combination with ATR (a FDC of EFV 600 mg / FTC 200 mg / TDF 300 mg) the </w:t>
      </w:r>
      <w:proofErr w:type="spellStart"/>
      <w:r w:rsidRPr="00813BEC">
        <w:t>AUCtau</w:t>
      </w:r>
      <w:proofErr w:type="spellEnd"/>
      <w:r w:rsidRPr="00813BEC">
        <w:t xml:space="preserve"> of LDV was decrea</w:t>
      </w:r>
      <w:r w:rsidR="00992FA9">
        <w:t>sed by 33.3% (Study GS-US-0127).</w:t>
      </w:r>
    </w:p>
    <w:p w:rsidR="0086102A" w:rsidRPr="00813BEC" w:rsidRDefault="0086102A" w:rsidP="00813BEC">
      <w:pPr>
        <w:pStyle w:val="ListBullet"/>
      </w:pPr>
      <w:r w:rsidRPr="00813BEC">
        <w:t xml:space="preserve">The </w:t>
      </w:r>
      <w:proofErr w:type="spellStart"/>
      <w:r w:rsidRPr="00813BEC">
        <w:t>AUCtau</w:t>
      </w:r>
      <w:proofErr w:type="spellEnd"/>
      <w:r w:rsidRPr="00813BEC">
        <w:t xml:space="preserve"> of LDV was increased by 92% in combination wit</w:t>
      </w:r>
      <w:r w:rsidR="000D5E2B">
        <w:t>h TMC435 (Study GS-US-256-0129).</w:t>
      </w:r>
    </w:p>
    <w:p w:rsidR="0086102A" w:rsidRPr="00813BEC" w:rsidRDefault="0086102A" w:rsidP="00813BEC">
      <w:pPr>
        <w:pStyle w:val="ListBullet"/>
      </w:pPr>
      <w:r w:rsidRPr="00813BEC">
        <w:t xml:space="preserve">LDV 90 mg in combination with EFV / FTC / TDF resulted in a decrease in LDV </w:t>
      </w:r>
      <w:proofErr w:type="spellStart"/>
      <w:r w:rsidRPr="00813BEC">
        <w:t>AUCtau</w:t>
      </w:r>
      <w:proofErr w:type="spellEnd"/>
      <w:r w:rsidRPr="00813BEC">
        <w:t xml:space="preserve"> by 24%, </w:t>
      </w:r>
      <w:proofErr w:type="spellStart"/>
      <w:r w:rsidRPr="00813BEC">
        <w:t>Cmax</w:t>
      </w:r>
      <w:proofErr w:type="spellEnd"/>
      <w:r w:rsidRPr="00813BEC">
        <w:t xml:space="preserve"> by 23% and </w:t>
      </w:r>
      <w:proofErr w:type="spellStart"/>
      <w:r w:rsidRPr="00813BEC">
        <w:t>Ctu</w:t>
      </w:r>
      <w:r w:rsidR="004805C1">
        <w:t>a</w:t>
      </w:r>
      <w:proofErr w:type="spellEnd"/>
      <w:r w:rsidR="004805C1">
        <w:t xml:space="preserve"> by 28% (Study GS-US-344-0102).</w:t>
      </w:r>
    </w:p>
    <w:p w:rsidR="0086102A" w:rsidRPr="00813BEC" w:rsidRDefault="0086102A" w:rsidP="00813BEC">
      <w:pPr>
        <w:pStyle w:val="ListBullet"/>
      </w:pPr>
      <w:r w:rsidRPr="00813BEC">
        <w:t xml:space="preserve">LDV 90 mg in combination with DRV / RTV resulted in an increase in LDV </w:t>
      </w:r>
      <w:proofErr w:type="spellStart"/>
      <w:r w:rsidRPr="00813BEC">
        <w:t>AUCtau</w:t>
      </w:r>
      <w:proofErr w:type="spellEnd"/>
      <w:r w:rsidRPr="00813BEC">
        <w:t xml:space="preserve"> by 39%, </w:t>
      </w:r>
      <w:proofErr w:type="spellStart"/>
      <w:r w:rsidRPr="00813BEC">
        <w:t>Cmax</w:t>
      </w:r>
      <w:proofErr w:type="spellEnd"/>
      <w:r w:rsidRPr="00813BEC">
        <w:t xml:space="preserve"> by 45% and </w:t>
      </w:r>
      <w:proofErr w:type="spellStart"/>
      <w:r w:rsidRPr="00813BEC">
        <w:t>Ctu</w:t>
      </w:r>
      <w:r w:rsidR="00BD761D">
        <w:t>a</w:t>
      </w:r>
      <w:proofErr w:type="spellEnd"/>
      <w:r w:rsidR="00BD761D">
        <w:t xml:space="preserve"> by 39% (Study GS-US-344-0102).</w:t>
      </w:r>
    </w:p>
    <w:p w:rsidR="0086102A" w:rsidRPr="00813BEC" w:rsidRDefault="0086102A" w:rsidP="00813BEC">
      <w:pPr>
        <w:pStyle w:val="ListBullet"/>
      </w:pPr>
      <w:r w:rsidRPr="00813BEC">
        <w:t>LDV 90 mg in combination with RAL or RPV did not result in any significant change i</w:t>
      </w:r>
      <w:r w:rsidR="002F5A3F">
        <w:t>n LDV PK (Study GS-US-344-0102).</w:t>
      </w:r>
    </w:p>
    <w:p w:rsidR="0086102A" w:rsidRPr="00813BEC" w:rsidRDefault="0086102A" w:rsidP="00813BEC">
      <w:pPr>
        <w:pStyle w:val="ListBullet"/>
      </w:pPr>
      <w:r w:rsidRPr="00813BEC">
        <w:t xml:space="preserve">When LDV 90 mg daily was co-administered with MK-5172 400 mg daily, the AUC0-24 of LDV increased by 87%, </w:t>
      </w:r>
      <w:proofErr w:type="spellStart"/>
      <w:r w:rsidRPr="00813BEC">
        <w:t>Cmax</w:t>
      </w:r>
      <w:proofErr w:type="spellEnd"/>
      <w:r w:rsidRPr="00813BEC">
        <w:t xml:space="preserve"> by 96% and </w:t>
      </w:r>
      <w:proofErr w:type="spellStart"/>
      <w:r w:rsidRPr="00813BEC">
        <w:t>Ctau</w:t>
      </w:r>
      <w:proofErr w:type="spellEnd"/>
      <w:r w:rsidRPr="00813BEC">
        <w:t xml:space="preserve"> by</w:t>
      </w:r>
      <w:r w:rsidR="006C2655">
        <w:t xml:space="preserve"> 97% (Study MK-5172-pn023).</w:t>
      </w:r>
    </w:p>
    <w:p w:rsidR="0086102A" w:rsidRPr="00813BEC" w:rsidRDefault="0086102A" w:rsidP="00813BEC">
      <w:pPr>
        <w:pStyle w:val="Heading6"/>
      </w:pPr>
      <w:r w:rsidRPr="00813BEC">
        <w:t>Effects of other drugs on LDV</w:t>
      </w:r>
    </w:p>
    <w:p w:rsidR="0086102A" w:rsidRPr="00813BEC" w:rsidRDefault="0086102A" w:rsidP="00813BEC">
      <w:pPr>
        <w:pStyle w:val="ListBullet"/>
      </w:pPr>
      <w:r w:rsidRPr="00813BEC">
        <w:t>LDV in combination with GS-9451 had a majo</w:t>
      </w:r>
      <w:r w:rsidR="00813BEC">
        <w:t xml:space="preserve">r impact on the PK of GS-6620. </w:t>
      </w:r>
      <w:r w:rsidRPr="00813BEC">
        <w:t xml:space="preserve">The </w:t>
      </w:r>
      <w:proofErr w:type="spellStart"/>
      <w:r w:rsidRPr="00813BEC">
        <w:t>AUCinf</w:t>
      </w:r>
      <w:proofErr w:type="spellEnd"/>
      <w:r w:rsidRPr="00813BEC">
        <w:t xml:space="preserve"> for GS-6620 was increased by 144%, the </w:t>
      </w:r>
      <w:proofErr w:type="spellStart"/>
      <w:r w:rsidRPr="00813BEC">
        <w:t>AUCinf</w:t>
      </w:r>
      <w:proofErr w:type="spellEnd"/>
      <w:r w:rsidRPr="00813BEC">
        <w:t xml:space="preserve"> for the intermediary metabolite GS-465124 increased by 370% and the </w:t>
      </w:r>
      <w:proofErr w:type="spellStart"/>
      <w:r w:rsidRPr="00813BEC">
        <w:t>AUCinf</w:t>
      </w:r>
      <w:proofErr w:type="spellEnd"/>
      <w:r w:rsidRPr="00813BEC">
        <w:t xml:space="preserve"> for the nucleoside analogue GS-441285 increas</w:t>
      </w:r>
      <w:r w:rsidR="000B47D5">
        <w:t>ed by 42% (Study GS-US-119-0113</w:t>
      </w:r>
      <w:r w:rsidR="00F866F1">
        <w:t>)</w:t>
      </w:r>
      <w:r w:rsidR="00813BEC">
        <w:t xml:space="preserve">. </w:t>
      </w:r>
      <w:r w:rsidRPr="00813BEC">
        <w:t>This effect was proposed to be due to an increase in the exposure to GS-6620 due to inhibiti</w:t>
      </w:r>
      <w:r w:rsidR="00920649">
        <w:t xml:space="preserve">on of intestinal transporters. </w:t>
      </w:r>
      <w:r w:rsidRPr="00813BEC">
        <w:t>GS-6620 did not have any significant effects on the PK of LDV or GS-9451.</w:t>
      </w:r>
    </w:p>
    <w:p w:rsidR="0086102A" w:rsidRPr="00813BEC" w:rsidRDefault="0086102A" w:rsidP="00813BEC">
      <w:pPr>
        <w:pStyle w:val="ListBullet"/>
      </w:pPr>
      <w:r w:rsidRPr="00813BEC">
        <w:t>LDV 90 mg once daily in combination with GS 9451 200 mg once daily increased the AUC of GS-9669 by 270%, but there was no significant effect on the AUC of LDV (in combination with GS-9451) from</w:t>
      </w:r>
      <w:r w:rsidR="000B47D5">
        <w:t xml:space="preserve"> GS-9669 (Study GS-US-248-0107)</w:t>
      </w:r>
    </w:p>
    <w:p w:rsidR="0086102A" w:rsidRPr="00AA56A2" w:rsidRDefault="0086102A" w:rsidP="00813BEC">
      <w:pPr>
        <w:pStyle w:val="ListBullet"/>
      </w:pPr>
      <w:r w:rsidRPr="00813BEC">
        <w:t>LDV did not significantly alter the PK of GS-9256, GS-9451, T</w:t>
      </w:r>
      <w:r w:rsidR="00F866F1">
        <w:t>GV or RBV (Study GS-US-248-0102</w:t>
      </w:r>
      <w:r w:rsidRPr="00813BEC">
        <w:t>).</w:t>
      </w:r>
    </w:p>
    <w:p w:rsidR="0086102A" w:rsidRPr="00813BEC" w:rsidRDefault="0086102A" w:rsidP="00813BEC">
      <w:pPr>
        <w:pStyle w:val="ListBullet"/>
      </w:pPr>
      <w:r w:rsidRPr="00813BEC">
        <w:t xml:space="preserve">Pravastatin </w:t>
      </w:r>
      <w:proofErr w:type="spellStart"/>
      <w:r w:rsidRPr="00813BEC">
        <w:t>AUCinf</w:t>
      </w:r>
      <w:proofErr w:type="spellEnd"/>
      <w:r w:rsidRPr="00813BEC">
        <w:t xml:space="preserve"> was increased by 170% in combination with LDV, GS-945</w:t>
      </w:r>
      <w:r w:rsidR="00F866F1">
        <w:t>1 and TGV (Study GS-US-248-0125)</w:t>
      </w:r>
      <w:r w:rsidR="00813BEC">
        <w:t xml:space="preserve">. </w:t>
      </w:r>
      <w:r w:rsidRPr="00813BEC">
        <w:t>This was attributed by the Sponsor to the inhibition of OATP by GS-9451.</w:t>
      </w:r>
    </w:p>
    <w:p w:rsidR="0086102A" w:rsidRPr="00813BEC" w:rsidRDefault="0086102A" w:rsidP="00813BEC">
      <w:pPr>
        <w:pStyle w:val="ListBullet"/>
      </w:pPr>
      <w:proofErr w:type="spellStart"/>
      <w:r w:rsidRPr="00813BEC">
        <w:t>Rosuvastatin</w:t>
      </w:r>
      <w:proofErr w:type="spellEnd"/>
      <w:r w:rsidRPr="00813BEC">
        <w:t xml:space="preserve"> </w:t>
      </w:r>
      <w:proofErr w:type="spellStart"/>
      <w:r w:rsidRPr="00813BEC">
        <w:t>AUCinf</w:t>
      </w:r>
      <w:proofErr w:type="spellEnd"/>
      <w:r w:rsidRPr="00813BEC">
        <w:t xml:space="preserve"> was increased by 600% in combination with LDV, GS-945</w:t>
      </w:r>
      <w:r w:rsidR="0050097F">
        <w:t>1 and TGV (Study GS-US-248-0125).</w:t>
      </w:r>
      <w:r w:rsidR="00813BEC">
        <w:t xml:space="preserve"> </w:t>
      </w:r>
      <w:r w:rsidRPr="00813BEC">
        <w:t>This was attributed by the Sponsor to inhibition of OATP, BRCP and NTCP by GS-9451 and LDV.</w:t>
      </w:r>
    </w:p>
    <w:p w:rsidR="0086102A" w:rsidRPr="00813BEC" w:rsidRDefault="0086102A" w:rsidP="00813BEC">
      <w:pPr>
        <w:pStyle w:val="ListBullet"/>
      </w:pPr>
      <w:r w:rsidRPr="00813BEC">
        <w:t xml:space="preserve">Digoxin </w:t>
      </w:r>
      <w:proofErr w:type="spellStart"/>
      <w:r w:rsidRPr="00813BEC">
        <w:t>AUCinf</w:t>
      </w:r>
      <w:proofErr w:type="spellEnd"/>
      <w:r w:rsidRPr="00813BEC">
        <w:t xml:space="preserve"> was increased by 33% in combination with LDV, GS-9451</w:t>
      </w:r>
      <w:r w:rsidR="00AE5110">
        <w:t xml:space="preserve"> and TGV (Study GS-US-248-0125). </w:t>
      </w:r>
      <w:r w:rsidRPr="00813BEC">
        <w:t xml:space="preserve">This was attributed by the Sponsor to inhibition of </w:t>
      </w:r>
      <w:proofErr w:type="spellStart"/>
      <w:r w:rsidRPr="00813BEC">
        <w:t>Pgp</w:t>
      </w:r>
      <w:proofErr w:type="spellEnd"/>
      <w:r w:rsidRPr="00813BEC">
        <w:t xml:space="preserve"> by GS-9451 and LDV.</w:t>
      </w:r>
    </w:p>
    <w:p w:rsidR="0086102A" w:rsidRPr="00AA56A2" w:rsidRDefault="0086102A" w:rsidP="00813BEC">
      <w:pPr>
        <w:pStyle w:val="ListBullet"/>
      </w:pPr>
      <w:proofErr w:type="spellStart"/>
      <w:r w:rsidRPr="00813BEC">
        <w:t>Ciclosporin</w:t>
      </w:r>
      <w:proofErr w:type="spellEnd"/>
      <w:r w:rsidRPr="00813BEC">
        <w:t xml:space="preserve"> </w:t>
      </w:r>
      <w:proofErr w:type="spellStart"/>
      <w:r w:rsidRPr="00813BEC">
        <w:t>AUCinf</w:t>
      </w:r>
      <w:proofErr w:type="spellEnd"/>
      <w:r w:rsidRPr="00813BEC">
        <w:t xml:space="preserve"> was not significantly affected in the combination with LD</w:t>
      </w:r>
      <w:r w:rsidRPr="00AA56A2">
        <w:t>V, GS-9451</w:t>
      </w:r>
      <w:r w:rsidR="00AE5110">
        <w:t xml:space="preserve"> and TGV (Study GS-US-248-0125).</w:t>
      </w:r>
    </w:p>
    <w:p w:rsidR="0086102A" w:rsidRPr="00813BEC" w:rsidRDefault="0086102A" w:rsidP="00813BEC">
      <w:pPr>
        <w:pStyle w:val="ListBullet"/>
      </w:pPr>
      <w:r w:rsidRPr="00813BEC">
        <w:t xml:space="preserve">LDV in combination with GS-9451 and TGV increased the </w:t>
      </w:r>
      <w:proofErr w:type="spellStart"/>
      <w:r w:rsidRPr="00813BEC">
        <w:t>AUCtau</w:t>
      </w:r>
      <w:proofErr w:type="spellEnd"/>
      <w:r w:rsidRPr="00813BEC">
        <w:t xml:space="preserve"> of TFV by 36% but had no significant effect on the </w:t>
      </w:r>
      <w:proofErr w:type="spellStart"/>
      <w:r w:rsidRPr="00813BEC">
        <w:t>AUCtau</w:t>
      </w:r>
      <w:proofErr w:type="spellEnd"/>
      <w:r w:rsidRPr="00813BEC">
        <w:t xml:space="preserve"> of FTC or EFV % (Stud</w:t>
      </w:r>
      <w:r w:rsidR="006A21F5">
        <w:t>y GS-US-0127).</w:t>
      </w:r>
    </w:p>
    <w:p w:rsidR="0086102A" w:rsidRPr="00813BEC" w:rsidRDefault="0086102A" w:rsidP="00813BEC">
      <w:pPr>
        <w:pStyle w:val="ListBullet"/>
      </w:pPr>
      <w:r w:rsidRPr="00813BEC">
        <w:t xml:space="preserve">The </w:t>
      </w:r>
      <w:proofErr w:type="spellStart"/>
      <w:r w:rsidRPr="00813BEC">
        <w:t>AUCtau</w:t>
      </w:r>
      <w:proofErr w:type="spellEnd"/>
      <w:r w:rsidRPr="00813BEC">
        <w:t xml:space="preserve"> of TMC435 was increased by 169% in combination </w:t>
      </w:r>
      <w:r w:rsidR="006F2F2C">
        <w:t>with LDV (Study GS-US-256-0129).</w:t>
      </w:r>
    </w:p>
    <w:p w:rsidR="0086102A" w:rsidRPr="00813BEC" w:rsidRDefault="0086102A" w:rsidP="00813BEC">
      <w:pPr>
        <w:pStyle w:val="ListBullet"/>
      </w:pPr>
      <w:r w:rsidRPr="00813BEC">
        <w:t xml:space="preserve">LDV increased the </w:t>
      </w:r>
      <w:proofErr w:type="spellStart"/>
      <w:r w:rsidRPr="00813BEC">
        <w:t>AUCtau</w:t>
      </w:r>
      <w:proofErr w:type="spellEnd"/>
      <w:r w:rsidRPr="00813BEC">
        <w:t xml:space="preserve"> of GS-9669 by 55% and </w:t>
      </w:r>
      <w:proofErr w:type="spellStart"/>
      <w:r w:rsidRPr="00813BEC">
        <w:t>Cmax</w:t>
      </w:r>
      <w:proofErr w:type="spellEnd"/>
      <w:r w:rsidRPr="00813BEC">
        <w:t xml:space="preserve"> by 49% </w:t>
      </w:r>
      <w:r w:rsidR="00516C53">
        <w:t>(Study GS-US-334-0101)</w:t>
      </w:r>
      <w:r w:rsidR="0091523E">
        <w:t>.</w:t>
      </w:r>
    </w:p>
    <w:p w:rsidR="0086102A" w:rsidRPr="00813BEC" w:rsidRDefault="0086102A" w:rsidP="00813BEC">
      <w:pPr>
        <w:pStyle w:val="ListBullet"/>
      </w:pPr>
      <w:r w:rsidRPr="00813BEC">
        <w:t>LDV did not have any significant effect on the PK of</w:t>
      </w:r>
      <w:r w:rsidR="0091523E">
        <w:t xml:space="preserve"> GS-9669 (Study GS-US-334-0101).</w:t>
      </w:r>
    </w:p>
    <w:p w:rsidR="0086102A" w:rsidRPr="00813BEC" w:rsidRDefault="0086102A" w:rsidP="00813BEC">
      <w:pPr>
        <w:pStyle w:val="ListBullet"/>
      </w:pPr>
      <w:r w:rsidRPr="00813BEC">
        <w:t xml:space="preserve">In an assessment of the effects of LDV on the combined oral contraceptive pill, </w:t>
      </w:r>
      <w:proofErr w:type="spellStart"/>
      <w:r w:rsidRPr="00813BEC">
        <w:t>norelgestromin</w:t>
      </w:r>
      <w:proofErr w:type="spellEnd"/>
      <w:r w:rsidRPr="00813BEC">
        <w:t xml:space="preserve"> and </w:t>
      </w:r>
      <w:proofErr w:type="spellStart"/>
      <w:r w:rsidRPr="00813BEC">
        <w:t>norgestrel</w:t>
      </w:r>
      <w:proofErr w:type="spellEnd"/>
      <w:r w:rsidRPr="00813BEC">
        <w:t xml:space="preserve"> </w:t>
      </w:r>
      <w:proofErr w:type="spellStart"/>
      <w:r w:rsidRPr="00813BEC">
        <w:t>AUCtau</w:t>
      </w:r>
      <w:proofErr w:type="spellEnd"/>
      <w:r w:rsidRPr="00813BEC">
        <w:t xml:space="preserve"> were not significantly affect</w:t>
      </w:r>
      <w:r w:rsidR="0091523E">
        <w:t>ed by LDV (Study GS-US-334-0146)</w:t>
      </w:r>
      <w:r w:rsidR="00813BEC">
        <w:t xml:space="preserve">. </w:t>
      </w:r>
      <w:r w:rsidRPr="00813BEC">
        <w:t xml:space="preserve">However </w:t>
      </w:r>
      <w:proofErr w:type="spellStart"/>
      <w:r w:rsidRPr="00813BEC">
        <w:t>ethinyl</w:t>
      </w:r>
      <w:proofErr w:type="spellEnd"/>
      <w:r w:rsidRPr="00813BEC">
        <w:t xml:space="preserve"> </w:t>
      </w:r>
      <w:proofErr w:type="spellStart"/>
      <w:r w:rsidRPr="00813BEC">
        <w:t>estradiol</w:t>
      </w:r>
      <w:proofErr w:type="spellEnd"/>
      <w:r w:rsidRPr="00813BEC">
        <w:t xml:space="preserve"> </w:t>
      </w:r>
      <w:proofErr w:type="spellStart"/>
      <w:r w:rsidRPr="00813BEC">
        <w:t>AUCtau</w:t>
      </w:r>
      <w:proofErr w:type="spellEnd"/>
      <w:r w:rsidR="00813BEC">
        <w:t xml:space="preserve"> was increased by 20%. </w:t>
      </w:r>
      <w:r w:rsidRPr="00813BEC">
        <w:t>This would not be expected to affect the efficacy or safety of the oral contraceptive pill.</w:t>
      </w:r>
    </w:p>
    <w:p w:rsidR="0086102A" w:rsidRPr="00813BEC" w:rsidRDefault="0086102A" w:rsidP="00813BEC">
      <w:pPr>
        <w:pStyle w:val="ListBullet"/>
      </w:pPr>
      <w:r w:rsidRPr="00813BEC">
        <w:t xml:space="preserve">LDV 90 mg in combination with EFV / FTC / TFV resulted in an increase in TFV </w:t>
      </w:r>
      <w:proofErr w:type="spellStart"/>
      <w:r w:rsidRPr="00813BEC">
        <w:t>AUCtau</w:t>
      </w:r>
      <w:proofErr w:type="spellEnd"/>
      <w:r w:rsidRPr="00813BEC">
        <w:t xml:space="preserve"> by 38% and </w:t>
      </w:r>
      <w:proofErr w:type="spellStart"/>
      <w:r w:rsidRPr="00813BEC">
        <w:t>Cta</w:t>
      </w:r>
      <w:r w:rsidR="0091523E">
        <w:t>u</w:t>
      </w:r>
      <w:proofErr w:type="spellEnd"/>
      <w:r w:rsidR="0091523E">
        <w:t xml:space="preserve"> by 55% (Study GS-US-344-0102). </w:t>
      </w:r>
      <w:r w:rsidRPr="00813BEC">
        <w:t>There was no clinically significant effect upon EFV or FTC.</w:t>
      </w:r>
    </w:p>
    <w:p w:rsidR="0086102A" w:rsidRPr="00813BEC" w:rsidRDefault="0086102A" w:rsidP="00813BEC">
      <w:pPr>
        <w:pStyle w:val="ListBullet"/>
      </w:pPr>
      <w:r w:rsidRPr="00813BEC">
        <w:t xml:space="preserve">LDV 90 mg in combination with DRV / RTV resulted in an increase in RTV </w:t>
      </w:r>
      <w:proofErr w:type="spellStart"/>
      <w:r w:rsidRPr="00813BEC">
        <w:t>AUCtau</w:t>
      </w:r>
      <w:proofErr w:type="spellEnd"/>
      <w:r w:rsidRPr="00813BEC">
        <w:t xml:space="preserve"> by 37%, </w:t>
      </w:r>
      <w:proofErr w:type="spellStart"/>
      <w:r w:rsidRPr="00813BEC">
        <w:t>Cmax</w:t>
      </w:r>
      <w:proofErr w:type="spellEnd"/>
      <w:r w:rsidRPr="00813BEC">
        <w:t xml:space="preserve"> by 33% and </w:t>
      </w:r>
      <w:proofErr w:type="spellStart"/>
      <w:r w:rsidRPr="00813BEC">
        <w:t>Cta</w:t>
      </w:r>
      <w:r w:rsidR="0091523E">
        <w:t>u</w:t>
      </w:r>
      <w:proofErr w:type="spellEnd"/>
      <w:r w:rsidR="0091523E">
        <w:t xml:space="preserve"> by 33% (Study GS-US-344-0102). </w:t>
      </w:r>
      <w:r w:rsidRPr="00813BEC">
        <w:t>There was no clinically significant effect upon DRV.</w:t>
      </w:r>
    </w:p>
    <w:p w:rsidR="0086102A" w:rsidRPr="00813BEC" w:rsidRDefault="0086102A" w:rsidP="00813BEC">
      <w:pPr>
        <w:pStyle w:val="ListBullet"/>
      </w:pPr>
      <w:r w:rsidRPr="00813BEC">
        <w:t xml:space="preserve">LDV 90 mg in combination with RAL resulted in a decrease in RAL </w:t>
      </w:r>
      <w:proofErr w:type="spellStart"/>
      <w:r w:rsidRPr="00813BEC">
        <w:t>AUCtau</w:t>
      </w:r>
      <w:proofErr w:type="spellEnd"/>
      <w:r w:rsidRPr="00813BEC">
        <w:t xml:space="preserve"> by 15%, </w:t>
      </w:r>
      <w:proofErr w:type="spellStart"/>
      <w:r w:rsidRPr="00813BEC">
        <w:t>Cmax</w:t>
      </w:r>
      <w:proofErr w:type="spellEnd"/>
      <w:r w:rsidRPr="00813BEC">
        <w:t xml:space="preserve"> by 18% and </w:t>
      </w:r>
      <w:proofErr w:type="spellStart"/>
      <w:r w:rsidRPr="00813BEC">
        <w:t>Ctau</w:t>
      </w:r>
      <w:proofErr w:type="spellEnd"/>
      <w:r w:rsidRPr="00813BEC">
        <w:t xml:space="preserve"> by 15% (Study GS-US-3</w:t>
      </w:r>
      <w:r w:rsidR="0091523E">
        <w:t>44-0102)</w:t>
      </w:r>
      <w:r w:rsidR="00813BEC">
        <w:t>.</w:t>
      </w:r>
    </w:p>
    <w:p w:rsidR="0086102A" w:rsidRPr="00813BEC" w:rsidRDefault="0086102A" w:rsidP="00813BEC">
      <w:pPr>
        <w:pStyle w:val="ListBullet"/>
      </w:pPr>
      <w:r w:rsidRPr="00813BEC">
        <w:t>LDV 90 mg in combination with RPV did not have a significant effect on the P</w:t>
      </w:r>
      <w:r w:rsidR="00BB245C">
        <w:t>K of RPV (Study GS-US-344-0102).</w:t>
      </w:r>
    </w:p>
    <w:p w:rsidR="0086102A" w:rsidRPr="00813BEC" w:rsidRDefault="0086102A" w:rsidP="00813BEC">
      <w:pPr>
        <w:pStyle w:val="ListBullet"/>
      </w:pPr>
      <w:r w:rsidRPr="00813BEC">
        <w:t xml:space="preserve">When LDV 90 mg daily was co-administered with MK-5172 400 mg daily, the AUC0-24 of MK-5172 increased by 48%, </w:t>
      </w:r>
      <w:proofErr w:type="spellStart"/>
      <w:r w:rsidRPr="00813BEC">
        <w:t>Cmax</w:t>
      </w:r>
      <w:proofErr w:type="spellEnd"/>
      <w:r w:rsidRPr="00813BEC">
        <w:t xml:space="preserve"> by 22% and </w:t>
      </w:r>
      <w:proofErr w:type="spellStart"/>
      <w:r w:rsidRPr="00813BEC">
        <w:t>Ct</w:t>
      </w:r>
      <w:r w:rsidR="00BB245C">
        <w:t>au</w:t>
      </w:r>
      <w:proofErr w:type="spellEnd"/>
      <w:r w:rsidR="00BB245C">
        <w:t xml:space="preserve"> by 77% (Study MK-5172-pn023).</w:t>
      </w:r>
    </w:p>
    <w:p w:rsidR="0086102A" w:rsidRPr="00813BEC" w:rsidRDefault="0086102A" w:rsidP="00813BEC">
      <w:pPr>
        <w:pStyle w:val="Heading5"/>
      </w:pPr>
      <w:bookmarkStart w:id="121" w:name="_Clinical_implications_of_in_vitro_f_2"/>
      <w:bookmarkStart w:id="122" w:name="_Toc408164042"/>
      <w:bookmarkEnd w:id="121"/>
      <w:r w:rsidRPr="00813BEC">
        <w:t>Clinical implications of in vitro findings</w:t>
      </w:r>
      <w:bookmarkEnd w:id="122"/>
    </w:p>
    <w:p w:rsidR="0086102A" w:rsidRPr="00813BEC" w:rsidRDefault="0086102A" w:rsidP="00813BEC">
      <w:bookmarkStart w:id="123" w:name="_Clinical_implications_of_in_vitro_f_1"/>
      <w:bookmarkEnd w:id="123"/>
      <w:proofErr w:type="spellStart"/>
      <w:r w:rsidRPr="00813BEC">
        <w:t>Ledipasvir</w:t>
      </w:r>
      <w:proofErr w:type="spellEnd"/>
      <w:r w:rsidRPr="00813BEC">
        <w:t xml:space="preserve"> at concentrations up to 25 </w:t>
      </w:r>
      <w:proofErr w:type="spellStart"/>
      <w:r w:rsidRPr="00813BEC">
        <w:t>μM</w:t>
      </w:r>
      <w:proofErr w:type="spellEnd"/>
      <w:r w:rsidRPr="00813BEC">
        <w:t xml:space="preserve"> had no inhibitor effect on CYP1A2, CYP2C8, CYP2C9, CYP2C19, CYP2D</w:t>
      </w:r>
      <w:r w:rsidR="00857F99">
        <w:t>6 and CYP3A (Study AD-256-2096).</w:t>
      </w:r>
    </w:p>
    <w:p w:rsidR="00857F99" w:rsidRDefault="0086102A" w:rsidP="0086102A">
      <w:proofErr w:type="spellStart"/>
      <w:r w:rsidRPr="00813BEC">
        <w:t>Ledipasvir</w:t>
      </w:r>
      <w:proofErr w:type="spellEnd"/>
      <w:r w:rsidRPr="00813BEC">
        <w:t xml:space="preserve"> at concentrations up to 20 </w:t>
      </w:r>
      <w:proofErr w:type="spellStart"/>
      <w:r w:rsidRPr="00813BEC">
        <w:t>μM</w:t>
      </w:r>
      <w:proofErr w:type="spellEnd"/>
      <w:r w:rsidRPr="00813BEC">
        <w:t xml:space="preserve"> did not activate PXR or </w:t>
      </w:r>
      <w:proofErr w:type="spellStart"/>
      <w:r w:rsidRPr="00813BEC">
        <w:t>AhR</w:t>
      </w:r>
      <w:proofErr w:type="spellEnd"/>
      <w:r w:rsidRPr="00813BEC">
        <w:t xml:space="preserve"> regulated genes in vitro (Study AD256-2097</w:t>
      </w:r>
      <w:r w:rsidR="00857F99">
        <w:t>).</w:t>
      </w:r>
    </w:p>
    <w:p w:rsidR="00857F99" w:rsidRDefault="0086102A" w:rsidP="00886813">
      <w:proofErr w:type="spellStart"/>
      <w:r w:rsidRPr="00813BEC">
        <w:t>Ledipasvir</w:t>
      </w:r>
      <w:proofErr w:type="spellEnd"/>
      <w:r w:rsidRPr="00813BEC">
        <w:t xml:space="preserve"> was not metabolised in vitro by recombinant CYP1A2, CYP2C8, CYP2C9, CYP2C19, CYP2D6 or CYP3A4 (Study AD-256-2098</w:t>
      </w:r>
      <w:r w:rsidR="00857F99">
        <w:t>).</w:t>
      </w:r>
    </w:p>
    <w:p w:rsidR="0086102A" w:rsidRPr="00813BEC" w:rsidRDefault="0086102A" w:rsidP="00813BEC">
      <w:proofErr w:type="spellStart"/>
      <w:r w:rsidRPr="00813BEC">
        <w:t>Ledipasvir</w:t>
      </w:r>
      <w:proofErr w:type="spellEnd"/>
      <w:r w:rsidRPr="00813BEC">
        <w:t xml:space="preserve"> was a moderate to weak inhibitor of BCRP and </w:t>
      </w:r>
      <w:proofErr w:type="spellStart"/>
      <w:r w:rsidRPr="00813BEC">
        <w:t>Pgp</w:t>
      </w:r>
      <w:proofErr w:type="spellEnd"/>
      <w:r w:rsidRPr="00813BEC">
        <w:t>, only approaching 50% inhibition at near its aqueous solubility limit (Study AD-256-2109</w:t>
      </w:r>
      <w:r w:rsidR="00857F99">
        <w:t xml:space="preserve">). </w:t>
      </w:r>
      <w:r w:rsidRPr="00813BEC">
        <w:t xml:space="preserve">No evidence for dose dependent MRP2 inhibition was observed for </w:t>
      </w:r>
      <w:proofErr w:type="spellStart"/>
      <w:r w:rsidRPr="00813BEC">
        <w:t>ledipasvir</w:t>
      </w:r>
      <w:proofErr w:type="spellEnd"/>
      <w:r w:rsidRPr="00813BEC">
        <w:t>.</w:t>
      </w:r>
    </w:p>
    <w:p w:rsidR="00857F99" w:rsidRDefault="0086102A" w:rsidP="00886813">
      <w:r w:rsidRPr="00813BEC">
        <w:t xml:space="preserve">In vitro </w:t>
      </w:r>
      <w:proofErr w:type="spellStart"/>
      <w:r w:rsidRPr="00813BEC">
        <w:t>ledipasvir</w:t>
      </w:r>
      <w:proofErr w:type="spellEnd"/>
      <w:r w:rsidRPr="00813BEC">
        <w:t xml:space="preserve"> had a significant inhibitory effect on the activity of human UGT1A1 with an IC50 of 7.95 </w:t>
      </w:r>
      <w:proofErr w:type="spellStart"/>
      <w:r w:rsidRPr="00813BEC">
        <w:t>μM</w:t>
      </w:r>
      <w:proofErr w:type="spellEnd"/>
      <w:r w:rsidRPr="00813BEC">
        <w:t xml:space="preserve"> (Study AD-256-2132</w:t>
      </w:r>
      <w:r w:rsidR="00857F99">
        <w:t>).</w:t>
      </w:r>
    </w:p>
    <w:p w:rsidR="0086102A" w:rsidRPr="00813BEC" w:rsidRDefault="0086102A" w:rsidP="00813BEC">
      <w:proofErr w:type="spellStart"/>
      <w:r w:rsidRPr="00813BEC">
        <w:t>Ledipasvir</w:t>
      </w:r>
      <w:proofErr w:type="spellEnd"/>
      <w:r w:rsidRPr="00813BEC">
        <w:t xml:space="preserve"> had no significant inhibitory effect on the activity of human CYP2B6 in vitro (Study AD-256-2133</w:t>
      </w:r>
      <w:r w:rsidR="00857F99">
        <w:t>).</w:t>
      </w:r>
    </w:p>
    <w:p w:rsidR="00857F99" w:rsidRDefault="0086102A" w:rsidP="00886813">
      <w:proofErr w:type="spellStart"/>
      <w:r w:rsidRPr="00813BEC">
        <w:t>Ledipasvir</w:t>
      </w:r>
      <w:proofErr w:type="spellEnd"/>
      <w:r w:rsidRPr="00813BEC">
        <w:t xml:space="preserve"> showed dose-dependent inhibition of OATP1B1 and OATP1B3 with IC50 values of 3.5 ± 1.0 </w:t>
      </w:r>
      <w:proofErr w:type="spellStart"/>
      <w:r w:rsidRPr="00813BEC">
        <w:t>μM</w:t>
      </w:r>
      <w:proofErr w:type="spellEnd"/>
      <w:r w:rsidRPr="00813BEC">
        <w:t xml:space="preserve"> and 6.5 ± 2.8 </w:t>
      </w:r>
      <w:proofErr w:type="spellStart"/>
      <w:r w:rsidRPr="00813BEC">
        <w:t>μM</w:t>
      </w:r>
      <w:proofErr w:type="spellEnd"/>
      <w:r w:rsidRPr="00813BEC">
        <w:t>, respectively (Study AD-256-2134</w:t>
      </w:r>
      <w:r w:rsidR="00857F99">
        <w:t>).</w:t>
      </w:r>
    </w:p>
    <w:p w:rsidR="00857F99" w:rsidRDefault="0086102A" w:rsidP="00813BEC">
      <w:proofErr w:type="spellStart"/>
      <w:r w:rsidRPr="00813BEC">
        <w:t>Ledipasvir</w:t>
      </w:r>
      <w:proofErr w:type="spellEnd"/>
      <w:r w:rsidRPr="00813BEC">
        <w:t xml:space="preserve"> was not a substrate for OATP1B1 or OATP1B3 (Study AD-256-2139</w:t>
      </w:r>
      <w:r w:rsidR="00857F99">
        <w:t>).</w:t>
      </w:r>
    </w:p>
    <w:p w:rsidR="00857F99" w:rsidRDefault="0086102A" w:rsidP="00813BEC">
      <w:proofErr w:type="spellStart"/>
      <w:r w:rsidRPr="00813BEC">
        <w:t>Ledipasvir</w:t>
      </w:r>
      <w:proofErr w:type="spellEnd"/>
      <w:r w:rsidRPr="00813BEC">
        <w:t xml:space="preserve"> showed moderate inhibition of BSEP-mediated transport and weak inhibition of OCT2-mediated transport of at a concentration of 6 </w:t>
      </w:r>
      <w:proofErr w:type="spellStart"/>
      <w:r w:rsidRPr="00813BEC">
        <w:t>μM</w:t>
      </w:r>
      <w:proofErr w:type="spellEnd"/>
      <w:r w:rsidRPr="00813BEC">
        <w:t xml:space="preserve"> (Study AD-256-2140</w:t>
      </w:r>
      <w:r w:rsidR="00857F99">
        <w:t>).</w:t>
      </w:r>
    </w:p>
    <w:p w:rsidR="00857F99" w:rsidRDefault="0086102A" w:rsidP="004B3358">
      <w:proofErr w:type="spellStart"/>
      <w:r w:rsidRPr="00813BEC">
        <w:t>Ledipasvir</w:t>
      </w:r>
      <w:proofErr w:type="spellEnd"/>
      <w:r w:rsidRPr="00813BEC">
        <w:t xml:space="preserve"> showed no dose-dependent inhibition of OCT1-mediated transport at the concentrations up to 6 </w:t>
      </w:r>
      <w:proofErr w:type="spellStart"/>
      <w:r w:rsidRPr="00813BEC">
        <w:t>μM</w:t>
      </w:r>
      <w:proofErr w:type="spellEnd"/>
      <w:r w:rsidRPr="00813BEC">
        <w:t xml:space="preserve"> and was not a substrate of OCT1 (Study AD-256-2143</w:t>
      </w:r>
      <w:r w:rsidR="00857F99">
        <w:t>).</w:t>
      </w:r>
    </w:p>
    <w:p w:rsidR="00857F99" w:rsidRDefault="0086102A" w:rsidP="004B3358">
      <w:proofErr w:type="spellStart"/>
      <w:r w:rsidRPr="004B3358">
        <w:t>Ledipasvir</w:t>
      </w:r>
      <w:proofErr w:type="spellEnd"/>
      <w:r w:rsidRPr="004B3358">
        <w:t xml:space="preserve"> is a substrate for </w:t>
      </w:r>
      <w:proofErr w:type="spellStart"/>
      <w:r w:rsidRPr="004B3358">
        <w:t>Pgp</w:t>
      </w:r>
      <w:proofErr w:type="spellEnd"/>
      <w:r w:rsidRPr="004B3358">
        <w:t xml:space="preserve"> transport (Study AD-256-2144</w:t>
      </w:r>
      <w:r w:rsidR="00857F99">
        <w:t>).</w:t>
      </w:r>
    </w:p>
    <w:p w:rsidR="0086102A" w:rsidRPr="004B3358" w:rsidRDefault="0086102A" w:rsidP="004B3358">
      <w:proofErr w:type="spellStart"/>
      <w:r w:rsidRPr="004B3358">
        <w:t>Ledipasvir</w:t>
      </w:r>
      <w:proofErr w:type="spellEnd"/>
      <w:r w:rsidRPr="004B3358">
        <w:t xml:space="preserve"> demonstrated no induction of CYP1A2, CYP2C9, P-</w:t>
      </w:r>
      <w:proofErr w:type="spellStart"/>
      <w:r w:rsidRPr="004B3358">
        <w:t>gp</w:t>
      </w:r>
      <w:proofErr w:type="spellEnd"/>
      <w:r w:rsidRPr="004B3358">
        <w:t xml:space="preserve">, and UGT1A1 at concentrations up to 10 </w:t>
      </w:r>
      <w:proofErr w:type="spellStart"/>
      <w:r w:rsidRPr="004B3358">
        <w:t>μM</w:t>
      </w:r>
      <w:proofErr w:type="spellEnd"/>
      <w:r w:rsidRPr="004B3358">
        <w:t>, and low potential to induce CYP2B6 and CYP3A4 (Study AD-256-2146</w:t>
      </w:r>
      <w:r w:rsidR="00857F99">
        <w:t xml:space="preserve">). </w:t>
      </w:r>
      <w:r w:rsidRPr="004B3358">
        <w:t xml:space="preserve">At a clinically relevant concentration of 1 </w:t>
      </w:r>
      <w:proofErr w:type="spellStart"/>
      <w:r w:rsidRPr="004B3358">
        <w:t>μM</w:t>
      </w:r>
      <w:proofErr w:type="spellEnd"/>
      <w:r w:rsidRPr="004B3358">
        <w:t xml:space="preserve"> increases in CYP2B6 and CYP3A activities were all &lt;2.0-fold and the relative increase in CYP2B6 and CYP3A4 mRNA was ≤</w:t>
      </w:r>
      <w:r w:rsidR="004B3358">
        <w:t xml:space="preserve"> 10% of the positive control.</w:t>
      </w:r>
    </w:p>
    <w:p w:rsidR="00857F99" w:rsidRDefault="0086102A" w:rsidP="004B3358">
      <w:proofErr w:type="spellStart"/>
      <w:r w:rsidRPr="004B3358">
        <w:t>Ledipasvir</w:t>
      </w:r>
      <w:proofErr w:type="spellEnd"/>
      <w:r w:rsidRPr="004B3358">
        <w:t xml:space="preserve"> is a substrate for BCRP transport in vitro (Study AD-256-2150</w:t>
      </w:r>
      <w:r w:rsidR="00857F99">
        <w:t>).</w:t>
      </w:r>
    </w:p>
    <w:p w:rsidR="004B3358" w:rsidRPr="004B3358" w:rsidRDefault="0086102A" w:rsidP="004B3358">
      <w:r w:rsidRPr="004B3358">
        <w:t>LDV has medium to high permeability through Caco-2 cells suggesting a majority of the soluble dose should be absorbed in the intestine (Study AD-256-2108</w:t>
      </w:r>
      <w:r w:rsidR="00857F99">
        <w:t xml:space="preserve">). </w:t>
      </w:r>
      <w:r w:rsidRPr="004B3358">
        <w:t>There was no evidence of efflux transport of LDV in Caco-2 cells.</w:t>
      </w:r>
    </w:p>
    <w:p w:rsidR="004B3358" w:rsidRPr="004B3358" w:rsidRDefault="004B3358" w:rsidP="00886813">
      <w:pPr>
        <w:pStyle w:val="Heading3"/>
      </w:pPr>
      <w:bookmarkStart w:id="124" w:name="_Toc408164043"/>
      <w:bookmarkStart w:id="125" w:name="_Toc432073911"/>
      <w:r w:rsidRPr="004B3358">
        <w:t xml:space="preserve">Summary of pharmacokinetics for </w:t>
      </w:r>
      <w:proofErr w:type="spellStart"/>
      <w:r w:rsidRPr="004B3358">
        <w:t>sofosbuvir</w:t>
      </w:r>
      <w:proofErr w:type="spellEnd"/>
      <w:r w:rsidRPr="004B3358">
        <w:t>/</w:t>
      </w:r>
      <w:proofErr w:type="spellStart"/>
      <w:r w:rsidRPr="004B3358">
        <w:t>ledipasvir</w:t>
      </w:r>
      <w:bookmarkEnd w:id="124"/>
      <w:bookmarkEnd w:id="125"/>
      <w:proofErr w:type="spellEnd"/>
    </w:p>
    <w:p w:rsidR="004B3358" w:rsidRPr="004B3358" w:rsidRDefault="004B3358" w:rsidP="00886813">
      <w:r w:rsidRPr="004B3358">
        <w:t>The information in the following summary is derived from conventional pharmacokinetic studies unless otherwise stated.</w:t>
      </w:r>
    </w:p>
    <w:p w:rsidR="004B3358" w:rsidRPr="004B3358" w:rsidRDefault="004B3358" w:rsidP="00886813">
      <w:pPr>
        <w:pStyle w:val="Heading4"/>
      </w:pPr>
      <w:bookmarkStart w:id="126" w:name="_Toc408164044"/>
      <w:r w:rsidRPr="004B3358">
        <w:t>Physicochemical characteristics of the active substance</w:t>
      </w:r>
      <w:bookmarkEnd w:id="126"/>
    </w:p>
    <w:p w:rsidR="004B3358" w:rsidRPr="004B3358" w:rsidRDefault="004B3358" w:rsidP="00886813">
      <w:proofErr w:type="gramStart"/>
      <w:r w:rsidRPr="004B3358">
        <w:t xml:space="preserve">As per </w:t>
      </w:r>
      <w:r w:rsidR="00CE61A0">
        <w:t>above</w:t>
      </w:r>
      <w:r w:rsidRPr="004B3358">
        <w:t>.</w:t>
      </w:r>
      <w:proofErr w:type="gramEnd"/>
    </w:p>
    <w:p w:rsidR="004B3358" w:rsidRPr="004B3358" w:rsidRDefault="004B3358" w:rsidP="00886813">
      <w:pPr>
        <w:pStyle w:val="Heading4"/>
      </w:pPr>
      <w:bookmarkStart w:id="127" w:name="_Toc408164045"/>
      <w:r w:rsidRPr="004B3358">
        <w:t>Pharmacokinetics in healthy subjects</w:t>
      </w:r>
      <w:bookmarkEnd w:id="127"/>
    </w:p>
    <w:p w:rsidR="004B3358" w:rsidRPr="004B3358" w:rsidRDefault="004B3358" w:rsidP="00886813">
      <w:pPr>
        <w:pStyle w:val="Heading5"/>
      </w:pPr>
      <w:bookmarkStart w:id="128" w:name="_Toc408164046"/>
      <w:r w:rsidRPr="004B3358">
        <w:t>Absorption</w:t>
      </w:r>
      <w:bookmarkEnd w:id="128"/>
    </w:p>
    <w:p w:rsidR="004B3358" w:rsidRDefault="004B3358" w:rsidP="004B3358">
      <w:proofErr w:type="gramStart"/>
      <w:r w:rsidRPr="004B3358">
        <w:t xml:space="preserve">As per </w:t>
      </w:r>
      <w:r w:rsidR="00CE61A0">
        <w:t>above</w:t>
      </w:r>
      <w:r w:rsidRPr="004B3358">
        <w:t>.</w:t>
      </w:r>
      <w:proofErr w:type="gramEnd"/>
    </w:p>
    <w:p w:rsidR="004B3358" w:rsidRPr="004B3358" w:rsidRDefault="004B3358" w:rsidP="004B3358">
      <w:pPr>
        <w:pStyle w:val="Heading5"/>
      </w:pPr>
      <w:bookmarkStart w:id="129" w:name="_Toc408164047"/>
      <w:r w:rsidRPr="004B3358">
        <w:t>Bioavailability</w:t>
      </w:r>
      <w:bookmarkEnd w:id="129"/>
    </w:p>
    <w:p w:rsidR="004B3358" w:rsidRPr="004B3358" w:rsidRDefault="004B3358" w:rsidP="004B3358">
      <w:pPr>
        <w:pStyle w:val="Heading6"/>
      </w:pPr>
      <w:bookmarkStart w:id="130" w:name="_Bioequivalence_of_different_dosage_"/>
      <w:bookmarkEnd w:id="130"/>
      <w:r w:rsidRPr="004B3358">
        <w:t>Bioequivalence of different dosage forms and strengths</w:t>
      </w:r>
    </w:p>
    <w:p w:rsidR="004B3358" w:rsidRPr="004B3358" w:rsidRDefault="004B3358" w:rsidP="004B3358">
      <w:r w:rsidRPr="004B3358">
        <w:t xml:space="preserve">SOF/LDV FDC 400 mg/90 mg had similar exposure to GS-331007 compared to SOF 400 mg (geometric mean ratio [90% CI] 95.35 [89.99 to 101.04] for </w:t>
      </w:r>
      <w:proofErr w:type="spellStart"/>
      <w:r w:rsidRPr="004B3358">
        <w:t>AUCinf</w:t>
      </w:r>
      <w:proofErr w:type="spellEnd"/>
      <w:r w:rsidRPr="004B3358">
        <w:t xml:space="preserve"> and 98.60 [90.81 to 107.05] for </w:t>
      </w:r>
      <w:proofErr w:type="spellStart"/>
      <w:r w:rsidRPr="004B3358">
        <w:t>Cmax</w:t>
      </w:r>
      <w:proofErr w:type="spellEnd"/>
      <w:r w:rsidRPr="004B3358">
        <w:t>) (Study GS-US-337-0101</w:t>
      </w:r>
      <w:r w:rsidR="00857F99">
        <w:t xml:space="preserve">). </w:t>
      </w:r>
      <w:r w:rsidRPr="004B3358">
        <w:t xml:space="preserve">There was also similar exposure to LDV compared to LDV 90 mg (geometric mean ratio [90% CI] 96.31 [79.21 to 117.10] for </w:t>
      </w:r>
      <w:proofErr w:type="spellStart"/>
      <w:r w:rsidRPr="004B3358">
        <w:t>AUCinf</w:t>
      </w:r>
      <w:proofErr w:type="spellEnd"/>
      <w:r w:rsidRPr="004B3358">
        <w:t xml:space="preserve"> and 98.21 [81.89 to 117.44] for </w:t>
      </w:r>
      <w:proofErr w:type="spellStart"/>
      <w:r w:rsidRPr="004B3358">
        <w:t>Cmax</w:t>
      </w:r>
      <w:proofErr w:type="spellEnd"/>
      <w:r w:rsidRPr="004B3358">
        <w:t>).</w:t>
      </w:r>
    </w:p>
    <w:p w:rsidR="004B3358" w:rsidRPr="004B3358" w:rsidRDefault="004B3358" w:rsidP="004B3358">
      <w:pPr>
        <w:pStyle w:val="Heading6"/>
      </w:pPr>
      <w:bookmarkStart w:id="131" w:name="_Influence_of_food"/>
      <w:bookmarkEnd w:id="131"/>
      <w:r w:rsidRPr="004B3358">
        <w:t>Influence of food</w:t>
      </w:r>
    </w:p>
    <w:p w:rsidR="004B3358" w:rsidRPr="004B3358" w:rsidRDefault="004B3358" w:rsidP="004B3358">
      <w:r w:rsidRPr="004B3358">
        <w:t xml:space="preserve">SOF/LDV FDC 400 mg/90 mg had similar exposure to GS-331007 for fasted and following either a high calorie, high fat meal or a moderate fat meal (moderate/fasted: geometric mean ratio [90% CI] 117.42 [111.93 to 123.18] for </w:t>
      </w:r>
      <w:proofErr w:type="spellStart"/>
      <w:r w:rsidRPr="004B3358">
        <w:t>AUCinf</w:t>
      </w:r>
      <w:proofErr w:type="spellEnd"/>
      <w:r w:rsidRPr="004B3358">
        <w:t xml:space="preserve"> and 81.52 [75.56 to 87.94] for </w:t>
      </w:r>
      <w:proofErr w:type="spellStart"/>
      <w:r w:rsidRPr="004B3358">
        <w:t>Cmax</w:t>
      </w:r>
      <w:proofErr w:type="spellEnd"/>
      <w:r w:rsidRPr="004B3358">
        <w:t xml:space="preserve">; high calorie, high fat / fasted: geometric mean ratio [90% CI] 111.96 [106.66 to 117.52] for </w:t>
      </w:r>
      <w:proofErr w:type="spellStart"/>
      <w:r w:rsidRPr="004B3358">
        <w:t>AUCinf</w:t>
      </w:r>
      <w:proofErr w:type="spellEnd"/>
      <w:r w:rsidRPr="004B3358">
        <w:t xml:space="preserve"> and 70.22 [65.03 to 75.83] for </w:t>
      </w:r>
      <w:proofErr w:type="spellStart"/>
      <w:r w:rsidRPr="004B3358">
        <w:t>Cmax</w:t>
      </w:r>
      <w:proofErr w:type="spellEnd"/>
      <w:r w:rsidRPr="004B3358">
        <w:t>) (Study GS-US-337-0101</w:t>
      </w:r>
      <w:r w:rsidR="00857F99">
        <w:t xml:space="preserve">). </w:t>
      </w:r>
      <w:r w:rsidRPr="004B3358">
        <w:t xml:space="preserve">There was also similar exposure to LDV for fasted and following either a high calorie, high fat meal or a moderate fat meal (moderate/fasted: geometric mean ratio [90% CI] 1175.31 [99.40 to 133.76] for </w:t>
      </w:r>
      <w:proofErr w:type="spellStart"/>
      <w:r w:rsidRPr="004B3358">
        <w:t>AUCinf</w:t>
      </w:r>
      <w:proofErr w:type="spellEnd"/>
      <w:r w:rsidRPr="004B3358">
        <w:t xml:space="preserve"> and 108.61 [93.50 to 126.17] for </w:t>
      </w:r>
      <w:proofErr w:type="spellStart"/>
      <w:r w:rsidRPr="004B3358">
        <w:t>Cmax</w:t>
      </w:r>
      <w:proofErr w:type="spellEnd"/>
      <w:r w:rsidRPr="004B3358">
        <w:t xml:space="preserve">; high calorie, high fat / fasted: geometric mean ratio [90% CI] 102.80 [88.46 to 119.4] for </w:t>
      </w:r>
      <w:proofErr w:type="spellStart"/>
      <w:r w:rsidRPr="004B3358">
        <w:t>AUCinf</w:t>
      </w:r>
      <w:proofErr w:type="spellEnd"/>
      <w:r w:rsidRPr="004B3358">
        <w:t xml:space="preserve"> and 88.21 [75.80 to 102.64] for </w:t>
      </w:r>
      <w:proofErr w:type="spellStart"/>
      <w:r w:rsidRPr="004B3358">
        <w:t>Cmax</w:t>
      </w:r>
      <w:proofErr w:type="spellEnd"/>
      <w:r w:rsidRPr="004B3358">
        <w:t>).</w:t>
      </w:r>
    </w:p>
    <w:p w:rsidR="004B3358" w:rsidRPr="004B3358" w:rsidRDefault="004B3358" w:rsidP="004B3358">
      <w:pPr>
        <w:pStyle w:val="Heading5"/>
      </w:pPr>
      <w:bookmarkStart w:id="132" w:name="_Toc408164048"/>
      <w:r w:rsidRPr="004B3358">
        <w:t>Distribution</w:t>
      </w:r>
      <w:bookmarkEnd w:id="132"/>
    </w:p>
    <w:p w:rsidR="004B3358" w:rsidRPr="004B3358" w:rsidRDefault="004B3358" w:rsidP="004B3358">
      <w:r w:rsidRPr="004B3358">
        <w:t xml:space="preserve">As per </w:t>
      </w:r>
      <w:r w:rsidR="00CE61A0">
        <w:t>above</w:t>
      </w:r>
      <w:r w:rsidRPr="004B3358">
        <w:t>.</w:t>
      </w:r>
    </w:p>
    <w:p w:rsidR="004B3358" w:rsidRPr="004B3358" w:rsidRDefault="004B3358" w:rsidP="004B3358">
      <w:pPr>
        <w:pStyle w:val="Heading5"/>
      </w:pPr>
      <w:bookmarkStart w:id="133" w:name="_Toc408164049"/>
      <w:r w:rsidRPr="004B3358">
        <w:t>Metabolism</w:t>
      </w:r>
      <w:bookmarkEnd w:id="133"/>
    </w:p>
    <w:p w:rsidR="00CE61A0" w:rsidRPr="004B3358" w:rsidRDefault="00CE61A0" w:rsidP="00CE61A0">
      <w:bookmarkStart w:id="134" w:name="_Toc408164050"/>
      <w:r w:rsidRPr="004B3358">
        <w:t xml:space="preserve">As per </w:t>
      </w:r>
      <w:r>
        <w:t>above</w:t>
      </w:r>
      <w:r w:rsidRPr="004B3358">
        <w:t>.</w:t>
      </w:r>
    </w:p>
    <w:p w:rsidR="004B3358" w:rsidRPr="004B3358" w:rsidRDefault="004B3358" w:rsidP="004B3358">
      <w:pPr>
        <w:pStyle w:val="Heading5"/>
      </w:pPr>
      <w:r w:rsidRPr="004B3358">
        <w:t>Excretion</w:t>
      </w:r>
      <w:bookmarkEnd w:id="134"/>
    </w:p>
    <w:p w:rsidR="004B3358" w:rsidRPr="004B3358" w:rsidRDefault="004B3358" w:rsidP="004B3358">
      <w:pPr>
        <w:pStyle w:val="Heading6"/>
      </w:pPr>
      <w:r w:rsidRPr="004B3358">
        <w:t>Routes and mechanisms of excretion</w:t>
      </w:r>
    </w:p>
    <w:p w:rsidR="00CE61A0" w:rsidRPr="004B3358" w:rsidRDefault="00CE61A0" w:rsidP="00CE61A0">
      <w:r w:rsidRPr="004B3358">
        <w:t xml:space="preserve">As per </w:t>
      </w:r>
      <w:r>
        <w:t>above</w:t>
      </w:r>
      <w:r w:rsidRPr="004B3358">
        <w:t>.</w:t>
      </w:r>
    </w:p>
    <w:p w:rsidR="004B3358" w:rsidRPr="004B3358" w:rsidRDefault="004B3358" w:rsidP="004B3358">
      <w:pPr>
        <w:pStyle w:val="Heading6"/>
      </w:pPr>
      <w:r w:rsidRPr="004B3358">
        <w:t>Mass balance studies</w:t>
      </w:r>
    </w:p>
    <w:p w:rsidR="00CE61A0" w:rsidRPr="004B3358" w:rsidRDefault="00CE61A0" w:rsidP="00CE61A0">
      <w:r w:rsidRPr="004B3358">
        <w:t xml:space="preserve">As per </w:t>
      </w:r>
      <w:r>
        <w:t>above</w:t>
      </w:r>
      <w:r w:rsidRPr="004B3358">
        <w:t>.</w:t>
      </w:r>
    </w:p>
    <w:p w:rsidR="004B3358" w:rsidRPr="004B3358" w:rsidRDefault="004B3358" w:rsidP="004B3358">
      <w:pPr>
        <w:pStyle w:val="Heading6"/>
      </w:pPr>
      <w:r w:rsidRPr="004B3358">
        <w:t>Renal clearance</w:t>
      </w:r>
    </w:p>
    <w:p w:rsidR="004B3358" w:rsidRPr="004B3358" w:rsidRDefault="004B3358" w:rsidP="004B3358">
      <w:r w:rsidRPr="004B3358">
        <w:t>Renal clearance is significant for d</w:t>
      </w:r>
      <w:r w:rsidR="00920649">
        <w:t xml:space="preserve">etermining GS-331007 exposure. </w:t>
      </w:r>
      <w:r w:rsidR="00CE61A0">
        <w:t xml:space="preserve">Study Pop-PK-GS-331007 </w:t>
      </w:r>
      <w:r w:rsidRPr="004B3358">
        <w:t>concluded a covariate ef</w:t>
      </w:r>
      <w:r w:rsidR="00920649">
        <w:t xml:space="preserve">fect of CLCR on CL/F and </w:t>
      </w:r>
      <w:proofErr w:type="spellStart"/>
      <w:r w:rsidR="00920649">
        <w:t>Vc</w:t>
      </w:r>
      <w:proofErr w:type="spellEnd"/>
      <w:r w:rsidR="00920649">
        <w:t xml:space="preserve">/F. </w:t>
      </w:r>
      <w:r w:rsidRPr="004B3358">
        <w:t>However, there was no effect of renal clearance on LDV.</w:t>
      </w:r>
    </w:p>
    <w:p w:rsidR="004B3358" w:rsidRPr="004B3358" w:rsidRDefault="004B3358" w:rsidP="004B3358">
      <w:pPr>
        <w:pStyle w:val="Heading5"/>
      </w:pPr>
      <w:bookmarkStart w:id="135" w:name="_Toc408164051"/>
      <w:r w:rsidRPr="004B3358">
        <w:t>Intra- and inter-individual variability of pharmacokinetics</w:t>
      </w:r>
      <w:bookmarkEnd w:id="135"/>
    </w:p>
    <w:p w:rsidR="00CE61A0" w:rsidRPr="004B3358" w:rsidRDefault="00CE61A0" w:rsidP="00CE61A0">
      <w:bookmarkStart w:id="136" w:name="_Pharmacokinetics_in_the_target_popu"/>
      <w:bookmarkStart w:id="137" w:name="_Toc408164052"/>
      <w:bookmarkEnd w:id="136"/>
      <w:r w:rsidRPr="004B3358">
        <w:t xml:space="preserve">As per </w:t>
      </w:r>
      <w:r>
        <w:t>above</w:t>
      </w:r>
      <w:r w:rsidRPr="004B3358">
        <w:t>.</w:t>
      </w:r>
    </w:p>
    <w:p w:rsidR="004B3358" w:rsidRPr="004B3358" w:rsidRDefault="004B3358" w:rsidP="004B3358">
      <w:pPr>
        <w:pStyle w:val="Heading4"/>
      </w:pPr>
      <w:r w:rsidRPr="004B3358">
        <w:t>Pharmacokinetics in the target population</w:t>
      </w:r>
      <w:bookmarkEnd w:id="137"/>
    </w:p>
    <w:p w:rsidR="00CE61A0" w:rsidRPr="004B3358" w:rsidRDefault="00CE61A0" w:rsidP="00CE61A0">
      <w:bookmarkStart w:id="138" w:name="_Toc408164053"/>
      <w:r w:rsidRPr="004B3358">
        <w:t xml:space="preserve">As per </w:t>
      </w:r>
      <w:r>
        <w:t>above</w:t>
      </w:r>
      <w:r w:rsidRPr="004B3358">
        <w:t>.</w:t>
      </w:r>
    </w:p>
    <w:p w:rsidR="004B3358" w:rsidRPr="004B3358" w:rsidRDefault="004B3358" w:rsidP="004B3358">
      <w:pPr>
        <w:pStyle w:val="Heading4"/>
      </w:pPr>
      <w:r w:rsidRPr="004B3358">
        <w:t>Pharmacokinetics in other special populations</w:t>
      </w:r>
      <w:bookmarkEnd w:id="138"/>
    </w:p>
    <w:p w:rsidR="00CE61A0" w:rsidRPr="004B3358" w:rsidRDefault="00CE61A0" w:rsidP="00CE61A0">
      <w:bookmarkStart w:id="139" w:name="_Pharmacokinetics_{in_other_special_"/>
      <w:bookmarkStart w:id="140" w:name="_Toc408164054"/>
      <w:bookmarkEnd w:id="139"/>
      <w:r w:rsidRPr="004B3358">
        <w:t xml:space="preserve">As per </w:t>
      </w:r>
      <w:r>
        <w:t>above</w:t>
      </w:r>
      <w:r w:rsidRPr="004B3358">
        <w:t>.</w:t>
      </w:r>
    </w:p>
    <w:p w:rsidR="004B3358" w:rsidRPr="004B3358" w:rsidRDefault="004B3358" w:rsidP="004B3358">
      <w:pPr>
        <w:pStyle w:val="Heading5"/>
      </w:pPr>
      <w:r w:rsidRPr="004B3358">
        <w:t>Pharmacokinetics in Japanese subjects</w:t>
      </w:r>
      <w:bookmarkEnd w:id="140"/>
    </w:p>
    <w:p w:rsidR="004B3358" w:rsidRPr="004B3358" w:rsidRDefault="004B3358" w:rsidP="00886813">
      <w:r w:rsidRPr="004B3358">
        <w:t>Exposure to SOF and LDV was similar in Japanese and Caucasian subjects (Study GS-US-334-0111</w:t>
      </w:r>
      <w:r w:rsidR="00857F99">
        <w:t xml:space="preserve">). </w:t>
      </w:r>
      <w:r w:rsidRPr="004B3358">
        <w:t>There was no clinically significant difference in exposure to GS-331007.</w:t>
      </w:r>
    </w:p>
    <w:p w:rsidR="004B3358" w:rsidRPr="004B3358" w:rsidRDefault="004B3358" w:rsidP="004B3358">
      <w:pPr>
        <w:pStyle w:val="Heading4"/>
      </w:pPr>
      <w:bookmarkStart w:id="141" w:name="_Toc408164055"/>
      <w:r w:rsidRPr="004B3358">
        <w:t>Pharmacokinetic interactions</w:t>
      </w:r>
      <w:bookmarkEnd w:id="141"/>
    </w:p>
    <w:p w:rsidR="004B3358" w:rsidRPr="004B3358" w:rsidRDefault="004B3358" w:rsidP="004B3358">
      <w:pPr>
        <w:pStyle w:val="Heading5"/>
      </w:pPr>
      <w:bookmarkStart w:id="142" w:name="_Pharmacokinetic_interactions_demons_1"/>
      <w:bookmarkStart w:id="143" w:name="_Toc408164056"/>
      <w:bookmarkEnd w:id="142"/>
      <w:r w:rsidRPr="004B3358">
        <w:t>Pharmacokinetic interactions demonstrated in human studies</w:t>
      </w:r>
      <w:bookmarkEnd w:id="143"/>
    </w:p>
    <w:p w:rsidR="004B3358" w:rsidRPr="004B3358" w:rsidRDefault="004B3358" w:rsidP="004B3358">
      <w:r w:rsidRPr="004B3358">
        <w:t xml:space="preserve">The </w:t>
      </w:r>
      <w:proofErr w:type="spellStart"/>
      <w:r w:rsidRPr="004B3358">
        <w:t>AUCinf</w:t>
      </w:r>
      <w:proofErr w:type="spellEnd"/>
      <w:r w:rsidRPr="004B3358">
        <w:t xml:space="preserve"> of SOF, at a dose of 400 mg, was increased by 130% in combination with LDV 30 mg: %GLSM ratio (90% CI), SOF + LDV / SOF, 230.32 (191.28 to</w:t>
      </w:r>
      <w:r w:rsidR="00857F99">
        <w:t xml:space="preserve"> 277.33) (Study GS-US-334-0101). </w:t>
      </w:r>
      <w:proofErr w:type="spellStart"/>
      <w:r w:rsidRPr="004B3358">
        <w:t>Cmax</w:t>
      </w:r>
      <w:proofErr w:type="spellEnd"/>
      <w:r w:rsidRPr="004B3358">
        <w:t xml:space="preserve"> was increased by 121%: %GLSM ratio (90% CI), SOF + LDV / SOF, 221.20 (176.21 to 277.66</w:t>
      </w:r>
      <w:r w:rsidR="00920649">
        <w:t xml:space="preserve">). </w:t>
      </w:r>
      <w:r w:rsidRPr="004B3358">
        <w:t xml:space="preserve">The </w:t>
      </w:r>
      <w:proofErr w:type="spellStart"/>
      <w:r w:rsidRPr="004B3358">
        <w:t>AUCinf</w:t>
      </w:r>
      <w:proofErr w:type="spellEnd"/>
      <w:r w:rsidRPr="004B3358">
        <w:t xml:space="preserve"> for GS-566500 was increase</w:t>
      </w:r>
      <w:r>
        <w:t>d by 79% and GS-331007 by 19%.</w:t>
      </w:r>
    </w:p>
    <w:p w:rsidR="004B3358" w:rsidRPr="004B3358" w:rsidRDefault="004B3358" w:rsidP="00886813">
      <w:r w:rsidRPr="004B3358">
        <w:t xml:space="preserve">There was a statistically significant, but not clinically significant, decrease in the </w:t>
      </w:r>
      <w:proofErr w:type="spellStart"/>
      <w:r w:rsidRPr="004B3358">
        <w:t>AUCinf</w:t>
      </w:r>
      <w:proofErr w:type="spellEnd"/>
      <w:r w:rsidRPr="004B3358">
        <w:t xml:space="preserve"> of LDV, at a dose of 30 mg, when administered with SOF 400 mg, by 4%: %GLSM ratio (90% CI), SOF + LDV / LDV, 95.75 (92.11 t</w:t>
      </w:r>
      <w:r w:rsidR="00857F99">
        <w:t>o 99.53) (Study GS-US-334-0101</w:t>
      </w:r>
      <w:r w:rsidRPr="004B3358">
        <w:t xml:space="preserve">). </w:t>
      </w:r>
      <w:proofErr w:type="spellStart"/>
      <w:r w:rsidRPr="004B3358">
        <w:t>Cmax</w:t>
      </w:r>
      <w:proofErr w:type="spellEnd"/>
      <w:r w:rsidRPr="004B3358">
        <w:t xml:space="preserve"> was not significantly altered: %GLSM ratio (90% CI), SOF + LDV / LDV, 96.50 (89.91 to 103.58).</w:t>
      </w:r>
      <w:bookmarkStart w:id="144" w:name="_Clinical_implications_of_in_vitro_f"/>
      <w:bookmarkEnd w:id="144"/>
    </w:p>
    <w:p w:rsidR="004B3358" w:rsidRPr="004B3358" w:rsidRDefault="004B3358" w:rsidP="004B3358">
      <w:r w:rsidRPr="004B3358">
        <w:t xml:space="preserve">In combination with ATR (EFV 600 mg / FTC 200 mg / TDF 300 mg), the </w:t>
      </w:r>
      <w:proofErr w:type="spellStart"/>
      <w:r w:rsidRPr="004B3358">
        <w:t>AUCtau</w:t>
      </w:r>
      <w:proofErr w:type="spellEnd"/>
      <w:r w:rsidRPr="004B3358">
        <w:t xml:space="preserve"> of LDV was decreased by 34% and </w:t>
      </w:r>
      <w:proofErr w:type="spellStart"/>
      <w:r w:rsidRPr="004B3358">
        <w:t>Cmax</w:t>
      </w:r>
      <w:proofErr w:type="spellEnd"/>
      <w:r w:rsidRPr="004B3358">
        <w:t xml:space="preserve"> was also decreased by 34% (Study GS-US-337-0127</w:t>
      </w:r>
      <w:r w:rsidR="00857F99">
        <w:t xml:space="preserve">). </w:t>
      </w:r>
      <w:r w:rsidRPr="004B3358">
        <w:t>The PK parameters for SOF and its metabolites GS-566500 and GS-331007 were not significantly altered.</w:t>
      </w:r>
    </w:p>
    <w:p w:rsidR="00857F99" w:rsidRDefault="004B3358" w:rsidP="004B3358">
      <w:r w:rsidRPr="004B3358">
        <w:t>There was no significant effect of CPA (FTC 200 mg / RPV 25 mg / TDF 300 mg) on the PK of either SOF or LDV (Study GS-US-337-0127</w:t>
      </w:r>
      <w:r w:rsidR="00857F99">
        <w:t>).</w:t>
      </w:r>
    </w:p>
    <w:p w:rsidR="004B3358" w:rsidRPr="004B3358" w:rsidRDefault="004B3358" w:rsidP="004B3358">
      <w:r w:rsidRPr="004B3358">
        <w:t xml:space="preserve">The </w:t>
      </w:r>
      <w:proofErr w:type="spellStart"/>
      <w:r w:rsidRPr="004B3358">
        <w:t>AUCtau</w:t>
      </w:r>
      <w:proofErr w:type="spellEnd"/>
      <w:r w:rsidRPr="004B3358">
        <w:t xml:space="preserve"> of TFV was increased by 98% and </w:t>
      </w:r>
      <w:proofErr w:type="spellStart"/>
      <w:r w:rsidRPr="004B3358">
        <w:t>Cmax</w:t>
      </w:r>
      <w:proofErr w:type="spellEnd"/>
      <w:r w:rsidRPr="004B3358">
        <w:t xml:space="preserve"> by 79% when administered in the FDC product ATR (EFV 600 mg / FTC 200 mg / TDF 300 mg) in combination with SOF 400 mg / LDV 90 mg (Study GS-US-337-0127</w:t>
      </w:r>
      <w:r w:rsidR="00E60CAD">
        <w:t xml:space="preserve">). </w:t>
      </w:r>
      <w:r w:rsidRPr="004B3358">
        <w:t xml:space="preserve">However, when administered in the FDC product CPA (FTC 200 mg / RPV 25 mg / TDF 300 mg), the </w:t>
      </w:r>
      <w:proofErr w:type="spellStart"/>
      <w:r w:rsidRPr="004B3358">
        <w:t>AUCtau</w:t>
      </w:r>
      <w:proofErr w:type="spellEnd"/>
      <w:r w:rsidRPr="004B3358">
        <w:t xml:space="preserve"> of TFV was increased by 40% and </w:t>
      </w:r>
      <w:proofErr w:type="spellStart"/>
      <w:r w:rsidRPr="004B3358">
        <w:t>Cmax</w:t>
      </w:r>
      <w:proofErr w:type="spellEnd"/>
      <w:r w:rsidRPr="004B3358">
        <w:t xml:space="preserve"> by 32% in combinati</w:t>
      </w:r>
      <w:r>
        <w:t>on with SOF 400 mg / LDV 90 mg.</w:t>
      </w:r>
    </w:p>
    <w:p w:rsidR="004B3358" w:rsidRPr="004B3358" w:rsidRDefault="004B3358" w:rsidP="004B3358">
      <w:r w:rsidRPr="004B3358">
        <w:t xml:space="preserve">Omeprazole 20 mg administered with SOF 400 mg / LDV 90 mg resulted in a decrease in LDV </w:t>
      </w:r>
      <w:proofErr w:type="spellStart"/>
      <w:r w:rsidRPr="004B3358">
        <w:t>AUCinf</w:t>
      </w:r>
      <w:proofErr w:type="spellEnd"/>
      <w:r w:rsidRPr="004B3358">
        <w:t xml:space="preserve"> of 4% and </w:t>
      </w:r>
      <w:proofErr w:type="spellStart"/>
      <w:r w:rsidRPr="004B3358">
        <w:t>Cmax</w:t>
      </w:r>
      <w:proofErr w:type="spellEnd"/>
      <w:r w:rsidRPr="004B3358">
        <w:t xml:space="preserve"> of 11%, a decrease in GS-566500 </w:t>
      </w:r>
      <w:proofErr w:type="spellStart"/>
      <w:r w:rsidRPr="004B3358">
        <w:t>AUCinf</w:t>
      </w:r>
      <w:proofErr w:type="spellEnd"/>
      <w:r w:rsidRPr="004B3358">
        <w:t xml:space="preserve"> of 15% and </w:t>
      </w:r>
      <w:proofErr w:type="spellStart"/>
      <w:r w:rsidRPr="004B3358">
        <w:t>Cmax</w:t>
      </w:r>
      <w:proofErr w:type="spellEnd"/>
      <w:r w:rsidRPr="004B3358">
        <w:t xml:space="preserve"> of 19%, but no significant effect on the PK parameters for SOF or GS-331007 (Study GS-US-337-0127</w:t>
      </w:r>
      <w:r w:rsidR="00E60CAD">
        <w:t>).</w:t>
      </w:r>
    </w:p>
    <w:p w:rsidR="004B3358" w:rsidRPr="004B3358" w:rsidRDefault="004B3358" w:rsidP="004B3358">
      <w:r w:rsidRPr="004B3358">
        <w:t xml:space="preserve">Famotidine when co-administered with SOF 400 mg / LDV 90 mg resulted in an increase in SOF </w:t>
      </w:r>
      <w:proofErr w:type="spellStart"/>
      <w:r w:rsidRPr="004B3358">
        <w:t>Cmax</w:t>
      </w:r>
      <w:proofErr w:type="spellEnd"/>
      <w:r w:rsidRPr="004B3358">
        <w:t xml:space="preserve"> of 15% and a decrease in LDV </w:t>
      </w:r>
      <w:proofErr w:type="spellStart"/>
      <w:r w:rsidRPr="004B3358">
        <w:t>Cmax</w:t>
      </w:r>
      <w:proofErr w:type="spellEnd"/>
      <w:r w:rsidRPr="004B3358">
        <w:t xml:space="preserve"> of 20% mg (Study GS-US-337-0127</w:t>
      </w:r>
      <w:r w:rsidR="00E60CAD">
        <w:t xml:space="preserve">). </w:t>
      </w:r>
      <w:r w:rsidRPr="004B3358">
        <w:t xml:space="preserve">When administered the night before the SOF 400 mg / LDV 90 mg, only the </w:t>
      </w:r>
      <w:proofErr w:type="spellStart"/>
      <w:r w:rsidRPr="004B3358">
        <w:t>Cmax</w:t>
      </w:r>
      <w:proofErr w:type="spellEnd"/>
      <w:r w:rsidRPr="004B3358">
        <w:t xml:space="preserve"> of LDV was decreased by 17%.</w:t>
      </w:r>
    </w:p>
    <w:p w:rsidR="004B3358" w:rsidRPr="004B3358" w:rsidRDefault="004B3358" w:rsidP="004B3358">
      <w:r w:rsidRPr="004B3358">
        <w:t xml:space="preserve">When SOF 400 mg / LDV 90 mg was administered along with ABC /3TC the </w:t>
      </w:r>
      <w:proofErr w:type="spellStart"/>
      <w:r w:rsidRPr="004B3358">
        <w:t>AUCtau</w:t>
      </w:r>
      <w:proofErr w:type="spellEnd"/>
      <w:r w:rsidRPr="004B3358">
        <w:t xml:space="preserve"> of SOF was increased by 21%, GS-566500 by 5%, GS-331007 by 5% </w:t>
      </w:r>
      <w:r w:rsidR="00E60CAD">
        <w:t xml:space="preserve">and LDV by 18% (GS-US-337-0128). </w:t>
      </w:r>
      <w:r w:rsidRPr="004B3358">
        <w:t xml:space="preserve">The </w:t>
      </w:r>
      <w:proofErr w:type="spellStart"/>
      <w:r w:rsidRPr="004B3358">
        <w:t>Cmax</w:t>
      </w:r>
      <w:proofErr w:type="spellEnd"/>
      <w:r w:rsidRPr="004B3358">
        <w:t xml:space="preserve"> of </w:t>
      </w:r>
      <w:r w:rsidR="00920649">
        <w:t xml:space="preserve">LDV was also increased by 10%. </w:t>
      </w:r>
      <w:r w:rsidRPr="004B3358">
        <w:t>These effects ar</w:t>
      </w:r>
      <w:r>
        <w:t>e not clinically significant.</w:t>
      </w:r>
    </w:p>
    <w:p w:rsidR="004B3358" w:rsidRPr="004B3358" w:rsidRDefault="004B3358" w:rsidP="004B3358">
      <w:r w:rsidRPr="004B3358">
        <w:t xml:space="preserve">When SOF 400 mg / LDV 90 mg was administered along with ABC /3TC the </w:t>
      </w:r>
      <w:proofErr w:type="spellStart"/>
      <w:r w:rsidRPr="004B3358">
        <w:t>AUCtau</w:t>
      </w:r>
      <w:proofErr w:type="spellEnd"/>
      <w:r w:rsidRPr="004B3358">
        <w:t xml:space="preserve"> of ABC was decreased by 10%, and 3TC by 6% (GS-US-337-0128</w:t>
      </w:r>
      <w:r w:rsidR="00E60CAD">
        <w:t xml:space="preserve">). </w:t>
      </w:r>
      <w:r w:rsidRPr="004B3358">
        <w:t xml:space="preserve">The </w:t>
      </w:r>
      <w:proofErr w:type="spellStart"/>
      <w:r w:rsidRPr="004B3358">
        <w:t>Cmax</w:t>
      </w:r>
      <w:proofErr w:type="spellEnd"/>
      <w:r w:rsidRPr="004B3358">
        <w:t xml:space="preserve"> of ABC was decreased by 8%, and 3TC by 7%</w:t>
      </w:r>
      <w:r w:rsidR="00920649">
        <w:t xml:space="preserve">. </w:t>
      </w:r>
      <w:proofErr w:type="spellStart"/>
      <w:r w:rsidRPr="004B3358">
        <w:t>Ctau</w:t>
      </w:r>
      <w:proofErr w:type="spellEnd"/>
      <w:r w:rsidRPr="004B3358">
        <w:t xml:space="preserve"> of 3</w:t>
      </w:r>
      <w:r>
        <w:t>TC was also increased by 12%.</w:t>
      </w:r>
    </w:p>
    <w:p w:rsidR="00E60CAD" w:rsidRDefault="004B3358" w:rsidP="004B3358">
      <w:r w:rsidRPr="004B3358">
        <w:t xml:space="preserve">SOF 400 mg /LDV 90 mg in combination with EVG and COBI resulted in an increase in EVG </w:t>
      </w:r>
      <w:proofErr w:type="spellStart"/>
      <w:r w:rsidRPr="004B3358">
        <w:t>Ctau</w:t>
      </w:r>
      <w:proofErr w:type="spellEnd"/>
      <w:r w:rsidRPr="004B3358">
        <w:t xml:space="preserve"> by 36%, COBI </w:t>
      </w:r>
      <w:proofErr w:type="spellStart"/>
      <w:r w:rsidRPr="004B3358">
        <w:t>AUCtau</w:t>
      </w:r>
      <w:proofErr w:type="spellEnd"/>
      <w:r w:rsidRPr="004B3358">
        <w:t xml:space="preserve"> by 59% and COBI </w:t>
      </w:r>
      <w:proofErr w:type="spellStart"/>
      <w:r w:rsidRPr="004B3358">
        <w:t>Ctau</w:t>
      </w:r>
      <w:proofErr w:type="spellEnd"/>
      <w:r w:rsidRPr="004B3358">
        <w:t xml:space="preserve"> by 325% (Study GS-US-344-0102</w:t>
      </w:r>
      <w:r w:rsidR="00E60CAD">
        <w:t>).</w:t>
      </w:r>
    </w:p>
    <w:p w:rsidR="00E60CAD" w:rsidRDefault="004B3358" w:rsidP="004B3358">
      <w:r w:rsidRPr="004B3358">
        <w:t xml:space="preserve">SOF 400 mg / LDV 90 mg in combination with ATV / RTV resulted in an increase in ATV </w:t>
      </w:r>
      <w:proofErr w:type="spellStart"/>
      <w:r w:rsidRPr="004B3358">
        <w:t>Ctau</w:t>
      </w:r>
      <w:proofErr w:type="spellEnd"/>
      <w:r w:rsidRPr="004B3358">
        <w:t xml:space="preserve"> by 75% and RTV </w:t>
      </w:r>
      <w:proofErr w:type="spellStart"/>
      <w:r w:rsidRPr="004B3358">
        <w:t>Ctau</w:t>
      </w:r>
      <w:proofErr w:type="spellEnd"/>
      <w:r w:rsidRPr="004B3358">
        <w:t xml:space="preserve"> by 56% (Study GS-US-344-0102</w:t>
      </w:r>
      <w:r w:rsidR="00E60CAD">
        <w:t>).</w:t>
      </w:r>
    </w:p>
    <w:p w:rsidR="004B3358" w:rsidRPr="004B3358" w:rsidRDefault="004B3358" w:rsidP="004B3358">
      <w:r w:rsidRPr="004B3358">
        <w:t xml:space="preserve">SOF 400 mg / LDV 90 mg in combination with EVG and COBI resulted in an increase in SOF </w:t>
      </w:r>
      <w:proofErr w:type="spellStart"/>
      <w:r w:rsidRPr="004B3358">
        <w:t>AUCtau</w:t>
      </w:r>
      <w:proofErr w:type="spellEnd"/>
      <w:r w:rsidRPr="004B3358">
        <w:t xml:space="preserve"> by 36% and </w:t>
      </w:r>
      <w:proofErr w:type="spellStart"/>
      <w:r w:rsidRPr="004B3358">
        <w:t>Cmax</w:t>
      </w:r>
      <w:proofErr w:type="spellEnd"/>
      <w:r w:rsidRPr="004B3358">
        <w:t xml:space="preserve"> by 33%; and GS-331007 </w:t>
      </w:r>
      <w:proofErr w:type="spellStart"/>
      <w:r w:rsidRPr="004B3358">
        <w:t>AUCtau</w:t>
      </w:r>
      <w:proofErr w:type="spellEnd"/>
      <w:r w:rsidRPr="004B3358">
        <w:t xml:space="preserve"> by 44%, </w:t>
      </w:r>
      <w:proofErr w:type="spellStart"/>
      <w:r w:rsidRPr="004B3358">
        <w:t>Cmax</w:t>
      </w:r>
      <w:proofErr w:type="spellEnd"/>
      <w:r w:rsidRPr="004B3358">
        <w:t xml:space="preserve"> by 33% and </w:t>
      </w:r>
      <w:proofErr w:type="spellStart"/>
      <w:r w:rsidRPr="004B3358">
        <w:t>Ctua</w:t>
      </w:r>
      <w:proofErr w:type="spellEnd"/>
      <w:r w:rsidRPr="004B3358">
        <w:t xml:space="preserve"> by 53% (Study GS-US-344-0102</w:t>
      </w:r>
      <w:r w:rsidR="00E60CAD">
        <w:t xml:space="preserve">). </w:t>
      </w:r>
      <w:r w:rsidRPr="004B3358">
        <w:t xml:space="preserve">There was an increase in LDV </w:t>
      </w:r>
      <w:proofErr w:type="spellStart"/>
      <w:r w:rsidRPr="004B3358">
        <w:t>AUCtau</w:t>
      </w:r>
      <w:proofErr w:type="spellEnd"/>
      <w:r w:rsidRPr="004B3358">
        <w:t xml:space="preserve"> by 78%</w:t>
      </w:r>
      <w:r w:rsidR="00920649">
        <w:t xml:space="preserve">, </w:t>
      </w:r>
      <w:proofErr w:type="spellStart"/>
      <w:r w:rsidR="00920649">
        <w:t>Cmax</w:t>
      </w:r>
      <w:proofErr w:type="spellEnd"/>
      <w:r w:rsidR="00920649">
        <w:t xml:space="preserve"> by 63% and </w:t>
      </w:r>
      <w:proofErr w:type="spellStart"/>
      <w:r w:rsidR="00920649">
        <w:t>Ctua</w:t>
      </w:r>
      <w:proofErr w:type="spellEnd"/>
      <w:r w:rsidR="00920649">
        <w:t xml:space="preserve"> by 91%. </w:t>
      </w:r>
      <w:r w:rsidRPr="004B3358">
        <w:t>There was no s</w:t>
      </w:r>
      <w:r>
        <w:t>ignificant effect on GS-566500.</w:t>
      </w:r>
    </w:p>
    <w:p w:rsidR="004B3358" w:rsidRPr="004B3358" w:rsidRDefault="004B3358" w:rsidP="004B3358">
      <w:r w:rsidRPr="004B3358">
        <w:t xml:space="preserve">SOF 400 mg / LDV 90 mg in combination with ATV / RTV resulted in an increase in LDV </w:t>
      </w:r>
      <w:proofErr w:type="spellStart"/>
      <w:r w:rsidRPr="004B3358">
        <w:t>AUCtau</w:t>
      </w:r>
      <w:proofErr w:type="spellEnd"/>
      <w:r w:rsidRPr="004B3358">
        <w:t xml:space="preserve"> by 113% and </w:t>
      </w:r>
      <w:proofErr w:type="spellStart"/>
      <w:r w:rsidRPr="004B3358">
        <w:t>Cmax</w:t>
      </w:r>
      <w:proofErr w:type="spellEnd"/>
      <w:r w:rsidRPr="004B3358">
        <w:t xml:space="preserve"> by 98% and </w:t>
      </w:r>
      <w:proofErr w:type="spellStart"/>
      <w:r w:rsidRPr="004B3358">
        <w:t>Ctua</w:t>
      </w:r>
      <w:proofErr w:type="spellEnd"/>
      <w:r w:rsidRPr="004B3358">
        <w:t xml:space="preserve"> by 136% (Study GS-US-344-0102</w:t>
      </w:r>
      <w:r w:rsidR="00E60CAD">
        <w:t xml:space="preserve">). </w:t>
      </w:r>
      <w:r w:rsidRPr="004B3358">
        <w:t xml:space="preserve">There was no significant effect </w:t>
      </w:r>
      <w:r>
        <w:t>on SOF, GS-566500 or GS-331007.</w:t>
      </w:r>
    </w:p>
    <w:p w:rsidR="004B3358" w:rsidRPr="004B3358" w:rsidRDefault="004B3358" w:rsidP="00886813">
      <w:pPr>
        <w:pStyle w:val="Heading3"/>
      </w:pPr>
      <w:bookmarkStart w:id="145" w:name="_Toc241374296"/>
      <w:bookmarkStart w:id="146" w:name="_Ref269982040"/>
      <w:bookmarkStart w:id="147" w:name="_Ref271018704"/>
      <w:bookmarkStart w:id="148" w:name="_Ref271018755"/>
      <w:bookmarkStart w:id="149" w:name="_Toc272414635"/>
      <w:bookmarkStart w:id="150" w:name="_Toc290846258"/>
      <w:bookmarkStart w:id="151" w:name="_Toc408164057"/>
      <w:bookmarkStart w:id="152" w:name="_Toc432073912"/>
      <w:r w:rsidRPr="004B3358">
        <w:t>Evaluator</w:t>
      </w:r>
      <w:r w:rsidR="00886813">
        <w:t>’</w:t>
      </w:r>
      <w:r w:rsidRPr="004B3358">
        <w:t>s overall conclusions on pharmacokinetics</w:t>
      </w:r>
      <w:bookmarkEnd w:id="145"/>
      <w:bookmarkEnd w:id="146"/>
      <w:bookmarkEnd w:id="147"/>
      <w:bookmarkEnd w:id="148"/>
      <w:bookmarkEnd w:id="149"/>
      <w:bookmarkEnd w:id="150"/>
      <w:bookmarkEnd w:id="151"/>
      <w:bookmarkEnd w:id="152"/>
    </w:p>
    <w:p w:rsidR="004B3358" w:rsidRPr="004B3358" w:rsidRDefault="004B3358" w:rsidP="004B3358">
      <w:r w:rsidRPr="004B3358">
        <w:t>SOF is a pro-drug that u</w:t>
      </w:r>
      <w:r>
        <w:t xml:space="preserve">ndergoes extensive metabolism. </w:t>
      </w:r>
      <w:r w:rsidRPr="004B3358">
        <w:t>Its active form is GS-461203 and it appears in the serum as (</w:t>
      </w:r>
      <w:r>
        <w:t xml:space="preserve">and is excreted as) GS-331007. </w:t>
      </w:r>
      <w:r w:rsidRPr="004B3358">
        <w:t>Clearance of GS-331007 is primarily rena</w:t>
      </w:r>
      <w:r>
        <w:t xml:space="preserve">l and is correlated with CLCR. </w:t>
      </w:r>
      <w:r w:rsidRPr="004B3358">
        <w:t>Hence in ESR</w:t>
      </w:r>
      <w:r>
        <w:t xml:space="preserve">F there could be accumulation. </w:t>
      </w:r>
      <w:r w:rsidRPr="004B3358">
        <w:t>The only clinically significant demonstrated drug-drug / food / herbal interaction was with potent P-</w:t>
      </w:r>
      <w:proofErr w:type="spellStart"/>
      <w:r w:rsidRPr="004B3358">
        <w:t>gp</w:t>
      </w:r>
      <w:proofErr w:type="spellEnd"/>
      <w:r w:rsidRPr="004B3358">
        <w:t xml:space="preserve"> </w:t>
      </w:r>
      <w:r>
        <w:t>inducers.</w:t>
      </w:r>
    </w:p>
    <w:p w:rsidR="004B3358" w:rsidRPr="004B3358" w:rsidRDefault="004B3358" w:rsidP="004B3358">
      <w:r w:rsidRPr="004B3358">
        <w:t>LDV has solubility limited absorption a</w:t>
      </w:r>
      <w:r w:rsidR="00920649">
        <w:t xml:space="preserve">t doses greater than 100 mg. </w:t>
      </w:r>
      <w:r w:rsidRPr="004B3358">
        <w:t>Bioavailabili</w:t>
      </w:r>
      <w:r w:rsidR="00920649">
        <w:t xml:space="preserve">ty is decreased 50% with food. </w:t>
      </w:r>
      <w:r w:rsidRPr="004B3358">
        <w:t xml:space="preserve">It has low protein binding and </w:t>
      </w:r>
      <w:r w:rsidR="00920649">
        <w:t xml:space="preserve">a high volume of distribution. </w:t>
      </w:r>
      <w:r w:rsidRPr="004B3358">
        <w:t>It is primarily excreted unchanged in the faeces, with minimal metabolism and minimal excretion unchanged in the urine</w:t>
      </w:r>
      <w:r w:rsidR="00920649">
        <w:t xml:space="preserve">. </w:t>
      </w:r>
      <w:r w:rsidRPr="004B3358">
        <w:t>Dose adjustment is not necessary in subjects with mild, moderate</w:t>
      </w:r>
      <w:r w:rsidR="00920649">
        <w:t xml:space="preserve"> or severe hepatic impairment. </w:t>
      </w:r>
      <w:r w:rsidRPr="004B3358">
        <w:t>Dose adjustment is n</w:t>
      </w:r>
      <w:r w:rsidR="00920649">
        <w:t xml:space="preserve">ot necessary in renal failure. </w:t>
      </w:r>
      <w:r w:rsidRPr="004B3358">
        <w:t>LDV is</w:t>
      </w:r>
      <w:r w:rsidR="00920649">
        <w:t xml:space="preserve"> a substrate of P-</w:t>
      </w:r>
      <w:proofErr w:type="spellStart"/>
      <w:r w:rsidR="00920649">
        <w:t>gp</w:t>
      </w:r>
      <w:proofErr w:type="spellEnd"/>
      <w:r w:rsidR="00920649">
        <w:t xml:space="preserve"> and BCRP. </w:t>
      </w:r>
      <w:r w:rsidRPr="004B3358">
        <w:t xml:space="preserve">There is evidence of interactions with drugs that induce or inhibit transporters, but the clinically significant interactions were with drugs such as </w:t>
      </w:r>
      <w:proofErr w:type="spellStart"/>
      <w:r w:rsidRPr="004B3358">
        <w:t>rifampin</w:t>
      </w:r>
      <w:proofErr w:type="spellEnd"/>
      <w:r w:rsidRPr="004B3358">
        <w:t>, EFV / FTC / TDF, and DRV / RTV (inducers of transporters) which resulted</w:t>
      </w:r>
      <w:r w:rsidR="00920649">
        <w:t xml:space="preserve"> in decreased exposure to LDV. </w:t>
      </w:r>
      <w:r w:rsidRPr="004B3358">
        <w:t>LDV was a moderate to weak inhibitor of BCRP and P-</w:t>
      </w:r>
      <w:proofErr w:type="spellStart"/>
      <w:r w:rsidRPr="004B3358">
        <w:t>gp</w:t>
      </w:r>
      <w:proofErr w:type="spellEnd"/>
      <w:r w:rsidRPr="004B3358">
        <w:t>, and also</w:t>
      </w:r>
      <w:r w:rsidR="00920649">
        <w:t xml:space="preserve"> inhibits OATP1B1 and OATP1B3. </w:t>
      </w:r>
      <w:r w:rsidRPr="004B3358">
        <w:t>Hence there was some evidence of interactions with digoxin and with pravastatin.</w:t>
      </w:r>
    </w:p>
    <w:p w:rsidR="004B3358" w:rsidRPr="004B3358" w:rsidRDefault="004B3358" w:rsidP="004B3358">
      <w:r w:rsidRPr="004B3358">
        <w:t xml:space="preserve">The PK interactions between SOF and LDV </w:t>
      </w:r>
      <w:r w:rsidR="00920649">
        <w:t xml:space="preserve">in combination are favourable. </w:t>
      </w:r>
      <w:r w:rsidRPr="004B3358">
        <w:t>LDV significantly increased the exposure to</w:t>
      </w:r>
      <w:r>
        <w:t xml:space="preserve"> SOF, GS-566500 and GS-331007. </w:t>
      </w:r>
      <w:r w:rsidRPr="004B3358">
        <w:t>SOF did not have any signifi</w:t>
      </w:r>
      <w:r>
        <w:t>cant effect on exposure to LDV.</w:t>
      </w:r>
    </w:p>
    <w:p w:rsidR="0086102A" w:rsidRPr="004B3358" w:rsidRDefault="004B3358" w:rsidP="004B3358">
      <w:r w:rsidRPr="004B3358">
        <w:t>Combining treatments with SOF / LDV FDC will be complex because of the potenti</w:t>
      </w:r>
      <w:r w:rsidR="00920649">
        <w:t xml:space="preserve">al for drug-drug interactions. </w:t>
      </w:r>
      <w:r w:rsidRPr="004B3358">
        <w:t>The interactions table in the PI is useful but would be of more practical value if the clinically significant drug interactions</w:t>
      </w:r>
      <w:r>
        <w:t xml:space="preserve"> were highlighted in some way.</w:t>
      </w:r>
    </w:p>
    <w:p w:rsidR="00586F98" w:rsidRPr="00A2728C" w:rsidRDefault="00586F98" w:rsidP="00886813">
      <w:pPr>
        <w:pStyle w:val="Heading2"/>
      </w:pPr>
      <w:bookmarkStart w:id="153" w:name="_Toc432073913"/>
      <w:r w:rsidRPr="00A2728C">
        <w:t>Pharmacodynamics</w:t>
      </w:r>
      <w:bookmarkEnd w:id="153"/>
    </w:p>
    <w:p w:rsidR="00A2728C" w:rsidRPr="00A2728C" w:rsidRDefault="00A2728C" w:rsidP="00886813">
      <w:pPr>
        <w:pStyle w:val="Heading3"/>
      </w:pPr>
      <w:bookmarkStart w:id="154" w:name="_Toc272414637"/>
      <w:bookmarkStart w:id="155" w:name="_Toc290846260"/>
      <w:bookmarkStart w:id="156" w:name="_Toc408164059"/>
      <w:bookmarkStart w:id="157" w:name="_Toc432073914"/>
      <w:r w:rsidRPr="00A2728C">
        <w:t xml:space="preserve">Studies providing </w:t>
      </w:r>
      <w:proofErr w:type="spellStart"/>
      <w:r w:rsidRPr="00A2728C">
        <w:t>pharmacodynamic</w:t>
      </w:r>
      <w:proofErr w:type="spellEnd"/>
      <w:r w:rsidRPr="00A2728C">
        <w:t xml:space="preserve"> data</w:t>
      </w:r>
      <w:bookmarkEnd w:id="154"/>
      <w:bookmarkEnd w:id="155"/>
      <w:bookmarkEnd w:id="156"/>
      <w:bookmarkEnd w:id="157"/>
    </w:p>
    <w:p w:rsidR="00A2728C" w:rsidRDefault="002665FF" w:rsidP="00886813">
      <w:r>
        <w:t>Table 2</w:t>
      </w:r>
      <w:r w:rsidR="00A2728C" w:rsidRPr="00A2728C">
        <w:t xml:space="preserve"> shows the studies relating to each </w:t>
      </w:r>
      <w:proofErr w:type="spellStart"/>
      <w:r w:rsidR="00A2728C" w:rsidRPr="00A2728C">
        <w:t>pharmacodynamic</w:t>
      </w:r>
      <w:proofErr w:type="spellEnd"/>
      <w:r w:rsidR="00A2728C" w:rsidRPr="00A2728C">
        <w:t xml:space="preserve"> topic and the location of each study summary.</w:t>
      </w:r>
      <w:bookmarkStart w:id="158" w:name="_Ref269985397"/>
      <w:bookmarkStart w:id="159" w:name="_Toc290888902"/>
    </w:p>
    <w:p w:rsidR="00A2728C" w:rsidRPr="00A2728C" w:rsidRDefault="00A2728C" w:rsidP="00886813">
      <w:pPr>
        <w:pStyle w:val="Tabletitle"/>
      </w:pPr>
      <w:proofErr w:type="gramStart"/>
      <w:r w:rsidRPr="00A2728C">
        <w:t>Table 2</w:t>
      </w:r>
      <w:bookmarkEnd w:id="158"/>
      <w:r w:rsidRPr="00A2728C">
        <w:t>.</w:t>
      </w:r>
      <w:proofErr w:type="gramEnd"/>
      <w:r w:rsidRPr="00A2728C">
        <w:t xml:space="preserve"> </w:t>
      </w:r>
      <w:proofErr w:type="gramStart"/>
      <w:r w:rsidRPr="00A2728C">
        <w:t xml:space="preserve">Submitted </w:t>
      </w:r>
      <w:proofErr w:type="spellStart"/>
      <w:r w:rsidRPr="00A2728C">
        <w:t>pharmacodynamic</w:t>
      </w:r>
      <w:proofErr w:type="spellEnd"/>
      <w:r w:rsidRPr="00A2728C">
        <w:t xml:space="preserve"> studies.</w:t>
      </w:r>
      <w:bookmarkEnd w:id="159"/>
      <w:proofErr w:type="gramEnd"/>
    </w:p>
    <w:tbl>
      <w:tblPr>
        <w:tblStyle w:val="TableTGAblue"/>
        <w:tblW w:w="7934" w:type="dxa"/>
        <w:tblLayout w:type="fixed"/>
        <w:tblLook w:val="00A0" w:firstRow="1" w:lastRow="0" w:firstColumn="1" w:lastColumn="0" w:noHBand="0" w:noVBand="0"/>
      </w:tblPr>
      <w:tblGrid>
        <w:gridCol w:w="2235"/>
        <w:gridCol w:w="3260"/>
        <w:gridCol w:w="2439"/>
      </w:tblGrid>
      <w:tr w:rsidR="002665FF" w:rsidRPr="00A2728C" w:rsidTr="008868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Pr>
          <w:p w:rsidR="002665FF" w:rsidRPr="00A2728C" w:rsidRDefault="002665FF" w:rsidP="00886813">
            <w:r w:rsidRPr="00A2728C">
              <w:t>PD Topic</w:t>
            </w:r>
          </w:p>
        </w:tc>
        <w:tc>
          <w:tcPr>
            <w:tcW w:w="3260" w:type="dxa"/>
          </w:tcPr>
          <w:p w:rsidR="002665FF" w:rsidRPr="00A2728C" w:rsidRDefault="002665FF" w:rsidP="00886813">
            <w:pPr>
              <w:cnfStyle w:val="100000000000" w:firstRow="1" w:lastRow="0" w:firstColumn="0" w:lastColumn="0" w:oddVBand="0" w:evenVBand="0" w:oddHBand="0" w:evenHBand="0" w:firstRowFirstColumn="0" w:firstRowLastColumn="0" w:lastRowFirstColumn="0" w:lastRowLastColumn="0"/>
            </w:pPr>
            <w:r w:rsidRPr="00A2728C">
              <w:t>Subtopic</w:t>
            </w:r>
          </w:p>
        </w:tc>
        <w:tc>
          <w:tcPr>
            <w:tcW w:w="2439" w:type="dxa"/>
          </w:tcPr>
          <w:p w:rsidR="002665FF" w:rsidRPr="00A2728C" w:rsidRDefault="002665FF" w:rsidP="00886813">
            <w:pPr>
              <w:cnfStyle w:val="100000000000" w:firstRow="1" w:lastRow="0" w:firstColumn="0" w:lastColumn="0" w:oddVBand="0" w:evenVBand="0" w:oddHBand="0" w:evenHBand="0" w:firstRowFirstColumn="0" w:firstRowLastColumn="0" w:lastRowFirstColumn="0" w:lastRowLastColumn="0"/>
            </w:pPr>
            <w:r w:rsidRPr="00A2728C">
              <w:t>Study ID</w:t>
            </w:r>
          </w:p>
        </w:tc>
      </w:tr>
      <w:tr w:rsidR="002665FF" w:rsidRPr="00A2728C" w:rsidTr="00886813">
        <w:tc>
          <w:tcPr>
            <w:cnfStyle w:val="001000000000" w:firstRow="0" w:lastRow="0" w:firstColumn="1" w:lastColumn="0" w:oddVBand="0" w:evenVBand="0" w:oddHBand="0" w:evenHBand="0" w:firstRowFirstColumn="0" w:firstRowLastColumn="0" w:lastRowFirstColumn="0" w:lastRowLastColumn="0"/>
            <w:tcW w:w="2235" w:type="dxa"/>
          </w:tcPr>
          <w:p w:rsidR="002665FF" w:rsidRPr="00A2728C" w:rsidRDefault="002665FF" w:rsidP="00886813">
            <w:r w:rsidRPr="00A2728C">
              <w:t>Primary Pharmacology</w:t>
            </w:r>
          </w:p>
        </w:tc>
        <w:tc>
          <w:tcPr>
            <w:tcW w:w="3260" w:type="dxa"/>
          </w:tcPr>
          <w:p w:rsidR="002665FF" w:rsidRPr="00A2728C" w:rsidRDefault="002665FF" w:rsidP="00886813">
            <w:pPr>
              <w:cnfStyle w:val="000000000000" w:firstRow="0" w:lastRow="0" w:firstColumn="0" w:lastColumn="0" w:oddVBand="0" w:evenVBand="0" w:oddHBand="0" w:evenHBand="0" w:firstRowFirstColumn="0" w:firstRowLastColumn="0" w:lastRowFirstColumn="0" w:lastRowLastColumn="0"/>
            </w:pPr>
            <w:r w:rsidRPr="00A2728C">
              <w:t>Effect on HCV RNA</w:t>
            </w:r>
          </w:p>
        </w:tc>
        <w:tc>
          <w:tcPr>
            <w:tcW w:w="2439" w:type="dxa"/>
          </w:tcPr>
          <w:p w:rsidR="002665FF" w:rsidRPr="00A2728C" w:rsidRDefault="002665FF" w:rsidP="00886813">
            <w:pPr>
              <w:cnfStyle w:val="000000000000" w:firstRow="0" w:lastRow="0" w:firstColumn="0" w:lastColumn="0" w:oddVBand="0" w:evenVBand="0" w:oddHBand="0" w:evenHBand="0" w:firstRowFirstColumn="0" w:firstRowLastColumn="0" w:lastRowFirstColumn="0" w:lastRowLastColumn="0"/>
            </w:pPr>
            <w:r w:rsidRPr="00A2728C">
              <w:t>Study GS-US-256-0102</w:t>
            </w:r>
          </w:p>
        </w:tc>
      </w:tr>
      <w:tr w:rsidR="002665FF" w:rsidRPr="00A2728C" w:rsidTr="00886813">
        <w:tc>
          <w:tcPr>
            <w:cnfStyle w:val="001000000000" w:firstRow="0" w:lastRow="0" w:firstColumn="1" w:lastColumn="0" w:oddVBand="0" w:evenVBand="0" w:oddHBand="0" w:evenHBand="0" w:firstRowFirstColumn="0" w:firstRowLastColumn="0" w:lastRowFirstColumn="0" w:lastRowLastColumn="0"/>
            <w:tcW w:w="2235" w:type="dxa"/>
          </w:tcPr>
          <w:p w:rsidR="002665FF" w:rsidRPr="00A2728C" w:rsidRDefault="002665FF" w:rsidP="00886813">
            <w:r w:rsidRPr="00A2728C">
              <w:t>Secondary Pharmacology</w:t>
            </w:r>
          </w:p>
        </w:tc>
        <w:tc>
          <w:tcPr>
            <w:tcW w:w="3260" w:type="dxa"/>
          </w:tcPr>
          <w:p w:rsidR="002665FF" w:rsidRPr="00A2728C" w:rsidRDefault="002665FF" w:rsidP="00886813">
            <w:pPr>
              <w:cnfStyle w:val="000000000000" w:firstRow="0" w:lastRow="0" w:firstColumn="0" w:lastColumn="0" w:oddVBand="0" w:evenVBand="0" w:oddHBand="0" w:evenHBand="0" w:firstRowFirstColumn="0" w:firstRowLastColumn="0" w:lastRowFirstColumn="0" w:lastRowLastColumn="0"/>
            </w:pPr>
            <w:r w:rsidRPr="00A2728C">
              <w:t xml:space="preserve">Effect on </w:t>
            </w:r>
            <w:proofErr w:type="spellStart"/>
            <w:r w:rsidRPr="00A2728C">
              <w:t>QTc</w:t>
            </w:r>
            <w:proofErr w:type="spellEnd"/>
          </w:p>
        </w:tc>
        <w:tc>
          <w:tcPr>
            <w:tcW w:w="2439" w:type="dxa"/>
          </w:tcPr>
          <w:p w:rsidR="002665FF" w:rsidRPr="00A2728C" w:rsidRDefault="002665FF" w:rsidP="00886813">
            <w:pPr>
              <w:cnfStyle w:val="000000000000" w:firstRow="0" w:lastRow="0" w:firstColumn="0" w:lastColumn="0" w:oddVBand="0" w:evenVBand="0" w:oddHBand="0" w:evenHBand="0" w:firstRowFirstColumn="0" w:firstRowLastColumn="0" w:lastRowFirstColumn="0" w:lastRowLastColumn="0"/>
            </w:pPr>
            <w:r w:rsidRPr="00A2728C">
              <w:t>Study GS-US-344-0109</w:t>
            </w:r>
          </w:p>
        </w:tc>
      </w:tr>
    </w:tbl>
    <w:p w:rsidR="00A2728C" w:rsidRPr="00A2728C" w:rsidRDefault="00A2728C" w:rsidP="00A2728C">
      <w:r w:rsidRPr="00A2728C">
        <w:t xml:space="preserve">None of the </w:t>
      </w:r>
      <w:proofErr w:type="spellStart"/>
      <w:r w:rsidRPr="00A2728C">
        <w:t>pharmacodynamic</w:t>
      </w:r>
      <w:proofErr w:type="spellEnd"/>
      <w:r w:rsidRPr="00A2728C">
        <w:t xml:space="preserve"> studies had deficiencies that excluded their results from consideration.</w:t>
      </w:r>
    </w:p>
    <w:p w:rsidR="00A2728C" w:rsidRPr="00A2728C" w:rsidRDefault="00A2728C" w:rsidP="00A2728C">
      <w:pPr>
        <w:pStyle w:val="Heading3"/>
      </w:pPr>
      <w:bookmarkStart w:id="160" w:name="_Ref269119989"/>
      <w:bookmarkStart w:id="161" w:name="_Toc272414639"/>
      <w:bookmarkStart w:id="162" w:name="_Toc290846261"/>
      <w:bookmarkStart w:id="163" w:name="_Toc408164060"/>
      <w:bookmarkStart w:id="164" w:name="_Toc432073915"/>
      <w:r w:rsidRPr="00A2728C">
        <w:t>Summary of pharmacodynamics</w:t>
      </w:r>
      <w:bookmarkEnd w:id="160"/>
      <w:bookmarkEnd w:id="161"/>
      <w:bookmarkEnd w:id="162"/>
      <w:bookmarkEnd w:id="163"/>
      <w:bookmarkEnd w:id="164"/>
    </w:p>
    <w:p w:rsidR="00A2728C" w:rsidRPr="00A2728C" w:rsidRDefault="00A2728C" w:rsidP="00A2728C">
      <w:r w:rsidRPr="00A2728C">
        <w:t xml:space="preserve">The information in the following summary is derived from conventional </w:t>
      </w:r>
      <w:proofErr w:type="spellStart"/>
      <w:r w:rsidRPr="00A2728C">
        <w:t>pharmacodynamic</w:t>
      </w:r>
      <w:proofErr w:type="spellEnd"/>
      <w:r w:rsidRPr="00A2728C">
        <w:t xml:space="preserve"> studies in humans unless otherwise stated.</w:t>
      </w:r>
    </w:p>
    <w:p w:rsidR="00A2728C" w:rsidRPr="00A2728C" w:rsidRDefault="00A2728C" w:rsidP="00A2728C">
      <w:pPr>
        <w:pStyle w:val="Heading4"/>
      </w:pPr>
      <w:bookmarkStart w:id="165" w:name="_Toc241374299"/>
      <w:bookmarkStart w:id="166" w:name="_Toc272414640"/>
      <w:bookmarkStart w:id="167" w:name="_Toc290846262"/>
      <w:bookmarkStart w:id="168" w:name="_Toc408164061"/>
      <w:r w:rsidRPr="00A2728C">
        <w:t>Mechanism of action</w:t>
      </w:r>
      <w:bookmarkEnd w:id="165"/>
      <w:bookmarkEnd w:id="166"/>
      <w:bookmarkEnd w:id="167"/>
      <w:bookmarkEnd w:id="168"/>
    </w:p>
    <w:p w:rsidR="00A2728C" w:rsidRPr="00A2728C" w:rsidRDefault="00A2728C" w:rsidP="00A2728C">
      <w:r w:rsidRPr="00A2728C">
        <w:t>LDV inhibits</w:t>
      </w:r>
      <w:r>
        <w:t xml:space="preserve"> HCV replication through NS5A. </w:t>
      </w:r>
      <w:r w:rsidRPr="00A2728C">
        <w:t>SOF inhibits RNA replication through inhibition of NS5B.</w:t>
      </w:r>
    </w:p>
    <w:p w:rsidR="00A2728C" w:rsidRPr="00A2728C" w:rsidRDefault="00A2728C" w:rsidP="00A2728C">
      <w:r w:rsidRPr="00A2728C">
        <w:t>There were no additional data on mechanism of action.</w:t>
      </w:r>
    </w:p>
    <w:p w:rsidR="00A2728C" w:rsidRPr="00A2728C" w:rsidRDefault="00A2728C" w:rsidP="00A2728C">
      <w:pPr>
        <w:pStyle w:val="Heading4"/>
      </w:pPr>
      <w:bookmarkStart w:id="169" w:name="_Toc241374300"/>
      <w:bookmarkStart w:id="170" w:name="_Toc272414641"/>
      <w:bookmarkStart w:id="171" w:name="_Toc290846263"/>
      <w:bookmarkStart w:id="172" w:name="_Toc408164062"/>
      <w:proofErr w:type="spellStart"/>
      <w:r w:rsidRPr="00A2728C">
        <w:t>Pharmacodynamic</w:t>
      </w:r>
      <w:proofErr w:type="spellEnd"/>
      <w:r w:rsidRPr="00A2728C">
        <w:t xml:space="preserve"> effects</w:t>
      </w:r>
      <w:bookmarkEnd w:id="169"/>
      <w:bookmarkEnd w:id="170"/>
      <w:bookmarkEnd w:id="171"/>
      <w:bookmarkEnd w:id="172"/>
    </w:p>
    <w:p w:rsidR="00A2728C" w:rsidRPr="00A2728C" w:rsidRDefault="00A2728C" w:rsidP="00A2728C">
      <w:pPr>
        <w:pStyle w:val="Heading5"/>
      </w:pPr>
      <w:bookmarkStart w:id="173" w:name="_Primary_pharmacodynamic_effects"/>
      <w:bookmarkStart w:id="174" w:name="_Toc272414642"/>
      <w:bookmarkStart w:id="175" w:name="_Toc290846264"/>
      <w:bookmarkStart w:id="176" w:name="_Toc408164063"/>
      <w:bookmarkEnd w:id="173"/>
      <w:r w:rsidRPr="00A2728C">
        <w:t xml:space="preserve">Primary </w:t>
      </w:r>
      <w:proofErr w:type="spellStart"/>
      <w:r w:rsidRPr="00A2728C">
        <w:t>pharmacodynamic</w:t>
      </w:r>
      <w:proofErr w:type="spellEnd"/>
      <w:r w:rsidRPr="00A2728C">
        <w:t xml:space="preserve"> effects</w:t>
      </w:r>
      <w:bookmarkEnd w:id="174"/>
      <w:bookmarkEnd w:id="175"/>
      <w:bookmarkEnd w:id="176"/>
    </w:p>
    <w:p w:rsidR="00A2728C" w:rsidRPr="00A2728C" w:rsidRDefault="00A2728C" w:rsidP="00A2728C">
      <w:r w:rsidRPr="00A2728C">
        <w:t>In subjects with GT 1a HCV infection, when tested in the dose range 1 mg to 90 mg over 3 days, there was similar and maximal effect at doses of 10 mg, 30 mg and 9</w:t>
      </w:r>
      <w:r w:rsidR="000B47D5">
        <w:t xml:space="preserve">0 mg per day (Study GS-US-0102). </w:t>
      </w:r>
      <w:proofErr w:type="spellStart"/>
      <w:r w:rsidRPr="00A2728C">
        <w:t>Emax</w:t>
      </w:r>
      <w:proofErr w:type="spellEnd"/>
      <w:r w:rsidRPr="00A2728C">
        <w:t xml:space="preserve"> modelling of effect indicated that exposures of LDV at doses of ≥</w:t>
      </w:r>
      <w:r>
        <w:t xml:space="preserve"> </w:t>
      </w:r>
      <w:r w:rsidRPr="00A2728C">
        <w:t>30 mg/day would result in &gt;</w:t>
      </w:r>
      <w:r>
        <w:t xml:space="preserve"> </w:t>
      </w:r>
      <w:r w:rsidRPr="00A2728C">
        <w:t>95% maximal response in sub</w:t>
      </w:r>
      <w:r w:rsidR="00920649">
        <w:t>jects with GT 1a HCV infection.</w:t>
      </w:r>
      <w:r w:rsidRPr="00A2728C">
        <w:t xml:space="preserve"> Onset of effect was rapid (within 12 hours) with demonstrable effects at all dose levels, and similar</w:t>
      </w:r>
      <w:r w:rsidR="005C7A88">
        <w:t xml:space="preserve"> effect from the 10 mg dose level. </w:t>
      </w:r>
      <w:r w:rsidRPr="00A2728C">
        <w:t>Effect persisted for approximately 36 hours after the last dose an</w:t>
      </w:r>
      <w:r w:rsidR="00920649">
        <w:t xml:space="preserve">d then diminished over 3 days. </w:t>
      </w:r>
      <w:r w:rsidRPr="00A2728C">
        <w:t>At Day 4, NS5A RAMs were detected in all subjects dosed at ≥</w:t>
      </w:r>
      <w:r>
        <w:t xml:space="preserve"> </w:t>
      </w:r>
      <w:r w:rsidRPr="00A2728C">
        <w:t>3 mg LDV with varying degrees of reduced susceptibility to LDV.</w:t>
      </w:r>
    </w:p>
    <w:p w:rsidR="00A2728C" w:rsidRPr="00A2728C" w:rsidRDefault="00A2728C" w:rsidP="00A2728C">
      <w:pPr>
        <w:pStyle w:val="Heading4"/>
      </w:pPr>
      <w:bookmarkStart w:id="177" w:name="_Toc272414644"/>
      <w:bookmarkStart w:id="178" w:name="_Toc290846266"/>
      <w:bookmarkStart w:id="179" w:name="_Toc408164064"/>
      <w:r w:rsidRPr="00A2728C">
        <w:t xml:space="preserve">Time course of </w:t>
      </w:r>
      <w:proofErr w:type="spellStart"/>
      <w:r w:rsidRPr="00A2728C">
        <w:t>pharmacodynamic</w:t>
      </w:r>
      <w:proofErr w:type="spellEnd"/>
      <w:r w:rsidRPr="00A2728C">
        <w:t xml:space="preserve"> effects</w:t>
      </w:r>
      <w:bookmarkEnd w:id="177"/>
      <w:bookmarkEnd w:id="178"/>
      <w:bookmarkEnd w:id="179"/>
    </w:p>
    <w:p w:rsidR="00A2728C" w:rsidRPr="00A2728C" w:rsidRDefault="00A2728C" w:rsidP="00A2728C">
      <w:r w:rsidRPr="00A2728C">
        <w:t xml:space="preserve">Time course of effect is discussed </w:t>
      </w:r>
      <w:r w:rsidR="001B101E">
        <w:t>below</w:t>
      </w:r>
      <w:r w:rsidRPr="00A2728C">
        <w:t>.</w:t>
      </w:r>
    </w:p>
    <w:p w:rsidR="00A2728C" w:rsidRPr="00A2728C" w:rsidRDefault="00A2728C" w:rsidP="00A2728C">
      <w:pPr>
        <w:pStyle w:val="Heading4"/>
      </w:pPr>
      <w:bookmarkStart w:id="180" w:name="_Toc272414645"/>
      <w:bookmarkStart w:id="181" w:name="_Toc290846267"/>
      <w:bookmarkStart w:id="182" w:name="_Toc408164065"/>
      <w:r w:rsidRPr="00A2728C">
        <w:t xml:space="preserve">Relationship between drug concentration and </w:t>
      </w:r>
      <w:proofErr w:type="spellStart"/>
      <w:r w:rsidRPr="00A2728C">
        <w:t>pharmacodynamic</w:t>
      </w:r>
      <w:proofErr w:type="spellEnd"/>
      <w:r w:rsidRPr="00A2728C">
        <w:t xml:space="preserve"> effects</w:t>
      </w:r>
      <w:bookmarkEnd w:id="180"/>
      <w:bookmarkEnd w:id="181"/>
      <w:bookmarkEnd w:id="182"/>
    </w:p>
    <w:p w:rsidR="00A2728C" w:rsidRPr="00A2728C" w:rsidRDefault="00A2728C" w:rsidP="00A2728C">
      <w:r w:rsidRPr="00A2728C">
        <w:t>In all the clinical studies, the doses, and plasma concentrations studies would have been expected to have achieved near maximum effect (from extrapolations of in vitro data).</w:t>
      </w:r>
    </w:p>
    <w:p w:rsidR="00A2728C" w:rsidRPr="00A2728C" w:rsidRDefault="00A2728C" w:rsidP="00A2728C">
      <w:pPr>
        <w:pStyle w:val="Heading4"/>
      </w:pPr>
      <w:bookmarkStart w:id="183" w:name="_Toc241374304"/>
      <w:bookmarkStart w:id="184" w:name="_Toc272414646"/>
      <w:bookmarkStart w:id="185" w:name="_Toc290846268"/>
      <w:bookmarkStart w:id="186" w:name="_Toc408164066"/>
      <w:r w:rsidRPr="00A2728C">
        <w:t xml:space="preserve">Genetic-, gender- and age-related differences in </w:t>
      </w:r>
      <w:proofErr w:type="spellStart"/>
      <w:r w:rsidRPr="00A2728C">
        <w:t>pharmacodynamic</w:t>
      </w:r>
      <w:proofErr w:type="spellEnd"/>
      <w:r w:rsidRPr="00A2728C">
        <w:t xml:space="preserve"> response</w:t>
      </w:r>
      <w:bookmarkEnd w:id="183"/>
      <w:bookmarkEnd w:id="184"/>
      <w:bookmarkEnd w:id="185"/>
      <w:bookmarkEnd w:id="186"/>
    </w:p>
    <w:p w:rsidR="00A2728C" w:rsidRPr="00A2728C" w:rsidRDefault="00A2728C" w:rsidP="00A2728C">
      <w:r w:rsidRPr="00A2728C">
        <w:t>Genetic-, gender- and age- related differences in pharmacodynamics were not studied.</w:t>
      </w:r>
    </w:p>
    <w:p w:rsidR="00A2728C" w:rsidRPr="00A2728C" w:rsidRDefault="00A2728C" w:rsidP="00A2728C">
      <w:pPr>
        <w:pStyle w:val="Heading4"/>
      </w:pPr>
      <w:bookmarkStart w:id="187" w:name="_Toc241374303"/>
      <w:bookmarkStart w:id="188" w:name="_Toc272414647"/>
      <w:bookmarkStart w:id="189" w:name="_Toc290846269"/>
      <w:bookmarkStart w:id="190" w:name="_Toc408164067"/>
      <w:proofErr w:type="spellStart"/>
      <w:r w:rsidRPr="00A2728C">
        <w:t>Pharmacodynamic</w:t>
      </w:r>
      <w:proofErr w:type="spellEnd"/>
      <w:r w:rsidRPr="00A2728C">
        <w:t xml:space="preserve"> interactions</w:t>
      </w:r>
      <w:bookmarkEnd w:id="187"/>
      <w:bookmarkEnd w:id="188"/>
      <w:bookmarkEnd w:id="189"/>
      <w:bookmarkEnd w:id="190"/>
    </w:p>
    <w:p w:rsidR="00A2728C" w:rsidRPr="00A2728C" w:rsidRDefault="00A2728C" w:rsidP="00A2728C">
      <w:proofErr w:type="spellStart"/>
      <w:r w:rsidRPr="00A2728C">
        <w:t>Pharmacodynamic</w:t>
      </w:r>
      <w:proofErr w:type="spellEnd"/>
      <w:r w:rsidRPr="00A2728C">
        <w:t xml:space="preserve"> interactions were not studied.</w:t>
      </w:r>
    </w:p>
    <w:p w:rsidR="00A2728C" w:rsidRPr="00A2728C" w:rsidRDefault="00A2728C" w:rsidP="00A2728C">
      <w:pPr>
        <w:pStyle w:val="Heading5"/>
      </w:pPr>
      <w:bookmarkStart w:id="191" w:name="_Secondary_pharmacodynamic_effects"/>
      <w:bookmarkStart w:id="192" w:name="_Toc272414643"/>
      <w:bookmarkStart w:id="193" w:name="_Toc290846265"/>
      <w:bookmarkStart w:id="194" w:name="_Toc408164068"/>
      <w:bookmarkEnd w:id="191"/>
      <w:r w:rsidRPr="00A2728C">
        <w:t xml:space="preserve">Secondary </w:t>
      </w:r>
      <w:proofErr w:type="spellStart"/>
      <w:r w:rsidRPr="00A2728C">
        <w:t>pharmacodynamic</w:t>
      </w:r>
      <w:proofErr w:type="spellEnd"/>
      <w:r w:rsidRPr="00A2728C">
        <w:t xml:space="preserve"> effects</w:t>
      </w:r>
      <w:bookmarkEnd w:id="192"/>
      <w:bookmarkEnd w:id="193"/>
      <w:bookmarkEnd w:id="194"/>
    </w:p>
    <w:p w:rsidR="00A2728C" w:rsidRPr="00A2728C" w:rsidRDefault="00A2728C" w:rsidP="00A2728C">
      <w:r w:rsidRPr="00A2728C">
        <w:t xml:space="preserve">In a thorough QT study, conducted with LDV 120 mg daily at steady state, there was no significant change in </w:t>
      </w:r>
      <w:proofErr w:type="spellStart"/>
      <w:r w:rsidRPr="00A2728C">
        <w:t>QTcF</w:t>
      </w:r>
      <w:proofErr w:type="spellEnd"/>
      <w:r w:rsidRPr="00A2728C">
        <w:t>, and the maximum difference from placebo was, mean (90% CI), 1.5 (-</w:t>
      </w:r>
      <w:r>
        <w:t xml:space="preserve"> </w:t>
      </w:r>
      <w:r w:rsidRPr="00A2728C">
        <w:t xml:space="preserve">0.5 to 3.5) </w:t>
      </w:r>
      <w:proofErr w:type="spellStart"/>
      <w:r w:rsidRPr="00A2728C">
        <w:t>msec</w:t>
      </w:r>
      <w:proofErr w:type="spellEnd"/>
      <w:r w:rsidRPr="00A2728C">
        <w:t xml:space="preserve"> at 12 hours </w:t>
      </w:r>
      <w:r w:rsidR="00676349">
        <w:t>post dose (Study GS-US-344-0109)</w:t>
      </w:r>
      <w:r>
        <w:t xml:space="preserve">. </w:t>
      </w:r>
      <w:r w:rsidRPr="00A2728C">
        <w:t xml:space="preserve">Following LDV 120 mg no subjects had a </w:t>
      </w:r>
      <w:proofErr w:type="spellStart"/>
      <w:r w:rsidRPr="00A2728C">
        <w:t>QTcF</w:t>
      </w:r>
      <w:proofErr w:type="spellEnd"/>
      <w:r w:rsidRPr="00A2728C">
        <w:t xml:space="preserve"> &gt;</w:t>
      </w:r>
      <w:r>
        <w:t xml:space="preserve"> </w:t>
      </w:r>
      <w:r w:rsidRPr="00A2728C">
        <w:t xml:space="preserve">450 </w:t>
      </w:r>
      <w:proofErr w:type="spellStart"/>
      <w:r w:rsidRPr="00A2728C">
        <w:t>msec</w:t>
      </w:r>
      <w:proofErr w:type="spellEnd"/>
      <w:r w:rsidRPr="00A2728C">
        <w:t>, compared with 3 (5</w:t>
      </w:r>
      <w:r w:rsidR="00920649">
        <w:t xml:space="preserve">.1%) with </w:t>
      </w:r>
      <w:proofErr w:type="spellStart"/>
      <w:r w:rsidR="00920649">
        <w:t>moxifloxacin</w:t>
      </w:r>
      <w:proofErr w:type="spellEnd"/>
      <w:r w:rsidR="00920649">
        <w:t xml:space="preserve"> 400 mg. </w:t>
      </w:r>
      <w:r w:rsidRPr="00A2728C">
        <w:t xml:space="preserve">No subject had an increase in </w:t>
      </w:r>
      <w:proofErr w:type="spellStart"/>
      <w:r w:rsidRPr="00A2728C">
        <w:t>QTc</w:t>
      </w:r>
      <w:proofErr w:type="spellEnd"/>
      <w:r w:rsidRPr="00A2728C">
        <w:t xml:space="preserve"> &gt;</w:t>
      </w:r>
      <w:r>
        <w:t xml:space="preserve"> </w:t>
      </w:r>
      <w:r w:rsidRPr="00A2728C">
        <w:t>30 msec.</w:t>
      </w:r>
    </w:p>
    <w:p w:rsidR="00A2728C" w:rsidRPr="00A2728C" w:rsidRDefault="00A2728C" w:rsidP="00A2728C">
      <w:pPr>
        <w:pStyle w:val="Heading3"/>
      </w:pPr>
      <w:bookmarkStart w:id="195" w:name="_Ref269983272"/>
      <w:bookmarkStart w:id="196" w:name="_Toc272414648"/>
      <w:bookmarkStart w:id="197" w:name="_Toc290846270"/>
      <w:bookmarkStart w:id="198" w:name="_Toc408164069"/>
      <w:bookmarkStart w:id="199" w:name="_Toc432073916"/>
      <w:r w:rsidRPr="00A2728C">
        <w:t>Evaluator’s overall conclusions on pharmacodynamics</w:t>
      </w:r>
      <w:bookmarkEnd w:id="195"/>
      <w:bookmarkEnd w:id="196"/>
      <w:bookmarkEnd w:id="197"/>
      <w:bookmarkEnd w:id="198"/>
      <w:bookmarkEnd w:id="199"/>
    </w:p>
    <w:p w:rsidR="00A2728C" w:rsidRPr="00A2728C" w:rsidRDefault="00A2728C" w:rsidP="00A2728C">
      <w:r w:rsidRPr="00A2728C">
        <w:t xml:space="preserve">The </w:t>
      </w:r>
      <w:proofErr w:type="spellStart"/>
      <w:r w:rsidRPr="00A2728C">
        <w:t>pharmacodynamic</w:t>
      </w:r>
      <w:proofErr w:type="spellEnd"/>
      <w:r w:rsidRPr="00A2728C">
        <w:t xml:space="preserve"> data were used to select the dose to be t</w:t>
      </w:r>
      <w:r w:rsidR="00920649">
        <w:t xml:space="preserve">aken into the efficacy trials. </w:t>
      </w:r>
      <w:r w:rsidRPr="00A2728C">
        <w:t>Study GS-US-</w:t>
      </w:r>
      <w:r w:rsidR="00981297">
        <w:t>256-</w:t>
      </w:r>
      <w:r w:rsidRPr="00A2728C">
        <w:t>0102 indicated a dose of 30 mg or more would be sufficient to obtain near maximal effect.</w:t>
      </w:r>
    </w:p>
    <w:p w:rsidR="00A2728C" w:rsidRPr="00A2728C" w:rsidRDefault="00A2728C" w:rsidP="00A2728C">
      <w:r w:rsidRPr="00A2728C">
        <w:t>There was no indication of QTC prolongation of regulatory interest</w:t>
      </w:r>
      <w:r>
        <w:t xml:space="preserve"> with LDV at a dose of 120 mg. </w:t>
      </w:r>
      <w:r w:rsidRPr="00A2728C">
        <w:t>However, 120 mg is only 33% higher tha</w:t>
      </w:r>
      <w:r w:rsidR="00920649">
        <w:t xml:space="preserve">n the proposed dosing regimen. </w:t>
      </w:r>
      <w:r w:rsidRPr="00A2728C">
        <w:t>A study conducted at higher dose levels would be more reassuring.</w:t>
      </w:r>
    </w:p>
    <w:p w:rsidR="00586F98" w:rsidRDefault="00C22678" w:rsidP="00886813">
      <w:pPr>
        <w:pStyle w:val="Heading2"/>
      </w:pPr>
      <w:bookmarkStart w:id="200" w:name="_Toc432073917"/>
      <w:r>
        <w:t>Dosage selection for the pivotal studies</w:t>
      </w:r>
      <w:bookmarkEnd w:id="200"/>
    </w:p>
    <w:p w:rsidR="00A2728C" w:rsidRPr="00302FBE" w:rsidRDefault="00676349" w:rsidP="00886813">
      <w:r>
        <w:t xml:space="preserve">Study </w:t>
      </w:r>
      <w:r w:rsidR="00981297" w:rsidRPr="00A2728C">
        <w:t>GS-US-</w:t>
      </w:r>
      <w:r w:rsidR="00981297">
        <w:t>256-</w:t>
      </w:r>
      <w:r w:rsidR="00981297" w:rsidRPr="00A2728C">
        <w:t xml:space="preserve">0102 </w:t>
      </w:r>
      <w:r w:rsidR="00A2728C" w:rsidRPr="00302FBE">
        <w:t>demonstrated that exposures of LDV at doses of ≥ 30 mg/day would result in &gt; 95% maximal response in subj</w:t>
      </w:r>
      <w:r w:rsidR="00920649">
        <w:t xml:space="preserve">ects with GT 1a HCV infection. </w:t>
      </w:r>
      <w:r w:rsidR="00A2728C" w:rsidRPr="00302FBE">
        <w:t>Consequently, the 30 mg and 90 mg dose levels of LDV were selected for further development.</w:t>
      </w:r>
    </w:p>
    <w:p w:rsidR="00A2728C" w:rsidRPr="00302FBE" w:rsidRDefault="00A2728C" w:rsidP="00302FBE">
      <w:r w:rsidRPr="00302FBE">
        <w:t>The 400 mg dose level for SOF appears to have been carried through from the development of SOVALDI (</w:t>
      </w:r>
      <w:proofErr w:type="spellStart"/>
      <w:r w:rsidRPr="00302FBE">
        <w:t>sofosbuvir</w:t>
      </w:r>
      <w:proofErr w:type="spellEnd"/>
      <w:r w:rsidRPr="00302FBE">
        <w:t>), submission number PM-2013-01283-1-2.</w:t>
      </w:r>
    </w:p>
    <w:p w:rsidR="00C22678" w:rsidRDefault="00C22678" w:rsidP="00886813">
      <w:pPr>
        <w:pStyle w:val="Heading2"/>
      </w:pPr>
      <w:bookmarkStart w:id="201" w:name="_Toc432073918"/>
      <w:r>
        <w:t>Clinical efficacy</w:t>
      </w:r>
      <w:bookmarkEnd w:id="201"/>
    </w:p>
    <w:p w:rsidR="00302FBE" w:rsidRPr="00302FBE" w:rsidRDefault="00302FBE" w:rsidP="00886813">
      <w:pPr>
        <w:pStyle w:val="Heading3"/>
      </w:pPr>
      <w:bookmarkStart w:id="202" w:name="_Ref271199564"/>
      <w:bookmarkStart w:id="203" w:name="_Toc272414651"/>
      <w:bookmarkStart w:id="204" w:name="_Toc290846273"/>
      <w:bookmarkStart w:id="205" w:name="_Toc408164072"/>
      <w:bookmarkStart w:id="206" w:name="_Toc432073919"/>
      <w:r w:rsidRPr="00302FBE">
        <w:t>Chronic Hepatitis C Genotype 1</w:t>
      </w:r>
      <w:bookmarkEnd w:id="202"/>
      <w:bookmarkEnd w:id="203"/>
      <w:bookmarkEnd w:id="204"/>
      <w:bookmarkEnd w:id="205"/>
      <w:bookmarkEnd w:id="206"/>
    </w:p>
    <w:p w:rsidR="00302FBE" w:rsidRPr="00302FBE" w:rsidRDefault="00302FBE" w:rsidP="00886813">
      <w:pPr>
        <w:pStyle w:val="Heading4"/>
      </w:pPr>
      <w:bookmarkStart w:id="207" w:name="_Ref271037274"/>
      <w:bookmarkStart w:id="208" w:name="_Toc272414652"/>
      <w:bookmarkStart w:id="209" w:name="_Toc290846274"/>
      <w:bookmarkStart w:id="210" w:name="_Toc408164073"/>
      <w:r w:rsidRPr="00302FBE">
        <w:t>Pivotal efficacy studies</w:t>
      </w:r>
      <w:bookmarkEnd w:id="207"/>
      <w:bookmarkEnd w:id="208"/>
      <w:bookmarkEnd w:id="209"/>
      <w:bookmarkEnd w:id="210"/>
    </w:p>
    <w:p w:rsidR="00302FBE" w:rsidRPr="00302FBE" w:rsidRDefault="00302FBE" w:rsidP="00886813">
      <w:pPr>
        <w:pStyle w:val="Heading5"/>
      </w:pPr>
      <w:bookmarkStart w:id="211" w:name="_Toc408164074"/>
      <w:r w:rsidRPr="00302FBE">
        <w:t>Study GS-US-337-0102</w:t>
      </w:r>
      <w:bookmarkEnd w:id="211"/>
    </w:p>
    <w:p w:rsidR="00302FBE" w:rsidRPr="00302FBE" w:rsidRDefault="00302FBE" w:rsidP="00886813">
      <w:pPr>
        <w:pStyle w:val="Heading6"/>
      </w:pPr>
      <w:bookmarkStart w:id="212" w:name="_Study_design,_objectives,_locations"/>
      <w:bookmarkEnd w:id="212"/>
      <w:r w:rsidRPr="00302FBE">
        <w:t>Study design, objectives, locations and dates</w:t>
      </w:r>
    </w:p>
    <w:p w:rsidR="00302FBE" w:rsidRPr="00302FBE" w:rsidRDefault="00676349" w:rsidP="00886813">
      <w:r>
        <w:t xml:space="preserve">Study GS-US-337-0102 </w:t>
      </w:r>
      <w:r w:rsidR="00302FBE">
        <w:t>was a Phase III</w:t>
      </w:r>
      <w:r w:rsidR="00302FBE" w:rsidRPr="00302FBE">
        <w:t>, multi-centre, randomized, open label study to investigate the efficacy and safety of SOF</w:t>
      </w:r>
      <w:r w:rsidR="00E60CAD">
        <w:t xml:space="preserve"> / LDV FDC with and without RBV. </w:t>
      </w:r>
      <w:r w:rsidR="00302FBE" w:rsidRPr="00302FBE">
        <w:t>Although two of the four treatment groups were treated for 12 weeks and two for 24 weeks, only t</w:t>
      </w:r>
      <w:r w:rsidR="00302FBE">
        <w:t xml:space="preserve">he 12 week data were reported. </w:t>
      </w:r>
      <w:r w:rsidR="00302FBE" w:rsidRPr="00302FBE">
        <w:t>The study was conducted at 100 centres from September 2012 to November 2013.</w:t>
      </w:r>
    </w:p>
    <w:p w:rsidR="00302FBE" w:rsidRPr="00302FBE" w:rsidRDefault="00302FBE" w:rsidP="00886813">
      <w:pPr>
        <w:pStyle w:val="Heading6"/>
      </w:pPr>
      <w:r w:rsidRPr="00302FBE">
        <w:t>Inclusion and exclusion criteria</w:t>
      </w:r>
    </w:p>
    <w:p w:rsidR="00302FBE" w:rsidRPr="00302FBE" w:rsidRDefault="00302FBE" w:rsidP="00886813">
      <w:r w:rsidRPr="00302FBE">
        <w:t>The inclusion criteria included:</w:t>
      </w:r>
    </w:p>
    <w:p w:rsidR="00302FBE" w:rsidRPr="00302FBE" w:rsidRDefault="00302FBE" w:rsidP="00886813">
      <w:pPr>
        <w:pStyle w:val="ListBullet"/>
      </w:pPr>
      <w:r w:rsidRPr="00302FBE">
        <w:t>Male or female, age ≥</w:t>
      </w:r>
      <w:r w:rsidR="00D5308D">
        <w:t xml:space="preserve"> </w:t>
      </w:r>
      <w:r w:rsidRPr="00302FBE">
        <w:t>18 years</w:t>
      </w:r>
    </w:p>
    <w:p w:rsidR="00302FBE" w:rsidRPr="00302FBE" w:rsidRDefault="00302FBE" w:rsidP="00302FBE">
      <w:pPr>
        <w:pStyle w:val="ListBullet"/>
      </w:pPr>
      <w:r w:rsidRPr="00302FBE">
        <w:t>Body mass index (BMI) ≥</w:t>
      </w:r>
      <w:r w:rsidR="00D5308D">
        <w:t xml:space="preserve"> </w:t>
      </w:r>
      <w:r w:rsidRPr="00302FBE">
        <w:t>18 kg/m2</w:t>
      </w:r>
    </w:p>
    <w:p w:rsidR="00302FBE" w:rsidRPr="00302FBE" w:rsidRDefault="00302FBE" w:rsidP="00302FBE">
      <w:pPr>
        <w:pStyle w:val="ListBullet"/>
      </w:pPr>
      <w:r w:rsidRPr="00302FBE">
        <w:t>Had HCV RNA ≥</w:t>
      </w:r>
      <w:r w:rsidR="00D5308D">
        <w:t xml:space="preserve"> </w:t>
      </w:r>
      <w:r w:rsidRPr="00302FBE">
        <w:t>104 IU/mL at screening</w:t>
      </w:r>
    </w:p>
    <w:p w:rsidR="00302FBE" w:rsidRPr="00302FBE" w:rsidRDefault="00302FBE" w:rsidP="00302FBE">
      <w:pPr>
        <w:pStyle w:val="ListBullet"/>
      </w:pPr>
      <w:r w:rsidRPr="00302FBE">
        <w:t>Were HCV treatment naïve (defined as: no prior exposure to any IFN, RBV, or other approved or experimental HCV-specific direct-acting antiviral agent)</w:t>
      </w:r>
    </w:p>
    <w:p w:rsidR="00302FBE" w:rsidRPr="00302FBE" w:rsidRDefault="00302FBE" w:rsidP="00302FBE">
      <w:pPr>
        <w:pStyle w:val="ListBullet"/>
      </w:pPr>
      <w:r w:rsidRPr="00302FBE">
        <w:t>Had HCV genotype 1a, 1b, or mixed 1a/1b at screening</w:t>
      </w:r>
    </w:p>
    <w:p w:rsidR="00302FBE" w:rsidRPr="00302FBE" w:rsidRDefault="00302FBE" w:rsidP="00302FBE">
      <w:pPr>
        <w:pStyle w:val="ListBullet"/>
      </w:pPr>
      <w:r w:rsidRPr="00302FBE">
        <w:t>Had confirmation of chronic HCV infection documented by either:</w:t>
      </w:r>
    </w:p>
    <w:p w:rsidR="00302FBE" w:rsidRPr="00302FBE" w:rsidRDefault="00302FBE" w:rsidP="00302FBE">
      <w:pPr>
        <w:pStyle w:val="ListBullet2"/>
      </w:pPr>
      <w:r w:rsidRPr="00302FBE">
        <w:t>A positive anti-HCV antibody test or positive HCV RNA or positive HCV genotyping test at least 6 months prior to the baseline/Day 1 visit, or</w:t>
      </w:r>
    </w:p>
    <w:p w:rsidR="00302FBE" w:rsidRPr="00302FBE" w:rsidRDefault="00302FBE" w:rsidP="00302FBE">
      <w:pPr>
        <w:pStyle w:val="ListBullet2"/>
      </w:pPr>
      <w:r w:rsidRPr="00302FBE">
        <w:t>A liver biopsy performed prior to the baseline/Day 1 visit with evidence of chronic HCV infection</w:t>
      </w:r>
    </w:p>
    <w:p w:rsidR="00302FBE" w:rsidRPr="00302FBE" w:rsidRDefault="00302FBE" w:rsidP="00302FBE">
      <w:pPr>
        <w:pStyle w:val="ListBullet"/>
      </w:pPr>
      <w:r w:rsidRPr="00302FBE">
        <w:t>Cirrhosis determination (up to 20% of study subjects could have had cirrhosis): Cirrhosis was defined as any one of the following:</w:t>
      </w:r>
    </w:p>
    <w:p w:rsidR="00302FBE" w:rsidRDefault="00302FBE" w:rsidP="00302FBE">
      <w:pPr>
        <w:pStyle w:val="ListBullet2"/>
      </w:pPr>
      <w:r w:rsidRPr="00302FBE">
        <w:t xml:space="preserve">Liver biopsy showing cirrhosis (e.g., </w:t>
      </w:r>
      <w:proofErr w:type="spellStart"/>
      <w:r w:rsidRPr="00302FBE">
        <w:t>Metavir</w:t>
      </w:r>
      <w:proofErr w:type="spellEnd"/>
      <w:r w:rsidRPr="00302FBE">
        <w:t xml:space="preserve"> score = 4 or </w:t>
      </w:r>
      <w:proofErr w:type="spellStart"/>
      <w:r w:rsidRPr="00302FBE">
        <w:t>Ishak</w:t>
      </w:r>
      <w:proofErr w:type="spellEnd"/>
      <w:r w:rsidRPr="00302FBE">
        <w:t xml:space="preserve"> score </w:t>
      </w:r>
      <w:r w:rsidRPr="00302FBE">
        <w:sym w:font="Symbol" w:char="F0B3"/>
      </w:r>
      <w:r w:rsidRPr="00302FBE">
        <w:t>5)</w:t>
      </w:r>
    </w:p>
    <w:p w:rsidR="00302FBE" w:rsidRPr="00302FBE" w:rsidRDefault="00302FBE" w:rsidP="00302FBE">
      <w:pPr>
        <w:pStyle w:val="ListBullet2"/>
      </w:pPr>
      <w:proofErr w:type="spellStart"/>
      <w:r w:rsidRPr="00302FBE">
        <w:t>Fibroscan</w:t>
      </w:r>
      <w:proofErr w:type="spellEnd"/>
      <w:r w:rsidRPr="00302FBE">
        <w:t xml:space="preserve"> showing cirrhosis or results &gt;</w:t>
      </w:r>
      <w:r w:rsidR="00D5308D">
        <w:t xml:space="preserve"> </w:t>
      </w:r>
      <w:r w:rsidRPr="00302FBE">
        <w:t xml:space="preserve">12.5 </w:t>
      </w:r>
      <w:proofErr w:type="spellStart"/>
      <w:r w:rsidRPr="00302FBE">
        <w:t>kPa</w:t>
      </w:r>
      <w:proofErr w:type="spellEnd"/>
    </w:p>
    <w:p w:rsidR="00302FBE" w:rsidRPr="00302FBE" w:rsidRDefault="00D5308D" w:rsidP="00302FBE">
      <w:pPr>
        <w:pStyle w:val="ListBullet2"/>
      </w:pPr>
      <w:proofErr w:type="spellStart"/>
      <w:r>
        <w:t>FibroTest</w:t>
      </w:r>
      <w:proofErr w:type="spellEnd"/>
      <w:r w:rsidR="00302FBE" w:rsidRPr="00302FBE">
        <w:t xml:space="preserve"> score of &gt; 0.75 and an AST: platelet ratio index (APRI) of &gt; 2 during screening</w:t>
      </w:r>
    </w:p>
    <w:p w:rsidR="00302FBE" w:rsidRPr="00302FBE" w:rsidRDefault="00302FBE" w:rsidP="00302FBE">
      <w:r w:rsidRPr="00302FBE">
        <w:t>Absence of cirrhosis was defined as any one of the following:</w:t>
      </w:r>
    </w:p>
    <w:p w:rsidR="00302FBE" w:rsidRPr="00302FBE" w:rsidRDefault="00302FBE" w:rsidP="00302FBE">
      <w:pPr>
        <w:pStyle w:val="ListBullet2"/>
      </w:pPr>
      <w:r w:rsidRPr="00302FBE">
        <w:t>Liver biopsy within 2 years of screening showing absence of cirrhosis</w:t>
      </w:r>
    </w:p>
    <w:p w:rsidR="00302FBE" w:rsidRPr="00302FBE" w:rsidRDefault="00302FBE" w:rsidP="00302FBE">
      <w:pPr>
        <w:pStyle w:val="ListBullet2"/>
      </w:pPr>
      <w:proofErr w:type="spellStart"/>
      <w:r w:rsidRPr="00302FBE">
        <w:t>Fibroscan</w:t>
      </w:r>
      <w:proofErr w:type="spellEnd"/>
      <w:r w:rsidRPr="00302FBE">
        <w:t xml:space="preserve"> within 6 months of baseline/Day1 with a result of ≤</w:t>
      </w:r>
      <w:r w:rsidR="00D5308D">
        <w:t xml:space="preserve"> </w:t>
      </w:r>
      <w:r w:rsidRPr="00302FBE">
        <w:t xml:space="preserve">12.5 </w:t>
      </w:r>
      <w:proofErr w:type="spellStart"/>
      <w:r w:rsidRPr="00302FBE">
        <w:t>kPa</w:t>
      </w:r>
      <w:proofErr w:type="spellEnd"/>
    </w:p>
    <w:p w:rsidR="00302FBE" w:rsidRPr="00302FBE" w:rsidRDefault="00302FBE" w:rsidP="00302FBE">
      <w:pPr>
        <w:pStyle w:val="ListBullet2"/>
      </w:pPr>
      <w:proofErr w:type="spellStart"/>
      <w:r w:rsidRPr="00302FBE">
        <w:t>FibroTest</w:t>
      </w:r>
      <w:proofErr w:type="spellEnd"/>
      <w:r w:rsidRPr="00302FBE">
        <w:t xml:space="preserve"> score of ≤</w:t>
      </w:r>
      <w:r w:rsidR="00D5308D">
        <w:t xml:space="preserve"> </w:t>
      </w:r>
      <w:r w:rsidRPr="00302FBE">
        <w:t>0.48 and an APRI of ≤ 1 during screening</w:t>
      </w:r>
    </w:p>
    <w:p w:rsidR="00302FBE" w:rsidRPr="00302FBE" w:rsidRDefault="00302FBE" w:rsidP="00302FBE">
      <w:r w:rsidRPr="00302FBE">
        <w:t>In the absence of a definitive diagnosis of presence or absence of cirrhosis by the above criteria, a liver biopsy was required; liver biopsy results superseded any imaging or blood test results and were considered definitive</w:t>
      </w:r>
    </w:p>
    <w:p w:rsidR="00302FBE" w:rsidRPr="00302FBE" w:rsidRDefault="00302FBE" w:rsidP="00886813">
      <w:pPr>
        <w:pStyle w:val="ListBullet"/>
      </w:pPr>
      <w:r w:rsidRPr="00302FBE">
        <w:t>Liver imaging within 6 months of baseline/Day 1 to exclude hepatocellular carcinoma (HCC) was required in subjects with cirrhosis</w:t>
      </w:r>
    </w:p>
    <w:p w:rsidR="00302FBE" w:rsidRPr="00302FBE" w:rsidRDefault="00302FBE" w:rsidP="00302FBE">
      <w:pPr>
        <w:pStyle w:val="ListBullet"/>
      </w:pPr>
      <w:r w:rsidRPr="00302FBE">
        <w:t>Had a screening electrocardiogram (ECG) without clinically significant abnormalities</w:t>
      </w:r>
    </w:p>
    <w:p w:rsidR="00302FBE" w:rsidRPr="00302FBE" w:rsidRDefault="00302FBE" w:rsidP="00302FBE">
      <w:pPr>
        <w:pStyle w:val="ListBullet"/>
      </w:pPr>
      <w:r w:rsidRPr="00302FBE">
        <w:t>Must have had the following laboratory parameters at screening: ALT ≤</w:t>
      </w:r>
      <w:r w:rsidR="00D5308D">
        <w:t xml:space="preserve"> </w:t>
      </w:r>
      <w:r w:rsidRPr="00302FBE">
        <w:t>10xULN; AST ≤</w:t>
      </w:r>
      <w:r w:rsidR="00D5308D">
        <w:t xml:space="preserve"> </w:t>
      </w:r>
      <w:r w:rsidRPr="00302FBE">
        <w:t>10xULN; direct bilirubin ≤</w:t>
      </w:r>
      <w:r w:rsidR="00D5308D">
        <w:t xml:space="preserve"> </w:t>
      </w:r>
      <w:r w:rsidRPr="00302FBE">
        <w:t>1.5xULN; platelets ≥</w:t>
      </w:r>
      <w:r w:rsidR="00D5308D">
        <w:t xml:space="preserve"> </w:t>
      </w:r>
      <w:r w:rsidRPr="00302FBE">
        <w:t xml:space="preserve">50,000; </w:t>
      </w:r>
      <w:proofErr w:type="spellStart"/>
      <w:r w:rsidRPr="00302FBE">
        <w:t>hemoglobin</w:t>
      </w:r>
      <w:proofErr w:type="spellEnd"/>
      <w:r w:rsidRPr="00302FBE">
        <w:t xml:space="preserve"> A1c (HbA1c) ≤</w:t>
      </w:r>
      <w:r w:rsidR="00D5308D">
        <w:t xml:space="preserve"> </w:t>
      </w:r>
      <w:r w:rsidRPr="00302FBE">
        <w:t>8.5%; CLCR ≥</w:t>
      </w:r>
      <w:r w:rsidR="00D5308D">
        <w:t xml:space="preserve"> </w:t>
      </w:r>
      <w:r w:rsidRPr="00302FBE">
        <w:t>60 mL /min, as calculated by the Cockcroft-</w:t>
      </w:r>
      <w:proofErr w:type="spellStart"/>
      <w:r w:rsidRPr="00302FBE">
        <w:t>Gault</w:t>
      </w:r>
      <w:proofErr w:type="spellEnd"/>
      <w:r w:rsidRPr="00302FBE">
        <w:t xml:space="preserve"> equation; haemoglobin ≥</w:t>
      </w:r>
      <w:r w:rsidR="00D5308D">
        <w:t xml:space="preserve"> </w:t>
      </w:r>
      <w:r w:rsidRPr="00302FBE">
        <w:t>11 g/</w:t>
      </w:r>
      <w:proofErr w:type="spellStart"/>
      <w:r w:rsidRPr="00302FBE">
        <w:t>dL</w:t>
      </w:r>
      <w:proofErr w:type="spellEnd"/>
      <w:r w:rsidRPr="00302FBE">
        <w:t xml:space="preserve"> for female subjects; ≥</w:t>
      </w:r>
      <w:r w:rsidR="00D5308D">
        <w:t xml:space="preserve"> </w:t>
      </w:r>
      <w:r w:rsidRPr="00302FBE">
        <w:t>12 g/</w:t>
      </w:r>
      <w:proofErr w:type="spellStart"/>
      <w:r w:rsidRPr="00302FBE">
        <w:t>dL</w:t>
      </w:r>
      <w:proofErr w:type="spellEnd"/>
      <w:r w:rsidRPr="00302FBE">
        <w:t xml:space="preserve"> for male subjects; albumin ≥</w:t>
      </w:r>
      <w:r w:rsidR="00D5308D">
        <w:t xml:space="preserve"> </w:t>
      </w:r>
      <w:r w:rsidRPr="00302FBE">
        <w:t>3g/</w:t>
      </w:r>
      <w:proofErr w:type="spellStart"/>
      <w:r w:rsidRPr="00302FBE">
        <w:t>dL</w:t>
      </w:r>
      <w:proofErr w:type="spellEnd"/>
      <w:r w:rsidRPr="00302FBE">
        <w:t>; international normalized ratio (INR) ≤</w:t>
      </w:r>
      <w:r w:rsidR="00D5308D">
        <w:t xml:space="preserve"> </w:t>
      </w:r>
      <w:r w:rsidRPr="00302FBE">
        <w:t>1.5xULN unless subject had known haemophilia or was stable on an anticoagulant regimen affecting INR</w:t>
      </w:r>
    </w:p>
    <w:p w:rsidR="00302FBE" w:rsidRPr="00302FBE" w:rsidRDefault="00302FBE" w:rsidP="00302FBE">
      <w:pPr>
        <w:pStyle w:val="ListBullet"/>
      </w:pPr>
      <w:r w:rsidRPr="00302FBE">
        <w:t>Female subject must not be pregnant or nursing; or must be of non-childbearing potential, abstinent or taking approved methods of contraception</w:t>
      </w:r>
    </w:p>
    <w:p w:rsidR="00302FBE" w:rsidRPr="00302FBE" w:rsidRDefault="00302FBE" w:rsidP="00302FBE">
      <w:pPr>
        <w:pStyle w:val="ListBullet"/>
      </w:pPr>
      <w:r w:rsidRPr="00302FBE">
        <w:t>All male study participants must have agreed to consistently and correctly use a condom; and to refrain from sperm donation for at least 7 months after the last dose of RBV or 90 days after their last dose of study drug if not taking RBV</w:t>
      </w:r>
    </w:p>
    <w:p w:rsidR="00302FBE" w:rsidRPr="00302FBE" w:rsidRDefault="00302FBE" w:rsidP="00302FBE">
      <w:pPr>
        <w:pStyle w:val="ListBullet"/>
      </w:pPr>
      <w:r w:rsidRPr="00302FBE">
        <w:t>Were in generally good health, with the exception of chronic HCV infection, as determined by the investigator</w:t>
      </w:r>
    </w:p>
    <w:p w:rsidR="00302FBE" w:rsidRPr="00302FBE" w:rsidRDefault="00302FBE" w:rsidP="00302FBE">
      <w:r w:rsidRPr="00302FBE">
        <w:t>The exclusion criteria included:</w:t>
      </w:r>
    </w:p>
    <w:p w:rsidR="00302FBE" w:rsidRPr="00302FBE" w:rsidRDefault="00302FBE" w:rsidP="00302FBE">
      <w:pPr>
        <w:pStyle w:val="ListBullet"/>
      </w:pPr>
      <w:r w:rsidRPr="00302FBE">
        <w:t>Clinically significant illness (other than HCV) or any other major medical disorder that may have interfered with subject treatment, assessment, or compliance with the protocol; subjects who were under evaluation for a potentially clinically significant illness (other than HCV)</w:t>
      </w:r>
    </w:p>
    <w:p w:rsidR="00302FBE" w:rsidRPr="00302FBE" w:rsidRDefault="00302FBE" w:rsidP="00302FBE">
      <w:pPr>
        <w:pStyle w:val="ListBullet"/>
      </w:pPr>
      <w:r w:rsidRPr="00302FBE">
        <w:t>Gastrointestinal disorder or postoperative condition that could have interfered with the absorption of the study drug</w:t>
      </w:r>
    </w:p>
    <w:p w:rsidR="00302FBE" w:rsidRPr="00302FBE" w:rsidRDefault="00302FBE" w:rsidP="00302FBE">
      <w:pPr>
        <w:pStyle w:val="ListBullet"/>
      </w:pPr>
      <w:r w:rsidRPr="00302FBE">
        <w:t>Difficulty with blood collection and/or poor venous access for the purposes of phlebotomy</w:t>
      </w:r>
    </w:p>
    <w:p w:rsidR="00302FBE" w:rsidRPr="00302FBE" w:rsidRDefault="00302FBE" w:rsidP="00302FBE">
      <w:pPr>
        <w:pStyle w:val="ListBullet"/>
      </w:pPr>
      <w:r w:rsidRPr="00302FBE">
        <w:t xml:space="preserve">Clinical hepatic </w:t>
      </w:r>
      <w:proofErr w:type="spellStart"/>
      <w:r w:rsidRPr="00302FBE">
        <w:t>decompensation</w:t>
      </w:r>
      <w:proofErr w:type="spellEnd"/>
      <w:r w:rsidRPr="00302FBE">
        <w:t xml:space="preserve"> (i.e. ascites, encephalopathy, or </w:t>
      </w:r>
      <w:proofErr w:type="spellStart"/>
      <w:r w:rsidRPr="00302FBE">
        <w:t>variceal</w:t>
      </w:r>
      <w:proofErr w:type="spellEnd"/>
      <w:r w:rsidRPr="00302FBE">
        <w:t xml:space="preserve"> haemorrhage)</w:t>
      </w:r>
    </w:p>
    <w:p w:rsidR="00302FBE" w:rsidRPr="00302FBE" w:rsidRDefault="00302FBE" w:rsidP="00302FBE">
      <w:pPr>
        <w:pStyle w:val="ListBullet"/>
      </w:pPr>
      <w:r w:rsidRPr="00302FBE">
        <w:t>Solid organ transplantation</w:t>
      </w:r>
    </w:p>
    <w:p w:rsidR="00302FBE" w:rsidRPr="00302FBE" w:rsidRDefault="00302FBE" w:rsidP="00302FBE">
      <w:pPr>
        <w:pStyle w:val="ListBullet"/>
      </w:pPr>
      <w:r w:rsidRPr="00302FBE">
        <w:t>Significant pulmonary disease, significant cardiac disease, or porphyria</w:t>
      </w:r>
    </w:p>
    <w:p w:rsidR="00302FBE" w:rsidRPr="00302FBE" w:rsidRDefault="00302FBE" w:rsidP="00302FBE">
      <w:pPr>
        <w:pStyle w:val="ListBullet"/>
      </w:pPr>
      <w:r w:rsidRPr="00302FBE">
        <w:t>Psychiatric hospitalization, suicide attempt, and/or a period of disability as a result of their psychiatric illness within the last 5 years</w:t>
      </w:r>
    </w:p>
    <w:p w:rsidR="00302FBE" w:rsidRPr="00302FBE" w:rsidRDefault="00302FBE" w:rsidP="00302FBE">
      <w:pPr>
        <w:pStyle w:val="ListBullet"/>
      </w:pPr>
      <w:r w:rsidRPr="00302FBE">
        <w:t>Malignancy diagnosed or treated within 5 years (recent localized treatment of squamous or non-invasive basal cell skin cancers was permitted; cervical carcinoma in situ was allowed if appropriately treated prior to screening); subjects under evaluation for malignancy were not eligible</w:t>
      </w:r>
    </w:p>
    <w:p w:rsidR="00302FBE" w:rsidRPr="00302FBE" w:rsidRDefault="00302FBE" w:rsidP="00302FBE">
      <w:pPr>
        <w:pStyle w:val="ListBullet"/>
      </w:pPr>
      <w:r w:rsidRPr="00302FBE">
        <w:t>Significant drug allergy (such as anaphylaxis or hepatotoxicity)</w:t>
      </w:r>
    </w:p>
    <w:p w:rsidR="00302FBE" w:rsidRPr="00302FBE" w:rsidRDefault="00302FBE" w:rsidP="00302FBE">
      <w:pPr>
        <w:pStyle w:val="ListBullet"/>
      </w:pPr>
      <w:r w:rsidRPr="00302FBE">
        <w:t>Had chronic liver disease of a non-HCV aetiology (e.g., hemochromatosis, Wilson’s disease, alpha-1 antitrypsin deficiency, cholangitis)</w:t>
      </w:r>
    </w:p>
    <w:p w:rsidR="00302FBE" w:rsidRPr="00302FBE" w:rsidRDefault="00302FBE" w:rsidP="00302FBE">
      <w:pPr>
        <w:pStyle w:val="ListBullet"/>
      </w:pPr>
      <w:r w:rsidRPr="00302FBE">
        <w:t>Infected with hepatitis B virus (HBV) or HIV</w:t>
      </w:r>
    </w:p>
    <w:p w:rsidR="00302FBE" w:rsidRPr="00302FBE" w:rsidRDefault="00302FBE" w:rsidP="00302FBE">
      <w:pPr>
        <w:pStyle w:val="ListBullet"/>
      </w:pPr>
      <w:r w:rsidRPr="00302FBE">
        <w:t>Had clinically relevant drug abuse within 12 months of screening</w:t>
      </w:r>
    </w:p>
    <w:p w:rsidR="00302FBE" w:rsidRPr="00302FBE" w:rsidRDefault="00302FBE" w:rsidP="00302FBE">
      <w:pPr>
        <w:pStyle w:val="ListBullet"/>
      </w:pPr>
      <w:r w:rsidRPr="00302FBE">
        <w:t>Had alcohol misuse as defined by an Alcohol Use Disorders Identification Test (AUDIT) score ≥</w:t>
      </w:r>
      <w:r w:rsidR="00D5308D">
        <w:t xml:space="preserve"> </w:t>
      </w:r>
      <w:r w:rsidRPr="00302FBE">
        <w:t>8</w:t>
      </w:r>
    </w:p>
    <w:p w:rsidR="00302FBE" w:rsidRPr="00302FBE" w:rsidRDefault="00302FBE" w:rsidP="00302FBE">
      <w:pPr>
        <w:pStyle w:val="ListBullet"/>
      </w:pPr>
      <w:r w:rsidRPr="00302FBE">
        <w:t>Had contraindications to RBV therapy, including sig</w:t>
      </w:r>
      <w:r w:rsidR="00920649">
        <w:t xml:space="preserve">nificant history of clinically </w:t>
      </w:r>
      <w:r w:rsidRPr="00302FBE">
        <w:t xml:space="preserve">significant </w:t>
      </w:r>
      <w:proofErr w:type="spellStart"/>
      <w:r w:rsidRPr="00302FBE">
        <w:t>haemoglobinopathy</w:t>
      </w:r>
      <w:proofErr w:type="spellEnd"/>
      <w:r w:rsidRPr="00302FBE">
        <w:t xml:space="preserve"> (e.g., sickle cell disease, thalassemia)</w:t>
      </w:r>
    </w:p>
    <w:p w:rsidR="00302FBE" w:rsidRPr="00302FBE" w:rsidRDefault="00302FBE" w:rsidP="00302FBE">
      <w:pPr>
        <w:pStyle w:val="ListBullet"/>
      </w:pPr>
      <w:r w:rsidRPr="00302FBE">
        <w:t>Had chronic use of systemically administered immunosuppressive agents (e.g., prednisone equivalent &gt; 10 mg/day)</w:t>
      </w:r>
    </w:p>
    <w:p w:rsidR="00302FBE" w:rsidRPr="00302FBE" w:rsidRDefault="00302FBE" w:rsidP="00302FBE">
      <w:pPr>
        <w:pStyle w:val="ListBullet"/>
      </w:pPr>
      <w:r w:rsidRPr="00302FBE">
        <w:t>Had known hypersensitivity to RBV, LDV, SOF, or formulation excipients</w:t>
      </w:r>
    </w:p>
    <w:p w:rsidR="00302FBE" w:rsidRPr="00302FBE" w:rsidRDefault="00302FBE" w:rsidP="00302FBE">
      <w:pPr>
        <w:pStyle w:val="Heading6"/>
      </w:pPr>
      <w:r w:rsidRPr="00302FBE">
        <w:t>Study treatments</w:t>
      </w:r>
    </w:p>
    <w:p w:rsidR="00302FBE" w:rsidRPr="00302FBE" w:rsidRDefault="00302FBE" w:rsidP="00302FBE">
      <w:pPr>
        <w:pStyle w:val="Numberbullet0"/>
      </w:pPr>
      <w:r w:rsidRPr="00302FBE">
        <w:t>SOF 400 mg / LDV 90 mg FDC once daily for 24 weeks</w:t>
      </w:r>
    </w:p>
    <w:p w:rsidR="00302FBE" w:rsidRPr="00302FBE" w:rsidRDefault="00302FBE" w:rsidP="00302FBE">
      <w:pPr>
        <w:pStyle w:val="Numberbullet0"/>
      </w:pPr>
      <w:r w:rsidRPr="00302FBE">
        <w:t>SOF 400 mg / LDV 90 mg FDC once daily plus RBV 1000 mg or 1200 mg divided twice daily for 24 weeks</w:t>
      </w:r>
    </w:p>
    <w:p w:rsidR="00302FBE" w:rsidRPr="00302FBE" w:rsidRDefault="00302FBE" w:rsidP="00302FBE">
      <w:pPr>
        <w:pStyle w:val="Numberbullet0"/>
      </w:pPr>
      <w:r w:rsidRPr="00302FBE">
        <w:t>SOF 400 mg / LDV 90 mg FDC once daily for 12 weeks</w:t>
      </w:r>
    </w:p>
    <w:p w:rsidR="00302FBE" w:rsidRPr="00302FBE" w:rsidRDefault="00302FBE" w:rsidP="00302FBE">
      <w:pPr>
        <w:pStyle w:val="Numberbullet0"/>
      </w:pPr>
      <w:r w:rsidRPr="00302FBE">
        <w:t>SOF 400 mg / LDV 90 mg FDC once daily plus RBV 1000 mg or 1200 mg divided twice daily for 12 weeks</w:t>
      </w:r>
    </w:p>
    <w:p w:rsidR="00302FBE" w:rsidRPr="00302FBE" w:rsidRDefault="00302FBE" w:rsidP="00302FBE">
      <w:pPr>
        <w:pStyle w:val="Heading6"/>
      </w:pPr>
      <w:bookmarkStart w:id="213" w:name="_Efficacy_variables_and_outcomes"/>
      <w:bookmarkEnd w:id="213"/>
      <w:r w:rsidRPr="00302FBE">
        <w:t>Efficacy variables and outcomes</w:t>
      </w:r>
    </w:p>
    <w:p w:rsidR="00302FBE" w:rsidRPr="00302FBE" w:rsidRDefault="00302FBE" w:rsidP="00302FBE">
      <w:r w:rsidRPr="00302FBE">
        <w:t>The primary efficacy endpoint was SVR12 (HCV RNA &lt;</w:t>
      </w:r>
      <w:r w:rsidR="001C473D">
        <w:t xml:space="preserve"> </w:t>
      </w:r>
      <w:r w:rsidRPr="00302FBE">
        <w:t>LLOQ 12 weeks after discon</w:t>
      </w:r>
      <w:r w:rsidR="00920649">
        <w:t xml:space="preserve">tinuation of all study drugs). </w:t>
      </w:r>
      <w:r w:rsidRPr="00302FBE">
        <w:t xml:space="preserve">HCV RNA was measured using the COBAS </w:t>
      </w:r>
      <w:proofErr w:type="spellStart"/>
      <w:r w:rsidRPr="00302FBE">
        <w:t>Taqman</w:t>
      </w:r>
      <w:proofErr w:type="spellEnd"/>
      <w:r w:rsidRPr="00302FBE">
        <w:t xml:space="preserve"> HCV Test v2.0 for use wi</w:t>
      </w:r>
      <w:r w:rsidR="00920649">
        <w:t xml:space="preserve">th the High Pure System assay. </w:t>
      </w:r>
      <w:r w:rsidRPr="00302FBE">
        <w:t>The LLOQ of the assay was 25 IU/</w:t>
      </w:r>
      <w:proofErr w:type="spellStart"/>
      <w:r w:rsidRPr="00302FBE">
        <w:t>mL.</w:t>
      </w:r>
      <w:proofErr w:type="spellEnd"/>
    </w:p>
    <w:p w:rsidR="00302FBE" w:rsidRPr="00302FBE" w:rsidRDefault="00302FBE" w:rsidP="00302FBE">
      <w:r w:rsidRPr="00302FBE">
        <w:t>The secondary efficacy outcome measures were:</w:t>
      </w:r>
    </w:p>
    <w:p w:rsidR="00302FBE" w:rsidRPr="00302FBE" w:rsidRDefault="00302FBE" w:rsidP="00302FBE">
      <w:pPr>
        <w:pStyle w:val="ListBullet"/>
      </w:pPr>
      <w:r w:rsidRPr="00302FBE">
        <w:t xml:space="preserve">On-treatment </w:t>
      </w:r>
      <w:proofErr w:type="spellStart"/>
      <w:r w:rsidRPr="00302FBE">
        <w:t>virologic</w:t>
      </w:r>
      <w:proofErr w:type="spellEnd"/>
      <w:r w:rsidRPr="00302FBE">
        <w:t xml:space="preserve"> failure:</w:t>
      </w:r>
    </w:p>
    <w:p w:rsidR="00302FBE" w:rsidRPr="00302FBE" w:rsidRDefault="00302FBE" w:rsidP="00302FBE">
      <w:pPr>
        <w:pStyle w:val="ListBullet2"/>
      </w:pPr>
      <w:r w:rsidRPr="00302FBE">
        <w:t>Breakthrough: HCV RNA ≥</w:t>
      </w:r>
      <w:r w:rsidR="00D5308D">
        <w:t xml:space="preserve"> </w:t>
      </w:r>
      <w:r w:rsidRPr="00302FBE">
        <w:t>LLOQ after having previously had HCV RNA &lt;LLOQ while on treatment, confirmed with two consecutive values (note: the second confirmation value could be post-treatment), or last available on-treatment measurement with no subsequent follow-up values</w:t>
      </w:r>
    </w:p>
    <w:p w:rsidR="00302FBE" w:rsidRPr="00302FBE" w:rsidRDefault="00302FBE" w:rsidP="00302FBE">
      <w:pPr>
        <w:pStyle w:val="ListBullet2"/>
      </w:pPr>
      <w:r w:rsidRPr="00302FBE">
        <w:t>Rebound: &gt;</w:t>
      </w:r>
      <w:r w:rsidR="00D5308D">
        <w:t xml:space="preserve"> </w:t>
      </w:r>
      <w:r w:rsidRPr="00302FBE">
        <w:t>1 log10 IU/mL increase in HCV RNA from nadir while on treatment, confirmed with 2 consecutive values (note: second confirmation value could be post-treatment), or last available on-treatment measurement with no subsequent follow-up values</w:t>
      </w:r>
    </w:p>
    <w:p w:rsidR="00302FBE" w:rsidRPr="00302FBE" w:rsidRDefault="00302FBE" w:rsidP="00302FBE">
      <w:pPr>
        <w:pStyle w:val="ListBullet2"/>
      </w:pPr>
      <w:r w:rsidRPr="00302FBE">
        <w:t>Non-response: HCV RNA persistently ≥</w:t>
      </w:r>
      <w:r w:rsidR="00D5308D">
        <w:t xml:space="preserve"> </w:t>
      </w:r>
      <w:r w:rsidRPr="00302FBE">
        <w:t>LLOQ through 8 weeks of treatment</w:t>
      </w:r>
    </w:p>
    <w:p w:rsidR="00302FBE" w:rsidRPr="00302FBE" w:rsidRDefault="00302FBE" w:rsidP="00302FBE">
      <w:pPr>
        <w:pStyle w:val="ListBullet"/>
      </w:pPr>
      <w:r w:rsidRPr="00302FBE">
        <w:t>Relapse:</w:t>
      </w:r>
    </w:p>
    <w:p w:rsidR="00302FBE" w:rsidRPr="00302FBE" w:rsidRDefault="00302FBE" w:rsidP="00302FBE">
      <w:pPr>
        <w:pStyle w:val="ListBullet2"/>
      </w:pPr>
      <w:r w:rsidRPr="00302FBE">
        <w:t>HCV RNA ≥</w:t>
      </w:r>
      <w:r w:rsidR="00D5308D">
        <w:t xml:space="preserve"> </w:t>
      </w:r>
      <w:r w:rsidRPr="00302FBE">
        <w:t>LLOQ during the post-treatment period having achieved HCV RNA &lt;</w:t>
      </w:r>
      <w:r w:rsidR="001C473D">
        <w:t xml:space="preserve"> </w:t>
      </w:r>
      <w:r w:rsidRPr="00302FBE">
        <w:t>LLOQ at EOT, confirmed with 2 consecutive values or last available post-treatment measurement</w:t>
      </w:r>
    </w:p>
    <w:p w:rsidR="00302FBE" w:rsidRPr="00302FBE" w:rsidRDefault="00302FBE" w:rsidP="00302FBE">
      <w:pPr>
        <w:pStyle w:val="ListBullet"/>
      </w:pPr>
      <w:r w:rsidRPr="00302FBE">
        <w:t>The proportion of subjects with SVR4, defined as HCV RNA &lt;</w:t>
      </w:r>
      <w:r w:rsidR="001C473D">
        <w:t xml:space="preserve"> </w:t>
      </w:r>
      <w:r w:rsidRPr="00302FBE">
        <w:t>LLOQ 4 weeks after discontinuation of therapy</w:t>
      </w:r>
    </w:p>
    <w:p w:rsidR="00302FBE" w:rsidRPr="00302FBE" w:rsidRDefault="00302FBE" w:rsidP="00302FBE">
      <w:pPr>
        <w:pStyle w:val="ListBullet"/>
      </w:pPr>
      <w:r w:rsidRPr="00302FBE">
        <w:t>The proportion of subjects with SVR24, defined as HCV RNA &lt;</w:t>
      </w:r>
      <w:r w:rsidR="001C473D">
        <w:t xml:space="preserve"> </w:t>
      </w:r>
      <w:r w:rsidRPr="00302FBE">
        <w:t>LLOQ 24 weeks after discontinuation of therapy</w:t>
      </w:r>
    </w:p>
    <w:p w:rsidR="00302FBE" w:rsidRPr="00302FBE" w:rsidRDefault="00302FBE" w:rsidP="00302FBE">
      <w:pPr>
        <w:pStyle w:val="ListBullet"/>
      </w:pPr>
      <w:r w:rsidRPr="00302FBE">
        <w:t>The proportion of subjects with HCV RNA &lt;</w:t>
      </w:r>
      <w:r w:rsidR="001C473D">
        <w:t xml:space="preserve"> </w:t>
      </w:r>
      <w:r w:rsidRPr="00302FBE">
        <w:t>LLOQ was summarized by treatment and study visit while on treatment and during the post-treatment (SVR) follow-up period.</w:t>
      </w:r>
    </w:p>
    <w:p w:rsidR="00302FBE" w:rsidRPr="00302FBE" w:rsidRDefault="00302FBE" w:rsidP="00302FBE">
      <w:pPr>
        <w:pStyle w:val="ListBullet"/>
      </w:pPr>
      <w:r w:rsidRPr="00302FBE">
        <w:t>Summary statistics were presented for absolute values and changes from baseline in HCV RNA (log10 IU/mL) by treatment and study visit through Week 8.</w:t>
      </w:r>
    </w:p>
    <w:p w:rsidR="00302FBE" w:rsidRPr="00302FBE" w:rsidRDefault="00302FBE" w:rsidP="00302FBE">
      <w:pPr>
        <w:pStyle w:val="ListBullet"/>
      </w:pPr>
      <w:r w:rsidRPr="00302FBE">
        <w:t>HCV resistance-associated variants (RAVs)</w:t>
      </w:r>
    </w:p>
    <w:p w:rsidR="00302FBE" w:rsidRPr="00302FBE" w:rsidRDefault="00302FBE" w:rsidP="00302FBE">
      <w:pPr>
        <w:pStyle w:val="ListBullet"/>
      </w:pPr>
      <w:r w:rsidRPr="00302FBE">
        <w:t>Proportion of subjects with ALT normalization (defined as ALT &gt;</w:t>
      </w:r>
      <w:r w:rsidR="00D5308D">
        <w:t xml:space="preserve"> </w:t>
      </w:r>
      <w:r w:rsidRPr="00302FBE">
        <w:t>ULN at baseline and ALT ≤</w:t>
      </w:r>
      <w:r w:rsidR="00D5308D">
        <w:t xml:space="preserve"> </w:t>
      </w:r>
      <w:r w:rsidRPr="00302FBE">
        <w:t>ULN at each visit)</w:t>
      </w:r>
    </w:p>
    <w:p w:rsidR="00302FBE" w:rsidRPr="00302FBE" w:rsidRDefault="00302FBE" w:rsidP="00302FBE">
      <w:pPr>
        <w:pStyle w:val="ListBullet"/>
      </w:pPr>
      <w:r w:rsidRPr="00302FBE">
        <w:t>Health-related quality of life questionnaires included SF-36, CLDQ-HCV, FACIT-F, and WPAI: Hep C</w:t>
      </w:r>
    </w:p>
    <w:p w:rsidR="00302FBE" w:rsidRPr="00302FBE" w:rsidRDefault="00302FBE" w:rsidP="00302FBE">
      <w:r w:rsidRPr="00302FBE">
        <w:t>Safety outcome measures were: AEs, laboratory tests, body weight, vital signs, and ECGs.</w:t>
      </w:r>
    </w:p>
    <w:p w:rsidR="00302FBE" w:rsidRPr="00302FBE" w:rsidRDefault="00302FBE" w:rsidP="00302FBE">
      <w:pPr>
        <w:pStyle w:val="Heading6"/>
      </w:pPr>
      <w:r w:rsidRPr="00302FBE">
        <w:t>Randomisation and blinding methods</w:t>
      </w:r>
    </w:p>
    <w:p w:rsidR="00302FBE" w:rsidRPr="00302FBE" w:rsidRDefault="00302FBE" w:rsidP="00302FBE">
      <w:r w:rsidRPr="00302FBE">
        <w:t>Subjects were randomized by IWRS in a ratio of 1:1:1:1 and the study was open label.</w:t>
      </w:r>
    </w:p>
    <w:p w:rsidR="00302FBE" w:rsidRPr="00302FBE" w:rsidRDefault="00302FBE" w:rsidP="00302FBE">
      <w:pPr>
        <w:pStyle w:val="Heading6"/>
      </w:pPr>
      <w:r w:rsidRPr="00302FBE">
        <w:t>Analysis populations</w:t>
      </w:r>
    </w:p>
    <w:p w:rsidR="00302FBE" w:rsidRPr="00302FBE" w:rsidDel="0081373E" w:rsidRDefault="00302FBE" w:rsidP="00302FBE">
      <w:r w:rsidRPr="00302FBE">
        <w:t>The full analysis set (FAS) included all subjects who were randomized and received at least one dose of stud</w:t>
      </w:r>
      <w:r w:rsidR="00920649">
        <w:t xml:space="preserve">y drug. </w:t>
      </w:r>
      <w:r w:rsidRPr="00302FBE">
        <w:t>The efficacy and safety assessments were both performed on the FAS.</w:t>
      </w:r>
    </w:p>
    <w:p w:rsidR="00302FBE" w:rsidRPr="00302FBE" w:rsidDel="0081373E" w:rsidRDefault="00302FBE" w:rsidP="00302FBE">
      <w:pPr>
        <w:pStyle w:val="Heading6"/>
      </w:pPr>
      <w:r w:rsidRPr="00302FBE" w:rsidDel="0081373E">
        <w:t>Sample size</w:t>
      </w:r>
    </w:p>
    <w:p w:rsidR="00302FBE" w:rsidRPr="00302FBE" w:rsidRDefault="00302FBE" w:rsidP="00302FBE">
      <w:r w:rsidRPr="00302FBE">
        <w:t xml:space="preserve">A sample size of 200 subjects in each treatment group provided over 91% power to detect at least 13% improvement in SVR12 rate from the adjusted historical null rate of 60% using a 2-sided, 1-sample, binomial test at a significance level of 0.0125 based on a </w:t>
      </w:r>
      <w:proofErr w:type="spellStart"/>
      <w:r w:rsidRPr="00302FBE">
        <w:t>Bonferroni</w:t>
      </w:r>
      <w:proofErr w:type="spellEnd"/>
      <w:r w:rsidRPr="00302FBE">
        <w:t xml:space="preserve"> adjustment.</w:t>
      </w:r>
    </w:p>
    <w:p w:rsidR="00302FBE" w:rsidRPr="00302FBE" w:rsidRDefault="00302FBE" w:rsidP="00302FBE">
      <w:pPr>
        <w:pStyle w:val="Heading6"/>
      </w:pPr>
      <w:r w:rsidRPr="00302FBE">
        <w:t>Statistical methods</w:t>
      </w:r>
    </w:p>
    <w:p w:rsidR="00302FBE" w:rsidRPr="00302FBE" w:rsidRDefault="00302FBE" w:rsidP="00886813">
      <w:r w:rsidRPr="00302FBE">
        <w:t>An interim anal</w:t>
      </w:r>
      <w:r w:rsidR="00920649">
        <w:t xml:space="preserve">ysis was performed at Week 12. </w:t>
      </w:r>
      <w:r w:rsidRPr="00302FBE">
        <w:t>Hypothesis tests were performed using the 2-sided, exact, 1-sample, binomi</w:t>
      </w:r>
      <w:r w:rsidR="00920649">
        <w:t xml:space="preserve">al test. </w:t>
      </w:r>
      <w:r w:rsidRPr="00302FBE">
        <w:t xml:space="preserve">Multiplicity was addressed by using the </w:t>
      </w:r>
      <w:proofErr w:type="spellStart"/>
      <w:r w:rsidRPr="00302FBE">
        <w:t>Bonferroni</w:t>
      </w:r>
      <w:proofErr w:type="spellEnd"/>
      <w:r w:rsidRPr="00302FBE">
        <w:t xml:space="preserve"> correction method to strongly control the family-wise type I error rate at the 0.05 level and individual type I error rate at the 0.0125 leve</w:t>
      </w:r>
      <w:r w:rsidR="00920649">
        <w:t xml:space="preserve">l for each primary hypothesis. </w:t>
      </w:r>
      <w:r w:rsidRPr="00302FBE">
        <w:t>Missing data for HCV RNA were imputed according to preceding and/or following values.</w:t>
      </w:r>
    </w:p>
    <w:p w:rsidR="00302FBE" w:rsidRPr="00302FBE" w:rsidRDefault="00302FBE" w:rsidP="00302FBE">
      <w:pPr>
        <w:pStyle w:val="Heading6"/>
      </w:pPr>
      <w:bookmarkStart w:id="214" w:name="_Participant_flow"/>
      <w:bookmarkEnd w:id="214"/>
      <w:r w:rsidRPr="00302FBE">
        <w:t>Participant flow</w:t>
      </w:r>
    </w:p>
    <w:p w:rsidR="00302FBE" w:rsidRPr="00302FBE" w:rsidRDefault="00302FBE" w:rsidP="00302FBE">
      <w:r w:rsidRPr="00302FBE">
        <w:t>A total of 1015 subjects were screened and 870 were randomised to treatment: 217 to SOF / LDV 12 weeks, 218 to SOF /LDV + RBV 12 weeks, 217 to SOF / LDV 24 weeks, and</w:t>
      </w:r>
      <w:r w:rsidR="009364BA">
        <w:t xml:space="preserve"> 218 to SOF /LDV + RBV 24 weeks</w:t>
      </w:r>
      <w:r w:rsidR="00920649">
        <w:t xml:space="preserve">. </w:t>
      </w:r>
      <w:r w:rsidRPr="00302FBE">
        <w:t>The FAS included 865 (99.4%) subjects; 838 (96.6%) completed study treat</w:t>
      </w:r>
      <w:r w:rsidR="006854D1">
        <w:t>ment and 27 (3.1%) discontinued</w:t>
      </w:r>
      <w:r w:rsidRPr="00302FBE">
        <w:t>.</w:t>
      </w:r>
      <w:r>
        <w:t xml:space="preserve"> </w:t>
      </w:r>
      <w:r w:rsidRPr="00302FBE">
        <w:t>There were 275 subjects with no data for the SVR12 assessment, but all except 3 of these subjects were in</w:t>
      </w:r>
      <w:r w:rsidR="00920649">
        <w:t xml:space="preserve"> the 24 week treatment groups. </w:t>
      </w:r>
      <w:r w:rsidRPr="00302FBE">
        <w:t>Ten (1.2%) subjects withdrew because of AE.</w:t>
      </w:r>
    </w:p>
    <w:p w:rsidR="00302FBE" w:rsidRPr="00302FBE" w:rsidRDefault="00302FBE" w:rsidP="00302FBE">
      <w:pPr>
        <w:pStyle w:val="Heading6"/>
      </w:pPr>
      <w:r w:rsidRPr="00302FBE">
        <w:t>Major protocol violations/deviations</w:t>
      </w:r>
    </w:p>
    <w:p w:rsidR="00302FBE" w:rsidRPr="00302FBE" w:rsidRDefault="00302FBE" w:rsidP="00302FBE">
      <w:r w:rsidRPr="00302FBE">
        <w:t>There were 67 important protocol deviations in65 subject</w:t>
      </w:r>
      <w:r w:rsidR="00920649">
        <w:t xml:space="preserve">s. </w:t>
      </w:r>
      <w:r w:rsidRPr="00302FBE">
        <w:t>There were violations of inclusion / exclusion criteria in 49 (5.7%) subjects, prohibited concomitant medications in 6 (0.7%), informed consent not obtained properly in 3 (0.3%) and study dr</w:t>
      </w:r>
      <w:r>
        <w:t>ug non-compliance in 9 (1.0%).</w:t>
      </w:r>
    </w:p>
    <w:p w:rsidR="00302FBE" w:rsidRPr="00302FBE" w:rsidRDefault="00302FBE" w:rsidP="00302FBE">
      <w:pPr>
        <w:pStyle w:val="Heading6"/>
      </w:pPr>
      <w:bookmarkStart w:id="215" w:name="_Baseline_data"/>
      <w:bookmarkEnd w:id="215"/>
      <w:r w:rsidRPr="00302FBE">
        <w:t>Baseline data</w:t>
      </w:r>
    </w:p>
    <w:p w:rsidR="00302FBE" w:rsidRPr="00302FBE" w:rsidRDefault="00302FBE" w:rsidP="00886813">
      <w:r w:rsidRPr="00302FBE">
        <w:t>There were 513 (59.3%) males, 352 (40.7%) females and the</w:t>
      </w:r>
      <w:r>
        <w:t xml:space="preserve"> age range was 18 to 80 years. </w:t>
      </w:r>
      <w:r w:rsidRPr="00302FBE">
        <w:t>The demographic characteristics were balance</w:t>
      </w:r>
      <w:r w:rsidR="008F3BA1">
        <w:t xml:space="preserve">d between the treatment groups. </w:t>
      </w:r>
      <w:r w:rsidRPr="00302FBE">
        <w:t xml:space="preserve">There were 581 (67.2%) subjects with GT1a-HCV and 273 (31.6%) with GT1b-HCV; and 136 (15.7%) subjects </w:t>
      </w:r>
      <w:r w:rsidR="005F12B0">
        <w:t>with cirrhosis</w:t>
      </w:r>
      <w:r>
        <w:t xml:space="preserve">. </w:t>
      </w:r>
      <w:r w:rsidRPr="00302FBE">
        <w:t xml:space="preserve">Baseline disease characteristics were similar </w:t>
      </w:r>
      <w:r w:rsidR="00920649">
        <w:t xml:space="preserve">for the four treatment groups. </w:t>
      </w:r>
      <w:r w:rsidRPr="00302FBE">
        <w:t>In the 12-week treatment groups, there was 97.2% adherence to SOF / LDV when administered alone and 95.4% when administered with RBV.</w:t>
      </w:r>
    </w:p>
    <w:p w:rsidR="00302FBE" w:rsidRPr="00302FBE" w:rsidRDefault="00302FBE" w:rsidP="00302FBE">
      <w:pPr>
        <w:pStyle w:val="Heading6"/>
      </w:pPr>
      <w:bookmarkStart w:id="216" w:name="_Results_for_the_primary_efficacy_ou"/>
      <w:bookmarkEnd w:id="216"/>
      <w:r w:rsidRPr="00302FBE">
        <w:t>Results for the primary efficacy outcome</w:t>
      </w:r>
    </w:p>
    <w:p w:rsidR="00302FBE" w:rsidRPr="00302FBE" w:rsidRDefault="00302FBE" w:rsidP="00302FBE">
      <w:pPr>
        <w:pStyle w:val="ListBullet"/>
      </w:pPr>
      <w:r w:rsidRPr="00302FBE">
        <w:t>SVR12 was achieved by 209 (97.7%) subjects in the SOF / LDV 12 week group, 95% CI 94.6% to 99.1%, p &lt;</w:t>
      </w:r>
      <w:r w:rsidR="00D5308D">
        <w:t xml:space="preserve"> </w:t>
      </w:r>
      <w:r w:rsidRPr="00302FBE">
        <w:t>0.001</w:t>
      </w:r>
    </w:p>
    <w:p w:rsidR="00302FBE" w:rsidRPr="00302FBE" w:rsidRDefault="00302FBE" w:rsidP="00302FBE">
      <w:pPr>
        <w:pStyle w:val="ListBullet"/>
      </w:pPr>
      <w:r w:rsidRPr="00302FBE">
        <w:t>SVR12 was achieved by 211 (97.2%) subjects in the SOF / LDV + RBV 12 week group, 95% CI 94.1% to 99.0%, p &lt;</w:t>
      </w:r>
      <w:r w:rsidR="00D5308D">
        <w:t xml:space="preserve"> </w:t>
      </w:r>
      <w:r w:rsidRPr="00302FBE">
        <w:t>0.001</w:t>
      </w:r>
    </w:p>
    <w:p w:rsidR="00302FBE" w:rsidRPr="00302FBE" w:rsidRDefault="00302FBE" w:rsidP="00886813">
      <w:r w:rsidRPr="00302FBE">
        <w:t>There was no effect on response f</w:t>
      </w:r>
      <w:r w:rsidR="005F12B0">
        <w:t>or demographic characteristics</w:t>
      </w:r>
      <w:r>
        <w:t xml:space="preserve">. </w:t>
      </w:r>
      <w:r w:rsidRPr="00302FBE">
        <w:t>SOF / LDV FDC was equally effective for GT1a-HCV and GT1b-HCV and baseline disease characterist</w:t>
      </w:r>
      <w:r w:rsidR="00382666">
        <w:t>ics did not influence efficacy</w:t>
      </w:r>
      <w:r w:rsidRPr="00302FBE">
        <w:t>.</w:t>
      </w:r>
      <w:r>
        <w:t xml:space="preserve"> </w:t>
      </w:r>
      <w:r w:rsidRPr="00302FBE">
        <w:t>However, subjects with &lt;</w:t>
      </w:r>
      <w:r w:rsidR="00D5308D">
        <w:t xml:space="preserve"> </w:t>
      </w:r>
      <w:r w:rsidRPr="00302FBE">
        <w:t>80% adherence to study treatment had reduced efficacy.</w:t>
      </w:r>
    </w:p>
    <w:p w:rsidR="00302FBE" w:rsidRPr="00302FBE" w:rsidRDefault="00302FBE" w:rsidP="00302FBE">
      <w:pPr>
        <w:pStyle w:val="Heading6"/>
      </w:pPr>
      <w:bookmarkStart w:id="217" w:name="_Results_for_other_efficacy_outcomes"/>
      <w:bookmarkEnd w:id="217"/>
      <w:r w:rsidRPr="00302FBE">
        <w:t>Results for other efficacy outcomes</w:t>
      </w:r>
    </w:p>
    <w:p w:rsidR="00302FBE" w:rsidRPr="00302FBE" w:rsidRDefault="00302FBE" w:rsidP="00302FBE">
      <w:pPr>
        <w:pStyle w:val="ListBullet"/>
      </w:pPr>
      <w:r w:rsidRPr="00302FBE">
        <w:t>There was one subject in the SOF / LDV 12 week treatment group with overall virolo</w:t>
      </w:r>
      <w:r w:rsidR="00192CA7">
        <w:t>gical failure (due to relapse)</w:t>
      </w:r>
      <w:r>
        <w:t xml:space="preserve">. </w:t>
      </w:r>
      <w:r w:rsidRPr="00302FBE">
        <w:t>No subject in the SOF / LDV + RBV 12 week group had overall virological failure.</w:t>
      </w:r>
    </w:p>
    <w:p w:rsidR="00302FBE" w:rsidRPr="00302FBE" w:rsidRDefault="00302FBE" w:rsidP="00302FBE">
      <w:pPr>
        <w:pStyle w:val="ListBullet"/>
      </w:pPr>
      <w:r w:rsidRPr="00302FBE">
        <w:t>SVR4 was achieved by 211 (98.6%) subjects in the SOF / LDV 12 week group, 95% CI 96.0% to 99.7%; SVR4 was achieved by 213 (98.2%) subjects in the SOF / LDV + RBV 12 week group, 95% CI 95.3% to 99.5%</w:t>
      </w:r>
    </w:p>
    <w:p w:rsidR="00302FBE" w:rsidRPr="00302FBE" w:rsidRDefault="00302FBE" w:rsidP="00302FBE">
      <w:pPr>
        <w:pStyle w:val="ListBullet"/>
      </w:pPr>
      <w:r w:rsidRPr="00302FBE">
        <w:t>There were 197 subjects that had post-treatment week 12 and 24 data available and all of the subjects with SVR12 re</w:t>
      </w:r>
      <w:r w:rsidR="009E1D94">
        <w:t>sponse also had SVR24 response</w:t>
      </w:r>
      <w:r w:rsidR="00494E76">
        <w:t>.</w:t>
      </w:r>
    </w:p>
    <w:p w:rsidR="00302FBE" w:rsidRPr="00302FBE" w:rsidRDefault="00302FBE" w:rsidP="00302FBE">
      <w:pPr>
        <w:pStyle w:val="ListBullet"/>
      </w:pPr>
      <w:r w:rsidRPr="00302FBE">
        <w:t>In all the treatment groups, near maximal response was a</w:t>
      </w:r>
      <w:r w:rsidR="00494E76">
        <w:t xml:space="preserve">chieved by Week 8 on-treatment </w:t>
      </w:r>
    </w:p>
    <w:p w:rsidR="00302FBE" w:rsidRPr="00302FBE" w:rsidRDefault="00302FBE" w:rsidP="00302FBE">
      <w:pPr>
        <w:pStyle w:val="ListBullet"/>
      </w:pPr>
      <w:r w:rsidRPr="00302FBE">
        <w:t>Alt normalisation occurred for 87.1% to</w:t>
      </w:r>
      <w:r w:rsidR="00494E76">
        <w:t xml:space="preserve"> 93.0% of affected subjects</w:t>
      </w:r>
    </w:p>
    <w:p w:rsidR="00302FBE" w:rsidRPr="00302FBE" w:rsidRDefault="00302FBE" w:rsidP="00302FBE">
      <w:pPr>
        <w:pStyle w:val="ListBullet"/>
      </w:pPr>
      <w:r w:rsidRPr="00302FBE">
        <w:t xml:space="preserve">RAVs were reported in 32 (15.0% subjects in the SOF / LDV 12 week group, and 36 (16.7%) in the </w:t>
      </w:r>
      <w:r w:rsidR="003C566F">
        <w:t xml:space="preserve">SOF / LDV + RBV 12 week group. </w:t>
      </w:r>
      <w:r w:rsidRPr="00302FBE">
        <w:t>The one subject in the 12 week group who relapsed did not develop a RAV</w:t>
      </w:r>
    </w:p>
    <w:p w:rsidR="00302FBE" w:rsidRPr="00302FBE" w:rsidRDefault="00302FBE" w:rsidP="00302FBE">
      <w:pPr>
        <w:pStyle w:val="ListBullet"/>
      </w:pPr>
      <w:r w:rsidRPr="00302FBE">
        <w:t>There was a decrease in quality of life scores in the SOF / LDV + RBV group relative to th</w:t>
      </w:r>
      <w:r w:rsidR="00494E76">
        <w:t>e SOF / LDV group on-treatment</w:t>
      </w:r>
      <w:r>
        <w:t xml:space="preserve">. </w:t>
      </w:r>
      <w:r w:rsidRPr="00302FBE">
        <w:t>However, the Sponsor interpreted these results with caution.</w:t>
      </w:r>
    </w:p>
    <w:p w:rsidR="00302FBE" w:rsidRPr="00302FBE" w:rsidRDefault="00302FBE" w:rsidP="00302FBE">
      <w:pPr>
        <w:pStyle w:val="Heading5"/>
      </w:pPr>
      <w:bookmarkStart w:id="218" w:name="_Toc290846276"/>
      <w:bookmarkStart w:id="219" w:name="_Toc408164075"/>
      <w:r w:rsidRPr="00302FBE">
        <w:t>Study GS-US-337-0108</w:t>
      </w:r>
      <w:bookmarkEnd w:id="218"/>
      <w:bookmarkEnd w:id="219"/>
    </w:p>
    <w:p w:rsidR="00302FBE" w:rsidRPr="00302FBE" w:rsidRDefault="00302FBE" w:rsidP="00302FBE">
      <w:pPr>
        <w:pStyle w:val="Heading6"/>
      </w:pPr>
      <w:bookmarkStart w:id="220" w:name="_Study_design,_objectives,_locations_1"/>
      <w:bookmarkEnd w:id="220"/>
      <w:r w:rsidRPr="00302FBE">
        <w:t>Study design, objectives, locations and dates</w:t>
      </w:r>
    </w:p>
    <w:p w:rsidR="00302FBE" w:rsidRPr="00302FBE" w:rsidRDefault="002D7B9D" w:rsidP="00302FBE">
      <w:r>
        <w:t xml:space="preserve">Study GS-US-337-0108 </w:t>
      </w:r>
      <w:r w:rsidR="001C473D">
        <w:t>was a Phase III</w:t>
      </w:r>
      <w:r w:rsidR="00302FBE" w:rsidRPr="00302FBE">
        <w:t>, multicentre, randomized, open label study to investigate the efficacy and safety of SOF / LDV FDC ± RBV for 8 weeks and SOF / LDV FDC for 12 weeks in treatment naïve</w:t>
      </w:r>
      <w:r w:rsidR="00494E76">
        <w:t xml:space="preserve"> subjects with chronic GT1-HCV</w:t>
      </w:r>
      <w:r w:rsidR="00302FBE">
        <w:t xml:space="preserve">. </w:t>
      </w:r>
      <w:r w:rsidR="00302FBE" w:rsidRPr="00302FBE">
        <w:t>The study was conducted at 59 centres in the US from May 2013 to December 2013.</w:t>
      </w:r>
    </w:p>
    <w:p w:rsidR="00302FBE" w:rsidRPr="00302FBE" w:rsidRDefault="00302FBE" w:rsidP="00302FBE">
      <w:pPr>
        <w:pStyle w:val="Heading6"/>
      </w:pPr>
      <w:r w:rsidRPr="00302FBE">
        <w:t>Inclusion and exclusion criteria</w:t>
      </w:r>
    </w:p>
    <w:p w:rsidR="00302FBE" w:rsidRPr="00302FBE" w:rsidRDefault="00302FBE" w:rsidP="00302FBE">
      <w:r w:rsidRPr="00302FBE">
        <w:t>The inclusion and exclusion criteria, and definitions, were the same as for Study GS-US-337-0102 except for:</w:t>
      </w:r>
    </w:p>
    <w:p w:rsidR="00302FBE" w:rsidRPr="00302FBE" w:rsidRDefault="00302FBE" w:rsidP="00302FBE">
      <w:pPr>
        <w:pStyle w:val="ListBullet"/>
      </w:pPr>
      <w:r w:rsidRPr="00302FBE">
        <w:t>There was no requirement for US to exclude hepatocellular carcinoma</w:t>
      </w:r>
    </w:p>
    <w:p w:rsidR="00302FBE" w:rsidRPr="00302FBE" w:rsidRDefault="00302FBE" w:rsidP="00302FBE">
      <w:pPr>
        <w:pStyle w:val="ListBullet"/>
      </w:pPr>
      <w:r w:rsidRPr="00302FBE">
        <w:t>Serum bilirubin must be &lt;</w:t>
      </w:r>
      <w:r w:rsidR="00D5308D">
        <w:t xml:space="preserve"> </w:t>
      </w:r>
      <w:r w:rsidRPr="00302FBE">
        <w:t>ULN</w:t>
      </w:r>
    </w:p>
    <w:p w:rsidR="00302FBE" w:rsidRPr="00302FBE" w:rsidRDefault="00302FBE" w:rsidP="00302FBE">
      <w:pPr>
        <w:pStyle w:val="ListBullet"/>
      </w:pPr>
      <w:r w:rsidRPr="00302FBE">
        <w:t>Subjects with cirrhosis were excluded</w:t>
      </w:r>
    </w:p>
    <w:p w:rsidR="00302FBE" w:rsidRPr="00302FBE" w:rsidRDefault="00302FBE" w:rsidP="00302FBE">
      <w:pPr>
        <w:pStyle w:val="Heading6"/>
      </w:pPr>
      <w:r w:rsidRPr="00302FBE">
        <w:t>Study treatments</w:t>
      </w:r>
    </w:p>
    <w:p w:rsidR="00302FBE" w:rsidRPr="00302FBE" w:rsidRDefault="00302FBE" w:rsidP="003142B6">
      <w:pPr>
        <w:pStyle w:val="Numberbullet0"/>
        <w:numPr>
          <w:ilvl w:val="0"/>
          <w:numId w:val="10"/>
        </w:numPr>
      </w:pPr>
      <w:r w:rsidRPr="00302FBE">
        <w:t>SOF 400 mg / LDV 90 mg FDC once daily for 12 weeks</w:t>
      </w:r>
    </w:p>
    <w:p w:rsidR="00302FBE" w:rsidRPr="00302FBE" w:rsidRDefault="00302FBE" w:rsidP="003142B6">
      <w:pPr>
        <w:pStyle w:val="Numberbullet0"/>
        <w:numPr>
          <w:ilvl w:val="0"/>
          <w:numId w:val="10"/>
        </w:numPr>
      </w:pPr>
      <w:r w:rsidRPr="00302FBE">
        <w:t>SOF 400 mg / LDV 90 mg FDC once daily for 8 weeks</w:t>
      </w:r>
    </w:p>
    <w:p w:rsidR="00302FBE" w:rsidRPr="00302FBE" w:rsidRDefault="00302FBE" w:rsidP="003142B6">
      <w:pPr>
        <w:pStyle w:val="Numberbullet0"/>
        <w:numPr>
          <w:ilvl w:val="0"/>
          <w:numId w:val="10"/>
        </w:numPr>
      </w:pPr>
      <w:r w:rsidRPr="00302FBE">
        <w:t xml:space="preserve">SOF 400 mg / LDV 90 mg FDC once daily plus RBV 1000 mg or 1200 mg divided twice daily for 8 weeks </w:t>
      </w:r>
    </w:p>
    <w:p w:rsidR="00302FBE" w:rsidRPr="00302FBE" w:rsidRDefault="00302FBE" w:rsidP="00302FBE">
      <w:pPr>
        <w:pStyle w:val="Heading6"/>
      </w:pPr>
      <w:r w:rsidRPr="00302FBE">
        <w:t>Efficacy variables and outcomes</w:t>
      </w:r>
    </w:p>
    <w:p w:rsidR="00302FBE" w:rsidRPr="00302FBE" w:rsidRDefault="00302FBE" w:rsidP="00302FBE">
      <w:r w:rsidRPr="00302FBE">
        <w:t>The outcome measures were the same as for Study GS-US</w:t>
      </w:r>
      <w:r w:rsidR="003C566F">
        <w:t xml:space="preserve">-337-0102. </w:t>
      </w:r>
      <w:r w:rsidRPr="00302FBE">
        <w:t>The schedules of on-treatment and post-treatment visits were similar to that for Study GS</w:t>
      </w:r>
      <w:r w:rsidR="00CE61A0">
        <w:t>-US-337-0102</w:t>
      </w:r>
      <w:r w:rsidRPr="00302FBE">
        <w:t>.</w:t>
      </w:r>
    </w:p>
    <w:p w:rsidR="00302FBE" w:rsidRPr="00302FBE" w:rsidRDefault="00302FBE" w:rsidP="00302FBE">
      <w:pPr>
        <w:pStyle w:val="Heading6"/>
      </w:pPr>
      <w:r w:rsidRPr="00302FBE">
        <w:t>Randomisation and blinding methods</w:t>
      </w:r>
    </w:p>
    <w:p w:rsidR="00302FBE" w:rsidRPr="00302FBE" w:rsidRDefault="00302FBE" w:rsidP="00302FBE">
      <w:r w:rsidRPr="00302FBE">
        <w:t>Subjects were randomized by IWRS in a ratio of 1:1:1, stratified by HCV genotype (1a or 1b), and the study was open label.</w:t>
      </w:r>
    </w:p>
    <w:p w:rsidR="00302FBE" w:rsidRPr="00302FBE" w:rsidRDefault="00302FBE" w:rsidP="00302FBE">
      <w:pPr>
        <w:pStyle w:val="Heading6"/>
      </w:pPr>
      <w:r w:rsidRPr="00302FBE">
        <w:t>Analysis populations</w:t>
      </w:r>
    </w:p>
    <w:p w:rsidR="00302FBE" w:rsidRPr="00302FBE" w:rsidDel="0081373E" w:rsidRDefault="00302FBE" w:rsidP="00302FBE">
      <w:r w:rsidRPr="00302FBE">
        <w:t>The full analysis set (FAS) included subjects who were randomized and received at</w:t>
      </w:r>
      <w:r w:rsidR="003C566F">
        <w:t xml:space="preserve"> least one dose of study drug. </w:t>
      </w:r>
      <w:r w:rsidRPr="00302FBE">
        <w:t>The safety analysis set included subjects who were randomized and received at least one dose of study drug.</w:t>
      </w:r>
    </w:p>
    <w:p w:rsidR="00302FBE" w:rsidRPr="00302FBE" w:rsidDel="0081373E" w:rsidRDefault="00302FBE" w:rsidP="00302FBE">
      <w:pPr>
        <w:pStyle w:val="Heading6"/>
      </w:pPr>
      <w:r w:rsidRPr="00302FBE" w:rsidDel="0081373E">
        <w:t>Sample size</w:t>
      </w:r>
    </w:p>
    <w:p w:rsidR="00302FBE" w:rsidRPr="00302FBE" w:rsidRDefault="00302FBE" w:rsidP="00302FBE">
      <w:r w:rsidRPr="00302FBE">
        <w:t>A sample size of 200 subjects in each treatment group provided over 90% power to detect at least 30% improvement in the SVR12 rate from the adjusted historical null rate of 60% using a 2-sided, exact 1-sample, binomial test at a significance level of 0.025.</w:t>
      </w:r>
    </w:p>
    <w:p w:rsidR="00302FBE" w:rsidRPr="00302FBE" w:rsidRDefault="00302FBE" w:rsidP="00302FBE">
      <w:pPr>
        <w:pStyle w:val="Heading6"/>
      </w:pPr>
      <w:r w:rsidRPr="00302FBE">
        <w:t>Statistical methods</w:t>
      </w:r>
    </w:p>
    <w:p w:rsidR="00302FBE" w:rsidRPr="00302FBE" w:rsidRDefault="00302FBE" w:rsidP="00302FBE">
      <w:r w:rsidRPr="00302FBE">
        <w:t>The statistical methods were the same as for Study GS-US</w:t>
      </w:r>
      <w:r w:rsidR="00B14BC8">
        <w:t>-337-0102</w:t>
      </w:r>
      <w:r>
        <w:t xml:space="preserve">. </w:t>
      </w:r>
      <w:r w:rsidRPr="00302FBE">
        <w:t>To adjust for multiplicity a sequential hypothesis test procedure was used.</w:t>
      </w:r>
    </w:p>
    <w:p w:rsidR="00302FBE" w:rsidRPr="00302FBE" w:rsidRDefault="00302FBE" w:rsidP="00302FBE">
      <w:pPr>
        <w:pStyle w:val="Heading6"/>
      </w:pPr>
      <w:bookmarkStart w:id="221" w:name="_Participant_flow_1"/>
      <w:bookmarkEnd w:id="221"/>
      <w:r w:rsidRPr="00302FBE">
        <w:t>Participant flow</w:t>
      </w:r>
    </w:p>
    <w:p w:rsidR="00302FBE" w:rsidRPr="00302FBE" w:rsidRDefault="00302FBE" w:rsidP="00302FBE">
      <w:r w:rsidRPr="00302FBE">
        <w:t>A total of 831 subjects were screened and 647 were randomised: 215 to SOF / LDV 8 weeks, 216 to SOF / LDV + RBV 8 weeks,</w:t>
      </w:r>
      <w:r w:rsidR="002D7B9D">
        <w:t xml:space="preserve"> and 216 to SOF / LDV 12 weeks</w:t>
      </w:r>
      <w:r w:rsidR="001C473D">
        <w:t xml:space="preserve">. </w:t>
      </w:r>
      <w:r w:rsidRPr="00302FBE">
        <w:t>A total of 639 (98.8%) subjects completed treatment; 8 (1.2%) dis</w:t>
      </w:r>
      <w:r>
        <w:t xml:space="preserve">continued, 3 (0.5%) due to AE. </w:t>
      </w:r>
      <w:r w:rsidRPr="00302FBE">
        <w:t>All randomized subjects were included in the FAS and safety datasets.</w:t>
      </w:r>
    </w:p>
    <w:p w:rsidR="00302FBE" w:rsidRPr="00302FBE" w:rsidRDefault="00302FBE" w:rsidP="00302FBE">
      <w:pPr>
        <w:pStyle w:val="Heading6"/>
      </w:pPr>
      <w:r w:rsidRPr="00302FBE">
        <w:t>Major protocol violations/deviations</w:t>
      </w:r>
    </w:p>
    <w:p w:rsidR="00302FBE" w:rsidRPr="00302FBE" w:rsidRDefault="00302FBE" w:rsidP="00302FBE">
      <w:r w:rsidRPr="00302FBE">
        <w:t>There were 17 important proto</w:t>
      </w:r>
      <w:r>
        <w:t xml:space="preserve">col violations in 16 subjects. </w:t>
      </w:r>
      <w:r w:rsidRPr="00302FBE">
        <w:t>Ten of the important protocol violations were for violation of inclusion / exclusion criteria.</w:t>
      </w:r>
    </w:p>
    <w:p w:rsidR="00302FBE" w:rsidRPr="00302FBE" w:rsidRDefault="00302FBE" w:rsidP="00302FBE">
      <w:pPr>
        <w:pStyle w:val="Heading6"/>
      </w:pPr>
      <w:bookmarkStart w:id="222" w:name="_Baseline_data_1"/>
      <w:bookmarkEnd w:id="222"/>
      <w:r w:rsidRPr="00302FBE">
        <w:t>Baseline data</w:t>
      </w:r>
    </w:p>
    <w:p w:rsidR="00302FBE" w:rsidRPr="00302FBE" w:rsidRDefault="00302FBE" w:rsidP="00302FBE">
      <w:r w:rsidRPr="00302FBE">
        <w:t>There were 375 (58.0%) males, 272 (42.0%) females and the</w:t>
      </w:r>
      <w:r w:rsidR="003C566F">
        <w:t xml:space="preserve"> age range was 20 to 75 years. </w:t>
      </w:r>
      <w:r w:rsidRPr="00302FBE">
        <w:t>The treatment groups were similar in baseline demographic char</w:t>
      </w:r>
      <w:r w:rsidR="003C566F">
        <w:t xml:space="preserve">acteristics (Table 7.1.1.2.2). </w:t>
      </w:r>
      <w:r w:rsidRPr="00302FBE">
        <w:t xml:space="preserve">There were 515 (79.6%) subjects with GT1a-HCV </w:t>
      </w:r>
      <w:r w:rsidR="003C566F">
        <w:t xml:space="preserve">and 131 (20.2%) with GT1b-HCV. </w:t>
      </w:r>
      <w:r w:rsidRPr="00302FBE">
        <w:t>The treatment groups were similar in baseline disease char</w:t>
      </w:r>
      <w:r w:rsidR="002D7B9D">
        <w:t>acteristics</w:t>
      </w:r>
      <w:r w:rsidR="003C566F">
        <w:t xml:space="preserve">. </w:t>
      </w:r>
      <w:r w:rsidRPr="00302FBE">
        <w:t>There was greater adherence to treatment regimen in the SOF / LDV FDC only treatment groups: at least 80% adherence in 210 (97.7%) subjects in the SOF / LDV FDC 8 week group, 193 (89.4%) in the SOF / LDV + RBV 8 week, and 202 (93.5%) in the SOF / LDV 12 week group (Table 7.1.1.2.4).</w:t>
      </w:r>
    </w:p>
    <w:p w:rsidR="00302FBE" w:rsidRPr="00302FBE" w:rsidRDefault="00302FBE" w:rsidP="00302FBE">
      <w:pPr>
        <w:pStyle w:val="Heading6"/>
      </w:pPr>
      <w:bookmarkStart w:id="223" w:name="_Results_for_the"/>
      <w:bookmarkEnd w:id="223"/>
      <w:r w:rsidRPr="00302FBE">
        <w:t>Results for the primary efficacy outcome</w:t>
      </w:r>
    </w:p>
    <w:p w:rsidR="00302FBE" w:rsidRPr="00302FBE" w:rsidRDefault="00302FBE" w:rsidP="00302FBE">
      <w:pPr>
        <w:pStyle w:val="ListBullet"/>
      </w:pPr>
      <w:r w:rsidRPr="00302FBE">
        <w:t>SVR12 was achieved by 202 (94.0%) subjects in the SOF / LDV FDC 8 week group, 95% CI 89.9% to 96.7%, p &lt;</w:t>
      </w:r>
      <w:r w:rsidR="003C566F">
        <w:t xml:space="preserve"> </w:t>
      </w:r>
      <w:r w:rsidRPr="00302FBE">
        <w:t>0.001</w:t>
      </w:r>
    </w:p>
    <w:p w:rsidR="00302FBE" w:rsidRPr="00302FBE" w:rsidRDefault="00302FBE" w:rsidP="00302FBE">
      <w:pPr>
        <w:pStyle w:val="ListBullet"/>
      </w:pPr>
      <w:r w:rsidRPr="00302FBE">
        <w:t>SVR12 was achieved by 201 (93.1%) subjects in the SOF / LDV FDC + RBV 8 week group, 95% CI 88.8% to 96.1%, p &lt;</w:t>
      </w:r>
      <w:r w:rsidR="003C566F">
        <w:t xml:space="preserve"> </w:t>
      </w:r>
      <w:r w:rsidRPr="00302FBE">
        <w:t>0.001</w:t>
      </w:r>
    </w:p>
    <w:p w:rsidR="00302FBE" w:rsidRPr="00302FBE" w:rsidRDefault="00302FBE" w:rsidP="00302FBE">
      <w:pPr>
        <w:pStyle w:val="ListBullet"/>
      </w:pPr>
      <w:r w:rsidRPr="00302FBE">
        <w:t>SVR12 was achieved by 206 (95.4%) subjects in the SOF / LDV FDC 12 week group, 95% CI 91.7% to 97.8%, p &lt;</w:t>
      </w:r>
      <w:r w:rsidR="003C566F">
        <w:t xml:space="preserve"> </w:t>
      </w:r>
      <w:r w:rsidRPr="00302FBE">
        <w:t>0.001</w:t>
      </w:r>
    </w:p>
    <w:p w:rsidR="00302FBE" w:rsidRPr="00302FBE" w:rsidRDefault="00302FBE" w:rsidP="00302FBE">
      <w:r w:rsidRPr="00302FBE">
        <w:t>There was no statistically significant difference between the treatment groups in the primary efficacy outc</w:t>
      </w:r>
      <w:r w:rsidR="002D7B9D">
        <w:t>ome measure</w:t>
      </w:r>
      <w:r w:rsidR="003C566F">
        <w:t xml:space="preserve">. </w:t>
      </w:r>
      <w:r w:rsidRPr="00302FBE">
        <w:t>There was decreased efficacy for subjects with &lt;</w:t>
      </w:r>
      <w:r w:rsidR="00D5308D">
        <w:t xml:space="preserve"> </w:t>
      </w:r>
      <w:r w:rsidRPr="00302FBE">
        <w:t>80% adherence to SO</w:t>
      </w:r>
      <w:r w:rsidR="002D7B9D">
        <w:t>F / LDV FDC</w:t>
      </w:r>
      <w:r w:rsidR="003C566F">
        <w:t xml:space="preserve">. </w:t>
      </w:r>
      <w:r w:rsidRPr="00302FBE">
        <w:t>There was similar efficacy for GT1a-HCV and GT1b-HCV.</w:t>
      </w:r>
    </w:p>
    <w:p w:rsidR="00302FBE" w:rsidRPr="00302FBE" w:rsidRDefault="00302FBE" w:rsidP="00302FBE">
      <w:pPr>
        <w:pStyle w:val="Heading6"/>
      </w:pPr>
      <w:bookmarkStart w:id="224" w:name="_Results_for_other"/>
      <w:bookmarkEnd w:id="224"/>
      <w:r w:rsidRPr="00302FBE">
        <w:t>Results for other efficacy outcomes</w:t>
      </w:r>
    </w:p>
    <w:p w:rsidR="00302FBE" w:rsidRPr="00302FBE" w:rsidRDefault="00302FBE" w:rsidP="00302FBE">
      <w:pPr>
        <w:pStyle w:val="ListBullet"/>
      </w:pPr>
      <w:r w:rsidRPr="00302FBE">
        <w:t xml:space="preserve">There was a higher relapse rate in the 8 week groups compared with the 12 week: 11 (5.1%) subjects in the SOF / LDV FDC 8 week group, 9 (4.2%) in the SOF / LDV + RBV 8 week, and 3 (1.4%) </w:t>
      </w:r>
      <w:r w:rsidR="002D7B9D">
        <w:t>in the SOF / LDV 12 week group</w:t>
      </w:r>
      <w:r>
        <w:t xml:space="preserve">. </w:t>
      </w:r>
      <w:r w:rsidRPr="00302FBE">
        <w:t>Relapse was more likely if subjects were male and/or baseline HCV RNA was ≥</w:t>
      </w:r>
      <w:r w:rsidR="00D5308D">
        <w:t xml:space="preserve"> </w:t>
      </w:r>
      <w:r w:rsidRPr="00302FBE">
        <w:t>800,000 (IU/mL).</w:t>
      </w:r>
    </w:p>
    <w:p w:rsidR="00302FBE" w:rsidRPr="00302FBE" w:rsidRDefault="00302FBE" w:rsidP="00302FBE">
      <w:pPr>
        <w:pStyle w:val="ListBullet"/>
      </w:pPr>
      <w:r w:rsidRPr="00302FBE">
        <w:t>SVR4 rate was similar for the three treatment groups: number (rate [95% CI]) 207 (96.3 [92.8 to 98.4] %) subjects in the SOF / LDV FDC 8 week group, 205 (94.9 [91.1 to 97.4] %) in the SOF / LDV + RBV 8 week, and 208 (96.3 [92.8 to 98.4] %) in the SOF / LDV 12 week group.</w:t>
      </w:r>
    </w:p>
    <w:p w:rsidR="00302FBE" w:rsidRPr="00302FBE" w:rsidRDefault="00302FBE" w:rsidP="00302FBE">
      <w:pPr>
        <w:pStyle w:val="ListBullet"/>
      </w:pPr>
      <w:r w:rsidRPr="00302FBE">
        <w:t>The proportion of subjects with HCV RNA &lt;</w:t>
      </w:r>
      <w:r w:rsidR="00D5308D">
        <w:t xml:space="preserve"> </w:t>
      </w:r>
      <w:r w:rsidRPr="00302FBE">
        <w:t xml:space="preserve">LLOQ increased to week 8 on-treatment </w:t>
      </w:r>
      <w:r w:rsidR="002D7B9D">
        <w:t>for all three treatment groups</w:t>
      </w:r>
      <w:r w:rsidRPr="00302FBE">
        <w:t>.</w:t>
      </w:r>
    </w:p>
    <w:p w:rsidR="00302FBE" w:rsidRPr="00302FBE" w:rsidRDefault="00302FBE" w:rsidP="00302FBE">
      <w:pPr>
        <w:pStyle w:val="ListBullet"/>
      </w:pPr>
      <w:r w:rsidRPr="00302FBE">
        <w:t>HCV RNA concentration decreased rapidly in the first two weeks of treatment</w:t>
      </w:r>
      <w:r w:rsidR="002D7B9D">
        <w:t xml:space="preserve"> in all three treatment groups</w:t>
      </w:r>
      <w:r w:rsidRPr="00302FBE">
        <w:t>.</w:t>
      </w:r>
    </w:p>
    <w:p w:rsidR="00302FBE" w:rsidRPr="00302FBE" w:rsidRDefault="00302FBE" w:rsidP="00302FBE">
      <w:pPr>
        <w:pStyle w:val="ListBullet"/>
      </w:pPr>
      <w:r w:rsidRPr="00302FBE">
        <w:t xml:space="preserve">ALT normalisation at follow-up week 4 occurred for 115 (95.0%) subjects in the SOF / LDV FDC 8 week group, 122 (91.0%) in the SOF / LDV + RBV 8 week, and 134 (97.1%) </w:t>
      </w:r>
      <w:r w:rsidR="002D7B9D">
        <w:t>in the SOF / LDV 12 week group</w:t>
      </w:r>
      <w:r>
        <w:t>.</w:t>
      </w:r>
    </w:p>
    <w:p w:rsidR="00302FBE" w:rsidRPr="00302FBE" w:rsidRDefault="00302FBE" w:rsidP="00302FBE">
      <w:pPr>
        <w:pStyle w:val="ListBullet"/>
      </w:pPr>
      <w:r w:rsidRPr="00302FBE">
        <w:t>116 (17.9%) subjects were identified as having at least one baseline NS5A RAV by deep sequencing w</w:t>
      </w:r>
      <w:r w:rsidR="003C566F">
        <w:t xml:space="preserve">ith a 1% assay cut off. </w:t>
      </w:r>
      <w:r w:rsidRPr="00302FBE">
        <w:t>Of these, 104 (89.7%) subjects with base</w:t>
      </w:r>
      <w:r w:rsidR="003C566F">
        <w:t xml:space="preserve">line NS5A RAVs achieved SVR12. </w:t>
      </w:r>
      <w:r w:rsidRPr="00302FBE">
        <w:t>Of the 23 subjects that relapsed, ten had NS5A RAVs at baseline; of the 13 that did not, six had</w:t>
      </w:r>
      <w:r>
        <w:t xml:space="preserve"> emergent NS5A RAVs at relapse.</w:t>
      </w:r>
    </w:p>
    <w:p w:rsidR="00302FBE" w:rsidRPr="00302FBE" w:rsidRDefault="00302FBE" w:rsidP="00302FBE">
      <w:pPr>
        <w:pStyle w:val="ListBullet"/>
      </w:pPr>
      <w:r w:rsidRPr="00302FBE">
        <w:t>The addition of RBV to the treatment regimen resulted in an on-treatment decrease in SF-36 menta</w:t>
      </w:r>
      <w:r w:rsidR="002D7B9D">
        <w:t>l component score</w:t>
      </w:r>
      <w:r>
        <w:t xml:space="preserve">. </w:t>
      </w:r>
      <w:r w:rsidRPr="00302FBE">
        <w:t xml:space="preserve">This was also reflected in the FACIT F and </w:t>
      </w:r>
      <w:proofErr w:type="spellStart"/>
      <w:r w:rsidRPr="00302FBE">
        <w:t>WPAI:Hep</w:t>
      </w:r>
      <w:proofErr w:type="spellEnd"/>
      <w:r w:rsidRPr="00302FBE">
        <w:t xml:space="preserve"> C scores.</w:t>
      </w:r>
    </w:p>
    <w:p w:rsidR="00302FBE" w:rsidRPr="003142B6" w:rsidRDefault="00302FBE" w:rsidP="00302FBE">
      <w:pPr>
        <w:pStyle w:val="ListBullet"/>
      </w:pPr>
      <w:r w:rsidRPr="00302FBE">
        <w:t>The SVR24 data we</w:t>
      </w:r>
      <w:r w:rsidR="003142B6">
        <w:t>re not presented in the report.</w:t>
      </w:r>
    </w:p>
    <w:p w:rsidR="00302FBE" w:rsidRPr="003142B6" w:rsidRDefault="00302FBE" w:rsidP="003142B6">
      <w:pPr>
        <w:pStyle w:val="Heading5"/>
      </w:pPr>
      <w:bookmarkStart w:id="225" w:name="_Toc408164076"/>
      <w:r w:rsidRPr="003142B6">
        <w:t>Study GS-US-337-0109</w:t>
      </w:r>
      <w:bookmarkEnd w:id="225"/>
    </w:p>
    <w:p w:rsidR="00302FBE" w:rsidRPr="003142B6" w:rsidRDefault="00302FBE" w:rsidP="003142B6">
      <w:pPr>
        <w:pStyle w:val="Heading6"/>
      </w:pPr>
      <w:bookmarkStart w:id="226" w:name="_Study_design,_objectives,"/>
      <w:bookmarkEnd w:id="226"/>
      <w:r w:rsidRPr="003142B6">
        <w:t>Study design, objectives, locations and dates</w:t>
      </w:r>
    </w:p>
    <w:p w:rsidR="00302FBE" w:rsidRPr="003142B6" w:rsidRDefault="00302FBE" w:rsidP="003142B6">
      <w:r w:rsidRPr="003142B6">
        <w:t xml:space="preserve">Study GS-US-337-0109 </w:t>
      </w:r>
      <w:r w:rsidR="001C473D">
        <w:t>was a Phase III</w:t>
      </w:r>
      <w:r w:rsidRPr="003142B6">
        <w:t>, multicentre, randomised, open label study to investigate the efficacy and safety of SOF / LDV FDC ± RBV for 12 and 24 weeks in treatment experienced</w:t>
      </w:r>
      <w:r w:rsidR="002D7B9D">
        <w:t xml:space="preserve"> subjects with chronic GT1-HCV</w:t>
      </w:r>
      <w:r w:rsidR="003142B6">
        <w:t xml:space="preserve">. </w:t>
      </w:r>
      <w:r w:rsidRPr="003142B6">
        <w:t xml:space="preserve">The study was conducted at 64 centres in the US </w:t>
      </w:r>
      <w:r w:rsidR="003C566F">
        <w:t xml:space="preserve">from January to December 2013. </w:t>
      </w:r>
      <w:r w:rsidRPr="003142B6">
        <w:t>The data to week 12 were included in the report (which is an interim report).</w:t>
      </w:r>
    </w:p>
    <w:p w:rsidR="00302FBE" w:rsidRPr="003142B6" w:rsidRDefault="00302FBE" w:rsidP="003142B6">
      <w:pPr>
        <w:pStyle w:val="Heading6"/>
      </w:pPr>
      <w:r w:rsidRPr="003142B6">
        <w:t>Inclusion and exclusion criteria</w:t>
      </w:r>
    </w:p>
    <w:p w:rsidR="00302FBE" w:rsidRPr="003142B6" w:rsidRDefault="00302FBE" w:rsidP="003142B6">
      <w:r w:rsidRPr="003142B6">
        <w:t>The inclusion and exclusion criteria were the same as for St</w:t>
      </w:r>
      <w:r w:rsidR="00B14BC8">
        <w:t xml:space="preserve">udy GS-US-337-0102 </w:t>
      </w:r>
      <w:r w:rsidRPr="003142B6">
        <w:t>except for the following inclusion criteria:</w:t>
      </w:r>
    </w:p>
    <w:p w:rsidR="00302FBE" w:rsidRPr="003142B6" w:rsidRDefault="00302FBE" w:rsidP="003142B6">
      <w:pPr>
        <w:pStyle w:val="ListBullet"/>
      </w:pPr>
      <w:r w:rsidRPr="003142B6">
        <w:t xml:space="preserve">Had prior </w:t>
      </w:r>
      <w:proofErr w:type="spellStart"/>
      <w:r w:rsidRPr="003142B6">
        <w:t>virologic</w:t>
      </w:r>
      <w:proofErr w:type="spellEnd"/>
      <w:r w:rsidRPr="003142B6">
        <w:t xml:space="preserve"> failure after treatment with a Peg-IFN + RBV regimen, including those who had failed treatment with an NS</w:t>
      </w:r>
      <w:r w:rsidR="003C566F">
        <w:t xml:space="preserve">3/4A PI + Peg-IFN+RBV regimen. </w:t>
      </w:r>
      <w:r w:rsidRPr="003142B6">
        <w:t>Subjects must not have discontinued prior therapy</w:t>
      </w:r>
      <w:r w:rsidR="003C566F">
        <w:t xml:space="preserve"> due to an adverse event (AE). </w:t>
      </w:r>
      <w:proofErr w:type="spellStart"/>
      <w:r w:rsidRPr="003142B6">
        <w:t>Virologic</w:t>
      </w:r>
      <w:proofErr w:type="spellEnd"/>
      <w:r w:rsidRPr="003142B6">
        <w:t xml:space="preserve"> failure included:</w:t>
      </w:r>
    </w:p>
    <w:p w:rsidR="00302FBE" w:rsidRPr="003142B6" w:rsidRDefault="00302FBE" w:rsidP="003142B6">
      <w:pPr>
        <w:pStyle w:val="ListBullet2"/>
      </w:pPr>
      <w:r w:rsidRPr="003142B6">
        <w:t>Non-response: Subject did not achieve undetectable HCV RNA levels (HCV RNA &lt;</w:t>
      </w:r>
      <w:r w:rsidR="003C566F">
        <w:t xml:space="preserve"> </w:t>
      </w:r>
      <w:r w:rsidRPr="003142B6">
        <w:t>LLOQ) while on treatment.</w:t>
      </w:r>
    </w:p>
    <w:p w:rsidR="00302FBE" w:rsidRPr="003142B6" w:rsidRDefault="00302FBE" w:rsidP="003142B6">
      <w:pPr>
        <w:pStyle w:val="ListBullet2"/>
      </w:pPr>
      <w:r w:rsidRPr="003142B6">
        <w:t>Relapse/Breakthrough: Subject achieved undetectable HCV RNA levels (HCV RNA &lt;</w:t>
      </w:r>
      <w:r w:rsidR="00D5308D">
        <w:t xml:space="preserve"> </w:t>
      </w:r>
      <w:r w:rsidRPr="003142B6">
        <w:t>LLOQ) during treatment or within 4 weeks of the end of treatment, but did not achieve SVR.</w:t>
      </w:r>
    </w:p>
    <w:p w:rsidR="00302FBE" w:rsidRPr="003142B6" w:rsidRDefault="00302FBE" w:rsidP="003142B6">
      <w:pPr>
        <w:pStyle w:val="Heading6"/>
      </w:pPr>
      <w:r w:rsidRPr="003142B6">
        <w:t>Study treatments</w:t>
      </w:r>
    </w:p>
    <w:p w:rsidR="00302FBE" w:rsidRPr="003142B6" w:rsidRDefault="00302FBE" w:rsidP="003142B6">
      <w:pPr>
        <w:pStyle w:val="Numberbullet0"/>
        <w:numPr>
          <w:ilvl w:val="0"/>
          <w:numId w:val="11"/>
        </w:numPr>
      </w:pPr>
      <w:r w:rsidRPr="003142B6">
        <w:t>SOF 400 mg / LDV 90 mg FDC once daily for 24 weeks</w:t>
      </w:r>
    </w:p>
    <w:p w:rsidR="00302FBE" w:rsidRPr="003142B6" w:rsidRDefault="00302FBE" w:rsidP="003142B6">
      <w:pPr>
        <w:pStyle w:val="Numberbullet0"/>
        <w:numPr>
          <w:ilvl w:val="0"/>
          <w:numId w:val="11"/>
        </w:numPr>
      </w:pPr>
      <w:r w:rsidRPr="003142B6">
        <w:t>SOF 400 mg / LDV 90 mg FDC once daily plus RBV 1000 mg or 1200 mg divided twice daily for 24 weeks</w:t>
      </w:r>
    </w:p>
    <w:p w:rsidR="00302FBE" w:rsidRPr="003142B6" w:rsidRDefault="00302FBE" w:rsidP="003142B6">
      <w:pPr>
        <w:pStyle w:val="Numberbullet0"/>
        <w:numPr>
          <w:ilvl w:val="0"/>
          <w:numId w:val="11"/>
        </w:numPr>
      </w:pPr>
      <w:r w:rsidRPr="003142B6">
        <w:t>SOF 400 mg / LDV 90 mg FDC once daily for 12 weeks</w:t>
      </w:r>
    </w:p>
    <w:p w:rsidR="00302FBE" w:rsidRPr="003142B6" w:rsidRDefault="00302FBE" w:rsidP="003142B6">
      <w:pPr>
        <w:pStyle w:val="Numberbullet0"/>
        <w:numPr>
          <w:ilvl w:val="0"/>
          <w:numId w:val="11"/>
        </w:numPr>
      </w:pPr>
      <w:r w:rsidRPr="003142B6">
        <w:t>SOF 400 mg / LDV 90 mg FDC once daily plus RBV 1000 mg or 1200 mg divided twice daily for 12 weeks</w:t>
      </w:r>
    </w:p>
    <w:p w:rsidR="00302FBE" w:rsidRPr="003142B6" w:rsidRDefault="00302FBE" w:rsidP="003142B6">
      <w:pPr>
        <w:pStyle w:val="Heading6"/>
      </w:pPr>
      <w:r w:rsidRPr="003142B6">
        <w:t>Efficacy variables and outcomes</w:t>
      </w:r>
    </w:p>
    <w:p w:rsidR="00302FBE" w:rsidRPr="003142B6" w:rsidRDefault="00302FBE" w:rsidP="003142B6">
      <w:r w:rsidRPr="003142B6">
        <w:t xml:space="preserve">The primary efficacy </w:t>
      </w:r>
      <w:r w:rsidR="003C566F">
        <w:t xml:space="preserve">endpoint was SVR12 in the FAS. </w:t>
      </w:r>
      <w:r w:rsidRPr="003142B6">
        <w:t>The test of efficacy was that the response rate was greater than the historical response rate of 25%.</w:t>
      </w:r>
    </w:p>
    <w:p w:rsidR="00302FBE" w:rsidRPr="003142B6" w:rsidRDefault="00302FBE" w:rsidP="003142B6">
      <w:r w:rsidRPr="003142B6">
        <w:t>The secondary efficacy outcome measures and safety outcome measures were the same as for Study GS-U</w:t>
      </w:r>
      <w:r w:rsidR="002D7B9D">
        <w:t>S-0102</w:t>
      </w:r>
      <w:r w:rsidR="003142B6">
        <w:t>.</w:t>
      </w:r>
    </w:p>
    <w:p w:rsidR="00302FBE" w:rsidRPr="003142B6" w:rsidRDefault="00302FBE" w:rsidP="003142B6">
      <w:r w:rsidRPr="003142B6">
        <w:t>The schedule of study procedures (on-treatment and post-treatment) was the same as for Study GS-US-</w:t>
      </w:r>
      <w:r w:rsidR="002D7B9D">
        <w:t>337-0102</w:t>
      </w:r>
      <w:r w:rsidRPr="003142B6">
        <w:t>.</w:t>
      </w:r>
    </w:p>
    <w:p w:rsidR="00302FBE" w:rsidRPr="003142B6" w:rsidRDefault="00302FBE" w:rsidP="003142B6">
      <w:pPr>
        <w:pStyle w:val="Heading6"/>
      </w:pPr>
      <w:r w:rsidRPr="003142B6">
        <w:t>Randomisation and blinding methods</w:t>
      </w:r>
    </w:p>
    <w:p w:rsidR="00302FBE" w:rsidRPr="003142B6" w:rsidRDefault="00302FBE" w:rsidP="003142B6">
      <w:r w:rsidRPr="003142B6">
        <w:t>Randomization was by IWRS in a ratio of 1:1:1:1, stratified by HCV genotype (1a or 1b), the presence or absence of cirrhosis at screening, and response to prior HCV therapy (relapse/breakthrough</w:t>
      </w:r>
      <w:r w:rsidR="003C566F">
        <w:t xml:space="preserve"> or nonresponse) at screening. </w:t>
      </w:r>
      <w:r w:rsidRPr="003142B6">
        <w:t>Enrolment was managed so that approximately 20% of randomized subjects had compensated cirrhosis and approximately 50% of randomized subjects had failed prior treatment with a protease inhibitor (PI) + Peg-IFN + RBV regimen.</w:t>
      </w:r>
    </w:p>
    <w:p w:rsidR="00302FBE" w:rsidRPr="003142B6" w:rsidRDefault="00302FBE" w:rsidP="003142B6">
      <w:pPr>
        <w:pStyle w:val="Heading6"/>
      </w:pPr>
      <w:r w:rsidRPr="003142B6">
        <w:t>Analysis populations</w:t>
      </w:r>
    </w:p>
    <w:p w:rsidR="00302FBE" w:rsidRPr="003142B6" w:rsidDel="0081373E" w:rsidRDefault="00302FBE" w:rsidP="003142B6">
      <w:r w:rsidRPr="003142B6">
        <w:t>The FAS and safety analysis set included subjects who were randomi</w:t>
      </w:r>
      <w:r w:rsidR="002D7B9D">
        <w:t>s</w:t>
      </w:r>
      <w:r w:rsidRPr="003142B6">
        <w:t>ed and received at</w:t>
      </w:r>
      <w:r w:rsidR="003142B6">
        <w:t xml:space="preserve"> least one dose of study drug.</w:t>
      </w:r>
    </w:p>
    <w:p w:rsidR="00302FBE" w:rsidRPr="003142B6" w:rsidDel="0081373E" w:rsidRDefault="00302FBE" w:rsidP="003142B6">
      <w:pPr>
        <w:pStyle w:val="Heading6"/>
      </w:pPr>
      <w:r w:rsidRPr="003142B6" w:rsidDel="0081373E">
        <w:t>Sample size</w:t>
      </w:r>
    </w:p>
    <w:p w:rsidR="00302FBE" w:rsidRPr="003142B6" w:rsidRDefault="00302FBE" w:rsidP="003142B6">
      <w:r w:rsidRPr="003142B6">
        <w:t xml:space="preserve">A sample size of 100 subjects in each treatment group provided over 99% power to detect at least a 45% improvement in the SVR12 rate from the adjusted historical null rate of 25% using a 2-sided exact 1-sample binomial test at a significance level of 0.0125 based on a </w:t>
      </w:r>
      <w:proofErr w:type="spellStart"/>
      <w:r w:rsidRPr="003142B6">
        <w:t>Bonferroni</w:t>
      </w:r>
      <w:proofErr w:type="spellEnd"/>
      <w:r w:rsidRPr="003142B6">
        <w:t xml:space="preserve"> correction.</w:t>
      </w:r>
    </w:p>
    <w:p w:rsidR="00302FBE" w:rsidRPr="003142B6" w:rsidRDefault="00302FBE" w:rsidP="003142B6">
      <w:pPr>
        <w:pStyle w:val="Heading6"/>
      </w:pPr>
      <w:r w:rsidRPr="003142B6">
        <w:t>Statistical methods</w:t>
      </w:r>
    </w:p>
    <w:p w:rsidR="00302FBE" w:rsidRPr="003142B6" w:rsidRDefault="00302FBE" w:rsidP="00302FBE">
      <w:r w:rsidRPr="003142B6">
        <w:t xml:space="preserve">Hypothesis tests were performed using the 2-sided 95% exact confidence interval (CI) based on the </w:t>
      </w:r>
      <w:proofErr w:type="spellStart"/>
      <w:r w:rsidRPr="003142B6">
        <w:t>Clopper</w:t>
      </w:r>
      <w:proofErr w:type="spellEnd"/>
      <w:r w:rsidRPr="003142B6">
        <w:t>-Pearson method for the SVR12 rates in e</w:t>
      </w:r>
      <w:r w:rsidR="001C473D">
        <w:t xml:space="preserve">ach of the 4 treatment groups. </w:t>
      </w:r>
      <w:r w:rsidRPr="003142B6">
        <w:t>To adjust for multiplicity and strongly control the family-wise type I error rate at the 0.05 level, the Hochberg procedure was applied.</w:t>
      </w:r>
    </w:p>
    <w:p w:rsidR="00302FBE" w:rsidRPr="003142B6" w:rsidRDefault="00302FBE" w:rsidP="003142B6">
      <w:pPr>
        <w:pStyle w:val="Heading6"/>
      </w:pPr>
      <w:bookmarkStart w:id="227" w:name="_Participant_flow_2"/>
      <w:bookmarkEnd w:id="227"/>
      <w:r w:rsidRPr="003142B6">
        <w:t>Participant flow</w:t>
      </w:r>
    </w:p>
    <w:p w:rsidR="00302FBE" w:rsidRPr="003142B6" w:rsidRDefault="00302FBE" w:rsidP="003142B6">
      <w:r w:rsidRPr="003142B6">
        <w:t xml:space="preserve">There were 551 subjects screened and 441 randomized to treatment: 109 subjects to the SOF / LDV FDC 12 Week group, 111 subjects to the SOF / LDV FDC + RBV 12 Week, 110 subjects to the SOF / LDV FDC 24 Week, and 111 subjects to the SOF / LDV + RBV 24 Week. A total of 437 (99.3%) subjects completed the study, and no subjects discontinued because of </w:t>
      </w:r>
      <w:r w:rsidR="00F31AEE">
        <w:t>A</w:t>
      </w:r>
      <w:r w:rsidR="0042721A">
        <w:t>E.</w:t>
      </w:r>
    </w:p>
    <w:p w:rsidR="00302FBE" w:rsidRPr="003142B6" w:rsidRDefault="00302FBE" w:rsidP="003142B6">
      <w:pPr>
        <w:pStyle w:val="Heading6"/>
      </w:pPr>
      <w:r w:rsidRPr="003142B6">
        <w:t>Major protocol violations/deviations</w:t>
      </w:r>
    </w:p>
    <w:p w:rsidR="00302FBE" w:rsidRPr="003142B6" w:rsidRDefault="00302FBE" w:rsidP="003142B6">
      <w:r w:rsidRPr="003142B6">
        <w:t>There were 28 important protocol deviations in 27 subjects, the majority (19) being for violation of inclusion / exclusion criteria.</w:t>
      </w:r>
    </w:p>
    <w:p w:rsidR="00302FBE" w:rsidRPr="003142B6" w:rsidRDefault="00302FBE" w:rsidP="003142B6">
      <w:pPr>
        <w:pStyle w:val="Heading6"/>
      </w:pPr>
      <w:bookmarkStart w:id="228" w:name="_Baseline_data_2"/>
      <w:bookmarkEnd w:id="228"/>
      <w:r w:rsidRPr="003142B6">
        <w:t>Baseline data</w:t>
      </w:r>
    </w:p>
    <w:p w:rsidR="00302FBE" w:rsidRPr="003142B6" w:rsidRDefault="00302FBE" w:rsidP="003142B6">
      <w:r w:rsidRPr="003142B6">
        <w:t>There were 287 (65.2%) males, 153 (34.8%) females and th</w:t>
      </w:r>
      <w:r w:rsidR="0042721A">
        <w:t xml:space="preserve">e age range was 24 to 75 years. </w:t>
      </w:r>
      <w:r w:rsidRPr="003142B6">
        <w:t>The treatment groups were similar i</w:t>
      </w:r>
      <w:r w:rsidR="003142B6">
        <w:t xml:space="preserve">n demographic characteristics. </w:t>
      </w:r>
      <w:r w:rsidRPr="003142B6">
        <w:t>There were 347 (78.9%) subjects with GT1a-HC</w:t>
      </w:r>
      <w:r w:rsidR="0042721A">
        <w:t>V and 93 (21.1%) with GT1b-HCV</w:t>
      </w:r>
      <w:r w:rsidR="003142B6">
        <w:t xml:space="preserve">. </w:t>
      </w:r>
      <w:r w:rsidRPr="003142B6">
        <w:t>The treatment groups were similar in disease characteri</w:t>
      </w:r>
      <w:r w:rsidR="001C473D">
        <w:t xml:space="preserve">stics and prior HCV treatment. </w:t>
      </w:r>
      <w:r w:rsidRPr="003142B6">
        <w:t>There was ≥</w:t>
      </w:r>
      <w:r w:rsidR="00D5308D">
        <w:t xml:space="preserve"> </w:t>
      </w:r>
      <w:r w:rsidRPr="003142B6">
        <w:t>80% adherence to study treatment in 105 (96.3%) subjects in the SOF / LDV FDC 12 week group, 103 (92.8%) in the SOF / LDV FDC + RBV 12 week, 107 (98.2%) in the SOF / LDV FDC 24 week and 101 (91.0%) in the SOF / LDV FDC + RBV 24 week.</w:t>
      </w:r>
    </w:p>
    <w:p w:rsidR="00302FBE" w:rsidRPr="003142B6" w:rsidRDefault="00302FBE" w:rsidP="003142B6">
      <w:pPr>
        <w:pStyle w:val="Heading6"/>
      </w:pPr>
      <w:bookmarkStart w:id="229" w:name="_Results_for_the_1"/>
      <w:bookmarkEnd w:id="229"/>
      <w:r w:rsidRPr="003142B6">
        <w:t>Results for the primary efficacy outcome</w:t>
      </w:r>
    </w:p>
    <w:p w:rsidR="00302FBE" w:rsidRPr="003142B6" w:rsidRDefault="00302FBE" w:rsidP="003142B6">
      <w:pPr>
        <w:pStyle w:val="ListBullet"/>
      </w:pPr>
      <w:r w:rsidRPr="003142B6">
        <w:t>SVR12 was achieved by 102 (93.6%) subjects in the SOF / LDV FDC 12 week group, 95% CI 87.2% to 97.4%, p &lt;</w:t>
      </w:r>
      <w:r w:rsidR="00D5308D">
        <w:t xml:space="preserve"> </w:t>
      </w:r>
      <w:r w:rsidRPr="003142B6">
        <w:t>0.001 (compared to the historical 25%)</w:t>
      </w:r>
    </w:p>
    <w:p w:rsidR="00302FBE" w:rsidRPr="003142B6" w:rsidRDefault="00302FBE" w:rsidP="003142B6">
      <w:pPr>
        <w:pStyle w:val="ListBullet"/>
      </w:pPr>
      <w:r w:rsidRPr="003142B6">
        <w:t>SVR12 was achieved by 107 (96.4%) subjects in the SOF / LDV FDC + RBV 12 week group, 95% CI 91.0% to 99.0%, p &lt;</w:t>
      </w:r>
      <w:r w:rsidR="00D5308D">
        <w:t xml:space="preserve"> </w:t>
      </w:r>
      <w:r w:rsidRPr="003142B6">
        <w:t>0.001</w:t>
      </w:r>
    </w:p>
    <w:p w:rsidR="00302FBE" w:rsidRPr="003142B6" w:rsidRDefault="00302FBE" w:rsidP="003142B6">
      <w:pPr>
        <w:pStyle w:val="ListBullet"/>
      </w:pPr>
      <w:r w:rsidRPr="003142B6">
        <w:t>SVR12 was achieved by 108 (99.1%) subjects in the SOF / LDV FDC 24 week group, 95% CI 95.0% to 100.0%, p &lt;</w:t>
      </w:r>
      <w:r w:rsidR="00D5308D">
        <w:t xml:space="preserve"> </w:t>
      </w:r>
      <w:r w:rsidRPr="003142B6">
        <w:t>0.001</w:t>
      </w:r>
    </w:p>
    <w:p w:rsidR="00302FBE" w:rsidRPr="003142B6" w:rsidRDefault="00302FBE" w:rsidP="00302FBE">
      <w:pPr>
        <w:pStyle w:val="ListBullet"/>
      </w:pPr>
      <w:r w:rsidRPr="003142B6">
        <w:t xml:space="preserve">SVR12 was achieved by 110 (99.1%) subjects in the SOF / LDV FDC + RBV 24 week group, 95% CI 95.1% to </w:t>
      </w:r>
      <w:r w:rsidR="003142B6">
        <w:t>100.0%, p &lt;</w:t>
      </w:r>
      <w:r w:rsidR="00D5308D">
        <w:t xml:space="preserve"> </w:t>
      </w:r>
      <w:r w:rsidR="003142B6">
        <w:t>0.001</w:t>
      </w:r>
    </w:p>
    <w:p w:rsidR="00302FBE" w:rsidRPr="003142B6" w:rsidRDefault="00302FBE" w:rsidP="00302FBE">
      <w:r w:rsidRPr="003142B6">
        <w:t>There was no effect on response f</w:t>
      </w:r>
      <w:r w:rsidR="0042721A">
        <w:t>or demographic characteristics</w:t>
      </w:r>
      <w:r w:rsidR="003142B6">
        <w:t xml:space="preserve">. </w:t>
      </w:r>
      <w:r w:rsidRPr="003142B6">
        <w:t>SOF / LDV FDC was equally effective for GT1a-HCV and GT1b-HCV and baseline disease characteristics did not influence efficac</w:t>
      </w:r>
      <w:r w:rsidR="0042721A">
        <w:t>y</w:t>
      </w:r>
      <w:r w:rsidR="003142B6">
        <w:t xml:space="preserve">. </w:t>
      </w:r>
      <w:r w:rsidRPr="003142B6">
        <w:t>However, in the SOF / LDV FDC group, subjects with &lt;</w:t>
      </w:r>
      <w:r w:rsidR="00D5308D">
        <w:t xml:space="preserve"> </w:t>
      </w:r>
      <w:r w:rsidRPr="003142B6">
        <w:t>80% adherence to study treatment had reduced efficacy.</w:t>
      </w:r>
    </w:p>
    <w:p w:rsidR="00302FBE" w:rsidRPr="003142B6" w:rsidRDefault="00302FBE" w:rsidP="003142B6">
      <w:pPr>
        <w:pStyle w:val="Heading6"/>
      </w:pPr>
      <w:bookmarkStart w:id="230" w:name="_Results_for_other_1"/>
      <w:bookmarkEnd w:id="230"/>
      <w:r w:rsidRPr="003142B6">
        <w:t>Results for other efficacy outcomes</w:t>
      </w:r>
    </w:p>
    <w:p w:rsidR="00302FBE" w:rsidRPr="003142B6" w:rsidRDefault="00302FBE" w:rsidP="003142B6">
      <w:pPr>
        <w:pStyle w:val="ListBullet"/>
      </w:pPr>
      <w:r w:rsidRPr="003142B6">
        <w:t>Overall virological failure was reported in seven (6.4%) subjects in the SOF / LDV FDC 12 week group, four (3.6%) in the SOF / LDV FDC + RBV 12 week, none in the SOF / LDV FDC 24 week and one (0.9%) in t</w:t>
      </w:r>
      <w:r w:rsidR="0042721A">
        <w:t>he SOF / LDV FDC + RBV 24 week</w:t>
      </w:r>
      <w:r w:rsidR="003142B6">
        <w:t xml:space="preserve">. </w:t>
      </w:r>
      <w:r w:rsidRPr="003142B6">
        <w:t>Relapse was reported in seven (6.5%) subjects in the SOF / LDV FDC 12 week group, four (3.6%) in the SOF / LDV FDC + RBV 12 week, none in the SOF / LDV FDC 24 week and none in the S</w:t>
      </w:r>
      <w:r w:rsidR="001C473D">
        <w:t xml:space="preserve">OF / LDV FDC + RBV 24 week. </w:t>
      </w:r>
      <w:r w:rsidRPr="003142B6">
        <w:t>Relapse risk was increased in subjects with cirrhosis and / or baseline</w:t>
      </w:r>
      <w:r w:rsidR="0042721A">
        <w:t xml:space="preserve"> thrombocytopenia.</w:t>
      </w:r>
    </w:p>
    <w:p w:rsidR="00302FBE" w:rsidRPr="003142B6" w:rsidRDefault="00302FBE" w:rsidP="003142B6">
      <w:pPr>
        <w:pStyle w:val="ListBullet"/>
      </w:pPr>
      <w:r w:rsidRPr="003142B6">
        <w:t xml:space="preserve">SVR4 was reported in 103 (94.5%) subjects in the SOF / LDV FDC 12 week group, 107 (96.4%) in the SOF / LDV FDC + RBV 12 week, 109 (100%) in the SOF / LDV FDC 24 week and 110 (99.1%) in </w:t>
      </w:r>
      <w:r w:rsidR="0042721A">
        <w:t>the SOF / LDV FDC + RBV 24 week</w:t>
      </w:r>
      <w:r w:rsidR="003142B6">
        <w:t>.</w:t>
      </w:r>
    </w:p>
    <w:p w:rsidR="00302FBE" w:rsidRPr="003142B6" w:rsidRDefault="00302FBE" w:rsidP="003142B6">
      <w:pPr>
        <w:pStyle w:val="ListBullet"/>
      </w:pPr>
      <w:r w:rsidRPr="003142B6">
        <w:t>Although the SVR24 data were incomplete, for the available data there was 100% c</w:t>
      </w:r>
      <w:r w:rsidR="007E11CC">
        <w:t>oncordance for SVR12 and SVR24.</w:t>
      </w:r>
    </w:p>
    <w:p w:rsidR="00302FBE" w:rsidRPr="003142B6" w:rsidRDefault="00302FBE" w:rsidP="003142B6">
      <w:pPr>
        <w:pStyle w:val="ListBullet"/>
      </w:pPr>
      <w:r w:rsidRPr="003142B6">
        <w:t>The proportion of subjects with HCV RNA &lt;</w:t>
      </w:r>
      <w:r w:rsidR="00D5308D">
        <w:t xml:space="preserve"> </w:t>
      </w:r>
      <w:r w:rsidRPr="003142B6">
        <w:t xml:space="preserve">LLOQ increased to week 8 on-treatment </w:t>
      </w:r>
      <w:r w:rsidR="007E11CC">
        <w:t>for all three treatment groups</w:t>
      </w:r>
      <w:r w:rsidRPr="003142B6">
        <w:t>.</w:t>
      </w:r>
    </w:p>
    <w:p w:rsidR="00302FBE" w:rsidRPr="003142B6" w:rsidRDefault="00302FBE" w:rsidP="003142B6">
      <w:pPr>
        <w:pStyle w:val="ListBullet"/>
      </w:pPr>
      <w:r w:rsidRPr="003142B6">
        <w:t>HCV RNA concentration decreased rapidly in the first two weeks of treatment in all three trea</w:t>
      </w:r>
      <w:r w:rsidR="007E11CC">
        <w:t>tment groups.</w:t>
      </w:r>
    </w:p>
    <w:p w:rsidR="00302FBE" w:rsidRPr="003142B6" w:rsidRDefault="00302FBE" w:rsidP="003142B6">
      <w:pPr>
        <w:pStyle w:val="ListBullet"/>
      </w:pPr>
      <w:r w:rsidRPr="003142B6">
        <w:t>ALT normalisation (in those subjects with elevated ALT at baseline) occurred in 61 (89.7%) subjects in the SOF / LDV FDC 12 week group, 68 (88.3%) in the SOF / LDV FDC + RBV 12 week, 67 (93.1%) in the SOF / LDV FDC 24 week and 101 (91.7%) in t</w:t>
      </w:r>
      <w:r w:rsidR="00612421">
        <w:t>he SOF / LDV FDC + RBV 24 week.</w:t>
      </w:r>
    </w:p>
    <w:p w:rsidR="00302FBE" w:rsidRPr="003142B6" w:rsidRDefault="00302FBE" w:rsidP="003142B6">
      <w:pPr>
        <w:pStyle w:val="ListBullet"/>
      </w:pPr>
      <w:r w:rsidRPr="003142B6">
        <w:t>55 of 62 (88.7%) subjects with baseline NS5A RAVs achieved SVR12 following 12 or 24 weeks of treat</w:t>
      </w:r>
      <w:r w:rsidR="001C473D">
        <w:t xml:space="preserve">ment with SOF / LDV FDC ± RBV. </w:t>
      </w:r>
      <w:r w:rsidRPr="003142B6">
        <w:t>In the SOF / LDV FDC 12 Week group, 13 of 17 (76.5%) subjects with baseline NS5A RAVs achieved SVR12 (four relapsed), and 15 of 17 (88.2%) subjects in the SOF / LDV FDC + RBV 12 Week group achieved SVR12 (two relapsed).</w:t>
      </w:r>
    </w:p>
    <w:p w:rsidR="00302FBE" w:rsidRPr="003142B6" w:rsidRDefault="00302FBE" w:rsidP="003142B6">
      <w:pPr>
        <w:pStyle w:val="ListBullet"/>
      </w:pPr>
      <w:r w:rsidRPr="003142B6">
        <w:t>Twelve subjects failed to achieve SVR12, with 11 relapses and one on-treatment failure associated w</w:t>
      </w:r>
      <w:r w:rsidR="001C473D">
        <w:t xml:space="preserve">ith study drug non-compliance. </w:t>
      </w:r>
      <w:r w:rsidRPr="003142B6">
        <w:t>Of the 12 subjects, 5 of 11 had no baseline RAVs, and the other 7 su</w:t>
      </w:r>
      <w:r w:rsidR="001C473D">
        <w:t xml:space="preserve">bjects had baseline NS5A RAVs. </w:t>
      </w:r>
      <w:r w:rsidRPr="003142B6">
        <w:t xml:space="preserve">All 12 subjects had detectable NS5A RAVs at </w:t>
      </w:r>
      <w:proofErr w:type="spellStart"/>
      <w:r w:rsidRPr="003142B6">
        <w:t>virologic</w:t>
      </w:r>
      <w:proofErr w:type="spellEnd"/>
      <w:r w:rsidRPr="003142B6">
        <w:t xml:space="preserve"> failure, however </w:t>
      </w:r>
      <w:r w:rsidR="001C473D">
        <w:t xml:space="preserve">no NS5B NI RAVs were detected. </w:t>
      </w:r>
      <w:r w:rsidRPr="003142B6">
        <w:t>Phenotypic analysis showed a reduced susceptibility to LDV, but no change in susceptibility to SOF or RBV.</w:t>
      </w:r>
    </w:p>
    <w:p w:rsidR="00302FBE" w:rsidRDefault="00302FBE" w:rsidP="003142B6">
      <w:pPr>
        <w:pStyle w:val="ListBullet"/>
      </w:pPr>
      <w:r w:rsidRPr="003142B6">
        <w:t>The addition of RBV to the treatment regimen resulted in an on-treatment decrease in SF-36 mental component score for both 12 we</w:t>
      </w:r>
      <w:r w:rsidR="0052594F">
        <w:t xml:space="preserve">ek and 24 week treatment groups. </w:t>
      </w:r>
      <w:r w:rsidRPr="003142B6">
        <w:t xml:space="preserve">This was also reflected in the </w:t>
      </w:r>
      <w:r w:rsidR="001C473D">
        <w:t xml:space="preserve">FACIT-F score. </w:t>
      </w:r>
      <w:r w:rsidRPr="003142B6">
        <w:t xml:space="preserve">All the scores (including CLDQ-HCV and </w:t>
      </w:r>
      <w:proofErr w:type="spellStart"/>
      <w:r w:rsidRPr="003142B6">
        <w:t>WPAI:Hep</w:t>
      </w:r>
      <w:proofErr w:type="spellEnd"/>
      <w:r w:rsidRPr="003142B6">
        <w:t xml:space="preserve"> C) showed improvement during the treatment period.</w:t>
      </w:r>
    </w:p>
    <w:p w:rsidR="003142B6" w:rsidRPr="009E1632" w:rsidRDefault="003142B6" w:rsidP="009E1632">
      <w:pPr>
        <w:pStyle w:val="Heading4"/>
      </w:pPr>
      <w:bookmarkStart w:id="231" w:name="_Ref271037188"/>
      <w:bookmarkStart w:id="232" w:name="_Ref271037210"/>
      <w:bookmarkStart w:id="233" w:name="_Toc272414655"/>
      <w:bookmarkStart w:id="234" w:name="_Toc290846277"/>
      <w:bookmarkStart w:id="235" w:name="_Toc408164077"/>
      <w:bookmarkStart w:id="236" w:name="_Toc241374311"/>
      <w:bookmarkStart w:id="237" w:name="_Ref243294291"/>
      <w:r w:rsidRPr="009E1632">
        <w:t>Other efficacy studies</w:t>
      </w:r>
      <w:bookmarkEnd w:id="231"/>
      <w:bookmarkEnd w:id="232"/>
      <w:bookmarkEnd w:id="233"/>
      <w:bookmarkEnd w:id="234"/>
      <w:bookmarkEnd w:id="235"/>
    </w:p>
    <w:p w:rsidR="003142B6" w:rsidRPr="009E1632" w:rsidRDefault="003142B6" w:rsidP="009E1632">
      <w:pPr>
        <w:pStyle w:val="Heading5"/>
      </w:pPr>
      <w:bookmarkStart w:id="238" w:name="_Study_@"/>
      <w:bookmarkStart w:id="239" w:name="_Study_GS-US-337-0118"/>
      <w:bookmarkStart w:id="240" w:name="_Toc408164078"/>
      <w:bookmarkStart w:id="241" w:name="_Toc290846278"/>
      <w:bookmarkEnd w:id="236"/>
      <w:bookmarkEnd w:id="237"/>
      <w:bookmarkEnd w:id="238"/>
      <w:bookmarkEnd w:id="239"/>
      <w:r w:rsidRPr="009E1632">
        <w:t>Study GS-US-337-0118</w:t>
      </w:r>
      <w:bookmarkEnd w:id="240"/>
      <w:bookmarkEnd w:id="241"/>
    </w:p>
    <w:p w:rsidR="003142B6" w:rsidRPr="009E1632" w:rsidRDefault="00D30A19" w:rsidP="009E1632">
      <w:r>
        <w:t xml:space="preserve">Study GS-US-337-0118 </w:t>
      </w:r>
      <w:r w:rsidR="001C473D">
        <w:t>was a Phase II</w:t>
      </w:r>
      <w:r w:rsidR="003142B6" w:rsidRPr="009E1632">
        <w:t>, randomized, open label study of SOF / LDV FDC ± RBV i</w:t>
      </w:r>
      <w:r w:rsidR="0052594F">
        <w:t>n subjects with chronic GT1-HCV</w:t>
      </w:r>
      <w:r w:rsidR="009E1632">
        <w:t xml:space="preserve">. </w:t>
      </w:r>
      <w:r w:rsidR="003142B6" w:rsidRPr="009E1632">
        <w:t>The study was conducted at one site in the US f</w:t>
      </w:r>
      <w:r w:rsidR="001C473D">
        <w:t xml:space="preserve">rom October 2012 to July 2013. </w:t>
      </w:r>
      <w:r w:rsidR="003142B6" w:rsidRPr="009E1632">
        <w:t>The study included males and non-pregnant females ≥</w:t>
      </w:r>
      <w:r w:rsidR="00D5308D">
        <w:t xml:space="preserve"> </w:t>
      </w:r>
      <w:r w:rsidR="003142B6" w:rsidRPr="009E1632">
        <w:t>18 years of age with chronic genotype 1 HCV infection and screening HCV RNA levels ≥</w:t>
      </w:r>
      <w:r w:rsidR="00D5308D">
        <w:t xml:space="preserve"> </w:t>
      </w:r>
      <w:r w:rsidR="003142B6" w:rsidRPr="009E1632">
        <w:t xml:space="preserve">104 IU/mL; those in Cohort 1 had no prior exposure to any interferon, RBV, or other approved or experimental HCV therapy and had documentation of absence of cirrhosis; those in Cohort 2 had previously experienced </w:t>
      </w:r>
      <w:proofErr w:type="spellStart"/>
      <w:r w:rsidR="003142B6" w:rsidRPr="009E1632">
        <w:t>virologic</w:t>
      </w:r>
      <w:proofErr w:type="spellEnd"/>
      <w:r w:rsidR="003142B6" w:rsidRPr="009E1632">
        <w:t xml:space="preserve"> failure with an approved or investigational PI + </w:t>
      </w:r>
      <w:proofErr w:type="spellStart"/>
      <w:r w:rsidR="003142B6" w:rsidRPr="009E1632">
        <w:t>pegylated</w:t>
      </w:r>
      <w:proofErr w:type="spellEnd"/>
      <w:r w:rsidR="003142B6" w:rsidRPr="009E1632">
        <w:t xml:space="preserve"> interferon (PEG) + RBV regimen and had documentation of the presence or absence of cirrhosis; all had a BMI ≥</w:t>
      </w:r>
      <w:r w:rsidR="00D5308D">
        <w:t xml:space="preserve"> </w:t>
      </w:r>
      <w:r w:rsidR="003142B6" w:rsidRPr="009E1632">
        <w:t>18 kg/m2</w:t>
      </w:r>
      <w:r w:rsidR="009E1632">
        <w:t xml:space="preserve">. </w:t>
      </w:r>
      <w:r w:rsidR="003142B6" w:rsidRPr="009E1632">
        <w:t>The study treatments were:</w:t>
      </w:r>
    </w:p>
    <w:p w:rsidR="003142B6" w:rsidRPr="009E1632" w:rsidRDefault="003142B6" w:rsidP="009E1632">
      <w:pPr>
        <w:pStyle w:val="ListBullet"/>
      </w:pPr>
      <w:r w:rsidRPr="009E1632">
        <w:t xml:space="preserve">Cohort 1: </w:t>
      </w:r>
      <w:r w:rsidR="009E1632">
        <w:t>non-cirrhotic, treatment naïve:</w:t>
      </w:r>
    </w:p>
    <w:p w:rsidR="003142B6" w:rsidRPr="009E1632" w:rsidRDefault="003142B6" w:rsidP="009E1632">
      <w:pPr>
        <w:pStyle w:val="ListBullet2"/>
      </w:pPr>
      <w:r w:rsidRPr="009E1632">
        <w:t>Group 1: SOF LDV FDC once daily for 8 weeks</w:t>
      </w:r>
    </w:p>
    <w:p w:rsidR="003142B6" w:rsidRPr="009E1632" w:rsidRDefault="003142B6" w:rsidP="009E1632">
      <w:pPr>
        <w:pStyle w:val="ListBullet2"/>
      </w:pPr>
      <w:r w:rsidRPr="009E1632">
        <w:t>Group 2: SOF LDV FDC + RBV 1000 mg or 1200 mg as a divided dose twice daily, once daily for 8 weeks</w:t>
      </w:r>
    </w:p>
    <w:p w:rsidR="003142B6" w:rsidRPr="009E1632" w:rsidRDefault="003142B6" w:rsidP="009E1632">
      <w:pPr>
        <w:pStyle w:val="ListBullet2"/>
      </w:pPr>
      <w:r w:rsidRPr="009E1632">
        <w:t>Group 3: SOF / LDV FDC once daily for 12 weeks</w:t>
      </w:r>
    </w:p>
    <w:p w:rsidR="003142B6" w:rsidRPr="005A2944" w:rsidRDefault="003142B6" w:rsidP="00D30A19">
      <w:pPr>
        <w:pStyle w:val="ListBullet"/>
      </w:pPr>
      <w:r w:rsidRPr="005A2944">
        <w:t>Cohort 2: cirrhotic and non-cirrhotic treatment experienced:</w:t>
      </w:r>
    </w:p>
    <w:p w:rsidR="003142B6" w:rsidRPr="009E1632" w:rsidRDefault="003142B6" w:rsidP="009E1632">
      <w:pPr>
        <w:pStyle w:val="ListBullet2"/>
      </w:pPr>
      <w:r w:rsidRPr="009E1632">
        <w:t>Group 4: SOF / LDV FDC once daily for 12 weeks</w:t>
      </w:r>
    </w:p>
    <w:p w:rsidR="003142B6" w:rsidRPr="009E1632" w:rsidRDefault="003142B6" w:rsidP="009E1632">
      <w:pPr>
        <w:pStyle w:val="ListBullet2"/>
      </w:pPr>
      <w:r w:rsidRPr="009E1632">
        <w:t>Group 5: SOF LDV FDC + RBV 1000 mg or 1200 mg as a divided dose twice daily, once daily for 12 week</w:t>
      </w:r>
    </w:p>
    <w:p w:rsidR="003142B6" w:rsidRPr="009E1632" w:rsidRDefault="003142B6" w:rsidP="009E1632">
      <w:r w:rsidRPr="009E1632">
        <w:t>The primary effic</w:t>
      </w:r>
      <w:r w:rsidR="001C473D">
        <w:t xml:space="preserve">acy outcome measure was SVR12. </w:t>
      </w:r>
      <w:r w:rsidRPr="009E1632">
        <w:t xml:space="preserve">Secondary efficacy outcome measures were: on-treatment </w:t>
      </w:r>
      <w:proofErr w:type="spellStart"/>
      <w:r w:rsidRPr="009E1632">
        <w:t>virologic</w:t>
      </w:r>
      <w:proofErr w:type="spellEnd"/>
      <w:r w:rsidRPr="009E1632">
        <w:t xml:space="preserve"> failure; SVR2, SVR4; SVR8, SVR24, RAVs; and the proportion of su</w:t>
      </w:r>
      <w:r w:rsidR="001C473D">
        <w:t xml:space="preserve">bjects with ALT normalization. </w:t>
      </w:r>
      <w:r w:rsidRPr="009E1632">
        <w:t>The safety outcome measures were: AEs, laboratory tests, body weight, vital signs, and ECGs.</w:t>
      </w:r>
    </w:p>
    <w:p w:rsidR="003142B6" w:rsidRPr="009E1632" w:rsidRDefault="003142B6" w:rsidP="009E1632">
      <w:r w:rsidRPr="009E1632">
        <w:t>There were 100 subjects randomized to treatment: 20 to Group 1, 21 to Group 2, 19 to Group 3, 19</w:t>
      </w:r>
      <w:r w:rsidR="001C473D">
        <w:t xml:space="preserve"> to Group 4 and 21 to Group 5. </w:t>
      </w:r>
      <w:r w:rsidRPr="009E1632">
        <w:t xml:space="preserve">One subject </w:t>
      </w:r>
      <w:r w:rsidR="001C473D">
        <w:t xml:space="preserve">discontinued and 99 completed. </w:t>
      </w:r>
      <w:r w:rsidRPr="009E1632">
        <w:t>There were 66 (66.0%) males, 34 (34.0%) females and th</w:t>
      </w:r>
      <w:r w:rsidR="001C473D">
        <w:t>e age range was 21 to 73 years.</w:t>
      </w:r>
      <w:r w:rsidRPr="009E1632">
        <w:t xml:space="preserve"> There were 87 (87.0%) subjects with GT1a-HCV, 13 (13.0%) with GT1b-HCV</w:t>
      </w:r>
      <w:r w:rsidR="009E1632">
        <w:t xml:space="preserve"> and 22 (22.0%) with cirrhosis.</w:t>
      </w:r>
    </w:p>
    <w:p w:rsidR="003142B6" w:rsidRPr="009E1632" w:rsidRDefault="003142B6" w:rsidP="009E1632">
      <w:r w:rsidRPr="009E1632">
        <w:t>The results for SVR 12, n (% [95% CI]), were 19 (95.0% [75.1% to 99.9%]) for Group 1, 21 (100% [83.9% to 100.0%]) for Group 2, 18 (94.7% [74.0% to 99.9%]) for Group 3, 18 (94.7% [74.0% to 99.9%]) for Group 4 and 21 (100.0% [</w:t>
      </w:r>
      <w:r w:rsidR="001C473D">
        <w:t xml:space="preserve">83.9% to 100.0%]) for Group 5. </w:t>
      </w:r>
      <w:r w:rsidRPr="009E1632">
        <w:t>Relapse was reported for one (5.0%) subjects in Gro</w:t>
      </w:r>
      <w:r w:rsidR="001C473D">
        <w:t>up 1 and one (5.3%) in Group 4.</w:t>
      </w:r>
      <w:r w:rsidRPr="009E1632">
        <w:t xml:space="preserve"> The results FOR Groups 2 to 5 for SVR2, SVR4, and SVR8 were in concordance with the results for SVR12, whilst the results for Group 1 indicate one subject initially responded but did </w:t>
      </w:r>
      <w:r w:rsidR="00D30A19">
        <w:t>not maintain response</w:t>
      </w:r>
      <w:r w:rsidRPr="009E1632">
        <w:t>. There was co</w:t>
      </w:r>
      <w:r w:rsidR="001C473D">
        <w:t xml:space="preserve">ncordance for SVR12 and SVR24. </w:t>
      </w:r>
      <w:r w:rsidRPr="009E1632">
        <w:t>There were insufficient subjects</w:t>
      </w:r>
      <w:r w:rsidR="001C473D">
        <w:t xml:space="preserve"> to perform subgroup analyses. </w:t>
      </w:r>
      <w:r w:rsidRPr="009E1632">
        <w:t xml:space="preserve">For all five treatment groups HCV RNA decreased rapidly (within 1 week of </w:t>
      </w:r>
      <w:r w:rsidR="00D30A19">
        <w:t>treatment)</w:t>
      </w:r>
      <w:r w:rsidR="009E1632">
        <w:t xml:space="preserve">. </w:t>
      </w:r>
      <w:r w:rsidRPr="009E1632">
        <w:t>Nine subjects had baseline NS5A RAVs</w:t>
      </w:r>
      <w:r w:rsidR="001C473D">
        <w:t xml:space="preserve"> of whom seven achieved SVR12. </w:t>
      </w:r>
      <w:r w:rsidRPr="009E1632">
        <w:t>T</w:t>
      </w:r>
      <w:r w:rsidR="001C473D">
        <w:t xml:space="preserve">wo of these subjects relapsed. </w:t>
      </w:r>
      <w:r w:rsidRPr="009E1632">
        <w:t xml:space="preserve">ALT normalization (for those subjects with elevated ALT at baseline) occurred at on-treatment week 1 for 9 (81.8%) affected subjects in Group 1, 11 (84.6%) in Group 2, 6 (85.7%) in Group 3, 7 (50.0%) in Group 4 and 14 (73.7%) in </w:t>
      </w:r>
      <w:r w:rsidR="009E1632">
        <w:t>Group 5.</w:t>
      </w:r>
    </w:p>
    <w:p w:rsidR="003142B6" w:rsidRPr="009E1632" w:rsidRDefault="003142B6" w:rsidP="009E1632">
      <w:pPr>
        <w:pStyle w:val="Heading5"/>
      </w:pPr>
      <w:bookmarkStart w:id="242" w:name="_Study_GS-US-337-0122"/>
      <w:bookmarkStart w:id="243" w:name="_Toc290846279"/>
      <w:bookmarkStart w:id="244" w:name="_Toc408164079"/>
      <w:bookmarkEnd w:id="242"/>
      <w:r w:rsidRPr="009E1632">
        <w:t>Study GS-US-337-0122</w:t>
      </w:r>
      <w:bookmarkEnd w:id="243"/>
      <w:bookmarkEnd w:id="244"/>
    </w:p>
    <w:p w:rsidR="003142B6" w:rsidRPr="009E1632" w:rsidRDefault="00D30A19" w:rsidP="00886813">
      <w:r>
        <w:t xml:space="preserve">Study GS-US-337-0122 </w:t>
      </w:r>
      <w:r w:rsidR="001C473D">
        <w:t>was a Phase II</w:t>
      </w:r>
      <w:r w:rsidR="003142B6" w:rsidRPr="009E1632">
        <w:t>, multicentre, open-label study to evaluate safety and efficacy of SOF containing regimens administered for up to 12 weeks in subjects with</w:t>
      </w:r>
      <w:r>
        <w:t xml:space="preserve"> chronic GT3-HCV HCV infection</w:t>
      </w:r>
      <w:r w:rsidR="009E1632">
        <w:t xml:space="preserve">. </w:t>
      </w:r>
      <w:r w:rsidR="003142B6" w:rsidRPr="009E1632">
        <w:t>The data were presented as an interim report for the two cohorts</w:t>
      </w:r>
      <w:r w:rsidR="001C473D">
        <w:t xml:space="preserve"> treated with SOF / LDV ± RBV. </w:t>
      </w:r>
      <w:r w:rsidR="003142B6" w:rsidRPr="009E1632">
        <w:t>The study was conducted at two centres in New Zealan</w:t>
      </w:r>
      <w:r w:rsidR="001C473D">
        <w:t xml:space="preserve">d from April to November 2013. </w:t>
      </w:r>
      <w:r w:rsidR="003142B6" w:rsidRPr="009E1632">
        <w:t>The study included males and non-pregnant, non-lactating females; ≥</w:t>
      </w:r>
      <w:r w:rsidR="00D5308D">
        <w:t xml:space="preserve"> </w:t>
      </w:r>
      <w:r w:rsidR="003142B6" w:rsidRPr="009E1632">
        <w:t>18 years with GT3-HCV infection, with or without cirrhosis.</w:t>
      </w:r>
      <w:r w:rsidR="001C473D">
        <w:t xml:space="preserve"> </w:t>
      </w:r>
      <w:r w:rsidR="003142B6" w:rsidRPr="009E1632">
        <w:t>Subjects had HCV RNA ≥</w:t>
      </w:r>
      <w:r w:rsidR="00D5308D">
        <w:t xml:space="preserve"> </w:t>
      </w:r>
      <w:r w:rsidR="003142B6" w:rsidRPr="009E1632">
        <w:t>104 IU/mL a</w:t>
      </w:r>
      <w:r w:rsidR="001C473D">
        <w:t>nd BMI ≥</w:t>
      </w:r>
      <w:r w:rsidR="00D5308D">
        <w:t xml:space="preserve"> </w:t>
      </w:r>
      <w:r w:rsidR="001C473D">
        <w:t xml:space="preserve">18 kg/m2 at screening. </w:t>
      </w:r>
      <w:r w:rsidR="003142B6" w:rsidRPr="009E1632">
        <w:t>The study treatments were:</w:t>
      </w:r>
    </w:p>
    <w:p w:rsidR="003142B6" w:rsidRPr="009E1632" w:rsidRDefault="003142B6" w:rsidP="009E1632">
      <w:pPr>
        <w:pStyle w:val="Numberbullet0"/>
        <w:numPr>
          <w:ilvl w:val="0"/>
          <w:numId w:val="16"/>
        </w:numPr>
      </w:pPr>
      <w:r w:rsidRPr="009E1632">
        <w:t>SOF / LDV FDC once daily</w:t>
      </w:r>
    </w:p>
    <w:p w:rsidR="003142B6" w:rsidRPr="009E1632" w:rsidRDefault="003142B6" w:rsidP="009E1632">
      <w:pPr>
        <w:pStyle w:val="Numberbullet0"/>
        <w:numPr>
          <w:ilvl w:val="0"/>
          <w:numId w:val="16"/>
        </w:numPr>
      </w:pPr>
      <w:r w:rsidRPr="009E1632">
        <w:t>SPF/LDV FDC once daily + RBV 1000 mg for subjects weighing &lt;</w:t>
      </w:r>
      <w:r w:rsidR="00D5308D">
        <w:t xml:space="preserve"> </w:t>
      </w:r>
      <w:r w:rsidRPr="009E1632">
        <w:t>75 kg, 1200 mg for subjects weighing ≥</w:t>
      </w:r>
      <w:r w:rsidR="00D5308D">
        <w:t xml:space="preserve"> </w:t>
      </w:r>
      <w:r w:rsidRPr="009E1632">
        <w:t>75 kg, as a split dose twice daily</w:t>
      </w:r>
      <w:r w:rsidR="009E1632" w:rsidRPr="009E1632">
        <w:t>.</w:t>
      </w:r>
    </w:p>
    <w:p w:rsidR="003142B6" w:rsidRPr="009E1632" w:rsidRDefault="003142B6" w:rsidP="009E1632">
      <w:r w:rsidRPr="009E1632">
        <w:t>Tre</w:t>
      </w:r>
      <w:r w:rsidR="001C473D">
        <w:t xml:space="preserve">atment duration was 12 weeks. </w:t>
      </w:r>
      <w:r w:rsidRPr="009E1632">
        <w:t xml:space="preserve">The efficacy outcome measure </w:t>
      </w:r>
      <w:r w:rsidR="001C473D">
        <w:t xml:space="preserve">was HCV RNA reported as SVR12. </w:t>
      </w:r>
      <w:r w:rsidRPr="009E1632">
        <w:t xml:space="preserve">The study included 51 subjects: 25 in the SOF / LDV FDC group and </w:t>
      </w:r>
      <w:r w:rsidR="001C473D">
        <w:t xml:space="preserve">26 in the SOF / LDV FDC + RBV. </w:t>
      </w:r>
      <w:r w:rsidRPr="009E1632">
        <w:t>There were 27 (52.9%) females, 24 (47.1%) males, and the age range</w:t>
      </w:r>
      <w:r w:rsidR="001C473D">
        <w:t xml:space="preserve"> was 22 to 64 years. </w:t>
      </w:r>
      <w:r w:rsidRPr="009E1632">
        <w:t>SVR12 was achieved by 16 (64.0% [95% CI: 42.5% to 82.0%]) in the SOF / LDV FDC group and 26 (100.0% [95% CI: 86.8% to 100.0%</w:t>
      </w:r>
      <w:r w:rsidR="001C473D">
        <w:t xml:space="preserve">]) in the SOF / LDV FDC group. </w:t>
      </w:r>
      <w:r w:rsidRPr="009E1632">
        <w:t>Of the 9 subjects (36.0%) who did not achieve SVR12, 8 relapsed (5 at post-treatment Week 2, 1 at post-treatment Week 4, 1 at post-treatment Week 8, and 1 at post-treatment Week 12)</w:t>
      </w:r>
      <w:r w:rsidR="009E1632">
        <w:t>.</w:t>
      </w:r>
    </w:p>
    <w:p w:rsidR="003142B6" w:rsidRPr="009E1632" w:rsidRDefault="003142B6" w:rsidP="009E1632">
      <w:pPr>
        <w:pStyle w:val="Heading5"/>
      </w:pPr>
      <w:bookmarkStart w:id="245" w:name="_Study_@_1"/>
      <w:bookmarkStart w:id="246" w:name="_Toc408164080"/>
      <w:bookmarkEnd w:id="245"/>
      <w:r w:rsidRPr="009E1632">
        <w:t>Study P7977-0523</w:t>
      </w:r>
      <w:bookmarkEnd w:id="246"/>
    </w:p>
    <w:p w:rsidR="003142B6" w:rsidRPr="009E1632" w:rsidRDefault="00B14BC8" w:rsidP="009E1632">
      <w:r>
        <w:t xml:space="preserve">Study P7977-0523 </w:t>
      </w:r>
      <w:r w:rsidR="001C473D">
        <w:t xml:space="preserve">was a Phase </w:t>
      </w:r>
      <w:proofErr w:type="spellStart"/>
      <w:r w:rsidR="001C473D">
        <w:t>II</w:t>
      </w:r>
      <w:r w:rsidR="003142B6" w:rsidRPr="009E1632">
        <w:t>a</w:t>
      </w:r>
      <w:proofErr w:type="spellEnd"/>
      <w:r w:rsidR="003142B6" w:rsidRPr="009E1632">
        <w:t>, multiple-dose, open-label study to evaluate different treatment regimens of SOF 400 mg alone or SOF/LDV for 6, 8, or 12 weeks administered with and without RBV and/or PEG-IFN in subjects with GT 1, 2, or 3 HCV infection and with and without LDV or GS-9669 in su</w:t>
      </w:r>
      <w:r w:rsidR="00D30A19">
        <w:t>bjects with GT 1 HCV infection</w:t>
      </w:r>
      <w:r w:rsidR="001C473D">
        <w:t xml:space="preserve">. </w:t>
      </w:r>
      <w:r w:rsidR="003142B6" w:rsidRPr="009E1632">
        <w:t>The study was conducted at two centres in New Zealand fro</w:t>
      </w:r>
      <w:r w:rsidR="001C473D">
        <w:t xml:space="preserve">m November 2010 to August 2013 </w:t>
      </w:r>
      <w:r w:rsidR="003142B6" w:rsidRPr="009E1632">
        <w:t>The study included male and non-pregnant female subjects with chronic genotype 1, 2, or 3 HCV infection were enrolled</w:t>
      </w:r>
      <w:r w:rsidR="001C473D">
        <w:t xml:space="preserve"> in Parts 1 to 6 of this study.</w:t>
      </w:r>
      <w:r w:rsidR="003142B6" w:rsidRPr="009E1632">
        <w:t xml:space="preserve"> Subjects were between the ages of 18 and 70 years inclusive, had a BMI ≥</w:t>
      </w:r>
      <w:r w:rsidR="00D5308D">
        <w:t xml:space="preserve"> </w:t>
      </w:r>
      <w:r w:rsidR="003142B6" w:rsidRPr="009E1632">
        <w:t xml:space="preserve">18 kg/m2, determined to be non-cirrhotic (except for Groups 16, 17, and 20) by previous (within 3 years) or study-qualifying liver biopsy or </w:t>
      </w:r>
      <w:proofErr w:type="spellStart"/>
      <w:r w:rsidR="003142B6" w:rsidRPr="009E1632">
        <w:t>FibroScan</w:t>
      </w:r>
      <w:proofErr w:type="spellEnd"/>
      <w:r w:rsidR="003142B6" w:rsidRPr="009E1632">
        <w:t xml:space="preserve"> (liver </w:t>
      </w:r>
      <w:proofErr w:type="spellStart"/>
      <w:r w:rsidR="003142B6" w:rsidRPr="009E1632">
        <w:t>elastography</w:t>
      </w:r>
      <w:proofErr w:type="spellEnd"/>
      <w:r w:rsidR="003142B6" w:rsidRPr="009E1632">
        <w:t>) within the previous 12 months, and otherwise healthy as determined during screening evaluations. Subjects in Groups 16 and 17 were cirrhotic, and subjects in Group 20 had no restricti</w:t>
      </w:r>
      <w:r w:rsidR="001C473D">
        <w:t xml:space="preserve">ons on their cirrhosis status. </w:t>
      </w:r>
      <w:r w:rsidR="003142B6" w:rsidRPr="009E1632">
        <w:t>Groups 16 to 21 were treated with SOF / LDV FDC 400 mg / 90 mg</w:t>
      </w:r>
      <w:r w:rsidR="001C473D">
        <w:t xml:space="preserve"> once daily ± RBV twice daily. </w:t>
      </w:r>
      <w:r w:rsidR="003142B6" w:rsidRPr="009E1632">
        <w:t xml:space="preserve">The efficacy outcome measure was HCV RNA at follow-up </w:t>
      </w:r>
      <w:r w:rsidR="001C473D">
        <w:t xml:space="preserve">weeks 4, 8, 12, 24, 36 and 48. </w:t>
      </w:r>
      <w:r w:rsidR="003142B6" w:rsidRPr="009E1632">
        <w:t xml:space="preserve">There were 68 subjects treated with SOF / LDV FDC; 48 </w:t>
      </w:r>
      <w:r w:rsidR="001C473D">
        <w:t xml:space="preserve">of whom also treated with RBV. </w:t>
      </w:r>
      <w:r w:rsidR="003142B6" w:rsidRPr="009E1632">
        <w:t>There were 46 (67.6%) males, 22 (32.3%) females, and the</w:t>
      </w:r>
      <w:r w:rsidR="001C473D">
        <w:t xml:space="preserve"> age range was 26 to 74 years. </w:t>
      </w:r>
      <w:r w:rsidR="003142B6" w:rsidRPr="009E1632">
        <w:t>SVR12 was achieved by 7 (70%) of subjects with null responder GT1 treated with SOF / LDV FDC for 12 weeks; 9 (100%) of subjects with null responder GT1 treated with SOF / LDV FDC + RBV for 12 weeks; 8 (80%) of subjects with treatment naïve GT2/3 treated with SOF / LDV FDC for 12 weeks; 17 (68%) of subjects with treatment naïve GT1 treated with SOF / LDV for 6 weeks.</w:t>
      </w:r>
    </w:p>
    <w:p w:rsidR="003142B6" w:rsidRPr="009E1632" w:rsidRDefault="003142B6" w:rsidP="009E1632">
      <w:pPr>
        <w:pStyle w:val="Heading4"/>
      </w:pPr>
      <w:bookmarkStart w:id="247" w:name="_Toc241374312"/>
      <w:bookmarkStart w:id="248" w:name="_Toc272414656"/>
      <w:bookmarkStart w:id="249" w:name="_Toc290846281"/>
      <w:bookmarkStart w:id="250" w:name="_Toc408164081"/>
      <w:r w:rsidRPr="009E1632">
        <w:t>Analyses performed across trials (pooled analyses</w:t>
      </w:r>
      <w:bookmarkEnd w:id="247"/>
      <w:bookmarkEnd w:id="248"/>
      <w:bookmarkEnd w:id="249"/>
      <w:r w:rsidRPr="009E1632">
        <w:t>)</w:t>
      </w:r>
      <w:bookmarkEnd w:id="250"/>
    </w:p>
    <w:p w:rsidR="003142B6" w:rsidRPr="009E1632" w:rsidRDefault="003142B6" w:rsidP="00886813">
      <w:r w:rsidRPr="009E1632">
        <w:t>In the integrated</w:t>
      </w:r>
      <w:r w:rsidR="001C473D">
        <w:t xml:space="preserve"> summary of efficacy for Phase III</w:t>
      </w:r>
      <w:r w:rsidRPr="009E1632">
        <w:t xml:space="preserve"> studies, in treatment naïve subjects there were the following pooled results for SVR12, n/N (% [95% CI] p-value compared to 60%):</w:t>
      </w:r>
    </w:p>
    <w:p w:rsidR="003142B6" w:rsidRPr="009E1632" w:rsidRDefault="003142B6" w:rsidP="009E1632">
      <w:pPr>
        <w:pStyle w:val="ListBullet"/>
      </w:pPr>
      <w:r w:rsidRPr="009E1632">
        <w:t>GS-US-337-0108: SOF / LDV FDC 8 weeks treatment duration: 202/215 (94.0% [89.9% to 96.7%] &lt;</w:t>
      </w:r>
      <w:r w:rsidR="00D5308D">
        <w:t xml:space="preserve"> </w:t>
      </w:r>
      <w:r w:rsidRPr="009E1632">
        <w:t>0.001)</w:t>
      </w:r>
    </w:p>
    <w:p w:rsidR="003142B6" w:rsidRPr="009E1632" w:rsidRDefault="003142B6" w:rsidP="009E1632">
      <w:pPr>
        <w:pStyle w:val="ListBullet"/>
      </w:pPr>
      <w:r w:rsidRPr="009E1632">
        <w:t>GS-US-337-0108: SOF / LDV FDC + RBV 8 weeks treatment duration: 201/216 (93.1% [88.8% to 96.1%] &lt;</w:t>
      </w:r>
      <w:r w:rsidR="00D5308D">
        <w:t xml:space="preserve"> </w:t>
      </w:r>
      <w:r w:rsidRPr="009E1632">
        <w:t>0.001)</w:t>
      </w:r>
    </w:p>
    <w:p w:rsidR="003142B6" w:rsidRPr="009E1632" w:rsidRDefault="003142B6" w:rsidP="009E1632">
      <w:pPr>
        <w:pStyle w:val="ListBullet"/>
      </w:pPr>
      <w:r w:rsidRPr="009E1632">
        <w:t>GS-US-337-0108: SOF / LDV FDC 12weeks treatment duration: 206/216 (95.4% [91.7% to 97.8%] &lt;</w:t>
      </w:r>
      <w:r w:rsidR="00D5308D">
        <w:t xml:space="preserve"> </w:t>
      </w:r>
      <w:r w:rsidRPr="009E1632">
        <w:t>0.001)</w:t>
      </w:r>
    </w:p>
    <w:p w:rsidR="003142B6" w:rsidRPr="009E1632" w:rsidRDefault="003142B6" w:rsidP="009E1632">
      <w:pPr>
        <w:pStyle w:val="ListBullet"/>
      </w:pPr>
      <w:r w:rsidRPr="009E1632">
        <w:t>GS-US-337-0102: SOF / LDV FDC 12 weeks treatment duration: 209/214 (97.7% [94.6% to 99.2%] &lt;</w:t>
      </w:r>
      <w:r w:rsidR="00D5308D">
        <w:t xml:space="preserve"> </w:t>
      </w:r>
      <w:r w:rsidRPr="009E1632">
        <w:t>0.001)</w:t>
      </w:r>
    </w:p>
    <w:p w:rsidR="003142B6" w:rsidRPr="009E1632" w:rsidRDefault="003142B6" w:rsidP="009E1632">
      <w:pPr>
        <w:pStyle w:val="ListBullet"/>
      </w:pPr>
      <w:r w:rsidRPr="009E1632">
        <w:t>GS-US-337-0108 and GS-US-337-0102: SOF / LDV FDC 12 weeks treatment duration: 415/430 (96.5% [94.3% to 98.0%] not supplied)</w:t>
      </w:r>
    </w:p>
    <w:p w:rsidR="003142B6" w:rsidRPr="009E1632" w:rsidRDefault="003142B6" w:rsidP="009E1632">
      <w:pPr>
        <w:pStyle w:val="ListBullet"/>
      </w:pPr>
      <w:r w:rsidRPr="009E1632">
        <w:t xml:space="preserve">GS-US-337-0102: SOF / LDV FDC +RBV 12 weeks treatment duration: 211/217 </w:t>
      </w:r>
      <w:r w:rsidR="009E1632">
        <w:t>(97.2% [94.1% to 99.0%] &lt;</w:t>
      </w:r>
      <w:r w:rsidR="00D5308D">
        <w:t xml:space="preserve"> </w:t>
      </w:r>
      <w:r w:rsidR="009E1632">
        <w:t>0.001)</w:t>
      </w:r>
    </w:p>
    <w:p w:rsidR="003142B6" w:rsidRPr="009E1632" w:rsidRDefault="003142B6" w:rsidP="009E1632">
      <w:r w:rsidRPr="009E1632">
        <w:t>In treatment experienced subjects for SVR12, n/N (% [95% CI] p-value compared to 25%):</w:t>
      </w:r>
    </w:p>
    <w:p w:rsidR="003142B6" w:rsidRPr="009E1632" w:rsidRDefault="003142B6" w:rsidP="009E1632">
      <w:pPr>
        <w:pStyle w:val="ListBullet"/>
      </w:pPr>
      <w:r w:rsidRPr="009E1632">
        <w:t>SOF / LDV FDC 12 weeks treatment duration: 102/109 (93.6% [87.2% to 97.4%] &lt;</w:t>
      </w:r>
      <w:r w:rsidR="00D5308D">
        <w:t xml:space="preserve"> </w:t>
      </w:r>
      <w:r w:rsidRPr="009E1632">
        <w:t>0.001)</w:t>
      </w:r>
    </w:p>
    <w:p w:rsidR="003142B6" w:rsidRPr="009E1632" w:rsidRDefault="003142B6" w:rsidP="009E1632">
      <w:pPr>
        <w:pStyle w:val="ListBullet"/>
      </w:pPr>
      <w:r w:rsidRPr="009E1632">
        <w:t>SOF / LDV FDC + RBV 12weeks treatment duration: 107/111 (96.4% [91.0% to 99.0%] &lt;</w:t>
      </w:r>
      <w:r w:rsidR="00D5308D">
        <w:t xml:space="preserve"> </w:t>
      </w:r>
      <w:r w:rsidRPr="009E1632">
        <w:t>0.001)</w:t>
      </w:r>
    </w:p>
    <w:p w:rsidR="003142B6" w:rsidRPr="009E1632" w:rsidRDefault="003142B6" w:rsidP="009E1632">
      <w:pPr>
        <w:pStyle w:val="ListBullet"/>
      </w:pPr>
      <w:r w:rsidRPr="009E1632">
        <w:t>SOF / LDV FDC 24 weeks treatment duration: 108/109 (99.1% [95.0% to 100.0%] &lt;</w:t>
      </w:r>
      <w:r w:rsidR="00D5308D">
        <w:t xml:space="preserve"> </w:t>
      </w:r>
      <w:r w:rsidRPr="009E1632">
        <w:t>0.001)</w:t>
      </w:r>
    </w:p>
    <w:p w:rsidR="003142B6" w:rsidRPr="009E1632" w:rsidRDefault="003142B6" w:rsidP="009E1632">
      <w:pPr>
        <w:pStyle w:val="ListBullet"/>
      </w:pPr>
      <w:r w:rsidRPr="009E1632">
        <w:t>SOF / LDV FDC +RBV 24 weeks treatment duration: 110/111 (</w:t>
      </w:r>
      <w:r w:rsidR="009E1632">
        <w:t>99.1% [95.1% to 100.0%] &lt;</w:t>
      </w:r>
      <w:r w:rsidR="00D5308D">
        <w:t xml:space="preserve"> </w:t>
      </w:r>
      <w:r w:rsidR="009E1632">
        <w:t>0.001)</w:t>
      </w:r>
    </w:p>
    <w:p w:rsidR="003142B6" w:rsidRPr="009E1632" w:rsidRDefault="003142B6" w:rsidP="009E1632">
      <w:r w:rsidRPr="009E1632">
        <w:t>In treatment experienced subjects with cirrhosis, for SVR12, n/N (% [95% CI]):</w:t>
      </w:r>
    </w:p>
    <w:p w:rsidR="003142B6" w:rsidRPr="009E1632" w:rsidRDefault="003142B6" w:rsidP="009E1632">
      <w:pPr>
        <w:pStyle w:val="ListBullet"/>
      </w:pPr>
      <w:r w:rsidRPr="009E1632">
        <w:t>SOF / LDV FDC 12 weeks treatment duration: 19/22 (86.4% [65.1% to 97.1%])</w:t>
      </w:r>
    </w:p>
    <w:p w:rsidR="003142B6" w:rsidRPr="009E1632" w:rsidRDefault="003142B6" w:rsidP="009E1632">
      <w:pPr>
        <w:pStyle w:val="ListBullet"/>
      </w:pPr>
      <w:r w:rsidRPr="009E1632">
        <w:t>SOF / LDV FDC + RBV 12weeks treatment duration: 18/22 (81.8% [59.7% to 94.8%])</w:t>
      </w:r>
    </w:p>
    <w:p w:rsidR="003142B6" w:rsidRPr="009E1632" w:rsidRDefault="003142B6" w:rsidP="009E1632">
      <w:pPr>
        <w:pStyle w:val="ListBullet"/>
      </w:pPr>
      <w:r w:rsidRPr="009E1632">
        <w:t>SOF / LDV FDC 24 weeks treatment duration: 22/22 (100.0% [84.6% to 100.0%])</w:t>
      </w:r>
    </w:p>
    <w:p w:rsidR="003142B6" w:rsidRPr="009E1632" w:rsidRDefault="003142B6" w:rsidP="003142B6">
      <w:pPr>
        <w:pStyle w:val="ListBullet"/>
      </w:pPr>
      <w:r w:rsidRPr="009E1632">
        <w:t>SOF / LDV FDC +RBV 24 weeks treatment duration: 2</w:t>
      </w:r>
      <w:r w:rsidR="009E1632">
        <w:t>2/22 (100.0% [84.6% to 100.0%])</w:t>
      </w:r>
    </w:p>
    <w:p w:rsidR="003142B6" w:rsidRPr="009E1632" w:rsidRDefault="003142B6" w:rsidP="009E1632">
      <w:pPr>
        <w:pStyle w:val="Heading4"/>
      </w:pPr>
      <w:bookmarkStart w:id="251" w:name="_Ref271126605"/>
      <w:bookmarkStart w:id="252" w:name="_Toc272414657"/>
      <w:bookmarkStart w:id="253" w:name="_Toc290846282"/>
      <w:bookmarkStart w:id="254" w:name="_Toc408164082"/>
      <w:r w:rsidRPr="009E1632">
        <w:t>Evaluator’s conclusions on efficacy</w:t>
      </w:r>
      <w:bookmarkEnd w:id="251"/>
      <w:bookmarkEnd w:id="252"/>
      <w:bookmarkEnd w:id="253"/>
      <w:bookmarkEnd w:id="254"/>
    </w:p>
    <w:p w:rsidR="003142B6" w:rsidRPr="009E1632" w:rsidRDefault="003142B6" w:rsidP="00886813">
      <w:r w:rsidRPr="009E1632">
        <w:t>The efficacy data are supportive of efficacy in the proposed indication but in the opinion of the Evaluator the proposed treatment regimen may require modification.</w:t>
      </w:r>
    </w:p>
    <w:p w:rsidR="003142B6" w:rsidRPr="009E1632" w:rsidRDefault="003142B6" w:rsidP="009E1632">
      <w:r w:rsidRPr="009E1632">
        <w:t>In HCV treatment naïve subjects, with or without cirrhosis (Study GS-US-337-0102) SVR12 was achieved by 209 (97.7%) subjects in the SOF / LDV 12 week group, 95</w:t>
      </w:r>
      <w:r w:rsidR="001C473D">
        <w:t>% CI 94.6% to 99.1%, p &lt;</w:t>
      </w:r>
      <w:r w:rsidR="00D5308D">
        <w:t xml:space="preserve"> </w:t>
      </w:r>
      <w:r w:rsidR="001C473D">
        <w:t xml:space="preserve">0.001. </w:t>
      </w:r>
      <w:r w:rsidRPr="009E1632">
        <w:t>There was no additional benefit by also including RBV: SVR12 was achieved by 211 (97.2%) subjects in the SOF / LDV + RBV 12 week group, 9</w:t>
      </w:r>
      <w:r w:rsidR="009E1632">
        <w:t>5% CI 94.1% to 99.0%, p &lt;</w:t>
      </w:r>
      <w:r w:rsidR="00D5308D">
        <w:t xml:space="preserve"> </w:t>
      </w:r>
      <w:r w:rsidR="009E1632">
        <w:t>0.001.</w:t>
      </w:r>
    </w:p>
    <w:p w:rsidR="003142B6" w:rsidRPr="009E1632" w:rsidRDefault="003142B6" w:rsidP="009E1632">
      <w:r w:rsidRPr="009E1632">
        <w:t>In treatment naïve subjects with chronic GT1-HCV without cirrhosis (Study GS-US-337-0108) SVR12 was achieved by 202 (94.0%) subjects in the SOF / LDV FDC 8 week group, 95</w:t>
      </w:r>
      <w:r w:rsidR="001C473D">
        <w:t xml:space="preserve">% CI 89.9% to 96.7%, p &lt; 0.001. </w:t>
      </w:r>
      <w:r w:rsidRPr="009E1632">
        <w:t>There was no additional benefit by also including RBV: SVR12 was achieved by 201 (93.1%) subjects in the SOF / LDV FDC + RBV 8 week group, 95</w:t>
      </w:r>
      <w:r w:rsidR="001C473D">
        <w:t xml:space="preserve">% CI 88.8% to 96.1%, p &lt; 0.001. </w:t>
      </w:r>
      <w:r w:rsidRPr="009E1632">
        <w:t>There was no significant additional benefit with a longer, 12 week, treatment period: SVR12 was achieved by 206 (95.4%) subjects in the SOF / LDV FDC 12 week group, 95% CI 91.7% to 97.</w:t>
      </w:r>
      <w:r w:rsidR="009E1632">
        <w:t>8%, p &lt;</w:t>
      </w:r>
      <w:r w:rsidR="001C473D">
        <w:t xml:space="preserve"> </w:t>
      </w:r>
      <w:r w:rsidR="009E1632">
        <w:t>0.001.</w:t>
      </w:r>
    </w:p>
    <w:p w:rsidR="003142B6" w:rsidRPr="009E1632" w:rsidRDefault="003142B6" w:rsidP="009E1632">
      <w:r w:rsidRPr="009E1632">
        <w:t>In treatment experienced subjects with chronic GT1-HCV, i.e. with prior treatment failure with a Peg-</w:t>
      </w:r>
      <w:r w:rsidR="000F6E96">
        <w:t>IFN + RBV</w:t>
      </w:r>
      <w:r w:rsidR="006F234B">
        <w:t xml:space="preserve"> (Study GS-US-337-0109</w:t>
      </w:r>
      <w:r w:rsidR="000F6E96">
        <w:t xml:space="preserve">), </w:t>
      </w:r>
      <w:r w:rsidRPr="009E1632">
        <w:t>SVR12 was achieved by 102 (93.6%) subjects in the SOF / LDV FDC 12 week group, 95% CI 87.2% to 97.4%, p &lt;</w:t>
      </w:r>
      <w:r w:rsidR="00D5308D">
        <w:t xml:space="preserve"> </w:t>
      </w:r>
      <w:r w:rsidRPr="009E1632">
        <w:t xml:space="preserve">0.001 (compared to the </w:t>
      </w:r>
      <w:r w:rsidR="001C473D">
        <w:t xml:space="preserve">historical 25% response rate). </w:t>
      </w:r>
      <w:r w:rsidRPr="009E1632">
        <w:t>There was better efficacy in those subjects treated with RBV and for longer treatment duration:</w:t>
      </w:r>
    </w:p>
    <w:p w:rsidR="003142B6" w:rsidRPr="009E1632" w:rsidRDefault="003142B6" w:rsidP="009E1632">
      <w:pPr>
        <w:pStyle w:val="ListBullet"/>
      </w:pPr>
      <w:r w:rsidRPr="009E1632">
        <w:t>SVR12 was achieved by 107 (96.4%) subjects in the SOF / LDV FDC + RBV 12 week group, 95% CI 91.0% to 99.0%, p &lt;</w:t>
      </w:r>
      <w:r w:rsidR="00D5308D">
        <w:t xml:space="preserve"> </w:t>
      </w:r>
      <w:r w:rsidRPr="009E1632">
        <w:t>0.001</w:t>
      </w:r>
    </w:p>
    <w:p w:rsidR="003142B6" w:rsidRPr="009E1632" w:rsidRDefault="003142B6" w:rsidP="009E1632">
      <w:pPr>
        <w:pStyle w:val="ListBullet"/>
      </w:pPr>
      <w:r w:rsidRPr="009E1632">
        <w:t>SVR12 was achieved by 108 (99.1%) subjects in the SOF / LDV FDC 24 week group, 95% CI 95.0% to 100.0%, p &lt;</w:t>
      </w:r>
      <w:r w:rsidR="00D5308D">
        <w:t xml:space="preserve"> </w:t>
      </w:r>
      <w:r w:rsidRPr="009E1632">
        <w:t>0.001</w:t>
      </w:r>
    </w:p>
    <w:p w:rsidR="003142B6" w:rsidRPr="009E1632" w:rsidRDefault="003142B6" w:rsidP="009E1632">
      <w:pPr>
        <w:pStyle w:val="ListBullet"/>
      </w:pPr>
      <w:r w:rsidRPr="009E1632">
        <w:t>SVR12 was achieved by 110 (99.1%) subjects in the SOF / LDV FDC + RBV 24 week group, 9</w:t>
      </w:r>
      <w:r w:rsidR="009E1632">
        <w:t>5% CI 95.1% to 100.0%, p &lt;</w:t>
      </w:r>
      <w:r w:rsidR="00D5308D">
        <w:t xml:space="preserve"> </w:t>
      </w:r>
      <w:r w:rsidR="009E1632">
        <w:t>0.001</w:t>
      </w:r>
    </w:p>
    <w:p w:rsidR="003142B6" w:rsidRPr="009E1632" w:rsidRDefault="003142B6" w:rsidP="009E1632">
      <w:r w:rsidRPr="009E1632">
        <w:t>Study GS-US-337-0118 was supportive of the pivotal studies but of too small a sample size to be pivotal.</w:t>
      </w:r>
    </w:p>
    <w:p w:rsidR="003142B6" w:rsidRPr="009E1632" w:rsidRDefault="003142B6" w:rsidP="009E1632">
      <w:r w:rsidRPr="009E1632">
        <w:t xml:space="preserve">Relapse is more likely in subjects with higher viral burden, male gender, cirrhosis </w:t>
      </w:r>
      <w:r w:rsidR="001C473D">
        <w:t xml:space="preserve">and baseline thrombocytopenia. </w:t>
      </w:r>
      <w:r w:rsidRPr="009E1632">
        <w:t>In Study GS-US-337-0108 there was a higher relapse rate in the 8 week groups compared with the 12 week: 11 (5.1%) subjects in the SOF / LDV FDC 8 week group, 9 (4.2%) in the SOF / LDV + RBV 8 week, and 3 (1.4%) in the SOF / LDV 12 week group; and relapse was more likely if subjects were male and/or baseline</w:t>
      </w:r>
      <w:r w:rsidR="001C473D">
        <w:t xml:space="preserve"> HCV RNA was ≥</w:t>
      </w:r>
      <w:r w:rsidR="00D5308D">
        <w:t xml:space="preserve"> </w:t>
      </w:r>
      <w:r w:rsidR="001C473D">
        <w:t xml:space="preserve">800,000 (IU/mL). </w:t>
      </w:r>
      <w:r w:rsidRPr="009E1632">
        <w:t>In Study GS-US-337-0109 relapse risk was increased in subjects with cirrhosis and / or baseline thrombocytopenia.</w:t>
      </w:r>
    </w:p>
    <w:p w:rsidR="003142B6" w:rsidRPr="009E1632" w:rsidRDefault="003142B6" w:rsidP="009E1632">
      <w:r w:rsidRPr="005A2944">
        <w:t>I</w:t>
      </w:r>
      <w:r w:rsidRPr="009E1632">
        <w:t>n all three pivotal studies subjects with &lt;</w:t>
      </w:r>
      <w:r w:rsidR="00D5308D">
        <w:t xml:space="preserve"> </w:t>
      </w:r>
      <w:r w:rsidRPr="009E1632">
        <w:t>80% adherence to study t</w:t>
      </w:r>
      <w:r w:rsidR="001C473D">
        <w:t xml:space="preserve">reatment had reduced efficacy. </w:t>
      </w:r>
      <w:r w:rsidRPr="009E1632">
        <w:t>However, in all three pivotal studies there was no effect on response for demographic characteristics and SOF / LDV FDC was equally effect</w:t>
      </w:r>
      <w:r w:rsidR="001C473D">
        <w:t xml:space="preserve">ive for GT1a-HCV and GT1b-HCV. </w:t>
      </w:r>
      <w:r w:rsidRPr="009E1632">
        <w:t>Baseline disease characteristi</w:t>
      </w:r>
      <w:r w:rsidR="009E1632">
        <w:t>cs did not influence efficacy.</w:t>
      </w:r>
    </w:p>
    <w:p w:rsidR="003142B6" w:rsidRPr="009E1632" w:rsidRDefault="003142B6" w:rsidP="00886813">
      <w:r w:rsidRPr="009E1632">
        <w:t>Baseline RAVs should not preclude</w:t>
      </w:r>
      <w:r w:rsidR="001C473D">
        <w:t xml:space="preserve"> treatment with SOF / LDV FDC. </w:t>
      </w:r>
      <w:r w:rsidRPr="009E1632">
        <w:t>However, baseline NS5A RAVs appear to be more common in subjects that relapse and treatment emergent NS5A RAVs a</w:t>
      </w:r>
      <w:r w:rsidR="001C473D">
        <w:t xml:space="preserve">re more common than NS5B RAVs. </w:t>
      </w:r>
      <w:r w:rsidRPr="009E1632">
        <w:t>In Study GS-US-337-0102 RAVs were reported in 32 (15.0% subjects in the SOF / LDV 12 week group, and 36 (16.7%) in the SOF / LDV + RBV 12 week group; and the one subject in the 12 week group who r</w:t>
      </w:r>
      <w:r w:rsidR="001C473D">
        <w:t xml:space="preserve">elapsed did not develop a RAV. </w:t>
      </w:r>
      <w:r w:rsidRPr="009E1632">
        <w:t xml:space="preserve">In Study GS-US-337-0108 of the 23 subjects that relapsed, ten had NS5A RAVs at baseline; of the 13 that did not, six had </w:t>
      </w:r>
      <w:r w:rsidR="001C473D">
        <w:t xml:space="preserve">emergent NS5A RAVs at relapse. </w:t>
      </w:r>
      <w:r w:rsidRPr="009E1632">
        <w:t>In Study GS-US-337-0109 of the 12 subjects that relapsed, 5 of 11 had no baseline RAVs, and the other 7 su</w:t>
      </w:r>
      <w:r w:rsidR="001C473D">
        <w:t xml:space="preserve">bjects had baseline NS5A RAVs. </w:t>
      </w:r>
      <w:r w:rsidRPr="009E1632">
        <w:t xml:space="preserve">All 12 subjects had detectable NS5A RAVs at </w:t>
      </w:r>
      <w:proofErr w:type="spellStart"/>
      <w:r w:rsidRPr="009E1632">
        <w:t>virologic</w:t>
      </w:r>
      <w:proofErr w:type="spellEnd"/>
      <w:r w:rsidRPr="009E1632">
        <w:t xml:space="preserve"> failure, but </w:t>
      </w:r>
      <w:r w:rsidR="001C473D">
        <w:t xml:space="preserve">no NS5B NI RAVs were detected. </w:t>
      </w:r>
      <w:r w:rsidRPr="009E1632">
        <w:t>Phenotypic analysis showed a reduced susceptibility to LDV, but no change in susceptibility to SOF or RBV.</w:t>
      </w:r>
    </w:p>
    <w:p w:rsidR="003142B6" w:rsidRPr="009E1632" w:rsidRDefault="003142B6" w:rsidP="009E1632">
      <w:r w:rsidRPr="009E1632">
        <w:t>In all three pivotal studies Quality of Life decreased during treatment for th</w:t>
      </w:r>
      <w:r w:rsidR="001C473D">
        <w:t xml:space="preserve">ose subjects treated with RBV. </w:t>
      </w:r>
      <w:r w:rsidRPr="009E1632">
        <w:t>Hence, the place of RBV as add-on therapy may be in those subjects with prior treatment fail</w:t>
      </w:r>
      <w:r w:rsidR="009E1632">
        <w:t>ure, with or without cirrhosis.</w:t>
      </w:r>
    </w:p>
    <w:p w:rsidR="003142B6" w:rsidRPr="009E1632" w:rsidRDefault="003142B6" w:rsidP="009E1632">
      <w:r w:rsidRPr="009E1632">
        <w:t>Study GS-US-337-0122 did not support efficacy in subj</w:t>
      </w:r>
      <w:r w:rsidR="00BF0C39">
        <w:t>ects with chronic GT3-HC</w:t>
      </w:r>
      <w:r w:rsidR="001C473D">
        <w:t xml:space="preserve">V. </w:t>
      </w:r>
      <w:r w:rsidRPr="009E1632">
        <w:t>Study P7977-0523 did not support efficacy in subjects with GT2-HCV or GT3-HCV infection or a shorter treatment duration of 6 weeks in subjects with GT1-HCV.</w:t>
      </w:r>
    </w:p>
    <w:p w:rsidR="003142B6" w:rsidRPr="009E1632" w:rsidRDefault="003142B6" w:rsidP="009E1632">
      <w:r w:rsidRPr="009E1632">
        <w:t>The studies presented in the submission were mostly in accordance with the Guideline On The Clinical Evaluation Of Direct Acting Antiviral Agents Intended For Treatment Of Chronic Hepatitis</w:t>
      </w:r>
      <w:r w:rsidR="001C473D">
        <w:t xml:space="preserve"> C (EMEA/CHMP/EWP/30039/2008). </w:t>
      </w:r>
      <w:r w:rsidRPr="009E1632">
        <w:t>The deficiencies in the submission are:</w:t>
      </w:r>
    </w:p>
    <w:p w:rsidR="003142B6" w:rsidRPr="009E1632" w:rsidRDefault="003142B6" w:rsidP="009E1632">
      <w:pPr>
        <w:pStyle w:val="ListBullet"/>
      </w:pPr>
      <w:r w:rsidRPr="009E1632">
        <w:t>Studies were open-label rather than double blind</w:t>
      </w:r>
    </w:p>
    <w:p w:rsidR="003142B6" w:rsidRPr="009E1632" w:rsidRDefault="003142B6" w:rsidP="009E1632">
      <w:pPr>
        <w:pStyle w:val="ListBullet"/>
      </w:pPr>
      <w:r w:rsidRPr="009E1632">
        <w:t>Long-term follow up data were not presented</w:t>
      </w:r>
    </w:p>
    <w:p w:rsidR="003142B6" w:rsidRPr="009E1632" w:rsidRDefault="003142B6" w:rsidP="009E1632">
      <w:pPr>
        <w:pStyle w:val="ListBullet"/>
      </w:pPr>
      <w:r w:rsidRPr="009E1632">
        <w:t>Data for SVR24 were incomplete</w:t>
      </w:r>
    </w:p>
    <w:p w:rsidR="003142B6" w:rsidRPr="009E1632" w:rsidRDefault="003142B6" w:rsidP="009E1632">
      <w:pPr>
        <w:pStyle w:val="ListBullet"/>
      </w:pPr>
      <w:r w:rsidRPr="009E1632">
        <w:t>Studies in subjects with HCV/HIV co-infected patients were not included</w:t>
      </w:r>
    </w:p>
    <w:p w:rsidR="003142B6" w:rsidRPr="00302FBE" w:rsidRDefault="003142B6" w:rsidP="009E1632">
      <w:r w:rsidRPr="009E1632">
        <w:t>However, in the opinion of the Evaluator the potential benefits of SOF / LDV FDC outweigh the deficienci</w:t>
      </w:r>
      <w:r w:rsidR="001C473D">
        <w:t xml:space="preserve">es in the study methodologies. </w:t>
      </w:r>
      <w:r w:rsidRPr="009E1632">
        <w:t>The outcome measures were highly objective, which makes the open-labe</w:t>
      </w:r>
      <w:r w:rsidR="009E1632">
        <w:t xml:space="preserve">l design more acceptable. </w:t>
      </w:r>
      <w:r w:rsidRPr="009E1632">
        <w:t>Also, when available, the SVR24 data were in concordance with the SVR12 data.</w:t>
      </w:r>
    </w:p>
    <w:p w:rsidR="00C22678" w:rsidRDefault="00C22678" w:rsidP="00C22678">
      <w:pPr>
        <w:pStyle w:val="Heading2"/>
      </w:pPr>
      <w:bookmarkStart w:id="255" w:name="_Toc432073920"/>
      <w:r>
        <w:t>Clinical safety</w:t>
      </w:r>
      <w:bookmarkEnd w:id="255"/>
    </w:p>
    <w:p w:rsidR="00211C86" w:rsidRPr="00211C86" w:rsidRDefault="00211C86" w:rsidP="00211C86">
      <w:pPr>
        <w:pStyle w:val="Heading3"/>
      </w:pPr>
      <w:bookmarkStart w:id="256" w:name="_Toc272414659"/>
      <w:bookmarkStart w:id="257" w:name="_Toc290846284"/>
      <w:bookmarkStart w:id="258" w:name="_Toc408164084"/>
      <w:bookmarkStart w:id="259" w:name="_Toc432073921"/>
      <w:r w:rsidRPr="00211C86">
        <w:t>Studies providing evaluable safety data</w:t>
      </w:r>
      <w:bookmarkEnd w:id="256"/>
      <w:bookmarkEnd w:id="257"/>
      <w:bookmarkEnd w:id="258"/>
      <w:bookmarkEnd w:id="259"/>
    </w:p>
    <w:p w:rsidR="00211C86" w:rsidRPr="00211C86" w:rsidRDefault="00211C86" w:rsidP="00211C86">
      <w:bookmarkStart w:id="260" w:name="_Ref268776745"/>
      <w:r w:rsidRPr="00211C86">
        <w:t>The following studies provided eval</w:t>
      </w:r>
      <w:r w:rsidR="00886813">
        <w:t>uable safety data:</w:t>
      </w:r>
    </w:p>
    <w:p w:rsidR="00211C86" w:rsidRPr="00211C86" w:rsidRDefault="00211C86" w:rsidP="00211C86">
      <w:pPr>
        <w:pStyle w:val="ListBullet"/>
      </w:pPr>
      <w:r w:rsidRPr="00211C86">
        <w:t>Three pivotal efficacy/safety studies: Study GS-US-337-0102, Study GS-US-337-0108 and Study GS-US-337-0109</w:t>
      </w:r>
    </w:p>
    <w:p w:rsidR="00211C86" w:rsidRPr="00211C86" w:rsidRDefault="00211C86" w:rsidP="00211C86">
      <w:pPr>
        <w:pStyle w:val="ListBullet"/>
      </w:pPr>
      <w:r w:rsidRPr="00211C86">
        <w:t>Three other efficacy/safety studies: GS-US-337-0118, GS-US-337-0122 and Study P7977-0523</w:t>
      </w:r>
    </w:p>
    <w:p w:rsidR="00211C86" w:rsidRPr="00211C86" w:rsidRDefault="00211C86" w:rsidP="00211C86">
      <w:pPr>
        <w:pStyle w:val="ListBullet"/>
      </w:pPr>
      <w:r w:rsidRPr="00211C86">
        <w:t>25 clinical pharmacology studies: Study GS-US-256-0110, Study GS-US-337-0101, Study GS-US-256-0101, Study GS-US-0108, Study GS-US-334-0111, Study GS-US-256-0102, Study GS-US-248-0117, Study GS-US-344-0101, Study GS-US-344-0108, Study GS-US-119-0113, GS-US-169-0105, Study GS-US-248-0102, Study GS-US-248-0104, Study GS-US-248-0107, Study GS-US-248-0125, Study GS-US-248-0127, Study GS-US-256-0129, Study GS-US-334-0101, Study GS-US-334-0146, Study GS-US-334-0148, GS-US-337-0127, Study GS-US-337-0128, Study GS-US-344-0102, Study MK-5172-pn023, and Study GS-US-344-0109</w:t>
      </w:r>
    </w:p>
    <w:p w:rsidR="00211C86" w:rsidRPr="00211C86" w:rsidRDefault="00211C86" w:rsidP="00211C86">
      <w:pPr>
        <w:pStyle w:val="ListBullet"/>
      </w:pPr>
      <w:r w:rsidRPr="00211C86">
        <w:t>An Integrated Summary of Efficacy and an Integrated Summary of Safety</w:t>
      </w:r>
    </w:p>
    <w:p w:rsidR="00211C86" w:rsidRPr="00211C86" w:rsidRDefault="00211C86" w:rsidP="00211C86">
      <w:pPr>
        <w:pStyle w:val="Heading4"/>
      </w:pPr>
      <w:r w:rsidRPr="00211C86">
        <w:t>Pivotal efficacy studies</w:t>
      </w:r>
      <w:bookmarkEnd w:id="260"/>
    </w:p>
    <w:p w:rsidR="00211C86" w:rsidRPr="00827CF0" w:rsidRDefault="00211C86" w:rsidP="00211C86">
      <w:pPr>
        <w:rPr>
          <w:rFonts w:ascii="Times New Roman" w:hAnsi="Times New Roman"/>
          <w:sz w:val="24"/>
        </w:rPr>
      </w:pPr>
      <w:r w:rsidRPr="00827CF0">
        <w:rPr>
          <w:rFonts w:ascii="Times New Roman" w:hAnsi="Times New Roman"/>
          <w:sz w:val="24"/>
        </w:rPr>
        <w:t>In the pivotal efficacy studies, the following safety data were collected:</w:t>
      </w:r>
    </w:p>
    <w:p w:rsidR="00211C86" w:rsidRPr="00211C86" w:rsidRDefault="00211C86" w:rsidP="00211C86">
      <w:pPr>
        <w:pStyle w:val="ListBullet"/>
      </w:pPr>
      <w:r w:rsidRPr="00211C86">
        <w:t>General adverse events (AEs) were assessed by report.</w:t>
      </w:r>
    </w:p>
    <w:p w:rsidR="00211C86" w:rsidRPr="00211C86" w:rsidRDefault="00211C86" w:rsidP="00211C86">
      <w:pPr>
        <w:pStyle w:val="ListBullet"/>
      </w:pPr>
      <w:r w:rsidRPr="00211C86">
        <w:t>Laboratory tests, including AST, ALT, bilirubin and FBC</w:t>
      </w:r>
    </w:p>
    <w:p w:rsidR="00211C86" w:rsidRPr="00211C86" w:rsidRDefault="00211C86" w:rsidP="00211C86">
      <w:pPr>
        <w:pStyle w:val="ListBullet"/>
      </w:pPr>
      <w:r w:rsidRPr="00211C86">
        <w:t>ECG and vital signs</w:t>
      </w:r>
    </w:p>
    <w:p w:rsidR="00211C86" w:rsidRPr="00211C86" w:rsidRDefault="00211C86" w:rsidP="00211C86">
      <w:pPr>
        <w:pStyle w:val="Heading4"/>
      </w:pPr>
      <w:r w:rsidRPr="00211C86">
        <w:t>Pivotal studies that assessed safety as a primary outcome</w:t>
      </w:r>
    </w:p>
    <w:p w:rsidR="00211C86" w:rsidRPr="00211C86" w:rsidRDefault="00211C86" w:rsidP="00211C86">
      <w:r w:rsidRPr="00211C86">
        <w:t>There were no studies that assessed safety as a primary outcome.</w:t>
      </w:r>
    </w:p>
    <w:p w:rsidR="00211C86" w:rsidRPr="00211C86" w:rsidRDefault="00211C86" w:rsidP="00211C86">
      <w:pPr>
        <w:pStyle w:val="Heading4"/>
      </w:pPr>
      <w:r w:rsidRPr="00211C86">
        <w:t>Dose-response and non-pivotal efficacy studies</w:t>
      </w:r>
    </w:p>
    <w:p w:rsidR="00211C86" w:rsidRPr="00211C86" w:rsidRDefault="00211C86" w:rsidP="00211C86">
      <w:r w:rsidRPr="00211C86">
        <w:t>In the pivotal efficacy studies, the following safety data were collected:</w:t>
      </w:r>
    </w:p>
    <w:p w:rsidR="00211C86" w:rsidRPr="00211C86" w:rsidRDefault="00211C86" w:rsidP="00211C86">
      <w:pPr>
        <w:pStyle w:val="ListBullet"/>
      </w:pPr>
      <w:r w:rsidRPr="00211C86">
        <w:t>General adverse events (AEs) were assessed by report.</w:t>
      </w:r>
    </w:p>
    <w:p w:rsidR="00211C86" w:rsidRPr="00211C86" w:rsidRDefault="00211C86" w:rsidP="00211C86">
      <w:pPr>
        <w:pStyle w:val="ListBullet"/>
      </w:pPr>
      <w:r w:rsidRPr="00211C86">
        <w:t>Laboratory tests, including AST, ALT, bilirubin and FBC</w:t>
      </w:r>
    </w:p>
    <w:p w:rsidR="00211C86" w:rsidRPr="00211C86" w:rsidRDefault="00211C86" w:rsidP="00211C86">
      <w:pPr>
        <w:pStyle w:val="ListBullet"/>
      </w:pPr>
      <w:r w:rsidRPr="00211C86">
        <w:t>ECG and vital signs</w:t>
      </w:r>
    </w:p>
    <w:p w:rsidR="00211C86" w:rsidRPr="00211C86" w:rsidRDefault="00211C86" w:rsidP="00211C86">
      <w:pPr>
        <w:pStyle w:val="Heading4"/>
      </w:pPr>
      <w:bookmarkStart w:id="261" w:name="_Other_studies_evaluable_for_safety_"/>
      <w:bookmarkEnd w:id="261"/>
      <w:r w:rsidRPr="00211C86">
        <w:t>Other studies evaluable for safety only</w:t>
      </w:r>
    </w:p>
    <w:p w:rsidR="00211C86" w:rsidRPr="00211C86" w:rsidRDefault="00211C86" w:rsidP="00886813">
      <w:r w:rsidRPr="00211C86">
        <w:t xml:space="preserve">There were 14 additional studies that contained </w:t>
      </w:r>
      <w:r w:rsidR="001C473D">
        <w:t xml:space="preserve">clinical data. </w:t>
      </w:r>
      <w:r w:rsidRPr="00211C86">
        <w:t>These studies used different drug combinations and/or different indications than tho</w:t>
      </w:r>
      <w:r w:rsidR="001C473D">
        <w:t xml:space="preserve">se of the present application. </w:t>
      </w:r>
      <w:r w:rsidRPr="00211C86">
        <w:t>These studies were: Study GS-US-248-0120, Study GS-US-248-0121, Study GS-US-248-0131, Study GS-US-248-0132, Study GS-US-256-0124, Study GS-US-256-0148, Study GS-US-334-0107, Study GS-US-334-0108, Study GS-US-334-0110, Study GS-US-334-0123, Study GS-US-334-0133, Study p2938-0721, Study p79</w:t>
      </w:r>
      <w:r w:rsidR="001C473D">
        <w:t xml:space="preserve">77-1231, and Study p7977-2025. </w:t>
      </w:r>
      <w:r w:rsidRPr="00211C86">
        <w:t>No additional safety concerns regarding SOF / LDV FDC were identified from these data.</w:t>
      </w:r>
    </w:p>
    <w:p w:rsidR="00211C86" w:rsidRPr="00211C86" w:rsidRDefault="00211C86" w:rsidP="00211C86">
      <w:pPr>
        <w:pStyle w:val="Heading4"/>
      </w:pPr>
      <w:r w:rsidRPr="00211C86">
        <w:t>Clinical pharmacology studies</w:t>
      </w:r>
    </w:p>
    <w:p w:rsidR="00211C86" w:rsidRPr="00211C86" w:rsidRDefault="00211C86" w:rsidP="00211C86">
      <w:r w:rsidRPr="00211C86">
        <w:t>No safety concerns were identified in the Clinical Pharmacology studies.</w:t>
      </w:r>
      <w:bookmarkStart w:id="262" w:name="_Ref269204367"/>
    </w:p>
    <w:p w:rsidR="00211C86" w:rsidRPr="00211C86" w:rsidRDefault="00211C86" w:rsidP="00211C86">
      <w:pPr>
        <w:pStyle w:val="Heading3"/>
      </w:pPr>
      <w:bookmarkStart w:id="263" w:name="_Ref271195835"/>
      <w:bookmarkStart w:id="264" w:name="_Ref271195841"/>
      <w:bookmarkStart w:id="265" w:name="_Toc272414660"/>
      <w:bookmarkStart w:id="266" w:name="_Toc290846285"/>
      <w:bookmarkStart w:id="267" w:name="_Toc408164085"/>
      <w:bookmarkStart w:id="268" w:name="_Toc432073922"/>
      <w:r w:rsidRPr="00211C86">
        <w:t>Pivotal studies that assessed safety as a primary outcome</w:t>
      </w:r>
      <w:bookmarkEnd w:id="262"/>
      <w:bookmarkEnd w:id="263"/>
      <w:bookmarkEnd w:id="264"/>
      <w:bookmarkEnd w:id="265"/>
      <w:bookmarkEnd w:id="266"/>
      <w:bookmarkEnd w:id="267"/>
      <w:bookmarkEnd w:id="268"/>
    </w:p>
    <w:p w:rsidR="00211C86" w:rsidRPr="00211C86" w:rsidRDefault="00211C86" w:rsidP="00211C86">
      <w:r w:rsidRPr="00211C86">
        <w:t>There were no pivotal studies that assessed safety as a primary outcome</w:t>
      </w:r>
    </w:p>
    <w:p w:rsidR="00211C86" w:rsidRPr="00211C86" w:rsidRDefault="00211C86" w:rsidP="00211C86">
      <w:pPr>
        <w:pStyle w:val="Heading3"/>
      </w:pPr>
      <w:bookmarkStart w:id="269" w:name="_Toc241374318"/>
      <w:bookmarkStart w:id="270" w:name="_Ref271196630"/>
      <w:bookmarkStart w:id="271" w:name="_Toc272414662"/>
      <w:bookmarkStart w:id="272" w:name="_Toc290846300"/>
      <w:bookmarkStart w:id="273" w:name="_Toc408164086"/>
      <w:bookmarkStart w:id="274" w:name="_Toc432073923"/>
      <w:r w:rsidRPr="00211C86">
        <w:t>Patient exposure</w:t>
      </w:r>
      <w:bookmarkEnd w:id="269"/>
      <w:bookmarkEnd w:id="270"/>
      <w:bookmarkEnd w:id="271"/>
      <w:bookmarkEnd w:id="272"/>
      <w:bookmarkEnd w:id="273"/>
      <w:bookmarkEnd w:id="274"/>
    </w:p>
    <w:p w:rsidR="00211C86" w:rsidRPr="00211C86" w:rsidRDefault="00211C86" w:rsidP="00211C86">
      <w:pPr>
        <w:pStyle w:val="Heading4"/>
      </w:pPr>
      <w:bookmarkStart w:id="275" w:name="_Overall_exposure_to_SOF_/_LDV_FDC:"/>
      <w:bookmarkStart w:id="276" w:name="_Toc408164087"/>
      <w:bookmarkEnd w:id="275"/>
      <w:r w:rsidRPr="00211C86">
        <w:t>Overall exposure to SOF / LDV FDC:</w:t>
      </w:r>
      <w:bookmarkEnd w:id="276"/>
    </w:p>
    <w:p w:rsidR="00211C86" w:rsidRPr="00211C86" w:rsidRDefault="00211C86" w:rsidP="00211C86">
      <w:r w:rsidRPr="00211C86">
        <w:t>In the development program for SOF / LDV FDC there were 1952 sub</w:t>
      </w:r>
      <w:r w:rsidR="00D30A19">
        <w:t>jects exposed to SOF / LDV FDC</w:t>
      </w:r>
      <w:r>
        <w:t xml:space="preserve">. </w:t>
      </w:r>
      <w:r w:rsidRPr="00211C86">
        <w:t>This included:</w:t>
      </w:r>
    </w:p>
    <w:p w:rsidR="00211C86" w:rsidRPr="00211C86" w:rsidRDefault="00211C86" w:rsidP="00211C86">
      <w:pPr>
        <w:pStyle w:val="ListBullet"/>
      </w:pPr>
      <w:r w:rsidRPr="00211C86">
        <w:t>Subjects exposed to SOF / LDV FDC for treatment durations of 8 weeks: 215</w:t>
      </w:r>
    </w:p>
    <w:p w:rsidR="00211C86" w:rsidRPr="00211C86" w:rsidRDefault="00211C86" w:rsidP="00211C86">
      <w:pPr>
        <w:pStyle w:val="ListBullet"/>
      </w:pPr>
      <w:r w:rsidRPr="00211C86">
        <w:t>Subjects exposed to SOF / LDV FDC for treatment durations of 12 weeks: 539</w:t>
      </w:r>
    </w:p>
    <w:p w:rsidR="00211C86" w:rsidRPr="00211C86" w:rsidRDefault="00211C86" w:rsidP="00211C86">
      <w:pPr>
        <w:pStyle w:val="ListBullet"/>
      </w:pPr>
      <w:r w:rsidRPr="00211C86">
        <w:t>Subjects exposed to SOF / LDV FDC for treatment durations of 24 weeks: 326</w:t>
      </w:r>
    </w:p>
    <w:p w:rsidR="00211C86" w:rsidRPr="00211C86" w:rsidRDefault="00211C86" w:rsidP="00211C86">
      <w:pPr>
        <w:pStyle w:val="ListBullet"/>
      </w:pPr>
      <w:r w:rsidRPr="00211C86">
        <w:t>Subjects exposed to SOF / LDV FDC + RBV for treatment durations of 8 weeks: 216</w:t>
      </w:r>
    </w:p>
    <w:p w:rsidR="00211C86" w:rsidRPr="00211C86" w:rsidRDefault="00211C86" w:rsidP="00211C86">
      <w:pPr>
        <w:pStyle w:val="ListBullet"/>
      </w:pPr>
      <w:r w:rsidRPr="00211C86">
        <w:t>Subjects exposed to SOF / LDV FDC + RBV for treatment durations of 12 weeks: 328</w:t>
      </w:r>
    </w:p>
    <w:p w:rsidR="00211C86" w:rsidRPr="00211C86" w:rsidRDefault="00211C86" w:rsidP="00211C86">
      <w:pPr>
        <w:pStyle w:val="ListBullet"/>
      </w:pPr>
      <w:r w:rsidRPr="00211C86">
        <w:t>Subjects exposed to SOF / LDV FDC + RBV for treatment durations of 24 weeks: 328</w:t>
      </w:r>
    </w:p>
    <w:p w:rsidR="00211C86" w:rsidRPr="00211C86" w:rsidRDefault="00211C86" w:rsidP="00211C86">
      <w:r w:rsidRPr="00211C86">
        <w:t xml:space="preserve">There were 1175 (60.2%) </w:t>
      </w:r>
      <w:r w:rsidR="001C473D">
        <w:t xml:space="preserve">males and 777 (39.8%) females. </w:t>
      </w:r>
      <w:r w:rsidRPr="00211C86">
        <w:t>There were 152 (7.8%) subjec</w:t>
      </w:r>
      <w:r w:rsidR="001C473D">
        <w:t>ts aged ≥</w:t>
      </w:r>
      <w:r w:rsidR="00D5308D">
        <w:t xml:space="preserve"> </w:t>
      </w:r>
      <w:r w:rsidR="001C473D">
        <w:t xml:space="preserve">65 years. </w:t>
      </w:r>
      <w:r w:rsidRPr="00211C86">
        <w:t xml:space="preserve">There were 1234 (77.2%) subjects with confirmed GT1a-HCV </w:t>
      </w:r>
      <w:r w:rsidR="001C473D">
        <w:t xml:space="preserve">and 356 (22.3%) with GT1b-HCV. </w:t>
      </w:r>
      <w:r w:rsidRPr="00211C86">
        <w:t>There were 169 (10.6%) subjects with cirrhosis.</w:t>
      </w:r>
    </w:p>
    <w:p w:rsidR="00211C86" w:rsidRPr="00211C86" w:rsidRDefault="00211C86" w:rsidP="00211C86">
      <w:pPr>
        <w:pStyle w:val="Heading4"/>
      </w:pPr>
      <w:bookmarkStart w:id="277" w:name="_Toc408164088"/>
      <w:r w:rsidRPr="00211C86">
        <w:t>Exposure in efficacy trials:</w:t>
      </w:r>
      <w:bookmarkEnd w:id="277"/>
    </w:p>
    <w:p w:rsidR="00211C86" w:rsidRPr="00211C86" w:rsidRDefault="00D30A19" w:rsidP="00886813">
      <w:r>
        <w:t xml:space="preserve">In Study GS-US-337-0102 </w:t>
      </w:r>
      <w:r w:rsidR="00211C86" w:rsidRPr="00211C86">
        <w:t>in the 12 Week treatment groups there were 214 subjects exposed to SOF / LDV FDC (192 for 12 weeks) and 217 to SOF / LD</w:t>
      </w:r>
      <w:r w:rsidR="001C473D">
        <w:t xml:space="preserve">V FDC +RBV (194 for 12 weeks). </w:t>
      </w:r>
      <w:r w:rsidR="00211C86" w:rsidRPr="00211C86">
        <w:t>In the 24 Week treatment groups there were 217 subjects exposed to SOF / LDV FDC (213 for 12 weeks, 186 for 24 weeks) and 217 to SOF / LDV FDC +RBV (216 for 12 weeks, 178 for 24 weeks)</w:t>
      </w:r>
    </w:p>
    <w:p w:rsidR="00211C86" w:rsidRPr="00211C86" w:rsidRDefault="00211C86" w:rsidP="00211C86">
      <w:r w:rsidRPr="00211C86">
        <w:t>In Study GS-US-337-</w:t>
      </w:r>
      <w:r w:rsidR="00D30A19">
        <w:t>0108</w:t>
      </w:r>
      <w:r w:rsidRPr="00211C86">
        <w:t>, there were 215 subjects exposed to SOF / LDV FDC in the 8 week group, with 202 exposed for 8 weeks; 216 exposed to SOF / LDV FDC + RBV with 203 exposed for 8 weeks; and 216 in the SOF / LDV FDC 12 week group, with 194 exposed for 12 weeks.</w:t>
      </w:r>
    </w:p>
    <w:p w:rsidR="00211C86" w:rsidRPr="00211C86" w:rsidRDefault="00211C86" w:rsidP="00211C86">
      <w:r w:rsidRPr="00211C86">
        <w:t>In Study GS-US-337-</w:t>
      </w:r>
      <w:r w:rsidR="00D30A19">
        <w:t>0109</w:t>
      </w:r>
      <w:r w:rsidRPr="00211C86">
        <w:t xml:space="preserve">, there were 109 subjects exposed to SOF / LDV FDC in the SOF / LDV FDC 12 week group (106 for 12 weeks), 111 in the SOF / LDV FDC + RBV 12 week (103 for 12 weeks), 109 in the SOF / LDV FDC 24 week (94 for 24 weeks) and 111 in the SOF / LDV FDC + </w:t>
      </w:r>
      <w:r>
        <w:t>RBV 24 week (99 for 24 weeks).</w:t>
      </w:r>
    </w:p>
    <w:p w:rsidR="00211C86" w:rsidRPr="00211C86" w:rsidRDefault="00D30A19" w:rsidP="00211C86">
      <w:r>
        <w:t xml:space="preserve">In Study GS-US-337-0118, </w:t>
      </w:r>
      <w:r w:rsidR="00211C86" w:rsidRPr="00211C86">
        <w:t>there were 41 subjects exposed to SOF / LDV FDC ± RBV in the 8 week groups, 40 or whom completed 8 weeks, and 59 exposed to SOF / LDV FDC ± RBV in the 12 week groups, al</w:t>
      </w:r>
      <w:r w:rsidR="00211C86">
        <w:t>l of whom completed 12 weeks.</w:t>
      </w:r>
    </w:p>
    <w:p w:rsidR="00211C86" w:rsidRPr="00211C86" w:rsidRDefault="00211C86" w:rsidP="00211C86">
      <w:r w:rsidRPr="00211C86">
        <w:t>In Study G</w:t>
      </w:r>
      <w:r w:rsidR="00D30A19">
        <w:t>S-US-337-0122</w:t>
      </w:r>
      <w:r w:rsidRPr="00211C86">
        <w:t>, 25 subjects were exposed to SOF / LDV FDC for up to 12 weeks and 26 to SOF / LDV FDC + RBV for up to 12 weeks.</w:t>
      </w:r>
    </w:p>
    <w:p w:rsidR="00211C86" w:rsidRDefault="00211C86" w:rsidP="00211C86">
      <w:r w:rsidRPr="00211C86">
        <w:t>In Study P7977-</w:t>
      </w:r>
      <w:r w:rsidR="00D30A19">
        <w:t>0523</w:t>
      </w:r>
      <w:r w:rsidRPr="00211C86">
        <w:t>, summarized in Table 1.3.6, there were 10 subjects that were null responder GT1 treated with SOF / LDV FDC for 12 weeks; 9 subjects with null responder GT1 treated with SOF / LDV FDC + RBV for 12 weeks; 10 subjects with treatment naïve GT2/3 treated with SOF / LDV FDC for 12 weeks; 14 subjects with haemophilia and GT1-HCV treated with SOF / LDV FDC + RBV for 12 weeks, and 25 of subjects with treatment naïve GT1 treated with SOF / LDV for 6 weeks.</w:t>
      </w:r>
    </w:p>
    <w:p w:rsidR="00211C86" w:rsidRPr="00211C86" w:rsidRDefault="00211C86" w:rsidP="00211C86">
      <w:pPr>
        <w:pStyle w:val="Heading3"/>
      </w:pPr>
      <w:bookmarkStart w:id="278" w:name="_Toc241374319"/>
      <w:bookmarkStart w:id="279" w:name="_Ref271044764"/>
      <w:bookmarkStart w:id="280" w:name="_Toc272414663"/>
      <w:bookmarkStart w:id="281" w:name="_Toc290846301"/>
      <w:bookmarkStart w:id="282" w:name="_Toc408164089"/>
      <w:bookmarkStart w:id="283" w:name="_Toc432073924"/>
      <w:r w:rsidRPr="00211C86">
        <w:t>Adverse events</w:t>
      </w:r>
      <w:bookmarkEnd w:id="278"/>
      <w:bookmarkEnd w:id="279"/>
      <w:bookmarkEnd w:id="280"/>
      <w:bookmarkEnd w:id="281"/>
      <w:bookmarkEnd w:id="282"/>
      <w:bookmarkEnd w:id="283"/>
    </w:p>
    <w:p w:rsidR="00211C86" w:rsidRPr="00211C86" w:rsidRDefault="00211C86" w:rsidP="00211C86">
      <w:pPr>
        <w:pStyle w:val="Heading4"/>
      </w:pPr>
      <w:bookmarkStart w:id="284" w:name="_Ref272317284"/>
      <w:bookmarkStart w:id="285" w:name="_Ref272333565"/>
      <w:bookmarkStart w:id="286" w:name="_Toc272414664"/>
      <w:bookmarkStart w:id="287" w:name="_Toc290846302"/>
      <w:bookmarkStart w:id="288" w:name="_Toc408164090"/>
      <w:r w:rsidRPr="00211C86">
        <w:t>All adverse events (irrespective of relationship to study treatment)</w:t>
      </w:r>
      <w:bookmarkEnd w:id="284"/>
      <w:bookmarkEnd w:id="285"/>
      <w:bookmarkEnd w:id="286"/>
      <w:bookmarkEnd w:id="287"/>
      <w:bookmarkEnd w:id="288"/>
    </w:p>
    <w:p w:rsidR="00211C86" w:rsidRPr="00211C86" w:rsidRDefault="00211C86" w:rsidP="00211C86">
      <w:pPr>
        <w:pStyle w:val="Heading5"/>
      </w:pPr>
      <w:bookmarkStart w:id="289" w:name="_Pivotal_studies_5"/>
      <w:bookmarkEnd w:id="289"/>
      <w:r w:rsidRPr="00211C86">
        <w:t>Pivotal studies</w:t>
      </w:r>
    </w:p>
    <w:p w:rsidR="00211C86" w:rsidRPr="00211C86" w:rsidRDefault="00D30A19" w:rsidP="00211C86">
      <w:r>
        <w:t xml:space="preserve">In Study GS-US-337-0102, </w:t>
      </w:r>
      <w:r w:rsidR="00211C86" w:rsidRPr="00211C86">
        <w:t xml:space="preserve">TEAEs were reported in 168 (78.5%) subjects in the SOF / LDV 12 week group, 184 (84.8%) in the SOF / LDV + RBV 12 week, 177 (81.6%) in the SOF / LDV 24 week and 200 (92.2%) in the SOF / </w:t>
      </w:r>
      <w:r w:rsidR="001C473D">
        <w:t xml:space="preserve">LDV + RBV 24 week. </w:t>
      </w:r>
      <w:r w:rsidR="00211C86" w:rsidRPr="00211C86">
        <w:t>The commonest TEAEs were fatigue,</w:t>
      </w:r>
      <w:r w:rsidR="001F2F3E">
        <w:t xml:space="preserve"> headache, insomnia and nausea</w:t>
      </w:r>
      <w:r w:rsidR="001C473D">
        <w:t xml:space="preserve">. </w:t>
      </w:r>
      <w:r w:rsidR="00211C86" w:rsidRPr="00211C86">
        <w:t>Fatigue and insomnia were more common in subjects co-medicated with RBV.</w:t>
      </w:r>
    </w:p>
    <w:p w:rsidR="00211C86" w:rsidRPr="00211C86" w:rsidRDefault="00441BCD" w:rsidP="00211C86">
      <w:r>
        <w:t xml:space="preserve">In Study GS-US-337-0108, </w:t>
      </w:r>
      <w:r w:rsidR="00211C86" w:rsidRPr="00211C86">
        <w:t>TEAEs were reported in 145 (67.4%) subjects in the SOF / LDV FDC 8 week group, 165 (76.4%) subjects in the SOF / LDV FDC + RBV 8 week group, and 149 (69.0%) subjects in th</w:t>
      </w:r>
      <w:r w:rsidR="001C473D">
        <w:t xml:space="preserve">e SOF / LDV FDC 12 week group. </w:t>
      </w:r>
      <w:r w:rsidR="00211C86" w:rsidRPr="00211C86">
        <w:t xml:space="preserve">The commonest TEAEs were headache, fatigue, nausea and insomnia, which were more common </w:t>
      </w:r>
      <w:r w:rsidR="001F2F3E">
        <w:t>in the treatment group with RBV</w:t>
      </w:r>
      <w:r w:rsidR="00211C86" w:rsidRPr="00211C86">
        <w:t>.</w:t>
      </w:r>
    </w:p>
    <w:p w:rsidR="00211C86" w:rsidRPr="00211C86" w:rsidRDefault="00441BCD" w:rsidP="00211C86">
      <w:r>
        <w:t xml:space="preserve">In Study GS-US-337-0109, </w:t>
      </w:r>
      <w:r w:rsidR="00211C86" w:rsidRPr="00211C86">
        <w:t>TEAEs were reported in 73 (67.0%) subjects in the SOF / LDV FDC 12 week group, 96 (86.5%) in the SOF / LDV FDC + RBV 12 week, 88 (80.7%) in the SOF / LDV FDC 24 week and 100 (90.1%) in th</w:t>
      </w:r>
      <w:r w:rsidR="001C473D">
        <w:t xml:space="preserve">e SOF / LDV FDC + RBV 24 week. </w:t>
      </w:r>
      <w:r w:rsidR="00211C86" w:rsidRPr="00211C86">
        <w:t>The most commonly reported TEAEs were fatigue, headache, n</w:t>
      </w:r>
      <w:r w:rsidR="001F2F3E">
        <w:t>ausea, insomnia and arthralgia</w:t>
      </w:r>
      <w:r w:rsidR="00211C86" w:rsidRPr="00211C86">
        <w:t>. Fatigue, nausea, insomnia, arthralgia, cough, and rash were more common in the RBV treated groups.</w:t>
      </w:r>
    </w:p>
    <w:p w:rsidR="00211C86" w:rsidRPr="00211C86" w:rsidRDefault="00211C86" w:rsidP="00211C86">
      <w:pPr>
        <w:pStyle w:val="Heading5"/>
      </w:pPr>
      <w:bookmarkStart w:id="290" w:name="_Other_studies"/>
      <w:bookmarkEnd w:id="290"/>
      <w:r w:rsidRPr="00211C86">
        <w:t>Other studies</w:t>
      </w:r>
    </w:p>
    <w:p w:rsidR="00211C86" w:rsidRPr="00211C86" w:rsidRDefault="001F2F3E" w:rsidP="00211C86">
      <w:r>
        <w:t xml:space="preserve">In Study GS-US-337-0118, </w:t>
      </w:r>
      <w:r w:rsidR="00211C86" w:rsidRPr="00211C86">
        <w:t>TEAEs were reported in 9 (45.0%) subjects in the SOF / LDV FDC treatment naïve 8 week group; 12 (57.1%) in the SOF / LDV FDC + RBV treatment naïve 8 week group; 8 (42.1%) in the SOF / LDV FDC treatment naïve 12 week group; 7 (36.8%) in the SOF / LDV FDC treatment experienced 12 week group; and 12 (57.1%) in the SOF / LDV FDC + RBV treatment</w:t>
      </w:r>
      <w:r w:rsidR="001C473D">
        <w:t xml:space="preserve"> experienced 12 week group. </w:t>
      </w:r>
      <w:r w:rsidR="00211C86" w:rsidRPr="00211C86">
        <w:t>The commonest TEAEs were nausea, anaemia and upper respiratory tract infection, which were more common in the SOF / LDV FDC + RBV treat</w:t>
      </w:r>
      <w:r>
        <w:t>ment experienced 12 week group.</w:t>
      </w:r>
    </w:p>
    <w:p w:rsidR="00211C86" w:rsidRPr="00211C86" w:rsidRDefault="00C21F05" w:rsidP="00886813">
      <w:r>
        <w:t xml:space="preserve">In Study GS-US-337-0122, </w:t>
      </w:r>
      <w:r w:rsidR="00211C86" w:rsidRPr="00211C86">
        <w:t xml:space="preserve">TEAEs were reported in 25 (100%) subjects in the SOF / LDV FDC group and 23 (88.5%) in </w:t>
      </w:r>
      <w:r w:rsidR="001C473D">
        <w:t xml:space="preserve">the SOF / LDV FDC + RBV group. </w:t>
      </w:r>
      <w:r w:rsidR="00211C86" w:rsidRPr="00211C86">
        <w:t>The commonest TEAEs were headache, URTI</w:t>
      </w:r>
      <w:r w:rsidR="008E28E6">
        <w:t>, nausea, fatigue and insomnia</w:t>
      </w:r>
      <w:r w:rsidR="000E2447">
        <w:t>.</w:t>
      </w:r>
    </w:p>
    <w:p w:rsidR="00211C86" w:rsidRPr="00211C86" w:rsidRDefault="00D16D7B" w:rsidP="00211C86">
      <w:r>
        <w:t xml:space="preserve">In Study P7977-0523, </w:t>
      </w:r>
      <w:r w:rsidR="00211C86" w:rsidRPr="00211C86">
        <w:t>TEAEs were reported in 7 (70%) subjects that were null responder GT1 treated with SOF / LDV FDC for 12 weeks; 8 (88.9%) subjects with null responder GT1 treated with SOF / LDV FDC + RBV for 12 weeks; 7 (70%) subjects with treatment naïve GT2/3 treated with SOF / LDV FDC for 12 weeks; 13 (92.9%) subjects with haemophilia and GT1-HCV treated with SOF / LDV FDC + RBV for 12 weeks, and 22 (88.0%) of subjects with treatment naïve GT1 treat</w:t>
      </w:r>
      <w:r w:rsidR="001C473D">
        <w:t xml:space="preserve">ed with SOF / LDV for 6 weeks. </w:t>
      </w:r>
      <w:r w:rsidR="00211C86" w:rsidRPr="00211C86">
        <w:t>The most frequently reported TEAEs were headache</w:t>
      </w:r>
      <w:r>
        <w:t>, nausea, fatigue and insomnia.</w:t>
      </w:r>
    </w:p>
    <w:p w:rsidR="00211C86" w:rsidRPr="00211C86" w:rsidRDefault="00211C86" w:rsidP="00211C86">
      <w:pPr>
        <w:pStyle w:val="Heading4"/>
      </w:pPr>
      <w:bookmarkStart w:id="291" w:name="_Ref272333567"/>
      <w:bookmarkStart w:id="292" w:name="_Toc272414665"/>
      <w:bookmarkStart w:id="293" w:name="_Toc290846303"/>
      <w:bookmarkStart w:id="294" w:name="_Toc408164091"/>
      <w:r w:rsidRPr="00211C86">
        <w:t>Treatment-related adverse events (adverse drug reactions)</w:t>
      </w:r>
      <w:bookmarkEnd w:id="291"/>
      <w:bookmarkEnd w:id="292"/>
      <w:bookmarkEnd w:id="293"/>
      <w:bookmarkEnd w:id="294"/>
    </w:p>
    <w:p w:rsidR="00211C86" w:rsidRPr="00211C86" w:rsidRDefault="00211C86" w:rsidP="00211C86">
      <w:pPr>
        <w:pStyle w:val="Heading5"/>
      </w:pPr>
      <w:bookmarkStart w:id="295" w:name="_Pivotal_studies_4"/>
      <w:bookmarkEnd w:id="295"/>
      <w:r w:rsidRPr="00211C86">
        <w:t>Pivotal studies</w:t>
      </w:r>
    </w:p>
    <w:p w:rsidR="00211C86" w:rsidRPr="00211C86" w:rsidRDefault="00277C8A" w:rsidP="00211C86">
      <w:r>
        <w:t xml:space="preserve">In Study GS-US-337-0102, </w:t>
      </w:r>
      <w:r w:rsidR="00211C86" w:rsidRPr="00211C86">
        <w:t xml:space="preserve">treatment related TEAEs were reported in 106 (49.5%) subjects in the SOF / LDV 12 week group, 152 (70.0%) in the SOF / LDV + RBV 12 week, 115 (53.0%) in the SOF / LDV 24 week and 170 (78.3%) in the SOF / LDV + RBV </w:t>
      </w:r>
      <w:r w:rsidR="001C473D">
        <w:t xml:space="preserve">24 week. </w:t>
      </w:r>
      <w:r w:rsidR="00211C86" w:rsidRPr="00211C86">
        <w:t>The commonest treatment related TEAEs were fatigue,</w:t>
      </w:r>
      <w:r>
        <w:t xml:space="preserve"> headache, insomnia and nausea</w:t>
      </w:r>
      <w:r w:rsidR="001C473D">
        <w:t xml:space="preserve">. </w:t>
      </w:r>
      <w:r w:rsidR="00211C86" w:rsidRPr="00211C86">
        <w:t>Fatigue and insomnia were more common in subjects co-medicated with RBV.</w:t>
      </w:r>
    </w:p>
    <w:p w:rsidR="00211C86" w:rsidRPr="00211C86" w:rsidRDefault="004874B0" w:rsidP="00211C86">
      <w:r>
        <w:t xml:space="preserve">In Study GS-US-337-0108, </w:t>
      </w:r>
      <w:r w:rsidR="00211C86" w:rsidRPr="00211C86">
        <w:t>treatment related TEAEs were reported in 82 (38.1%) subjects in the SOF / LDV FDC 8 week group, 133 (61.6%) subjects in the SOF / LDV FDC + RBV 8 week group, and 93 (43.1%) subjects in th</w:t>
      </w:r>
      <w:r w:rsidR="001C473D">
        <w:t xml:space="preserve">e SOF / LDV FDC 12 week group. </w:t>
      </w:r>
      <w:r w:rsidR="00211C86" w:rsidRPr="00211C86">
        <w:t>The most commonly reported treatment related TEAEs were fatigue, headache and nausea, which were more common</w:t>
      </w:r>
      <w:r>
        <w:t xml:space="preserve"> in the group treated with RBV.</w:t>
      </w:r>
    </w:p>
    <w:p w:rsidR="00211C86" w:rsidRPr="00211C86" w:rsidRDefault="005C0BC9" w:rsidP="00211C86">
      <w:r>
        <w:t>In Study GS-US-337-0109,</w:t>
      </w:r>
      <w:r w:rsidR="00211C86" w:rsidRPr="00211C86">
        <w:t xml:space="preserve"> treatment related TEAEs were reported in 38 (34.9%) subjects in the SOF / LDV FDC 12 week group, 77 (69.4%) in the SOF / LDV FDC + RBV 12 week, 50 (45.9%) in the SOF / LDV FDC 24 week and 85 (76.6%) in th</w:t>
      </w:r>
      <w:r w:rsidR="001C473D">
        <w:t xml:space="preserve">e SOF / LDV FDC + RBV 24 week. </w:t>
      </w:r>
      <w:r w:rsidR="00211C86" w:rsidRPr="00211C86">
        <w:t>The most commonly reported treatment related TEAEs were fatigue, headache, nausea, insomnia and arthralgia, all of which were more co</w:t>
      </w:r>
      <w:r w:rsidR="001F101D">
        <w:t>mmon in the RBV treated groups</w:t>
      </w:r>
      <w:r w:rsidR="00211C86">
        <w:t>.</w:t>
      </w:r>
    </w:p>
    <w:p w:rsidR="00211C86" w:rsidRPr="00211C86" w:rsidRDefault="00211C86" w:rsidP="00211C86">
      <w:pPr>
        <w:pStyle w:val="Heading5"/>
      </w:pPr>
      <w:bookmarkStart w:id="296" w:name="_Other_studies_1"/>
      <w:bookmarkEnd w:id="296"/>
      <w:r w:rsidRPr="00211C86">
        <w:t>Other studies</w:t>
      </w:r>
    </w:p>
    <w:p w:rsidR="00211C86" w:rsidRPr="00211C86" w:rsidRDefault="00211C86" w:rsidP="00211C86">
      <w:r w:rsidRPr="00211C86">
        <w:t>In Study GS-US-337-0118 (Table 1.3.4) treatment related TEAEs were reported in 5 (25.0%) subjects in the SOF / LDV FDC treatment naïve 8 week group; 6 (47.6%) in the SOF / LDV FDC + RBV treatment naïve 8 week group; 2 (10.5%) in the SOF / LDV FDC treatment naïve 12 week group; one (5.3%) in the SOF / LDV FDC treatment experienced 12 week group; and 10 (47.6%) in the SOF / LDV FDC + RBV treatm</w:t>
      </w:r>
      <w:r w:rsidR="001C473D">
        <w:t xml:space="preserve">ent experienced 12 week group. </w:t>
      </w:r>
      <w:r w:rsidRPr="00211C86">
        <w:t>The most common treatment related TEAEs were anaemia and nausea, which were more common in the SOF / LDV FDC + RBV treat</w:t>
      </w:r>
      <w:r w:rsidR="001F101D">
        <w:t>ment experienced 12 week group</w:t>
      </w:r>
      <w:r w:rsidRPr="00211C86">
        <w:t>.</w:t>
      </w:r>
    </w:p>
    <w:p w:rsidR="00211C86" w:rsidRPr="00211C86" w:rsidRDefault="00211C86" w:rsidP="00211C86">
      <w:r w:rsidRPr="00211C86">
        <w:t>In</w:t>
      </w:r>
      <w:r w:rsidR="001F101D">
        <w:t xml:space="preserve"> Study GS-US-337-0122, </w:t>
      </w:r>
      <w:r w:rsidRPr="00211C86">
        <w:t>treatment related TEAEs were reported in 18 (72%) subjects in the SOF / LDV FDC group and 17 (65.4%) in</w:t>
      </w:r>
      <w:r>
        <w:t xml:space="preserve"> the SOF / LDV FDC + RBV group.</w:t>
      </w:r>
    </w:p>
    <w:p w:rsidR="00211C86" w:rsidRPr="00211C86" w:rsidRDefault="001F101D" w:rsidP="00211C86">
      <w:r>
        <w:t xml:space="preserve">In Study P7977-0523, </w:t>
      </w:r>
      <w:r w:rsidR="00211C86" w:rsidRPr="00211C86">
        <w:t>treatment related TEAEs were reported in 6 (60%) subjects that were null responder GT1 treated with SOF / LDV FDC for 12 weeks; 8 (88.9%) subjects with null responder GT1 treated with SOF / LDV FDC + RBV for 12 weeks; 6 (60%) subjects with treatment naïve GT2/3 treated with SOF / LDV FDC for 12 weeks; 12 (85.7%) subjects with haemophilia and GT1-HCV treated with SOF / LDV FDC + RBV for 12 weeks, and 22 (88.0%) of subjects with treatment naïve GT1 treat</w:t>
      </w:r>
      <w:r w:rsidR="001C473D">
        <w:t xml:space="preserve">ed with SOF / LDV for 6 weeks. </w:t>
      </w:r>
      <w:r w:rsidR="00211C86" w:rsidRPr="00211C86">
        <w:t>Headache, fatigue, nausea and insomnia were more co</w:t>
      </w:r>
      <w:r>
        <w:t>mmon in the RBV treated groups.</w:t>
      </w:r>
    </w:p>
    <w:p w:rsidR="00211C86" w:rsidRPr="00211C86" w:rsidRDefault="00211C86" w:rsidP="00211C86">
      <w:pPr>
        <w:pStyle w:val="Heading4"/>
      </w:pPr>
      <w:bookmarkStart w:id="297" w:name="_Toc241374320"/>
      <w:bookmarkStart w:id="298" w:name="_Ref272333507"/>
      <w:bookmarkStart w:id="299" w:name="_Toc272414666"/>
      <w:bookmarkStart w:id="300" w:name="_Toc290846304"/>
      <w:bookmarkStart w:id="301" w:name="_Toc408164092"/>
      <w:r w:rsidRPr="00211C86">
        <w:t>Deaths and other serious adverse events</w:t>
      </w:r>
      <w:bookmarkEnd w:id="297"/>
      <w:bookmarkEnd w:id="298"/>
      <w:bookmarkEnd w:id="299"/>
      <w:bookmarkEnd w:id="300"/>
      <w:bookmarkEnd w:id="301"/>
    </w:p>
    <w:p w:rsidR="00211C86" w:rsidRPr="00211C86" w:rsidRDefault="00211C86" w:rsidP="00211C86">
      <w:pPr>
        <w:pStyle w:val="Heading5"/>
      </w:pPr>
      <w:bookmarkStart w:id="302" w:name="_Pivotal_studies_3"/>
      <w:bookmarkEnd w:id="302"/>
      <w:r w:rsidRPr="00211C86">
        <w:t>Pivotal studies</w:t>
      </w:r>
    </w:p>
    <w:p w:rsidR="00211C86" w:rsidRPr="00211C86" w:rsidRDefault="00E678B8" w:rsidP="00211C86">
      <w:r>
        <w:t xml:space="preserve">In Study GS-US-337-0102, </w:t>
      </w:r>
      <w:r w:rsidR="001C473D">
        <w:t xml:space="preserve">there were no deaths. </w:t>
      </w:r>
      <w:r w:rsidR="00211C86" w:rsidRPr="00211C86">
        <w:t>SAEs were reported in one (0.5%) subjects in the SOF / LDV 12 week group, seven (3.2%) in the SOF / LDV + RBV 12 week, 18 (8.3%) in the SOF / LDV 24 week and six (2.8%) i</w:t>
      </w:r>
      <w:r w:rsidR="001C473D">
        <w:t xml:space="preserve">n the SOF / LDV + RBV 24 week. </w:t>
      </w:r>
      <w:r w:rsidR="00211C86" w:rsidRPr="00211C86">
        <w:t>There was n</w:t>
      </w:r>
      <w:r w:rsidR="00093290">
        <w:t>o apparent pattern to the SAEs.</w:t>
      </w:r>
    </w:p>
    <w:p w:rsidR="00211C86" w:rsidRPr="00211C86" w:rsidRDefault="00E678B8" w:rsidP="00211C86">
      <w:r>
        <w:t xml:space="preserve">In Study GS-US-337-0108, </w:t>
      </w:r>
      <w:r w:rsidR="001C473D">
        <w:t xml:space="preserve">there were no deaths. </w:t>
      </w:r>
      <w:r w:rsidR="00211C86" w:rsidRPr="00211C86">
        <w:t>SAEs were reported in four (1.9%) subjects in the SOF / LDV FDC 8 week group, one (0.5%) subject in the SOF / LDV FDC + RBV 8 week group, and five (2.3%) subjects in th</w:t>
      </w:r>
      <w:r w:rsidR="001C473D">
        <w:t xml:space="preserve">e SOF / LDV FDC 12 week group. </w:t>
      </w:r>
      <w:r w:rsidR="00211C86" w:rsidRPr="00211C86">
        <w:t>There was n</w:t>
      </w:r>
      <w:r w:rsidR="00093290">
        <w:t>o apparent pattern to the SAEs.</w:t>
      </w:r>
    </w:p>
    <w:p w:rsidR="00211C86" w:rsidRPr="00211C86" w:rsidRDefault="00E678B8" w:rsidP="00211C86">
      <w:r>
        <w:t xml:space="preserve">In Study GS-US-337-0109, </w:t>
      </w:r>
      <w:r w:rsidR="001C473D">
        <w:t xml:space="preserve">there were no deaths. </w:t>
      </w:r>
      <w:r w:rsidR="00211C86" w:rsidRPr="00211C86">
        <w:t>SAEs were reported in no subjects in the SOF / LDV FDC 12 week group, none in the SOF / LDV FDC + RBV 12 week, six (5.5%) in the SOF / LDV FDC 24 week and three (2.7%) in th</w:t>
      </w:r>
      <w:r w:rsidR="001C473D">
        <w:t xml:space="preserve">e SOF / LDV FDC + RBV 24 week. </w:t>
      </w:r>
      <w:r w:rsidR="00211C86" w:rsidRPr="00211C86">
        <w:t>There was n</w:t>
      </w:r>
      <w:r>
        <w:t>o apparent pattern to the SAEs.</w:t>
      </w:r>
    </w:p>
    <w:p w:rsidR="00211C86" w:rsidRPr="00211C86" w:rsidRDefault="00211C86" w:rsidP="00211C86">
      <w:pPr>
        <w:pStyle w:val="Heading5"/>
      </w:pPr>
      <w:r w:rsidRPr="00211C86">
        <w:t>Other studies</w:t>
      </w:r>
    </w:p>
    <w:p w:rsidR="00211C86" w:rsidRPr="00211C86" w:rsidRDefault="00E678B8" w:rsidP="00211C86">
      <w:r>
        <w:t xml:space="preserve">In Study GS-US-337-0118, </w:t>
      </w:r>
      <w:r w:rsidR="001C473D">
        <w:t xml:space="preserve">there were no deaths. </w:t>
      </w:r>
      <w:r w:rsidR="00211C86" w:rsidRPr="00211C86">
        <w:t>SAEs were reported in no subjects in the SOF / LDV FDC treatment naïve 8 week group; one (4.8%) in the SOF / LDV FDC + RBV treatment naïve 8 week group (delirium); one (5.3%) in the SOF / LDV FDC treatment naïve 12 week group (peptic ulcer); one (5.3%) in the SOF / LDV FDC treatment experienced 12 week group (spinal compression fracture); and one (4.8%) in the SOF / LDV FDC + RBV treatment experienced 12 week group (anaemia and suicidal ideation).</w:t>
      </w:r>
    </w:p>
    <w:p w:rsidR="00211C86" w:rsidRPr="00211C86" w:rsidRDefault="00E678B8" w:rsidP="00211C86">
      <w:r>
        <w:t xml:space="preserve">In Study GS-US-337-0122, </w:t>
      </w:r>
      <w:r w:rsidR="001C473D">
        <w:t xml:space="preserve">there were no deaths. </w:t>
      </w:r>
      <w:r w:rsidR="00211C86" w:rsidRPr="00211C86">
        <w:t xml:space="preserve">SAEs were reported in four (16%) subjects in the SOF / LDV FDC group (abdominal pain, upper abdominal pain, diverticular perforation and </w:t>
      </w:r>
      <w:proofErr w:type="spellStart"/>
      <w:r w:rsidR="00211C86" w:rsidRPr="00211C86">
        <w:t>choroidal</w:t>
      </w:r>
      <w:proofErr w:type="spellEnd"/>
      <w:r w:rsidR="00211C86" w:rsidRPr="00211C86">
        <w:t xml:space="preserve"> effusion / lens dislocation) and none in the</w:t>
      </w:r>
      <w:r w:rsidR="00211C86">
        <w:t xml:space="preserve"> SOF / LDV FDC + RBV group.</w:t>
      </w:r>
    </w:p>
    <w:p w:rsidR="00211C86" w:rsidRPr="00211C86" w:rsidRDefault="005077AB" w:rsidP="00211C86">
      <w:r>
        <w:t xml:space="preserve">In Study P7977-0523, </w:t>
      </w:r>
      <w:r w:rsidR="001C473D">
        <w:t xml:space="preserve">there were no deaths. </w:t>
      </w:r>
      <w:r w:rsidR="00211C86" w:rsidRPr="00211C86">
        <w:t xml:space="preserve">SAEs were reported in 2 (14.3%) subjects with haemophilia and GT1-HCV treated with SOF / LDV FDC + RBV for 12 weeks (syncope and </w:t>
      </w:r>
      <w:proofErr w:type="spellStart"/>
      <w:r w:rsidR="00211C86" w:rsidRPr="00211C86">
        <w:t>cholelithiasis</w:t>
      </w:r>
      <w:proofErr w:type="spellEnd"/>
      <w:r w:rsidR="00211C86" w:rsidRPr="00211C86">
        <w:t>).</w:t>
      </w:r>
    </w:p>
    <w:p w:rsidR="00211C86" w:rsidRPr="00211C86" w:rsidRDefault="00211C86" w:rsidP="00886813">
      <w:pPr>
        <w:pStyle w:val="Heading4"/>
      </w:pPr>
      <w:bookmarkStart w:id="303" w:name="_Toc241374325"/>
      <w:bookmarkStart w:id="304" w:name="_Ref272333477"/>
      <w:bookmarkStart w:id="305" w:name="_Toc272414667"/>
      <w:bookmarkStart w:id="306" w:name="_Toc290846305"/>
      <w:bookmarkStart w:id="307" w:name="_Toc408164093"/>
      <w:r w:rsidRPr="00211C86">
        <w:t>Discontinuation due to adverse events</w:t>
      </w:r>
      <w:bookmarkEnd w:id="303"/>
      <w:bookmarkEnd w:id="304"/>
      <w:bookmarkEnd w:id="305"/>
      <w:bookmarkEnd w:id="306"/>
      <w:bookmarkEnd w:id="307"/>
    </w:p>
    <w:p w:rsidR="00211C86" w:rsidRPr="00211C86" w:rsidRDefault="00211C86" w:rsidP="00886813">
      <w:pPr>
        <w:pStyle w:val="Heading5"/>
      </w:pPr>
      <w:bookmarkStart w:id="308" w:name="_Pivotal_studies_2"/>
      <w:bookmarkEnd w:id="308"/>
      <w:r w:rsidRPr="00211C86">
        <w:t>Pivotal studies</w:t>
      </w:r>
    </w:p>
    <w:p w:rsidR="00211C86" w:rsidRPr="00211C86" w:rsidRDefault="00211C86" w:rsidP="00886813">
      <w:r w:rsidRPr="00211C86">
        <w:t>In Stu</w:t>
      </w:r>
      <w:r w:rsidR="005077AB">
        <w:t xml:space="preserve">dy GS-US-337-0102, </w:t>
      </w:r>
      <w:r w:rsidRPr="00211C86">
        <w:t>DAEs (from SOF / LDV) were reported in no subjects in the SOF / LDV 12 week or SOF / LDV + RBV 12 week groups, four (1.8%) in the SOF / LDV 24 week and six (2.8%) i</w:t>
      </w:r>
      <w:r w:rsidR="001C473D">
        <w:t xml:space="preserve">n the SOF / LDV + RBV 24 week. </w:t>
      </w:r>
      <w:r w:rsidRPr="00211C86">
        <w:t>There was n</w:t>
      </w:r>
      <w:r w:rsidR="005077AB">
        <w:t>o apparent pattern to the DAEs.</w:t>
      </w:r>
    </w:p>
    <w:p w:rsidR="00211C86" w:rsidRPr="00211C86" w:rsidRDefault="00C77A39" w:rsidP="00211C86">
      <w:r>
        <w:t xml:space="preserve">In Study GS-US-337-0108, </w:t>
      </w:r>
      <w:r w:rsidR="00211C86" w:rsidRPr="00211C86">
        <w:t>DAE was reported for no subjects in the SOF / LDV FDC 8 week group, one (0.5%) subjects in the SOF / LDV FDC + RBV 8 week group (road traffic accident), and two (0.9%) subjects in the SOF / LDV FDC 12 week group (arthralgia, squ</w:t>
      </w:r>
      <w:r w:rsidR="00211C86">
        <w:t>amous cell carcinoma of lung).</w:t>
      </w:r>
    </w:p>
    <w:p w:rsidR="00211C86" w:rsidRPr="00211C86" w:rsidRDefault="00211C86" w:rsidP="00211C86">
      <w:r w:rsidRPr="00211C86">
        <w:t>In Stu</w:t>
      </w:r>
      <w:r w:rsidR="00C77A39">
        <w:t xml:space="preserve">dy GS-US-337-0109, </w:t>
      </w:r>
      <w:r w:rsidRPr="00211C86">
        <w:t>there were no DAEs.</w:t>
      </w:r>
    </w:p>
    <w:p w:rsidR="00211C86" w:rsidRPr="00211C86" w:rsidRDefault="00211C86" w:rsidP="00211C86">
      <w:pPr>
        <w:pStyle w:val="Heading5"/>
      </w:pPr>
      <w:r w:rsidRPr="00211C86">
        <w:t>Other studies</w:t>
      </w:r>
    </w:p>
    <w:p w:rsidR="00211C86" w:rsidRPr="00211C86" w:rsidRDefault="00C77A39" w:rsidP="00211C86">
      <w:r>
        <w:t xml:space="preserve">In Study GS-US-337-0118, </w:t>
      </w:r>
      <w:r w:rsidR="00211C86" w:rsidRPr="00211C86">
        <w:t>there were no DAEs.</w:t>
      </w:r>
    </w:p>
    <w:p w:rsidR="002C1A19" w:rsidRDefault="00C77A39" w:rsidP="00211C86">
      <w:r>
        <w:t xml:space="preserve">In Study GS-US-337-0122, </w:t>
      </w:r>
      <w:r w:rsidR="00211C86" w:rsidRPr="00211C86">
        <w:t xml:space="preserve">DAEs were reported in one (4.0%) subject in the SOF / LDV FDC group (diverticular perforation) and none in </w:t>
      </w:r>
      <w:r w:rsidR="001C473D">
        <w:t>the SOF / LDV FDC + RBV group</w:t>
      </w:r>
      <w:r w:rsidR="002C1A19">
        <w:t>.</w:t>
      </w:r>
    </w:p>
    <w:p w:rsidR="00211C86" w:rsidRPr="00211C86" w:rsidRDefault="00C77A39" w:rsidP="00211C86">
      <w:r>
        <w:t xml:space="preserve">In Study P7977-0523, </w:t>
      </w:r>
      <w:r w:rsidR="00211C86" w:rsidRPr="00211C86">
        <w:t>there were no DAEs.</w:t>
      </w:r>
    </w:p>
    <w:p w:rsidR="00211C86" w:rsidRPr="00211C86" w:rsidRDefault="00211C86" w:rsidP="00886813">
      <w:pPr>
        <w:pStyle w:val="Heading3"/>
      </w:pPr>
      <w:bookmarkStart w:id="309" w:name="_Toc241374321"/>
      <w:bookmarkStart w:id="310" w:name="_Ref271044780"/>
      <w:bookmarkStart w:id="311" w:name="_Ref271196640"/>
      <w:bookmarkStart w:id="312" w:name="_Ref272333085"/>
      <w:bookmarkStart w:id="313" w:name="_Toc272414668"/>
      <w:bookmarkStart w:id="314" w:name="_Toc290846306"/>
      <w:bookmarkStart w:id="315" w:name="_Toc408164094"/>
      <w:bookmarkStart w:id="316" w:name="_Toc432073925"/>
      <w:r w:rsidRPr="00211C86">
        <w:t>Laboratory tests</w:t>
      </w:r>
      <w:bookmarkEnd w:id="309"/>
      <w:bookmarkEnd w:id="310"/>
      <w:bookmarkEnd w:id="311"/>
      <w:bookmarkEnd w:id="312"/>
      <w:bookmarkEnd w:id="313"/>
      <w:bookmarkEnd w:id="314"/>
      <w:bookmarkEnd w:id="315"/>
      <w:bookmarkEnd w:id="316"/>
    </w:p>
    <w:p w:rsidR="00211C86" w:rsidRPr="00211C86" w:rsidRDefault="00211C86" w:rsidP="00886813">
      <w:pPr>
        <w:pStyle w:val="Heading4"/>
      </w:pPr>
      <w:bookmarkStart w:id="317" w:name="_Toc272414669"/>
      <w:bookmarkStart w:id="318" w:name="_Toc290846307"/>
      <w:bookmarkStart w:id="319" w:name="_Toc408164095"/>
      <w:r w:rsidRPr="00211C86">
        <w:t>Liver function</w:t>
      </w:r>
      <w:bookmarkEnd w:id="317"/>
      <w:bookmarkEnd w:id="318"/>
      <w:bookmarkEnd w:id="319"/>
    </w:p>
    <w:p w:rsidR="00211C86" w:rsidRPr="00211C86" w:rsidRDefault="00211C86" w:rsidP="00886813">
      <w:pPr>
        <w:pStyle w:val="Heading5"/>
      </w:pPr>
      <w:bookmarkStart w:id="320" w:name="_Pivotal_studies_1"/>
      <w:bookmarkEnd w:id="320"/>
      <w:r w:rsidRPr="00211C86">
        <w:t>Pivotal studies</w:t>
      </w:r>
    </w:p>
    <w:p w:rsidR="00211C86" w:rsidRPr="00211C86" w:rsidRDefault="00C77A39" w:rsidP="00211C86">
      <w:r>
        <w:t xml:space="preserve">In Study GS-US-337-0102, </w:t>
      </w:r>
      <w:r w:rsidR="00211C86" w:rsidRPr="00211C86">
        <w:t xml:space="preserve">significant post-baseline elevation of AST and/or ALT was reported for one </w:t>
      </w:r>
      <w:r>
        <w:t xml:space="preserve">subject in the SOF / LDV group. </w:t>
      </w:r>
      <w:r w:rsidR="00211C86" w:rsidRPr="00211C86">
        <w:t>One subject had AST or ALT &gt;</w:t>
      </w:r>
      <w:r w:rsidR="00D5308D">
        <w:t xml:space="preserve"> </w:t>
      </w:r>
      <w:r w:rsidR="00211C86" w:rsidRPr="00211C86">
        <w:t>3xULN and bilirubin &gt;</w:t>
      </w:r>
      <w:r w:rsidR="00D5308D">
        <w:t xml:space="preserve"> </w:t>
      </w:r>
      <w:r w:rsidR="00211C86" w:rsidRPr="00211C86">
        <w:t>2xULN with no signs of liver disease that resolved on treatment (and was not attributed to SOF / LDV).</w:t>
      </w:r>
    </w:p>
    <w:p w:rsidR="00211C86" w:rsidRPr="00211C86" w:rsidRDefault="00C77A39" w:rsidP="00211C86">
      <w:r>
        <w:t>In Study GS-US-337-0108</w:t>
      </w:r>
      <w:r w:rsidR="00211C86" w:rsidRPr="00211C86">
        <w:t>, Grade 4 elevation in ALT and AST was reported in one subject in t</w:t>
      </w:r>
      <w:r>
        <w:t>he SOF / LDV FDC 12 week group</w:t>
      </w:r>
      <w:r w:rsidR="00211C86">
        <w:t xml:space="preserve">. </w:t>
      </w:r>
      <w:r w:rsidR="00211C86" w:rsidRPr="00211C86">
        <w:t>No subjects in any treatment group had an AST or ALT &gt;</w:t>
      </w:r>
      <w:r w:rsidR="00D5308D">
        <w:t xml:space="preserve"> </w:t>
      </w:r>
      <w:r w:rsidR="00211C86" w:rsidRPr="00211C86">
        <w:t>3×ULN and total bilirubin &gt;</w:t>
      </w:r>
      <w:r w:rsidR="00D5308D">
        <w:t xml:space="preserve"> </w:t>
      </w:r>
      <w:r w:rsidR="00211C86" w:rsidRPr="00211C86">
        <w:t>2×ULN.</w:t>
      </w:r>
    </w:p>
    <w:p w:rsidR="00211C86" w:rsidRPr="00211C86" w:rsidRDefault="00FA21CE" w:rsidP="00211C86">
      <w:r>
        <w:t xml:space="preserve">In Study GS-US-337-0109, </w:t>
      </w:r>
      <w:r w:rsidR="00211C86" w:rsidRPr="00211C86">
        <w:t>grade 3 abnormalities in ALT were reported for one (0.9%) subject in the SOF / LDV FDC 12 week group, and one (0.9%) in the SOF / LDV FDC 24 week; and in AST for one (0.9</w:t>
      </w:r>
      <w:r>
        <w:t>%) in the SOF / LDV FDC 24 week</w:t>
      </w:r>
      <w:r w:rsidR="00211C86">
        <w:t xml:space="preserve">. </w:t>
      </w:r>
      <w:r w:rsidR="00211C86" w:rsidRPr="00211C86">
        <w:t>There were no subjects with on-treatment AST or ALT &gt;</w:t>
      </w:r>
      <w:r w:rsidR="00D5308D">
        <w:t xml:space="preserve"> </w:t>
      </w:r>
      <w:r w:rsidR="00211C86" w:rsidRPr="00211C86">
        <w:t>3xULN and total bilirubin &gt;</w:t>
      </w:r>
      <w:r w:rsidR="00D5308D">
        <w:t xml:space="preserve"> </w:t>
      </w:r>
      <w:r w:rsidR="00211C86" w:rsidRPr="00211C86">
        <w:t>2xULN.</w:t>
      </w:r>
    </w:p>
    <w:p w:rsidR="00211C86" w:rsidRPr="00211C86" w:rsidRDefault="00211C86" w:rsidP="00211C86">
      <w:pPr>
        <w:pStyle w:val="Heading5"/>
      </w:pPr>
      <w:r w:rsidRPr="00211C86">
        <w:t>Other studies</w:t>
      </w:r>
    </w:p>
    <w:p w:rsidR="00211C86" w:rsidRPr="00211C86" w:rsidRDefault="00B661F4" w:rsidP="00211C86">
      <w:r>
        <w:t>In Study GS-US-337-0118,</w:t>
      </w:r>
      <w:r w:rsidR="00211C86" w:rsidRPr="00211C86">
        <w:t xml:space="preserve"> no subjects had significant elevation from baseline of AST, ALT or bilirubin.</w:t>
      </w:r>
    </w:p>
    <w:p w:rsidR="00211C86" w:rsidRPr="00211C86" w:rsidRDefault="00B661F4" w:rsidP="00211C86">
      <w:r>
        <w:t xml:space="preserve">In Study GS-US-337-0122, </w:t>
      </w:r>
      <w:r w:rsidR="00211C86" w:rsidRPr="00211C86">
        <w:t>there were no clinically significant abnormalities in ALT or AST.</w:t>
      </w:r>
    </w:p>
    <w:p w:rsidR="00211C86" w:rsidRPr="00211C86" w:rsidRDefault="00211C86" w:rsidP="00211C86">
      <w:pPr>
        <w:pStyle w:val="Heading4"/>
      </w:pPr>
      <w:bookmarkStart w:id="321" w:name="_Toc272414670"/>
      <w:bookmarkStart w:id="322" w:name="_Toc290846308"/>
      <w:bookmarkStart w:id="323" w:name="_Toc408164096"/>
      <w:r w:rsidRPr="00211C86">
        <w:t>Kidney function</w:t>
      </w:r>
      <w:bookmarkEnd w:id="321"/>
      <w:bookmarkEnd w:id="322"/>
      <w:bookmarkEnd w:id="323"/>
    </w:p>
    <w:p w:rsidR="00211C86" w:rsidRPr="00211C86" w:rsidRDefault="00211C86" w:rsidP="00211C86">
      <w:pPr>
        <w:pStyle w:val="Heading5"/>
      </w:pPr>
      <w:r w:rsidRPr="00211C86">
        <w:t>Pivotal studies</w:t>
      </w:r>
    </w:p>
    <w:p w:rsidR="00211C86" w:rsidRPr="00211C86" w:rsidRDefault="00211C86" w:rsidP="00211C86">
      <w:r w:rsidRPr="00211C86">
        <w:t>There were no reports of renal failure in the pivotal studies.</w:t>
      </w:r>
    </w:p>
    <w:p w:rsidR="00211C86" w:rsidRPr="00211C86" w:rsidRDefault="00211C86" w:rsidP="00211C86">
      <w:pPr>
        <w:pStyle w:val="Heading5"/>
      </w:pPr>
      <w:r w:rsidRPr="00211C86">
        <w:t>Other studies</w:t>
      </w:r>
    </w:p>
    <w:p w:rsidR="00211C86" w:rsidRPr="00211C86" w:rsidRDefault="00211C86" w:rsidP="00211C86">
      <w:r w:rsidRPr="00211C86">
        <w:t>There were no reports of renal failure in the supportive studies.</w:t>
      </w:r>
    </w:p>
    <w:p w:rsidR="00211C86" w:rsidRPr="00211C86" w:rsidRDefault="00211C86" w:rsidP="00211C86">
      <w:pPr>
        <w:pStyle w:val="Heading4"/>
      </w:pPr>
      <w:bookmarkStart w:id="324" w:name="_Toc272414671"/>
      <w:bookmarkStart w:id="325" w:name="_Toc290846309"/>
      <w:bookmarkStart w:id="326" w:name="_Toc408164097"/>
      <w:r w:rsidRPr="00211C86">
        <w:t>Other clinical chemistry</w:t>
      </w:r>
      <w:bookmarkEnd w:id="324"/>
      <w:bookmarkEnd w:id="325"/>
      <w:bookmarkEnd w:id="326"/>
    </w:p>
    <w:p w:rsidR="00211C86" w:rsidRPr="00211C86" w:rsidRDefault="00211C86" w:rsidP="00211C86">
      <w:pPr>
        <w:pStyle w:val="Heading5"/>
      </w:pPr>
      <w:r w:rsidRPr="00211C86">
        <w:t>Pivotal studies</w:t>
      </w:r>
    </w:p>
    <w:p w:rsidR="00211C86" w:rsidRPr="00211C86" w:rsidRDefault="00211C86" w:rsidP="00211C86">
      <w:r w:rsidRPr="00211C86">
        <w:t>In St</w:t>
      </w:r>
      <w:r w:rsidR="000B00E8">
        <w:t>udy GS-US-337-0102,</w:t>
      </w:r>
      <w:r w:rsidRPr="00211C86">
        <w:t xml:space="preserve"> significant (Grade 3 or 4) elevation in serum lipase was reported in five (2.3%) subjects in the SOF / LDV 12 week group, three (1.4%) in the SOF / LDV + RBV 12 week, eight (3.7%) in the SOF / LDV 24 week and four (1.8%) </w:t>
      </w:r>
      <w:r w:rsidR="000B00E8">
        <w:t>in the SOF / LDV + RBV 24 week.</w:t>
      </w:r>
    </w:p>
    <w:p w:rsidR="00211C86" w:rsidRPr="00211C86" w:rsidRDefault="00211C86" w:rsidP="00211C86">
      <w:r w:rsidRPr="00211C86">
        <w:t xml:space="preserve">In Study GS-US-337-0108 (Table 1.3.2) significant (Grade 3 or 4) elevation in serum lipase was reported in two (0.9%%) subjects in the SOF / LDV FDC 8 week group, one (0.5%) in the SOF / LDV FDC + RBV 8 week, and six (2.8%) in </w:t>
      </w:r>
      <w:r w:rsidR="000B00E8">
        <w:t>the SOF / LDV FDC 12 week group.</w:t>
      </w:r>
    </w:p>
    <w:p w:rsidR="00211C86" w:rsidRPr="00211C86" w:rsidRDefault="00211C86" w:rsidP="00211C86">
      <w:r w:rsidRPr="00211C86">
        <w:t>In Study GS-US-337-0109 (Table 1.3.3) grade 3or 4 abnormalities in lipase were reported for no subjects in the SOF / LDV FDC 12 week group, one (0.9%) in the SOF / LDV FDC + RBV 12 week, two (0.9%) in the SOF / LDV FDC 24 week and one (0.9%) in t</w:t>
      </w:r>
      <w:r w:rsidR="000B00E8">
        <w:t>he SOF / LDV FDC + RBV 24 week.</w:t>
      </w:r>
    </w:p>
    <w:p w:rsidR="00211C86" w:rsidRPr="00211C86" w:rsidRDefault="00211C86" w:rsidP="00211C86">
      <w:pPr>
        <w:pStyle w:val="Heading5"/>
      </w:pPr>
      <w:r w:rsidRPr="00211C86">
        <w:t>Other studies</w:t>
      </w:r>
    </w:p>
    <w:p w:rsidR="00211C86" w:rsidRPr="00211C86" w:rsidRDefault="00F063D3" w:rsidP="00211C86">
      <w:r>
        <w:t xml:space="preserve">In Study GS-US-337-0118, </w:t>
      </w:r>
      <w:r w:rsidR="00211C86" w:rsidRPr="00211C86">
        <w:t>one (5.3%) subject in the SOF / LDV FDC treatment experienced 12 week group had significant elevation in serum lipase.</w:t>
      </w:r>
    </w:p>
    <w:p w:rsidR="00211C86" w:rsidRPr="00211C86" w:rsidRDefault="00F063D3" w:rsidP="00211C86">
      <w:r>
        <w:t xml:space="preserve">In Study P7977-0523, </w:t>
      </w:r>
      <w:r w:rsidR="00211C86" w:rsidRPr="00211C86">
        <w:t>one subject had a grade 3 elevation in serum lipase.</w:t>
      </w:r>
    </w:p>
    <w:p w:rsidR="00211C86" w:rsidRPr="00211C86" w:rsidRDefault="00211C86" w:rsidP="00211C86">
      <w:pPr>
        <w:pStyle w:val="Heading4"/>
      </w:pPr>
      <w:bookmarkStart w:id="327" w:name="_Toc272414672"/>
      <w:bookmarkStart w:id="328" w:name="_Toc290846310"/>
      <w:bookmarkStart w:id="329" w:name="_Toc408164098"/>
      <w:r w:rsidRPr="00211C86">
        <w:t>Haematology</w:t>
      </w:r>
      <w:bookmarkEnd w:id="327"/>
      <w:bookmarkEnd w:id="328"/>
      <w:bookmarkEnd w:id="329"/>
    </w:p>
    <w:p w:rsidR="00211C86" w:rsidRPr="00211C86" w:rsidRDefault="00211C86" w:rsidP="00211C86">
      <w:pPr>
        <w:pStyle w:val="Heading5"/>
      </w:pPr>
      <w:bookmarkStart w:id="330" w:name="_Pivotal_studies"/>
      <w:bookmarkEnd w:id="330"/>
      <w:r w:rsidRPr="00211C86">
        <w:t>Pivotal studies</w:t>
      </w:r>
    </w:p>
    <w:p w:rsidR="00211C86" w:rsidRPr="00211C86" w:rsidRDefault="00F063D3" w:rsidP="00886813">
      <w:r>
        <w:t xml:space="preserve">In Study GS-US-337-0102, </w:t>
      </w:r>
      <w:r w:rsidR="00211C86" w:rsidRPr="00211C86">
        <w:t xml:space="preserve">a significant decrease in haemoglobin was reported in one (0.5%) subjects in the SOF / LDV 12 week group, 10 (4.6%) in the SOF / LDV + RBV 12 week, none in the SOF / LDV 24 week and 18 (8.3%) </w:t>
      </w:r>
      <w:r>
        <w:t xml:space="preserve">in the SOF / LDV + RBV 24 week. </w:t>
      </w:r>
      <w:r w:rsidR="00211C86" w:rsidRPr="00211C86">
        <w:t>Post baseline haemoglobin &lt;</w:t>
      </w:r>
      <w:r w:rsidR="00D5308D">
        <w:t xml:space="preserve"> </w:t>
      </w:r>
      <w:r w:rsidR="00211C86" w:rsidRPr="00211C86">
        <w:t>10 g/</w:t>
      </w:r>
      <w:proofErr w:type="spellStart"/>
      <w:r w:rsidR="00211C86" w:rsidRPr="00211C86">
        <w:t>dL</w:t>
      </w:r>
      <w:proofErr w:type="spellEnd"/>
      <w:r w:rsidR="00211C86" w:rsidRPr="00211C86">
        <w:t xml:space="preserve"> was only reported in the RBV groups: 20 (9.2%) subjects in the SOF / LDV + RBV 12 week and 16 (7.4%) in the SOF / LDV + RBV 24 week.</w:t>
      </w:r>
    </w:p>
    <w:p w:rsidR="00211C86" w:rsidRPr="00211C86" w:rsidRDefault="00F063D3" w:rsidP="00211C86">
      <w:r>
        <w:t xml:space="preserve">In Study GS-US-337-0108, </w:t>
      </w:r>
      <w:r w:rsidR="00211C86" w:rsidRPr="00211C86">
        <w:t>Grade 3 abnormalities in haemoglobin were reported no subjects in the SOF / LDV FDC 8 week group, 14 (6.5%) subjects in the SOF / LDV FDC + RBV 8 week group, and two (0.9%) subjects in the S</w:t>
      </w:r>
      <w:r>
        <w:t>OF / LDV FDC 12 week group</w:t>
      </w:r>
      <w:r w:rsidR="00211C86">
        <w:t xml:space="preserve">. </w:t>
      </w:r>
      <w:r w:rsidR="00211C86" w:rsidRPr="00211C86">
        <w:t>Post-baseline haemoglobin &lt;</w:t>
      </w:r>
      <w:r w:rsidR="00D5308D">
        <w:t xml:space="preserve"> </w:t>
      </w:r>
      <w:r w:rsidR="00211C86" w:rsidRPr="00211C86">
        <w:t>10 g/</w:t>
      </w:r>
      <w:proofErr w:type="spellStart"/>
      <w:r w:rsidR="00211C86" w:rsidRPr="00211C86">
        <w:t>dL</w:t>
      </w:r>
      <w:proofErr w:type="spellEnd"/>
      <w:r w:rsidR="00211C86" w:rsidRPr="00211C86">
        <w:t xml:space="preserve"> was reported in no subjects in the SOF / LDV FDC 8 week group, 11 (5.1%) subjects in the SOF / LDV FDC + RBV 8 week group, and one (0.5%) subjects in the SOF / LDV FDC 12 </w:t>
      </w:r>
      <w:r w:rsidR="00211C86">
        <w:t>week group.</w:t>
      </w:r>
    </w:p>
    <w:p w:rsidR="00211C86" w:rsidRPr="00211C86" w:rsidRDefault="00211C86" w:rsidP="00886813">
      <w:r w:rsidRPr="00211C86">
        <w:t>In St</w:t>
      </w:r>
      <w:r w:rsidR="002A0665">
        <w:t>udy GS-US-337-0109,</w:t>
      </w:r>
      <w:r w:rsidRPr="00211C86">
        <w:t xml:space="preserve"> grade 3 abnormalities in haemoglobin were only recorded in the RBV treated groups: 10 (9.0%) subjects in the SOF / LDV FDC + RBV 12 week group, and 22 (19.8%) in the SOF / LDV FDC + RBV 24 week</w:t>
      </w:r>
      <w:r>
        <w:t xml:space="preserve">. </w:t>
      </w:r>
      <w:r w:rsidRPr="00211C86">
        <w:t>The number (%) of subjects with haemoglobin &lt;</w:t>
      </w:r>
      <w:r w:rsidR="00D5308D">
        <w:t xml:space="preserve"> </w:t>
      </w:r>
      <w:r w:rsidRPr="00211C86">
        <w:t>10 g/</w:t>
      </w:r>
      <w:proofErr w:type="spellStart"/>
      <w:r w:rsidRPr="00211C86">
        <w:t>dL</w:t>
      </w:r>
      <w:proofErr w:type="spellEnd"/>
      <w:r w:rsidRPr="00211C86">
        <w:t xml:space="preserve"> was 2 (1.8%) in the SOF / LDV FDC + RBV 12 week group, and 9 (8.1%) in the SOF / LDV FDC + RBV 24 week.</w:t>
      </w:r>
    </w:p>
    <w:p w:rsidR="00211C86" w:rsidRPr="00211C86" w:rsidRDefault="00211C86" w:rsidP="00211C86">
      <w:pPr>
        <w:pStyle w:val="Heading5"/>
      </w:pPr>
      <w:bookmarkStart w:id="331" w:name="_Other_studies_2"/>
      <w:bookmarkEnd w:id="331"/>
      <w:r w:rsidRPr="00211C86">
        <w:t>Other studies</w:t>
      </w:r>
    </w:p>
    <w:p w:rsidR="00211C86" w:rsidRPr="00211C86" w:rsidRDefault="00211C86" w:rsidP="00211C86">
      <w:r w:rsidRPr="00211C86">
        <w:t>In</w:t>
      </w:r>
      <w:r w:rsidR="002A0665">
        <w:t xml:space="preserve"> Study GS-US-337-0118,</w:t>
      </w:r>
      <w:r w:rsidRPr="00211C86">
        <w:t xml:space="preserve"> low haemoglobin was reported for two (9.5%) subjects in the SOF / LDV FDC + RBV treatment naïve 8 week group and two (9.5%) in the SOF / LDV FDC + RBV treatment experienced 12 week group.</w:t>
      </w:r>
    </w:p>
    <w:p w:rsidR="00211C86" w:rsidRPr="00211C86" w:rsidRDefault="002A0665" w:rsidP="00211C86">
      <w:r>
        <w:t xml:space="preserve">In Study GS-US-337-0122, </w:t>
      </w:r>
      <w:r w:rsidR="00211C86" w:rsidRPr="00211C86">
        <w:t xml:space="preserve">grade 3 abnormalities in haemoglobin were reported in 5 (19.2%) subjects in </w:t>
      </w:r>
      <w:r w:rsidR="001C473D">
        <w:t xml:space="preserve">the SOF / LDV FDC + RBV group. </w:t>
      </w:r>
      <w:r w:rsidR="00211C86" w:rsidRPr="00211C86">
        <w:t>Haemolytic anaemia was reported in 4 (15.4%) subjects in the SOF / LDV FDC + RBV group.</w:t>
      </w:r>
    </w:p>
    <w:p w:rsidR="00211C86" w:rsidRPr="00211C86" w:rsidRDefault="00211C86" w:rsidP="00211C86">
      <w:r w:rsidRPr="00211C86">
        <w:t>The Sponsor has reported that the four drug combination of LDV + VDV + PEG + RBV is associated with a</w:t>
      </w:r>
      <w:r w:rsidR="001C473D">
        <w:t xml:space="preserve"> risk of pancytopenia of 0.3%. </w:t>
      </w:r>
      <w:r w:rsidRPr="00211C86">
        <w:t>There was also a rate of anaemia of around 20% and neutropenia of up to 17% with this combination (</w:t>
      </w:r>
      <w:hyperlink w:anchor="Table_1_4_2c" w:history="1">
        <w:r w:rsidRPr="00211C86">
          <w:t>Study GS-US-256-0148</w:t>
        </w:r>
      </w:hyperlink>
      <w:r>
        <w:t>).</w:t>
      </w:r>
    </w:p>
    <w:p w:rsidR="00211C86" w:rsidRPr="00211C86" w:rsidRDefault="00211C86" w:rsidP="00211C86">
      <w:pPr>
        <w:pStyle w:val="Heading4"/>
      </w:pPr>
      <w:bookmarkStart w:id="332" w:name="_Toc272414675"/>
      <w:bookmarkStart w:id="333" w:name="_Toc290846313"/>
      <w:bookmarkStart w:id="334" w:name="_Toc408164099"/>
      <w:r w:rsidRPr="00211C86">
        <w:t>Electrocardiograph</w:t>
      </w:r>
      <w:bookmarkEnd w:id="332"/>
      <w:bookmarkEnd w:id="333"/>
      <w:bookmarkEnd w:id="334"/>
    </w:p>
    <w:p w:rsidR="00211C86" w:rsidRPr="00211C86" w:rsidRDefault="00211C86" w:rsidP="00211C86">
      <w:pPr>
        <w:pStyle w:val="Heading5"/>
      </w:pPr>
      <w:r w:rsidRPr="00211C86">
        <w:t>Pivotal studies</w:t>
      </w:r>
    </w:p>
    <w:p w:rsidR="00211C86" w:rsidRPr="00211C86" w:rsidRDefault="005C57EF" w:rsidP="00211C86">
      <w:r>
        <w:t xml:space="preserve">In Study GS-US-337-0108, </w:t>
      </w:r>
      <w:r w:rsidR="00211C86" w:rsidRPr="00211C86">
        <w:t>one subject in the SOF / LDV FDC 8 week group had a new ECG finding of myocardial strain.</w:t>
      </w:r>
    </w:p>
    <w:p w:rsidR="00211C86" w:rsidRPr="00211C86" w:rsidRDefault="00211C86" w:rsidP="00211C86">
      <w:pPr>
        <w:pStyle w:val="Heading5"/>
      </w:pPr>
      <w:r w:rsidRPr="00211C86">
        <w:t>Other studies</w:t>
      </w:r>
    </w:p>
    <w:p w:rsidR="00211C86" w:rsidRPr="00211C86" w:rsidRDefault="00211C86" w:rsidP="00211C86">
      <w:r w:rsidRPr="00211C86">
        <w:t>There were no reports of significant ECG abnormalities in the supportive studies.</w:t>
      </w:r>
    </w:p>
    <w:p w:rsidR="00211C86" w:rsidRPr="00211C86" w:rsidRDefault="00211C86" w:rsidP="00211C86">
      <w:pPr>
        <w:pStyle w:val="Heading4"/>
      </w:pPr>
      <w:bookmarkStart w:id="335" w:name="_Toc272414676"/>
      <w:bookmarkStart w:id="336" w:name="_Toc290846314"/>
      <w:bookmarkStart w:id="337" w:name="_Toc408164100"/>
      <w:r w:rsidRPr="00211C86">
        <w:t>Vital signs</w:t>
      </w:r>
      <w:bookmarkEnd w:id="335"/>
      <w:bookmarkEnd w:id="336"/>
      <w:bookmarkEnd w:id="337"/>
    </w:p>
    <w:p w:rsidR="00211C86" w:rsidRPr="00211C86" w:rsidRDefault="00211C86" w:rsidP="00211C86">
      <w:pPr>
        <w:pStyle w:val="Heading5"/>
      </w:pPr>
      <w:r w:rsidRPr="00211C86">
        <w:t>Pivotal studies</w:t>
      </w:r>
    </w:p>
    <w:p w:rsidR="00211C86" w:rsidRPr="00211C86" w:rsidRDefault="005C57EF" w:rsidP="00886813">
      <w:r>
        <w:t xml:space="preserve">In Study GS-US-337-0102, </w:t>
      </w:r>
      <w:r w:rsidR="00211C86" w:rsidRPr="00211C86">
        <w:t>there were no clinically significant abnormalities in vital signs.</w:t>
      </w:r>
    </w:p>
    <w:p w:rsidR="00211C86" w:rsidRPr="00211C86" w:rsidRDefault="005C57EF" w:rsidP="00211C86">
      <w:r>
        <w:t xml:space="preserve">In Study GS-US-337-0108, </w:t>
      </w:r>
      <w:r w:rsidR="00211C86" w:rsidRPr="00211C86">
        <w:t>there were no reports of clinically significant changes in vital signs.</w:t>
      </w:r>
    </w:p>
    <w:p w:rsidR="00211C86" w:rsidRPr="00211C86" w:rsidRDefault="005C57EF" w:rsidP="00211C86">
      <w:r>
        <w:t xml:space="preserve">In Study GS-US-337-0109, </w:t>
      </w:r>
      <w:r w:rsidR="00211C86" w:rsidRPr="00211C86">
        <w:t>there were no reports of clinically significant changes in vital signs.</w:t>
      </w:r>
    </w:p>
    <w:p w:rsidR="00211C86" w:rsidRPr="00211C86" w:rsidRDefault="00211C86" w:rsidP="00211C86">
      <w:pPr>
        <w:pStyle w:val="Heading5"/>
      </w:pPr>
      <w:r w:rsidRPr="00211C86">
        <w:t>Other studies</w:t>
      </w:r>
    </w:p>
    <w:p w:rsidR="00211C86" w:rsidRPr="00211C86" w:rsidRDefault="005C57EF" w:rsidP="00211C86">
      <w:r>
        <w:t xml:space="preserve">In Study GS-US-337-0118, </w:t>
      </w:r>
      <w:r w:rsidR="00211C86" w:rsidRPr="00211C86">
        <w:t>there were no reports of clinically significant changes in vital signs.</w:t>
      </w:r>
    </w:p>
    <w:p w:rsidR="00211C86" w:rsidRPr="00211C86" w:rsidRDefault="00211C86" w:rsidP="00211C86">
      <w:pPr>
        <w:pStyle w:val="Heading3"/>
      </w:pPr>
      <w:bookmarkStart w:id="338" w:name="_Toc241374326"/>
      <w:bookmarkStart w:id="339" w:name="_Ref272333048"/>
      <w:bookmarkStart w:id="340" w:name="_Toc272414679"/>
      <w:bookmarkStart w:id="341" w:name="_Toc290846317"/>
      <w:bookmarkStart w:id="342" w:name="_Toc408164101"/>
      <w:bookmarkStart w:id="343" w:name="_Toc432073926"/>
      <w:r w:rsidRPr="00211C86">
        <w:t>Post-marketing experience</w:t>
      </w:r>
      <w:bookmarkEnd w:id="338"/>
      <w:bookmarkEnd w:id="339"/>
      <w:bookmarkEnd w:id="340"/>
      <w:bookmarkEnd w:id="341"/>
      <w:bookmarkEnd w:id="342"/>
      <w:bookmarkEnd w:id="343"/>
    </w:p>
    <w:p w:rsidR="00211C86" w:rsidRPr="00211C86" w:rsidRDefault="00211C86" w:rsidP="00211C86">
      <w:pPr>
        <w:pStyle w:val="Heading4"/>
      </w:pPr>
      <w:bookmarkStart w:id="344" w:name="_Toc408164102"/>
      <w:r w:rsidRPr="00211C86">
        <w:t>Post-marketing data</w:t>
      </w:r>
      <w:bookmarkEnd w:id="344"/>
    </w:p>
    <w:p w:rsidR="00211C86" w:rsidRPr="00211C86" w:rsidRDefault="00211C86" w:rsidP="00211C86">
      <w:r w:rsidRPr="00211C86">
        <w:t>No post-marketing data were included in the submission.</w:t>
      </w:r>
    </w:p>
    <w:p w:rsidR="00211C86" w:rsidRPr="00211C86" w:rsidRDefault="00211C86" w:rsidP="00211C86">
      <w:pPr>
        <w:pStyle w:val="Heading4"/>
      </w:pPr>
      <w:bookmarkStart w:id="345" w:name="_Toc408164103"/>
      <w:r w:rsidRPr="00211C86">
        <w:t xml:space="preserve">Risk </w:t>
      </w:r>
      <w:r w:rsidR="0043461B">
        <w:t>m</w:t>
      </w:r>
      <w:r w:rsidRPr="00211C86">
        <w:t xml:space="preserve">anagement </w:t>
      </w:r>
      <w:r w:rsidR="0043461B">
        <w:t>p</w:t>
      </w:r>
      <w:r w:rsidRPr="00211C86">
        <w:t>lan</w:t>
      </w:r>
      <w:bookmarkEnd w:id="345"/>
    </w:p>
    <w:p w:rsidR="00211C86" w:rsidRPr="00211C86" w:rsidRDefault="00211C86" w:rsidP="00211C86">
      <w:pPr>
        <w:pStyle w:val="Heading5"/>
      </w:pPr>
      <w:bookmarkStart w:id="346" w:name="_Toc408164104"/>
      <w:r w:rsidRPr="00211C86">
        <w:t xml:space="preserve">Important </w:t>
      </w:r>
      <w:r w:rsidR="0043461B">
        <w:t>i</w:t>
      </w:r>
      <w:r w:rsidRPr="00211C86">
        <w:t xml:space="preserve">dentified </w:t>
      </w:r>
      <w:r w:rsidR="0043461B">
        <w:t>r</w:t>
      </w:r>
      <w:r w:rsidRPr="00211C86">
        <w:t>isks</w:t>
      </w:r>
      <w:bookmarkEnd w:id="346"/>
    </w:p>
    <w:p w:rsidR="00211C86" w:rsidRPr="00211C86" w:rsidRDefault="00211C86" w:rsidP="00211C86">
      <w:r w:rsidRPr="00211C86">
        <w:t>The RMP states there are no Important Identified Risks for SOF/LDV or its components.</w:t>
      </w:r>
    </w:p>
    <w:p w:rsidR="00211C86" w:rsidRPr="00211C86" w:rsidRDefault="00211C86" w:rsidP="00211C86">
      <w:pPr>
        <w:pStyle w:val="Heading5"/>
      </w:pPr>
      <w:bookmarkStart w:id="347" w:name="_Toc408164105"/>
      <w:r w:rsidRPr="00211C86">
        <w:t xml:space="preserve">Important </w:t>
      </w:r>
      <w:r w:rsidR="0043461B">
        <w:t>p</w:t>
      </w:r>
      <w:r w:rsidRPr="00211C86">
        <w:t xml:space="preserve">otential </w:t>
      </w:r>
      <w:r w:rsidR="0043461B">
        <w:t>r</w:t>
      </w:r>
      <w:r w:rsidRPr="00211C86">
        <w:t>isks</w:t>
      </w:r>
      <w:bookmarkEnd w:id="347"/>
    </w:p>
    <w:p w:rsidR="00211C86" w:rsidRPr="00211C86" w:rsidRDefault="00211C86" w:rsidP="00211C86">
      <w:r w:rsidRPr="00211C86">
        <w:t>The RMP states the following Important Potential Risks:</w:t>
      </w:r>
    </w:p>
    <w:p w:rsidR="00211C86" w:rsidRPr="00211C86" w:rsidRDefault="00211C86" w:rsidP="00211C86">
      <w:pPr>
        <w:pStyle w:val="ListBullet"/>
      </w:pPr>
      <w:r w:rsidRPr="00211C86">
        <w:t xml:space="preserve">Drug-drug interaction with potent intestinal </w:t>
      </w:r>
      <w:proofErr w:type="spellStart"/>
      <w:r w:rsidRPr="00211C86">
        <w:t>Pgp</w:t>
      </w:r>
      <w:proofErr w:type="spellEnd"/>
      <w:r w:rsidRPr="00211C86">
        <w:t xml:space="preserve"> inducers (SOF, LDV)</w:t>
      </w:r>
    </w:p>
    <w:p w:rsidR="00211C86" w:rsidRPr="00211C86" w:rsidRDefault="00211C86" w:rsidP="00211C86">
      <w:pPr>
        <w:pStyle w:val="ListBullet"/>
      </w:pPr>
      <w:r w:rsidRPr="00211C86">
        <w:t>Staggered administration of proton pump inhibitors (LDV)</w:t>
      </w:r>
    </w:p>
    <w:p w:rsidR="00211C86" w:rsidRPr="00211C86" w:rsidRDefault="00211C86" w:rsidP="00211C86">
      <w:pPr>
        <w:pStyle w:val="ListBullet"/>
      </w:pPr>
      <w:r w:rsidRPr="00211C86">
        <w:t xml:space="preserve">Drug-drug interaction with </w:t>
      </w:r>
      <w:proofErr w:type="spellStart"/>
      <w:r w:rsidRPr="00211C86">
        <w:t>rosuvastatin</w:t>
      </w:r>
      <w:proofErr w:type="spellEnd"/>
      <w:r w:rsidRPr="00211C86">
        <w:t xml:space="preserve"> (LDV)</w:t>
      </w:r>
    </w:p>
    <w:p w:rsidR="00211C86" w:rsidRPr="00211C86" w:rsidRDefault="00211C86" w:rsidP="00211C86">
      <w:pPr>
        <w:pStyle w:val="ListBullet"/>
      </w:pPr>
      <w:r w:rsidRPr="00211C86">
        <w:t>Drug-drug interaction with digoxin (LDV)</w:t>
      </w:r>
    </w:p>
    <w:p w:rsidR="00211C86" w:rsidRPr="00211C86" w:rsidRDefault="00211C86" w:rsidP="00211C86">
      <w:pPr>
        <w:pStyle w:val="Heading5"/>
      </w:pPr>
      <w:bookmarkStart w:id="348" w:name="_Toc408164106"/>
      <w:r w:rsidRPr="00211C86">
        <w:t xml:space="preserve">Missing </w:t>
      </w:r>
      <w:r w:rsidR="0043461B">
        <w:t>i</w:t>
      </w:r>
      <w:r w:rsidRPr="00211C86">
        <w:t>nformation</w:t>
      </w:r>
      <w:bookmarkEnd w:id="348"/>
    </w:p>
    <w:p w:rsidR="00211C86" w:rsidRPr="00211C86" w:rsidRDefault="00211C86" w:rsidP="00211C86">
      <w:r w:rsidRPr="00211C86">
        <w:t>The RMP states the following Missing Information:</w:t>
      </w:r>
    </w:p>
    <w:p w:rsidR="00211C86" w:rsidRPr="00211C86" w:rsidRDefault="00211C86" w:rsidP="00211C86">
      <w:pPr>
        <w:pStyle w:val="ListBullet"/>
      </w:pPr>
      <w:r w:rsidRPr="00211C86">
        <w:t>Safety in children</w:t>
      </w:r>
    </w:p>
    <w:p w:rsidR="00211C86" w:rsidRPr="00211C86" w:rsidRDefault="00211C86" w:rsidP="00211C86">
      <w:pPr>
        <w:pStyle w:val="ListBullet"/>
      </w:pPr>
      <w:r w:rsidRPr="00211C86">
        <w:t>Safety in pregnant or breastfeeding women</w:t>
      </w:r>
    </w:p>
    <w:p w:rsidR="00211C86" w:rsidRPr="00211C86" w:rsidRDefault="00211C86" w:rsidP="00211C86">
      <w:pPr>
        <w:pStyle w:val="ListBullet"/>
      </w:pPr>
      <w:r w:rsidRPr="00211C86">
        <w:t>Safety in patients with HCV/HIV co-infection</w:t>
      </w:r>
    </w:p>
    <w:p w:rsidR="00211C86" w:rsidRPr="00211C86" w:rsidRDefault="00211C86" w:rsidP="00211C86">
      <w:pPr>
        <w:pStyle w:val="ListBullet"/>
      </w:pPr>
      <w:r w:rsidRPr="00211C86">
        <w:t>Safety in patients with advanced liver disease</w:t>
      </w:r>
    </w:p>
    <w:p w:rsidR="00211C86" w:rsidRPr="00211C86" w:rsidRDefault="00211C86" w:rsidP="00211C86">
      <w:pPr>
        <w:pStyle w:val="ListBullet"/>
      </w:pPr>
      <w:r w:rsidRPr="00211C86">
        <w:t>Safety in patient who are post liver transplantation</w:t>
      </w:r>
    </w:p>
    <w:p w:rsidR="00211C86" w:rsidRPr="00211C86" w:rsidRDefault="00211C86" w:rsidP="00211C86">
      <w:pPr>
        <w:pStyle w:val="ListBullet"/>
      </w:pPr>
      <w:r w:rsidRPr="00211C86">
        <w:t>Safety in HCV patients with severe renal impair</w:t>
      </w:r>
      <w:r>
        <w:t>ment or end-stage renal disease</w:t>
      </w:r>
    </w:p>
    <w:p w:rsidR="00211C86" w:rsidRPr="00211C86" w:rsidRDefault="00211C86" w:rsidP="00211C86">
      <w:pPr>
        <w:pStyle w:val="Heading3"/>
      </w:pPr>
      <w:bookmarkStart w:id="349" w:name="_Ref272333005"/>
      <w:bookmarkStart w:id="350" w:name="_Toc272414680"/>
      <w:bookmarkStart w:id="351" w:name="_Toc290846318"/>
      <w:bookmarkStart w:id="352" w:name="_Toc408164107"/>
      <w:bookmarkStart w:id="353" w:name="_Toc432073927"/>
      <w:r w:rsidRPr="00211C86">
        <w:t>Safety issues with the potential for major regulatory imp</w:t>
      </w:r>
      <w:bookmarkEnd w:id="349"/>
      <w:bookmarkEnd w:id="350"/>
      <w:r w:rsidRPr="00211C86">
        <w:t>act</w:t>
      </w:r>
      <w:bookmarkEnd w:id="351"/>
      <w:bookmarkEnd w:id="352"/>
      <w:bookmarkEnd w:id="353"/>
    </w:p>
    <w:p w:rsidR="00211C86" w:rsidRPr="00211C86" w:rsidRDefault="00211C86" w:rsidP="00211C86">
      <w:r w:rsidRPr="00211C86">
        <w:t>There were no safety issues with the potential for major regulatory impact identified in the data.</w:t>
      </w:r>
    </w:p>
    <w:p w:rsidR="00211C86" w:rsidRPr="00211C86" w:rsidRDefault="00211C86" w:rsidP="00211C86">
      <w:pPr>
        <w:pStyle w:val="Heading3"/>
      </w:pPr>
      <w:bookmarkStart w:id="354" w:name="_Toc272414686"/>
      <w:bookmarkStart w:id="355" w:name="_Ref273005527"/>
      <w:bookmarkStart w:id="356" w:name="_Toc290846324"/>
      <w:bookmarkStart w:id="357" w:name="_Toc408164108"/>
      <w:bookmarkStart w:id="358" w:name="_Toc432073928"/>
      <w:r w:rsidRPr="00211C86">
        <w:t>Other safety issues</w:t>
      </w:r>
      <w:bookmarkEnd w:id="354"/>
      <w:bookmarkEnd w:id="355"/>
      <w:bookmarkEnd w:id="356"/>
      <w:bookmarkEnd w:id="357"/>
      <w:bookmarkEnd w:id="358"/>
    </w:p>
    <w:p w:rsidR="00211C86" w:rsidRPr="00211C86" w:rsidRDefault="00211C86" w:rsidP="00211C86">
      <w:pPr>
        <w:pStyle w:val="Heading4"/>
      </w:pPr>
      <w:bookmarkStart w:id="359" w:name="_Toc241374322"/>
      <w:bookmarkStart w:id="360" w:name="_Ref272331212"/>
      <w:bookmarkStart w:id="361" w:name="_Toc272414687"/>
      <w:bookmarkStart w:id="362" w:name="_Toc290846325"/>
      <w:bookmarkStart w:id="363" w:name="_Toc408164109"/>
      <w:r w:rsidRPr="00211C86">
        <w:t>Safety in special populations</w:t>
      </w:r>
      <w:bookmarkEnd w:id="359"/>
      <w:bookmarkEnd w:id="360"/>
      <w:bookmarkEnd w:id="361"/>
      <w:bookmarkEnd w:id="362"/>
      <w:bookmarkEnd w:id="363"/>
    </w:p>
    <w:p w:rsidR="00211C86" w:rsidRPr="00211C86" w:rsidRDefault="00211C86" w:rsidP="00211C86">
      <w:r w:rsidRPr="00211C86">
        <w:t>No safety issues in special populations were identified in the submitted data but there were no data for the following populations:</w:t>
      </w:r>
    </w:p>
    <w:p w:rsidR="00211C86" w:rsidRPr="00211C86" w:rsidRDefault="00211C86" w:rsidP="00211C86">
      <w:pPr>
        <w:pStyle w:val="ListBullet"/>
      </w:pPr>
      <w:r w:rsidRPr="00211C86">
        <w:t>Paediatric</w:t>
      </w:r>
    </w:p>
    <w:p w:rsidR="00211C86" w:rsidRPr="00211C86" w:rsidRDefault="00211C86" w:rsidP="00211C86">
      <w:pPr>
        <w:pStyle w:val="ListBullet"/>
      </w:pPr>
      <w:r w:rsidRPr="00211C86">
        <w:t>Pregnancy and lactation</w:t>
      </w:r>
    </w:p>
    <w:p w:rsidR="00211C86" w:rsidRPr="00211C86" w:rsidRDefault="00211C86" w:rsidP="00211C86">
      <w:pPr>
        <w:pStyle w:val="ListBullet"/>
      </w:pPr>
      <w:r w:rsidRPr="00211C86">
        <w:t>Subjects with combined HCV / HIV infections</w:t>
      </w:r>
    </w:p>
    <w:p w:rsidR="00211C86" w:rsidRPr="00211C86" w:rsidRDefault="00211C86" w:rsidP="00211C86">
      <w:pPr>
        <w:pStyle w:val="ListBullet"/>
      </w:pPr>
      <w:r w:rsidRPr="00211C86">
        <w:t>Subjects with significant co-morbidities</w:t>
      </w:r>
    </w:p>
    <w:p w:rsidR="00211C86" w:rsidRPr="00211C86" w:rsidRDefault="00211C86" w:rsidP="00211C86">
      <w:pPr>
        <w:pStyle w:val="ListBullet"/>
      </w:pPr>
      <w:r>
        <w:t>Subjects with ESRF</w:t>
      </w:r>
    </w:p>
    <w:p w:rsidR="00211C86" w:rsidRPr="00211C86" w:rsidRDefault="00211C86" w:rsidP="00211C86">
      <w:pPr>
        <w:pStyle w:val="Heading4"/>
      </w:pPr>
      <w:bookmarkStart w:id="364" w:name="_Toc241374324"/>
      <w:bookmarkStart w:id="365" w:name="_Ref272331214"/>
      <w:bookmarkStart w:id="366" w:name="_Toc272414688"/>
      <w:bookmarkStart w:id="367" w:name="_Toc290846326"/>
      <w:bookmarkStart w:id="368" w:name="_Toc408164110"/>
      <w:r w:rsidRPr="00211C86">
        <w:t>Safety related to drug-drug interactions and other interactions</w:t>
      </w:r>
      <w:bookmarkEnd w:id="364"/>
      <w:bookmarkEnd w:id="365"/>
      <w:bookmarkEnd w:id="366"/>
      <w:bookmarkEnd w:id="367"/>
      <w:bookmarkEnd w:id="368"/>
    </w:p>
    <w:p w:rsidR="00211C86" w:rsidRPr="00211C86" w:rsidRDefault="00211C86" w:rsidP="00211C86">
      <w:r w:rsidRPr="00211C86">
        <w:t>There were no safety issues relating to interactions identified in the efficacy data, but the clinical pharmacology data indicate the potential for interactions to occ</w:t>
      </w:r>
      <w:r w:rsidR="001C473D">
        <w:t xml:space="preserve">ur. </w:t>
      </w:r>
      <w:r w:rsidRPr="00211C86">
        <w:t>There is particular concern with regard to statins and digoxin.</w:t>
      </w:r>
    </w:p>
    <w:p w:rsidR="00211C86" w:rsidRPr="00211C86" w:rsidRDefault="00211C86" w:rsidP="00211C86">
      <w:pPr>
        <w:pStyle w:val="Heading3"/>
      </w:pPr>
      <w:bookmarkStart w:id="369" w:name="_Toc241374328"/>
      <w:bookmarkStart w:id="370" w:name="_Toc272414691"/>
      <w:bookmarkStart w:id="371" w:name="_Toc290846329"/>
      <w:bookmarkStart w:id="372" w:name="_Toc408164111"/>
      <w:bookmarkStart w:id="373" w:name="_Toc432073929"/>
      <w:r w:rsidRPr="00211C86">
        <w:t>Evaluator’s overall conclusions on clinical safety</w:t>
      </w:r>
      <w:bookmarkEnd w:id="369"/>
      <w:bookmarkEnd w:id="370"/>
      <w:bookmarkEnd w:id="371"/>
      <w:bookmarkEnd w:id="372"/>
      <w:bookmarkEnd w:id="373"/>
    </w:p>
    <w:p w:rsidR="00211C86" w:rsidRPr="00211C86" w:rsidRDefault="00211C86" w:rsidP="00211C86">
      <w:r w:rsidRPr="00211C86">
        <w:t>SOF / LDV FDC ha</w:t>
      </w:r>
      <w:r w:rsidR="001C473D">
        <w:t xml:space="preserve">s a favourable safety profile. </w:t>
      </w:r>
      <w:r w:rsidRPr="00211C86">
        <w:t>The most frequently reported TEAEs were fatigue, headache, insomnia, nausea and arthralg</w:t>
      </w:r>
      <w:r w:rsidR="001C473D">
        <w:t xml:space="preserve">ia. </w:t>
      </w:r>
      <w:r w:rsidRPr="00211C86">
        <w:t xml:space="preserve">These TEAEs were more frequent </w:t>
      </w:r>
      <w:r w:rsidR="001C473D">
        <w:t>in the groups treated with RBV.</w:t>
      </w:r>
      <w:r w:rsidRPr="00211C86">
        <w:t xml:space="preserve"> Quality of life improved during treatment in those patients treated with SOF / LDV FDC by itself, but decreased in those subjects also treated with RBV.</w:t>
      </w:r>
    </w:p>
    <w:p w:rsidR="00211C86" w:rsidRPr="00211C86" w:rsidRDefault="00211C86" w:rsidP="00211C86">
      <w:r w:rsidRPr="00211C86">
        <w:t xml:space="preserve">There were no deaths in the efficacy studies or in the </w:t>
      </w:r>
      <w:r w:rsidR="001C473D">
        <w:t xml:space="preserve">clinical pharmacology studies. </w:t>
      </w:r>
      <w:r w:rsidRPr="00211C86">
        <w:t>SAEs were infrequent and there was no clear pattern attributable to SOF /</w:t>
      </w:r>
      <w:r w:rsidR="001C473D">
        <w:t xml:space="preserve"> LDV FDC. </w:t>
      </w:r>
      <w:r>
        <w:t>There were few DAEs.</w:t>
      </w:r>
    </w:p>
    <w:p w:rsidR="00211C86" w:rsidRPr="00211C86" w:rsidRDefault="00211C86" w:rsidP="00211C86">
      <w:r w:rsidRPr="00211C86">
        <w:t>One subject had AST or ALT &gt;</w:t>
      </w:r>
      <w:r w:rsidR="00D5308D">
        <w:t xml:space="preserve"> </w:t>
      </w:r>
      <w:r w:rsidRPr="00211C86">
        <w:t>3xULN and bilirubin &gt;</w:t>
      </w:r>
      <w:r w:rsidR="00D5308D">
        <w:t xml:space="preserve"> </w:t>
      </w:r>
      <w:r w:rsidRPr="00211C86">
        <w:t>2xULN with no signs of liver disease that resolved on treatment (and was not attributed to SOF / LDV).</w:t>
      </w:r>
    </w:p>
    <w:p w:rsidR="00211C86" w:rsidRPr="00211C86" w:rsidRDefault="00211C86" w:rsidP="00211C86">
      <w:r w:rsidRPr="00211C86">
        <w:t>Anaemia was reported in up to 9.2% of</w:t>
      </w:r>
      <w:r>
        <w:t xml:space="preserve"> the subjects treated with RBV.</w:t>
      </w:r>
    </w:p>
    <w:p w:rsidR="00211C86" w:rsidRPr="00211C86" w:rsidRDefault="00211C86" w:rsidP="00211C86">
      <w:r w:rsidRPr="00211C86">
        <w:t>In the efficacy studies there was a higher than expected rate of significant elevation in serum lipase, but the frequency was ≤</w:t>
      </w:r>
      <w:r w:rsidR="00D5308D">
        <w:t xml:space="preserve"> </w:t>
      </w:r>
      <w:r w:rsidR="001C473D">
        <w:t>1.8% in any individual study.</w:t>
      </w:r>
      <w:r w:rsidRPr="00211C86">
        <w:t xml:space="preserve"> Although this may be a feature of the underlying condition, it may also be a safety signal.</w:t>
      </w:r>
    </w:p>
    <w:p w:rsidR="00211C86" w:rsidRPr="00211C86" w:rsidRDefault="00211C86" w:rsidP="00211C86">
      <w:r w:rsidRPr="00211C86">
        <w:t xml:space="preserve">The thorough QT study did not indicate any significant </w:t>
      </w:r>
      <w:proofErr w:type="spellStart"/>
      <w:r w:rsidRPr="00211C86">
        <w:t>QTc</w:t>
      </w:r>
      <w:proofErr w:type="spellEnd"/>
      <w:r w:rsidRPr="00211C86">
        <w:t xml:space="preserve"> prolongation however the dose used in that study was only 33% higher th</w:t>
      </w:r>
      <w:r>
        <w:t>an the proposed dosing regimen.</w:t>
      </w:r>
    </w:p>
    <w:p w:rsidR="00211C86" w:rsidRPr="00211C86" w:rsidRDefault="00211C86" w:rsidP="00211C86">
      <w:r w:rsidRPr="00211C86">
        <w:t>There were no long term safety da</w:t>
      </w:r>
      <w:r w:rsidR="001C473D">
        <w:t xml:space="preserve">ta included in the submission. </w:t>
      </w:r>
      <w:r w:rsidRPr="00211C86">
        <w:t>Hence, it is not possible to comment on the long-term s</w:t>
      </w:r>
      <w:r>
        <w:t>afety effects of SOF / LDV FDC.</w:t>
      </w:r>
    </w:p>
    <w:p w:rsidR="00C22678" w:rsidRDefault="00C22678" w:rsidP="00C22678">
      <w:pPr>
        <w:pStyle w:val="Heading2"/>
      </w:pPr>
      <w:bookmarkStart w:id="374" w:name="_Toc432073930"/>
      <w:r>
        <w:t>First round benefit-risk assessment</w:t>
      </w:r>
      <w:bookmarkEnd w:id="374"/>
    </w:p>
    <w:p w:rsidR="00265DD0" w:rsidRPr="00265DD0" w:rsidRDefault="00265DD0" w:rsidP="00265DD0">
      <w:pPr>
        <w:pStyle w:val="Heading3"/>
      </w:pPr>
      <w:bookmarkStart w:id="375" w:name="_Toc236802592"/>
      <w:bookmarkStart w:id="376" w:name="_Toc241374331"/>
      <w:bookmarkStart w:id="377" w:name="_Ref272160836"/>
      <w:bookmarkStart w:id="378" w:name="_Toc272414693"/>
      <w:bookmarkStart w:id="379" w:name="_Toc290846331"/>
      <w:bookmarkStart w:id="380" w:name="_Toc408164113"/>
      <w:bookmarkStart w:id="381" w:name="_Toc432073931"/>
      <w:r w:rsidRPr="00265DD0">
        <w:t>First round assessment of benefits</w:t>
      </w:r>
      <w:bookmarkEnd w:id="375"/>
      <w:bookmarkEnd w:id="376"/>
      <w:bookmarkEnd w:id="377"/>
      <w:bookmarkEnd w:id="378"/>
      <w:bookmarkEnd w:id="379"/>
      <w:bookmarkEnd w:id="380"/>
      <w:bookmarkEnd w:id="381"/>
    </w:p>
    <w:p w:rsidR="00265DD0" w:rsidRPr="00265DD0" w:rsidRDefault="00265DD0" w:rsidP="00265DD0">
      <w:r w:rsidRPr="00265DD0">
        <w:t>The efficacy data are supportive of efficacy in the proposed indication but in the opinion of the Evaluator the proposed treatment regimen may require modification.</w:t>
      </w:r>
    </w:p>
    <w:p w:rsidR="00265DD0" w:rsidRPr="00265DD0" w:rsidRDefault="00265DD0" w:rsidP="00265DD0">
      <w:r w:rsidRPr="00265DD0">
        <w:t>In HCV treatment naïve subjects, with or without cirrhosis (Study GS-US-337-0102) SVR12 was achieved by 209 (97.7%) subjects in the SOF / LDV 12 week group, 9</w:t>
      </w:r>
      <w:r w:rsidR="001C473D">
        <w:t>5% CI 94.6% to 99.1%, p &lt;</w:t>
      </w:r>
      <w:r w:rsidR="00D5308D">
        <w:t xml:space="preserve"> </w:t>
      </w:r>
      <w:r w:rsidR="001C473D">
        <w:t>0.001.</w:t>
      </w:r>
      <w:r w:rsidRPr="00265DD0">
        <w:t xml:space="preserve"> There was no additional benefit by also including RBV: SVR12 was achieved by 211 (97.2%) subjects in the SOF / LDV + RBV 12 week group, 9</w:t>
      </w:r>
      <w:r>
        <w:t>5% CI 94.1% to 99.0%, p &lt;</w:t>
      </w:r>
      <w:r w:rsidR="00D5308D">
        <w:t xml:space="preserve"> </w:t>
      </w:r>
      <w:r>
        <w:t>0.001.</w:t>
      </w:r>
    </w:p>
    <w:p w:rsidR="00265DD0" w:rsidRPr="00265DD0" w:rsidRDefault="00265DD0" w:rsidP="00265DD0">
      <w:r w:rsidRPr="00265DD0">
        <w:t>In treatment naïve subjects with chronic GT1-HCV without cirrhosis (Study GS-US-337-0108) SVR12 was achieved by 202 (94.0%) subjects in the SOF / LDV FDC 8 week group, 95</w:t>
      </w:r>
      <w:r w:rsidR="001C473D">
        <w:t>% CI 89.9% to 96.7%, p &lt;</w:t>
      </w:r>
      <w:r w:rsidR="00D5308D">
        <w:t xml:space="preserve"> </w:t>
      </w:r>
      <w:r w:rsidR="001C473D">
        <w:t xml:space="preserve">0.001. </w:t>
      </w:r>
      <w:r w:rsidRPr="00265DD0">
        <w:t>There was no additional benefit by also including RBV: SVR12 was achieved by 201 (93.1%) subjects in the SOF / LDV FDC + RBV 8 week group, 95</w:t>
      </w:r>
      <w:r w:rsidR="001C473D">
        <w:t>% CI 88.8% to 96.1%, p &lt;</w:t>
      </w:r>
      <w:r w:rsidR="00D5308D">
        <w:t xml:space="preserve"> </w:t>
      </w:r>
      <w:r w:rsidR="001C473D">
        <w:t xml:space="preserve">0.001. </w:t>
      </w:r>
      <w:r w:rsidRPr="00265DD0">
        <w:t xml:space="preserve">There was no significant additional benefit with a longer, 12 week, treatment period: SVR12 was achieved by 206 (95.4%) subjects in the SOF / LDV FDC 12 week group, </w:t>
      </w:r>
      <w:r>
        <w:t>95% CI 91.7% to 97.8%, p &lt;</w:t>
      </w:r>
      <w:r w:rsidR="00D5308D">
        <w:t xml:space="preserve"> </w:t>
      </w:r>
      <w:r>
        <w:t>0.001.</w:t>
      </w:r>
    </w:p>
    <w:p w:rsidR="00265DD0" w:rsidRPr="00265DD0" w:rsidRDefault="00265DD0" w:rsidP="00265DD0">
      <w:r w:rsidRPr="00265DD0">
        <w:t>In treatment experienced subjects with chronic GT1-HCV, i.e. with prior treatment failure with a Peg-</w:t>
      </w:r>
      <w:r w:rsidR="004D5316">
        <w:t>IFN + RBV, (Study GS-US-337-0109</w:t>
      </w:r>
      <w:r w:rsidRPr="00265DD0">
        <w:t>) SVR12 was achieved by 102 (93.6%) subjects in the SOF / LDV FDC 12 week group, 95% CI 87.2% to 97.4%, p &lt;</w:t>
      </w:r>
      <w:r w:rsidR="00D5308D">
        <w:t xml:space="preserve"> </w:t>
      </w:r>
      <w:r w:rsidRPr="00265DD0">
        <w:t xml:space="preserve">0.001 (compared to the </w:t>
      </w:r>
      <w:r w:rsidR="001C473D">
        <w:t xml:space="preserve">historical 25% response rate). </w:t>
      </w:r>
      <w:r w:rsidRPr="00265DD0">
        <w:t>There was better efficacy in those subjects treated with RBV and for longer treatment duration:</w:t>
      </w:r>
    </w:p>
    <w:p w:rsidR="00265DD0" w:rsidRPr="00265DD0" w:rsidRDefault="00265DD0" w:rsidP="0043461B">
      <w:pPr>
        <w:pStyle w:val="ListBullet"/>
      </w:pPr>
      <w:r w:rsidRPr="00265DD0">
        <w:t>SVR12 was achieved by 107 (96.4%) subjects in the SOF / LDV FDC + RBV 12 week group, 95% CI 91.0% to 99.0%, p &lt;</w:t>
      </w:r>
      <w:r w:rsidR="00D5308D">
        <w:t xml:space="preserve"> </w:t>
      </w:r>
      <w:r w:rsidRPr="00265DD0">
        <w:t>0.001</w:t>
      </w:r>
    </w:p>
    <w:p w:rsidR="00265DD0" w:rsidRPr="00265DD0" w:rsidRDefault="00265DD0" w:rsidP="00265DD0">
      <w:pPr>
        <w:pStyle w:val="ListBullet"/>
      </w:pPr>
      <w:r w:rsidRPr="00265DD0">
        <w:t>SVR12 was achieved by 108 (99.1%) subjects in the SOF / LDV FDC 24 week group, 95% CI 95.0% to 100.0%, p &lt;</w:t>
      </w:r>
      <w:r w:rsidR="00D5308D">
        <w:t xml:space="preserve"> </w:t>
      </w:r>
      <w:r w:rsidRPr="00265DD0">
        <w:t>0.001</w:t>
      </w:r>
    </w:p>
    <w:p w:rsidR="00265DD0" w:rsidRPr="00265DD0" w:rsidRDefault="00265DD0" w:rsidP="00265DD0">
      <w:pPr>
        <w:pStyle w:val="ListBullet"/>
      </w:pPr>
      <w:r w:rsidRPr="00265DD0">
        <w:t>SVR12 was achieved by 110 (99.1%) subjects in the SOF / LDV FDC + RBV 24 week group, 9</w:t>
      </w:r>
      <w:r>
        <w:t>5% CI 95.1% to 100.0%, p &lt;</w:t>
      </w:r>
      <w:r w:rsidR="00D5308D">
        <w:t xml:space="preserve"> </w:t>
      </w:r>
      <w:r>
        <w:t>0.001</w:t>
      </w:r>
    </w:p>
    <w:p w:rsidR="00265DD0" w:rsidRPr="00265DD0" w:rsidRDefault="00265DD0" w:rsidP="00265DD0">
      <w:r w:rsidRPr="00265DD0">
        <w:t xml:space="preserve">Relapse is more likely in subjects with higher viral burden, male gender, cirrhosis </w:t>
      </w:r>
      <w:r w:rsidR="001C473D">
        <w:t xml:space="preserve">and baseline thrombocytopenia. </w:t>
      </w:r>
      <w:r w:rsidRPr="00265DD0">
        <w:t>In Study GS-US-337-0108 there was a higher relapse rate in the 8 week groups compared with the 12 week: 11 (5.1%) subjects in the SOF / LDV FDC 8 week group, 9 (4.2%) in the SOF / LDV + RBV 8 week, and 3 (1.4%) in the SOF / LDV 12 week group; and relapse was more likely if subjects were male and/or baseline</w:t>
      </w:r>
      <w:r w:rsidR="001C473D">
        <w:t xml:space="preserve"> HCV RNA was ≥</w:t>
      </w:r>
      <w:r w:rsidR="00D5308D">
        <w:t xml:space="preserve"> </w:t>
      </w:r>
      <w:r w:rsidR="001C473D">
        <w:t xml:space="preserve">800,000 (IU/mL). </w:t>
      </w:r>
      <w:r w:rsidRPr="00265DD0">
        <w:t>In Study GS-US-337-0109 relapse risk was increased in subjects with cirrhosis and / or baseline thrombocytopenia.</w:t>
      </w:r>
    </w:p>
    <w:p w:rsidR="00265DD0" w:rsidRPr="00265DD0" w:rsidRDefault="00265DD0" w:rsidP="00265DD0">
      <w:r w:rsidRPr="00265DD0">
        <w:t>In all three pivotal studies subjects with &lt;</w:t>
      </w:r>
      <w:r w:rsidR="00D5308D">
        <w:t xml:space="preserve"> </w:t>
      </w:r>
      <w:r w:rsidRPr="00265DD0">
        <w:t>80% adherence to study t</w:t>
      </w:r>
      <w:r w:rsidR="001C473D">
        <w:t xml:space="preserve">reatment had reduced efficacy. </w:t>
      </w:r>
      <w:r w:rsidRPr="00265DD0">
        <w:t>However, in all three pivotal studies there was no effect on response for demographic characteristics and SOF / LDV FDC was equally effect</w:t>
      </w:r>
      <w:r w:rsidR="001C473D">
        <w:t xml:space="preserve">ive for GT1a-HCV and GT1b-HCV. </w:t>
      </w:r>
      <w:r w:rsidRPr="00265DD0">
        <w:t>Baseline disease characteristic</w:t>
      </w:r>
      <w:r w:rsidR="001C473D">
        <w:t>s did not influence efficacy.</w:t>
      </w:r>
    </w:p>
    <w:p w:rsidR="00265DD0" w:rsidRPr="00265DD0" w:rsidRDefault="00265DD0" w:rsidP="00265DD0">
      <w:r w:rsidRPr="00265DD0">
        <w:t>Baseline RAVs should not preclude</w:t>
      </w:r>
      <w:r w:rsidR="001C473D">
        <w:t xml:space="preserve"> treatment with SOF / LDV FDC. </w:t>
      </w:r>
      <w:r w:rsidRPr="00265DD0">
        <w:t>However, baseline NS5A RAVs appear to be more common in subjects that relapse and treatment emergent NS5A RAVs a</w:t>
      </w:r>
      <w:r w:rsidR="001C473D">
        <w:t xml:space="preserve">re more common than NS5B RAVs. </w:t>
      </w:r>
      <w:r w:rsidRPr="00265DD0">
        <w:t>In Study GS-US-337-0102 RAVs were reported in 32 (15.0% subjects in the SOF / LDV 12 week group, and 36 (16.7%) in the SOF / LDV + RBV 12 week group; and the one subject in the 12 week group who r</w:t>
      </w:r>
      <w:r w:rsidR="001C473D">
        <w:t xml:space="preserve">elapsed did not develop a RAV. </w:t>
      </w:r>
      <w:r w:rsidRPr="00265DD0">
        <w:t xml:space="preserve">In Study GS-US-337-0108 of the 23 subjects that relapsed, ten had NS5A RAVs at baseline; of the 13 that did not, six had </w:t>
      </w:r>
      <w:r w:rsidR="001C473D">
        <w:t xml:space="preserve">emergent NS5A RAVs at relapse. </w:t>
      </w:r>
      <w:r w:rsidRPr="00265DD0">
        <w:t>In Study GS-US-337-0109 of the 12 subjects that relapsed, 5 of 11 had no baseline RAVs, and the other 7 su</w:t>
      </w:r>
      <w:r w:rsidR="001C473D">
        <w:t xml:space="preserve">bjects had baseline NS5A RAVs. </w:t>
      </w:r>
      <w:r w:rsidRPr="00265DD0">
        <w:t xml:space="preserve">All 12 subjects had detectable NS5A RAVs at </w:t>
      </w:r>
      <w:proofErr w:type="spellStart"/>
      <w:r w:rsidRPr="00265DD0">
        <w:t>virologic</w:t>
      </w:r>
      <w:proofErr w:type="spellEnd"/>
      <w:r w:rsidRPr="00265DD0">
        <w:t xml:space="preserve"> failure, but </w:t>
      </w:r>
      <w:r w:rsidR="001C473D">
        <w:t xml:space="preserve">no NS5B NI RAVs were detected. </w:t>
      </w:r>
      <w:r w:rsidRPr="00265DD0">
        <w:t>Phenotypic analysis showed a reduced susceptibility to LDV, but no change in susceptibility to SOF or RBV.</w:t>
      </w:r>
    </w:p>
    <w:p w:rsidR="00265DD0" w:rsidRPr="00265DD0" w:rsidRDefault="00265DD0" w:rsidP="0043461B">
      <w:r w:rsidRPr="00265DD0">
        <w:t>In all three pivotal studies Quality of Life decreased during treatment for th</w:t>
      </w:r>
      <w:r w:rsidR="001C473D">
        <w:t xml:space="preserve">ose subjects treated with RBV. </w:t>
      </w:r>
      <w:r w:rsidRPr="00265DD0">
        <w:t>Hence, the place of RBV as add-on therapy may be in those subjects with prior treatment fail</w:t>
      </w:r>
      <w:r>
        <w:t>ure, with or without cirrhosis.</w:t>
      </w:r>
    </w:p>
    <w:p w:rsidR="00265DD0" w:rsidRPr="00265DD0" w:rsidRDefault="00265DD0" w:rsidP="00265DD0">
      <w:r w:rsidRPr="00265DD0">
        <w:t>Efficacy has not been demonstrated for HCV</w:t>
      </w:r>
      <w:r w:rsidR="001C473D">
        <w:t xml:space="preserve"> genotypes other than GT1-HCV. </w:t>
      </w:r>
      <w:r w:rsidRPr="00265DD0">
        <w:t>Study GS-US-337-0122 did not support efficacy in subj</w:t>
      </w:r>
      <w:r w:rsidR="001C473D">
        <w:t xml:space="preserve">ects with chronic GT3-HCV HCV. </w:t>
      </w:r>
      <w:r w:rsidRPr="00265DD0">
        <w:t>Study P7977-0523 did not support efficacy in subjects with GT2-HCV or GT3-HCV infection or shorter treatment duration of 6 weeks in subjects with GT1-HCV.</w:t>
      </w:r>
    </w:p>
    <w:p w:rsidR="00265DD0" w:rsidRPr="00265DD0" w:rsidRDefault="00265DD0" w:rsidP="00265DD0">
      <w:r w:rsidRPr="00265DD0">
        <w:t>The studies presented in the submission were mostly in accordance with the Guideline On The Clinical Evaluation Of Direct Acting Antiviral Agents Intended For Treatment Of Chronic Hepatitis</w:t>
      </w:r>
      <w:r w:rsidR="001C473D">
        <w:t xml:space="preserve"> C (EMEA/CHMP/EWP/30039/2008). </w:t>
      </w:r>
      <w:r w:rsidRPr="00265DD0">
        <w:t>The deficiencies in the submission are:</w:t>
      </w:r>
    </w:p>
    <w:p w:rsidR="00265DD0" w:rsidRPr="00265DD0" w:rsidRDefault="00265DD0" w:rsidP="0043461B">
      <w:pPr>
        <w:pStyle w:val="ListBullet"/>
      </w:pPr>
      <w:r w:rsidRPr="00265DD0">
        <w:t>Studies were open-label rather than double blind</w:t>
      </w:r>
    </w:p>
    <w:p w:rsidR="00265DD0" w:rsidRPr="00265DD0" w:rsidRDefault="00265DD0" w:rsidP="00265DD0">
      <w:pPr>
        <w:pStyle w:val="ListBullet"/>
      </w:pPr>
      <w:r w:rsidRPr="00265DD0">
        <w:t>Long-term follow up data were not presented</w:t>
      </w:r>
    </w:p>
    <w:p w:rsidR="00265DD0" w:rsidRPr="00265DD0" w:rsidRDefault="00265DD0" w:rsidP="00265DD0">
      <w:pPr>
        <w:pStyle w:val="ListBullet"/>
      </w:pPr>
      <w:r w:rsidRPr="00265DD0">
        <w:t>Data for SVR24 were incomplete</w:t>
      </w:r>
    </w:p>
    <w:p w:rsidR="00265DD0" w:rsidRPr="00265DD0" w:rsidRDefault="00265DD0" w:rsidP="00265DD0">
      <w:pPr>
        <w:pStyle w:val="ListBullet"/>
      </w:pPr>
      <w:r w:rsidRPr="00265DD0">
        <w:t>Studies in subjects with HCV/HIV co-infected patients were not included</w:t>
      </w:r>
    </w:p>
    <w:p w:rsidR="00265DD0" w:rsidRPr="00265DD0" w:rsidRDefault="00265DD0" w:rsidP="00265DD0">
      <w:r w:rsidRPr="00265DD0">
        <w:t>However, in the opinion of the Evaluator the potential benefits of SOF / LDV FDC outweigh the deficienci</w:t>
      </w:r>
      <w:r w:rsidR="001C473D">
        <w:t xml:space="preserve">es in the study methodologies. </w:t>
      </w:r>
      <w:r w:rsidRPr="00265DD0">
        <w:t>The outcome measures were highly objective, which makes the open</w:t>
      </w:r>
      <w:r w:rsidR="001C473D">
        <w:t xml:space="preserve">-label design more acceptable. </w:t>
      </w:r>
      <w:r w:rsidRPr="00265DD0">
        <w:t>Also, when available, the SVR24 data were in concordance with the SVR12 data.</w:t>
      </w:r>
    </w:p>
    <w:p w:rsidR="00265DD0" w:rsidRPr="00265DD0" w:rsidRDefault="00265DD0" w:rsidP="00265DD0">
      <w:r w:rsidRPr="00265DD0">
        <w:t>In the opinion of the evaluator:</w:t>
      </w:r>
    </w:p>
    <w:p w:rsidR="00265DD0" w:rsidRPr="00265DD0" w:rsidRDefault="00265DD0" w:rsidP="00265DD0">
      <w:pPr>
        <w:pStyle w:val="ListBullet"/>
      </w:pPr>
      <w:r w:rsidRPr="00265DD0">
        <w:t xml:space="preserve">An SOF / LDV FDC 8 week treatment regimen is supported in treatment naïve subjects with chronic GT1-HCV without cirrhosis </w:t>
      </w:r>
    </w:p>
    <w:p w:rsidR="00265DD0" w:rsidRPr="00265DD0" w:rsidRDefault="00265DD0" w:rsidP="00265DD0">
      <w:pPr>
        <w:pStyle w:val="ListBullet"/>
      </w:pPr>
      <w:r w:rsidRPr="00265DD0">
        <w:t>An SOF / LDV FDC 12 week treatment regimen is supported in treatment naïve subjects with chronic GT1-HCV with cirrhosis</w:t>
      </w:r>
    </w:p>
    <w:p w:rsidR="00265DD0" w:rsidRPr="00265DD0" w:rsidRDefault="00265DD0" w:rsidP="00265DD0">
      <w:pPr>
        <w:pStyle w:val="ListBullet"/>
      </w:pPr>
      <w:r w:rsidRPr="00265DD0">
        <w:t>An SOF / LDV FDC 24 week treatment regimen is supported in treatment experienced subjects with chronic GT1-HCV</w:t>
      </w:r>
    </w:p>
    <w:p w:rsidR="00265DD0" w:rsidRPr="00E71190" w:rsidRDefault="00265DD0" w:rsidP="00265DD0">
      <w:pPr>
        <w:pStyle w:val="ListBullet"/>
      </w:pPr>
      <w:r w:rsidRPr="00265DD0">
        <w:t>In the above treatment regimens, RBV does not offer additional benefit and may decrease Quality of life</w:t>
      </w:r>
    </w:p>
    <w:p w:rsidR="00265DD0" w:rsidRPr="00265DD0" w:rsidRDefault="00265DD0" w:rsidP="00265DD0">
      <w:pPr>
        <w:pStyle w:val="Heading3"/>
      </w:pPr>
      <w:bookmarkStart w:id="382" w:name="_Toc236802596"/>
      <w:bookmarkStart w:id="383" w:name="_Toc241374334"/>
      <w:bookmarkStart w:id="384" w:name="_Ref272160964"/>
      <w:bookmarkStart w:id="385" w:name="_Toc272414694"/>
      <w:bookmarkStart w:id="386" w:name="_Toc290846332"/>
      <w:bookmarkStart w:id="387" w:name="_Toc408164114"/>
      <w:bookmarkStart w:id="388" w:name="_Toc432073932"/>
      <w:r w:rsidRPr="00265DD0">
        <w:t>First round assessment of risks</w:t>
      </w:r>
      <w:bookmarkEnd w:id="382"/>
      <w:bookmarkEnd w:id="383"/>
      <w:bookmarkEnd w:id="384"/>
      <w:bookmarkEnd w:id="385"/>
      <w:bookmarkEnd w:id="386"/>
      <w:bookmarkEnd w:id="387"/>
      <w:bookmarkEnd w:id="388"/>
    </w:p>
    <w:p w:rsidR="00265DD0" w:rsidRPr="00265DD0" w:rsidRDefault="00265DD0" w:rsidP="00265DD0">
      <w:r w:rsidRPr="00265DD0">
        <w:t>SOF / LDV FDC has a fa</w:t>
      </w:r>
      <w:r w:rsidR="001C473D">
        <w:t xml:space="preserve">vourable safety profile. </w:t>
      </w:r>
      <w:r w:rsidRPr="00265DD0">
        <w:t>The most frequently reported TEAEs were fatigue, headache, in</w:t>
      </w:r>
      <w:r w:rsidR="001C473D">
        <w:t xml:space="preserve">somnia, nausea and arthralgia. </w:t>
      </w:r>
      <w:r w:rsidRPr="00265DD0">
        <w:t>These TEAEs were more frequent i</w:t>
      </w:r>
      <w:r w:rsidR="001C473D">
        <w:t xml:space="preserve">n the groups treated with RBV. </w:t>
      </w:r>
      <w:r w:rsidRPr="00265DD0">
        <w:t>Quality of life improved during treatment in those patients treated with SOF / LDV FDC by itself, but decreased in those subjects also treated with RBV.</w:t>
      </w:r>
    </w:p>
    <w:p w:rsidR="00265DD0" w:rsidRPr="00265DD0" w:rsidRDefault="00265DD0" w:rsidP="00265DD0">
      <w:r w:rsidRPr="00265DD0">
        <w:t xml:space="preserve">There were no deaths in the efficacy studies or in the </w:t>
      </w:r>
      <w:r w:rsidR="001C473D">
        <w:t xml:space="preserve">clinical pharmacology studies. </w:t>
      </w:r>
      <w:r w:rsidRPr="00265DD0">
        <w:t xml:space="preserve">SAEs were infrequent and there was no clear pattern </w:t>
      </w:r>
      <w:r w:rsidR="001C473D">
        <w:t xml:space="preserve">attributable to SOF / LDV FDC. </w:t>
      </w:r>
      <w:r w:rsidRPr="00265DD0">
        <w:t>There were few DAEs.</w:t>
      </w:r>
    </w:p>
    <w:p w:rsidR="00265DD0" w:rsidRPr="00265DD0" w:rsidRDefault="00265DD0" w:rsidP="00265DD0">
      <w:r w:rsidRPr="00265DD0">
        <w:t>One subject had AST or ALT &gt;</w:t>
      </w:r>
      <w:r w:rsidR="00D5308D">
        <w:t xml:space="preserve"> </w:t>
      </w:r>
      <w:r w:rsidRPr="00265DD0">
        <w:t>3xULN and bilirubin &gt;2xULN with no signs of liver disease that resolved on treatment (and was not attributed to SOF / LDV).</w:t>
      </w:r>
    </w:p>
    <w:p w:rsidR="00265DD0" w:rsidRPr="00265DD0" w:rsidRDefault="00265DD0" w:rsidP="00265DD0">
      <w:r w:rsidRPr="00265DD0">
        <w:t>Anaemia was reported in up to 9.2% of the subjects treated with RBV.</w:t>
      </w:r>
    </w:p>
    <w:p w:rsidR="00265DD0" w:rsidRPr="00265DD0" w:rsidRDefault="00265DD0" w:rsidP="00265DD0">
      <w:r w:rsidRPr="00265DD0">
        <w:t xml:space="preserve">In the efficacy studies there was a higher than expected rate of significant elevation in serum lipase, but the frequency was </w:t>
      </w:r>
      <w:r w:rsidR="001C473D">
        <w:t>≤</w:t>
      </w:r>
      <w:r w:rsidR="00D5308D">
        <w:t xml:space="preserve"> </w:t>
      </w:r>
      <w:r w:rsidR="001C473D">
        <w:t xml:space="preserve">1.8% in any individual study. </w:t>
      </w:r>
      <w:r w:rsidRPr="00265DD0">
        <w:t>Although this may be a feature of the underlying condition, it may also be a safety signal.</w:t>
      </w:r>
    </w:p>
    <w:p w:rsidR="00265DD0" w:rsidRPr="00265DD0" w:rsidRDefault="00265DD0" w:rsidP="00265DD0">
      <w:r w:rsidRPr="00265DD0">
        <w:t xml:space="preserve">The thorough QT study did not indicate any significant </w:t>
      </w:r>
      <w:proofErr w:type="spellStart"/>
      <w:r w:rsidRPr="00265DD0">
        <w:t>QTc</w:t>
      </w:r>
      <w:proofErr w:type="spellEnd"/>
      <w:r w:rsidRPr="00265DD0">
        <w:t xml:space="preserve"> prolongation however the dose used in that study was only 33% higher than the proposed dosing regimen.</w:t>
      </w:r>
    </w:p>
    <w:p w:rsidR="00265DD0" w:rsidRPr="00265DD0" w:rsidRDefault="00265DD0" w:rsidP="00265DD0">
      <w:r w:rsidRPr="00265DD0">
        <w:t>There were no long term safety da</w:t>
      </w:r>
      <w:r w:rsidR="001C473D">
        <w:t xml:space="preserve">ta included in the submission. </w:t>
      </w:r>
      <w:r w:rsidRPr="00265DD0">
        <w:t>Hence, it is not possible to comment on the long-term safety effects of SOF / LDV FDC.</w:t>
      </w:r>
    </w:p>
    <w:p w:rsidR="00265DD0" w:rsidRPr="00446B45" w:rsidRDefault="00265DD0" w:rsidP="00446B45">
      <w:pPr>
        <w:pStyle w:val="Heading3"/>
      </w:pPr>
      <w:bookmarkStart w:id="389" w:name="_Toc236802597"/>
      <w:bookmarkStart w:id="390" w:name="_Toc241374335"/>
      <w:bookmarkStart w:id="391" w:name="_Toc272414695"/>
      <w:bookmarkStart w:id="392" w:name="_Toc290846333"/>
      <w:bookmarkStart w:id="393" w:name="_Toc408164115"/>
      <w:bookmarkStart w:id="394" w:name="_Toc432073933"/>
      <w:r w:rsidRPr="00446B45">
        <w:t>First round assessment of benefit-risk balance</w:t>
      </w:r>
      <w:bookmarkEnd w:id="389"/>
      <w:bookmarkEnd w:id="390"/>
      <w:bookmarkEnd w:id="391"/>
      <w:bookmarkEnd w:id="392"/>
      <w:bookmarkEnd w:id="393"/>
      <w:bookmarkEnd w:id="394"/>
    </w:p>
    <w:p w:rsidR="00265DD0" w:rsidRPr="00446B45" w:rsidRDefault="00265DD0" w:rsidP="00446B45">
      <w:r w:rsidRPr="00446B45">
        <w:t xml:space="preserve">The benefit-risk balance of register </w:t>
      </w:r>
      <w:proofErr w:type="spellStart"/>
      <w:r w:rsidR="00643EE3">
        <w:t>Harvoni</w:t>
      </w:r>
      <w:proofErr w:type="spellEnd"/>
      <w:r w:rsidRPr="00446B45">
        <w:t xml:space="preserve"> (90 mg </w:t>
      </w:r>
      <w:proofErr w:type="spellStart"/>
      <w:r w:rsidRPr="00446B45">
        <w:t>ledipasvir</w:t>
      </w:r>
      <w:proofErr w:type="spellEnd"/>
      <w:r w:rsidRPr="00446B45">
        <w:t xml:space="preserve"> / 400 mg </w:t>
      </w:r>
      <w:proofErr w:type="spellStart"/>
      <w:r w:rsidRPr="00446B45">
        <w:t>sofosbuvir</w:t>
      </w:r>
      <w:proofErr w:type="spellEnd"/>
      <w:r w:rsidRPr="00446B45">
        <w:t>) FDC tablets, given the proposed usage, is favourable.</w:t>
      </w:r>
    </w:p>
    <w:p w:rsidR="00265DD0" w:rsidRPr="00446B45" w:rsidRDefault="00265DD0" w:rsidP="00265DD0">
      <w:r w:rsidRPr="00446B45">
        <w:t>However, consideration needs to be given as to the most appr</w:t>
      </w:r>
      <w:r w:rsidR="001C473D">
        <w:t xml:space="preserve">opriate dosing recommendation. </w:t>
      </w:r>
      <w:r w:rsidRPr="00446B45">
        <w:t>In the opinion o</w:t>
      </w:r>
      <w:r w:rsidR="00446B45">
        <w:t>f the Evaluator this should be:</w:t>
      </w:r>
    </w:p>
    <w:p w:rsidR="00265DD0" w:rsidRPr="00446B45" w:rsidRDefault="00265DD0" w:rsidP="00446B45">
      <w:r w:rsidRPr="00446B45">
        <w:t>In the opinion of the evaluator:</w:t>
      </w:r>
    </w:p>
    <w:p w:rsidR="00265DD0" w:rsidRPr="00446B45" w:rsidRDefault="00265DD0" w:rsidP="00446B45">
      <w:pPr>
        <w:pStyle w:val="ListBullet"/>
      </w:pPr>
      <w:r w:rsidRPr="00446B45">
        <w:t>SOF / LDV FDC once daily for 8 weeks in treatment naïve subjects with ch</w:t>
      </w:r>
      <w:r w:rsidR="0043461B">
        <w:t>ronic GT1-HCV without cirrhosis</w:t>
      </w:r>
    </w:p>
    <w:p w:rsidR="00265DD0" w:rsidRPr="00446B45" w:rsidRDefault="00265DD0" w:rsidP="00446B45">
      <w:pPr>
        <w:pStyle w:val="ListBullet"/>
      </w:pPr>
      <w:r w:rsidRPr="00446B45">
        <w:t>SOF / LDV FDC once daily for 12 weeks in treatment naïve subjects with chronic GT1-HCV with cirrhosis</w:t>
      </w:r>
    </w:p>
    <w:p w:rsidR="00265DD0" w:rsidRPr="00446B45" w:rsidRDefault="00265DD0" w:rsidP="00446B45">
      <w:pPr>
        <w:pStyle w:val="ListBullet"/>
      </w:pPr>
      <w:r w:rsidRPr="00446B45">
        <w:t>SOF / LDV FDC once daily for 24 weeks in treatment experienced subjects with chronic GT1-HCV, with or without cirrhosis</w:t>
      </w:r>
    </w:p>
    <w:p w:rsidR="00265DD0" w:rsidRPr="00446B45" w:rsidRDefault="00265DD0" w:rsidP="00446B45">
      <w:pPr>
        <w:pStyle w:val="ListBullet"/>
      </w:pPr>
      <w:r w:rsidRPr="00446B45">
        <w:t>RBV does not offer additional benefit as add-on therapy and may decrease Quality of Life</w:t>
      </w:r>
    </w:p>
    <w:p w:rsidR="00C22678" w:rsidRDefault="00C22678" w:rsidP="00C22678">
      <w:pPr>
        <w:pStyle w:val="Heading2"/>
      </w:pPr>
      <w:bookmarkStart w:id="395" w:name="_Toc432073934"/>
      <w:r>
        <w:t>First round recommendation regarding authorisation</w:t>
      </w:r>
      <w:bookmarkEnd w:id="395"/>
    </w:p>
    <w:p w:rsidR="00FA1186" w:rsidRPr="00FA1186" w:rsidRDefault="00FA1186" w:rsidP="00FA1186">
      <w:r w:rsidRPr="00FA1186">
        <w:t xml:space="preserve">The Evaluator has no objection to the approval of </w:t>
      </w:r>
      <w:proofErr w:type="spellStart"/>
      <w:r w:rsidR="00643EE3">
        <w:t>Harvoni</w:t>
      </w:r>
      <w:proofErr w:type="spellEnd"/>
      <w:r w:rsidRPr="00FA1186">
        <w:t xml:space="preserve"> (90 mg </w:t>
      </w:r>
      <w:proofErr w:type="spellStart"/>
      <w:r w:rsidRPr="00FA1186">
        <w:t>ledipasvir</w:t>
      </w:r>
      <w:proofErr w:type="spellEnd"/>
      <w:r w:rsidRPr="00FA1186">
        <w:t xml:space="preserve"> / 400 mg </w:t>
      </w:r>
      <w:proofErr w:type="spellStart"/>
      <w:r w:rsidRPr="00FA1186">
        <w:t>sofosbuvir</w:t>
      </w:r>
      <w:proofErr w:type="spellEnd"/>
      <w:r w:rsidRPr="00FA1186">
        <w:t>) FDC tablets for the indication of:</w:t>
      </w:r>
    </w:p>
    <w:p w:rsidR="00FA1186" w:rsidRPr="000D6983" w:rsidRDefault="00643EE3" w:rsidP="000D6983">
      <w:pPr>
        <w:ind w:left="720"/>
        <w:rPr>
          <w:i/>
        </w:rPr>
      </w:pPr>
      <w:proofErr w:type="spellStart"/>
      <w:r w:rsidRPr="000D6983">
        <w:rPr>
          <w:i/>
        </w:rPr>
        <w:t>Harvoni</w:t>
      </w:r>
      <w:proofErr w:type="spellEnd"/>
      <w:r w:rsidR="00FA1186" w:rsidRPr="000D6983">
        <w:rPr>
          <w:i/>
        </w:rPr>
        <w:t xml:space="preserve"> is indicated for the treatment of chronic hepatitis C (CHC) genotype 1 infection in adults.</w:t>
      </w:r>
    </w:p>
    <w:p w:rsidR="00FA1186" w:rsidRPr="00FA1186" w:rsidRDefault="00FA1186" w:rsidP="00FA1186">
      <w:r w:rsidRPr="00FA1186">
        <w:t>Consideration should be given to amending the dosing recommendations in line with the comments.</w:t>
      </w:r>
    </w:p>
    <w:p w:rsidR="00C22678" w:rsidRDefault="00C22678" w:rsidP="0043461B">
      <w:pPr>
        <w:pStyle w:val="Heading2"/>
      </w:pPr>
      <w:bookmarkStart w:id="396" w:name="_Toc432073935"/>
      <w:r>
        <w:t>Clinical questions</w:t>
      </w:r>
      <w:bookmarkEnd w:id="396"/>
    </w:p>
    <w:p w:rsidR="00C22678" w:rsidRDefault="00C618F7" w:rsidP="0043461B">
      <w:pPr>
        <w:pStyle w:val="Heading3"/>
      </w:pPr>
      <w:bookmarkStart w:id="397" w:name="_Toc432073936"/>
      <w:r>
        <w:t>Pharmacokinetics</w:t>
      </w:r>
      <w:bookmarkEnd w:id="397"/>
    </w:p>
    <w:p w:rsidR="00FA1186" w:rsidRPr="00FA1186" w:rsidRDefault="00FA1186" w:rsidP="00FA1186">
      <w:r w:rsidRPr="00FA1186">
        <w:t>The Evaluator has no questions relating to pharmacokinetics.</w:t>
      </w:r>
    </w:p>
    <w:p w:rsidR="00C618F7" w:rsidRDefault="00C618F7" w:rsidP="00C618F7">
      <w:pPr>
        <w:pStyle w:val="Heading3"/>
      </w:pPr>
      <w:bookmarkStart w:id="398" w:name="_Toc432073937"/>
      <w:r>
        <w:t>Pharmacodynamics</w:t>
      </w:r>
      <w:bookmarkEnd w:id="398"/>
    </w:p>
    <w:p w:rsidR="00FA1186" w:rsidRPr="00FA1186" w:rsidRDefault="00FA1186" w:rsidP="00FA1186">
      <w:r w:rsidRPr="00FA1186">
        <w:t>The Evaluator has no questions relating to pharmacodynamics.</w:t>
      </w:r>
    </w:p>
    <w:p w:rsidR="00C618F7" w:rsidRDefault="00C618F7" w:rsidP="00C618F7">
      <w:pPr>
        <w:pStyle w:val="Heading3"/>
      </w:pPr>
      <w:bookmarkStart w:id="399" w:name="_Toc432073938"/>
      <w:r>
        <w:t>Efficacy</w:t>
      </w:r>
      <w:bookmarkEnd w:id="399"/>
    </w:p>
    <w:p w:rsidR="00FA1186" w:rsidRPr="00FA1186" w:rsidRDefault="00FA1186" w:rsidP="00FA1186">
      <w:r w:rsidRPr="00FA1186">
        <w:t>Can the Sponsor please provide the SVR24 data for the pivotal studies?</w:t>
      </w:r>
    </w:p>
    <w:p w:rsidR="00FA1186" w:rsidRPr="00FA1186" w:rsidRDefault="00FA1186" w:rsidP="00FA1186">
      <w:r w:rsidRPr="00FA1186">
        <w:t>Does the Sponsor have access to any long term follow-up data (1 to 2 years) with regard maintenance of efficacy?</w:t>
      </w:r>
    </w:p>
    <w:p w:rsidR="00C618F7" w:rsidRDefault="00C618F7" w:rsidP="00C618F7">
      <w:pPr>
        <w:pStyle w:val="Heading3"/>
      </w:pPr>
      <w:bookmarkStart w:id="400" w:name="_Toc432073939"/>
      <w:r>
        <w:t>Safety</w:t>
      </w:r>
      <w:bookmarkEnd w:id="400"/>
    </w:p>
    <w:p w:rsidR="00FA1186" w:rsidRPr="00FA1186" w:rsidRDefault="00FA1186" w:rsidP="00FA1186">
      <w:r w:rsidRPr="00FA1186">
        <w:t>Does the Sponsor have access to any long term follow-up data (1 to 2 years) with regard safety?</w:t>
      </w:r>
    </w:p>
    <w:p w:rsidR="00C618F7" w:rsidRDefault="00C618F7" w:rsidP="00C618F7">
      <w:pPr>
        <w:pStyle w:val="Heading2"/>
      </w:pPr>
      <w:bookmarkStart w:id="401" w:name="_Toc432073940"/>
      <w:r>
        <w:t>Second round evaluation</w:t>
      </w:r>
      <w:bookmarkEnd w:id="401"/>
    </w:p>
    <w:p w:rsidR="00FA1186" w:rsidRPr="00FA1186" w:rsidRDefault="00FA1186" w:rsidP="00FA1186">
      <w:pPr>
        <w:rPr>
          <w:b/>
        </w:rPr>
      </w:pPr>
      <w:r w:rsidRPr="00FA1186">
        <w:rPr>
          <w:b/>
        </w:rPr>
        <w:t>Can the sponsor please provide the SVR24 data for the pivotal studies?</w:t>
      </w:r>
    </w:p>
    <w:p w:rsidR="00FA1186" w:rsidRPr="00FA1186" w:rsidRDefault="00FA1186" w:rsidP="00FA1186">
      <w:r w:rsidRPr="00FA1186">
        <w:t>The Sponsor has provided the final study report for Study GS-US-337-0102, and update reports for Study GS-US-337-</w:t>
      </w:r>
      <w:r>
        <w:t>0108 and Study GS-US-337-0109.</w:t>
      </w:r>
    </w:p>
    <w:p w:rsidR="00FA1186" w:rsidRPr="00FA1186" w:rsidRDefault="00FA1186" w:rsidP="0043461B">
      <w:r w:rsidRPr="00FA1186">
        <w:t xml:space="preserve">The final study report contained the data for SVR24 and also for </w:t>
      </w:r>
      <w:r w:rsidR="001C473D">
        <w:t xml:space="preserve">the 24 week treatment regimen. </w:t>
      </w:r>
      <w:r w:rsidRPr="00FA1186">
        <w:t>There were 217 subjects randomised to SOF / LDV FDC, of whom 207 (95.4%) completed, and 217 to SOF / LDV + RBV, of whom 204 (94.0%</w:t>
      </w:r>
      <w:r w:rsidR="002F49A9">
        <w:t>) completed</w:t>
      </w:r>
      <w:r>
        <w:t xml:space="preserve">. </w:t>
      </w:r>
      <w:r w:rsidRPr="00FA1186">
        <w:t>For the primary efficacy outcome measure, the results were:</w:t>
      </w:r>
    </w:p>
    <w:p w:rsidR="00FA1186" w:rsidRPr="00FA1186" w:rsidRDefault="00FA1186" w:rsidP="00FA1186">
      <w:pPr>
        <w:pStyle w:val="ListBullet"/>
      </w:pPr>
      <w:r w:rsidRPr="00FA1186">
        <w:t>SVR12 was achieved by 211 (98.6%) subjects in the SOF / LDV 12 week group, 95% CI 96.0% to 99.7%, p &lt;</w:t>
      </w:r>
      <w:r w:rsidR="00D5308D">
        <w:t xml:space="preserve"> </w:t>
      </w:r>
      <w:r w:rsidRPr="00FA1186">
        <w:t>0.001</w:t>
      </w:r>
    </w:p>
    <w:p w:rsidR="00FA1186" w:rsidRPr="00FA1186" w:rsidRDefault="00FA1186" w:rsidP="00FA1186">
      <w:pPr>
        <w:pStyle w:val="ListBullet"/>
      </w:pPr>
      <w:r w:rsidRPr="00FA1186">
        <w:t>SVR12 was achieved by 211 (97.2%) subjects in the SOF / LDV + RBV 12 week group, 95% CI 94.1% to 99.0%, p &lt;</w:t>
      </w:r>
      <w:r w:rsidR="00D5308D">
        <w:t xml:space="preserve"> </w:t>
      </w:r>
      <w:r w:rsidRPr="00FA1186">
        <w:t>0.001</w:t>
      </w:r>
    </w:p>
    <w:p w:rsidR="00FA1186" w:rsidRPr="00FA1186" w:rsidRDefault="00FA1186" w:rsidP="00FA1186">
      <w:pPr>
        <w:pStyle w:val="ListBullet"/>
      </w:pPr>
      <w:r w:rsidRPr="00FA1186">
        <w:t>SVR12 was achieved by 213 (97.7%) subjects in the SOF / LDV 24 week group, 95% CI 95.3% to 99.5%, p &lt;</w:t>
      </w:r>
      <w:r w:rsidR="00D5308D">
        <w:t xml:space="preserve"> </w:t>
      </w:r>
      <w:r w:rsidRPr="00FA1186">
        <w:t>0.001</w:t>
      </w:r>
    </w:p>
    <w:p w:rsidR="00FA1186" w:rsidRPr="00FA1186" w:rsidRDefault="00FA1186" w:rsidP="00FA1186">
      <w:pPr>
        <w:pStyle w:val="ListBullet"/>
      </w:pPr>
      <w:r w:rsidRPr="00FA1186">
        <w:t>SVR12 was achieved by 215 (97.2%) subjects in the SOF / LDV + RBV 24 week group, 95% CI 96.7% to 99.9%, p &lt;</w:t>
      </w:r>
      <w:r w:rsidR="00D5308D">
        <w:t xml:space="preserve"> </w:t>
      </w:r>
      <w:r w:rsidRPr="00FA1186">
        <w:t>0.001</w:t>
      </w:r>
    </w:p>
    <w:p w:rsidR="00FA1186" w:rsidRPr="00FA1186" w:rsidRDefault="00FA1186" w:rsidP="00FA1186">
      <w:r w:rsidRPr="00FA1186">
        <w:t>There was a similar response rate in subjects with cirrhosis treated with SOF / LDV compared to thos</w:t>
      </w:r>
      <w:r w:rsidR="002F49A9">
        <w:t>e treated with SOV / LDV + RBV</w:t>
      </w:r>
      <w:r w:rsidR="001C473D">
        <w:t xml:space="preserve">. </w:t>
      </w:r>
      <w:r w:rsidRPr="00FA1186">
        <w:t>In the SOF / LDV 24 week group, 181 (98.4%) subjects without cirrhosis responded, compared with 32 (9</w:t>
      </w:r>
      <w:r w:rsidR="001C473D">
        <w:t xml:space="preserve">7.0%) subjects with cirrhosis. </w:t>
      </w:r>
      <w:r w:rsidRPr="00FA1186">
        <w:t>In the SOF / LDV 24 week group one subject had on treatment virolo</w:t>
      </w:r>
      <w:r w:rsidR="001C473D">
        <w:t>gical failure and one relapsed.</w:t>
      </w:r>
      <w:r w:rsidRPr="00FA1186">
        <w:t xml:space="preserve"> In the SOF / LDV + RBV 24 week group there were no vir</w:t>
      </w:r>
      <w:r w:rsidR="001C473D">
        <w:t xml:space="preserve">ological failures or relapses. </w:t>
      </w:r>
      <w:r w:rsidRPr="00FA1186">
        <w:t>SVR4 was achieved by 215 (99.1%) subjects in the SOF / LDV 24 week group, 95% CI 96.7% to 99.9%; SVR4 was achieved by 215 (99.1%) subjects in the SOF / LDV + RBV 12 wee</w:t>
      </w:r>
      <w:r w:rsidR="002F49A9">
        <w:t>k group, 95% CI 96.7% to 99.9%</w:t>
      </w:r>
      <w:r w:rsidR="001C473D">
        <w:t xml:space="preserve">. </w:t>
      </w:r>
      <w:r w:rsidRPr="00FA1186">
        <w:t xml:space="preserve">All of the subjects with SVR12 response in all the study groups also had SVR24 response (i.e. the results are identical to those for </w:t>
      </w:r>
      <w:r w:rsidR="002F49A9">
        <w:t>SVR12).</w:t>
      </w:r>
    </w:p>
    <w:p w:rsidR="00FA1186" w:rsidRPr="00FA1186" w:rsidRDefault="00FA1186" w:rsidP="00FA1186">
      <w:r w:rsidRPr="00FA1186">
        <w:t xml:space="preserve">All of the subjects with SVR12 response </w:t>
      </w:r>
      <w:r w:rsidR="00644DE0">
        <w:t xml:space="preserve">in </w:t>
      </w:r>
      <w:r w:rsidR="00644DE0" w:rsidRPr="00FA1186">
        <w:t xml:space="preserve">Study GS-US-337-0108 </w:t>
      </w:r>
      <w:r w:rsidRPr="00FA1186">
        <w:t>also had SVR24 response (i.e. the results were identical to thos</w:t>
      </w:r>
      <w:r w:rsidR="00764366">
        <w:t>e for SVR12)</w:t>
      </w:r>
      <w:r w:rsidRPr="00FA1186">
        <w:t>.</w:t>
      </w:r>
    </w:p>
    <w:p w:rsidR="00FA1186" w:rsidRPr="00FA1186" w:rsidRDefault="00FA1186" w:rsidP="00FA1186">
      <w:pPr>
        <w:pStyle w:val="ListBullet"/>
      </w:pPr>
      <w:r w:rsidRPr="00FA1186">
        <w:t>SVR24 was achieved by 202 (94.0%) subjects in the SOF / LDV FDC 8 week group, 95% CI 89.9% to 96.7%</w:t>
      </w:r>
    </w:p>
    <w:p w:rsidR="00FA1186" w:rsidRPr="00FA1186" w:rsidRDefault="00FA1186" w:rsidP="00FA1186">
      <w:pPr>
        <w:pStyle w:val="ListBullet"/>
      </w:pPr>
      <w:r w:rsidRPr="00FA1186">
        <w:t>SVR24 was achieved by 201 (93.1%) subjects in the SOF / LDV FDC + RBV 8 week group, 95% CI 88.8% to 96.1%</w:t>
      </w:r>
    </w:p>
    <w:p w:rsidR="00FA1186" w:rsidRPr="00FA1186" w:rsidRDefault="00FA1186" w:rsidP="00FA1186">
      <w:pPr>
        <w:pStyle w:val="ListBullet"/>
      </w:pPr>
      <w:r w:rsidRPr="00FA1186">
        <w:t>SVR24 was achieved by 208 (96.3%) subjects in the SOF / LDV FDC 12 week group, 95% CI 92.8% to 98.4%, p &lt;</w:t>
      </w:r>
      <w:r w:rsidR="00D5308D">
        <w:t xml:space="preserve"> </w:t>
      </w:r>
      <w:r w:rsidRPr="00FA1186">
        <w:t>0.001</w:t>
      </w:r>
    </w:p>
    <w:p w:rsidR="00FA1186" w:rsidRPr="00FA1186" w:rsidRDefault="00FA1186" w:rsidP="00FA1186">
      <w:r w:rsidRPr="00FA1186">
        <w:t>The results for the SOF / LDV FDC 12 week group were updated as these data were incomplete in the interim report initially submitted.</w:t>
      </w:r>
    </w:p>
    <w:p w:rsidR="00FA1186" w:rsidRPr="00FA1186" w:rsidRDefault="00FA1186" w:rsidP="00FA1186">
      <w:r w:rsidRPr="00FA1186">
        <w:t>The Sponsor provided the post-treatment Week 24 HCV</w:t>
      </w:r>
      <w:r w:rsidR="001C473D">
        <w:t xml:space="preserve"> RNA data in the S31 response. </w:t>
      </w:r>
      <w:r w:rsidRPr="00FA1186">
        <w:t>All the subjects that achieved SVR12 respons</w:t>
      </w:r>
      <w:r w:rsidR="00840906">
        <w:t xml:space="preserve">e also achieved SVR24 response. </w:t>
      </w:r>
      <w:r w:rsidRPr="00FA1186">
        <w:t>The results by treatment group were:</w:t>
      </w:r>
    </w:p>
    <w:p w:rsidR="00FA1186" w:rsidRPr="00FA1186" w:rsidRDefault="00FA1186" w:rsidP="00FA1186">
      <w:pPr>
        <w:pStyle w:val="ListBullet"/>
      </w:pPr>
      <w:r w:rsidRPr="00FA1186">
        <w:t>SVR24 was achieved by 102 (93.6%) subjects in the SOF / LDV FDC 12 week group, 95% CI 87.2% to 97.4%</w:t>
      </w:r>
    </w:p>
    <w:p w:rsidR="00FA1186" w:rsidRPr="00FA1186" w:rsidRDefault="00FA1186" w:rsidP="00FA1186">
      <w:pPr>
        <w:pStyle w:val="ListBullet"/>
      </w:pPr>
      <w:r w:rsidRPr="00FA1186">
        <w:t>SVR24 was achieved by 107 (96.4%) subjects in the SOF / LDV FDC + RBV 12 week group, 95% CI 91.0% to 99.0%</w:t>
      </w:r>
    </w:p>
    <w:p w:rsidR="00FA1186" w:rsidRPr="00FA1186" w:rsidRDefault="00FA1186" w:rsidP="00FA1186">
      <w:pPr>
        <w:pStyle w:val="ListBullet"/>
      </w:pPr>
      <w:r w:rsidRPr="00FA1186">
        <w:t>SVR24 was achieved by 108 (99.1%) subjects in the SOF / LDV FDC 24 week group, 95% CI 95.0% to 100.0%</w:t>
      </w:r>
    </w:p>
    <w:p w:rsidR="00FA1186" w:rsidRPr="00FA1186" w:rsidRDefault="00FA1186" w:rsidP="00FA1186">
      <w:pPr>
        <w:pStyle w:val="ListBullet"/>
      </w:pPr>
      <w:r w:rsidRPr="00FA1186">
        <w:t>SVR24 was achieved by 110 (99.1%) subjects in the SOF / LDV FDC + RBV 24 week group, 95% CI 95.1% to 100.0%</w:t>
      </w:r>
    </w:p>
    <w:p w:rsidR="00FA1186" w:rsidRPr="00FA1186" w:rsidRDefault="00FA1186" w:rsidP="0043461B">
      <w:r w:rsidRPr="00FA1186">
        <w:t>Evaluator’s comments: The Sponsor’s response is accepta</w:t>
      </w:r>
      <w:r w:rsidR="001C473D">
        <w:t>ble and has resolved the issue.</w:t>
      </w:r>
      <w:r w:rsidRPr="00FA1186">
        <w:t xml:space="preserve"> All of the subjects that achieved SVR12 response in the pivotal studies also achieved SVR24 response.</w:t>
      </w:r>
    </w:p>
    <w:p w:rsidR="00FA1186" w:rsidRPr="00FA1186" w:rsidRDefault="00FA1186" w:rsidP="00FA1186">
      <w:pPr>
        <w:rPr>
          <w:b/>
        </w:rPr>
      </w:pPr>
      <w:r w:rsidRPr="00FA1186">
        <w:rPr>
          <w:b/>
        </w:rPr>
        <w:t>Does the sponsor have access to any long term follow-up data (1 to 2 years) with regard maintenance of efficacy?</w:t>
      </w:r>
    </w:p>
    <w:p w:rsidR="00FA1186" w:rsidRPr="00FA1186" w:rsidRDefault="00FA1186" w:rsidP="00FA1186">
      <w:r w:rsidRPr="00FA1186">
        <w:t>Sponsor’s response: The Sponsor did not respond by providing additional long</w:t>
      </w:r>
      <w:r w:rsidR="001C473D">
        <w:t xml:space="preserve"> term follow up efficacy data. </w:t>
      </w:r>
      <w:r w:rsidRPr="00FA1186">
        <w:t>The Sponsor provided the protocols for two long term follow up studies that are currently being conducted:</w:t>
      </w:r>
    </w:p>
    <w:p w:rsidR="00FA1186" w:rsidRPr="00FA1186" w:rsidRDefault="00FA1186" w:rsidP="00FA1186">
      <w:pPr>
        <w:pStyle w:val="ListBullet"/>
      </w:pPr>
      <w:r w:rsidRPr="00FA1186">
        <w:t xml:space="preserve">Study GS-US-248-0122: a long term follow-up registry study for subjects who achieve a sustained </w:t>
      </w:r>
      <w:proofErr w:type="spellStart"/>
      <w:r w:rsidRPr="00FA1186">
        <w:t>virologic</w:t>
      </w:r>
      <w:proofErr w:type="spellEnd"/>
      <w:r w:rsidRPr="00FA1186">
        <w:t xml:space="preserve"> response to treatment in Gilead-sponsored trials in subjects with </w:t>
      </w:r>
      <w:r w:rsidR="001C473D">
        <w:t xml:space="preserve">chronic hepatitis C infection. </w:t>
      </w:r>
      <w:r w:rsidRPr="00FA1186">
        <w:t xml:space="preserve">Subjects will </w:t>
      </w:r>
      <w:r w:rsidR="001C473D">
        <w:t xml:space="preserve">be followed for up to 3 years. </w:t>
      </w:r>
      <w:r w:rsidRPr="00FA1186">
        <w:t>Visits will occur at Baseline and then at Week</w:t>
      </w:r>
      <w:r w:rsidR="001C473D">
        <w:t xml:space="preserve">s 24, 48, 72, 96, 120 and 144. </w:t>
      </w:r>
      <w:r w:rsidRPr="00FA1186">
        <w:t>At each visit, subjects will have blood drawn for plasma HCV RNA quantification, liver function tests, platelets, coagulation test, α-fetoprotein, and a quality of life survey will be completed.</w:t>
      </w:r>
    </w:p>
    <w:p w:rsidR="00FA1186" w:rsidRPr="00FA1186" w:rsidRDefault="00FA1186" w:rsidP="00FA1186">
      <w:pPr>
        <w:pStyle w:val="ListBullet"/>
      </w:pPr>
      <w:r w:rsidRPr="00FA1186">
        <w:t xml:space="preserve">Study GS-US-248-0123: a long term follow-up registry study of subjects who did not achieve sustained </w:t>
      </w:r>
      <w:proofErr w:type="spellStart"/>
      <w:r w:rsidRPr="00FA1186">
        <w:t>virologic</w:t>
      </w:r>
      <w:proofErr w:type="spellEnd"/>
      <w:r w:rsidRPr="00FA1186">
        <w:t xml:space="preserve"> response in Gilead-sponsored trials in subjects with </w:t>
      </w:r>
      <w:r w:rsidR="001C473D">
        <w:t xml:space="preserve">chronic hepatitis C infection. </w:t>
      </w:r>
      <w:r w:rsidRPr="00FA1186">
        <w:t>The study procedures are similar to those for Study GS-US-248-0122.</w:t>
      </w:r>
    </w:p>
    <w:p w:rsidR="00FA1186" w:rsidRPr="00FA1186" w:rsidRDefault="00FA1186" w:rsidP="00FA1186">
      <w:r w:rsidRPr="00FA1186">
        <w:t>The Sponsor will provide the results of these studies to the TGA once the clinical reports are available.</w:t>
      </w:r>
    </w:p>
    <w:p w:rsidR="00FA1186" w:rsidRPr="00FA1186" w:rsidRDefault="00FA1186" w:rsidP="00FA1186">
      <w:r w:rsidRPr="00FA1186">
        <w:t>Evaluator’s comments: The Sponsor’s response is accepta</w:t>
      </w:r>
      <w:r>
        <w:t>ble and has resolved the issue.</w:t>
      </w:r>
    </w:p>
    <w:p w:rsidR="00FA1186" w:rsidRPr="00FA1186" w:rsidRDefault="00FA1186" w:rsidP="00FA1186">
      <w:pPr>
        <w:rPr>
          <w:b/>
        </w:rPr>
      </w:pPr>
      <w:r w:rsidRPr="00FA1186">
        <w:rPr>
          <w:b/>
        </w:rPr>
        <w:t>Does the sponsor have access to any long term follow-up data (1 to 2 years) with regard maintenance of safety?</w:t>
      </w:r>
    </w:p>
    <w:p w:rsidR="00FA1186" w:rsidRPr="00FA1186" w:rsidRDefault="00FA1186" w:rsidP="00FA1186">
      <w:r w:rsidRPr="00FA1186">
        <w:t>Sponsor’s response: The Sponsor did not respond by providing additional lo</w:t>
      </w:r>
      <w:r w:rsidR="001C473D">
        <w:t xml:space="preserve">ng term follow up safety data. </w:t>
      </w:r>
      <w:r w:rsidRPr="00FA1186">
        <w:t>The Sponsor provided the protocols for two long term follow up studies that are currently being conducted:</w:t>
      </w:r>
    </w:p>
    <w:p w:rsidR="00FA1186" w:rsidRPr="00FA1186" w:rsidRDefault="00FA1186" w:rsidP="00FA1186">
      <w:pPr>
        <w:pStyle w:val="ListBullet"/>
      </w:pPr>
      <w:r w:rsidRPr="00FA1186">
        <w:t xml:space="preserve">Study GS-US-248-0122: a long term follow-up registry study for subjects who achieve a sustained </w:t>
      </w:r>
      <w:proofErr w:type="spellStart"/>
      <w:r w:rsidRPr="00FA1186">
        <w:t>virologic</w:t>
      </w:r>
      <w:proofErr w:type="spellEnd"/>
      <w:r w:rsidRPr="00FA1186">
        <w:t xml:space="preserve"> response to treatment in Gilead-sponsored trials in subjects with </w:t>
      </w:r>
      <w:r w:rsidR="001C473D">
        <w:t xml:space="preserve">chronic hepatitis C infection. </w:t>
      </w:r>
      <w:r w:rsidRPr="00FA1186">
        <w:t>The safety data from this study will be limited as the definition for reporting an AE is: “an AE is any untoward medical occurrence in a clinical investigation subject associated with procedures manda</w:t>
      </w:r>
      <w:r w:rsidR="001C473D">
        <w:t xml:space="preserve">ted by this Registry protocol. </w:t>
      </w:r>
      <w:r w:rsidRPr="00FA1186">
        <w:t xml:space="preserve">An AE can therefore be any </w:t>
      </w:r>
      <w:proofErr w:type="spellStart"/>
      <w:r w:rsidRPr="00FA1186">
        <w:t>unfavorable</w:t>
      </w:r>
      <w:proofErr w:type="spellEnd"/>
      <w:r w:rsidRPr="00FA1186">
        <w:t xml:space="preserve"> and unintended sign, symptom, or disease temporally associated with procedures mandated by this Registry (e.g., hema</w:t>
      </w:r>
      <w:r w:rsidR="001C473D">
        <w:t xml:space="preserve">toma following </w:t>
      </w:r>
      <w:proofErr w:type="spellStart"/>
      <w:r w:rsidR="001C473D">
        <w:t>venipuncture</w:t>
      </w:r>
      <w:proofErr w:type="spellEnd"/>
      <w:r w:rsidR="001C473D">
        <w:t xml:space="preserve">)”. </w:t>
      </w:r>
      <w:r w:rsidRPr="00FA1186">
        <w:t>The definition of SAE is similarly restrictive.</w:t>
      </w:r>
    </w:p>
    <w:p w:rsidR="00FA1186" w:rsidRPr="00FA1186" w:rsidRDefault="00FA1186" w:rsidP="00FA1186">
      <w:pPr>
        <w:pStyle w:val="ListBullet"/>
      </w:pPr>
      <w:r w:rsidRPr="00FA1186">
        <w:t xml:space="preserve">Study GS-US-248-0123: a long term follow-up registry study of subjects who did not achieve sustained </w:t>
      </w:r>
      <w:proofErr w:type="spellStart"/>
      <w:r w:rsidRPr="00FA1186">
        <w:t>virologic</w:t>
      </w:r>
      <w:proofErr w:type="spellEnd"/>
      <w:r w:rsidRPr="00FA1186">
        <w:t xml:space="preserve"> response in Gilead-sponsored trials in subjects with </w:t>
      </w:r>
      <w:r w:rsidR="001C473D">
        <w:t xml:space="preserve">chronic hepatitis C infection. </w:t>
      </w:r>
      <w:r w:rsidRPr="00FA1186">
        <w:t>The definitions for reporting AEs are the same as for Study GS-US-248-0122.</w:t>
      </w:r>
    </w:p>
    <w:p w:rsidR="00FA1186" w:rsidRPr="00FA1186" w:rsidRDefault="00FA1186" w:rsidP="00FA1186">
      <w:r w:rsidRPr="00FA1186">
        <w:t>The Sponsor will provide the results of these studies to the TGA once the clinical reports are available.</w:t>
      </w:r>
    </w:p>
    <w:p w:rsidR="00FA1186" w:rsidRPr="00FA1186" w:rsidRDefault="00FA1186" w:rsidP="00FA1186">
      <w:r w:rsidRPr="00FA1186">
        <w:t>Evaluator’s comments: The Sponsor</w:t>
      </w:r>
      <w:r w:rsidR="001C473D">
        <w:t xml:space="preserve">’s response is not acceptable. </w:t>
      </w:r>
      <w:r w:rsidRPr="00FA1186">
        <w:t>The proposed studies will not identify safety data due to the restricted definitions of A</w:t>
      </w:r>
      <w:r w:rsidR="001C473D">
        <w:t xml:space="preserve">E and SAE used in the studies. </w:t>
      </w:r>
      <w:r w:rsidRPr="00FA1186">
        <w:t>In the opinion of the Evaluator, the Sponsor should also use these studies to identify potential long term adverse effects of SOF / LDV.</w:t>
      </w:r>
    </w:p>
    <w:p w:rsidR="00FA1186" w:rsidRPr="00FA1186" w:rsidRDefault="00FA1186" w:rsidP="00FA1186">
      <w:pPr>
        <w:rPr>
          <w:b/>
        </w:rPr>
      </w:pPr>
      <w:r w:rsidRPr="00FA1186">
        <w:rPr>
          <w:b/>
        </w:rPr>
        <w:t>However, consideration needs to be given as to the most app</w:t>
      </w:r>
      <w:r w:rsidR="001C473D">
        <w:rPr>
          <w:b/>
        </w:rPr>
        <w:t>ropriate dosing recommendation.</w:t>
      </w:r>
      <w:r w:rsidRPr="00FA1186">
        <w:rPr>
          <w:b/>
        </w:rPr>
        <w:t xml:space="preserve"> In the opinion of the Evaluator this should be:</w:t>
      </w:r>
    </w:p>
    <w:p w:rsidR="00FA1186" w:rsidRPr="00FD39DA" w:rsidRDefault="00FA1186" w:rsidP="00FA1186">
      <w:pPr>
        <w:pStyle w:val="ListBullet"/>
        <w:rPr>
          <w:b/>
        </w:rPr>
      </w:pPr>
      <w:bookmarkStart w:id="402" w:name="_GoBack"/>
      <w:bookmarkEnd w:id="402"/>
      <w:r w:rsidRPr="00FD39DA">
        <w:rPr>
          <w:b/>
        </w:rPr>
        <w:t xml:space="preserve">SOF / LDV FDC once daily for 8 weeks in treatment naïve subjects with chronic GT1-HCV without cirrhosis </w:t>
      </w:r>
    </w:p>
    <w:p w:rsidR="00FA1186" w:rsidRPr="00FD39DA" w:rsidRDefault="00FA1186" w:rsidP="00FA1186">
      <w:pPr>
        <w:pStyle w:val="ListBullet"/>
        <w:rPr>
          <w:b/>
        </w:rPr>
      </w:pPr>
      <w:r w:rsidRPr="00FD39DA">
        <w:rPr>
          <w:b/>
        </w:rPr>
        <w:t>SOF / LDV FDC once daily for 12 weeks in treatment naïve subjects with chronic GT1-HCV with cirrhosis</w:t>
      </w:r>
    </w:p>
    <w:p w:rsidR="00FA1186" w:rsidRPr="00FD39DA" w:rsidRDefault="00FA1186" w:rsidP="00FA1186">
      <w:pPr>
        <w:pStyle w:val="ListBullet"/>
        <w:rPr>
          <w:b/>
        </w:rPr>
      </w:pPr>
      <w:r w:rsidRPr="00FD39DA">
        <w:rPr>
          <w:b/>
        </w:rPr>
        <w:t>SOF / LDV FDC once daily for 24 weeks in treatment experienced subjects with chronic GT1-HCV, with or without cirrhosis</w:t>
      </w:r>
    </w:p>
    <w:p w:rsidR="00FA1186" w:rsidRPr="00FD39DA" w:rsidRDefault="00FA1186" w:rsidP="00FA1186">
      <w:pPr>
        <w:pStyle w:val="ListBullet"/>
        <w:rPr>
          <w:b/>
        </w:rPr>
      </w:pPr>
      <w:r w:rsidRPr="00FD39DA">
        <w:rPr>
          <w:b/>
        </w:rPr>
        <w:t>RBV does not offer additional benefit as add-on therapy and may decrease Quality of Life</w:t>
      </w:r>
    </w:p>
    <w:p w:rsidR="00FA1186" w:rsidRPr="00FA1186" w:rsidRDefault="00FA1186" w:rsidP="00FA1186">
      <w:r w:rsidRPr="00FA1186">
        <w:t>Sponsor’s response: The Sponsor intends to retain the originally proposed dosing recommendations which are:</w:t>
      </w:r>
    </w:p>
    <w:p w:rsidR="00FA1186" w:rsidRPr="00FA1186" w:rsidRDefault="00FA1186" w:rsidP="00FA1186">
      <w:pPr>
        <w:pStyle w:val="ListBullet"/>
      </w:pPr>
      <w:r w:rsidRPr="00FA1186">
        <w:t xml:space="preserve">For treatment-naïve patients without cirrhosis the recommended duration of treatment with </w:t>
      </w:r>
      <w:proofErr w:type="spellStart"/>
      <w:r w:rsidR="00643EE3">
        <w:t>Harvoni</w:t>
      </w:r>
      <w:proofErr w:type="spellEnd"/>
      <w:r w:rsidRPr="00FA1186">
        <w:t xml:space="preserve"> is 8 weeks.</w:t>
      </w:r>
    </w:p>
    <w:p w:rsidR="00FA1186" w:rsidRPr="00FA1186" w:rsidRDefault="00FA1186" w:rsidP="00FA1186">
      <w:pPr>
        <w:pStyle w:val="ListBullet"/>
      </w:pPr>
      <w:r w:rsidRPr="00FA1186">
        <w:t xml:space="preserve">For treatment-naïve patients with cirrhosis and all treatment-experienced patients the recommended duration of treatment with </w:t>
      </w:r>
      <w:proofErr w:type="spellStart"/>
      <w:r w:rsidR="00643EE3">
        <w:t>Harvoni</w:t>
      </w:r>
      <w:proofErr w:type="spellEnd"/>
      <w:r w:rsidRPr="00FA1186">
        <w:t xml:space="preserve"> is 12 weeks.</w:t>
      </w:r>
    </w:p>
    <w:p w:rsidR="00FA1186" w:rsidRPr="00FA1186" w:rsidRDefault="00FA1186" w:rsidP="00FA1186">
      <w:r w:rsidRPr="00FA1186">
        <w:t>The reasons for retaining this dosing recommendation is to avoid over-treating those patients who respond to this shorter treatment course, and ther</w:t>
      </w:r>
      <w:r w:rsidR="001C473D">
        <w:t xml:space="preserve">eby exposing them to more AEs. </w:t>
      </w:r>
      <w:r w:rsidRPr="00FA1186">
        <w:t>The Sponsor quotes 95% of subjects would be over-treated in or</w:t>
      </w:r>
      <w:r w:rsidR="001C473D">
        <w:t xml:space="preserve">der to prevent 5% of relapses. </w:t>
      </w:r>
      <w:r w:rsidRPr="00FA1186">
        <w:t>The Sponsor also believes there would be greater cost and healthcare utilisation with the longer treatment course and lesser adherence to the treatment regimen.</w:t>
      </w:r>
    </w:p>
    <w:p w:rsidR="00FA1186" w:rsidRPr="00FA1186" w:rsidRDefault="00FA1186" w:rsidP="00FA1186">
      <w:r w:rsidRPr="00FA1186">
        <w:t>Evaluator’s comments: The Sponsor’s response is n</w:t>
      </w:r>
      <w:r w:rsidR="001C473D">
        <w:t xml:space="preserve">ot acceptable. </w:t>
      </w:r>
      <w:r w:rsidRPr="00FA1186">
        <w:t>Based upon the data submitted, there is greater efficacy in treatment experienced subjects with</w:t>
      </w:r>
      <w:r w:rsidR="001C473D">
        <w:t xml:space="preserve"> the 24 week treatment course. </w:t>
      </w:r>
      <w:r w:rsidRPr="00FA1186">
        <w:t>These data are based upon the full analysis set (which included subjects who were randomized and received at least one dose of study drug) and therefore non-adherence is taken into account in the analysis, and the longer treatment cour</w:t>
      </w:r>
      <w:r w:rsidR="001C473D">
        <w:t xml:space="preserve">se still had greater efficacy. </w:t>
      </w:r>
      <w:r w:rsidRPr="00FA1186">
        <w:t xml:space="preserve">The adverse event profile of SOF / LDV is favourable so the argument that the longer treatment course has </w:t>
      </w:r>
      <w:r w:rsidR="001C473D">
        <w:t>unacceptable risk is not valid.</w:t>
      </w:r>
      <w:r w:rsidRPr="00FA1186">
        <w:t xml:space="preserve"> In the opinion of the Evaluator, the 5% of subjects that would relapse with a shorter course represents a greater burden to the healthcare system than does the longer treatment course.</w:t>
      </w:r>
    </w:p>
    <w:p w:rsidR="00FA1186" w:rsidRPr="00FA1186" w:rsidRDefault="00FA1186" w:rsidP="00FA1186">
      <w:pPr>
        <w:rPr>
          <w:b/>
        </w:rPr>
      </w:pPr>
      <w:r w:rsidRPr="00FA1186">
        <w:rPr>
          <w:b/>
        </w:rPr>
        <w:t>Additional data included in the S31 Response</w:t>
      </w:r>
    </w:p>
    <w:p w:rsidR="00FA1186" w:rsidRPr="00FA1186" w:rsidRDefault="00FA1186" w:rsidP="00FA1186">
      <w:r w:rsidRPr="00FA1186">
        <w:t>The Sponsor has provided preliminary data in the form of an interim re</w:t>
      </w:r>
      <w:r w:rsidR="00FD39DA">
        <w:t>port from Study GS-US-337-1306</w:t>
      </w:r>
      <w:r w:rsidR="001C473D">
        <w:t xml:space="preserve">. </w:t>
      </w:r>
      <w:r w:rsidRPr="00FA1186">
        <w:t>This study is a P</w:t>
      </w:r>
      <w:r w:rsidR="001C473D">
        <w:t xml:space="preserve">hase I drug interaction study. </w:t>
      </w:r>
      <w:r w:rsidRPr="00FA1186">
        <w:t xml:space="preserve">The key findings reported by the Sponsor with regard SOF and LDV are: “Simultaneous co-administration of a complete HIV ARV regimen of ATV/r + TVD with LDV / SOF increased systemic exposures of LDV by 96%, 68%, and 118% as assessed </w:t>
      </w:r>
      <w:proofErr w:type="spellStart"/>
      <w:r w:rsidRPr="00FA1186">
        <w:t>AUCtau</w:t>
      </w:r>
      <w:proofErr w:type="spellEnd"/>
      <w:r w:rsidRPr="00FA1186">
        <w:t>,</w:t>
      </w:r>
      <w:r w:rsidR="001C473D">
        <w:t xml:space="preserve"> </w:t>
      </w:r>
      <w:proofErr w:type="spellStart"/>
      <w:r w:rsidR="001C473D">
        <w:t>Cmax</w:t>
      </w:r>
      <w:proofErr w:type="spellEnd"/>
      <w:r w:rsidR="001C473D">
        <w:t xml:space="preserve">, and </w:t>
      </w:r>
      <w:proofErr w:type="spellStart"/>
      <w:r w:rsidR="001C473D">
        <w:t>Ctau</w:t>
      </w:r>
      <w:proofErr w:type="spellEnd"/>
      <w:r w:rsidR="001C473D">
        <w:t xml:space="preserve">, respectively. </w:t>
      </w:r>
      <w:r w:rsidRPr="00FA1186">
        <w:t xml:space="preserve">A 12-hour separation of ATV/r + TVD did not minimize the interaction, as assessed by similar increases in LDV </w:t>
      </w:r>
      <w:proofErr w:type="spellStart"/>
      <w:r w:rsidRPr="00FA1186">
        <w:t>AUCtau</w:t>
      </w:r>
      <w:proofErr w:type="spellEnd"/>
      <w:r w:rsidRPr="00FA1186">
        <w:t xml:space="preserve">, </w:t>
      </w:r>
      <w:proofErr w:type="spellStart"/>
      <w:r w:rsidRPr="00FA1186">
        <w:t>Cmax</w:t>
      </w:r>
      <w:proofErr w:type="spellEnd"/>
      <w:r w:rsidRPr="00FA1186">
        <w:t xml:space="preserve">, and </w:t>
      </w:r>
      <w:proofErr w:type="spellStart"/>
      <w:r w:rsidRPr="00FA1186">
        <w:t>Ctau</w:t>
      </w:r>
      <w:proofErr w:type="spellEnd"/>
      <w:r w:rsidRPr="00FA1186">
        <w:t xml:space="preserve"> of 131%</w:t>
      </w:r>
      <w:r w:rsidR="001C473D">
        <w:t xml:space="preserve">, 75%, and 164%, respectively. </w:t>
      </w:r>
      <w:r w:rsidRPr="00FA1186">
        <w:t xml:space="preserve">LDV is known to be a substrate of </w:t>
      </w:r>
      <w:proofErr w:type="spellStart"/>
      <w:r w:rsidRPr="00FA1186">
        <w:t>Pgp</w:t>
      </w:r>
      <w:proofErr w:type="spellEnd"/>
      <w:r w:rsidRPr="00FA1186">
        <w:t xml:space="preserve"> and BCRP drug transporters and is also subject</w:t>
      </w:r>
      <w:r w:rsidR="001C473D">
        <w:t xml:space="preserve"> to slow oxidative metabolism. </w:t>
      </w:r>
      <w:r w:rsidRPr="00FA1186">
        <w:t xml:space="preserve">The putative mechanism for this interaction is persistent ATV and RTV inhibition of </w:t>
      </w:r>
      <w:proofErr w:type="spellStart"/>
      <w:r w:rsidRPr="00FA1186">
        <w:t>Pg</w:t>
      </w:r>
      <w:r w:rsidR="001C473D">
        <w:t>p</w:t>
      </w:r>
      <w:proofErr w:type="spellEnd"/>
      <w:r w:rsidR="001C473D">
        <w:t xml:space="preserve"> and BCRP drug transporters”. </w:t>
      </w:r>
      <w:r w:rsidRPr="00FA1186">
        <w:t>The Sponsor does not intend to make any dose change recommendations with regard SOF / LDV FDC as a result of the interaction, and does not consider the interaction to be clinically relevant.</w:t>
      </w:r>
    </w:p>
    <w:p w:rsidR="00FA1186" w:rsidRPr="00FA1186" w:rsidRDefault="00FA1186" w:rsidP="00FA1186">
      <w:r w:rsidRPr="00FA1186">
        <w:t>However, LDV / SOF FDC resulted in inc</w:t>
      </w:r>
      <w:r>
        <w:t xml:space="preserve">reased exposure to TFV. </w:t>
      </w:r>
      <w:proofErr w:type="spellStart"/>
      <w:r w:rsidRPr="00FA1186">
        <w:t>AUCtau</w:t>
      </w:r>
      <w:proofErr w:type="spellEnd"/>
      <w:r w:rsidRPr="00FA1186">
        <w:t xml:space="preserve"> increased by 33 to 35%, </w:t>
      </w:r>
      <w:proofErr w:type="spellStart"/>
      <w:r w:rsidRPr="00FA1186">
        <w:t>Cmax</w:t>
      </w:r>
      <w:proofErr w:type="spellEnd"/>
      <w:r w:rsidRPr="00FA1186">
        <w:t xml:space="preserve"> by 47% to 49%, and </w:t>
      </w:r>
      <w:proofErr w:type="spellStart"/>
      <w:r w:rsidRPr="00FA1186">
        <w:t>Ctau</w:t>
      </w:r>
      <w:proofErr w:type="spellEnd"/>
      <w:r w:rsidRPr="00FA1186">
        <w:t xml:space="preserve"> by 47% to 38% following administration of LDV / SOF and ATV/r + TVD either sim</w:t>
      </w:r>
      <w:r w:rsidR="001C473D">
        <w:t xml:space="preserve">ultaneously or 12-hours apart. </w:t>
      </w:r>
      <w:r w:rsidRPr="00FA1186">
        <w:t>The mechanism is likely due to inhibition of i</w:t>
      </w:r>
      <w:r w:rsidR="001C473D">
        <w:t xml:space="preserve">ntestinal </w:t>
      </w:r>
      <w:proofErr w:type="spellStart"/>
      <w:r w:rsidR="001C473D">
        <w:t>Pgp</w:t>
      </w:r>
      <w:proofErr w:type="spellEnd"/>
      <w:r w:rsidR="001C473D">
        <w:t xml:space="preserve"> and BCRP by LDV. </w:t>
      </w:r>
      <w:r w:rsidRPr="00FA1186">
        <w:t>The Sponsor has included a warning of this interaction in the PI.</w:t>
      </w:r>
    </w:p>
    <w:p w:rsidR="00FA1186" w:rsidRPr="00FA1186" w:rsidRDefault="00FA1186" w:rsidP="00FA1186">
      <w:r w:rsidRPr="00FA1186">
        <w:t>Evaluator’s comments: The provision of this additional information, and the Sponso</w:t>
      </w:r>
      <w:r>
        <w:t>rs conclusions, are acceptable.</w:t>
      </w:r>
      <w:r w:rsidRPr="00FA1186">
        <w:t xml:space="preserve"> The Sponsor intends to lodge the full study report at a later date.</w:t>
      </w:r>
    </w:p>
    <w:p w:rsidR="00C618F7" w:rsidRDefault="00C618F7" w:rsidP="00C618F7">
      <w:pPr>
        <w:pStyle w:val="Heading2"/>
      </w:pPr>
      <w:bookmarkStart w:id="403" w:name="_Toc432073941"/>
      <w:r>
        <w:t>Second round benefit-risk assessment</w:t>
      </w:r>
      <w:bookmarkEnd w:id="403"/>
    </w:p>
    <w:p w:rsidR="00FA1186" w:rsidRPr="00FA1186" w:rsidRDefault="00FA1186" w:rsidP="00FA1186">
      <w:pPr>
        <w:pStyle w:val="Heading3"/>
      </w:pPr>
      <w:bookmarkStart w:id="404" w:name="_Toc272414709"/>
      <w:bookmarkStart w:id="405" w:name="_Toc290846349"/>
      <w:bookmarkStart w:id="406" w:name="_Toc408164131"/>
      <w:bookmarkStart w:id="407" w:name="_Toc432073942"/>
      <w:r w:rsidRPr="00FA1186">
        <w:t>Second round assessment of benefits</w:t>
      </w:r>
      <w:bookmarkEnd w:id="404"/>
      <w:bookmarkEnd w:id="405"/>
      <w:bookmarkEnd w:id="406"/>
      <w:bookmarkEnd w:id="407"/>
    </w:p>
    <w:p w:rsidR="00FA1186" w:rsidRPr="00FA1186" w:rsidRDefault="00FA1186" w:rsidP="00FA1186">
      <w:r w:rsidRPr="00FA1186">
        <w:t xml:space="preserve">After consideration of the responses to clinical questions, the benefits of </w:t>
      </w:r>
      <w:proofErr w:type="spellStart"/>
      <w:r w:rsidR="00643EE3">
        <w:t>Harvoni</w:t>
      </w:r>
      <w:proofErr w:type="spellEnd"/>
      <w:r w:rsidRPr="00FA1186">
        <w:t xml:space="preserve"> (90 mg </w:t>
      </w:r>
      <w:proofErr w:type="spellStart"/>
      <w:r w:rsidRPr="00FA1186">
        <w:t>ledipasvir</w:t>
      </w:r>
      <w:proofErr w:type="spellEnd"/>
      <w:r w:rsidRPr="00FA1186">
        <w:t xml:space="preserve"> / 400 mg </w:t>
      </w:r>
      <w:proofErr w:type="spellStart"/>
      <w:r w:rsidRPr="00FA1186">
        <w:t>sofosbuvir</w:t>
      </w:r>
      <w:proofErr w:type="spellEnd"/>
      <w:r w:rsidRPr="00FA1186">
        <w:t xml:space="preserve">) FDC tablets in the proposed usage are unchanged from those identified </w:t>
      </w:r>
      <w:r w:rsidR="00FD39DA">
        <w:t>in the first round</w:t>
      </w:r>
      <w:r w:rsidRPr="00FA1186">
        <w:t>.</w:t>
      </w:r>
    </w:p>
    <w:p w:rsidR="00FA1186" w:rsidRPr="00FA1186" w:rsidRDefault="00FA1186" w:rsidP="00FA1186">
      <w:pPr>
        <w:pStyle w:val="Heading3"/>
      </w:pPr>
      <w:bookmarkStart w:id="408" w:name="_Toc272414710"/>
      <w:bookmarkStart w:id="409" w:name="_Toc290846350"/>
      <w:bookmarkStart w:id="410" w:name="_Toc408164132"/>
      <w:bookmarkStart w:id="411" w:name="_Toc432073943"/>
      <w:r w:rsidRPr="00FA1186">
        <w:t>Second round assessment of risks</w:t>
      </w:r>
      <w:bookmarkEnd w:id="408"/>
      <w:bookmarkEnd w:id="409"/>
      <w:bookmarkEnd w:id="410"/>
      <w:bookmarkEnd w:id="411"/>
    </w:p>
    <w:p w:rsidR="00FA1186" w:rsidRPr="00FA1186" w:rsidRDefault="00FA1186" w:rsidP="00FA1186">
      <w:r w:rsidRPr="00FA1186">
        <w:t xml:space="preserve">After consideration of the responses to clinical questions, the risks of </w:t>
      </w:r>
      <w:proofErr w:type="spellStart"/>
      <w:r w:rsidR="00643EE3">
        <w:t>Harvoni</w:t>
      </w:r>
      <w:proofErr w:type="spellEnd"/>
      <w:r w:rsidRPr="00FA1186">
        <w:t xml:space="preserve"> (90 mg </w:t>
      </w:r>
      <w:proofErr w:type="spellStart"/>
      <w:r w:rsidRPr="00FA1186">
        <w:t>ledipasvir</w:t>
      </w:r>
      <w:proofErr w:type="spellEnd"/>
      <w:r w:rsidRPr="00FA1186">
        <w:t xml:space="preserve"> / 400 mg </w:t>
      </w:r>
      <w:proofErr w:type="spellStart"/>
      <w:r w:rsidRPr="00FA1186">
        <w:t>sofosbuvir</w:t>
      </w:r>
      <w:proofErr w:type="spellEnd"/>
      <w:r w:rsidRPr="00FA1186">
        <w:t>) FDC tablets in the proposed usage are un</w:t>
      </w:r>
      <w:r w:rsidR="00E076A6">
        <w:t>changed from those identified in the first round</w:t>
      </w:r>
      <w:r w:rsidRPr="00FA1186">
        <w:t>.</w:t>
      </w:r>
    </w:p>
    <w:p w:rsidR="00FA1186" w:rsidRPr="00FA1186" w:rsidRDefault="00FA1186" w:rsidP="00FA1186">
      <w:pPr>
        <w:pStyle w:val="Heading3"/>
      </w:pPr>
      <w:bookmarkStart w:id="412" w:name="_Toc272414711"/>
      <w:bookmarkStart w:id="413" w:name="_Toc290846351"/>
      <w:bookmarkStart w:id="414" w:name="_Toc408164133"/>
      <w:bookmarkStart w:id="415" w:name="_Toc432073944"/>
      <w:r w:rsidRPr="00FA1186">
        <w:t>Second round assessment of benefit-risk balance</w:t>
      </w:r>
      <w:bookmarkEnd w:id="412"/>
      <w:bookmarkEnd w:id="413"/>
      <w:bookmarkEnd w:id="414"/>
      <w:bookmarkEnd w:id="415"/>
    </w:p>
    <w:p w:rsidR="00FA1186" w:rsidRPr="00FA1186" w:rsidRDefault="00FA1186" w:rsidP="00FA1186">
      <w:r w:rsidRPr="00FA1186">
        <w:t xml:space="preserve">The benefit-risk balance of register </w:t>
      </w:r>
      <w:proofErr w:type="spellStart"/>
      <w:r w:rsidR="00643EE3">
        <w:t>Harvoni</w:t>
      </w:r>
      <w:proofErr w:type="spellEnd"/>
      <w:r w:rsidRPr="00FA1186">
        <w:t xml:space="preserve"> (90 mg </w:t>
      </w:r>
      <w:proofErr w:type="spellStart"/>
      <w:r w:rsidRPr="00FA1186">
        <w:t>ledipasvir</w:t>
      </w:r>
      <w:proofErr w:type="spellEnd"/>
      <w:r w:rsidRPr="00FA1186">
        <w:t xml:space="preserve"> / 400 mg </w:t>
      </w:r>
      <w:proofErr w:type="spellStart"/>
      <w:r w:rsidRPr="00FA1186">
        <w:t>sofosbuvir</w:t>
      </w:r>
      <w:proofErr w:type="spellEnd"/>
      <w:r w:rsidRPr="00FA1186">
        <w:t>) FDC tablets, given the proposed usage, is favourable.</w:t>
      </w:r>
    </w:p>
    <w:p w:rsidR="00FA1186" w:rsidRPr="00FA1186" w:rsidRDefault="00FA1186" w:rsidP="00FA1186">
      <w:r w:rsidRPr="00FA1186">
        <w:t>However, consideration needs to be given as to the most appr</w:t>
      </w:r>
      <w:r w:rsidR="001C473D">
        <w:t xml:space="preserve">opriate dosing recommendation. </w:t>
      </w:r>
      <w:r w:rsidRPr="00FA1186">
        <w:t>In the opinion o</w:t>
      </w:r>
      <w:r>
        <w:t>f the Evaluator this should be:</w:t>
      </w:r>
    </w:p>
    <w:p w:rsidR="00FA1186" w:rsidRPr="00FA1186" w:rsidRDefault="00FA1186" w:rsidP="00FA1186">
      <w:pPr>
        <w:pStyle w:val="ListBullet"/>
      </w:pPr>
      <w:r w:rsidRPr="00FA1186">
        <w:t xml:space="preserve">SOF / LDV FDC once daily for 8 weeks in treatment naïve subjects with chronic GT1-HCV without cirrhosis </w:t>
      </w:r>
    </w:p>
    <w:p w:rsidR="00FA1186" w:rsidRPr="00FA1186" w:rsidRDefault="00FA1186" w:rsidP="00FA1186">
      <w:pPr>
        <w:pStyle w:val="ListBullet"/>
      </w:pPr>
      <w:r w:rsidRPr="00FA1186">
        <w:t>SOF / LDV FDC once daily for 12 weeks in treatment naïve subjects with chronic GT1-HCV with cirrhosis</w:t>
      </w:r>
    </w:p>
    <w:p w:rsidR="00FA1186" w:rsidRPr="00FA1186" w:rsidRDefault="00FA1186" w:rsidP="00FA1186">
      <w:pPr>
        <w:pStyle w:val="ListBullet"/>
      </w:pPr>
      <w:r w:rsidRPr="00FA1186">
        <w:t>SOF / LDV FDC once daily for 24 weeks in treatment experienced subjects with chronic GT1-HCV, with or without cirrhosis</w:t>
      </w:r>
    </w:p>
    <w:p w:rsidR="00FA1186" w:rsidRPr="00FA1186" w:rsidRDefault="00FA1186" w:rsidP="00FA1186">
      <w:pPr>
        <w:pStyle w:val="ListBullet"/>
      </w:pPr>
      <w:r w:rsidRPr="00FA1186">
        <w:t>RBV does not offer additional benefit as add-on therapy and may decrease Quality of Life</w:t>
      </w:r>
    </w:p>
    <w:p w:rsidR="00C618F7" w:rsidRDefault="00C618F7" w:rsidP="00C618F7">
      <w:pPr>
        <w:pStyle w:val="Heading2"/>
      </w:pPr>
      <w:bookmarkStart w:id="416" w:name="_Toc432073945"/>
      <w:r>
        <w:t>Second round recommendation regarding authorisation</w:t>
      </w:r>
      <w:bookmarkEnd w:id="416"/>
    </w:p>
    <w:p w:rsidR="00FA1186" w:rsidRPr="00FA1186" w:rsidRDefault="00FA1186" w:rsidP="00FA1186">
      <w:r w:rsidRPr="00FA1186">
        <w:t xml:space="preserve">The Evaluator has no objection to the approval of </w:t>
      </w:r>
      <w:proofErr w:type="spellStart"/>
      <w:r w:rsidR="00643EE3">
        <w:t>Harvoni</w:t>
      </w:r>
      <w:proofErr w:type="spellEnd"/>
      <w:r w:rsidRPr="00FA1186">
        <w:t xml:space="preserve"> (90 mg </w:t>
      </w:r>
      <w:proofErr w:type="spellStart"/>
      <w:r w:rsidRPr="00FA1186">
        <w:t>ledipasvir</w:t>
      </w:r>
      <w:proofErr w:type="spellEnd"/>
      <w:r w:rsidRPr="00FA1186">
        <w:t xml:space="preserve"> / 400 mg </w:t>
      </w:r>
      <w:proofErr w:type="spellStart"/>
      <w:r w:rsidRPr="00FA1186">
        <w:t>sofosbuvir</w:t>
      </w:r>
      <w:proofErr w:type="spellEnd"/>
      <w:r w:rsidRPr="00FA1186">
        <w:t>) FDC tablets for the indication of:</w:t>
      </w:r>
    </w:p>
    <w:p w:rsidR="00FA1186" w:rsidRPr="004C0B10" w:rsidRDefault="00643EE3" w:rsidP="00E076A6">
      <w:pPr>
        <w:ind w:left="720"/>
        <w:rPr>
          <w:i/>
        </w:rPr>
      </w:pPr>
      <w:proofErr w:type="spellStart"/>
      <w:r w:rsidRPr="004C0B10">
        <w:rPr>
          <w:i/>
        </w:rPr>
        <w:t>Harvoni</w:t>
      </w:r>
      <w:proofErr w:type="spellEnd"/>
      <w:r w:rsidR="00FA1186" w:rsidRPr="004C0B10">
        <w:rPr>
          <w:i/>
        </w:rPr>
        <w:t xml:space="preserve"> is indicated for the treatment of chronic hepatitis C (CHC) genotype 1 infection in adults.</w:t>
      </w:r>
    </w:p>
    <w:p w:rsidR="00FA1186" w:rsidRPr="00FA1186" w:rsidRDefault="00FA1186" w:rsidP="00FA1186">
      <w:r w:rsidRPr="00FA1186">
        <w:t>Consideration should be given to amending the dosing recommenda</w:t>
      </w:r>
      <w:r w:rsidR="004C0B10">
        <w:t>tions in line with the comments</w:t>
      </w:r>
      <w:r w:rsidRPr="00FA1186">
        <w:t>.</w:t>
      </w:r>
    </w:p>
    <w:p w:rsidR="00C618F7" w:rsidRDefault="00C618F7" w:rsidP="004C0B10">
      <w:pPr>
        <w:pStyle w:val="Heading2"/>
        <w:numPr>
          <w:ilvl w:val="0"/>
          <w:numId w:val="0"/>
        </w:numPr>
      </w:pPr>
    </w:p>
    <w:bookmarkEnd w:id="1"/>
    <w:bookmarkEnd w:id="0"/>
    <w:bookmarkEnd w:id="2"/>
    <w:p w:rsidR="003D1E62" w:rsidRPr="001D043B" w:rsidRDefault="003D1E62" w:rsidP="002666AC">
      <w:pPr>
        <w:sectPr w:rsidR="003D1E62" w:rsidRPr="001D043B" w:rsidSect="008D770F">
          <w:headerReference w:type="even" r:id="rId18"/>
          <w:headerReference w:type="default" r:id="rId19"/>
          <w:headerReference w:type="first" r:id="rId20"/>
          <w:footerReference w:type="first" r:id="rId21"/>
          <w:pgSz w:w="11906" w:h="16838" w:code="9"/>
          <w:pgMar w:top="1440" w:right="1440" w:bottom="1440" w:left="1440"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DD2BC0">
        <w:trPr>
          <w:trHeight w:hRule="exact" w:val="564"/>
        </w:trPr>
        <w:tc>
          <w:tcPr>
            <w:tcW w:w="9175" w:type="dxa"/>
          </w:tcPr>
          <w:p w:rsidR="00B3567E" w:rsidRPr="00487162" w:rsidRDefault="00B3567E" w:rsidP="00DD2BC0">
            <w:pPr>
              <w:pStyle w:val="TGASignoff"/>
            </w:pPr>
            <w:r w:rsidRPr="00487162">
              <w:t>Therapeutic Goods Administration</w:t>
            </w:r>
          </w:p>
        </w:tc>
      </w:tr>
      <w:tr w:rsidR="00B3567E" w:rsidRPr="00487162" w:rsidTr="00DD2BC0">
        <w:trPr>
          <w:trHeight w:val="1221"/>
        </w:trPr>
        <w:tc>
          <w:tcPr>
            <w:tcW w:w="9175" w:type="dxa"/>
            <w:tcMar>
              <w:top w:w="28" w:type="dxa"/>
            </w:tcMar>
          </w:tcPr>
          <w:p w:rsidR="00B3567E" w:rsidRPr="00487162" w:rsidRDefault="00B3567E" w:rsidP="00DD2BC0">
            <w:pPr>
              <w:pStyle w:val="Address"/>
            </w:pPr>
            <w:r w:rsidRPr="00487162">
              <w:t>PO Box 100 Woden ACT 2606 Australia</w:t>
            </w:r>
          </w:p>
          <w:p w:rsidR="00B3567E" w:rsidRPr="00487162" w:rsidRDefault="00B3567E" w:rsidP="00DD2BC0">
            <w:pPr>
              <w:pStyle w:val="Address"/>
            </w:pPr>
            <w:r w:rsidRPr="00487162">
              <w:t xml:space="preserve">Email: </w:t>
            </w:r>
            <w:hyperlink r:id="rId22" w:history="1">
              <w:r w:rsidRPr="008D770F">
                <w:rPr>
                  <w:rStyle w:val="Hyperlink"/>
                </w:rPr>
                <w:t>info@tga.gov.au</w:t>
              </w:r>
            </w:hyperlink>
            <w:r w:rsidRPr="00487162">
              <w:t xml:space="preserve">  Phone: 1800 020 653  Fax: 02 6232 8605</w:t>
            </w:r>
          </w:p>
          <w:p w:rsidR="00B3567E" w:rsidRPr="008D770F" w:rsidRDefault="00886813" w:rsidP="00DD2BC0">
            <w:pPr>
              <w:pStyle w:val="Address"/>
              <w:spacing w:line="260" w:lineRule="atLeast"/>
              <w:rPr>
                <w:b/>
                <w:color w:val="0000FF"/>
                <w:u w:val="single"/>
              </w:rPr>
            </w:pPr>
            <w:hyperlink r:id="rId23" w:history="1">
              <w:r w:rsidR="00E979F4" w:rsidRPr="00FE02B1">
                <w:rPr>
                  <w:rStyle w:val="Hyperlink"/>
                  <w:b/>
                </w:rPr>
                <w:t>https://www.tga.gov.au</w:t>
              </w:r>
            </w:hyperlink>
          </w:p>
        </w:tc>
      </w:tr>
    </w:tbl>
    <w:p w:rsidR="00774E1D" w:rsidRPr="008A5E0B" w:rsidRDefault="00774E1D" w:rsidP="008A5E0B"/>
    <w:sectPr w:rsidR="00774E1D" w:rsidRPr="008A5E0B" w:rsidSect="00B3567E">
      <w:headerReference w:type="even" r:id="rId24"/>
      <w:headerReference w:type="default" r:id="rId25"/>
      <w:footerReference w:type="default" r:id="rId26"/>
      <w:headerReference w:type="first" r:id="rId27"/>
      <w:footerReference w:type="first" r:id="rId28"/>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813" w:rsidRDefault="00886813" w:rsidP="00C40A36">
      <w:pPr>
        <w:spacing w:after="0"/>
      </w:pPr>
      <w:r>
        <w:separator/>
      </w:r>
    </w:p>
  </w:endnote>
  <w:endnote w:type="continuationSeparator" w:id="0">
    <w:p w:rsidR="00886813" w:rsidRDefault="00886813"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886813" w:rsidRPr="00487162" w:rsidTr="00981D66">
      <w:trPr>
        <w:trHeight w:val="269"/>
      </w:trPr>
      <w:tc>
        <w:tcPr>
          <w:tcW w:w="7938" w:type="dxa"/>
          <w:tcMar>
            <w:top w:w="142" w:type="dxa"/>
            <w:bottom w:w="0" w:type="dxa"/>
          </w:tcMar>
        </w:tcPr>
        <w:p w:rsidR="00886813" w:rsidRPr="00487162" w:rsidRDefault="00886813" w:rsidP="002729EB">
          <w:pPr>
            <w:pStyle w:val="Footer"/>
          </w:pPr>
          <w:r>
            <w:t>Submission</w:t>
          </w:r>
          <w:r w:rsidRPr="00487162">
            <w:t xml:space="preserve"> </w:t>
          </w:r>
          <w:r w:rsidRPr="002729EB">
            <w:t>PM-2014-00469-1-2</w:t>
          </w:r>
          <w:r>
            <w:t xml:space="preserve">  Extract from the Clinical Evaluation Report for </w:t>
          </w:r>
          <w:proofErr w:type="spellStart"/>
          <w:r>
            <w:t>Harvoni</w:t>
          </w:r>
          <w:proofErr w:type="spellEnd"/>
        </w:p>
      </w:tc>
      <w:tc>
        <w:tcPr>
          <w:tcW w:w="923" w:type="dxa"/>
          <w:tcMar>
            <w:top w:w="142" w:type="dxa"/>
            <w:bottom w:w="0" w:type="dxa"/>
          </w:tcMar>
        </w:tcPr>
        <w:p w:rsidR="00886813" w:rsidRPr="00981D66" w:rsidRDefault="00886813" w:rsidP="00D855D4">
          <w:pPr>
            <w:pStyle w:val="Footer"/>
            <w:jc w:val="right"/>
          </w:pPr>
          <w:r w:rsidRPr="00981D66">
            <w:fldChar w:fldCharType="begin"/>
          </w:r>
          <w:r w:rsidRPr="00981D66">
            <w:instrText xml:space="preserve"> PAGE  \* Arabic  \* MERGEFORMAT </w:instrText>
          </w:r>
          <w:r w:rsidRPr="00981D66">
            <w:fldChar w:fldCharType="separate"/>
          </w:r>
          <w:r w:rsidR="0043461B">
            <w:rPr>
              <w:noProof/>
            </w:rPr>
            <w:t>53</w:t>
          </w:r>
          <w:r w:rsidRPr="00981D66">
            <w:fldChar w:fldCharType="end"/>
          </w:r>
          <w:r w:rsidRPr="00981D66">
            <w:t xml:space="preserve"> of </w:t>
          </w:r>
          <w:fldSimple w:instr=" NUMPAGES  \* Arabic  \* MERGEFORMAT ">
            <w:r w:rsidR="0043461B">
              <w:rPr>
                <w:noProof/>
              </w:rPr>
              <w:t>54</w:t>
            </w:r>
          </w:fldSimple>
        </w:p>
      </w:tc>
    </w:tr>
  </w:tbl>
  <w:p w:rsidR="00886813" w:rsidRDefault="00886813"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886813" w:rsidRPr="00487162" w:rsidTr="00E45619">
      <w:trPr>
        <w:trHeight w:val="269"/>
      </w:trPr>
      <w:tc>
        <w:tcPr>
          <w:tcW w:w="4519" w:type="dxa"/>
          <w:tcBorders>
            <w:top w:val="single" w:sz="4" w:space="0" w:color="auto"/>
          </w:tcBorders>
          <w:tcMar>
            <w:top w:w="142" w:type="dxa"/>
            <w:bottom w:w="0" w:type="dxa"/>
          </w:tcMar>
        </w:tcPr>
        <w:p w:rsidR="00886813" w:rsidRPr="00487162" w:rsidRDefault="00886813" w:rsidP="00FE1DEE">
          <w:pPr>
            <w:pStyle w:val="Footer"/>
          </w:pPr>
          <w:r w:rsidRPr="00487162">
            <w:t>Document title, Part #, Section # - Section title</w:t>
          </w:r>
        </w:p>
        <w:p w:rsidR="00886813" w:rsidRPr="00487162" w:rsidRDefault="00886813" w:rsidP="00FE1DEE">
          <w:pPr>
            <w:pStyle w:val="Footer"/>
          </w:pPr>
          <w:r w:rsidRPr="00487162">
            <w:t>V1.0 October 2010</w:t>
          </w:r>
        </w:p>
      </w:tc>
      <w:tc>
        <w:tcPr>
          <w:tcW w:w="4342" w:type="dxa"/>
          <w:tcBorders>
            <w:top w:val="single" w:sz="4" w:space="0" w:color="auto"/>
          </w:tcBorders>
          <w:tcMar>
            <w:top w:w="142" w:type="dxa"/>
            <w:bottom w:w="0" w:type="dxa"/>
          </w:tcMar>
        </w:tcPr>
        <w:p w:rsidR="00886813" w:rsidRPr="00487162" w:rsidRDefault="00886813"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3</w:t>
          </w:r>
          <w:r>
            <w:rPr>
              <w:noProof/>
            </w:rPr>
            <w:fldChar w:fldCharType="end"/>
          </w:r>
        </w:p>
      </w:tc>
    </w:tr>
  </w:tbl>
  <w:p w:rsidR="00886813" w:rsidRDefault="008868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13" w:rsidRDefault="00886813" w:rsidP="008E7846">
    <w:pPr>
      <w:pStyle w:val="Note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886813" w:rsidTr="0010601F">
      <w:trPr>
        <w:trHeight w:val="108"/>
      </w:trPr>
      <w:tc>
        <w:tcPr>
          <w:tcW w:w="8875" w:type="dxa"/>
          <w:gridSpan w:val="2"/>
          <w:tcBorders>
            <w:bottom w:val="single" w:sz="4" w:space="0" w:color="auto"/>
          </w:tcBorders>
          <w:tcMar>
            <w:right w:w="284" w:type="dxa"/>
          </w:tcMar>
        </w:tcPr>
        <w:p w:rsidR="00886813" w:rsidRDefault="00886813" w:rsidP="006E08B3">
          <w:pPr>
            <w:pStyle w:val="Heading3"/>
          </w:pPr>
          <w:r>
            <w:t>Copyright</w:t>
          </w:r>
        </w:p>
        <w:p w:rsidR="00886813" w:rsidRDefault="00886813" w:rsidP="006E08B3">
          <w:r>
            <w:rPr>
              <w:rFonts w:cs="Arial"/>
            </w:rPr>
            <w:t>©</w:t>
          </w:r>
          <w:r>
            <w:t xml:space="preserve"> Commonwealth of Australia [add year]</w:t>
          </w:r>
        </w:p>
        <w:p w:rsidR="00886813" w:rsidRDefault="00886813" w:rsidP="006E08B3"/>
        <w:p w:rsidR="00886813" w:rsidRDefault="00886813"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886813" w:rsidRDefault="00886813" w:rsidP="006E08B3"/>
        <w:p w:rsidR="00886813" w:rsidRDefault="00886813" w:rsidP="006E08B3">
          <w:pPr>
            <w:pStyle w:val="Heading3"/>
          </w:pPr>
          <w:r>
            <w:t>Confidentiality</w:t>
          </w:r>
        </w:p>
        <w:p w:rsidR="00886813" w:rsidRDefault="00886813"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886813" w:rsidRDefault="00886813" w:rsidP="006E08B3"/>
        <w:p w:rsidR="00886813" w:rsidRDefault="00886813" w:rsidP="006E08B3">
          <w:r>
            <w:t>For submission made by individuals, all personal details, other than your name, will be removed from your submission before it is published on the TGA’s Internet site.</w:t>
          </w:r>
        </w:p>
        <w:p w:rsidR="00886813" w:rsidRDefault="00886813" w:rsidP="006E08B3"/>
        <w:p w:rsidR="00886813" w:rsidRDefault="00886813"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886813" w:rsidTr="0010601F">
      <w:trPr>
        <w:trHeight w:val="417"/>
      </w:trPr>
      <w:tc>
        <w:tcPr>
          <w:tcW w:w="4519" w:type="dxa"/>
          <w:tcBorders>
            <w:top w:val="single" w:sz="4" w:space="0" w:color="auto"/>
          </w:tcBorders>
          <w:tcMar>
            <w:top w:w="142" w:type="dxa"/>
            <w:bottom w:w="0" w:type="dxa"/>
          </w:tcMar>
        </w:tcPr>
        <w:p w:rsidR="00886813" w:rsidRDefault="00886813" w:rsidP="006E08B3">
          <w:r>
            <w:t>Document title, Part #, Section # - Section title</w:t>
          </w:r>
        </w:p>
        <w:p w:rsidR="00886813" w:rsidRDefault="00886813" w:rsidP="006E08B3">
          <w:r>
            <w:t>V1.0 October 2010</w:t>
          </w:r>
        </w:p>
      </w:tc>
      <w:tc>
        <w:tcPr>
          <w:tcW w:w="4356" w:type="dxa"/>
          <w:tcBorders>
            <w:top w:val="single" w:sz="4" w:space="0" w:color="auto"/>
          </w:tcBorders>
          <w:tcMar>
            <w:top w:w="142" w:type="dxa"/>
            <w:bottom w:w="0" w:type="dxa"/>
          </w:tcMar>
        </w:tcPr>
        <w:p w:rsidR="00886813" w:rsidRDefault="00886813"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3</w:t>
          </w:r>
          <w:r>
            <w:rPr>
              <w:noProof/>
            </w:rPr>
            <w:fldChar w:fldCharType="end"/>
          </w:r>
          <w:r>
            <w:t xml:space="preserve">  </w:t>
          </w:r>
        </w:p>
      </w:tc>
    </w:tr>
  </w:tbl>
  <w:p w:rsidR="00886813" w:rsidRDefault="008868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813" w:rsidRDefault="00886813" w:rsidP="00C40A36">
      <w:pPr>
        <w:spacing w:after="0"/>
      </w:pPr>
      <w:r>
        <w:separator/>
      </w:r>
    </w:p>
  </w:footnote>
  <w:footnote w:type="continuationSeparator" w:id="0">
    <w:p w:rsidR="00886813" w:rsidRDefault="00886813" w:rsidP="00C40A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13" w:rsidRDefault="00886813"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13" w:rsidRDefault="00886813">
    <w:pPr>
      <w:rPr>
        <w:noProof/>
        <w:lang w:eastAsia="en-AU"/>
      </w:rPr>
    </w:pPr>
    <w:r w:rsidRPr="002D545C">
      <w:rPr>
        <w:noProof/>
        <w:lang w:eastAsia="en-AU"/>
      </w:rPr>
      <w:drawing>
        <wp:anchor distT="0" distB="0" distL="114300" distR="114300" simplePos="0" relativeHeight="251659264" behindDoc="1" locked="0" layoutInCell="1" allowOverlap="1" wp14:anchorId="54B124CF" wp14:editId="2ADDF463">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886813" w:rsidRDefault="00886813" w:rsidP="00593AD1">
    <w:pPr>
      <w:pStyle w:val="HeaderNoLine"/>
    </w:pPr>
    <w:r>
      <w:rPr>
        <w:noProof/>
        <w:lang w:eastAsia="en-AU"/>
      </w:rPr>
      <w:drawing>
        <wp:inline distT="0" distB="0" distL="0" distR="0" wp14:anchorId="1FF555FB" wp14:editId="21F033C2">
          <wp:extent cx="5398135" cy="7639685"/>
          <wp:effectExtent l="0" t="0" r="0" b="0"/>
          <wp:docPr id="5"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8135" cy="763968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13" w:rsidRDefault="008868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13" w:rsidRDefault="00886813">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13" w:rsidRDefault="00886813">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13" w:rsidRDefault="0088681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13" w:rsidRDefault="00886813"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13" w:rsidRDefault="00886813" w:rsidP="006E08B3">
    <w:r>
      <w:t>Therapeutic Goods Administration</w:t>
    </w:r>
  </w:p>
  <w:p w:rsidR="00886813" w:rsidRDefault="00886813"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800"/>
    <w:multiLevelType w:val="hybridMultilevel"/>
    <w:tmpl w:val="F7229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3B84B09"/>
    <w:multiLevelType w:val="hybridMultilevel"/>
    <w:tmpl w:val="A2AE796E"/>
    <w:lvl w:ilvl="0" w:tplc="19449AE4">
      <w:start w:val="1"/>
      <w:numFmt w:val="bullet"/>
      <w:lvlText w:val="-"/>
      <w:lvlJc w:val="left"/>
      <w:pPr>
        <w:tabs>
          <w:tab w:val="num" w:pos="360"/>
        </w:tabs>
        <w:ind w:left="36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DE6E05"/>
    <w:multiLevelType w:val="hybridMultilevel"/>
    <w:tmpl w:val="2E4803BA"/>
    <w:lvl w:ilvl="0" w:tplc="A56A638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3F84DED"/>
    <w:multiLevelType w:val="hybridMultilevel"/>
    <w:tmpl w:val="8FEE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23A938E7"/>
    <w:multiLevelType w:val="hybridMultilevel"/>
    <w:tmpl w:val="4BE619D6"/>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C154BA"/>
    <w:multiLevelType w:val="hybridMultilevel"/>
    <w:tmpl w:val="6952F7F0"/>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9">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0">
    <w:nsid w:val="3EA339F2"/>
    <w:multiLevelType w:val="hybridMultilevel"/>
    <w:tmpl w:val="8938A9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5D7E7694"/>
    <w:multiLevelType w:val="hybridMultilevel"/>
    <w:tmpl w:val="B8DA00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663F595D"/>
    <w:multiLevelType w:val="hybridMultilevel"/>
    <w:tmpl w:val="86B69502"/>
    <w:lvl w:ilvl="0" w:tplc="D3142EF2">
      <w:start w:val="1"/>
      <w:numFmt w:val="bullet"/>
      <w:pStyle w:val="Instructions2"/>
      <w:lvlText w:val="­"/>
      <w:lvlJc w:val="left"/>
      <w:pPr>
        <w:ind w:left="644" w:hanging="360"/>
      </w:pPr>
      <w:rPr>
        <w:rFonts w:ascii="Calibri" w:hAnsi="Calibri"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3">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4">
    <w:nsid w:val="6E976660"/>
    <w:multiLevelType w:val="hybridMultilevel"/>
    <w:tmpl w:val="63180724"/>
    <w:lvl w:ilvl="0" w:tplc="A56A6382">
      <w:start w:val="1"/>
      <w:numFmt w:val="bullet"/>
      <w:lvlText w:val=""/>
      <w:lvlJc w:val="left"/>
      <w:pPr>
        <w:tabs>
          <w:tab w:val="num" w:pos="1350"/>
        </w:tabs>
        <w:ind w:left="1350" w:hanging="360"/>
      </w:pPr>
      <w:rPr>
        <w:rFonts w:ascii="Symbol" w:hAnsi="Symbol" w:hint="default"/>
        <w:sz w:val="24"/>
        <w:szCs w:val="24"/>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5">
    <w:nsid w:val="7773569E"/>
    <w:multiLevelType w:val="hybridMultilevel"/>
    <w:tmpl w:val="4BF6ABFC"/>
    <w:lvl w:ilvl="0" w:tplc="19449AE4">
      <w:start w:val="1"/>
      <w:numFmt w:val="bullet"/>
      <w:lvlText w:val="-"/>
      <w:lvlJc w:val="left"/>
      <w:pPr>
        <w:tabs>
          <w:tab w:val="num" w:pos="360"/>
        </w:tabs>
        <w:ind w:left="36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5"/>
  </w:num>
  <w:num w:numId="4">
    <w:abstractNumId w:val="3"/>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13"/>
  </w:num>
  <w:num w:numId="6">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7">
    <w:abstractNumId w:val="8"/>
  </w:num>
  <w:num w:numId="8">
    <w:abstractNumId w:val="9"/>
  </w:num>
  <w:num w:numId="9">
    <w:abstractNumId w:val="14"/>
  </w:num>
  <w:num w:numId="10">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1">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2">
    <w:abstractNumId w:val="6"/>
  </w:num>
  <w:num w:numId="13">
    <w:abstractNumId w:val="1"/>
  </w:num>
  <w:num w:numId="14">
    <w:abstractNumId w:val="15"/>
  </w:num>
  <w:num w:numId="15">
    <w:abstractNumId w:val="11"/>
  </w:num>
  <w:num w:numId="16">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7">
    <w:abstractNumId w:val="12"/>
  </w:num>
  <w:num w:numId="18">
    <w:abstractNumId w:val="7"/>
  </w:num>
  <w:num w:numId="19">
    <w:abstractNumId w:val="10"/>
  </w:num>
  <w:num w:numId="20">
    <w:abstractNumId w:val="0"/>
  </w:num>
  <w:num w:numId="21">
    <w:abstractNumId w:val="4"/>
  </w:num>
  <w:num w:numId="2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591"/>
    <w:rsid w:val="00002031"/>
    <w:rsid w:val="00004734"/>
    <w:rsid w:val="00006B22"/>
    <w:rsid w:val="0001276A"/>
    <w:rsid w:val="000246AE"/>
    <w:rsid w:val="00025C67"/>
    <w:rsid w:val="00032F4F"/>
    <w:rsid w:val="00040ACB"/>
    <w:rsid w:val="00055585"/>
    <w:rsid w:val="0005559E"/>
    <w:rsid w:val="00077775"/>
    <w:rsid w:val="00090471"/>
    <w:rsid w:val="00093290"/>
    <w:rsid w:val="000A010A"/>
    <w:rsid w:val="000A3AED"/>
    <w:rsid w:val="000A63AF"/>
    <w:rsid w:val="000B00E8"/>
    <w:rsid w:val="000B3532"/>
    <w:rsid w:val="000B3A75"/>
    <w:rsid w:val="000B47D5"/>
    <w:rsid w:val="000C690F"/>
    <w:rsid w:val="000D1295"/>
    <w:rsid w:val="000D391B"/>
    <w:rsid w:val="000D3D6D"/>
    <w:rsid w:val="000D4FC7"/>
    <w:rsid w:val="000D5E2B"/>
    <w:rsid w:val="000D6983"/>
    <w:rsid w:val="000E2447"/>
    <w:rsid w:val="000F02F9"/>
    <w:rsid w:val="000F4869"/>
    <w:rsid w:val="000F5B42"/>
    <w:rsid w:val="000F6E6F"/>
    <w:rsid w:val="000F6E96"/>
    <w:rsid w:val="0010193C"/>
    <w:rsid w:val="00104613"/>
    <w:rsid w:val="0010601F"/>
    <w:rsid w:val="0010788A"/>
    <w:rsid w:val="00107A31"/>
    <w:rsid w:val="00110EA5"/>
    <w:rsid w:val="00112F56"/>
    <w:rsid w:val="00125318"/>
    <w:rsid w:val="001305A2"/>
    <w:rsid w:val="00133238"/>
    <w:rsid w:val="00140519"/>
    <w:rsid w:val="0014197B"/>
    <w:rsid w:val="001447CD"/>
    <w:rsid w:val="00145958"/>
    <w:rsid w:val="001516B1"/>
    <w:rsid w:val="00154EBB"/>
    <w:rsid w:val="00156316"/>
    <w:rsid w:val="00165389"/>
    <w:rsid w:val="00165591"/>
    <w:rsid w:val="0017078F"/>
    <w:rsid w:val="0017693F"/>
    <w:rsid w:val="0018110E"/>
    <w:rsid w:val="00181684"/>
    <w:rsid w:val="001843C6"/>
    <w:rsid w:val="001850E0"/>
    <w:rsid w:val="00192CA7"/>
    <w:rsid w:val="0019594A"/>
    <w:rsid w:val="001A2158"/>
    <w:rsid w:val="001A525F"/>
    <w:rsid w:val="001B09F9"/>
    <w:rsid w:val="001B101E"/>
    <w:rsid w:val="001B5D98"/>
    <w:rsid w:val="001B6448"/>
    <w:rsid w:val="001C2996"/>
    <w:rsid w:val="001C473D"/>
    <w:rsid w:val="001E07CF"/>
    <w:rsid w:val="001E59F1"/>
    <w:rsid w:val="001F101D"/>
    <w:rsid w:val="001F2F3E"/>
    <w:rsid w:val="001F49EB"/>
    <w:rsid w:val="001F663E"/>
    <w:rsid w:val="001F6CBA"/>
    <w:rsid w:val="00201D4E"/>
    <w:rsid w:val="002076C9"/>
    <w:rsid w:val="00211C86"/>
    <w:rsid w:val="00220B8A"/>
    <w:rsid w:val="002257F3"/>
    <w:rsid w:val="00233456"/>
    <w:rsid w:val="002339A5"/>
    <w:rsid w:val="00257848"/>
    <w:rsid w:val="00265DD0"/>
    <w:rsid w:val="002665FF"/>
    <w:rsid w:val="002666AC"/>
    <w:rsid w:val="0027084A"/>
    <w:rsid w:val="002729EB"/>
    <w:rsid w:val="00277C8A"/>
    <w:rsid w:val="00286434"/>
    <w:rsid w:val="00286C59"/>
    <w:rsid w:val="00292113"/>
    <w:rsid w:val="002942D1"/>
    <w:rsid w:val="0029501A"/>
    <w:rsid w:val="002A0665"/>
    <w:rsid w:val="002B1638"/>
    <w:rsid w:val="002C1A19"/>
    <w:rsid w:val="002C3DA0"/>
    <w:rsid w:val="002C63ED"/>
    <w:rsid w:val="002D545C"/>
    <w:rsid w:val="002D6161"/>
    <w:rsid w:val="002D7B9D"/>
    <w:rsid w:val="002E4C9A"/>
    <w:rsid w:val="002F11F8"/>
    <w:rsid w:val="002F3F56"/>
    <w:rsid w:val="002F44B5"/>
    <w:rsid w:val="002F49A9"/>
    <w:rsid w:val="002F5A3F"/>
    <w:rsid w:val="00302FBE"/>
    <w:rsid w:val="00311AC0"/>
    <w:rsid w:val="003142B6"/>
    <w:rsid w:val="0032583B"/>
    <w:rsid w:val="00327883"/>
    <w:rsid w:val="00335504"/>
    <w:rsid w:val="003521E8"/>
    <w:rsid w:val="003728F3"/>
    <w:rsid w:val="0037496E"/>
    <w:rsid w:val="0037623D"/>
    <w:rsid w:val="00382666"/>
    <w:rsid w:val="00386150"/>
    <w:rsid w:val="003874CE"/>
    <w:rsid w:val="00390900"/>
    <w:rsid w:val="00396C92"/>
    <w:rsid w:val="003A7F6C"/>
    <w:rsid w:val="003B1113"/>
    <w:rsid w:val="003B4D60"/>
    <w:rsid w:val="003B634F"/>
    <w:rsid w:val="003B7E39"/>
    <w:rsid w:val="003C566F"/>
    <w:rsid w:val="003C58DC"/>
    <w:rsid w:val="003D0A3B"/>
    <w:rsid w:val="003D1E62"/>
    <w:rsid w:val="003E2486"/>
    <w:rsid w:val="003E3208"/>
    <w:rsid w:val="003F0B04"/>
    <w:rsid w:val="0040134E"/>
    <w:rsid w:val="00415D59"/>
    <w:rsid w:val="0042721A"/>
    <w:rsid w:val="0043461B"/>
    <w:rsid w:val="0043797D"/>
    <w:rsid w:val="00440A2D"/>
    <w:rsid w:val="00441BCD"/>
    <w:rsid w:val="00446B45"/>
    <w:rsid w:val="00450BEC"/>
    <w:rsid w:val="004564A7"/>
    <w:rsid w:val="004617BF"/>
    <w:rsid w:val="00463658"/>
    <w:rsid w:val="004722CC"/>
    <w:rsid w:val="004805C1"/>
    <w:rsid w:val="004874B0"/>
    <w:rsid w:val="004936E4"/>
    <w:rsid w:val="00494E60"/>
    <w:rsid w:val="00494E76"/>
    <w:rsid w:val="00497487"/>
    <w:rsid w:val="004A7E13"/>
    <w:rsid w:val="004B3358"/>
    <w:rsid w:val="004B7B76"/>
    <w:rsid w:val="004C0B10"/>
    <w:rsid w:val="004C2DCA"/>
    <w:rsid w:val="004D3323"/>
    <w:rsid w:val="004D5316"/>
    <w:rsid w:val="004F0F38"/>
    <w:rsid w:val="004F4AF5"/>
    <w:rsid w:val="0050097F"/>
    <w:rsid w:val="00501921"/>
    <w:rsid w:val="005077AB"/>
    <w:rsid w:val="00512D7D"/>
    <w:rsid w:val="00515E2D"/>
    <w:rsid w:val="00516C53"/>
    <w:rsid w:val="0052594F"/>
    <w:rsid w:val="00530354"/>
    <w:rsid w:val="00535063"/>
    <w:rsid w:val="00535552"/>
    <w:rsid w:val="0053625B"/>
    <w:rsid w:val="005434C6"/>
    <w:rsid w:val="00543B39"/>
    <w:rsid w:val="00550096"/>
    <w:rsid w:val="00557FF9"/>
    <w:rsid w:val="00576378"/>
    <w:rsid w:val="00577945"/>
    <w:rsid w:val="00577E38"/>
    <w:rsid w:val="00585322"/>
    <w:rsid w:val="005857C6"/>
    <w:rsid w:val="00586F98"/>
    <w:rsid w:val="00592F6E"/>
    <w:rsid w:val="00593AD1"/>
    <w:rsid w:val="005A68B6"/>
    <w:rsid w:val="005B4D03"/>
    <w:rsid w:val="005C0BC9"/>
    <w:rsid w:val="005C5570"/>
    <w:rsid w:val="005C57EF"/>
    <w:rsid w:val="005C74A1"/>
    <w:rsid w:val="005C79A4"/>
    <w:rsid w:val="005C7A88"/>
    <w:rsid w:val="005D5442"/>
    <w:rsid w:val="005D624B"/>
    <w:rsid w:val="005E04BF"/>
    <w:rsid w:val="005E21F3"/>
    <w:rsid w:val="005F12B0"/>
    <w:rsid w:val="00603F32"/>
    <w:rsid w:val="00612421"/>
    <w:rsid w:val="00620406"/>
    <w:rsid w:val="00632398"/>
    <w:rsid w:val="00640FC3"/>
    <w:rsid w:val="00642020"/>
    <w:rsid w:val="00643EE3"/>
    <w:rsid w:val="00644DE0"/>
    <w:rsid w:val="00646206"/>
    <w:rsid w:val="0065337B"/>
    <w:rsid w:val="0065419D"/>
    <w:rsid w:val="0065712E"/>
    <w:rsid w:val="006604D8"/>
    <w:rsid w:val="00664A5B"/>
    <w:rsid w:val="00676349"/>
    <w:rsid w:val="006763D2"/>
    <w:rsid w:val="00680C08"/>
    <w:rsid w:val="006854D1"/>
    <w:rsid w:val="006931B1"/>
    <w:rsid w:val="006A15C0"/>
    <w:rsid w:val="006A21F5"/>
    <w:rsid w:val="006C130C"/>
    <w:rsid w:val="006C2655"/>
    <w:rsid w:val="006C3E2A"/>
    <w:rsid w:val="006C642F"/>
    <w:rsid w:val="006D03E5"/>
    <w:rsid w:val="006D5D3E"/>
    <w:rsid w:val="006E08B3"/>
    <w:rsid w:val="006F17AC"/>
    <w:rsid w:val="006F1D37"/>
    <w:rsid w:val="006F234B"/>
    <w:rsid w:val="006F26D0"/>
    <w:rsid w:val="006F2796"/>
    <w:rsid w:val="006F2F2C"/>
    <w:rsid w:val="006F572E"/>
    <w:rsid w:val="007046D6"/>
    <w:rsid w:val="00705DB0"/>
    <w:rsid w:val="00722B57"/>
    <w:rsid w:val="0074253D"/>
    <w:rsid w:val="0074429B"/>
    <w:rsid w:val="007513B4"/>
    <w:rsid w:val="007615BC"/>
    <w:rsid w:val="00762F05"/>
    <w:rsid w:val="00764366"/>
    <w:rsid w:val="007652FF"/>
    <w:rsid w:val="00770EF1"/>
    <w:rsid w:val="00773EF7"/>
    <w:rsid w:val="00774E1D"/>
    <w:rsid w:val="007753FF"/>
    <w:rsid w:val="0077675A"/>
    <w:rsid w:val="00780355"/>
    <w:rsid w:val="00785721"/>
    <w:rsid w:val="00793A59"/>
    <w:rsid w:val="007B6E9F"/>
    <w:rsid w:val="007C1216"/>
    <w:rsid w:val="007C1AF7"/>
    <w:rsid w:val="007E11CC"/>
    <w:rsid w:val="007E6E27"/>
    <w:rsid w:val="0080149D"/>
    <w:rsid w:val="00805D27"/>
    <w:rsid w:val="00813BEC"/>
    <w:rsid w:val="00821776"/>
    <w:rsid w:val="0082604A"/>
    <w:rsid w:val="008321F5"/>
    <w:rsid w:val="00832369"/>
    <w:rsid w:val="00834660"/>
    <w:rsid w:val="00836BC2"/>
    <w:rsid w:val="00840906"/>
    <w:rsid w:val="008414A0"/>
    <w:rsid w:val="0085641B"/>
    <w:rsid w:val="00857136"/>
    <w:rsid w:val="00857F99"/>
    <w:rsid w:val="0086102A"/>
    <w:rsid w:val="00886813"/>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28E6"/>
    <w:rsid w:val="008E7846"/>
    <w:rsid w:val="008F1CCC"/>
    <w:rsid w:val="008F2967"/>
    <w:rsid w:val="008F3BA1"/>
    <w:rsid w:val="008F6943"/>
    <w:rsid w:val="00902A21"/>
    <w:rsid w:val="0091403F"/>
    <w:rsid w:val="0091523E"/>
    <w:rsid w:val="00920330"/>
    <w:rsid w:val="00920649"/>
    <w:rsid w:val="009219D7"/>
    <w:rsid w:val="00922D53"/>
    <w:rsid w:val="00923B70"/>
    <w:rsid w:val="00924482"/>
    <w:rsid w:val="00930237"/>
    <w:rsid w:val="009364BA"/>
    <w:rsid w:val="009438E8"/>
    <w:rsid w:val="00946EA5"/>
    <w:rsid w:val="00950CC8"/>
    <w:rsid w:val="0095160F"/>
    <w:rsid w:val="00963C08"/>
    <w:rsid w:val="00981297"/>
    <w:rsid w:val="00981D66"/>
    <w:rsid w:val="0098585A"/>
    <w:rsid w:val="0098669D"/>
    <w:rsid w:val="00992FA9"/>
    <w:rsid w:val="00994C95"/>
    <w:rsid w:val="009A2E06"/>
    <w:rsid w:val="009A4CED"/>
    <w:rsid w:val="009A690D"/>
    <w:rsid w:val="009B1982"/>
    <w:rsid w:val="009B1D12"/>
    <w:rsid w:val="009B416B"/>
    <w:rsid w:val="009C1785"/>
    <w:rsid w:val="009C4BD5"/>
    <w:rsid w:val="009D44A6"/>
    <w:rsid w:val="009D7B77"/>
    <w:rsid w:val="009E0BB0"/>
    <w:rsid w:val="009E1632"/>
    <w:rsid w:val="009E1D94"/>
    <w:rsid w:val="009E3FBB"/>
    <w:rsid w:val="00A102E4"/>
    <w:rsid w:val="00A12C42"/>
    <w:rsid w:val="00A14DF7"/>
    <w:rsid w:val="00A235D9"/>
    <w:rsid w:val="00A2728C"/>
    <w:rsid w:val="00A3246D"/>
    <w:rsid w:val="00A36FA7"/>
    <w:rsid w:val="00A475B7"/>
    <w:rsid w:val="00A47AF7"/>
    <w:rsid w:val="00A47C3E"/>
    <w:rsid w:val="00A50226"/>
    <w:rsid w:val="00A60BAD"/>
    <w:rsid w:val="00A964D1"/>
    <w:rsid w:val="00AA0ED0"/>
    <w:rsid w:val="00AA3499"/>
    <w:rsid w:val="00AC2B40"/>
    <w:rsid w:val="00AC2BB2"/>
    <w:rsid w:val="00AC2C3C"/>
    <w:rsid w:val="00AC512D"/>
    <w:rsid w:val="00AE01C2"/>
    <w:rsid w:val="00AE5110"/>
    <w:rsid w:val="00AE65EB"/>
    <w:rsid w:val="00AE67A7"/>
    <w:rsid w:val="00AF1D94"/>
    <w:rsid w:val="00AF60C5"/>
    <w:rsid w:val="00B009C6"/>
    <w:rsid w:val="00B01548"/>
    <w:rsid w:val="00B02208"/>
    <w:rsid w:val="00B1425E"/>
    <w:rsid w:val="00B14BC8"/>
    <w:rsid w:val="00B21D29"/>
    <w:rsid w:val="00B25034"/>
    <w:rsid w:val="00B2557E"/>
    <w:rsid w:val="00B33588"/>
    <w:rsid w:val="00B33863"/>
    <w:rsid w:val="00B3567E"/>
    <w:rsid w:val="00B37D17"/>
    <w:rsid w:val="00B4175E"/>
    <w:rsid w:val="00B452CE"/>
    <w:rsid w:val="00B54C25"/>
    <w:rsid w:val="00B661F4"/>
    <w:rsid w:val="00B71862"/>
    <w:rsid w:val="00B76B91"/>
    <w:rsid w:val="00B77EB1"/>
    <w:rsid w:val="00B811C6"/>
    <w:rsid w:val="00B85A87"/>
    <w:rsid w:val="00B92E08"/>
    <w:rsid w:val="00B96EBE"/>
    <w:rsid w:val="00BA6F2B"/>
    <w:rsid w:val="00BB245C"/>
    <w:rsid w:val="00BC622A"/>
    <w:rsid w:val="00BD45E3"/>
    <w:rsid w:val="00BD761D"/>
    <w:rsid w:val="00BE0A78"/>
    <w:rsid w:val="00BE32A6"/>
    <w:rsid w:val="00BE6252"/>
    <w:rsid w:val="00BE79F0"/>
    <w:rsid w:val="00BF046D"/>
    <w:rsid w:val="00BF0C39"/>
    <w:rsid w:val="00BF1190"/>
    <w:rsid w:val="00BF5D04"/>
    <w:rsid w:val="00C00FF2"/>
    <w:rsid w:val="00C1164D"/>
    <w:rsid w:val="00C16861"/>
    <w:rsid w:val="00C21F05"/>
    <w:rsid w:val="00C22678"/>
    <w:rsid w:val="00C22ADB"/>
    <w:rsid w:val="00C404A6"/>
    <w:rsid w:val="00C40A36"/>
    <w:rsid w:val="00C44419"/>
    <w:rsid w:val="00C45E7B"/>
    <w:rsid w:val="00C4625F"/>
    <w:rsid w:val="00C471B1"/>
    <w:rsid w:val="00C618F7"/>
    <w:rsid w:val="00C6316B"/>
    <w:rsid w:val="00C634A9"/>
    <w:rsid w:val="00C64586"/>
    <w:rsid w:val="00C70D53"/>
    <w:rsid w:val="00C73D0B"/>
    <w:rsid w:val="00C772FF"/>
    <w:rsid w:val="00C77A39"/>
    <w:rsid w:val="00C801AF"/>
    <w:rsid w:val="00C80256"/>
    <w:rsid w:val="00C811C0"/>
    <w:rsid w:val="00CA689F"/>
    <w:rsid w:val="00CB6BC0"/>
    <w:rsid w:val="00CC1B7C"/>
    <w:rsid w:val="00CC727F"/>
    <w:rsid w:val="00CD159D"/>
    <w:rsid w:val="00CE61A0"/>
    <w:rsid w:val="00CF15C3"/>
    <w:rsid w:val="00CF2B6F"/>
    <w:rsid w:val="00CF58B6"/>
    <w:rsid w:val="00CF7B35"/>
    <w:rsid w:val="00D017ED"/>
    <w:rsid w:val="00D040D3"/>
    <w:rsid w:val="00D04C65"/>
    <w:rsid w:val="00D16D7B"/>
    <w:rsid w:val="00D224FE"/>
    <w:rsid w:val="00D30A19"/>
    <w:rsid w:val="00D5308D"/>
    <w:rsid w:val="00D53A31"/>
    <w:rsid w:val="00D6493E"/>
    <w:rsid w:val="00D7301E"/>
    <w:rsid w:val="00D83AE1"/>
    <w:rsid w:val="00D855D4"/>
    <w:rsid w:val="00D87961"/>
    <w:rsid w:val="00D93466"/>
    <w:rsid w:val="00DA1124"/>
    <w:rsid w:val="00DA14A5"/>
    <w:rsid w:val="00DB75B7"/>
    <w:rsid w:val="00DC6E02"/>
    <w:rsid w:val="00DD2BC0"/>
    <w:rsid w:val="00DD45BF"/>
    <w:rsid w:val="00DE02AE"/>
    <w:rsid w:val="00DF1D7F"/>
    <w:rsid w:val="00DF4BE4"/>
    <w:rsid w:val="00E02FB4"/>
    <w:rsid w:val="00E076A6"/>
    <w:rsid w:val="00E07F15"/>
    <w:rsid w:val="00E121B0"/>
    <w:rsid w:val="00E20571"/>
    <w:rsid w:val="00E235F7"/>
    <w:rsid w:val="00E23659"/>
    <w:rsid w:val="00E239D4"/>
    <w:rsid w:val="00E26130"/>
    <w:rsid w:val="00E2741C"/>
    <w:rsid w:val="00E40B22"/>
    <w:rsid w:val="00E45619"/>
    <w:rsid w:val="00E4588F"/>
    <w:rsid w:val="00E46DA3"/>
    <w:rsid w:val="00E51BB1"/>
    <w:rsid w:val="00E60CAD"/>
    <w:rsid w:val="00E624A5"/>
    <w:rsid w:val="00E678B8"/>
    <w:rsid w:val="00E7344E"/>
    <w:rsid w:val="00E76F97"/>
    <w:rsid w:val="00E936E3"/>
    <w:rsid w:val="00E979F4"/>
    <w:rsid w:val="00EB0798"/>
    <w:rsid w:val="00EB40AD"/>
    <w:rsid w:val="00EB586E"/>
    <w:rsid w:val="00EB5FC8"/>
    <w:rsid w:val="00ED3CAD"/>
    <w:rsid w:val="00ED5A41"/>
    <w:rsid w:val="00EE1DE8"/>
    <w:rsid w:val="00EE6D9E"/>
    <w:rsid w:val="00EF205A"/>
    <w:rsid w:val="00F033EC"/>
    <w:rsid w:val="00F04F68"/>
    <w:rsid w:val="00F063D3"/>
    <w:rsid w:val="00F12670"/>
    <w:rsid w:val="00F14B27"/>
    <w:rsid w:val="00F3148D"/>
    <w:rsid w:val="00F31AEE"/>
    <w:rsid w:val="00F325C5"/>
    <w:rsid w:val="00F32FE0"/>
    <w:rsid w:val="00F35298"/>
    <w:rsid w:val="00F47333"/>
    <w:rsid w:val="00F47E37"/>
    <w:rsid w:val="00F53C07"/>
    <w:rsid w:val="00F54B65"/>
    <w:rsid w:val="00F6381F"/>
    <w:rsid w:val="00F640B6"/>
    <w:rsid w:val="00F72A0E"/>
    <w:rsid w:val="00F80E40"/>
    <w:rsid w:val="00F848D9"/>
    <w:rsid w:val="00F866F1"/>
    <w:rsid w:val="00FA1186"/>
    <w:rsid w:val="00FA21CE"/>
    <w:rsid w:val="00FA5B82"/>
    <w:rsid w:val="00FA639E"/>
    <w:rsid w:val="00FC25E4"/>
    <w:rsid w:val="00FC4EF7"/>
    <w:rsid w:val="00FD39DA"/>
    <w:rsid w:val="00FE1DEE"/>
    <w:rsid w:val="00FF2126"/>
    <w:rsid w:val="00FF3655"/>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5"/>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5"/>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5"/>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5"/>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5"/>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5"/>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211C8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11C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BE32A6"/>
    <w:pPr>
      <w:ind w:left="992" w:hanging="992"/>
    </w:pPr>
  </w:style>
  <w:style w:type="paragraph" w:customStyle="1" w:styleId="Bullet1">
    <w:name w:val="Bullet 1"/>
    <w:basedOn w:val="Normal"/>
    <w:rsid w:val="00F6381F"/>
    <w:pPr>
      <w:numPr>
        <w:numId w:val="7"/>
      </w:numPr>
      <w:spacing w:after="0" w:line="240" w:lineRule="auto"/>
    </w:pPr>
    <w:rPr>
      <w:rFonts w:eastAsia="Times New Roman"/>
      <w:kern w:val="24"/>
      <w:szCs w:val="24"/>
      <w:lang w:eastAsia="en-AU"/>
    </w:rPr>
  </w:style>
  <w:style w:type="paragraph" w:customStyle="1" w:styleId="Bullet2">
    <w:name w:val="Bullet 2"/>
    <w:basedOn w:val="Bullet1"/>
    <w:rsid w:val="00F6381F"/>
    <w:pPr>
      <w:numPr>
        <w:numId w:val="8"/>
      </w:numPr>
    </w:pPr>
  </w:style>
  <w:style w:type="table" w:styleId="LightList-Accent3">
    <w:name w:val="Light List Accent 3"/>
    <w:basedOn w:val="TableNormal"/>
    <w:uiPriority w:val="61"/>
    <w:rsid w:val="00A2728C"/>
    <w:pPr>
      <w:spacing w:after="0" w:line="240" w:lineRule="auto"/>
    </w:pPr>
    <w:tblPr>
      <w:tblStyleRowBandSize w:val="1"/>
      <w:tblStyleColBandSize w:val="1"/>
      <w:tblInd w:w="0" w:type="dxa"/>
      <w:tblBorders>
        <w:top w:val="single" w:sz="8" w:space="0" w:color="006DA7" w:themeColor="accent3"/>
        <w:left w:val="single" w:sz="8" w:space="0" w:color="006DA7" w:themeColor="accent3"/>
        <w:bottom w:val="single" w:sz="8" w:space="0" w:color="006DA7" w:themeColor="accent3"/>
        <w:right w:val="single" w:sz="8" w:space="0" w:color="006DA7"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6DA7" w:themeFill="accent3"/>
      </w:tcPr>
    </w:tblStylePr>
    <w:tblStylePr w:type="lastRow">
      <w:pPr>
        <w:spacing w:before="0" w:after="0" w:line="240" w:lineRule="auto"/>
      </w:pPr>
      <w:rPr>
        <w:b/>
        <w:bCs/>
      </w:rPr>
      <w:tblPr/>
      <w:tcPr>
        <w:tcBorders>
          <w:top w:val="double" w:sz="6" w:space="0" w:color="006DA7" w:themeColor="accent3"/>
          <w:left w:val="single" w:sz="8" w:space="0" w:color="006DA7" w:themeColor="accent3"/>
          <w:bottom w:val="single" w:sz="8" w:space="0" w:color="006DA7" w:themeColor="accent3"/>
          <w:right w:val="single" w:sz="8" w:space="0" w:color="006DA7" w:themeColor="accent3"/>
        </w:tcBorders>
      </w:tcPr>
    </w:tblStylePr>
    <w:tblStylePr w:type="firstCol">
      <w:rPr>
        <w:b/>
        <w:bCs/>
      </w:rPr>
    </w:tblStylePr>
    <w:tblStylePr w:type="lastCol">
      <w:rPr>
        <w:b/>
        <w:bCs/>
      </w:rPr>
    </w:tblStylePr>
    <w:tblStylePr w:type="band1Vert">
      <w:tblPr/>
      <w:tcPr>
        <w:tcBorders>
          <w:top w:val="single" w:sz="8" w:space="0" w:color="006DA7" w:themeColor="accent3"/>
          <w:left w:val="single" w:sz="8" w:space="0" w:color="006DA7" w:themeColor="accent3"/>
          <w:bottom w:val="single" w:sz="8" w:space="0" w:color="006DA7" w:themeColor="accent3"/>
          <w:right w:val="single" w:sz="8" w:space="0" w:color="006DA7" w:themeColor="accent3"/>
        </w:tcBorders>
      </w:tcPr>
    </w:tblStylePr>
    <w:tblStylePr w:type="band1Horz">
      <w:tblPr/>
      <w:tcPr>
        <w:tcBorders>
          <w:top w:val="single" w:sz="8" w:space="0" w:color="006DA7" w:themeColor="accent3"/>
          <w:left w:val="single" w:sz="8" w:space="0" w:color="006DA7" w:themeColor="accent3"/>
          <w:bottom w:val="single" w:sz="8" w:space="0" w:color="006DA7" w:themeColor="accent3"/>
          <w:right w:val="single" w:sz="8" w:space="0" w:color="006DA7" w:themeColor="accent3"/>
        </w:tcBorders>
      </w:tcPr>
    </w:tblStylePr>
  </w:style>
  <w:style w:type="character" w:customStyle="1" w:styleId="Heading8Char">
    <w:name w:val="Heading 8 Char"/>
    <w:basedOn w:val="DefaultParagraphFont"/>
    <w:link w:val="Heading8"/>
    <w:uiPriority w:val="9"/>
    <w:semiHidden/>
    <w:rsid w:val="00211C8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11C86"/>
    <w:rPr>
      <w:rFonts w:asciiTheme="majorHAnsi" w:eastAsiaTheme="majorEastAsia" w:hAnsiTheme="majorHAnsi" w:cstheme="majorBidi"/>
      <w:i/>
      <w:iCs/>
      <w:color w:val="404040" w:themeColor="text1" w:themeTint="BF"/>
      <w:sz w:val="20"/>
      <w:szCs w:val="20"/>
    </w:rPr>
  </w:style>
  <w:style w:type="paragraph" w:customStyle="1" w:styleId="Instructions2">
    <w:name w:val="Instructions 2"/>
    <w:basedOn w:val="Normal"/>
    <w:qFormat/>
    <w:rsid w:val="00211C86"/>
    <w:pPr>
      <w:numPr>
        <w:numId w:val="17"/>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character" w:styleId="CommentReference">
    <w:name w:val="annotation reference"/>
    <w:basedOn w:val="DefaultParagraphFont"/>
    <w:uiPriority w:val="99"/>
    <w:semiHidden/>
    <w:unhideWhenUsed/>
    <w:rsid w:val="0065712E"/>
    <w:rPr>
      <w:sz w:val="16"/>
      <w:szCs w:val="16"/>
    </w:rPr>
  </w:style>
  <w:style w:type="paragraph" w:styleId="CommentText">
    <w:name w:val="annotation text"/>
    <w:basedOn w:val="Normal"/>
    <w:link w:val="CommentTextChar"/>
    <w:uiPriority w:val="99"/>
    <w:unhideWhenUsed/>
    <w:rsid w:val="0065712E"/>
    <w:pPr>
      <w:spacing w:line="240" w:lineRule="auto"/>
    </w:pPr>
    <w:rPr>
      <w:sz w:val="20"/>
      <w:szCs w:val="20"/>
    </w:rPr>
  </w:style>
  <w:style w:type="character" w:customStyle="1" w:styleId="CommentTextChar">
    <w:name w:val="Comment Text Char"/>
    <w:basedOn w:val="DefaultParagraphFont"/>
    <w:link w:val="CommentText"/>
    <w:uiPriority w:val="99"/>
    <w:rsid w:val="0065712E"/>
    <w:rPr>
      <w:rFonts w:ascii="Cambria" w:eastAsia="Cambria" w:hAnsi="Cambri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5"/>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5"/>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5"/>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5"/>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5"/>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5"/>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211C8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11C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BE32A6"/>
    <w:pPr>
      <w:ind w:left="992" w:hanging="992"/>
    </w:pPr>
  </w:style>
  <w:style w:type="paragraph" w:customStyle="1" w:styleId="Bullet1">
    <w:name w:val="Bullet 1"/>
    <w:basedOn w:val="Normal"/>
    <w:rsid w:val="00F6381F"/>
    <w:pPr>
      <w:numPr>
        <w:numId w:val="7"/>
      </w:numPr>
      <w:spacing w:after="0" w:line="240" w:lineRule="auto"/>
    </w:pPr>
    <w:rPr>
      <w:rFonts w:eastAsia="Times New Roman"/>
      <w:kern w:val="24"/>
      <w:szCs w:val="24"/>
      <w:lang w:eastAsia="en-AU"/>
    </w:rPr>
  </w:style>
  <w:style w:type="paragraph" w:customStyle="1" w:styleId="Bullet2">
    <w:name w:val="Bullet 2"/>
    <w:basedOn w:val="Bullet1"/>
    <w:rsid w:val="00F6381F"/>
    <w:pPr>
      <w:numPr>
        <w:numId w:val="8"/>
      </w:numPr>
    </w:pPr>
  </w:style>
  <w:style w:type="table" w:styleId="LightList-Accent3">
    <w:name w:val="Light List Accent 3"/>
    <w:basedOn w:val="TableNormal"/>
    <w:uiPriority w:val="61"/>
    <w:rsid w:val="00A2728C"/>
    <w:pPr>
      <w:spacing w:after="0" w:line="240" w:lineRule="auto"/>
    </w:pPr>
    <w:tblPr>
      <w:tblStyleRowBandSize w:val="1"/>
      <w:tblStyleColBandSize w:val="1"/>
      <w:tblInd w:w="0" w:type="dxa"/>
      <w:tblBorders>
        <w:top w:val="single" w:sz="8" w:space="0" w:color="006DA7" w:themeColor="accent3"/>
        <w:left w:val="single" w:sz="8" w:space="0" w:color="006DA7" w:themeColor="accent3"/>
        <w:bottom w:val="single" w:sz="8" w:space="0" w:color="006DA7" w:themeColor="accent3"/>
        <w:right w:val="single" w:sz="8" w:space="0" w:color="006DA7"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6DA7" w:themeFill="accent3"/>
      </w:tcPr>
    </w:tblStylePr>
    <w:tblStylePr w:type="lastRow">
      <w:pPr>
        <w:spacing w:before="0" w:after="0" w:line="240" w:lineRule="auto"/>
      </w:pPr>
      <w:rPr>
        <w:b/>
        <w:bCs/>
      </w:rPr>
      <w:tblPr/>
      <w:tcPr>
        <w:tcBorders>
          <w:top w:val="double" w:sz="6" w:space="0" w:color="006DA7" w:themeColor="accent3"/>
          <w:left w:val="single" w:sz="8" w:space="0" w:color="006DA7" w:themeColor="accent3"/>
          <w:bottom w:val="single" w:sz="8" w:space="0" w:color="006DA7" w:themeColor="accent3"/>
          <w:right w:val="single" w:sz="8" w:space="0" w:color="006DA7" w:themeColor="accent3"/>
        </w:tcBorders>
      </w:tcPr>
    </w:tblStylePr>
    <w:tblStylePr w:type="firstCol">
      <w:rPr>
        <w:b/>
        <w:bCs/>
      </w:rPr>
    </w:tblStylePr>
    <w:tblStylePr w:type="lastCol">
      <w:rPr>
        <w:b/>
        <w:bCs/>
      </w:rPr>
    </w:tblStylePr>
    <w:tblStylePr w:type="band1Vert">
      <w:tblPr/>
      <w:tcPr>
        <w:tcBorders>
          <w:top w:val="single" w:sz="8" w:space="0" w:color="006DA7" w:themeColor="accent3"/>
          <w:left w:val="single" w:sz="8" w:space="0" w:color="006DA7" w:themeColor="accent3"/>
          <w:bottom w:val="single" w:sz="8" w:space="0" w:color="006DA7" w:themeColor="accent3"/>
          <w:right w:val="single" w:sz="8" w:space="0" w:color="006DA7" w:themeColor="accent3"/>
        </w:tcBorders>
      </w:tcPr>
    </w:tblStylePr>
    <w:tblStylePr w:type="band1Horz">
      <w:tblPr/>
      <w:tcPr>
        <w:tcBorders>
          <w:top w:val="single" w:sz="8" w:space="0" w:color="006DA7" w:themeColor="accent3"/>
          <w:left w:val="single" w:sz="8" w:space="0" w:color="006DA7" w:themeColor="accent3"/>
          <w:bottom w:val="single" w:sz="8" w:space="0" w:color="006DA7" w:themeColor="accent3"/>
          <w:right w:val="single" w:sz="8" w:space="0" w:color="006DA7" w:themeColor="accent3"/>
        </w:tcBorders>
      </w:tcPr>
    </w:tblStylePr>
  </w:style>
  <w:style w:type="character" w:customStyle="1" w:styleId="Heading8Char">
    <w:name w:val="Heading 8 Char"/>
    <w:basedOn w:val="DefaultParagraphFont"/>
    <w:link w:val="Heading8"/>
    <w:uiPriority w:val="9"/>
    <w:semiHidden/>
    <w:rsid w:val="00211C8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11C86"/>
    <w:rPr>
      <w:rFonts w:asciiTheme="majorHAnsi" w:eastAsiaTheme="majorEastAsia" w:hAnsiTheme="majorHAnsi" w:cstheme="majorBidi"/>
      <w:i/>
      <w:iCs/>
      <w:color w:val="404040" w:themeColor="text1" w:themeTint="BF"/>
      <w:sz w:val="20"/>
      <w:szCs w:val="20"/>
    </w:rPr>
  </w:style>
  <w:style w:type="paragraph" w:customStyle="1" w:styleId="Instructions2">
    <w:name w:val="Instructions 2"/>
    <w:basedOn w:val="Normal"/>
    <w:qFormat/>
    <w:rsid w:val="00211C86"/>
    <w:pPr>
      <w:numPr>
        <w:numId w:val="17"/>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character" w:styleId="CommentReference">
    <w:name w:val="annotation reference"/>
    <w:basedOn w:val="DefaultParagraphFont"/>
    <w:uiPriority w:val="99"/>
    <w:semiHidden/>
    <w:unhideWhenUsed/>
    <w:rsid w:val="0065712E"/>
    <w:rPr>
      <w:sz w:val="16"/>
      <w:szCs w:val="16"/>
    </w:rPr>
  </w:style>
  <w:style w:type="paragraph" w:styleId="CommentText">
    <w:name w:val="annotation text"/>
    <w:basedOn w:val="Normal"/>
    <w:link w:val="CommentTextChar"/>
    <w:uiPriority w:val="99"/>
    <w:unhideWhenUsed/>
    <w:rsid w:val="0065712E"/>
    <w:pPr>
      <w:spacing w:line="240" w:lineRule="auto"/>
    </w:pPr>
    <w:rPr>
      <w:sz w:val="20"/>
      <w:szCs w:val="20"/>
    </w:rPr>
  </w:style>
  <w:style w:type="character" w:customStyle="1" w:styleId="CommentTextChar">
    <w:name w:val="Comment Text Char"/>
    <w:basedOn w:val="DefaultParagraphFont"/>
    <w:link w:val="CommentText"/>
    <w:uiPriority w:val="99"/>
    <w:rsid w:val="0065712E"/>
    <w:rPr>
      <w:rFonts w:ascii="Cambria" w:eastAsia="Cambria" w:hAnsi="Cambr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tga.gov.au" TargetMode="External"/><Relationship Id="rId28" Type="http://schemas.openxmlformats.org/officeDocument/2006/relationships/footer" Target="footer4.xml"/><Relationship Id="rId10" Type="http://schemas.openxmlformats.org/officeDocument/2006/relationships/hyperlink" Target="https://www.tga.gov.au/product-information-pi"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eader" Target="header2.xml"/><Relationship Id="rId22" Type="http://schemas.openxmlformats.org/officeDocument/2006/relationships/hyperlink" Target="mailto:info@tga.gov.au" TargetMode="Externa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jes\AppData\Local\Hewlett-Packard\HP%20TRIM\TEMP\HPTRIM.5024\R13%20453302%20%20Clinical%20Evaluation%20Report%20Extract%20template(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40ECB-DE1D-4D88-A85B-900DEE51A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453302  Clinical Evaluation Report Extract template(2)</Template>
  <TotalTime>133</TotalTime>
  <Pages>54</Pages>
  <Words>18984</Words>
  <Characters>108211</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AusPAR Attachment 2: Extract from the Clinical Evaluation Report for Ledipasvir / Sofosbuvir</vt:lpstr>
    </vt:vector>
  </TitlesOfParts>
  <Company/>
  <LinksUpToDate>false</LinksUpToDate>
  <CharactersWithSpaces>126942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Ledipasvir / Sofosbuvir</dc:title>
  <dc:subject>Prescription medicines</dc:subject>
  <dc:creator>Therapeutic Goods Administration</dc:creator>
  <cp:keywords>AusPARs</cp:keywords>
  <cp:lastModifiedBy>Lack, Janet</cp:lastModifiedBy>
  <cp:revision>5</cp:revision>
  <cp:lastPrinted>2010-12-20T22:59:00Z</cp:lastPrinted>
  <dcterms:created xsi:type="dcterms:W3CDTF">2015-10-26T02:18:00Z</dcterms:created>
  <dcterms:modified xsi:type="dcterms:W3CDTF">2015-10-28T04:46:00Z</dcterms:modified>
</cp:coreProperties>
</file>