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0A5" w:rsidRPr="000B3F7D" w:rsidRDefault="00FB70A5" w:rsidP="007763C8">
      <w:pPr>
        <w:pStyle w:val="Text"/>
        <w:spacing w:after="0"/>
        <w:jc w:val="center"/>
        <w:rPr>
          <w:rFonts w:ascii="Arial" w:hAnsi="Arial" w:cs="Arial"/>
          <w:b/>
          <w:sz w:val="22"/>
          <w:szCs w:val="22"/>
          <w:lang w:val="fr-FR"/>
        </w:rPr>
      </w:pPr>
      <w:r w:rsidRPr="000B3F7D">
        <w:rPr>
          <w:rFonts w:ascii="Arial" w:hAnsi="Arial" w:cs="Arial"/>
          <w:b/>
          <w:sz w:val="22"/>
          <w:szCs w:val="22"/>
          <w:lang w:val="fr-FR"/>
        </w:rPr>
        <w:t>TYKERB</w:t>
      </w:r>
      <w:r w:rsidRPr="000B3F7D">
        <w:rPr>
          <w:rFonts w:ascii="Arial" w:hAnsi="Arial" w:cs="Arial"/>
          <w:b/>
          <w:sz w:val="22"/>
          <w:szCs w:val="22"/>
          <w:vertAlign w:val="superscript"/>
          <w:lang w:val="fr-FR"/>
        </w:rPr>
        <w:t>®</w:t>
      </w:r>
      <w:r w:rsidRPr="000B3F7D">
        <w:rPr>
          <w:rFonts w:ascii="Arial" w:hAnsi="Arial" w:cs="Arial"/>
          <w:b/>
          <w:sz w:val="22"/>
          <w:szCs w:val="22"/>
          <w:lang w:val="fr-FR"/>
        </w:rPr>
        <w:t xml:space="preserve"> PRODUCT INFORMATION </w:t>
      </w:r>
      <w:r w:rsidRPr="000B3F7D">
        <w:rPr>
          <w:rFonts w:ascii="Arial" w:hAnsi="Arial" w:cs="Arial"/>
          <w:b/>
          <w:sz w:val="22"/>
          <w:szCs w:val="22"/>
          <w:lang w:val="fr-FR"/>
        </w:rPr>
        <w:br/>
        <w:t xml:space="preserve">(Lapatinib </w:t>
      </w:r>
      <w:r w:rsidR="00A43DCB">
        <w:rPr>
          <w:rFonts w:ascii="Arial" w:hAnsi="Arial" w:cs="Arial"/>
          <w:b/>
          <w:sz w:val="22"/>
          <w:szCs w:val="22"/>
          <w:lang w:val="fr-FR"/>
        </w:rPr>
        <w:t xml:space="preserve">as </w:t>
      </w:r>
      <w:r w:rsidRPr="000B3F7D">
        <w:rPr>
          <w:rFonts w:ascii="Arial" w:hAnsi="Arial" w:cs="Arial"/>
          <w:b/>
          <w:sz w:val="22"/>
          <w:szCs w:val="22"/>
          <w:lang w:val="fr-FR"/>
        </w:rPr>
        <w:t>Ditosylate</w:t>
      </w:r>
      <w:r w:rsidR="00A43DCB">
        <w:rPr>
          <w:rFonts w:ascii="Arial" w:hAnsi="Arial" w:cs="Arial"/>
          <w:b/>
          <w:sz w:val="22"/>
          <w:szCs w:val="22"/>
          <w:lang w:val="fr-FR"/>
        </w:rPr>
        <w:t xml:space="preserve"> Monohydrate</w:t>
      </w:r>
      <w:r w:rsidRPr="000B3F7D">
        <w:rPr>
          <w:rFonts w:ascii="Arial" w:hAnsi="Arial" w:cs="Arial"/>
          <w:b/>
          <w:sz w:val="22"/>
          <w:szCs w:val="22"/>
          <w:lang w:val="fr-FR"/>
        </w:rPr>
        <w:t>)</w:t>
      </w:r>
    </w:p>
    <w:p w:rsidR="00FB70A5" w:rsidRPr="000B3F7D" w:rsidRDefault="00FB70A5" w:rsidP="007763C8">
      <w:pPr>
        <w:pStyle w:val="Text"/>
        <w:jc w:val="center"/>
        <w:rPr>
          <w:rFonts w:ascii="Arial" w:hAnsi="Arial" w:cs="Arial"/>
          <w:b/>
          <w:sz w:val="22"/>
          <w:szCs w:val="22"/>
        </w:rPr>
      </w:pPr>
      <w:r w:rsidRPr="000B3F7D">
        <w:rPr>
          <w:rFonts w:ascii="Arial" w:hAnsi="Arial" w:cs="Arial"/>
          <w:b/>
          <w:sz w:val="22"/>
          <w:szCs w:val="22"/>
        </w:rPr>
        <w:t>250 mg tablets</w:t>
      </w:r>
    </w:p>
    <w:p w:rsidR="00F6584A" w:rsidRPr="000B3F7D" w:rsidRDefault="00F6584A" w:rsidP="007763C8">
      <w:pPr>
        <w:rPr>
          <w:rFonts w:ascii="Arial" w:hAnsi="Arial" w:cs="Arial"/>
          <w:sz w:val="22"/>
          <w:szCs w:val="22"/>
        </w:rPr>
      </w:pPr>
      <w:r w:rsidRPr="000B3F7D">
        <w:rPr>
          <w:rFonts w:ascii="Arial" w:hAnsi="Arial" w:cs="Arial"/>
          <w:b/>
          <w:sz w:val="22"/>
          <w:szCs w:val="22"/>
          <w:lang w:val="en-US"/>
        </w:rPr>
        <w:t xml:space="preserve">NAME OF THE </w:t>
      </w:r>
      <w:r w:rsidR="00A43DCB">
        <w:rPr>
          <w:rFonts w:ascii="Arial" w:hAnsi="Arial" w:cs="Arial"/>
          <w:b/>
          <w:sz w:val="22"/>
          <w:szCs w:val="22"/>
          <w:lang w:val="en-US"/>
        </w:rPr>
        <w:t>MEDICINE</w:t>
      </w:r>
    </w:p>
    <w:p w:rsidR="00F6584A" w:rsidRPr="000B3F7D" w:rsidRDefault="00F6584A" w:rsidP="007763C8">
      <w:pPr>
        <w:rPr>
          <w:rFonts w:ascii="Arial" w:hAnsi="Arial" w:cs="Arial"/>
          <w:sz w:val="22"/>
          <w:szCs w:val="22"/>
        </w:rPr>
      </w:pPr>
    </w:p>
    <w:p w:rsidR="00C77599" w:rsidRPr="000B3F7D" w:rsidRDefault="00F6584A" w:rsidP="007763C8">
      <w:pPr>
        <w:jc w:val="both"/>
        <w:rPr>
          <w:rFonts w:ascii="Arial" w:hAnsi="Arial" w:cs="Arial"/>
          <w:sz w:val="22"/>
          <w:szCs w:val="22"/>
          <w:lang w:val="en-AU"/>
        </w:rPr>
      </w:pPr>
      <w:r w:rsidRPr="000B3F7D">
        <w:rPr>
          <w:rFonts w:ascii="Arial" w:hAnsi="Arial" w:cs="Arial"/>
          <w:b/>
          <w:sz w:val="22"/>
          <w:szCs w:val="22"/>
        </w:rPr>
        <w:t>TYKERB</w:t>
      </w:r>
      <w:r w:rsidRPr="000B3F7D">
        <w:rPr>
          <w:rFonts w:ascii="Arial" w:hAnsi="Arial" w:cs="Arial"/>
          <w:b/>
          <w:sz w:val="22"/>
          <w:szCs w:val="22"/>
          <w:vertAlign w:val="superscript"/>
        </w:rPr>
        <w:t>®</w:t>
      </w:r>
      <w:r w:rsidRPr="000B3F7D">
        <w:rPr>
          <w:rFonts w:ascii="Arial" w:hAnsi="Arial" w:cs="Arial"/>
          <w:sz w:val="22"/>
          <w:szCs w:val="22"/>
        </w:rPr>
        <w:t xml:space="preserve"> film-coated tablets contain lapatinib </w:t>
      </w:r>
      <w:r w:rsidR="00A43DCB">
        <w:rPr>
          <w:rFonts w:ascii="Arial" w:hAnsi="Arial" w:cs="Arial"/>
          <w:sz w:val="22"/>
          <w:szCs w:val="22"/>
        </w:rPr>
        <w:t xml:space="preserve">as </w:t>
      </w:r>
      <w:r w:rsidRPr="000B3F7D">
        <w:rPr>
          <w:rFonts w:ascii="Arial" w:hAnsi="Arial" w:cs="Arial"/>
          <w:sz w:val="22"/>
          <w:szCs w:val="22"/>
        </w:rPr>
        <w:t xml:space="preserve">ditosylate </w:t>
      </w:r>
      <w:r w:rsidR="00A43DCB">
        <w:rPr>
          <w:rFonts w:ascii="Arial" w:hAnsi="Arial" w:cs="Arial"/>
          <w:sz w:val="22"/>
          <w:szCs w:val="22"/>
        </w:rPr>
        <w:t xml:space="preserve">monohydrate </w:t>
      </w:r>
      <w:r w:rsidRPr="000B3F7D">
        <w:rPr>
          <w:rFonts w:ascii="Arial" w:hAnsi="Arial" w:cs="Arial"/>
          <w:sz w:val="22"/>
          <w:szCs w:val="22"/>
        </w:rPr>
        <w:t xml:space="preserve">which </w:t>
      </w:r>
      <w:r w:rsidRPr="000B3F7D">
        <w:rPr>
          <w:rFonts w:ascii="Arial" w:hAnsi="Arial" w:cs="Arial"/>
          <w:sz w:val="22"/>
          <w:szCs w:val="22"/>
          <w:lang w:val="en-AU"/>
        </w:rPr>
        <w:t xml:space="preserve">is a member of 4-anilinoquinazoline class of kinase inhibitors. </w:t>
      </w:r>
      <w:r w:rsidRPr="000B3F7D">
        <w:rPr>
          <w:rFonts w:ascii="Arial" w:hAnsi="Arial" w:cs="Arial"/>
          <w:sz w:val="22"/>
          <w:szCs w:val="22"/>
        </w:rPr>
        <w:t xml:space="preserve"> The chemical name for (IU</w:t>
      </w:r>
      <w:smartTag w:uri="schemas-GSKSiteLocations-com/fourthcoffee" w:element="flavor">
        <w:r w:rsidRPr="000B3F7D">
          <w:rPr>
            <w:rFonts w:ascii="Arial" w:hAnsi="Arial" w:cs="Arial"/>
            <w:sz w:val="22"/>
            <w:szCs w:val="22"/>
          </w:rPr>
          <w:t>PAC</w:t>
        </w:r>
      </w:smartTag>
      <w:r w:rsidRPr="000B3F7D">
        <w:rPr>
          <w:rFonts w:ascii="Arial" w:hAnsi="Arial" w:cs="Arial"/>
          <w:sz w:val="22"/>
          <w:szCs w:val="22"/>
        </w:rPr>
        <w:t xml:space="preserve">) lapatinib ditosylate is </w:t>
      </w:r>
      <w:r w:rsidRPr="000B3F7D">
        <w:rPr>
          <w:rFonts w:ascii="Arial" w:hAnsi="Arial" w:cs="Arial"/>
          <w:sz w:val="22"/>
          <w:szCs w:val="22"/>
          <w:lang w:val="en-AU"/>
        </w:rPr>
        <w:t>N-(3-chloro-4-{[(3-fluorophenyl) methyl]oxy}phenyl)-6-[5-({[2-(methylsulfonyl)ethyl]amino}methyl)-2-furanyl]-4-quinazolinamine bis(4-</w:t>
      </w:r>
    </w:p>
    <w:p w:rsidR="00F6584A" w:rsidRPr="000B3F7D" w:rsidRDefault="00F6584A" w:rsidP="007763C8">
      <w:pPr>
        <w:rPr>
          <w:rFonts w:ascii="Arial" w:hAnsi="Arial" w:cs="Arial"/>
          <w:sz w:val="22"/>
          <w:szCs w:val="22"/>
          <w:lang w:val="en-AU"/>
        </w:rPr>
      </w:pPr>
      <w:r w:rsidRPr="000B3F7D">
        <w:rPr>
          <w:rFonts w:ascii="Arial" w:hAnsi="Arial" w:cs="Arial"/>
          <w:sz w:val="22"/>
          <w:szCs w:val="22"/>
          <w:lang w:val="en-AU"/>
        </w:rPr>
        <w:t>methylbenzenesulfonate) monohydrate.</w:t>
      </w:r>
    </w:p>
    <w:p w:rsidR="00F6584A" w:rsidRPr="000B3F7D" w:rsidRDefault="00F6584A" w:rsidP="007763C8">
      <w:pPr>
        <w:rPr>
          <w:rFonts w:ascii="Arial" w:hAnsi="Arial" w:cs="Arial"/>
          <w:sz w:val="22"/>
          <w:szCs w:val="22"/>
        </w:rPr>
      </w:pPr>
    </w:p>
    <w:p w:rsidR="00F6584A" w:rsidRPr="000B3F7D" w:rsidRDefault="00F6584A" w:rsidP="007763C8">
      <w:pPr>
        <w:rPr>
          <w:rFonts w:ascii="Arial" w:hAnsi="Arial" w:cs="Arial"/>
          <w:sz w:val="22"/>
          <w:szCs w:val="22"/>
        </w:rPr>
      </w:pPr>
      <w:r w:rsidRPr="000B3F7D">
        <w:rPr>
          <w:rFonts w:ascii="Arial" w:hAnsi="Arial" w:cs="Arial"/>
          <w:sz w:val="22"/>
          <w:szCs w:val="22"/>
        </w:rPr>
        <w:t>The structural formula is:</w:t>
      </w:r>
    </w:p>
    <w:p w:rsidR="00F6584A" w:rsidRPr="000B3F7D" w:rsidRDefault="00F6584A" w:rsidP="007763C8">
      <w:pPr>
        <w:rPr>
          <w:rFonts w:ascii="Arial" w:hAnsi="Arial" w:cs="Arial"/>
          <w:sz w:val="22"/>
          <w:szCs w:val="22"/>
        </w:rPr>
      </w:pPr>
    </w:p>
    <w:p w:rsidR="00F6584A" w:rsidRPr="000B3F7D" w:rsidRDefault="00792117" w:rsidP="007763C8">
      <w:pPr>
        <w:rPr>
          <w:rFonts w:ascii="Arial" w:hAnsi="Arial" w:cs="Arial"/>
          <w:sz w:val="22"/>
          <w:szCs w:val="22"/>
        </w:rPr>
      </w:pPr>
      <w:r>
        <w:rPr>
          <w:rFonts w:ascii="Arial" w:hAnsi="Arial" w:cs="Arial"/>
          <w:noProof/>
          <w:sz w:val="22"/>
          <w:szCs w:val="22"/>
          <w:lang w:val="en-AU"/>
        </w:rPr>
        <w:drawing>
          <wp:inline distT="0" distB="0" distL="0" distR="0">
            <wp:extent cx="3762375" cy="21050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762375" cy="2105025"/>
                    </a:xfrm>
                    <a:prstGeom prst="rect">
                      <a:avLst/>
                    </a:prstGeom>
                    <a:noFill/>
                    <a:ln w="9525">
                      <a:noFill/>
                      <a:miter lim="800000"/>
                      <a:headEnd/>
                      <a:tailEnd/>
                    </a:ln>
                  </pic:spPr>
                </pic:pic>
              </a:graphicData>
            </a:graphic>
          </wp:inline>
        </w:drawing>
      </w:r>
    </w:p>
    <w:p w:rsidR="00F6584A" w:rsidRPr="000B3F7D" w:rsidRDefault="00F6584A" w:rsidP="007763C8">
      <w:pPr>
        <w:rPr>
          <w:rFonts w:ascii="Arial" w:hAnsi="Arial" w:cs="Arial"/>
          <w:sz w:val="22"/>
          <w:szCs w:val="22"/>
        </w:rPr>
      </w:pPr>
    </w:p>
    <w:p w:rsidR="00F6584A" w:rsidRPr="000B3F7D" w:rsidRDefault="00F6584A" w:rsidP="007763C8">
      <w:pPr>
        <w:rPr>
          <w:rFonts w:ascii="Arial" w:hAnsi="Arial" w:cs="Arial"/>
          <w:sz w:val="22"/>
          <w:szCs w:val="22"/>
        </w:rPr>
      </w:pPr>
      <w:r w:rsidRPr="000B3F7D">
        <w:rPr>
          <w:rFonts w:ascii="Arial" w:hAnsi="Arial" w:cs="Arial"/>
          <w:sz w:val="22"/>
          <w:szCs w:val="22"/>
        </w:rPr>
        <w:t>Molecular formula: C</w:t>
      </w:r>
      <w:r w:rsidRPr="000B3F7D">
        <w:rPr>
          <w:rFonts w:ascii="Arial" w:hAnsi="Arial" w:cs="Arial"/>
          <w:sz w:val="22"/>
          <w:szCs w:val="22"/>
          <w:vertAlign w:val="subscript"/>
        </w:rPr>
        <w:t>29</w:t>
      </w:r>
      <w:r w:rsidRPr="000B3F7D">
        <w:rPr>
          <w:rFonts w:ascii="Arial" w:hAnsi="Arial" w:cs="Arial"/>
          <w:sz w:val="22"/>
          <w:szCs w:val="22"/>
        </w:rPr>
        <w:t>H</w:t>
      </w:r>
      <w:r w:rsidRPr="000B3F7D">
        <w:rPr>
          <w:rFonts w:ascii="Arial" w:hAnsi="Arial" w:cs="Arial"/>
          <w:sz w:val="22"/>
          <w:szCs w:val="22"/>
          <w:vertAlign w:val="subscript"/>
        </w:rPr>
        <w:t>26</w:t>
      </w:r>
      <w:r w:rsidRPr="000B3F7D">
        <w:rPr>
          <w:rFonts w:ascii="Arial" w:hAnsi="Arial" w:cs="Arial"/>
          <w:sz w:val="22"/>
          <w:szCs w:val="22"/>
        </w:rPr>
        <w:t>CIFN</w:t>
      </w:r>
      <w:r w:rsidRPr="000B3F7D">
        <w:rPr>
          <w:rFonts w:ascii="Arial" w:hAnsi="Arial" w:cs="Arial"/>
          <w:sz w:val="22"/>
          <w:szCs w:val="22"/>
          <w:vertAlign w:val="subscript"/>
        </w:rPr>
        <w:t>4</w:t>
      </w:r>
      <w:r w:rsidRPr="000B3F7D">
        <w:rPr>
          <w:rFonts w:ascii="Arial" w:hAnsi="Arial" w:cs="Arial"/>
          <w:sz w:val="22"/>
          <w:szCs w:val="22"/>
        </w:rPr>
        <w:t>O</w:t>
      </w:r>
      <w:r w:rsidRPr="000B3F7D">
        <w:rPr>
          <w:rFonts w:ascii="Arial" w:hAnsi="Arial" w:cs="Arial"/>
          <w:sz w:val="22"/>
          <w:szCs w:val="22"/>
          <w:vertAlign w:val="subscript"/>
        </w:rPr>
        <w:t>4</w:t>
      </w:r>
      <w:r w:rsidRPr="000B3F7D">
        <w:rPr>
          <w:rFonts w:ascii="Arial" w:hAnsi="Arial" w:cs="Arial"/>
          <w:sz w:val="22"/>
          <w:szCs w:val="22"/>
        </w:rPr>
        <w:t>S(C</w:t>
      </w:r>
      <w:r w:rsidRPr="000B3F7D">
        <w:rPr>
          <w:rFonts w:ascii="Arial" w:hAnsi="Arial" w:cs="Arial"/>
          <w:sz w:val="22"/>
          <w:szCs w:val="22"/>
          <w:vertAlign w:val="subscript"/>
        </w:rPr>
        <w:t>7</w:t>
      </w:r>
      <w:r w:rsidRPr="000B3F7D">
        <w:rPr>
          <w:rFonts w:ascii="Arial" w:hAnsi="Arial" w:cs="Arial"/>
          <w:sz w:val="22"/>
          <w:szCs w:val="22"/>
        </w:rPr>
        <w:t>H</w:t>
      </w:r>
      <w:r w:rsidRPr="000B3F7D">
        <w:rPr>
          <w:rFonts w:ascii="Arial" w:hAnsi="Arial" w:cs="Arial"/>
          <w:sz w:val="22"/>
          <w:szCs w:val="22"/>
          <w:vertAlign w:val="subscript"/>
        </w:rPr>
        <w:t>8</w:t>
      </w:r>
      <w:r w:rsidRPr="000B3F7D">
        <w:rPr>
          <w:rFonts w:ascii="Arial" w:hAnsi="Arial" w:cs="Arial"/>
          <w:sz w:val="22"/>
          <w:szCs w:val="22"/>
        </w:rPr>
        <w:t>O</w:t>
      </w:r>
      <w:r w:rsidRPr="000B3F7D">
        <w:rPr>
          <w:rFonts w:ascii="Arial" w:hAnsi="Arial" w:cs="Arial"/>
          <w:sz w:val="22"/>
          <w:szCs w:val="22"/>
          <w:vertAlign w:val="subscript"/>
        </w:rPr>
        <w:t>3</w:t>
      </w:r>
      <w:r w:rsidRPr="000B3F7D">
        <w:rPr>
          <w:rFonts w:ascii="Arial" w:hAnsi="Arial" w:cs="Arial"/>
          <w:sz w:val="22"/>
          <w:szCs w:val="22"/>
        </w:rPr>
        <w:t>S)</w:t>
      </w:r>
      <w:r w:rsidRPr="000B3F7D">
        <w:rPr>
          <w:rFonts w:ascii="Arial" w:hAnsi="Arial" w:cs="Arial"/>
          <w:sz w:val="22"/>
          <w:szCs w:val="22"/>
          <w:vertAlign w:val="subscript"/>
        </w:rPr>
        <w:t>2</w:t>
      </w:r>
      <w:r w:rsidRPr="000B3F7D">
        <w:rPr>
          <w:rFonts w:ascii="Arial" w:hAnsi="Arial" w:cs="Arial"/>
          <w:sz w:val="22"/>
          <w:szCs w:val="22"/>
        </w:rPr>
        <w:t>H</w:t>
      </w:r>
      <w:r w:rsidRPr="000B3F7D">
        <w:rPr>
          <w:rFonts w:ascii="Arial" w:hAnsi="Arial" w:cs="Arial"/>
          <w:sz w:val="22"/>
          <w:szCs w:val="22"/>
          <w:vertAlign w:val="subscript"/>
        </w:rPr>
        <w:t>2</w:t>
      </w:r>
      <w:r w:rsidRPr="000B3F7D">
        <w:rPr>
          <w:rFonts w:ascii="Arial" w:hAnsi="Arial" w:cs="Arial"/>
          <w:sz w:val="22"/>
          <w:szCs w:val="22"/>
        </w:rPr>
        <w:t>O</w:t>
      </w:r>
    </w:p>
    <w:p w:rsidR="00F6584A" w:rsidRPr="000B3F7D" w:rsidRDefault="00F6584A" w:rsidP="007763C8">
      <w:pPr>
        <w:rPr>
          <w:rFonts w:ascii="Arial" w:hAnsi="Arial" w:cs="Arial"/>
          <w:sz w:val="22"/>
          <w:szCs w:val="22"/>
        </w:rPr>
      </w:pPr>
      <w:r w:rsidRPr="000B3F7D">
        <w:rPr>
          <w:rFonts w:ascii="Arial" w:hAnsi="Arial" w:cs="Arial"/>
          <w:sz w:val="22"/>
          <w:szCs w:val="22"/>
        </w:rPr>
        <w:t>Molecular weight: 943.48 (ditosylate monohydrate)</w:t>
      </w:r>
    </w:p>
    <w:p w:rsidR="00F6584A" w:rsidRPr="000B3F7D" w:rsidRDefault="00F6584A" w:rsidP="007763C8">
      <w:pPr>
        <w:rPr>
          <w:rFonts w:ascii="Arial" w:hAnsi="Arial" w:cs="Arial"/>
          <w:sz w:val="22"/>
          <w:szCs w:val="22"/>
        </w:rPr>
      </w:pPr>
      <w:r w:rsidRPr="000B3F7D">
        <w:rPr>
          <w:rFonts w:ascii="Arial" w:hAnsi="Arial" w:cs="Arial"/>
          <w:sz w:val="22"/>
          <w:szCs w:val="22"/>
        </w:rPr>
        <w:t>CAS number : 388082-78-8</w:t>
      </w:r>
    </w:p>
    <w:p w:rsidR="00F6584A" w:rsidRPr="000B3F7D" w:rsidRDefault="00F6584A" w:rsidP="007763C8">
      <w:pPr>
        <w:rPr>
          <w:rFonts w:ascii="Arial" w:hAnsi="Arial" w:cs="Arial"/>
          <w:sz w:val="22"/>
          <w:szCs w:val="22"/>
        </w:rPr>
      </w:pPr>
    </w:p>
    <w:p w:rsidR="00C77599" w:rsidRPr="000B3F7D" w:rsidRDefault="00C77599" w:rsidP="007763C8">
      <w:pPr>
        <w:rPr>
          <w:rFonts w:ascii="Arial" w:hAnsi="Arial" w:cs="Arial"/>
          <w:sz w:val="22"/>
          <w:szCs w:val="22"/>
        </w:rPr>
      </w:pPr>
    </w:p>
    <w:p w:rsidR="00F6584A" w:rsidRPr="000B3F7D" w:rsidRDefault="00F6584A" w:rsidP="007763C8">
      <w:pPr>
        <w:rPr>
          <w:rFonts w:ascii="Arial" w:hAnsi="Arial" w:cs="Arial"/>
          <w:b/>
          <w:sz w:val="22"/>
          <w:szCs w:val="22"/>
        </w:rPr>
      </w:pPr>
      <w:r w:rsidRPr="000B3F7D">
        <w:rPr>
          <w:rFonts w:ascii="Arial" w:hAnsi="Arial" w:cs="Arial"/>
          <w:b/>
          <w:sz w:val="22"/>
          <w:szCs w:val="22"/>
        </w:rPr>
        <w:t>DESCRIPTION</w:t>
      </w:r>
    </w:p>
    <w:p w:rsidR="00F6584A" w:rsidRPr="000B3F7D" w:rsidRDefault="00F6584A" w:rsidP="007763C8">
      <w:pPr>
        <w:jc w:val="both"/>
        <w:rPr>
          <w:rFonts w:ascii="Arial" w:hAnsi="Arial" w:cs="Arial"/>
          <w:sz w:val="22"/>
          <w:szCs w:val="22"/>
        </w:rPr>
      </w:pPr>
      <w:r w:rsidRPr="000B3F7D">
        <w:rPr>
          <w:rFonts w:ascii="Arial" w:hAnsi="Arial" w:cs="Arial"/>
          <w:sz w:val="22"/>
          <w:szCs w:val="22"/>
        </w:rPr>
        <w:t xml:space="preserve">Lapatinib ditosylate monohydrate is a yellow solid, and its solubility in water is 0.007 mg/mL and in 0.1N HCl is 0.001 mg/mL at 25 </w:t>
      </w:r>
      <w:r w:rsidRPr="000B3F7D">
        <w:rPr>
          <w:rFonts w:ascii="Arial" w:hAnsi="Arial" w:cs="Arial"/>
          <w:sz w:val="22"/>
          <w:szCs w:val="22"/>
        </w:rPr>
        <w:sym w:font="Symbol" w:char="F0B0"/>
      </w:r>
      <w:r w:rsidRPr="000B3F7D">
        <w:rPr>
          <w:rFonts w:ascii="Arial" w:hAnsi="Arial" w:cs="Arial"/>
          <w:sz w:val="22"/>
          <w:szCs w:val="22"/>
        </w:rPr>
        <w:t>C.</w:t>
      </w:r>
    </w:p>
    <w:p w:rsidR="00F6584A" w:rsidRPr="000B3F7D" w:rsidRDefault="00F6584A" w:rsidP="007763C8">
      <w:pPr>
        <w:rPr>
          <w:rFonts w:ascii="Arial" w:hAnsi="Arial" w:cs="Arial"/>
          <w:sz w:val="22"/>
          <w:szCs w:val="22"/>
        </w:rPr>
      </w:pPr>
    </w:p>
    <w:p w:rsidR="00F6584A" w:rsidRPr="000B3F7D" w:rsidRDefault="00F6584A" w:rsidP="007763C8">
      <w:pPr>
        <w:jc w:val="both"/>
        <w:rPr>
          <w:rFonts w:ascii="Arial" w:hAnsi="Arial" w:cs="Arial"/>
          <w:sz w:val="22"/>
          <w:szCs w:val="22"/>
        </w:rPr>
      </w:pPr>
      <w:r w:rsidRPr="000B3F7D">
        <w:rPr>
          <w:rFonts w:ascii="Arial" w:hAnsi="Arial" w:cs="Arial"/>
          <w:b/>
          <w:sz w:val="22"/>
          <w:szCs w:val="22"/>
        </w:rPr>
        <w:t>TYKERB</w:t>
      </w:r>
      <w:r w:rsidRPr="000B3F7D">
        <w:rPr>
          <w:rFonts w:ascii="Arial" w:hAnsi="Arial" w:cs="Arial"/>
          <w:b/>
          <w:sz w:val="22"/>
          <w:szCs w:val="22"/>
          <w:vertAlign w:val="superscript"/>
        </w:rPr>
        <w:t>®</w:t>
      </w:r>
      <w:r w:rsidRPr="000B3F7D">
        <w:rPr>
          <w:rFonts w:ascii="Arial" w:hAnsi="Arial" w:cs="Arial"/>
          <w:sz w:val="22"/>
          <w:szCs w:val="22"/>
        </w:rPr>
        <w:t xml:space="preserve"> 250 mg film-coated tablets contain microcrystalline cellulose, povidone K30, sodium starch glycolate, magnesium stearate, hypromellose, titanium dioxide, macrogol 400, Polysorbate 80, Iron oxide red (CI77491) and Iron oxide yellow (CI77492).</w:t>
      </w:r>
    </w:p>
    <w:p w:rsidR="00C77599" w:rsidRPr="000B3F7D" w:rsidRDefault="00C77599" w:rsidP="007763C8">
      <w:pPr>
        <w:rPr>
          <w:rFonts w:ascii="Arial" w:hAnsi="Arial" w:cs="Arial"/>
          <w:sz w:val="22"/>
          <w:szCs w:val="22"/>
        </w:rPr>
      </w:pPr>
    </w:p>
    <w:p w:rsidR="00F6584A" w:rsidRPr="000B3F7D" w:rsidRDefault="00F6584A" w:rsidP="007763C8">
      <w:pPr>
        <w:rPr>
          <w:rFonts w:ascii="Arial" w:hAnsi="Arial" w:cs="Arial"/>
          <w:b/>
          <w:sz w:val="22"/>
          <w:szCs w:val="22"/>
        </w:rPr>
      </w:pPr>
      <w:r w:rsidRPr="000B3F7D">
        <w:rPr>
          <w:rFonts w:ascii="Arial" w:hAnsi="Arial" w:cs="Arial"/>
          <w:b/>
          <w:sz w:val="22"/>
          <w:szCs w:val="22"/>
        </w:rPr>
        <w:t>PHARMACOLOGY</w:t>
      </w:r>
    </w:p>
    <w:p w:rsidR="00F6584A" w:rsidRPr="000B3F7D" w:rsidRDefault="00F6584A" w:rsidP="007763C8">
      <w:pPr>
        <w:jc w:val="both"/>
        <w:rPr>
          <w:rFonts w:ascii="Arial" w:hAnsi="Arial" w:cs="Arial"/>
          <w:sz w:val="22"/>
          <w:szCs w:val="22"/>
          <w:u w:val="single"/>
        </w:rPr>
      </w:pPr>
      <w:r w:rsidRPr="000B3F7D">
        <w:rPr>
          <w:rFonts w:ascii="Arial" w:hAnsi="Arial" w:cs="Arial"/>
          <w:sz w:val="22"/>
          <w:szCs w:val="22"/>
        </w:rPr>
        <w:t>Lapatinib is a potent, reversible, and selective inhibitor of the intracellular tyrosine kinase domains of both ErbB1 (EGFR) and HER2 (ErbB2) receptors (estimated Ki</w:t>
      </w:r>
      <w:r w:rsidRPr="000B3F7D">
        <w:rPr>
          <w:rFonts w:ascii="Arial" w:hAnsi="Arial" w:cs="Arial"/>
          <w:sz w:val="22"/>
          <w:szCs w:val="22"/>
          <w:vertAlign w:val="superscript"/>
        </w:rPr>
        <w:t>app</w:t>
      </w:r>
      <w:r w:rsidRPr="000B3F7D">
        <w:rPr>
          <w:rFonts w:ascii="Arial" w:hAnsi="Arial" w:cs="Arial"/>
          <w:sz w:val="22"/>
          <w:szCs w:val="22"/>
        </w:rPr>
        <w:t xml:space="preserve"> values of 3nM and 13nM, respectively) with a slow off-rate from these receptors (half-life greater than or </w:t>
      </w:r>
      <w:r w:rsidRPr="000B3F7D">
        <w:rPr>
          <w:rFonts w:ascii="Arial" w:hAnsi="Arial" w:cs="Arial"/>
          <w:sz w:val="22"/>
          <w:szCs w:val="22"/>
        </w:rPr>
        <w:lastRenderedPageBreak/>
        <w:t xml:space="preserve">equal to 300 minutes). </w:t>
      </w:r>
      <w:r w:rsidR="00E60AC4" w:rsidRPr="000B3F7D">
        <w:rPr>
          <w:rFonts w:ascii="Arial" w:hAnsi="Arial" w:cs="Arial"/>
          <w:sz w:val="22"/>
          <w:szCs w:val="22"/>
        </w:rPr>
        <w:t xml:space="preserve"> </w:t>
      </w:r>
      <w:r w:rsidRPr="000B3F7D">
        <w:rPr>
          <w:rFonts w:ascii="Arial" w:hAnsi="Arial" w:cs="Arial"/>
          <w:sz w:val="22"/>
          <w:szCs w:val="22"/>
        </w:rPr>
        <w:t xml:space="preserve">This dissociation rate from ErbB1 (EGFR) was found to be slower for lapatinib than for erlotinib and gefitinib. </w:t>
      </w:r>
      <w:bookmarkStart w:id="0" w:name="_DV_M126"/>
      <w:bookmarkStart w:id="1" w:name="_DV_M127"/>
      <w:bookmarkEnd w:id="0"/>
      <w:bookmarkEnd w:id="1"/>
      <w:r w:rsidRPr="000B3F7D">
        <w:rPr>
          <w:rFonts w:ascii="Arial" w:hAnsi="Arial" w:cs="Arial"/>
          <w:sz w:val="22"/>
          <w:szCs w:val="22"/>
        </w:rPr>
        <w:t>Lapatinib inhibits tumour cell proliferation in vitro, and inhibits the growth of ErbB1 (EGFR) and HER2 over-expressing xenograft tumours in mice. Inhibition of tumour growth was associated with decreased phosphorylation of ErbB1 (EGFR) and HER2 in tumour tissue.</w:t>
      </w:r>
    </w:p>
    <w:p w:rsidR="00F6584A" w:rsidRPr="000B3F7D" w:rsidRDefault="00F6584A" w:rsidP="007763C8">
      <w:pPr>
        <w:rPr>
          <w:rFonts w:ascii="Arial" w:hAnsi="Arial" w:cs="Arial"/>
          <w:sz w:val="22"/>
          <w:szCs w:val="22"/>
          <w:u w:val="single"/>
        </w:rPr>
      </w:pPr>
    </w:p>
    <w:p w:rsidR="00F6584A" w:rsidRPr="000B3F7D" w:rsidRDefault="00F6584A" w:rsidP="007763C8">
      <w:pPr>
        <w:jc w:val="both"/>
        <w:rPr>
          <w:rFonts w:ascii="Arial" w:hAnsi="Arial" w:cs="Arial"/>
          <w:sz w:val="22"/>
          <w:szCs w:val="22"/>
        </w:rPr>
      </w:pPr>
      <w:r w:rsidRPr="000B3F7D">
        <w:rPr>
          <w:rFonts w:ascii="Arial" w:hAnsi="Arial" w:cs="Arial"/>
          <w:sz w:val="22"/>
          <w:szCs w:val="22"/>
        </w:rPr>
        <w:t xml:space="preserve">The growth inhibitory effects of lapatinib were evaluated in trastuzumab-conditioned cell lines.  Lapatinib retained significant activity against breast cancer cell lines selected for resistance to trastuzumab by long-term growth in trastuzumab-containing medium </w:t>
      </w:r>
      <w:r w:rsidRPr="000B3F7D">
        <w:rPr>
          <w:rFonts w:ascii="Arial" w:hAnsi="Arial" w:cs="Arial"/>
          <w:i/>
          <w:sz w:val="22"/>
          <w:szCs w:val="22"/>
        </w:rPr>
        <w:t>in vitro</w:t>
      </w:r>
      <w:r w:rsidRPr="000B3F7D">
        <w:rPr>
          <w:rFonts w:ascii="Arial" w:hAnsi="Arial" w:cs="Arial"/>
          <w:sz w:val="22"/>
          <w:szCs w:val="22"/>
        </w:rPr>
        <w:t>.  These findings suggest non-cross-resistance between these two HER2 directed agents.</w:t>
      </w:r>
    </w:p>
    <w:p w:rsidR="00F6584A" w:rsidRPr="000B3F7D" w:rsidRDefault="00F6584A" w:rsidP="007763C8">
      <w:pPr>
        <w:rPr>
          <w:rFonts w:ascii="Arial" w:hAnsi="Arial" w:cs="Arial"/>
          <w:sz w:val="22"/>
          <w:szCs w:val="22"/>
        </w:rPr>
      </w:pPr>
    </w:p>
    <w:p w:rsidR="00391DA8" w:rsidRPr="000B3F7D" w:rsidRDefault="00391DA8" w:rsidP="00391DA8">
      <w:pPr>
        <w:jc w:val="both"/>
        <w:rPr>
          <w:rFonts w:ascii="Arial" w:hAnsi="Arial" w:cs="Arial"/>
          <w:sz w:val="22"/>
          <w:szCs w:val="22"/>
        </w:rPr>
      </w:pPr>
      <w:r w:rsidRPr="000B3F7D">
        <w:rPr>
          <w:rFonts w:ascii="Arial" w:hAnsi="Arial" w:cs="Arial"/>
          <w:sz w:val="22"/>
          <w:szCs w:val="22"/>
        </w:rPr>
        <w:t xml:space="preserve">Hormone sensitive breast cancer cells (oestrogen receptor [ER] positive and/or progesterone receptor [PgR] positive) that co-express HER2 tend to be resistant to established endocrine therapies.  Hormone </w:t>
      </w:r>
      <w:r w:rsidR="00B83683" w:rsidRPr="000B3F7D">
        <w:rPr>
          <w:rFonts w:ascii="Arial" w:hAnsi="Arial" w:cs="Arial"/>
          <w:sz w:val="22"/>
          <w:szCs w:val="22"/>
        </w:rPr>
        <w:t>sensitive</w:t>
      </w:r>
      <w:r w:rsidRPr="000B3F7D">
        <w:rPr>
          <w:rFonts w:ascii="Arial" w:hAnsi="Arial" w:cs="Arial"/>
          <w:sz w:val="22"/>
          <w:szCs w:val="22"/>
        </w:rPr>
        <w:t xml:space="preserve"> breast cancer cells that initially lack </w:t>
      </w:r>
      <w:r w:rsidR="0093163C" w:rsidRPr="000B3F7D">
        <w:rPr>
          <w:rFonts w:ascii="Arial" w:hAnsi="Arial" w:cs="Arial"/>
          <w:sz w:val="22"/>
          <w:szCs w:val="22"/>
        </w:rPr>
        <w:t xml:space="preserve">overexpression of </w:t>
      </w:r>
      <w:r w:rsidRPr="000B3F7D">
        <w:rPr>
          <w:rFonts w:ascii="Arial" w:hAnsi="Arial" w:cs="Arial"/>
          <w:sz w:val="22"/>
          <w:szCs w:val="22"/>
        </w:rPr>
        <w:t xml:space="preserve">EGFR or HER2 will up regulate these receptors as the tumour becomes resistant to endocrine therapy.  </w:t>
      </w:r>
    </w:p>
    <w:p w:rsidR="00391DA8" w:rsidRPr="000B3F7D" w:rsidRDefault="00391DA8" w:rsidP="00391DA8">
      <w:pPr>
        <w:jc w:val="both"/>
        <w:rPr>
          <w:rFonts w:ascii="Arial" w:hAnsi="Arial" w:cs="Arial"/>
          <w:b/>
          <w:sz w:val="22"/>
          <w:szCs w:val="22"/>
        </w:rPr>
      </w:pPr>
    </w:p>
    <w:p w:rsidR="00F6584A" w:rsidRPr="000B3F7D" w:rsidRDefault="00F6584A" w:rsidP="007763C8">
      <w:pPr>
        <w:rPr>
          <w:rFonts w:ascii="Arial" w:hAnsi="Arial" w:cs="Arial"/>
          <w:b/>
          <w:sz w:val="22"/>
          <w:szCs w:val="22"/>
        </w:rPr>
      </w:pPr>
      <w:r w:rsidRPr="000B3F7D">
        <w:rPr>
          <w:rFonts w:ascii="Arial" w:hAnsi="Arial" w:cs="Arial"/>
          <w:b/>
          <w:sz w:val="22"/>
          <w:szCs w:val="22"/>
        </w:rPr>
        <w:t>Pharmacokinetics</w:t>
      </w:r>
    </w:p>
    <w:p w:rsidR="00F6584A" w:rsidRPr="000B3F7D" w:rsidRDefault="00F6584A" w:rsidP="007763C8">
      <w:pPr>
        <w:rPr>
          <w:rFonts w:ascii="Arial" w:hAnsi="Arial" w:cs="Arial"/>
          <w:b/>
          <w:sz w:val="22"/>
          <w:szCs w:val="22"/>
          <w:lang w:val="en-US"/>
        </w:rPr>
      </w:pPr>
      <w:r w:rsidRPr="000B3F7D">
        <w:rPr>
          <w:rFonts w:ascii="Arial" w:hAnsi="Arial" w:cs="Arial"/>
          <w:b/>
          <w:sz w:val="22"/>
          <w:szCs w:val="22"/>
        </w:rPr>
        <w:t>Absorption</w:t>
      </w:r>
      <w:r w:rsidRPr="000B3F7D">
        <w:rPr>
          <w:rFonts w:ascii="Arial" w:hAnsi="Arial" w:cs="Arial"/>
          <w:b/>
          <w:sz w:val="22"/>
          <w:szCs w:val="22"/>
          <w:lang w:val="en-US"/>
        </w:rPr>
        <w:t>:</w:t>
      </w:r>
    </w:p>
    <w:p w:rsidR="00F6584A" w:rsidRPr="00D3334F" w:rsidRDefault="00F6584A" w:rsidP="007763C8">
      <w:pPr>
        <w:jc w:val="both"/>
        <w:rPr>
          <w:rFonts w:ascii="Arial" w:hAnsi="Arial" w:cs="Arial"/>
          <w:color w:val="000000" w:themeColor="text1"/>
          <w:sz w:val="22"/>
          <w:szCs w:val="22"/>
          <w:lang w:val="en-US"/>
        </w:rPr>
      </w:pPr>
      <w:r w:rsidRPr="000B3F7D">
        <w:rPr>
          <w:rFonts w:ascii="Arial" w:hAnsi="Arial" w:cs="Arial"/>
          <w:sz w:val="22"/>
          <w:szCs w:val="22"/>
        </w:rPr>
        <w:t>Absorption following oral administration of lapatinib is highly variable. Serum concentrations appear after a median lag time of 0.25 hours (range 0 to 1.5 hours). Peak plasma concentrations (C</w:t>
      </w:r>
      <w:r w:rsidRPr="000B3F7D">
        <w:rPr>
          <w:rFonts w:ascii="Arial" w:hAnsi="Arial" w:cs="Arial"/>
          <w:sz w:val="22"/>
          <w:szCs w:val="22"/>
          <w:vertAlign w:val="subscript"/>
        </w:rPr>
        <w:t>max</w:t>
      </w:r>
      <w:r w:rsidRPr="000B3F7D">
        <w:rPr>
          <w:rFonts w:ascii="Arial" w:hAnsi="Arial" w:cs="Arial"/>
          <w:sz w:val="22"/>
          <w:szCs w:val="22"/>
        </w:rPr>
        <w:t xml:space="preserve">) of lapatinib are achieved approximately 4 hours after administration.  Daily dosing of 1250 mg produces steady state geometric mean (95% </w:t>
      </w:r>
      <w:r w:rsidRPr="00D3334F">
        <w:rPr>
          <w:rFonts w:ascii="Arial" w:hAnsi="Arial" w:cs="Arial"/>
          <w:color w:val="000000" w:themeColor="text1"/>
          <w:sz w:val="22"/>
          <w:szCs w:val="22"/>
        </w:rPr>
        <w:t>confidence interval) C</w:t>
      </w:r>
      <w:r w:rsidRPr="00D3334F">
        <w:rPr>
          <w:rFonts w:ascii="Arial" w:hAnsi="Arial" w:cs="Arial"/>
          <w:color w:val="000000" w:themeColor="text1"/>
          <w:sz w:val="22"/>
          <w:szCs w:val="22"/>
          <w:vertAlign w:val="subscript"/>
        </w:rPr>
        <w:t xml:space="preserve">max </w:t>
      </w:r>
      <w:r w:rsidRPr="00D3334F">
        <w:rPr>
          <w:rFonts w:ascii="Arial" w:hAnsi="Arial" w:cs="Arial"/>
          <w:color w:val="000000" w:themeColor="text1"/>
          <w:sz w:val="22"/>
          <w:szCs w:val="22"/>
        </w:rPr>
        <w:t xml:space="preserve"> values of 2.43 (1.57 to 3.77) </w:t>
      </w:r>
      <w:r w:rsidR="00A8139A" w:rsidRPr="00D3334F">
        <w:rPr>
          <w:rFonts w:ascii="Arial" w:hAnsi="Arial" w:cs="Arial"/>
          <w:color w:val="000000" w:themeColor="text1"/>
          <w:sz w:val="22"/>
          <w:szCs w:val="22"/>
        </w:rPr>
        <w:fldChar w:fldCharType="begin"/>
      </w:r>
      <w:r w:rsidRPr="00D3334F">
        <w:rPr>
          <w:rFonts w:ascii="Arial" w:hAnsi="Arial" w:cs="Arial"/>
          <w:color w:val="000000" w:themeColor="text1"/>
          <w:sz w:val="22"/>
          <w:szCs w:val="22"/>
        </w:rPr>
        <w:instrText>SYMBOL 181\u</w:instrText>
      </w:r>
      <w:r w:rsidR="00A8139A" w:rsidRPr="00D3334F">
        <w:rPr>
          <w:rFonts w:ascii="Arial" w:hAnsi="Arial" w:cs="Arial"/>
          <w:color w:val="000000" w:themeColor="text1"/>
          <w:sz w:val="22"/>
          <w:szCs w:val="22"/>
        </w:rPr>
        <w:fldChar w:fldCharType="end"/>
      </w:r>
      <w:r w:rsidRPr="00D3334F">
        <w:rPr>
          <w:rFonts w:ascii="Arial" w:hAnsi="Arial" w:cs="Arial"/>
          <w:color w:val="000000" w:themeColor="text1"/>
          <w:sz w:val="22"/>
          <w:szCs w:val="22"/>
        </w:rPr>
        <w:t xml:space="preserve">g/mL and AUC values of 36.2 (23.4 to 56) </w:t>
      </w:r>
      <w:r w:rsidR="00A8139A" w:rsidRPr="00D3334F">
        <w:rPr>
          <w:rFonts w:ascii="Arial" w:hAnsi="Arial" w:cs="Arial"/>
          <w:color w:val="000000" w:themeColor="text1"/>
          <w:sz w:val="22"/>
          <w:szCs w:val="22"/>
        </w:rPr>
        <w:fldChar w:fldCharType="begin"/>
      </w:r>
      <w:r w:rsidRPr="00D3334F">
        <w:rPr>
          <w:rFonts w:ascii="Arial" w:hAnsi="Arial" w:cs="Arial"/>
          <w:color w:val="000000" w:themeColor="text1"/>
          <w:sz w:val="22"/>
          <w:szCs w:val="22"/>
        </w:rPr>
        <w:instrText>SYMBOL 181\u</w:instrText>
      </w:r>
      <w:r w:rsidR="00A8139A" w:rsidRPr="00D3334F">
        <w:rPr>
          <w:rFonts w:ascii="Arial" w:hAnsi="Arial" w:cs="Arial"/>
          <w:color w:val="000000" w:themeColor="text1"/>
          <w:sz w:val="22"/>
          <w:szCs w:val="22"/>
        </w:rPr>
        <w:fldChar w:fldCharType="end"/>
      </w:r>
      <w:r w:rsidRPr="00D3334F">
        <w:rPr>
          <w:rFonts w:ascii="Arial" w:hAnsi="Arial" w:cs="Arial"/>
          <w:color w:val="000000" w:themeColor="text1"/>
          <w:sz w:val="22"/>
          <w:szCs w:val="22"/>
        </w:rPr>
        <w:t>g*hr/mL.</w:t>
      </w:r>
      <w:bookmarkStart w:id="2" w:name="_DV_M135"/>
      <w:bookmarkEnd w:id="2"/>
      <w:r w:rsidRPr="00D3334F">
        <w:rPr>
          <w:rFonts w:ascii="Arial" w:hAnsi="Arial" w:cs="Arial"/>
          <w:color w:val="000000" w:themeColor="text1"/>
          <w:sz w:val="22"/>
          <w:szCs w:val="22"/>
          <w:lang w:val="en-US"/>
        </w:rPr>
        <w:t xml:space="preserve"> </w:t>
      </w:r>
      <w:r w:rsidR="00E60AC4" w:rsidRPr="00D3334F">
        <w:rPr>
          <w:rFonts w:ascii="Arial" w:hAnsi="Arial" w:cs="Arial"/>
          <w:color w:val="000000" w:themeColor="text1"/>
          <w:sz w:val="22"/>
          <w:szCs w:val="22"/>
          <w:lang w:val="en-US"/>
        </w:rPr>
        <w:t xml:space="preserve"> </w:t>
      </w:r>
      <w:r w:rsidRPr="00D3334F">
        <w:rPr>
          <w:rFonts w:ascii="Arial" w:hAnsi="Arial" w:cs="Arial"/>
          <w:color w:val="000000" w:themeColor="text1"/>
          <w:sz w:val="22"/>
          <w:szCs w:val="22"/>
          <w:lang w:val="en-US"/>
        </w:rPr>
        <w:t>The absolute bioavailability of lapatinib has not been determined.</w:t>
      </w:r>
    </w:p>
    <w:p w:rsidR="00F6584A" w:rsidRPr="00D3334F" w:rsidRDefault="00F6584A" w:rsidP="007763C8">
      <w:pPr>
        <w:rPr>
          <w:rFonts w:ascii="Arial" w:hAnsi="Arial" w:cs="Arial"/>
          <w:color w:val="000000" w:themeColor="text1"/>
          <w:sz w:val="22"/>
          <w:szCs w:val="22"/>
          <w:u w:val="single"/>
          <w:lang w:val="en-US"/>
        </w:rPr>
      </w:pPr>
    </w:p>
    <w:p w:rsidR="00F62947" w:rsidRPr="00D3334F" w:rsidRDefault="00F62947" w:rsidP="00B457A9">
      <w:pPr>
        <w:jc w:val="both"/>
        <w:rPr>
          <w:rFonts w:ascii="Arial" w:hAnsi="Arial" w:cs="Arial"/>
          <w:color w:val="000000" w:themeColor="text1"/>
          <w:sz w:val="22"/>
          <w:szCs w:val="22"/>
          <w:u w:val="single"/>
          <w:lang w:val="en-US"/>
        </w:rPr>
      </w:pPr>
      <w:r w:rsidRPr="00D3334F">
        <w:rPr>
          <w:rFonts w:ascii="Arial" w:hAnsi="Arial" w:cs="Arial"/>
          <w:color w:val="000000" w:themeColor="text1"/>
          <w:sz w:val="22"/>
          <w:szCs w:val="22"/>
        </w:rPr>
        <w:t>Daily dosing of 1500 mg lapatinib in combination with paclitaxel 175 mg/m</w:t>
      </w:r>
      <w:r w:rsidRPr="00D3334F">
        <w:rPr>
          <w:rFonts w:ascii="Arial" w:hAnsi="Arial" w:cs="Arial"/>
          <w:color w:val="000000" w:themeColor="text1"/>
          <w:sz w:val="22"/>
          <w:szCs w:val="22"/>
          <w:vertAlign w:val="superscript"/>
        </w:rPr>
        <w:t>2</w:t>
      </w:r>
      <w:r w:rsidRPr="00D3334F">
        <w:rPr>
          <w:rFonts w:ascii="Arial" w:hAnsi="Arial" w:cs="Arial"/>
          <w:color w:val="000000" w:themeColor="text1"/>
          <w:sz w:val="22"/>
          <w:szCs w:val="22"/>
        </w:rPr>
        <w:t xml:space="preserve"> </w:t>
      </w:r>
      <w:r w:rsidR="00053AC1">
        <w:rPr>
          <w:rFonts w:ascii="Arial" w:hAnsi="Arial" w:cs="Arial"/>
          <w:color w:val="000000" w:themeColor="text1"/>
          <w:sz w:val="22"/>
          <w:szCs w:val="22"/>
        </w:rPr>
        <w:t xml:space="preserve">every three weeks </w:t>
      </w:r>
      <w:r w:rsidRPr="00D3334F">
        <w:rPr>
          <w:rFonts w:ascii="Arial" w:hAnsi="Arial" w:cs="Arial"/>
          <w:color w:val="000000" w:themeColor="text1"/>
          <w:sz w:val="22"/>
          <w:szCs w:val="22"/>
        </w:rPr>
        <w:t>produces steady state geometric mean (95% confidence interval) C</w:t>
      </w:r>
      <w:r w:rsidRPr="00D3334F">
        <w:rPr>
          <w:rFonts w:ascii="Arial" w:hAnsi="Arial" w:cs="Arial"/>
          <w:color w:val="000000" w:themeColor="text1"/>
          <w:sz w:val="22"/>
          <w:szCs w:val="22"/>
          <w:vertAlign w:val="subscript"/>
        </w:rPr>
        <w:t xml:space="preserve">max </w:t>
      </w:r>
      <w:r w:rsidRPr="00D3334F">
        <w:rPr>
          <w:rFonts w:ascii="Arial" w:hAnsi="Arial" w:cs="Arial"/>
          <w:color w:val="000000" w:themeColor="text1"/>
          <w:sz w:val="22"/>
          <w:szCs w:val="22"/>
        </w:rPr>
        <w:t xml:space="preserve"> values of 5.31 (3.54 to 7.97) </w:t>
      </w:r>
      <w:r w:rsidRPr="00D3334F">
        <w:rPr>
          <w:rFonts w:ascii="Arial" w:hAnsi="Arial" w:cs="Arial"/>
          <w:color w:val="000000" w:themeColor="text1"/>
          <w:sz w:val="22"/>
          <w:szCs w:val="22"/>
        </w:rPr>
        <w:sym w:font="Arial" w:char="00B5"/>
      </w:r>
      <w:r w:rsidRPr="00D3334F">
        <w:rPr>
          <w:rFonts w:ascii="Arial" w:hAnsi="Arial" w:cs="Arial"/>
          <w:color w:val="000000" w:themeColor="text1"/>
          <w:sz w:val="22"/>
          <w:szCs w:val="22"/>
        </w:rPr>
        <w:t xml:space="preserve">g/mL and AUC values of 64.5 (43.3 to 96.2) </w:t>
      </w:r>
      <w:r w:rsidRPr="00D3334F">
        <w:rPr>
          <w:rFonts w:ascii="Arial" w:hAnsi="Arial" w:cs="Arial"/>
          <w:color w:val="000000" w:themeColor="text1"/>
          <w:sz w:val="22"/>
          <w:szCs w:val="22"/>
        </w:rPr>
        <w:sym w:font="Arial" w:char="00B5"/>
      </w:r>
      <w:r w:rsidRPr="00D3334F">
        <w:rPr>
          <w:rFonts w:ascii="Arial" w:hAnsi="Arial" w:cs="Arial"/>
          <w:color w:val="000000" w:themeColor="text1"/>
          <w:sz w:val="22"/>
          <w:szCs w:val="22"/>
        </w:rPr>
        <w:t>g*hr/mL.</w:t>
      </w:r>
    </w:p>
    <w:p w:rsidR="00F62947" w:rsidRPr="00D3334F" w:rsidRDefault="00F62947" w:rsidP="007763C8">
      <w:pPr>
        <w:rPr>
          <w:rFonts w:ascii="Arial" w:hAnsi="Arial" w:cs="Arial"/>
          <w:color w:val="000000" w:themeColor="text1"/>
          <w:sz w:val="22"/>
          <w:szCs w:val="22"/>
          <w:u w:val="single"/>
          <w:lang w:val="en-US"/>
        </w:rPr>
      </w:pPr>
    </w:p>
    <w:p w:rsidR="00F6584A" w:rsidRPr="000B3F7D" w:rsidRDefault="00F6584A" w:rsidP="007763C8">
      <w:pPr>
        <w:jc w:val="both"/>
        <w:rPr>
          <w:rFonts w:ascii="Arial" w:hAnsi="Arial" w:cs="Arial"/>
          <w:sz w:val="22"/>
          <w:szCs w:val="22"/>
        </w:rPr>
      </w:pPr>
      <w:r w:rsidRPr="00D3334F">
        <w:rPr>
          <w:rFonts w:ascii="Arial" w:hAnsi="Arial" w:cs="Arial"/>
          <w:color w:val="000000" w:themeColor="text1"/>
          <w:sz w:val="22"/>
          <w:szCs w:val="22"/>
        </w:rPr>
        <w:t xml:space="preserve">Systemic exposure to lapatinib is increased when administered with food </w:t>
      </w:r>
      <w:r w:rsidRPr="00D3334F">
        <w:rPr>
          <w:rFonts w:ascii="Arial" w:hAnsi="Arial" w:cs="Arial"/>
          <w:i/>
          <w:color w:val="000000" w:themeColor="text1"/>
          <w:sz w:val="22"/>
          <w:szCs w:val="22"/>
        </w:rPr>
        <w:t>(See Dosage and Administration</w:t>
      </w:r>
      <w:r w:rsidRPr="000B3F7D">
        <w:rPr>
          <w:rFonts w:ascii="Arial" w:hAnsi="Arial" w:cs="Arial"/>
          <w:i/>
          <w:sz w:val="22"/>
          <w:szCs w:val="22"/>
        </w:rPr>
        <w:t xml:space="preserve"> and Interactions)</w:t>
      </w:r>
      <w:r w:rsidRPr="000B3F7D">
        <w:rPr>
          <w:rFonts w:ascii="Arial" w:hAnsi="Arial" w:cs="Arial"/>
          <w:sz w:val="22"/>
          <w:szCs w:val="22"/>
        </w:rPr>
        <w:t xml:space="preserve">. </w:t>
      </w:r>
      <w:r w:rsidR="00E60AC4" w:rsidRPr="000B3F7D">
        <w:rPr>
          <w:rFonts w:ascii="Arial" w:hAnsi="Arial" w:cs="Arial"/>
          <w:sz w:val="22"/>
          <w:szCs w:val="22"/>
        </w:rPr>
        <w:t xml:space="preserve"> </w:t>
      </w:r>
      <w:r w:rsidRPr="000B3F7D">
        <w:rPr>
          <w:rFonts w:ascii="Arial" w:hAnsi="Arial" w:cs="Arial"/>
          <w:sz w:val="22"/>
          <w:szCs w:val="22"/>
        </w:rPr>
        <w:t>Lapatinib AUC values were approximately 3- and 4-fold higher (C</w:t>
      </w:r>
      <w:r w:rsidRPr="000B3F7D">
        <w:rPr>
          <w:rFonts w:ascii="Arial" w:hAnsi="Arial" w:cs="Arial"/>
          <w:sz w:val="22"/>
          <w:szCs w:val="22"/>
          <w:vertAlign w:val="subscript"/>
        </w:rPr>
        <w:t>max</w:t>
      </w:r>
      <w:r w:rsidRPr="000B3F7D">
        <w:rPr>
          <w:rFonts w:ascii="Arial" w:hAnsi="Arial" w:cs="Arial"/>
          <w:sz w:val="22"/>
          <w:szCs w:val="22"/>
        </w:rPr>
        <w:t xml:space="preserve"> approximately 2.5 and 3–fold higher) when administered with a low fat (5% fat [500 calories]) or with a high fat (50% fat [1,000 calories]) meal, respectively.</w:t>
      </w:r>
    </w:p>
    <w:p w:rsidR="00F6584A" w:rsidRPr="000B3F7D" w:rsidRDefault="00F6584A" w:rsidP="007763C8">
      <w:pPr>
        <w:rPr>
          <w:rFonts w:ascii="Arial" w:hAnsi="Arial" w:cs="Arial"/>
          <w:sz w:val="22"/>
          <w:szCs w:val="22"/>
        </w:rPr>
      </w:pPr>
    </w:p>
    <w:p w:rsidR="00F6584A" w:rsidRPr="000B3F7D" w:rsidRDefault="00F6584A" w:rsidP="007763C8">
      <w:pPr>
        <w:rPr>
          <w:rFonts w:ascii="Arial" w:hAnsi="Arial" w:cs="Arial"/>
          <w:b/>
          <w:sz w:val="22"/>
          <w:szCs w:val="22"/>
        </w:rPr>
      </w:pPr>
      <w:r w:rsidRPr="000B3F7D">
        <w:rPr>
          <w:rFonts w:ascii="Arial" w:hAnsi="Arial" w:cs="Arial"/>
          <w:b/>
          <w:sz w:val="22"/>
          <w:szCs w:val="22"/>
        </w:rPr>
        <w:t>Distribution:</w:t>
      </w:r>
    </w:p>
    <w:p w:rsidR="00A043D3" w:rsidRPr="000B3F7D" w:rsidRDefault="00F6584A" w:rsidP="00A043D3">
      <w:pPr>
        <w:jc w:val="both"/>
        <w:rPr>
          <w:rFonts w:ascii="Arial" w:hAnsi="Arial" w:cs="Arial"/>
          <w:b/>
          <w:sz w:val="22"/>
          <w:szCs w:val="22"/>
        </w:rPr>
      </w:pPr>
      <w:r w:rsidRPr="000B3F7D">
        <w:rPr>
          <w:rFonts w:ascii="Arial" w:hAnsi="Arial" w:cs="Arial"/>
          <w:sz w:val="22"/>
          <w:szCs w:val="22"/>
        </w:rPr>
        <w:t>Lapatinib is highly bound (greater than 99%) to</w:t>
      </w:r>
      <w:r w:rsidR="00A043D3" w:rsidRPr="00A043D3">
        <w:rPr>
          <w:rFonts w:ascii="Arial" w:hAnsi="Arial" w:cs="Arial"/>
          <w:sz w:val="22"/>
          <w:szCs w:val="22"/>
        </w:rPr>
        <w:t xml:space="preserve"> albumin and alpha-1 acid glycoprotein. </w:t>
      </w:r>
      <w:r w:rsidR="00A043D3" w:rsidRPr="00A043D3">
        <w:rPr>
          <w:rFonts w:ascii="Arial" w:hAnsi="Arial" w:cs="Arial"/>
          <w:i/>
          <w:sz w:val="22"/>
          <w:szCs w:val="22"/>
        </w:rPr>
        <w:t>In vitro</w:t>
      </w:r>
      <w:r w:rsidR="00A043D3" w:rsidRPr="00A043D3">
        <w:rPr>
          <w:rFonts w:ascii="Arial" w:hAnsi="Arial" w:cs="Arial"/>
          <w:sz w:val="22"/>
          <w:szCs w:val="22"/>
        </w:rPr>
        <w:t xml:space="preserve"> studies indicate that lapatinib is a substrate for the transporters BCRP (ABCG2) and P-glycoprotein (ABCB1). Lapatinib has also been shown</w:t>
      </w:r>
      <w:r w:rsidR="00A043D3" w:rsidRPr="00A043D3">
        <w:rPr>
          <w:rFonts w:ascii="Arial" w:hAnsi="Arial" w:cs="Arial"/>
          <w:i/>
          <w:sz w:val="22"/>
          <w:szCs w:val="22"/>
        </w:rPr>
        <w:t xml:space="preserve"> </w:t>
      </w:r>
      <w:r w:rsidR="00A043D3" w:rsidRPr="00A043D3">
        <w:rPr>
          <w:rFonts w:ascii="Arial" w:hAnsi="Arial" w:cs="Arial"/>
          <w:sz w:val="22"/>
          <w:szCs w:val="22"/>
        </w:rPr>
        <w:t>to inhibit P-glycoprotein (IC</w:t>
      </w:r>
      <w:r w:rsidR="00A043D3" w:rsidRPr="00A043D3">
        <w:rPr>
          <w:rFonts w:ascii="Arial" w:hAnsi="Arial" w:cs="Arial"/>
          <w:sz w:val="22"/>
          <w:szCs w:val="22"/>
          <w:vertAlign w:val="subscript"/>
        </w:rPr>
        <w:t>50</w:t>
      </w:r>
      <w:r w:rsidR="00A043D3" w:rsidRPr="00A043D3">
        <w:rPr>
          <w:rFonts w:ascii="Arial" w:hAnsi="Arial" w:cs="Arial"/>
          <w:sz w:val="22"/>
          <w:szCs w:val="22"/>
        </w:rPr>
        <w:t> 2.3 </w:t>
      </w:r>
      <w:r w:rsidR="00A8139A" w:rsidRPr="00A043D3">
        <w:rPr>
          <w:rFonts w:ascii="Arial" w:hAnsi="Arial" w:cs="Arial"/>
          <w:sz w:val="22"/>
          <w:szCs w:val="22"/>
        </w:rPr>
        <w:fldChar w:fldCharType="begin"/>
      </w:r>
      <w:r w:rsidR="00A043D3" w:rsidRPr="00A043D3">
        <w:rPr>
          <w:rFonts w:ascii="Arial" w:hAnsi="Arial" w:cs="Arial"/>
          <w:sz w:val="22"/>
          <w:szCs w:val="22"/>
        </w:rPr>
        <w:instrText>SYMBOL 181\u</w:instrText>
      </w:r>
      <w:r w:rsidR="00A8139A" w:rsidRPr="00A043D3">
        <w:rPr>
          <w:rFonts w:ascii="Arial" w:hAnsi="Arial" w:cs="Arial"/>
          <w:sz w:val="22"/>
          <w:szCs w:val="22"/>
        </w:rPr>
        <w:fldChar w:fldCharType="end"/>
      </w:r>
      <w:r w:rsidR="00A043D3" w:rsidRPr="00A043D3">
        <w:rPr>
          <w:rFonts w:ascii="Arial" w:hAnsi="Arial" w:cs="Arial"/>
          <w:sz w:val="22"/>
          <w:szCs w:val="22"/>
        </w:rPr>
        <w:t>g/mL), BCRP (IC</w:t>
      </w:r>
      <w:r w:rsidR="00A043D3" w:rsidRPr="00A043D3">
        <w:rPr>
          <w:rFonts w:ascii="Arial" w:hAnsi="Arial" w:cs="Arial"/>
          <w:sz w:val="22"/>
          <w:szCs w:val="22"/>
          <w:vertAlign w:val="subscript"/>
        </w:rPr>
        <w:t>50</w:t>
      </w:r>
      <w:r w:rsidR="00A043D3" w:rsidRPr="00A043D3">
        <w:rPr>
          <w:rFonts w:ascii="Arial" w:hAnsi="Arial" w:cs="Arial"/>
          <w:sz w:val="22"/>
          <w:szCs w:val="22"/>
        </w:rPr>
        <w:t> 0.015 </w:t>
      </w:r>
      <w:r w:rsidR="00A8139A" w:rsidRPr="00A043D3">
        <w:rPr>
          <w:rFonts w:ascii="Arial" w:hAnsi="Arial" w:cs="Arial"/>
          <w:sz w:val="22"/>
          <w:szCs w:val="22"/>
        </w:rPr>
        <w:fldChar w:fldCharType="begin"/>
      </w:r>
      <w:r w:rsidR="00A043D3" w:rsidRPr="00A043D3">
        <w:rPr>
          <w:rFonts w:ascii="Arial" w:hAnsi="Arial" w:cs="Arial"/>
          <w:sz w:val="22"/>
          <w:szCs w:val="22"/>
        </w:rPr>
        <w:instrText>SYMBOL 181\u</w:instrText>
      </w:r>
      <w:r w:rsidR="00A8139A" w:rsidRPr="00A043D3">
        <w:rPr>
          <w:rFonts w:ascii="Arial" w:hAnsi="Arial" w:cs="Arial"/>
          <w:sz w:val="22"/>
          <w:szCs w:val="22"/>
        </w:rPr>
        <w:fldChar w:fldCharType="end"/>
      </w:r>
      <w:r w:rsidR="00A043D3" w:rsidRPr="00A043D3">
        <w:rPr>
          <w:rFonts w:ascii="Arial" w:hAnsi="Arial" w:cs="Arial"/>
          <w:sz w:val="22"/>
          <w:szCs w:val="22"/>
        </w:rPr>
        <w:t>g/mL) and</w:t>
      </w:r>
      <w:r w:rsidR="00A043D3" w:rsidRPr="00A043D3" w:rsidDel="00DE2F5C">
        <w:rPr>
          <w:rFonts w:ascii="Arial" w:hAnsi="Arial" w:cs="Arial"/>
          <w:sz w:val="22"/>
          <w:szCs w:val="22"/>
        </w:rPr>
        <w:t xml:space="preserve"> </w:t>
      </w:r>
      <w:r w:rsidR="00A043D3" w:rsidRPr="00A043D3">
        <w:rPr>
          <w:rFonts w:ascii="Arial" w:hAnsi="Arial" w:cs="Arial"/>
          <w:sz w:val="22"/>
          <w:szCs w:val="22"/>
        </w:rPr>
        <w:t>the hepatic uptake transporter OATP1B1(IC</w:t>
      </w:r>
      <w:r w:rsidR="00A043D3" w:rsidRPr="00A043D3">
        <w:rPr>
          <w:rFonts w:ascii="Arial" w:hAnsi="Arial" w:cs="Arial"/>
          <w:sz w:val="22"/>
          <w:szCs w:val="22"/>
          <w:vertAlign w:val="subscript"/>
        </w:rPr>
        <w:t>50</w:t>
      </w:r>
      <w:r w:rsidR="00A043D3" w:rsidRPr="00A043D3">
        <w:rPr>
          <w:rFonts w:ascii="Arial" w:hAnsi="Arial" w:cs="Arial"/>
          <w:sz w:val="22"/>
          <w:szCs w:val="22"/>
        </w:rPr>
        <w:t> 2.3 </w:t>
      </w:r>
      <w:r w:rsidR="00A8139A" w:rsidRPr="00A043D3">
        <w:rPr>
          <w:rFonts w:ascii="Arial" w:hAnsi="Arial" w:cs="Arial"/>
          <w:sz w:val="22"/>
          <w:szCs w:val="22"/>
        </w:rPr>
        <w:fldChar w:fldCharType="begin"/>
      </w:r>
      <w:r w:rsidR="00A043D3" w:rsidRPr="00A043D3">
        <w:rPr>
          <w:rFonts w:ascii="Arial" w:hAnsi="Arial" w:cs="Arial"/>
          <w:sz w:val="22"/>
          <w:szCs w:val="22"/>
        </w:rPr>
        <w:instrText>SYMBOL 181\u</w:instrText>
      </w:r>
      <w:r w:rsidR="00A8139A" w:rsidRPr="00A043D3">
        <w:rPr>
          <w:rFonts w:ascii="Arial" w:hAnsi="Arial" w:cs="Arial"/>
          <w:sz w:val="22"/>
          <w:szCs w:val="22"/>
        </w:rPr>
        <w:fldChar w:fldCharType="end"/>
      </w:r>
      <w:r w:rsidR="00A043D3" w:rsidRPr="00A043D3">
        <w:rPr>
          <w:rFonts w:ascii="Arial" w:hAnsi="Arial" w:cs="Arial"/>
          <w:sz w:val="22"/>
          <w:szCs w:val="22"/>
        </w:rPr>
        <w:t xml:space="preserve">g/mL), in vitro at clinically relevant concentrations. The clinical significance of these effects on the pharmacokinetics of other drugs or the pharmacological activity of other anti-cancer </w:t>
      </w:r>
      <w:r w:rsidR="00A043D3" w:rsidRPr="00A043D3">
        <w:rPr>
          <w:rFonts w:ascii="Arial" w:hAnsi="Arial" w:cs="Arial"/>
          <w:sz w:val="22"/>
          <w:szCs w:val="22"/>
        </w:rPr>
        <w:lastRenderedPageBreak/>
        <w:t xml:space="preserve">agents is not known.  Limited inhibition of the </w:t>
      </w:r>
      <w:smartTag w:uri="urn:schemas-microsoft-com:office:smarttags" w:element="stockticker">
        <w:r w:rsidR="00A043D3" w:rsidRPr="00A043D3">
          <w:rPr>
            <w:rFonts w:ascii="Arial" w:hAnsi="Arial" w:cs="Arial"/>
            <w:sz w:val="22"/>
            <w:szCs w:val="22"/>
          </w:rPr>
          <w:t>OAT</w:t>
        </w:r>
      </w:smartTag>
      <w:r w:rsidR="00A043D3" w:rsidRPr="00A043D3">
        <w:rPr>
          <w:rFonts w:ascii="Arial" w:hAnsi="Arial" w:cs="Arial"/>
          <w:sz w:val="22"/>
          <w:szCs w:val="22"/>
        </w:rPr>
        <w:t xml:space="preserve"> and OCT renal transporters was seen with 17</w:t>
      </w:r>
      <w:r w:rsidR="00A8139A" w:rsidRPr="00A043D3">
        <w:rPr>
          <w:rFonts w:ascii="Arial" w:hAnsi="Arial" w:cs="Arial"/>
          <w:sz w:val="22"/>
          <w:szCs w:val="22"/>
        </w:rPr>
        <w:fldChar w:fldCharType="begin"/>
      </w:r>
      <w:r w:rsidR="00A043D3" w:rsidRPr="00A043D3">
        <w:rPr>
          <w:rFonts w:ascii="Arial" w:hAnsi="Arial" w:cs="Arial"/>
          <w:sz w:val="22"/>
          <w:szCs w:val="22"/>
        </w:rPr>
        <w:instrText>SYMBOL 181\u</w:instrText>
      </w:r>
      <w:r w:rsidR="00A8139A" w:rsidRPr="00A043D3">
        <w:rPr>
          <w:rFonts w:ascii="Arial" w:hAnsi="Arial" w:cs="Arial"/>
          <w:sz w:val="22"/>
          <w:szCs w:val="22"/>
        </w:rPr>
        <w:fldChar w:fldCharType="end"/>
      </w:r>
      <w:r w:rsidR="00A043D3" w:rsidRPr="00A043D3">
        <w:rPr>
          <w:rFonts w:ascii="Arial" w:hAnsi="Arial" w:cs="Arial"/>
          <w:sz w:val="22"/>
          <w:szCs w:val="22"/>
        </w:rPr>
        <w:t>g/mL lapatinib.</w:t>
      </w:r>
    </w:p>
    <w:p w:rsidR="00903304" w:rsidRDefault="00903304" w:rsidP="00A043D3">
      <w:pPr>
        <w:jc w:val="both"/>
        <w:rPr>
          <w:rFonts w:ascii="Arial" w:hAnsi="Arial" w:cs="Arial"/>
          <w:b/>
          <w:sz w:val="22"/>
          <w:szCs w:val="22"/>
        </w:rPr>
      </w:pPr>
    </w:p>
    <w:p w:rsidR="00F471CC" w:rsidRPr="000B3F7D" w:rsidRDefault="00F471CC" w:rsidP="00A043D3">
      <w:pPr>
        <w:jc w:val="both"/>
        <w:rPr>
          <w:rFonts w:ascii="Arial" w:hAnsi="Arial" w:cs="Arial"/>
          <w:b/>
          <w:sz w:val="22"/>
          <w:szCs w:val="22"/>
        </w:rPr>
      </w:pPr>
    </w:p>
    <w:p w:rsidR="00F6584A" w:rsidRPr="000B3F7D" w:rsidRDefault="00F6584A" w:rsidP="007763C8">
      <w:pPr>
        <w:rPr>
          <w:rFonts w:ascii="Arial" w:hAnsi="Arial" w:cs="Arial"/>
          <w:b/>
          <w:sz w:val="22"/>
          <w:szCs w:val="22"/>
        </w:rPr>
      </w:pPr>
      <w:r w:rsidRPr="000B3F7D">
        <w:rPr>
          <w:rFonts w:ascii="Arial" w:hAnsi="Arial" w:cs="Arial"/>
          <w:b/>
          <w:sz w:val="22"/>
          <w:szCs w:val="22"/>
        </w:rPr>
        <w:t>Metabolism:</w:t>
      </w:r>
    </w:p>
    <w:p w:rsidR="00F6584A" w:rsidRPr="000B3F7D" w:rsidRDefault="00F6584A" w:rsidP="007763C8">
      <w:pPr>
        <w:jc w:val="both"/>
        <w:rPr>
          <w:rFonts w:ascii="Arial" w:hAnsi="Arial" w:cs="Arial"/>
          <w:sz w:val="22"/>
          <w:szCs w:val="22"/>
        </w:rPr>
      </w:pPr>
      <w:r w:rsidRPr="000B3F7D">
        <w:rPr>
          <w:rFonts w:ascii="Arial" w:hAnsi="Arial" w:cs="Arial"/>
          <w:sz w:val="22"/>
          <w:szCs w:val="22"/>
        </w:rPr>
        <w:t xml:space="preserve">Lapatinib undergoes extensive metabolism, primarily by CYP3A4 and CYP3A5, with minor contributions from CYP2C19 and CYP2C8 to a variety of oxidated metabolites, none of which account for more than 14% of the dose recovered in the faeces or 10% of the lapatinib concentration in plasma.  </w:t>
      </w:r>
      <w:bookmarkStart w:id="3" w:name="_DV_M141"/>
      <w:bookmarkEnd w:id="3"/>
      <w:r w:rsidRPr="000B3F7D">
        <w:rPr>
          <w:rFonts w:ascii="Arial" w:hAnsi="Arial" w:cs="Arial"/>
          <w:sz w:val="22"/>
          <w:szCs w:val="22"/>
        </w:rPr>
        <w:t>Furthermore, it is unlikely that any of these metabolites would contribute to the pharmacological activity of lapatinib.</w:t>
      </w:r>
    </w:p>
    <w:p w:rsidR="00F6584A" w:rsidRPr="000B3F7D" w:rsidRDefault="00F6584A" w:rsidP="007763C8">
      <w:pPr>
        <w:rPr>
          <w:rFonts w:ascii="Arial" w:hAnsi="Arial" w:cs="Arial"/>
          <w:sz w:val="22"/>
          <w:szCs w:val="22"/>
          <w:u w:val="single"/>
        </w:rPr>
      </w:pPr>
    </w:p>
    <w:p w:rsidR="00F6584A" w:rsidRPr="000B3F7D" w:rsidRDefault="00F6584A" w:rsidP="007763C8">
      <w:pPr>
        <w:jc w:val="both"/>
        <w:rPr>
          <w:rFonts w:ascii="Arial" w:hAnsi="Arial" w:cs="Arial"/>
          <w:sz w:val="22"/>
          <w:szCs w:val="22"/>
          <w:lang w:val="en-AU"/>
        </w:rPr>
      </w:pPr>
      <w:r w:rsidRPr="000B3F7D">
        <w:rPr>
          <w:rFonts w:ascii="Arial" w:hAnsi="Arial" w:cs="Arial"/>
          <w:sz w:val="22"/>
          <w:szCs w:val="22"/>
          <w:lang w:val="en-AU"/>
        </w:rPr>
        <w:t xml:space="preserve">Lapatinib significantly inhibited the metabolism of the substrates of the recombinant CYP enzymes, CYP3A4 and CYP2C8 in vitro at clinically relevant concentrations (~ 5 </w:t>
      </w:r>
      <w:r w:rsidR="00E60AC4" w:rsidRPr="000B3F7D">
        <w:rPr>
          <w:rFonts w:ascii="Arial" w:hAnsi="Arial" w:cs="Arial"/>
          <w:sz w:val="22"/>
          <w:szCs w:val="22"/>
          <w:lang w:val="en-AU"/>
        </w:rPr>
        <w:t>µ</w:t>
      </w:r>
      <w:r w:rsidRPr="000B3F7D">
        <w:rPr>
          <w:rFonts w:ascii="Arial" w:hAnsi="Arial" w:cs="Arial"/>
          <w:sz w:val="22"/>
          <w:szCs w:val="22"/>
          <w:lang w:val="en-AU"/>
        </w:rPr>
        <w:t xml:space="preserve">M or 3 </w:t>
      </w:r>
      <w:r w:rsidR="00E60AC4" w:rsidRPr="000B3F7D">
        <w:rPr>
          <w:rFonts w:ascii="Arial" w:hAnsi="Arial" w:cs="Arial"/>
          <w:sz w:val="22"/>
          <w:szCs w:val="22"/>
          <w:lang w:val="en-AU"/>
        </w:rPr>
        <w:t>µ</w:t>
      </w:r>
      <w:r w:rsidRPr="000B3F7D">
        <w:rPr>
          <w:rFonts w:ascii="Arial" w:hAnsi="Arial" w:cs="Arial"/>
          <w:sz w:val="22"/>
          <w:szCs w:val="22"/>
          <w:lang w:val="en-AU"/>
        </w:rPr>
        <w:t>g/mL).  Lapatinib did not significantly inhibit the following enzymes in human liver microsomes: CYP2C9, CYP2C19 and CYP2D6 or UGT enzymes (in vitro IC</w:t>
      </w:r>
      <w:r w:rsidRPr="000B3F7D">
        <w:rPr>
          <w:rFonts w:ascii="Arial" w:hAnsi="Arial" w:cs="Arial"/>
          <w:sz w:val="22"/>
          <w:szCs w:val="22"/>
          <w:vertAlign w:val="subscript"/>
          <w:lang w:val="en-AU"/>
        </w:rPr>
        <w:t>50</w:t>
      </w:r>
      <w:r w:rsidRPr="000B3F7D">
        <w:rPr>
          <w:rFonts w:ascii="Arial" w:hAnsi="Arial" w:cs="Arial"/>
          <w:sz w:val="22"/>
          <w:szCs w:val="22"/>
          <w:lang w:val="en-AU"/>
        </w:rPr>
        <w:t xml:space="preserve"> values were greater than or equal to 6.9 µg/mL).</w:t>
      </w:r>
      <w:r w:rsidR="003A7FB7" w:rsidRPr="000B3F7D">
        <w:rPr>
          <w:rFonts w:ascii="Arial" w:hAnsi="Arial" w:cs="Arial"/>
          <w:sz w:val="22"/>
          <w:szCs w:val="22"/>
          <w:lang w:val="en-AU"/>
        </w:rPr>
        <w:t xml:space="preserve"> </w:t>
      </w:r>
      <w:r w:rsidRPr="000B3F7D">
        <w:rPr>
          <w:rFonts w:ascii="Arial" w:hAnsi="Arial" w:cs="Arial"/>
          <w:i/>
          <w:sz w:val="22"/>
          <w:szCs w:val="22"/>
          <w:lang w:val="en-AU"/>
        </w:rPr>
        <w:t xml:space="preserve"> </w:t>
      </w:r>
      <w:r w:rsidRPr="000B3F7D">
        <w:rPr>
          <w:rFonts w:ascii="Arial" w:hAnsi="Arial" w:cs="Arial"/>
          <w:sz w:val="22"/>
          <w:szCs w:val="22"/>
          <w:lang w:val="en-AU"/>
        </w:rPr>
        <w:t>Lapatinib was reported to inhibit the metabolism of substrates of recombinant CYP1A2, however it did not significantly inhibit CYP1A2 in human liver microsomes.</w:t>
      </w:r>
    </w:p>
    <w:p w:rsidR="00F6584A" w:rsidRPr="000B3F7D" w:rsidRDefault="00F6584A" w:rsidP="007763C8">
      <w:pPr>
        <w:rPr>
          <w:rFonts w:ascii="Arial" w:hAnsi="Arial" w:cs="Arial"/>
          <w:sz w:val="22"/>
          <w:szCs w:val="22"/>
          <w:u w:val="single"/>
          <w:lang w:val="en-AU"/>
        </w:rPr>
      </w:pPr>
    </w:p>
    <w:p w:rsidR="00F6584A" w:rsidRPr="000B3F7D" w:rsidRDefault="00F6584A" w:rsidP="007763C8">
      <w:pPr>
        <w:jc w:val="both"/>
        <w:rPr>
          <w:rStyle w:val="CSIchar"/>
          <w:rFonts w:ascii="Arial" w:hAnsi="Arial" w:cs="Arial"/>
          <w:sz w:val="22"/>
          <w:szCs w:val="22"/>
          <w:shd w:val="clear" w:color="auto" w:fill="auto"/>
        </w:rPr>
      </w:pPr>
      <w:r w:rsidRPr="000B3F7D">
        <w:rPr>
          <w:rStyle w:val="CSIchar"/>
          <w:rFonts w:ascii="Arial" w:hAnsi="Arial" w:cs="Arial"/>
          <w:sz w:val="22"/>
          <w:szCs w:val="22"/>
          <w:shd w:val="clear" w:color="auto" w:fill="auto"/>
        </w:rPr>
        <w:t>In healthy volunteers receiving ketoconazole, a CYP3A4 inhibitor, at 200 mg twice daily for 7 days, systemic exposure to lapatinib was increased approximately 3.6–fold, and half-life increased 1.7–fold.</w:t>
      </w:r>
    </w:p>
    <w:p w:rsidR="00F6584A" w:rsidRPr="000B3F7D" w:rsidRDefault="00F6584A" w:rsidP="007763C8">
      <w:pPr>
        <w:rPr>
          <w:rStyle w:val="CSIchar"/>
          <w:rFonts w:ascii="Arial" w:hAnsi="Arial" w:cs="Arial"/>
          <w:sz w:val="22"/>
          <w:szCs w:val="22"/>
          <w:shd w:val="clear" w:color="auto" w:fill="auto"/>
        </w:rPr>
      </w:pPr>
    </w:p>
    <w:p w:rsidR="00F6584A" w:rsidRPr="000B3F7D" w:rsidRDefault="00F6584A" w:rsidP="007763C8">
      <w:pPr>
        <w:jc w:val="both"/>
        <w:rPr>
          <w:rStyle w:val="CSIchar"/>
          <w:rFonts w:ascii="Arial" w:hAnsi="Arial" w:cs="Arial"/>
          <w:sz w:val="22"/>
          <w:szCs w:val="22"/>
          <w:shd w:val="clear" w:color="auto" w:fill="auto"/>
        </w:rPr>
      </w:pPr>
      <w:r w:rsidRPr="000B3F7D">
        <w:rPr>
          <w:rStyle w:val="CSIchar"/>
          <w:rFonts w:ascii="Arial" w:hAnsi="Arial" w:cs="Arial"/>
          <w:sz w:val="22"/>
          <w:szCs w:val="22"/>
          <w:shd w:val="clear" w:color="auto" w:fill="auto"/>
        </w:rPr>
        <w:t>In healthy volunteers receiving carbamazepine, a CYP3A4 inducer, at 100 mg twice daily for 3 days and 200 mg twice daily for 17 days, systemic exposure to lapatinib was decreased approximately 72%.</w:t>
      </w:r>
    </w:p>
    <w:p w:rsidR="00F6584A" w:rsidRPr="000B3F7D" w:rsidRDefault="00F6584A" w:rsidP="007763C8">
      <w:pPr>
        <w:rPr>
          <w:rStyle w:val="CSIchar"/>
          <w:rFonts w:ascii="Arial" w:hAnsi="Arial" w:cs="Arial"/>
          <w:sz w:val="22"/>
          <w:szCs w:val="22"/>
          <w:shd w:val="clear" w:color="auto" w:fill="auto"/>
        </w:rPr>
      </w:pPr>
    </w:p>
    <w:p w:rsidR="00F6584A" w:rsidRPr="000B3F7D" w:rsidRDefault="00F6584A" w:rsidP="007763C8">
      <w:pPr>
        <w:rPr>
          <w:rFonts w:ascii="Arial" w:hAnsi="Arial" w:cs="Arial"/>
          <w:b/>
          <w:sz w:val="22"/>
          <w:szCs w:val="22"/>
          <w:lang w:val="en-US"/>
        </w:rPr>
      </w:pPr>
      <w:r w:rsidRPr="000B3F7D">
        <w:rPr>
          <w:rFonts w:ascii="Arial" w:hAnsi="Arial" w:cs="Arial"/>
          <w:b/>
          <w:sz w:val="22"/>
          <w:szCs w:val="22"/>
          <w:lang w:val="en-US"/>
        </w:rPr>
        <w:t>Excretion:</w:t>
      </w:r>
    </w:p>
    <w:p w:rsidR="00F6584A" w:rsidRPr="000B3F7D" w:rsidRDefault="00F6584A" w:rsidP="007763C8">
      <w:pPr>
        <w:jc w:val="both"/>
        <w:rPr>
          <w:rFonts w:ascii="Arial" w:hAnsi="Arial" w:cs="Arial"/>
          <w:sz w:val="22"/>
          <w:szCs w:val="22"/>
        </w:rPr>
      </w:pPr>
      <w:r w:rsidRPr="000B3F7D">
        <w:rPr>
          <w:rFonts w:ascii="Arial" w:hAnsi="Arial" w:cs="Arial"/>
          <w:sz w:val="22"/>
          <w:szCs w:val="22"/>
        </w:rPr>
        <w:t>The half-life of lapatinib measured after single doses increases with increasing dose (range 6 to 14 hours).</w:t>
      </w:r>
      <w:r w:rsidR="003A7FB7" w:rsidRPr="000B3F7D">
        <w:rPr>
          <w:rFonts w:ascii="Arial" w:hAnsi="Arial" w:cs="Arial"/>
          <w:sz w:val="22"/>
          <w:szCs w:val="22"/>
        </w:rPr>
        <w:t xml:space="preserve"> </w:t>
      </w:r>
      <w:r w:rsidRPr="000B3F7D">
        <w:rPr>
          <w:rFonts w:ascii="Arial" w:hAnsi="Arial" w:cs="Arial"/>
          <w:sz w:val="22"/>
          <w:szCs w:val="22"/>
        </w:rPr>
        <w:t xml:space="preserve"> However, daily dosing of lapatinib results in achievement of steady state within 6 to 7 days, indicating an effective half-life of 24 hours.  The primary route of elimination for lapatinib and its metabolites is in faeces, with less than 2% of the dose (as lapatinib and metabolites) excreted in urine.  Recovery of unchanged lapatinib in faeces accounts for a median 27% (range 3 to 67%) of an oral dose.</w:t>
      </w:r>
    </w:p>
    <w:p w:rsidR="00F6584A" w:rsidRPr="000B3F7D" w:rsidRDefault="00F6584A" w:rsidP="007763C8">
      <w:pPr>
        <w:rPr>
          <w:rFonts w:ascii="Arial" w:hAnsi="Arial" w:cs="Arial"/>
          <w:sz w:val="22"/>
          <w:szCs w:val="22"/>
        </w:rPr>
      </w:pPr>
    </w:p>
    <w:p w:rsidR="00F6584A" w:rsidRPr="000B3F7D" w:rsidRDefault="00F6584A" w:rsidP="007763C8">
      <w:pPr>
        <w:rPr>
          <w:rFonts w:ascii="Arial" w:hAnsi="Arial" w:cs="Arial"/>
          <w:b/>
          <w:sz w:val="22"/>
          <w:szCs w:val="22"/>
        </w:rPr>
      </w:pPr>
      <w:r w:rsidRPr="000B3F7D">
        <w:rPr>
          <w:rFonts w:ascii="Arial" w:hAnsi="Arial" w:cs="Arial"/>
          <w:b/>
          <w:sz w:val="22"/>
          <w:szCs w:val="22"/>
        </w:rPr>
        <w:t>Special Populations:</w:t>
      </w:r>
    </w:p>
    <w:p w:rsidR="00F6584A" w:rsidRPr="000B3F7D" w:rsidRDefault="00F6584A" w:rsidP="007763C8">
      <w:pPr>
        <w:rPr>
          <w:rFonts w:ascii="Arial" w:hAnsi="Arial" w:cs="Arial"/>
          <w:sz w:val="22"/>
          <w:szCs w:val="22"/>
        </w:rPr>
      </w:pPr>
      <w:r w:rsidRPr="000B3F7D">
        <w:rPr>
          <w:rFonts w:ascii="Arial" w:hAnsi="Arial" w:cs="Arial"/>
          <w:b/>
          <w:sz w:val="22"/>
          <w:szCs w:val="22"/>
        </w:rPr>
        <w:t>Renal Impairment</w:t>
      </w:r>
    </w:p>
    <w:p w:rsidR="00F6584A" w:rsidRPr="000B3F7D" w:rsidRDefault="00F6584A" w:rsidP="007763C8">
      <w:pPr>
        <w:jc w:val="both"/>
        <w:rPr>
          <w:rStyle w:val="CSIchar"/>
          <w:rFonts w:ascii="Arial" w:hAnsi="Arial" w:cs="Arial"/>
          <w:sz w:val="22"/>
          <w:szCs w:val="22"/>
          <w:shd w:val="clear" w:color="auto" w:fill="auto"/>
        </w:rPr>
      </w:pPr>
      <w:r w:rsidRPr="000B3F7D">
        <w:rPr>
          <w:rStyle w:val="CSIchar"/>
          <w:rFonts w:ascii="Arial" w:hAnsi="Arial" w:cs="Arial"/>
          <w:sz w:val="22"/>
          <w:szCs w:val="22"/>
          <w:shd w:val="clear" w:color="auto" w:fill="auto"/>
        </w:rPr>
        <w:t xml:space="preserve">Lapatinib pharmacokinetics have not been specifically studied in patients with renal impairment or in patients undergoing haemodialysis. </w:t>
      </w:r>
      <w:r w:rsidR="003A7FB7" w:rsidRPr="000B3F7D">
        <w:rPr>
          <w:rStyle w:val="CSIchar"/>
          <w:rFonts w:ascii="Arial" w:hAnsi="Arial" w:cs="Arial"/>
          <w:sz w:val="22"/>
          <w:szCs w:val="22"/>
          <w:shd w:val="clear" w:color="auto" w:fill="auto"/>
        </w:rPr>
        <w:t xml:space="preserve"> </w:t>
      </w:r>
      <w:r w:rsidRPr="000B3F7D">
        <w:rPr>
          <w:rStyle w:val="CSIchar"/>
          <w:rFonts w:ascii="Arial" w:hAnsi="Arial" w:cs="Arial"/>
          <w:sz w:val="22"/>
          <w:szCs w:val="22"/>
          <w:shd w:val="clear" w:color="auto" w:fill="auto"/>
        </w:rPr>
        <w:t>However, renal impairment is unlikely to affect the pharmacokinetics of lapatinib given that less than 2% of an administered dose (as unchanged lapatinib and metabolites) is eliminated by the kidneys.</w:t>
      </w:r>
    </w:p>
    <w:p w:rsidR="00F6584A" w:rsidRPr="000B3F7D" w:rsidRDefault="00F6584A" w:rsidP="007763C8">
      <w:pPr>
        <w:rPr>
          <w:rFonts w:ascii="Arial" w:hAnsi="Arial" w:cs="Arial"/>
          <w:b/>
          <w:sz w:val="22"/>
          <w:szCs w:val="22"/>
        </w:rPr>
      </w:pPr>
    </w:p>
    <w:p w:rsidR="00F6584A" w:rsidRPr="000B3F7D" w:rsidRDefault="00F6584A" w:rsidP="007763C8">
      <w:pPr>
        <w:rPr>
          <w:rFonts w:ascii="Arial" w:hAnsi="Arial" w:cs="Arial"/>
          <w:b/>
          <w:sz w:val="22"/>
          <w:szCs w:val="22"/>
        </w:rPr>
      </w:pPr>
      <w:r w:rsidRPr="000B3F7D">
        <w:rPr>
          <w:rFonts w:ascii="Arial" w:hAnsi="Arial" w:cs="Arial"/>
          <w:b/>
          <w:sz w:val="22"/>
          <w:szCs w:val="22"/>
        </w:rPr>
        <w:t>Hepatic Impairment</w:t>
      </w:r>
    </w:p>
    <w:p w:rsidR="00F6584A" w:rsidRDefault="00F6584A" w:rsidP="007763C8">
      <w:pPr>
        <w:jc w:val="both"/>
        <w:rPr>
          <w:rStyle w:val="CSIchar"/>
          <w:rFonts w:ascii="Arial" w:hAnsi="Arial" w:cs="Arial"/>
          <w:sz w:val="22"/>
          <w:szCs w:val="22"/>
          <w:shd w:val="clear" w:color="auto" w:fill="auto"/>
        </w:rPr>
      </w:pPr>
      <w:r w:rsidRPr="000B3F7D">
        <w:rPr>
          <w:rStyle w:val="CSIchar"/>
          <w:rFonts w:ascii="Arial" w:hAnsi="Arial" w:cs="Arial"/>
          <w:sz w:val="22"/>
          <w:szCs w:val="22"/>
          <w:shd w:val="clear" w:color="auto" w:fill="auto"/>
        </w:rPr>
        <w:t xml:space="preserve">The pharmacokinetics of lapatinib were examined in subjects with moderate (n = 8) or severe (n = 4) hepatic impairment and in 8 healthy control subjects. </w:t>
      </w:r>
      <w:r w:rsidR="003A7FB7" w:rsidRPr="000B3F7D">
        <w:rPr>
          <w:rStyle w:val="CSIchar"/>
          <w:rFonts w:ascii="Arial" w:hAnsi="Arial" w:cs="Arial"/>
          <w:sz w:val="22"/>
          <w:szCs w:val="22"/>
          <w:shd w:val="clear" w:color="auto" w:fill="auto"/>
        </w:rPr>
        <w:t xml:space="preserve"> </w:t>
      </w:r>
      <w:r w:rsidRPr="000B3F7D">
        <w:rPr>
          <w:rStyle w:val="CSIchar"/>
          <w:rFonts w:ascii="Arial" w:hAnsi="Arial" w:cs="Arial"/>
          <w:sz w:val="22"/>
          <w:szCs w:val="22"/>
          <w:shd w:val="clear" w:color="auto" w:fill="auto"/>
        </w:rPr>
        <w:t xml:space="preserve">Systemic exposure (AUC) to lapatinib after a single oral 100 mg dose increased approximately 56% and 85% in subjects with moderate and severe hepatic impairment, respectively. </w:t>
      </w:r>
      <w:r w:rsidR="003A7FB7" w:rsidRPr="000B3F7D">
        <w:rPr>
          <w:rStyle w:val="CSIchar"/>
          <w:rFonts w:ascii="Arial" w:hAnsi="Arial" w:cs="Arial"/>
          <w:sz w:val="22"/>
          <w:szCs w:val="22"/>
          <w:shd w:val="clear" w:color="auto" w:fill="auto"/>
        </w:rPr>
        <w:t xml:space="preserve"> </w:t>
      </w:r>
      <w:r w:rsidRPr="000B3F7D">
        <w:rPr>
          <w:rStyle w:val="CSIchar"/>
          <w:rFonts w:ascii="Arial" w:hAnsi="Arial" w:cs="Arial"/>
          <w:sz w:val="22"/>
          <w:szCs w:val="22"/>
          <w:shd w:val="clear" w:color="auto" w:fill="auto"/>
        </w:rPr>
        <w:t xml:space="preserve">Administration of lapatinib in patients with hepatic impairment should be undertaken with caution </w:t>
      </w:r>
      <w:r w:rsidR="00841FD9" w:rsidRPr="000B3F7D">
        <w:rPr>
          <w:rStyle w:val="CSIchar"/>
          <w:rFonts w:ascii="Arial" w:hAnsi="Arial" w:cs="Arial"/>
          <w:sz w:val="22"/>
          <w:szCs w:val="22"/>
          <w:shd w:val="clear" w:color="auto" w:fill="auto"/>
        </w:rPr>
        <w:t xml:space="preserve">due to increased exposure to the drug.  A dose reduction is recommended for patients with severe pre-existing hepatic impairment.  In patients who develop severe hepatotoxicity while on therapy, lapatinib should be discontinued and patients should not be retreated with lapatinib </w:t>
      </w:r>
      <w:r w:rsidRPr="000B3F7D">
        <w:rPr>
          <w:rStyle w:val="CSIchar"/>
          <w:rFonts w:ascii="Arial" w:hAnsi="Arial" w:cs="Arial"/>
          <w:sz w:val="22"/>
          <w:szCs w:val="22"/>
          <w:shd w:val="clear" w:color="auto" w:fill="auto"/>
        </w:rPr>
        <w:t>(</w:t>
      </w:r>
      <w:r w:rsidRPr="000B3F7D">
        <w:rPr>
          <w:rStyle w:val="CSIchar"/>
          <w:rFonts w:ascii="Arial" w:hAnsi="Arial" w:cs="Arial"/>
          <w:i/>
          <w:sz w:val="22"/>
          <w:szCs w:val="22"/>
          <w:shd w:val="clear" w:color="auto" w:fill="auto"/>
        </w:rPr>
        <w:t xml:space="preserve">see </w:t>
      </w:r>
      <w:r w:rsidR="00841FD9" w:rsidRPr="000B3F7D">
        <w:rPr>
          <w:rStyle w:val="CSIchar"/>
          <w:rFonts w:ascii="Arial" w:hAnsi="Arial" w:cs="Arial"/>
          <w:i/>
          <w:sz w:val="22"/>
          <w:szCs w:val="22"/>
          <w:shd w:val="clear" w:color="auto" w:fill="auto"/>
        </w:rPr>
        <w:t>Dosage and Administration and</w:t>
      </w:r>
      <w:r w:rsidR="00841FD9" w:rsidRPr="000B3F7D">
        <w:rPr>
          <w:rStyle w:val="CSIchar"/>
          <w:rFonts w:ascii="Arial" w:hAnsi="Arial" w:cs="Arial"/>
          <w:sz w:val="22"/>
          <w:szCs w:val="22"/>
          <w:shd w:val="clear" w:color="auto" w:fill="auto"/>
        </w:rPr>
        <w:t xml:space="preserve"> </w:t>
      </w:r>
      <w:r w:rsidRPr="000B3F7D">
        <w:rPr>
          <w:rStyle w:val="CSIchar"/>
          <w:rFonts w:ascii="Arial" w:hAnsi="Arial" w:cs="Arial"/>
          <w:i/>
          <w:sz w:val="22"/>
          <w:szCs w:val="22"/>
          <w:shd w:val="clear" w:color="auto" w:fill="auto"/>
        </w:rPr>
        <w:t>Precautions</w:t>
      </w:r>
      <w:r w:rsidRPr="000B3F7D">
        <w:rPr>
          <w:rStyle w:val="CSIchar"/>
          <w:rFonts w:ascii="Arial" w:hAnsi="Arial" w:cs="Arial"/>
          <w:sz w:val="22"/>
          <w:szCs w:val="22"/>
          <w:shd w:val="clear" w:color="auto" w:fill="auto"/>
        </w:rPr>
        <w:t>).</w:t>
      </w:r>
    </w:p>
    <w:p w:rsidR="00F471CC" w:rsidRDefault="00F471CC" w:rsidP="007763C8">
      <w:pPr>
        <w:jc w:val="both"/>
        <w:rPr>
          <w:rStyle w:val="CSIchar"/>
          <w:rFonts w:ascii="Arial" w:hAnsi="Arial" w:cs="Arial"/>
          <w:sz w:val="22"/>
          <w:szCs w:val="22"/>
          <w:shd w:val="clear" w:color="auto" w:fill="auto"/>
        </w:rPr>
      </w:pPr>
    </w:p>
    <w:p w:rsidR="00F471CC" w:rsidRPr="000B3F7D" w:rsidRDefault="00F471CC" w:rsidP="007763C8">
      <w:pPr>
        <w:jc w:val="both"/>
        <w:rPr>
          <w:rStyle w:val="CSIchar"/>
          <w:rFonts w:ascii="Arial" w:hAnsi="Arial" w:cs="Arial"/>
          <w:sz w:val="22"/>
          <w:szCs w:val="22"/>
          <w:shd w:val="clear" w:color="auto" w:fill="auto"/>
        </w:rPr>
      </w:pPr>
    </w:p>
    <w:p w:rsidR="00F6584A" w:rsidRPr="000B3F7D" w:rsidRDefault="00F6584A" w:rsidP="007763C8">
      <w:pPr>
        <w:rPr>
          <w:rFonts w:ascii="Arial" w:hAnsi="Arial" w:cs="Arial"/>
          <w:b/>
          <w:sz w:val="22"/>
          <w:szCs w:val="22"/>
        </w:rPr>
      </w:pPr>
      <w:r w:rsidRPr="000B3F7D">
        <w:rPr>
          <w:rFonts w:ascii="Arial" w:hAnsi="Arial" w:cs="Arial"/>
          <w:b/>
          <w:sz w:val="22"/>
          <w:szCs w:val="22"/>
        </w:rPr>
        <w:t>CLINICAL TRIALS</w:t>
      </w:r>
    </w:p>
    <w:p w:rsidR="00071C3E" w:rsidRPr="000B3F7D" w:rsidRDefault="00071C3E" w:rsidP="007763C8">
      <w:pPr>
        <w:jc w:val="both"/>
        <w:rPr>
          <w:rFonts w:ascii="Arial" w:hAnsi="Arial" w:cs="Arial"/>
          <w:b/>
          <w:sz w:val="22"/>
          <w:szCs w:val="22"/>
          <w:u w:val="single"/>
        </w:rPr>
      </w:pPr>
    </w:p>
    <w:p w:rsidR="00856C07" w:rsidRPr="000B3F7D" w:rsidRDefault="00856C07" w:rsidP="007763C8">
      <w:pPr>
        <w:jc w:val="both"/>
        <w:rPr>
          <w:rFonts w:ascii="Arial" w:hAnsi="Arial" w:cs="Arial"/>
          <w:b/>
          <w:sz w:val="22"/>
          <w:szCs w:val="22"/>
          <w:u w:val="single"/>
        </w:rPr>
      </w:pPr>
      <w:r w:rsidRPr="000B3F7D">
        <w:rPr>
          <w:rFonts w:ascii="Arial" w:hAnsi="Arial" w:cs="Arial"/>
          <w:b/>
          <w:sz w:val="22"/>
          <w:szCs w:val="22"/>
          <w:u w:val="single"/>
        </w:rPr>
        <w:t>Combination treatment with TYKERB and capecitabine</w:t>
      </w:r>
    </w:p>
    <w:p w:rsidR="00CD48A9" w:rsidRPr="000B3F7D" w:rsidRDefault="00CD48A9" w:rsidP="007763C8">
      <w:pPr>
        <w:jc w:val="both"/>
        <w:rPr>
          <w:rFonts w:ascii="Arial" w:hAnsi="Arial" w:cs="Arial"/>
          <w:b/>
          <w:sz w:val="22"/>
          <w:szCs w:val="22"/>
          <w:u w:val="single"/>
        </w:rPr>
      </w:pPr>
    </w:p>
    <w:p w:rsidR="00F6584A" w:rsidRPr="000B3F7D" w:rsidRDefault="00F6584A" w:rsidP="007763C8">
      <w:pPr>
        <w:jc w:val="both"/>
        <w:rPr>
          <w:rFonts w:ascii="Arial" w:hAnsi="Arial" w:cs="Arial"/>
          <w:sz w:val="22"/>
          <w:szCs w:val="22"/>
        </w:rPr>
      </w:pPr>
      <w:r w:rsidRPr="000B3F7D">
        <w:rPr>
          <w:rFonts w:ascii="Arial" w:hAnsi="Arial" w:cs="Arial"/>
          <w:sz w:val="22"/>
          <w:szCs w:val="22"/>
        </w:rPr>
        <w:t xml:space="preserve">The efficacy and safety of TYKERB in combination with capecitabine in breast cancer was evaluated in a randomised, </w:t>
      </w:r>
      <w:r w:rsidR="00AC7C7D" w:rsidRPr="000B3F7D">
        <w:rPr>
          <w:rFonts w:ascii="Arial" w:hAnsi="Arial" w:cs="Arial"/>
          <w:sz w:val="22"/>
          <w:szCs w:val="22"/>
        </w:rPr>
        <w:t xml:space="preserve">phase </w:t>
      </w:r>
      <w:smartTag w:uri="urn:schemas-microsoft-com:office:smarttags" w:element="stockticker">
        <w:r w:rsidR="00AC7C7D" w:rsidRPr="000B3F7D">
          <w:rPr>
            <w:rFonts w:ascii="Arial" w:hAnsi="Arial" w:cs="Arial"/>
            <w:sz w:val="22"/>
            <w:szCs w:val="22"/>
          </w:rPr>
          <w:t>III</w:t>
        </w:r>
      </w:smartTag>
      <w:r w:rsidRPr="000B3F7D">
        <w:rPr>
          <w:rFonts w:ascii="Arial" w:hAnsi="Arial" w:cs="Arial"/>
          <w:sz w:val="22"/>
          <w:szCs w:val="22"/>
        </w:rPr>
        <w:t xml:space="preserve"> trial (EGF100151).</w:t>
      </w:r>
      <w:r w:rsidR="00350A73" w:rsidRPr="000B3F7D">
        <w:rPr>
          <w:rFonts w:ascii="Arial" w:hAnsi="Arial" w:cs="Arial"/>
          <w:sz w:val="22"/>
          <w:szCs w:val="22"/>
        </w:rPr>
        <w:t xml:space="preserve"> </w:t>
      </w:r>
      <w:r w:rsidRPr="000B3F7D">
        <w:rPr>
          <w:rFonts w:ascii="Arial" w:hAnsi="Arial" w:cs="Arial"/>
          <w:sz w:val="22"/>
          <w:szCs w:val="22"/>
        </w:rPr>
        <w:t xml:space="preserve"> Patients eligible for enrolment had HER2 over-expressing, locally advanced or metastatic breast cancer, after prior treatment that included taxanes, anthracyclines and trastuzumab. </w:t>
      </w:r>
      <w:r w:rsidR="00350A73" w:rsidRPr="000B3F7D">
        <w:rPr>
          <w:rFonts w:ascii="Arial" w:hAnsi="Arial" w:cs="Arial"/>
          <w:sz w:val="22"/>
          <w:szCs w:val="22"/>
        </w:rPr>
        <w:t xml:space="preserve"> </w:t>
      </w:r>
      <w:r w:rsidRPr="000B3F7D">
        <w:rPr>
          <w:rFonts w:ascii="Arial" w:hAnsi="Arial" w:cs="Arial"/>
          <w:sz w:val="22"/>
          <w:szCs w:val="22"/>
        </w:rPr>
        <w:t xml:space="preserve">LVEF was evaluated in all patients (using echocardiogram or MUGA) prior to initiation of treatment with TYKERB to ensure baseline LVEF was within the institutions normal limits.  </w:t>
      </w:r>
    </w:p>
    <w:p w:rsidR="00F6584A" w:rsidRPr="000B3F7D" w:rsidRDefault="00F6584A" w:rsidP="007763C8">
      <w:pPr>
        <w:rPr>
          <w:rFonts w:ascii="Arial" w:hAnsi="Arial" w:cs="Arial"/>
          <w:sz w:val="22"/>
          <w:szCs w:val="22"/>
        </w:rPr>
      </w:pPr>
    </w:p>
    <w:p w:rsidR="00F6584A" w:rsidRPr="000B3F7D" w:rsidRDefault="00F6584A" w:rsidP="007763C8">
      <w:pPr>
        <w:jc w:val="both"/>
        <w:rPr>
          <w:rFonts w:ascii="Arial" w:hAnsi="Arial" w:cs="Arial"/>
          <w:sz w:val="22"/>
          <w:szCs w:val="22"/>
        </w:rPr>
      </w:pPr>
      <w:r w:rsidRPr="000B3F7D">
        <w:rPr>
          <w:rFonts w:ascii="Arial" w:hAnsi="Arial" w:cs="Arial"/>
          <w:sz w:val="22"/>
          <w:szCs w:val="22"/>
        </w:rPr>
        <w:t>In clinical trials, LVEF was monitored at approximately 8–week intervals during treatment with TYKERB to ensure it did not decline to below the institutions lower limit of normal.</w:t>
      </w:r>
      <w:r w:rsidR="00350A73" w:rsidRPr="000B3F7D">
        <w:rPr>
          <w:rFonts w:ascii="Arial" w:hAnsi="Arial" w:cs="Arial"/>
          <w:sz w:val="22"/>
          <w:szCs w:val="22"/>
        </w:rPr>
        <w:t xml:space="preserve"> </w:t>
      </w:r>
      <w:r w:rsidRPr="000B3F7D">
        <w:rPr>
          <w:rFonts w:ascii="Arial" w:hAnsi="Arial" w:cs="Arial"/>
          <w:sz w:val="22"/>
          <w:szCs w:val="22"/>
        </w:rPr>
        <w:t xml:space="preserve"> The majority of LVEF decreases (greater than 60%) were observed during the first nine weeks of treatment, however limited data was available for long term exposure.</w:t>
      </w:r>
    </w:p>
    <w:p w:rsidR="00F6584A" w:rsidRPr="000B3F7D" w:rsidRDefault="00F6584A" w:rsidP="007763C8">
      <w:pPr>
        <w:rPr>
          <w:rFonts w:ascii="Arial" w:hAnsi="Arial" w:cs="Arial"/>
          <w:sz w:val="22"/>
          <w:szCs w:val="22"/>
        </w:rPr>
      </w:pPr>
    </w:p>
    <w:p w:rsidR="00F6584A" w:rsidRPr="000B3F7D" w:rsidRDefault="00F6584A" w:rsidP="007763C8">
      <w:pPr>
        <w:jc w:val="both"/>
        <w:rPr>
          <w:rFonts w:ascii="Arial" w:hAnsi="Arial" w:cs="Arial"/>
          <w:sz w:val="22"/>
          <w:szCs w:val="22"/>
        </w:rPr>
      </w:pPr>
      <w:r w:rsidRPr="000B3F7D">
        <w:rPr>
          <w:rFonts w:ascii="Arial" w:hAnsi="Arial" w:cs="Arial"/>
          <w:sz w:val="22"/>
          <w:szCs w:val="22"/>
        </w:rPr>
        <w:t>Patients were randomized to receive either TYKERB</w:t>
      </w:r>
      <w:r w:rsidRPr="000B3F7D" w:rsidDel="00795648">
        <w:rPr>
          <w:rFonts w:ascii="Arial" w:hAnsi="Arial" w:cs="Arial"/>
          <w:sz w:val="22"/>
          <w:szCs w:val="22"/>
        </w:rPr>
        <w:t xml:space="preserve"> </w:t>
      </w:r>
      <w:r w:rsidRPr="000B3F7D">
        <w:rPr>
          <w:rFonts w:ascii="Arial" w:hAnsi="Arial" w:cs="Arial"/>
          <w:sz w:val="22"/>
          <w:szCs w:val="22"/>
        </w:rPr>
        <w:t>1250 mg once daily (continuously) plus capecitabine (2000 mg/m</w:t>
      </w:r>
      <w:r w:rsidRPr="000B3F7D">
        <w:rPr>
          <w:rFonts w:ascii="Arial" w:hAnsi="Arial" w:cs="Arial"/>
          <w:sz w:val="22"/>
          <w:szCs w:val="22"/>
          <w:vertAlign w:val="superscript"/>
        </w:rPr>
        <w:t>2</w:t>
      </w:r>
      <w:r w:rsidRPr="000B3F7D">
        <w:rPr>
          <w:rFonts w:ascii="Arial" w:hAnsi="Arial" w:cs="Arial"/>
          <w:sz w:val="22"/>
          <w:szCs w:val="22"/>
        </w:rPr>
        <w:t>/day on days 1-14 every 21 days), or to receive capecitabine alone (2500 mg/m</w:t>
      </w:r>
      <w:r w:rsidRPr="000B3F7D">
        <w:rPr>
          <w:rFonts w:ascii="Arial" w:hAnsi="Arial" w:cs="Arial"/>
          <w:sz w:val="22"/>
          <w:szCs w:val="22"/>
          <w:vertAlign w:val="superscript"/>
        </w:rPr>
        <w:t>2</w:t>
      </w:r>
      <w:r w:rsidRPr="000B3F7D">
        <w:rPr>
          <w:rFonts w:ascii="Arial" w:hAnsi="Arial" w:cs="Arial"/>
          <w:sz w:val="22"/>
          <w:szCs w:val="22"/>
        </w:rPr>
        <w:t xml:space="preserve">/day on days 1-14 every 21 days). </w:t>
      </w:r>
      <w:r w:rsidR="00350A73" w:rsidRPr="000B3F7D">
        <w:rPr>
          <w:rFonts w:ascii="Arial" w:hAnsi="Arial" w:cs="Arial"/>
          <w:sz w:val="22"/>
          <w:szCs w:val="22"/>
        </w:rPr>
        <w:t xml:space="preserve"> </w:t>
      </w:r>
      <w:r w:rsidRPr="000B3F7D">
        <w:rPr>
          <w:rFonts w:ascii="Arial" w:hAnsi="Arial" w:cs="Arial"/>
          <w:sz w:val="22"/>
          <w:szCs w:val="22"/>
        </w:rPr>
        <w:t xml:space="preserve">The primary efficacy endpoint was time to tumour progression (TTP) as assessed by an independent review panel.  TTP was defined as the time from randomisation to tumour progression or death related to breast cancer. </w:t>
      </w:r>
    </w:p>
    <w:p w:rsidR="00F6584A" w:rsidRPr="000B3F7D" w:rsidRDefault="00F6584A" w:rsidP="007763C8">
      <w:pPr>
        <w:rPr>
          <w:rFonts w:ascii="Arial" w:hAnsi="Arial" w:cs="Arial"/>
          <w:sz w:val="22"/>
          <w:szCs w:val="22"/>
          <w:u w:val="single"/>
        </w:rPr>
      </w:pPr>
    </w:p>
    <w:p w:rsidR="00F6584A" w:rsidRPr="000B3F7D" w:rsidRDefault="00F6584A" w:rsidP="007763C8">
      <w:pPr>
        <w:jc w:val="both"/>
        <w:rPr>
          <w:rFonts w:ascii="Arial" w:hAnsi="Arial" w:cs="Arial"/>
          <w:sz w:val="22"/>
          <w:szCs w:val="22"/>
        </w:rPr>
      </w:pPr>
      <w:r w:rsidRPr="000B3F7D">
        <w:rPr>
          <w:rFonts w:ascii="Arial" w:hAnsi="Arial" w:cs="Arial"/>
          <w:sz w:val="22"/>
          <w:szCs w:val="22"/>
        </w:rPr>
        <w:t xml:space="preserve">At the data cut-off date for the pre-specified interim analysis </w:t>
      </w:r>
      <w:r w:rsidR="00DD51FE" w:rsidRPr="000B3F7D">
        <w:rPr>
          <w:rFonts w:ascii="Arial" w:hAnsi="Arial" w:cs="Arial"/>
          <w:sz w:val="22"/>
          <w:szCs w:val="22"/>
        </w:rPr>
        <w:t>(November</w:t>
      </w:r>
      <w:r w:rsidRPr="000B3F7D">
        <w:rPr>
          <w:rFonts w:ascii="Arial" w:hAnsi="Arial" w:cs="Arial"/>
          <w:sz w:val="22"/>
          <w:szCs w:val="22"/>
        </w:rPr>
        <w:t xml:space="preserve"> 15, 2005), 324 patients were enrolled (163 in the combination arm, 161 in the monotherapy arm).  The efficacy results showed a statistically significant improvement in TTP (51% reduction in the hazard of disease progression) for patients receiving TYKERB plus capecitabine with a median TTP of </w:t>
      </w:r>
      <w:r w:rsidR="00320E69" w:rsidRPr="000B3F7D">
        <w:rPr>
          <w:rFonts w:ascii="Arial" w:hAnsi="Arial" w:cs="Arial"/>
          <w:sz w:val="22"/>
          <w:szCs w:val="22"/>
        </w:rPr>
        <w:t>8.5 months</w:t>
      </w:r>
      <w:r w:rsidRPr="000B3F7D">
        <w:rPr>
          <w:rFonts w:ascii="Arial" w:hAnsi="Arial" w:cs="Arial"/>
          <w:sz w:val="22"/>
          <w:szCs w:val="22"/>
        </w:rPr>
        <w:t xml:space="preserve"> in the combination arm versus </w:t>
      </w:r>
      <w:r w:rsidR="00320E69" w:rsidRPr="000B3F7D">
        <w:rPr>
          <w:rFonts w:ascii="Arial" w:hAnsi="Arial" w:cs="Arial"/>
          <w:sz w:val="22"/>
          <w:szCs w:val="22"/>
        </w:rPr>
        <w:t>4.5 months</w:t>
      </w:r>
      <w:r w:rsidRPr="000B3F7D">
        <w:rPr>
          <w:rFonts w:ascii="Arial" w:hAnsi="Arial" w:cs="Arial"/>
          <w:sz w:val="22"/>
          <w:szCs w:val="22"/>
        </w:rPr>
        <w:t xml:space="preserve"> in the monotherapy arm (p 0.00008). See Table 1.</w:t>
      </w:r>
    </w:p>
    <w:p w:rsidR="00F471CC" w:rsidRDefault="00F471CC">
      <w:pPr>
        <w:spacing w:line="240" w:lineRule="auto"/>
        <w:rPr>
          <w:rFonts w:ascii="Arial" w:hAnsi="Arial" w:cs="Arial"/>
          <w:b/>
          <w:sz w:val="22"/>
          <w:szCs w:val="22"/>
        </w:rPr>
      </w:pPr>
      <w:r>
        <w:rPr>
          <w:rFonts w:ascii="Arial" w:hAnsi="Arial" w:cs="Arial"/>
          <w:b/>
          <w:sz w:val="22"/>
          <w:szCs w:val="22"/>
        </w:rPr>
        <w:br w:type="page"/>
      </w:r>
    </w:p>
    <w:p w:rsidR="00F6584A" w:rsidRPr="000B3F7D" w:rsidRDefault="00F6584A" w:rsidP="007763C8">
      <w:pPr>
        <w:rPr>
          <w:rFonts w:ascii="Arial" w:hAnsi="Arial" w:cs="Arial"/>
          <w:b/>
          <w:sz w:val="22"/>
          <w:szCs w:val="22"/>
        </w:rPr>
      </w:pPr>
      <w:r w:rsidRPr="000B3F7D">
        <w:rPr>
          <w:rFonts w:ascii="Arial" w:hAnsi="Arial" w:cs="Arial"/>
          <w:b/>
          <w:sz w:val="22"/>
          <w:szCs w:val="22"/>
        </w:rPr>
        <w:t>Table 1: Efficacy results by Independent Review from EGF100151 clinical trial in locally advanced or metastatic breast cancer (Pre-specified Interim analysis)</w:t>
      </w:r>
    </w:p>
    <w:p w:rsidR="00F6584A" w:rsidRPr="000B3F7D" w:rsidRDefault="00F6584A" w:rsidP="007763C8">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39"/>
        <w:gridCol w:w="2639"/>
        <w:gridCol w:w="2639"/>
      </w:tblGrid>
      <w:tr w:rsidR="00F6584A" w:rsidRPr="000B3F7D">
        <w:trPr>
          <w:tblHeader/>
        </w:trPr>
        <w:tc>
          <w:tcPr>
            <w:tcW w:w="2639" w:type="dxa"/>
            <w:tcBorders>
              <w:top w:val="single" w:sz="4" w:space="0" w:color="auto"/>
              <w:left w:val="single" w:sz="4" w:space="0" w:color="auto"/>
              <w:bottom w:val="single" w:sz="4" w:space="0" w:color="auto"/>
              <w:right w:val="single" w:sz="4" w:space="0" w:color="auto"/>
            </w:tcBorders>
          </w:tcPr>
          <w:p w:rsidR="00F6584A" w:rsidRPr="000B3F7D" w:rsidRDefault="00F6584A" w:rsidP="007763C8">
            <w:pPr>
              <w:jc w:val="center"/>
              <w:rPr>
                <w:rFonts w:ascii="Arial" w:hAnsi="Arial" w:cs="Arial"/>
                <w:b/>
                <w:bCs/>
                <w:sz w:val="22"/>
                <w:szCs w:val="22"/>
              </w:rPr>
            </w:pPr>
            <w:r w:rsidRPr="000B3F7D">
              <w:rPr>
                <w:rFonts w:ascii="Arial" w:hAnsi="Arial" w:cs="Arial"/>
                <w:b/>
                <w:bCs/>
                <w:sz w:val="22"/>
                <w:szCs w:val="22"/>
              </w:rPr>
              <w:t>Efficacy Outcome</w:t>
            </w:r>
          </w:p>
        </w:tc>
        <w:tc>
          <w:tcPr>
            <w:tcW w:w="2639" w:type="dxa"/>
            <w:tcBorders>
              <w:top w:val="single" w:sz="4" w:space="0" w:color="auto"/>
              <w:left w:val="single" w:sz="4" w:space="0" w:color="auto"/>
              <w:bottom w:val="single" w:sz="4" w:space="0" w:color="auto"/>
              <w:right w:val="single" w:sz="4" w:space="0" w:color="auto"/>
            </w:tcBorders>
          </w:tcPr>
          <w:p w:rsidR="00F6584A" w:rsidRPr="000B3F7D" w:rsidRDefault="00F6584A" w:rsidP="007763C8">
            <w:pPr>
              <w:jc w:val="center"/>
              <w:rPr>
                <w:rFonts w:ascii="Arial" w:hAnsi="Arial" w:cs="Arial"/>
                <w:b/>
                <w:bCs/>
                <w:sz w:val="22"/>
                <w:szCs w:val="22"/>
              </w:rPr>
            </w:pPr>
            <w:r w:rsidRPr="000B3F7D">
              <w:rPr>
                <w:rFonts w:ascii="Arial" w:hAnsi="Arial" w:cs="Arial"/>
                <w:b/>
                <w:sz w:val="22"/>
                <w:szCs w:val="22"/>
              </w:rPr>
              <w:t>TYKERB</w:t>
            </w:r>
            <w:r w:rsidRPr="000B3F7D">
              <w:rPr>
                <w:rFonts w:ascii="Arial" w:hAnsi="Arial" w:cs="Arial"/>
                <w:b/>
                <w:bCs/>
                <w:sz w:val="22"/>
                <w:szCs w:val="22"/>
              </w:rPr>
              <w:t xml:space="preserve"> plus capecitabine (N=163)</w:t>
            </w:r>
          </w:p>
        </w:tc>
        <w:tc>
          <w:tcPr>
            <w:tcW w:w="2639" w:type="dxa"/>
            <w:tcBorders>
              <w:top w:val="single" w:sz="4" w:space="0" w:color="auto"/>
              <w:left w:val="single" w:sz="4" w:space="0" w:color="auto"/>
              <w:bottom w:val="single" w:sz="4" w:space="0" w:color="auto"/>
              <w:right w:val="single" w:sz="4" w:space="0" w:color="auto"/>
            </w:tcBorders>
          </w:tcPr>
          <w:p w:rsidR="00F6584A" w:rsidRPr="000B3F7D" w:rsidRDefault="00F6584A" w:rsidP="007763C8">
            <w:pPr>
              <w:jc w:val="center"/>
              <w:rPr>
                <w:rFonts w:ascii="Arial" w:hAnsi="Arial" w:cs="Arial"/>
                <w:b/>
                <w:bCs/>
                <w:sz w:val="22"/>
                <w:szCs w:val="22"/>
              </w:rPr>
            </w:pPr>
            <w:r w:rsidRPr="000B3F7D">
              <w:rPr>
                <w:rFonts w:ascii="Arial" w:hAnsi="Arial" w:cs="Arial"/>
                <w:b/>
                <w:bCs/>
                <w:sz w:val="22"/>
                <w:szCs w:val="22"/>
              </w:rPr>
              <w:t>Capecitabine alone (N=161)</w:t>
            </w:r>
          </w:p>
        </w:tc>
      </w:tr>
      <w:tr w:rsidR="00F6584A" w:rsidRPr="000B3F7D">
        <w:tc>
          <w:tcPr>
            <w:tcW w:w="7917" w:type="dxa"/>
            <w:gridSpan w:val="3"/>
            <w:tcBorders>
              <w:top w:val="single" w:sz="4" w:space="0" w:color="auto"/>
              <w:left w:val="single" w:sz="4" w:space="0" w:color="auto"/>
              <w:bottom w:val="single" w:sz="4" w:space="0" w:color="auto"/>
              <w:right w:val="single" w:sz="4" w:space="0" w:color="auto"/>
            </w:tcBorders>
          </w:tcPr>
          <w:p w:rsidR="00F6584A" w:rsidRPr="000B3F7D" w:rsidRDefault="00F6584A" w:rsidP="007763C8">
            <w:pPr>
              <w:rPr>
                <w:rFonts w:ascii="Arial" w:hAnsi="Arial" w:cs="Arial"/>
                <w:sz w:val="22"/>
                <w:szCs w:val="22"/>
              </w:rPr>
            </w:pPr>
            <w:r w:rsidRPr="000B3F7D">
              <w:rPr>
                <w:rFonts w:ascii="Arial" w:hAnsi="Arial" w:cs="Arial"/>
                <w:b/>
                <w:bCs/>
                <w:sz w:val="22"/>
                <w:szCs w:val="22"/>
              </w:rPr>
              <w:t>Time to progression</w:t>
            </w:r>
          </w:p>
        </w:tc>
      </w:tr>
      <w:tr w:rsidR="00F6584A" w:rsidRPr="000B3F7D">
        <w:tc>
          <w:tcPr>
            <w:tcW w:w="2639" w:type="dxa"/>
            <w:tcBorders>
              <w:top w:val="single" w:sz="4" w:space="0" w:color="auto"/>
              <w:left w:val="single" w:sz="4" w:space="0" w:color="auto"/>
              <w:bottom w:val="single" w:sz="4" w:space="0" w:color="auto"/>
              <w:right w:val="single" w:sz="4" w:space="0" w:color="auto"/>
            </w:tcBorders>
          </w:tcPr>
          <w:p w:rsidR="00F6584A" w:rsidRPr="000B3F7D" w:rsidRDefault="00F6584A" w:rsidP="00691484">
            <w:pPr>
              <w:pStyle w:val="listdashnospace"/>
              <w:numPr>
                <w:ilvl w:val="0"/>
                <w:numId w:val="0"/>
              </w:numPr>
              <w:rPr>
                <w:rFonts w:ascii="Arial" w:hAnsi="Arial" w:cs="Arial"/>
                <w:b/>
                <w:sz w:val="22"/>
                <w:szCs w:val="22"/>
              </w:rPr>
            </w:pPr>
            <w:r w:rsidRPr="000B3F7D">
              <w:rPr>
                <w:rFonts w:ascii="Arial" w:hAnsi="Arial" w:cs="Arial"/>
                <w:b/>
                <w:sz w:val="22"/>
                <w:szCs w:val="22"/>
              </w:rPr>
              <w:t>Progressed or died due to breast cancer</w:t>
            </w:r>
          </w:p>
          <w:p w:rsidR="00F6584A" w:rsidRPr="000B3F7D" w:rsidRDefault="00F6584A" w:rsidP="00691484">
            <w:pPr>
              <w:pStyle w:val="ListEnd"/>
              <w:rPr>
                <w:rFonts w:ascii="Arial" w:hAnsi="Arial" w:cs="Arial"/>
                <w:b/>
                <w:sz w:val="22"/>
                <w:szCs w:val="22"/>
              </w:rPr>
            </w:pPr>
          </w:p>
        </w:tc>
        <w:tc>
          <w:tcPr>
            <w:tcW w:w="2639" w:type="dxa"/>
            <w:tcBorders>
              <w:top w:val="single" w:sz="4" w:space="0" w:color="auto"/>
              <w:left w:val="single" w:sz="4" w:space="0" w:color="auto"/>
              <w:bottom w:val="single" w:sz="4" w:space="0" w:color="auto"/>
              <w:right w:val="single" w:sz="4" w:space="0" w:color="auto"/>
            </w:tcBorders>
          </w:tcPr>
          <w:p w:rsidR="00F6584A" w:rsidRPr="000B3F7D" w:rsidRDefault="00F6584A" w:rsidP="007763C8">
            <w:pPr>
              <w:jc w:val="center"/>
              <w:rPr>
                <w:rFonts w:ascii="Arial" w:hAnsi="Arial" w:cs="Arial"/>
                <w:sz w:val="22"/>
                <w:szCs w:val="22"/>
              </w:rPr>
            </w:pPr>
            <w:r w:rsidRPr="000B3F7D">
              <w:rPr>
                <w:rFonts w:ascii="Arial" w:hAnsi="Arial" w:cs="Arial"/>
                <w:sz w:val="22"/>
                <w:szCs w:val="22"/>
              </w:rPr>
              <w:t>30%</w:t>
            </w:r>
          </w:p>
        </w:tc>
        <w:tc>
          <w:tcPr>
            <w:tcW w:w="2639" w:type="dxa"/>
            <w:tcBorders>
              <w:top w:val="single" w:sz="4" w:space="0" w:color="auto"/>
              <w:left w:val="single" w:sz="4" w:space="0" w:color="auto"/>
              <w:bottom w:val="single" w:sz="4" w:space="0" w:color="auto"/>
              <w:right w:val="single" w:sz="4" w:space="0" w:color="auto"/>
            </w:tcBorders>
          </w:tcPr>
          <w:p w:rsidR="00F6584A" w:rsidRPr="000B3F7D" w:rsidRDefault="00F6584A" w:rsidP="007763C8">
            <w:pPr>
              <w:jc w:val="center"/>
              <w:rPr>
                <w:rFonts w:ascii="Arial" w:hAnsi="Arial" w:cs="Arial"/>
                <w:sz w:val="22"/>
                <w:szCs w:val="22"/>
              </w:rPr>
            </w:pPr>
            <w:r w:rsidRPr="000B3F7D">
              <w:rPr>
                <w:rFonts w:ascii="Arial" w:hAnsi="Arial" w:cs="Arial"/>
                <w:sz w:val="22"/>
                <w:szCs w:val="22"/>
              </w:rPr>
              <w:t>45%</w:t>
            </w:r>
          </w:p>
        </w:tc>
      </w:tr>
      <w:tr w:rsidR="00F6584A" w:rsidRPr="000B3F7D">
        <w:tc>
          <w:tcPr>
            <w:tcW w:w="2639" w:type="dxa"/>
            <w:tcBorders>
              <w:top w:val="single" w:sz="4" w:space="0" w:color="auto"/>
              <w:left w:val="single" w:sz="4" w:space="0" w:color="auto"/>
              <w:bottom w:val="single" w:sz="4" w:space="0" w:color="auto"/>
              <w:right w:val="single" w:sz="4" w:space="0" w:color="auto"/>
            </w:tcBorders>
          </w:tcPr>
          <w:p w:rsidR="00F6584A" w:rsidRPr="000B3F7D" w:rsidRDefault="00F6584A" w:rsidP="00691484">
            <w:pPr>
              <w:pStyle w:val="listdashnospace"/>
              <w:numPr>
                <w:ilvl w:val="0"/>
                <w:numId w:val="0"/>
              </w:numPr>
              <w:rPr>
                <w:rFonts w:ascii="Arial" w:hAnsi="Arial" w:cs="Arial"/>
                <w:b/>
                <w:sz w:val="22"/>
                <w:szCs w:val="22"/>
              </w:rPr>
            </w:pPr>
            <w:r w:rsidRPr="000B3F7D">
              <w:rPr>
                <w:rFonts w:ascii="Arial" w:hAnsi="Arial" w:cs="Arial"/>
                <w:b/>
                <w:sz w:val="22"/>
                <w:szCs w:val="22"/>
              </w:rPr>
              <w:t>Median time to progression (</w:t>
            </w:r>
            <w:r w:rsidR="00320E69" w:rsidRPr="000B3F7D">
              <w:rPr>
                <w:rFonts w:ascii="Arial" w:hAnsi="Arial" w:cs="Arial"/>
                <w:b/>
                <w:sz w:val="22"/>
                <w:szCs w:val="22"/>
              </w:rPr>
              <w:t>months</w:t>
            </w:r>
            <w:r w:rsidRPr="000B3F7D">
              <w:rPr>
                <w:rFonts w:ascii="Arial" w:hAnsi="Arial" w:cs="Arial"/>
                <w:b/>
                <w:sz w:val="22"/>
                <w:szCs w:val="22"/>
              </w:rPr>
              <w:t>)</w:t>
            </w:r>
          </w:p>
          <w:p w:rsidR="00F6584A" w:rsidRPr="000B3F7D" w:rsidRDefault="00F6584A" w:rsidP="00691484">
            <w:pPr>
              <w:pStyle w:val="ListEnd"/>
              <w:rPr>
                <w:rFonts w:ascii="Arial" w:hAnsi="Arial" w:cs="Arial"/>
                <w:b/>
                <w:sz w:val="22"/>
                <w:szCs w:val="22"/>
              </w:rPr>
            </w:pPr>
          </w:p>
        </w:tc>
        <w:tc>
          <w:tcPr>
            <w:tcW w:w="2639" w:type="dxa"/>
            <w:tcBorders>
              <w:top w:val="single" w:sz="4" w:space="0" w:color="auto"/>
              <w:left w:val="single" w:sz="4" w:space="0" w:color="auto"/>
              <w:bottom w:val="single" w:sz="4" w:space="0" w:color="auto"/>
              <w:right w:val="single" w:sz="4" w:space="0" w:color="auto"/>
            </w:tcBorders>
          </w:tcPr>
          <w:p w:rsidR="00F6584A" w:rsidRPr="000B3F7D" w:rsidRDefault="00320E69" w:rsidP="007763C8">
            <w:pPr>
              <w:jc w:val="center"/>
              <w:rPr>
                <w:rFonts w:ascii="Arial" w:hAnsi="Arial" w:cs="Arial"/>
                <w:sz w:val="22"/>
                <w:szCs w:val="22"/>
              </w:rPr>
            </w:pPr>
            <w:r w:rsidRPr="000B3F7D">
              <w:rPr>
                <w:rFonts w:ascii="Arial" w:hAnsi="Arial" w:cs="Arial"/>
                <w:sz w:val="22"/>
                <w:szCs w:val="22"/>
              </w:rPr>
              <w:t>8.5</w:t>
            </w:r>
          </w:p>
        </w:tc>
        <w:tc>
          <w:tcPr>
            <w:tcW w:w="2639" w:type="dxa"/>
            <w:tcBorders>
              <w:top w:val="single" w:sz="4" w:space="0" w:color="auto"/>
              <w:left w:val="single" w:sz="4" w:space="0" w:color="auto"/>
              <w:bottom w:val="single" w:sz="4" w:space="0" w:color="auto"/>
              <w:right w:val="single" w:sz="4" w:space="0" w:color="auto"/>
            </w:tcBorders>
          </w:tcPr>
          <w:p w:rsidR="00F6584A" w:rsidRPr="000B3F7D" w:rsidRDefault="00320E69" w:rsidP="007763C8">
            <w:pPr>
              <w:jc w:val="center"/>
              <w:rPr>
                <w:rFonts w:ascii="Arial" w:hAnsi="Arial" w:cs="Arial"/>
                <w:sz w:val="22"/>
                <w:szCs w:val="22"/>
              </w:rPr>
            </w:pPr>
            <w:r w:rsidRPr="000B3F7D">
              <w:rPr>
                <w:rFonts w:ascii="Arial" w:hAnsi="Arial" w:cs="Arial"/>
                <w:sz w:val="22"/>
                <w:szCs w:val="22"/>
              </w:rPr>
              <w:t>4.5</w:t>
            </w:r>
          </w:p>
        </w:tc>
      </w:tr>
      <w:tr w:rsidR="00F6584A" w:rsidRPr="000B3F7D">
        <w:tc>
          <w:tcPr>
            <w:tcW w:w="2639" w:type="dxa"/>
            <w:tcBorders>
              <w:top w:val="single" w:sz="4" w:space="0" w:color="auto"/>
              <w:left w:val="single" w:sz="4" w:space="0" w:color="auto"/>
              <w:bottom w:val="single" w:sz="4" w:space="0" w:color="auto"/>
              <w:right w:val="single" w:sz="4" w:space="0" w:color="auto"/>
            </w:tcBorders>
          </w:tcPr>
          <w:p w:rsidR="00F6584A" w:rsidRPr="000B3F7D" w:rsidRDefault="00F6584A" w:rsidP="00691484">
            <w:pPr>
              <w:pStyle w:val="listdashnospace"/>
              <w:numPr>
                <w:ilvl w:val="0"/>
                <w:numId w:val="0"/>
              </w:numPr>
              <w:rPr>
                <w:rFonts w:ascii="Arial" w:hAnsi="Arial" w:cs="Arial"/>
                <w:b/>
                <w:sz w:val="22"/>
                <w:szCs w:val="22"/>
              </w:rPr>
            </w:pPr>
            <w:r w:rsidRPr="000B3F7D">
              <w:rPr>
                <w:rFonts w:ascii="Arial" w:hAnsi="Arial" w:cs="Arial"/>
                <w:b/>
                <w:sz w:val="22"/>
                <w:szCs w:val="22"/>
              </w:rPr>
              <w:t>Hazard ratio, 95% CI</w:t>
            </w:r>
          </w:p>
          <w:p w:rsidR="00F6584A" w:rsidRPr="00691484" w:rsidRDefault="00F6584A" w:rsidP="00691484">
            <w:pPr>
              <w:pStyle w:val="listdashnospace"/>
              <w:numPr>
                <w:ilvl w:val="0"/>
                <w:numId w:val="0"/>
              </w:numPr>
              <w:rPr>
                <w:rFonts w:ascii="Arial" w:hAnsi="Arial" w:cs="Arial"/>
                <w:b/>
                <w:sz w:val="22"/>
                <w:szCs w:val="22"/>
              </w:rPr>
            </w:pPr>
            <w:r w:rsidRPr="000B3F7D">
              <w:rPr>
                <w:rFonts w:ascii="Arial" w:hAnsi="Arial" w:cs="Arial"/>
                <w:b/>
                <w:sz w:val="22"/>
                <w:szCs w:val="22"/>
              </w:rPr>
              <w:t>(p value)</w:t>
            </w:r>
          </w:p>
        </w:tc>
        <w:tc>
          <w:tcPr>
            <w:tcW w:w="5278" w:type="dxa"/>
            <w:gridSpan w:val="2"/>
            <w:tcBorders>
              <w:top w:val="single" w:sz="4" w:space="0" w:color="auto"/>
              <w:left w:val="single" w:sz="4" w:space="0" w:color="auto"/>
              <w:bottom w:val="single" w:sz="4" w:space="0" w:color="auto"/>
              <w:right w:val="single" w:sz="4" w:space="0" w:color="auto"/>
            </w:tcBorders>
          </w:tcPr>
          <w:p w:rsidR="00F6584A" w:rsidRPr="000B3F7D" w:rsidRDefault="00F6584A" w:rsidP="007763C8">
            <w:pPr>
              <w:jc w:val="center"/>
              <w:rPr>
                <w:rFonts w:ascii="Arial" w:hAnsi="Arial" w:cs="Arial"/>
                <w:sz w:val="22"/>
                <w:szCs w:val="22"/>
              </w:rPr>
            </w:pPr>
            <w:r w:rsidRPr="000B3F7D">
              <w:rPr>
                <w:rFonts w:ascii="Arial" w:hAnsi="Arial" w:cs="Arial"/>
                <w:sz w:val="22"/>
                <w:szCs w:val="22"/>
              </w:rPr>
              <w:t>0.49 (0.34, 0.71)</w:t>
            </w:r>
          </w:p>
          <w:p w:rsidR="00F6584A" w:rsidRPr="000B3F7D" w:rsidRDefault="00F6584A" w:rsidP="00691484">
            <w:pPr>
              <w:spacing w:after="120"/>
              <w:jc w:val="center"/>
              <w:rPr>
                <w:rFonts w:ascii="Arial" w:hAnsi="Arial" w:cs="Arial"/>
                <w:sz w:val="22"/>
                <w:szCs w:val="22"/>
              </w:rPr>
            </w:pPr>
            <w:r w:rsidRPr="000B3F7D">
              <w:rPr>
                <w:rFonts w:ascii="Arial" w:hAnsi="Arial" w:cs="Arial"/>
                <w:sz w:val="22"/>
                <w:szCs w:val="22"/>
              </w:rPr>
              <w:t>0.00008</w:t>
            </w:r>
          </w:p>
        </w:tc>
      </w:tr>
    </w:tbl>
    <w:p w:rsidR="00F6584A" w:rsidRPr="000B3F7D" w:rsidRDefault="00F6584A" w:rsidP="007763C8">
      <w:pPr>
        <w:pStyle w:val="Text"/>
        <w:spacing w:after="0"/>
        <w:rPr>
          <w:rFonts w:ascii="Arial" w:hAnsi="Arial" w:cs="Arial"/>
          <w:sz w:val="22"/>
          <w:szCs w:val="22"/>
        </w:rPr>
      </w:pPr>
    </w:p>
    <w:p w:rsidR="00F6584A" w:rsidRPr="000B3F7D" w:rsidRDefault="00F6584A" w:rsidP="007763C8">
      <w:pPr>
        <w:pStyle w:val="Text"/>
        <w:spacing w:after="0"/>
        <w:rPr>
          <w:rFonts w:ascii="Arial" w:hAnsi="Arial" w:cs="Arial"/>
          <w:sz w:val="22"/>
          <w:szCs w:val="22"/>
        </w:rPr>
      </w:pPr>
      <w:r w:rsidRPr="000B3F7D">
        <w:rPr>
          <w:rFonts w:ascii="Arial" w:hAnsi="Arial" w:cs="Arial"/>
          <w:sz w:val="22"/>
          <w:szCs w:val="22"/>
        </w:rPr>
        <w:t>The TTP data are represented graphically in Figure 1.</w:t>
      </w:r>
    </w:p>
    <w:p w:rsidR="00071C3E" w:rsidRPr="000B3F7D" w:rsidRDefault="00071C3E" w:rsidP="007763C8">
      <w:pPr>
        <w:pStyle w:val="Text"/>
        <w:spacing w:after="0"/>
        <w:rPr>
          <w:rFonts w:ascii="Arial" w:hAnsi="Arial" w:cs="Arial"/>
          <w:b/>
          <w:sz w:val="22"/>
          <w:szCs w:val="22"/>
        </w:rPr>
      </w:pPr>
    </w:p>
    <w:p w:rsidR="00F6584A" w:rsidRPr="000B3F7D" w:rsidRDefault="00F6584A" w:rsidP="007763C8">
      <w:pPr>
        <w:pStyle w:val="Text"/>
        <w:spacing w:after="0"/>
        <w:rPr>
          <w:rFonts w:ascii="Arial" w:hAnsi="Arial" w:cs="Arial"/>
          <w:b/>
          <w:sz w:val="22"/>
          <w:szCs w:val="22"/>
        </w:rPr>
      </w:pPr>
      <w:r w:rsidRPr="000B3F7D">
        <w:rPr>
          <w:rFonts w:ascii="Arial" w:hAnsi="Arial" w:cs="Arial"/>
          <w:b/>
          <w:sz w:val="22"/>
          <w:szCs w:val="22"/>
        </w:rPr>
        <w:t>Figure 1: Kaplan-Meier Estimates of Time to Progression (</w:t>
      </w:r>
      <w:smartTag w:uri="urn:schemas-microsoft-com:office:smarttags" w:element="stockticker">
        <w:r w:rsidRPr="000B3F7D">
          <w:rPr>
            <w:rFonts w:ascii="Arial" w:hAnsi="Arial" w:cs="Arial"/>
            <w:b/>
            <w:sz w:val="22"/>
            <w:szCs w:val="22"/>
          </w:rPr>
          <w:t>TTP</w:t>
        </w:r>
      </w:smartTag>
      <w:r w:rsidRPr="000B3F7D">
        <w:rPr>
          <w:rFonts w:ascii="Arial" w:hAnsi="Arial" w:cs="Arial"/>
          <w:b/>
          <w:sz w:val="22"/>
          <w:szCs w:val="22"/>
        </w:rPr>
        <w:t>) by Independent review: TYKERB + capecitabine v capecitabine (Study EGF100151, pre-specified</w:t>
      </w:r>
      <w:r w:rsidRPr="000B3F7D">
        <w:rPr>
          <w:rFonts w:ascii="Arial" w:hAnsi="Arial" w:cs="Arial"/>
          <w:b/>
          <w:i/>
          <w:sz w:val="22"/>
          <w:szCs w:val="22"/>
        </w:rPr>
        <w:t xml:space="preserve"> </w:t>
      </w:r>
      <w:r w:rsidRPr="000B3F7D">
        <w:rPr>
          <w:rFonts w:ascii="Arial" w:hAnsi="Arial" w:cs="Arial"/>
          <w:b/>
          <w:sz w:val="22"/>
          <w:szCs w:val="22"/>
        </w:rPr>
        <w:t>interim analysis)</w:t>
      </w:r>
    </w:p>
    <w:p w:rsidR="00F6584A" w:rsidRPr="000B3F7D" w:rsidRDefault="00792117" w:rsidP="007763C8">
      <w:pPr>
        <w:pStyle w:val="Text"/>
        <w:spacing w:after="0"/>
        <w:rPr>
          <w:rFonts w:ascii="Arial" w:hAnsi="Arial" w:cs="Arial"/>
          <w:sz w:val="22"/>
          <w:szCs w:val="22"/>
        </w:rPr>
      </w:pPr>
      <w:r>
        <w:rPr>
          <w:rFonts w:ascii="Arial" w:hAnsi="Arial" w:cs="Arial"/>
          <w:noProof/>
          <w:sz w:val="22"/>
          <w:szCs w:val="22"/>
          <w:lang w:val="en-AU"/>
        </w:rPr>
        <w:drawing>
          <wp:inline distT="0" distB="0" distL="0" distR="0">
            <wp:extent cx="5734050" cy="29241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34050" cy="2924175"/>
                    </a:xfrm>
                    <a:prstGeom prst="rect">
                      <a:avLst/>
                    </a:prstGeom>
                    <a:noFill/>
                    <a:ln w="9525">
                      <a:noFill/>
                      <a:miter lim="800000"/>
                      <a:headEnd/>
                      <a:tailEnd/>
                    </a:ln>
                  </pic:spPr>
                </pic:pic>
              </a:graphicData>
            </a:graphic>
          </wp:inline>
        </w:drawing>
      </w:r>
    </w:p>
    <w:p w:rsidR="00903304" w:rsidRPr="000B3F7D" w:rsidRDefault="00903304" w:rsidP="007763C8">
      <w:pPr>
        <w:pStyle w:val="Text"/>
        <w:spacing w:after="0"/>
        <w:rPr>
          <w:rFonts w:ascii="Arial" w:hAnsi="Arial" w:cs="Arial"/>
          <w:sz w:val="22"/>
          <w:szCs w:val="22"/>
          <w:u w:val="single"/>
        </w:rPr>
      </w:pPr>
    </w:p>
    <w:p w:rsidR="00F6584A" w:rsidRPr="000B3F7D" w:rsidRDefault="00F6584A" w:rsidP="007763C8">
      <w:pPr>
        <w:pStyle w:val="Text"/>
        <w:spacing w:after="0"/>
        <w:jc w:val="both"/>
        <w:rPr>
          <w:rFonts w:ascii="Arial" w:hAnsi="Arial" w:cs="Arial"/>
          <w:sz w:val="22"/>
          <w:szCs w:val="22"/>
        </w:rPr>
      </w:pPr>
      <w:r w:rsidRPr="000B3F7D">
        <w:rPr>
          <w:rFonts w:ascii="Arial" w:hAnsi="Arial" w:cs="Arial"/>
          <w:sz w:val="22"/>
          <w:szCs w:val="22"/>
        </w:rPr>
        <w:t xml:space="preserve">Progression-free survival (PFS) is defined as time from randomisation until disease progression or death due to any cause. </w:t>
      </w:r>
      <w:r w:rsidR="001D72CC" w:rsidRPr="000B3F7D">
        <w:rPr>
          <w:rFonts w:ascii="Arial" w:hAnsi="Arial" w:cs="Arial"/>
          <w:sz w:val="22"/>
          <w:szCs w:val="22"/>
        </w:rPr>
        <w:t xml:space="preserve"> </w:t>
      </w:r>
      <w:r w:rsidRPr="000B3F7D">
        <w:rPr>
          <w:rFonts w:ascii="Arial" w:hAnsi="Arial" w:cs="Arial"/>
          <w:sz w:val="22"/>
          <w:szCs w:val="22"/>
        </w:rPr>
        <w:t>At the interim analysis, TYKERB, when given in combination with capecitabine significantly prolonged PFS compared to capecitabine alone (</w:t>
      </w:r>
      <w:r w:rsidR="00320E69" w:rsidRPr="000B3F7D">
        <w:rPr>
          <w:rFonts w:ascii="Arial" w:hAnsi="Arial" w:cs="Arial"/>
          <w:sz w:val="22"/>
          <w:szCs w:val="22"/>
        </w:rPr>
        <w:t>8.5 months</w:t>
      </w:r>
      <w:r w:rsidRPr="000B3F7D">
        <w:rPr>
          <w:rFonts w:ascii="Arial" w:hAnsi="Arial" w:cs="Arial"/>
          <w:sz w:val="22"/>
          <w:szCs w:val="22"/>
        </w:rPr>
        <w:t xml:space="preserve"> v </w:t>
      </w:r>
      <w:r w:rsidR="00320E69" w:rsidRPr="000B3F7D">
        <w:rPr>
          <w:rFonts w:ascii="Arial" w:hAnsi="Arial" w:cs="Arial"/>
          <w:sz w:val="22"/>
          <w:szCs w:val="22"/>
        </w:rPr>
        <w:t>4.1 months</w:t>
      </w:r>
      <w:r w:rsidRPr="000B3F7D">
        <w:rPr>
          <w:rFonts w:ascii="Arial" w:hAnsi="Arial" w:cs="Arial"/>
          <w:sz w:val="22"/>
          <w:szCs w:val="22"/>
        </w:rPr>
        <w:t xml:space="preserve">, p=0.000023).    </w:t>
      </w:r>
    </w:p>
    <w:p w:rsidR="0005438A" w:rsidRPr="000B3F7D" w:rsidRDefault="0005438A" w:rsidP="007763C8">
      <w:pPr>
        <w:pStyle w:val="Text"/>
        <w:spacing w:after="0"/>
        <w:rPr>
          <w:rFonts w:ascii="Arial" w:hAnsi="Arial" w:cs="Arial"/>
          <w:sz w:val="22"/>
          <w:szCs w:val="22"/>
        </w:rPr>
      </w:pPr>
    </w:p>
    <w:p w:rsidR="00F6584A" w:rsidRPr="000B3F7D" w:rsidRDefault="00F6584A" w:rsidP="007763C8">
      <w:pPr>
        <w:pStyle w:val="Text"/>
        <w:spacing w:after="0"/>
        <w:jc w:val="both"/>
        <w:rPr>
          <w:rFonts w:ascii="Arial" w:hAnsi="Arial" w:cs="Arial"/>
          <w:sz w:val="22"/>
          <w:szCs w:val="22"/>
        </w:rPr>
      </w:pPr>
      <w:r w:rsidRPr="000B3F7D">
        <w:rPr>
          <w:rFonts w:ascii="Arial" w:hAnsi="Arial" w:cs="Arial"/>
          <w:sz w:val="22"/>
          <w:szCs w:val="22"/>
        </w:rPr>
        <w:t>The response rate (complete or partial response) independently assessed was 22% in the TYKERB plus capecitabine group compared with 14% in the capecitabine group (p = 0.091); similar results were observed for the clinical benefit response rate (complete response + partial response + stable disease for at least 6 months), which was 27% vs 18% (p=0.069) in the combination versus the monotherapy arm, respectively.</w:t>
      </w:r>
    </w:p>
    <w:p w:rsidR="00F6584A" w:rsidRPr="000B3F7D" w:rsidRDefault="00F6584A" w:rsidP="007763C8">
      <w:pPr>
        <w:pStyle w:val="Text"/>
        <w:spacing w:after="0"/>
        <w:rPr>
          <w:rFonts w:ascii="Arial" w:hAnsi="Arial" w:cs="Arial"/>
          <w:sz w:val="22"/>
          <w:szCs w:val="22"/>
        </w:rPr>
      </w:pPr>
    </w:p>
    <w:p w:rsidR="00F6584A" w:rsidRPr="000B3F7D" w:rsidRDefault="00F6584A" w:rsidP="007763C8">
      <w:pPr>
        <w:pStyle w:val="Text"/>
        <w:spacing w:after="0"/>
        <w:jc w:val="both"/>
        <w:rPr>
          <w:rFonts w:ascii="Arial" w:hAnsi="Arial" w:cs="Arial"/>
          <w:sz w:val="22"/>
          <w:szCs w:val="22"/>
          <w:u w:val="single"/>
        </w:rPr>
      </w:pPr>
      <w:r w:rsidRPr="000B3F7D">
        <w:rPr>
          <w:rFonts w:ascii="Arial" w:hAnsi="Arial" w:cs="Arial"/>
          <w:sz w:val="22"/>
          <w:szCs w:val="22"/>
        </w:rPr>
        <w:t>At the time of interim analysis, the survival data were not sufficiently mature to detect a difference in overall survival between the treatment groups, 36 subjects (22%) in the TYKERB</w:t>
      </w:r>
      <w:r w:rsidRPr="000B3F7D">
        <w:rPr>
          <w:rFonts w:ascii="Arial" w:hAnsi="Arial" w:cs="Arial"/>
          <w:sz w:val="22"/>
          <w:szCs w:val="22"/>
          <w:vertAlign w:val="superscript"/>
        </w:rPr>
        <w:t xml:space="preserve"> </w:t>
      </w:r>
      <w:r w:rsidRPr="000B3F7D">
        <w:rPr>
          <w:rFonts w:ascii="Arial" w:hAnsi="Arial" w:cs="Arial"/>
          <w:sz w:val="22"/>
          <w:szCs w:val="22"/>
        </w:rPr>
        <w:t>plus capecitabine group and 35 subjects (22%) in the capecitabine group had died.  An exploratory analysis of patients with central nervous system (CNS) metastases showed four (2%) patients in the combination-therapy group had symptomatic CNS progression as part of their first progression event as compared to 11 (7%) patients in the monotherapy group (p=0.068).</w:t>
      </w:r>
    </w:p>
    <w:p w:rsidR="00F6584A" w:rsidRPr="000B3F7D" w:rsidRDefault="00F6584A" w:rsidP="007763C8">
      <w:pPr>
        <w:pStyle w:val="Text"/>
        <w:spacing w:after="0"/>
        <w:rPr>
          <w:rFonts w:ascii="Arial" w:hAnsi="Arial" w:cs="Arial"/>
          <w:sz w:val="22"/>
          <w:szCs w:val="22"/>
        </w:rPr>
      </w:pPr>
    </w:p>
    <w:p w:rsidR="00F6584A" w:rsidRPr="000B3F7D" w:rsidRDefault="00F6584A" w:rsidP="007763C8">
      <w:pPr>
        <w:jc w:val="both"/>
        <w:rPr>
          <w:rFonts w:ascii="Arial" w:hAnsi="Arial" w:cs="Arial"/>
          <w:sz w:val="22"/>
          <w:szCs w:val="22"/>
        </w:rPr>
      </w:pPr>
      <w:r w:rsidRPr="000B3F7D">
        <w:rPr>
          <w:rFonts w:ascii="Arial" w:hAnsi="Arial" w:cs="Arial"/>
          <w:sz w:val="22"/>
          <w:szCs w:val="22"/>
        </w:rPr>
        <w:t xml:space="preserve">An independent data monitoring committee (IDMC) initially reviewed the results of the interim analysis (which included data from 321 of the 324 patients), and recommended that further enrolment into the study </w:t>
      </w:r>
      <w:r w:rsidR="00C12C9C">
        <w:rPr>
          <w:rFonts w:ascii="Arial" w:hAnsi="Arial" w:cs="Arial"/>
          <w:sz w:val="22"/>
          <w:szCs w:val="22"/>
        </w:rPr>
        <w:t>be</w:t>
      </w:r>
      <w:r w:rsidR="00C12C9C" w:rsidRPr="000B3F7D">
        <w:rPr>
          <w:rFonts w:ascii="Arial" w:hAnsi="Arial" w:cs="Arial"/>
          <w:sz w:val="22"/>
          <w:szCs w:val="22"/>
        </w:rPr>
        <w:t xml:space="preserve"> </w:t>
      </w:r>
      <w:r w:rsidRPr="000B3F7D">
        <w:rPr>
          <w:rFonts w:ascii="Arial" w:hAnsi="Arial" w:cs="Arial"/>
          <w:sz w:val="22"/>
          <w:szCs w:val="22"/>
        </w:rPr>
        <w:t xml:space="preserve">halted due to a statistically significant and clinically relevant increase in TTP for the combination of TYKERB and capecitabine over capecitabine alone, which crossed a pre-defined statistical stopping boundary for superiority. </w:t>
      </w:r>
      <w:r w:rsidR="00350A73" w:rsidRPr="000B3F7D">
        <w:rPr>
          <w:rFonts w:ascii="Arial" w:hAnsi="Arial" w:cs="Arial"/>
          <w:sz w:val="22"/>
          <w:szCs w:val="22"/>
        </w:rPr>
        <w:t xml:space="preserve"> </w:t>
      </w:r>
      <w:r w:rsidRPr="000B3F7D">
        <w:rPr>
          <w:rFonts w:ascii="Arial" w:hAnsi="Arial" w:cs="Arial"/>
          <w:sz w:val="22"/>
          <w:szCs w:val="22"/>
        </w:rPr>
        <w:t>At the time enrolment was halted (April 03, 2006), a total of 399 patients had been randomised to study treatment.</w:t>
      </w:r>
    </w:p>
    <w:p w:rsidR="00F6584A" w:rsidRPr="000B3F7D" w:rsidRDefault="00F6584A" w:rsidP="007763C8">
      <w:pPr>
        <w:spacing w:line="240" w:lineRule="atLeast"/>
        <w:rPr>
          <w:rFonts w:ascii="Arial" w:hAnsi="Arial" w:cs="Arial"/>
          <w:i/>
          <w:sz w:val="22"/>
          <w:szCs w:val="22"/>
          <w:u w:val="single"/>
        </w:rPr>
      </w:pPr>
    </w:p>
    <w:p w:rsidR="00F6584A" w:rsidRDefault="00F6584A" w:rsidP="004F292D">
      <w:pPr>
        <w:pStyle w:val="Text"/>
        <w:spacing w:after="0"/>
        <w:jc w:val="both"/>
        <w:rPr>
          <w:rFonts w:ascii="Arial" w:hAnsi="Arial" w:cs="Arial"/>
          <w:sz w:val="22"/>
          <w:szCs w:val="22"/>
        </w:rPr>
      </w:pPr>
      <w:r w:rsidRPr="000B3F7D">
        <w:rPr>
          <w:rFonts w:ascii="Arial" w:hAnsi="Arial" w:cs="Arial"/>
          <w:sz w:val="22"/>
          <w:szCs w:val="22"/>
          <w:lang w:val="en-US"/>
        </w:rPr>
        <w:t>A subsequent updated analysis was conducted with a data cut-off of April 03, 2006 when enrollment was halted.  An additional 75 subjects had been enrolled into the study between the interim analysis clinical cut-off date and halting enrollment into the study (n=198 combination arm vs n= 201 control arm).  This analysis revealed maintenance of a highly statistically significant improvement in TTP</w:t>
      </w:r>
      <w:r w:rsidR="0005438A" w:rsidRPr="000B3F7D">
        <w:rPr>
          <w:rFonts w:ascii="Arial" w:hAnsi="Arial" w:cs="Arial"/>
          <w:i/>
          <w:sz w:val="22"/>
          <w:szCs w:val="22"/>
          <w:lang w:val="en-US"/>
        </w:rPr>
        <w:t xml:space="preserve"> </w:t>
      </w:r>
      <w:r w:rsidRPr="000B3F7D">
        <w:rPr>
          <w:rFonts w:ascii="Arial" w:hAnsi="Arial" w:cs="Arial"/>
          <w:sz w:val="22"/>
          <w:szCs w:val="22"/>
          <w:lang w:val="en-US"/>
        </w:rPr>
        <w:t>for subjects enrolled in the combination arm conferring a 43% reduction in hazard of disease progression</w:t>
      </w:r>
      <w:r w:rsidR="00606C95" w:rsidRPr="000B3F7D">
        <w:rPr>
          <w:rFonts w:ascii="Arial" w:hAnsi="Arial" w:cs="Arial"/>
          <w:sz w:val="22"/>
          <w:szCs w:val="22"/>
          <w:lang w:val="en-US"/>
        </w:rPr>
        <w:t xml:space="preserve"> (p=0.00013)</w:t>
      </w:r>
      <w:r w:rsidRPr="000B3F7D">
        <w:rPr>
          <w:rFonts w:ascii="Arial" w:hAnsi="Arial" w:cs="Arial"/>
          <w:sz w:val="22"/>
          <w:szCs w:val="22"/>
          <w:lang w:val="en-US"/>
        </w:rPr>
        <w:t xml:space="preserve">. </w:t>
      </w:r>
      <w:r w:rsidR="00350A73" w:rsidRPr="000B3F7D">
        <w:rPr>
          <w:rFonts w:ascii="Arial" w:hAnsi="Arial" w:cs="Arial"/>
          <w:sz w:val="22"/>
          <w:szCs w:val="22"/>
          <w:lang w:val="en-US"/>
        </w:rPr>
        <w:t xml:space="preserve"> </w:t>
      </w:r>
      <w:r w:rsidRPr="000B3F7D">
        <w:rPr>
          <w:rFonts w:ascii="Arial" w:hAnsi="Arial" w:cs="Arial"/>
          <w:sz w:val="22"/>
          <w:szCs w:val="22"/>
          <w:lang w:val="en-US"/>
        </w:rPr>
        <w:t xml:space="preserve">The median TTP by independent review for the combination arm versus the control arm was </w:t>
      </w:r>
      <w:r w:rsidR="00320E69" w:rsidRPr="000B3F7D">
        <w:rPr>
          <w:rFonts w:ascii="Arial" w:hAnsi="Arial" w:cs="Arial"/>
          <w:sz w:val="22"/>
          <w:szCs w:val="22"/>
          <w:lang w:val="en-US"/>
        </w:rPr>
        <w:t>6.3</w:t>
      </w:r>
      <w:r w:rsidRPr="000B3F7D">
        <w:rPr>
          <w:rFonts w:ascii="Arial" w:hAnsi="Arial" w:cs="Arial"/>
          <w:sz w:val="22"/>
          <w:szCs w:val="22"/>
          <w:lang w:val="en-US"/>
        </w:rPr>
        <w:t xml:space="preserve"> versus </w:t>
      </w:r>
      <w:r w:rsidR="00320E69" w:rsidRPr="000B3F7D">
        <w:rPr>
          <w:rFonts w:ascii="Arial" w:hAnsi="Arial" w:cs="Arial"/>
          <w:sz w:val="22"/>
          <w:szCs w:val="22"/>
          <w:lang w:val="en-US"/>
        </w:rPr>
        <w:t>4.3 months</w:t>
      </w:r>
      <w:r w:rsidRPr="000B3F7D">
        <w:rPr>
          <w:rFonts w:ascii="Arial" w:hAnsi="Arial" w:cs="Arial"/>
          <w:sz w:val="22"/>
          <w:szCs w:val="22"/>
          <w:lang w:val="en-US"/>
        </w:rPr>
        <w:t xml:space="preserve"> respectively.</w:t>
      </w:r>
    </w:p>
    <w:p w:rsidR="00793106" w:rsidRDefault="00793106" w:rsidP="004F292D">
      <w:pPr>
        <w:pStyle w:val="Text"/>
        <w:spacing w:after="0"/>
        <w:jc w:val="both"/>
        <w:rPr>
          <w:rFonts w:ascii="Arial" w:hAnsi="Arial" w:cs="Arial"/>
          <w:sz w:val="22"/>
          <w:szCs w:val="22"/>
        </w:rPr>
      </w:pPr>
    </w:p>
    <w:p w:rsidR="00793106" w:rsidRDefault="00793106" w:rsidP="00793106">
      <w:pPr>
        <w:jc w:val="both"/>
        <w:rPr>
          <w:rFonts w:ascii="Arial" w:hAnsi="Arial" w:cs="Arial"/>
          <w:bCs/>
          <w:sz w:val="22"/>
          <w:szCs w:val="22"/>
        </w:rPr>
      </w:pPr>
      <w:r w:rsidRPr="002B1C7F">
        <w:rPr>
          <w:rFonts w:ascii="Arial" w:hAnsi="Arial" w:cs="Arial"/>
          <w:bCs/>
          <w:sz w:val="22"/>
          <w:szCs w:val="22"/>
        </w:rPr>
        <w:t>The overall response rate, as assessed by an independent review panel was 23.7% for patients receiving lapatinib plus capecitabine and 13.9% for patients receiving capecitabine</w:t>
      </w:r>
      <w:r w:rsidRPr="00B16DA8">
        <w:rPr>
          <w:rFonts w:ascii="Arial" w:hAnsi="Arial" w:cs="Arial"/>
          <w:sz w:val="22"/>
          <w:szCs w:val="22"/>
          <w:lang w:val="en-US"/>
        </w:rPr>
        <w:t xml:space="preserve"> </w:t>
      </w:r>
      <w:r w:rsidRPr="002B1C7F">
        <w:rPr>
          <w:rFonts w:ascii="Arial" w:hAnsi="Arial" w:cs="Arial"/>
          <w:sz w:val="22"/>
          <w:szCs w:val="22"/>
          <w:lang w:val="en-US"/>
        </w:rPr>
        <w:t>(p=0.0</w:t>
      </w:r>
      <w:r>
        <w:rPr>
          <w:rFonts w:ascii="Arial" w:hAnsi="Arial" w:cs="Arial"/>
          <w:sz w:val="22"/>
          <w:szCs w:val="22"/>
          <w:lang w:val="en-US"/>
        </w:rPr>
        <w:t>17)</w:t>
      </w:r>
      <w:r w:rsidRPr="002B1C7F">
        <w:rPr>
          <w:rFonts w:ascii="Arial" w:hAnsi="Arial" w:cs="Arial"/>
          <w:bCs/>
          <w:sz w:val="22"/>
          <w:szCs w:val="22"/>
        </w:rPr>
        <w:t xml:space="preserve">.  Median duration of response was </w:t>
      </w:r>
      <w:r>
        <w:rPr>
          <w:rFonts w:ascii="Arial" w:hAnsi="Arial" w:cs="Arial"/>
          <w:bCs/>
          <w:sz w:val="22"/>
          <w:szCs w:val="22"/>
        </w:rPr>
        <w:t xml:space="preserve">7.4 months </w:t>
      </w:r>
      <w:r w:rsidRPr="002B1C7F">
        <w:rPr>
          <w:rFonts w:ascii="Arial" w:hAnsi="Arial" w:cs="Arial"/>
          <w:bCs/>
          <w:sz w:val="22"/>
          <w:szCs w:val="22"/>
        </w:rPr>
        <w:t xml:space="preserve">and </w:t>
      </w:r>
      <w:r>
        <w:rPr>
          <w:rFonts w:ascii="Arial" w:hAnsi="Arial" w:cs="Arial"/>
          <w:bCs/>
          <w:sz w:val="22"/>
          <w:szCs w:val="22"/>
        </w:rPr>
        <w:t>7 months</w:t>
      </w:r>
      <w:r w:rsidRPr="002B1C7F">
        <w:rPr>
          <w:rFonts w:ascii="Arial" w:hAnsi="Arial" w:cs="Arial"/>
          <w:bCs/>
          <w:sz w:val="22"/>
          <w:szCs w:val="22"/>
        </w:rPr>
        <w:t xml:space="preserve"> respectively.</w:t>
      </w:r>
    </w:p>
    <w:p w:rsidR="00793106" w:rsidRPr="002B1C7F" w:rsidRDefault="00793106" w:rsidP="00793106">
      <w:pPr>
        <w:rPr>
          <w:rFonts w:ascii="Arial" w:hAnsi="Arial" w:cs="Arial"/>
          <w:bCs/>
          <w:sz w:val="22"/>
          <w:szCs w:val="22"/>
        </w:rPr>
      </w:pPr>
    </w:p>
    <w:p w:rsidR="00793106" w:rsidRPr="002B1C7F" w:rsidRDefault="00793106" w:rsidP="00793106">
      <w:pPr>
        <w:jc w:val="both"/>
        <w:rPr>
          <w:rFonts w:ascii="Arial" w:hAnsi="Arial" w:cs="Arial"/>
          <w:sz w:val="22"/>
          <w:szCs w:val="22"/>
        </w:rPr>
      </w:pPr>
      <w:r w:rsidRPr="002B1C7F">
        <w:rPr>
          <w:rFonts w:ascii="Arial" w:hAnsi="Arial" w:cs="Arial"/>
          <w:sz w:val="22"/>
          <w:szCs w:val="22"/>
        </w:rPr>
        <w:t>On the combination arm, there were 4 (2%) progressions in the central nervous system as compared with the 13 (6%) progressions on the capecitabine alone arm, as assessed by an independent review panel</w:t>
      </w:r>
      <w:r>
        <w:rPr>
          <w:rFonts w:ascii="Arial" w:hAnsi="Arial" w:cs="Arial"/>
          <w:sz w:val="22"/>
          <w:szCs w:val="22"/>
        </w:rPr>
        <w:t xml:space="preserve"> (p=0.045)</w:t>
      </w:r>
      <w:r w:rsidRPr="002B1C7F">
        <w:rPr>
          <w:rFonts w:ascii="Arial" w:hAnsi="Arial" w:cs="Arial"/>
          <w:sz w:val="22"/>
          <w:szCs w:val="22"/>
        </w:rPr>
        <w:t>.</w:t>
      </w:r>
    </w:p>
    <w:p w:rsidR="00793106" w:rsidRPr="002B1C7F" w:rsidRDefault="00793106" w:rsidP="00793106">
      <w:pPr>
        <w:rPr>
          <w:rFonts w:ascii="Arial" w:hAnsi="Arial" w:cs="Arial"/>
          <w:sz w:val="22"/>
          <w:szCs w:val="22"/>
        </w:rPr>
      </w:pPr>
    </w:p>
    <w:p w:rsidR="00793106" w:rsidRDefault="00793106" w:rsidP="00793106">
      <w:pPr>
        <w:jc w:val="both"/>
        <w:rPr>
          <w:rFonts w:ascii="Arial" w:hAnsi="Arial" w:cs="Arial"/>
          <w:sz w:val="22"/>
          <w:szCs w:val="22"/>
        </w:rPr>
      </w:pPr>
      <w:r w:rsidRPr="002B1C7F">
        <w:rPr>
          <w:rFonts w:ascii="Arial" w:hAnsi="Arial" w:cs="Arial"/>
          <w:sz w:val="22"/>
          <w:szCs w:val="22"/>
        </w:rPr>
        <w:t>At the time enrolment was halted to EGF100151 (03 April 2006), 399 patients were randomised to study therapy and 9 other patients were being screened.  All 9 patients in screening, and all those already receiving capecitabine monotherapy, were offered combination treatment. In total, 207 patients were assigned to the combination therapy and 201 patients were assigned to capecitabine monotherapy.</w:t>
      </w:r>
    </w:p>
    <w:p w:rsidR="00793106" w:rsidRPr="002B1C7F" w:rsidRDefault="00793106" w:rsidP="00793106">
      <w:pPr>
        <w:jc w:val="both"/>
        <w:rPr>
          <w:rFonts w:ascii="Arial" w:hAnsi="Arial" w:cs="Arial"/>
          <w:sz w:val="22"/>
          <w:szCs w:val="22"/>
        </w:rPr>
      </w:pPr>
    </w:p>
    <w:p w:rsidR="00793106" w:rsidRPr="002B1C7F" w:rsidRDefault="00793106" w:rsidP="00793106">
      <w:pPr>
        <w:jc w:val="both"/>
        <w:rPr>
          <w:rFonts w:ascii="Arial" w:hAnsi="Arial" w:cs="Arial"/>
          <w:sz w:val="22"/>
          <w:szCs w:val="22"/>
        </w:rPr>
      </w:pPr>
      <w:r w:rsidRPr="002B1C7F">
        <w:rPr>
          <w:rFonts w:ascii="Arial" w:hAnsi="Arial" w:cs="Arial"/>
          <w:sz w:val="22"/>
          <w:szCs w:val="22"/>
        </w:rPr>
        <w:t>An analysis of survival data to 01 October 2008 is summarised in Table </w:t>
      </w:r>
      <w:r>
        <w:rPr>
          <w:rFonts w:ascii="Arial" w:hAnsi="Arial" w:cs="Arial"/>
          <w:sz w:val="22"/>
          <w:szCs w:val="22"/>
        </w:rPr>
        <w:t>2</w:t>
      </w:r>
      <w:r w:rsidRPr="002B1C7F">
        <w:rPr>
          <w:rFonts w:ascii="Arial" w:hAnsi="Arial" w:cs="Arial"/>
          <w:sz w:val="22"/>
          <w:szCs w:val="22"/>
        </w:rPr>
        <w:t>.</w:t>
      </w:r>
    </w:p>
    <w:p w:rsidR="001316C4" w:rsidRDefault="001316C4">
      <w:pPr>
        <w:spacing w:line="240" w:lineRule="auto"/>
        <w:rPr>
          <w:rFonts w:ascii="Arial" w:hAnsi="Arial" w:cs="Arial"/>
          <w:sz w:val="22"/>
          <w:szCs w:val="22"/>
        </w:rPr>
      </w:pPr>
      <w:r>
        <w:rPr>
          <w:rFonts w:ascii="Arial" w:hAnsi="Arial" w:cs="Arial"/>
          <w:sz w:val="22"/>
          <w:szCs w:val="22"/>
        </w:rPr>
        <w:br w:type="page"/>
      </w:r>
    </w:p>
    <w:p w:rsidR="00793106" w:rsidRPr="002B1C7F" w:rsidRDefault="00793106" w:rsidP="00793106">
      <w:pPr>
        <w:rPr>
          <w:rFonts w:ascii="Arial" w:hAnsi="Arial" w:cs="Arial"/>
          <w:sz w:val="22"/>
          <w:szCs w:val="22"/>
        </w:rPr>
      </w:pPr>
    </w:p>
    <w:p w:rsidR="00793106" w:rsidRPr="002B1C7F" w:rsidRDefault="00793106" w:rsidP="00793106">
      <w:pPr>
        <w:rPr>
          <w:rFonts w:ascii="Arial" w:hAnsi="Arial" w:cs="Arial"/>
          <w:b/>
          <w:sz w:val="22"/>
          <w:szCs w:val="22"/>
        </w:rPr>
      </w:pPr>
      <w:r w:rsidRPr="002B1C7F">
        <w:rPr>
          <w:rFonts w:ascii="Arial" w:hAnsi="Arial" w:cs="Arial"/>
          <w:b/>
          <w:sz w:val="22"/>
          <w:szCs w:val="22"/>
        </w:rPr>
        <w:t xml:space="preserve">Table </w:t>
      </w:r>
      <w:r>
        <w:rPr>
          <w:rFonts w:ascii="Arial" w:hAnsi="Arial" w:cs="Arial"/>
          <w:b/>
          <w:sz w:val="22"/>
          <w:szCs w:val="22"/>
        </w:rPr>
        <w:t>2</w:t>
      </w:r>
      <w:r w:rsidRPr="002B1C7F">
        <w:rPr>
          <w:rFonts w:ascii="Arial" w:hAnsi="Arial" w:cs="Arial"/>
          <w:b/>
          <w:sz w:val="22"/>
          <w:szCs w:val="22"/>
        </w:rPr>
        <w:t xml:space="preserve"> Overall Survival data from Study EGF100151 (lapatinib / capecitabine)</w:t>
      </w:r>
    </w:p>
    <w:p w:rsidR="00793106" w:rsidRPr="00B36B5D" w:rsidRDefault="00793106" w:rsidP="00793106"/>
    <w:tbl>
      <w:tblPr>
        <w:tblW w:w="86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59"/>
        <w:gridCol w:w="2373"/>
        <w:gridCol w:w="2670"/>
      </w:tblGrid>
      <w:tr w:rsidR="00793106" w:rsidRPr="002B1C7F" w:rsidTr="000802FD">
        <w:trPr>
          <w:cantSplit/>
          <w:tblHeader/>
        </w:trPr>
        <w:tc>
          <w:tcPr>
            <w:tcW w:w="3559" w:type="dxa"/>
            <w:shd w:val="clear" w:color="auto" w:fill="auto"/>
          </w:tcPr>
          <w:p w:rsidR="00793106" w:rsidRPr="002B1C7F" w:rsidRDefault="00793106" w:rsidP="000802FD">
            <w:pPr>
              <w:jc w:val="center"/>
              <w:rPr>
                <w:rFonts w:ascii="Arial" w:hAnsi="Arial" w:cs="Arial"/>
                <w:sz w:val="20"/>
              </w:rPr>
            </w:pPr>
          </w:p>
        </w:tc>
        <w:tc>
          <w:tcPr>
            <w:tcW w:w="2373" w:type="dxa"/>
            <w:shd w:val="clear" w:color="auto" w:fill="auto"/>
          </w:tcPr>
          <w:p w:rsidR="00793106" w:rsidRPr="002B1C7F" w:rsidRDefault="00793106" w:rsidP="000802FD">
            <w:pPr>
              <w:jc w:val="center"/>
              <w:rPr>
                <w:rFonts w:ascii="Arial" w:hAnsi="Arial" w:cs="Arial"/>
                <w:sz w:val="20"/>
              </w:rPr>
            </w:pPr>
            <w:r>
              <w:rPr>
                <w:rFonts w:ascii="Arial" w:hAnsi="Arial" w:cs="Arial"/>
                <w:b/>
                <w:sz w:val="20"/>
              </w:rPr>
              <w:t xml:space="preserve">TYKERB </w:t>
            </w:r>
            <w:r w:rsidRPr="002B1C7F">
              <w:rPr>
                <w:rFonts w:ascii="Arial" w:hAnsi="Arial" w:cs="Arial"/>
                <w:b/>
                <w:sz w:val="20"/>
              </w:rPr>
              <w:t>plus capecitabine (N=207)</w:t>
            </w:r>
          </w:p>
        </w:tc>
        <w:tc>
          <w:tcPr>
            <w:tcW w:w="2670" w:type="dxa"/>
            <w:shd w:val="clear" w:color="auto" w:fill="auto"/>
          </w:tcPr>
          <w:p w:rsidR="00793106" w:rsidRPr="002B1C7F" w:rsidRDefault="00793106" w:rsidP="000802FD">
            <w:pPr>
              <w:jc w:val="center"/>
              <w:rPr>
                <w:rFonts w:ascii="Arial" w:hAnsi="Arial" w:cs="Arial"/>
                <w:sz w:val="20"/>
              </w:rPr>
            </w:pPr>
            <w:r w:rsidRPr="002B1C7F">
              <w:rPr>
                <w:rFonts w:ascii="Arial" w:hAnsi="Arial" w:cs="Arial"/>
                <w:b/>
                <w:sz w:val="20"/>
              </w:rPr>
              <w:t>Capecitabine alone (N=201)</w:t>
            </w:r>
          </w:p>
        </w:tc>
      </w:tr>
      <w:tr w:rsidR="00793106" w:rsidRPr="002B1C7F" w:rsidTr="000802FD">
        <w:trPr>
          <w:cantSplit/>
        </w:trPr>
        <w:tc>
          <w:tcPr>
            <w:tcW w:w="3559" w:type="dxa"/>
            <w:shd w:val="clear" w:color="auto" w:fill="auto"/>
          </w:tcPr>
          <w:p w:rsidR="00793106" w:rsidRPr="002B1C7F" w:rsidRDefault="00793106" w:rsidP="000802FD">
            <w:pPr>
              <w:rPr>
                <w:rFonts w:ascii="Arial" w:hAnsi="Arial" w:cs="Arial"/>
                <w:sz w:val="20"/>
              </w:rPr>
            </w:pPr>
            <w:r w:rsidRPr="002B1C7F">
              <w:rPr>
                <w:rFonts w:ascii="Arial" w:hAnsi="Arial" w:cs="Arial"/>
                <w:b/>
                <w:sz w:val="20"/>
              </w:rPr>
              <w:t>Overall Survival</w:t>
            </w:r>
          </w:p>
        </w:tc>
        <w:tc>
          <w:tcPr>
            <w:tcW w:w="2373" w:type="dxa"/>
            <w:shd w:val="clear" w:color="auto" w:fill="auto"/>
          </w:tcPr>
          <w:p w:rsidR="00793106" w:rsidRPr="002B1C7F" w:rsidRDefault="00793106" w:rsidP="000802FD">
            <w:pPr>
              <w:jc w:val="center"/>
              <w:rPr>
                <w:rFonts w:ascii="Arial" w:hAnsi="Arial" w:cs="Arial"/>
                <w:sz w:val="20"/>
              </w:rPr>
            </w:pPr>
          </w:p>
        </w:tc>
        <w:tc>
          <w:tcPr>
            <w:tcW w:w="2670" w:type="dxa"/>
            <w:shd w:val="clear" w:color="auto" w:fill="auto"/>
          </w:tcPr>
          <w:p w:rsidR="00793106" w:rsidRPr="002B1C7F" w:rsidRDefault="00793106" w:rsidP="000802FD">
            <w:pPr>
              <w:jc w:val="center"/>
              <w:rPr>
                <w:rFonts w:ascii="Arial" w:hAnsi="Arial" w:cs="Arial"/>
                <w:sz w:val="20"/>
              </w:rPr>
            </w:pPr>
          </w:p>
        </w:tc>
      </w:tr>
      <w:tr w:rsidR="00793106" w:rsidRPr="002B1C7F" w:rsidTr="000802FD">
        <w:trPr>
          <w:cantSplit/>
        </w:trPr>
        <w:tc>
          <w:tcPr>
            <w:tcW w:w="3559" w:type="dxa"/>
            <w:shd w:val="clear" w:color="auto" w:fill="auto"/>
          </w:tcPr>
          <w:p w:rsidR="00793106" w:rsidRPr="002B1C7F" w:rsidRDefault="00793106" w:rsidP="000802FD">
            <w:pPr>
              <w:pStyle w:val="listdashnospace"/>
              <w:tabs>
                <w:tab w:val="num" w:pos="567"/>
              </w:tabs>
              <w:autoSpaceDE/>
              <w:autoSpaceDN/>
              <w:adjustRightInd/>
              <w:ind w:left="567" w:hanging="567"/>
              <w:rPr>
                <w:rFonts w:ascii="Arial" w:hAnsi="Arial" w:cs="Arial"/>
                <w:sz w:val="20"/>
                <w:szCs w:val="20"/>
              </w:rPr>
            </w:pPr>
            <w:r w:rsidRPr="002B1C7F">
              <w:rPr>
                <w:rFonts w:ascii="Arial" w:hAnsi="Arial" w:cs="Arial"/>
                <w:sz w:val="20"/>
                <w:szCs w:val="20"/>
              </w:rPr>
              <w:t xml:space="preserve">Died </w:t>
            </w:r>
          </w:p>
        </w:tc>
        <w:tc>
          <w:tcPr>
            <w:tcW w:w="2373" w:type="dxa"/>
            <w:shd w:val="clear" w:color="auto" w:fill="auto"/>
          </w:tcPr>
          <w:p w:rsidR="00793106" w:rsidRPr="002B1C7F" w:rsidRDefault="00793106" w:rsidP="000802FD">
            <w:pPr>
              <w:jc w:val="center"/>
              <w:rPr>
                <w:rFonts w:ascii="Arial" w:hAnsi="Arial" w:cs="Arial"/>
                <w:sz w:val="20"/>
              </w:rPr>
            </w:pPr>
            <w:r w:rsidRPr="002B1C7F">
              <w:rPr>
                <w:rFonts w:ascii="Arial" w:hAnsi="Arial" w:cs="Arial"/>
                <w:sz w:val="20"/>
              </w:rPr>
              <w:t>81%</w:t>
            </w:r>
          </w:p>
        </w:tc>
        <w:tc>
          <w:tcPr>
            <w:tcW w:w="2670" w:type="dxa"/>
            <w:shd w:val="clear" w:color="auto" w:fill="auto"/>
          </w:tcPr>
          <w:p w:rsidR="00793106" w:rsidRPr="002B1C7F" w:rsidRDefault="00793106" w:rsidP="000802FD">
            <w:pPr>
              <w:jc w:val="center"/>
              <w:rPr>
                <w:rFonts w:ascii="Arial" w:hAnsi="Arial" w:cs="Arial"/>
                <w:sz w:val="20"/>
              </w:rPr>
            </w:pPr>
            <w:r w:rsidRPr="002B1C7F">
              <w:rPr>
                <w:rFonts w:ascii="Arial" w:hAnsi="Arial" w:cs="Arial"/>
                <w:sz w:val="20"/>
              </w:rPr>
              <w:t>86%</w:t>
            </w:r>
          </w:p>
        </w:tc>
      </w:tr>
      <w:tr w:rsidR="00793106" w:rsidRPr="002B1C7F" w:rsidTr="000802FD">
        <w:trPr>
          <w:cantSplit/>
        </w:trPr>
        <w:tc>
          <w:tcPr>
            <w:tcW w:w="3559" w:type="dxa"/>
            <w:shd w:val="clear" w:color="auto" w:fill="auto"/>
          </w:tcPr>
          <w:p w:rsidR="00793106" w:rsidRPr="002B1C7F" w:rsidRDefault="00793106" w:rsidP="000802FD">
            <w:pPr>
              <w:pStyle w:val="listdashnospace"/>
              <w:tabs>
                <w:tab w:val="num" w:pos="567"/>
              </w:tabs>
              <w:autoSpaceDE/>
              <w:autoSpaceDN/>
              <w:adjustRightInd/>
              <w:ind w:left="567" w:hanging="567"/>
              <w:rPr>
                <w:rFonts w:ascii="Arial" w:hAnsi="Arial" w:cs="Arial"/>
                <w:sz w:val="20"/>
                <w:szCs w:val="20"/>
              </w:rPr>
            </w:pPr>
            <w:r w:rsidRPr="002B1C7F">
              <w:rPr>
                <w:rFonts w:ascii="Arial" w:hAnsi="Arial" w:cs="Arial"/>
                <w:sz w:val="20"/>
                <w:szCs w:val="20"/>
              </w:rPr>
              <w:t>Median overall survival (</w:t>
            </w:r>
            <w:r>
              <w:rPr>
                <w:rFonts w:ascii="Arial" w:hAnsi="Arial" w:cs="Arial"/>
                <w:sz w:val="20"/>
                <w:szCs w:val="20"/>
              </w:rPr>
              <w:t>months</w:t>
            </w:r>
            <w:r w:rsidRPr="002B1C7F">
              <w:rPr>
                <w:rFonts w:ascii="Arial" w:hAnsi="Arial" w:cs="Arial"/>
                <w:sz w:val="20"/>
                <w:szCs w:val="20"/>
              </w:rPr>
              <w:t>)</w:t>
            </w:r>
          </w:p>
        </w:tc>
        <w:tc>
          <w:tcPr>
            <w:tcW w:w="2373" w:type="dxa"/>
            <w:shd w:val="clear" w:color="auto" w:fill="auto"/>
          </w:tcPr>
          <w:p w:rsidR="00793106" w:rsidRPr="002B1C7F" w:rsidRDefault="00793106" w:rsidP="000802FD">
            <w:pPr>
              <w:jc w:val="center"/>
              <w:rPr>
                <w:rFonts w:ascii="Arial" w:hAnsi="Arial" w:cs="Arial"/>
                <w:sz w:val="20"/>
              </w:rPr>
            </w:pPr>
            <w:r>
              <w:rPr>
                <w:rFonts w:ascii="Arial" w:hAnsi="Arial" w:cs="Arial"/>
                <w:sz w:val="20"/>
              </w:rPr>
              <w:t>17.3</w:t>
            </w:r>
            <w:r w:rsidRPr="002B1C7F">
              <w:rPr>
                <w:rFonts w:ascii="Arial" w:hAnsi="Arial" w:cs="Arial"/>
                <w:sz w:val="20"/>
              </w:rPr>
              <w:t>0</w:t>
            </w:r>
          </w:p>
        </w:tc>
        <w:tc>
          <w:tcPr>
            <w:tcW w:w="2670" w:type="dxa"/>
            <w:shd w:val="clear" w:color="auto" w:fill="auto"/>
          </w:tcPr>
          <w:p w:rsidR="00793106" w:rsidRPr="002B1C7F" w:rsidRDefault="00793106" w:rsidP="000802FD">
            <w:pPr>
              <w:jc w:val="center"/>
              <w:rPr>
                <w:rFonts w:ascii="Arial" w:hAnsi="Arial" w:cs="Arial"/>
                <w:sz w:val="20"/>
              </w:rPr>
            </w:pPr>
            <w:r>
              <w:rPr>
                <w:rFonts w:ascii="Arial" w:hAnsi="Arial" w:cs="Arial"/>
                <w:sz w:val="20"/>
              </w:rPr>
              <w:t xml:space="preserve">14.9 </w:t>
            </w:r>
          </w:p>
        </w:tc>
      </w:tr>
      <w:tr w:rsidR="00793106" w:rsidRPr="002B1C7F" w:rsidTr="000802FD">
        <w:trPr>
          <w:cantSplit/>
        </w:trPr>
        <w:tc>
          <w:tcPr>
            <w:tcW w:w="3559" w:type="dxa"/>
            <w:shd w:val="clear" w:color="auto" w:fill="auto"/>
          </w:tcPr>
          <w:p w:rsidR="00793106" w:rsidRPr="002B1C7F" w:rsidRDefault="00793106" w:rsidP="000802FD">
            <w:pPr>
              <w:pStyle w:val="listdashnospace"/>
              <w:tabs>
                <w:tab w:val="num" w:pos="567"/>
              </w:tabs>
              <w:autoSpaceDE/>
              <w:autoSpaceDN/>
              <w:adjustRightInd/>
              <w:spacing w:after="240"/>
              <w:ind w:left="567" w:hanging="567"/>
              <w:rPr>
                <w:rFonts w:ascii="Arial" w:hAnsi="Arial" w:cs="Arial"/>
                <w:sz w:val="20"/>
                <w:szCs w:val="20"/>
              </w:rPr>
            </w:pPr>
            <w:r w:rsidRPr="002B1C7F">
              <w:rPr>
                <w:rFonts w:ascii="Arial" w:hAnsi="Arial" w:cs="Arial"/>
                <w:sz w:val="20"/>
                <w:szCs w:val="20"/>
              </w:rPr>
              <w:t>Hazard ratio, 95% CI</w:t>
            </w:r>
          </w:p>
          <w:p w:rsidR="00793106" w:rsidRPr="002B1C7F" w:rsidRDefault="00793106" w:rsidP="000802FD">
            <w:pPr>
              <w:pStyle w:val="listdashnospace"/>
              <w:tabs>
                <w:tab w:val="num" w:pos="567"/>
              </w:tabs>
              <w:autoSpaceDE/>
              <w:autoSpaceDN/>
              <w:adjustRightInd/>
              <w:ind w:left="567" w:hanging="567"/>
              <w:rPr>
                <w:rFonts w:ascii="Arial" w:hAnsi="Arial" w:cs="Arial"/>
                <w:sz w:val="20"/>
                <w:szCs w:val="20"/>
              </w:rPr>
            </w:pPr>
            <w:r w:rsidRPr="002B1C7F">
              <w:rPr>
                <w:rFonts w:ascii="Arial" w:hAnsi="Arial" w:cs="Arial"/>
                <w:sz w:val="20"/>
                <w:szCs w:val="20"/>
              </w:rPr>
              <w:t>(p value)</w:t>
            </w:r>
          </w:p>
        </w:tc>
        <w:tc>
          <w:tcPr>
            <w:tcW w:w="5043" w:type="dxa"/>
            <w:gridSpan w:val="2"/>
            <w:shd w:val="clear" w:color="auto" w:fill="auto"/>
          </w:tcPr>
          <w:p w:rsidR="00793106" w:rsidRPr="002B1C7F" w:rsidRDefault="00793106" w:rsidP="000802FD">
            <w:pPr>
              <w:jc w:val="center"/>
              <w:rPr>
                <w:rFonts w:ascii="Arial" w:hAnsi="Arial" w:cs="Arial"/>
                <w:sz w:val="20"/>
              </w:rPr>
            </w:pPr>
            <w:r w:rsidRPr="002B1C7F">
              <w:rPr>
                <w:rFonts w:ascii="Arial" w:hAnsi="Arial" w:cs="Arial"/>
                <w:sz w:val="20"/>
              </w:rPr>
              <w:t>0.87 (0.71, 1.08)</w:t>
            </w:r>
          </w:p>
          <w:p w:rsidR="00793106" w:rsidRPr="002B1C7F" w:rsidRDefault="00793106" w:rsidP="000802FD">
            <w:pPr>
              <w:jc w:val="center"/>
              <w:rPr>
                <w:rFonts w:ascii="Arial" w:hAnsi="Arial" w:cs="Arial"/>
                <w:sz w:val="20"/>
              </w:rPr>
            </w:pPr>
            <w:r w:rsidRPr="002B1C7F">
              <w:rPr>
                <w:rFonts w:ascii="Arial" w:hAnsi="Arial" w:cs="Arial"/>
                <w:sz w:val="20"/>
              </w:rPr>
              <w:t>0.210</w:t>
            </w:r>
          </w:p>
        </w:tc>
      </w:tr>
    </w:tbl>
    <w:p w:rsidR="00793106" w:rsidRPr="002B1C7F" w:rsidRDefault="00793106" w:rsidP="00793106">
      <w:pPr>
        <w:rPr>
          <w:rFonts w:ascii="Arial" w:hAnsi="Arial" w:cs="Arial"/>
          <w:i/>
          <w:noProof/>
          <w:color w:val="000000"/>
          <w:sz w:val="20"/>
        </w:rPr>
      </w:pPr>
      <w:r w:rsidRPr="002B1C7F">
        <w:rPr>
          <w:rFonts w:ascii="Arial" w:hAnsi="Arial" w:cs="Arial"/>
          <w:i/>
          <w:noProof/>
          <w:color w:val="000000"/>
          <w:sz w:val="20"/>
        </w:rPr>
        <w:t>CI = confidence interval</w:t>
      </w:r>
    </w:p>
    <w:p w:rsidR="00793106" w:rsidRDefault="00793106" w:rsidP="00793106">
      <w:pPr>
        <w:autoSpaceDE w:val="0"/>
        <w:autoSpaceDN w:val="0"/>
        <w:adjustRightInd w:val="0"/>
      </w:pPr>
    </w:p>
    <w:p w:rsidR="00793106" w:rsidRPr="004E0E32" w:rsidRDefault="00793106" w:rsidP="00793106">
      <w:pPr>
        <w:autoSpaceDE w:val="0"/>
        <w:autoSpaceDN w:val="0"/>
        <w:adjustRightInd w:val="0"/>
        <w:jc w:val="both"/>
        <w:rPr>
          <w:rFonts w:ascii="Arial" w:hAnsi="Arial" w:cs="Arial"/>
          <w:b/>
          <w:i/>
          <w:color w:val="000000" w:themeColor="text1"/>
          <w:sz w:val="22"/>
          <w:szCs w:val="22"/>
        </w:rPr>
      </w:pPr>
      <w:r w:rsidRPr="002B1C7F">
        <w:rPr>
          <w:rFonts w:ascii="Arial" w:hAnsi="Arial" w:cs="Arial"/>
          <w:sz w:val="22"/>
          <w:szCs w:val="22"/>
        </w:rPr>
        <w:t xml:space="preserve">After the study was halted, 36 patients crossed over from capecitabine to </w:t>
      </w:r>
      <w:r>
        <w:rPr>
          <w:rFonts w:ascii="Arial" w:hAnsi="Arial" w:cs="Arial"/>
          <w:sz w:val="22"/>
          <w:szCs w:val="22"/>
        </w:rPr>
        <w:t xml:space="preserve">TYKERB </w:t>
      </w:r>
      <w:r w:rsidRPr="002B1C7F">
        <w:rPr>
          <w:rFonts w:ascii="Arial" w:hAnsi="Arial" w:cs="Arial"/>
          <w:sz w:val="22"/>
          <w:szCs w:val="22"/>
        </w:rPr>
        <w:t xml:space="preserve">+ capecitabine, of whom 26 crossed over prior to disease progression while on capecitabine alone. To isolate the treatment effect in the presence of cross-over, Cox regression analysis considering crossover as a time-dependent covariate and treatment effect was performed. The results from this analysis suggest a clinically relevant reduction in risk of death by 20%, </w:t>
      </w:r>
      <w:r w:rsidRPr="004E0E32">
        <w:rPr>
          <w:rFonts w:ascii="Arial" w:hAnsi="Arial" w:cs="Arial"/>
          <w:color w:val="000000" w:themeColor="text1"/>
          <w:sz w:val="22"/>
          <w:szCs w:val="22"/>
        </w:rPr>
        <w:t>with a treatment effect hazard ratio of 0.80 (95% confidence interval [CI]: 0.64, 0.99; p=0.043).</w:t>
      </w:r>
    </w:p>
    <w:p w:rsidR="00793106" w:rsidRPr="004E0E32" w:rsidRDefault="00793106" w:rsidP="004F292D">
      <w:pPr>
        <w:pStyle w:val="Text"/>
        <w:spacing w:after="0"/>
        <w:jc w:val="both"/>
        <w:rPr>
          <w:rFonts w:ascii="Arial" w:hAnsi="Arial" w:cs="Arial"/>
          <w:color w:val="000000" w:themeColor="text1"/>
          <w:sz w:val="22"/>
          <w:szCs w:val="22"/>
          <w:u w:val="single"/>
        </w:rPr>
      </w:pPr>
    </w:p>
    <w:p w:rsidR="00F6584A" w:rsidRDefault="00F6584A" w:rsidP="007763C8">
      <w:pPr>
        <w:pStyle w:val="Text"/>
        <w:spacing w:after="0"/>
        <w:rPr>
          <w:rFonts w:ascii="Arial" w:hAnsi="Arial" w:cs="Arial"/>
          <w:sz w:val="22"/>
          <w:szCs w:val="22"/>
          <w:u w:val="single"/>
        </w:rPr>
      </w:pPr>
    </w:p>
    <w:p w:rsidR="00AC3C09" w:rsidRDefault="00AC3C09" w:rsidP="00AC3C09">
      <w:pPr>
        <w:autoSpaceDE w:val="0"/>
        <w:autoSpaceDN w:val="0"/>
        <w:adjustRightInd w:val="0"/>
        <w:rPr>
          <w:rFonts w:ascii="Arial" w:hAnsi="Arial" w:cs="Arial"/>
          <w:b/>
          <w:sz w:val="22"/>
          <w:szCs w:val="22"/>
          <w:u w:val="single"/>
        </w:rPr>
      </w:pPr>
      <w:r w:rsidRPr="00AC3C09">
        <w:rPr>
          <w:rFonts w:ascii="Arial" w:hAnsi="Arial" w:cs="Arial"/>
          <w:b/>
          <w:sz w:val="22"/>
          <w:szCs w:val="22"/>
          <w:u w:val="single"/>
        </w:rPr>
        <w:t xml:space="preserve">Combination treatment with </w:t>
      </w:r>
      <w:r w:rsidR="004531BD">
        <w:rPr>
          <w:rFonts w:ascii="Arial" w:hAnsi="Arial" w:cs="Arial"/>
          <w:b/>
          <w:sz w:val="22"/>
          <w:szCs w:val="22"/>
          <w:u w:val="single"/>
        </w:rPr>
        <w:t>TYKERB</w:t>
      </w:r>
      <w:r w:rsidRPr="00AC3C09">
        <w:rPr>
          <w:rFonts w:ascii="Arial" w:hAnsi="Arial" w:cs="Arial"/>
          <w:b/>
          <w:sz w:val="22"/>
          <w:szCs w:val="22"/>
          <w:u w:val="single"/>
        </w:rPr>
        <w:t xml:space="preserve"> and paclitaxel</w:t>
      </w:r>
    </w:p>
    <w:p w:rsidR="00AC3C09" w:rsidRPr="00AC3C09" w:rsidRDefault="00AC3C09" w:rsidP="00AC3C09">
      <w:pPr>
        <w:autoSpaceDE w:val="0"/>
        <w:autoSpaceDN w:val="0"/>
        <w:adjustRightInd w:val="0"/>
        <w:rPr>
          <w:rFonts w:ascii="Arial" w:hAnsi="Arial" w:cs="Arial"/>
          <w:b/>
          <w:sz w:val="22"/>
          <w:szCs w:val="22"/>
          <w:u w:val="single"/>
        </w:rPr>
      </w:pPr>
    </w:p>
    <w:p w:rsidR="00AC3C09" w:rsidRDefault="00AC3C09" w:rsidP="00AC3C09">
      <w:pPr>
        <w:autoSpaceDE w:val="0"/>
        <w:autoSpaceDN w:val="0"/>
        <w:jc w:val="both"/>
        <w:rPr>
          <w:rFonts w:ascii="Arial" w:hAnsi="Arial" w:cs="Arial"/>
          <w:color w:val="000000"/>
          <w:sz w:val="22"/>
          <w:szCs w:val="22"/>
        </w:rPr>
      </w:pPr>
      <w:r w:rsidRPr="00AC3C09">
        <w:rPr>
          <w:rFonts w:ascii="Arial" w:hAnsi="Arial" w:cs="Arial"/>
          <w:color w:val="000000"/>
          <w:sz w:val="22"/>
          <w:szCs w:val="22"/>
        </w:rPr>
        <w:t xml:space="preserve">The efficacy and safety of </w:t>
      </w:r>
      <w:r>
        <w:rPr>
          <w:rFonts w:ascii="Arial" w:hAnsi="Arial" w:cs="Arial"/>
          <w:color w:val="000000"/>
          <w:sz w:val="22"/>
          <w:szCs w:val="22"/>
        </w:rPr>
        <w:t>TYKERB</w:t>
      </w:r>
      <w:r w:rsidRPr="00AC3C09">
        <w:rPr>
          <w:rFonts w:ascii="Arial" w:hAnsi="Arial" w:cs="Arial"/>
          <w:color w:val="000000"/>
          <w:sz w:val="22"/>
          <w:szCs w:val="22"/>
        </w:rPr>
        <w:t xml:space="preserve"> in combination with paclitaxel in breast cancer were evaluated in a randomised trial, EGF104535. </w:t>
      </w:r>
      <w:r>
        <w:rPr>
          <w:rFonts w:ascii="Arial" w:hAnsi="Arial" w:cs="Arial"/>
          <w:color w:val="000000"/>
          <w:sz w:val="22"/>
          <w:szCs w:val="22"/>
        </w:rPr>
        <w:t xml:space="preserve"> </w:t>
      </w:r>
      <w:r w:rsidRPr="00AC3C09">
        <w:rPr>
          <w:rFonts w:ascii="Arial" w:hAnsi="Arial" w:cs="Arial"/>
          <w:color w:val="000000"/>
          <w:sz w:val="22"/>
          <w:szCs w:val="22"/>
        </w:rPr>
        <w:t xml:space="preserve">Patients had histologically confirmed invasive breast cancer (Stage IV disease) </w:t>
      </w:r>
      <w:r w:rsidR="003C6E49" w:rsidRPr="00691484">
        <w:rPr>
          <w:rFonts w:ascii="Arial" w:hAnsi="Arial" w:cs="Arial"/>
          <w:color w:val="000000"/>
          <w:sz w:val="22"/>
          <w:szCs w:val="22"/>
        </w:rPr>
        <w:t>that overexpressed</w:t>
      </w:r>
      <w:r w:rsidR="00691484" w:rsidRPr="00691484">
        <w:rPr>
          <w:rFonts w:ascii="Arial" w:hAnsi="Arial" w:cs="Arial"/>
          <w:color w:val="000000"/>
          <w:sz w:val="22"/>
          <w:szCs w:val="22"/>
        </w:rPr>
        <w:t xml:space="preserve"> </w:t>
      </w:r>
      <w:r w:rsidRPr="00691484">
        <w:rPr>
          <w:rFonts w:ascii="Arial" w:hAnsi="Arial" w:cs="Arial"/>
          <w:color w:val="000000"/>
          <w:sz w:val="22"/>
          <w:szCs w:val="22"/>
        </w:rPr>
        <w:t>HER2</w:t>
      </w:r>
      <w:r w:rsidR="00CF1910">
        <w:rPr>
          <w:rFonts w:ascii="Arial" w:hAnsi="Arial" w:cs="Arial"/>
          <w:color w:val="000000"/>
          <w:sz w:val="22"/>
          <w:szCs w:val="22"/>
        </w:rPr>
        <w:t>,</w:t>
      </w:r>
      <w:r w:rsidRPr="00AC3C09">
        <w:rPr>
          <w:rFonts w:ascii="Arial" w:hAnsi="Arial" w:cs="Arial"/>
          <w:color w:val="000000"/>
          <w:sz w:val="22"/>
          <w:szCs w:val="22"/>
        </w:rPr>
        <w:t xml:space="preserve"> and had not received prior therapy for metastatic disease.</w:t>
      </w:r>
    </w:p>
    <w:p w:rsidR="00AC3C09" w:rsidRPr="00AC3C09" w:rsidRDefault="00AC3C09" w:rsidP="00AC3C09">
      <w:pPr>
        <w:autoSpaceDE w:val="0"/>
        <w:autoSpaceDN w:val="0"/>
        <w:jc w:val="both"/>
        <w:rPr>
          <w:rFonts w:ascii="Arial" w:hAnsi="Arial" w:cs="Arial"/>
          <w:color w:val="000000"/>
          <w:sz w:val="22"/>
          <w:szCs w:val="22"/>
        </w:rPr>
      </w:pPr>
    </w:p>
    <w:p w:rsidR="00AC3C09" w:rsidRDefault="00AC3C09" w:rsidP="00AC3C09">
      <w:pPr>
        <w:jc w:val="both"/>
        <w:rPr>
          <w:rFonts w:ascii="Arial" w:hAnsi="Arial" w:cs="Arial"/>
          <w:sz w:val="22"/>
          <w:szCs w:val="22"/>
        </w:rPr>
      </w:pPr>
      <w:r w:rsidRPr="00AC3C09">
        <w:rPr>
          <w:rFonts w:ascii="Arial" w:hAnsi="Arial" w:cs="Arial"/>
          <w:color w:val="000000"/>
          <w:sz w:val="22"/>
          <w:szCs w:val="22"/>
        </w:rPr>
        <w:t xml:space="preserve">Patients were randomly assigned to </w:t>
      </w:r>
      <w:r w:rsidR="00CC6ABA">
        <w:rPr>
          <w:rFonts w:ascii="Arial" w:hAnsi="Arial" w:cs="Arial"/>
          <w:color w:val="000000"/>
          <w:sz w:val="22"/>
          <w:szCs w:val="22"/>
        </w:rPr>
        <w:t>paclitaxel (80</w:t>
      </w:r>
      <w:r w:rsidRPr="00AC3C09">
        <w:rPr>
          <w:rFonts w:ascii="Arial" w:hAnsi="Arial" w:cs="Arial"/>
          <w:color w:val="000000"/>
          <w:sz w:val="22"/>
          <w:szCs w:val="22"/>
        </w:rPr>
        <w:t>mg/m</w:t>
      </w:r>
      <w:r w:rsidRPr="00AC3C09">
        <w:rPr>
          <w:rFonts w:ascii="Arial" w:hAnsi="Arial" w:cs="Arial"/>
          <w:color w:val="000000"/>
          <w:sz w:val="22"/>
          <w:szCs w:val="22"/>
          <w:vertAlign w:val="superscript"/>
        </w:rPr>
        <w:t>2</w:t>
      </w:r>
      <w:r w:rsidRPr="00AC3C09">
        <w:rPr>
          <w:rFonts w:ascii="Arial" w:hAnsi="Arial" w:cs="Arial"/>
          <w:color w:val="000000"/>
          <w:sz w:val="22"/>
          <w:szCs w:val="22"/>
        </w:rPr>
        <w:t xml:space="preserve"> intravenous </w:t>
      </w:r>
      <w:r w:rsidRPr="00AC3C09">
        <w:rPr>
          <w:rFonts w:ascii="Arial" w:hAnsi="Arial" w:cs="Arial"/>
          <w:sz w:val="22"/>
          <w:szCs w:val="22"/>
        </w:rPr>
        <w:t xml:space="preserve">on days 1, 8, and 15 of a </w:t>
      </w:r>
      <w:r w:rsidRPr="0051392C">
        <w:rPr>
          <w:rFonts w:ascii="Arial" w:hAnsi="Arial" w:cs="Arial"/>
          <w:color w:val="000000" w:themeColor="text1"/>
          <w:sz w:val="22"/>
          <w:szCs w:val="22"/>
        </w:rPr>
        <w:t>28 day schedule) and either TYKERB 150</w:t>
      </w:r>
      <w:r w:rsidR="00CC6ABA" w:rsidRPr="0051392C">
        <w:rPr>
          <w:rFonts w:ascii="Arial" w:hAnsi="Arial" w:cs="Arial"/>
          <w:color w:val="000000" w:themeColor="text1"/>
          <w:sz w:val="22"/>
          <w:szCs w:val="22"/>
        </w:rPr>
        <w:t>0</w:t>
      </w:r>
      <w:r w:rsidRPr="0051392C">
        <w:rPr>
          <w:rFonts w:ascii="Arial" w:hAnsi="Arial" w:cs="Arial"/>
          <w:color w:val="000000" w:themeColor="text1"/>
          <w:sz w:val="22"/>
          <w:szCs w:val="22"/>
        </w:rPr>
        <w:t>mg/day or placebo once daily.  Patients received a minimum of 6 cycles of TYKERB</w:t>
      </w:r>
      <w:r w:rsidR="003C6E49" w:rsidRPr="0051392C">
        <w:rPr>
          <w:rFonts w:ascii="Arial" w:hAnsi="Arial" w:cs="Arial"/>
          <w:color w:val="000000" w:themeColor="text1"/>
          <w:sz w:val="22"/>
          <w:szCs w:val="22"/>
        </w:rPr>
        <w:t xml:space="preserve"> or placebo</w:t>
      </w:r>
      <w:r w:rsidRPr="0051392C">
        <w:rPr>
          <w:rFonts w:ascii="Arial" w:hAnsi="Arial" w:cs="Arial"/>
          <w:color w:val="000000" w:themeColor="text1"/>
          <w:sz w:val="22"/>
          <w:szCs w:val="22"/>
        </w:rPr>
        <w:t xml:space="preserve"> plus paclitaxel.  After the 6 cycles of combination with paclitaxel were completed, patients continued on TYKERB or placebo until disease progression or an unacceptable toxicity occurred.  The primary endpoint was overall survival (</w:t>
      </w:r>
      <w:r w:rsidRPr="00AC3C09">
        <w:rPr>
          <w:rFonts w:ascii="Arial" w:hAnsi="Arial" w:cs="Arial"/>
          <w:color w:val="000000"/>
          <w:sz w:val="22"/>
          <w:szCs w:val="22"/>
        </w:rPr>
        <w:t xml:space="preserve">OS). </w:t>
      </w:r>
      <w:r>
        <w:rPr>
          <w:rFonts w:ascii="Arial" w:hAnsi="Arial" w:cs="Arial"/>
          <w:color w:val="000000"/>
          <w:sz w:val="22"/>
          <w:szCs w:val="22"/>
        </w:rPr>
        <w:t xml:space="preserve"> </w:t>
      </w:r>
      <w:r w:rsidRPr="00AC3C09">
        <w:rPr>
          <w:rFonts w:ascii="Arial" w:hAnsi="Arial" w:cs="Arial"/>
          <w:color w:val="000000"/>
          <w:sz w:val="22"/>
          <w:szCs w:val="22"/>
        </w:rPr>
        <w:t xml:space="preserve">Four hundred forty four (444) patients were enrolled in this study. </w:t>
      </w:r>
      <w:r>
        <w:rPr>
          <w:rFonts w:ascii="Arial" w:hAnsi="Arial" w:cs="Arial"/>
          <w:color w:val="000000"/>
          <w:sz w:val="22"/>
          <w:szCs w:val="22"/>
        </w:rPr>
        <w:t xml:space="preserve"> </w:t>
      </w:r>
      <w:r w:rsidRPr="00AC3C09">
        <w:rPr>
          <w:rFonts w:ascii="Arial" w:hAnsi="Arial" w:cs="Arial"/>
          <w:color w:val="000000"/>
          <w:sz w:val="22"/>
          <w:szCs w:val="22"/>
        </w:rPr>
        <w:t xml:space="preserve">Of the 222 patients who were on paclitaxel plus placebo, 149 patients (67%) with disease progression entered the open-label extension phase of the study and received </w:t>
      </w:r>
      <w:r>
        <w:rPr>
          <w:rFonts w:ascii="Arial" w:hAnsi="Arial" w:cs="Arial"/>
          <w:color w:val="000000"/>
          <w:sz w:val="22"/>
          <w:szCs w:val="22"/>
        </w:rPr>
        <w:t>TYKERB</w:t>
      </w:r>
      <w:r w:rsidRPr="00AC3C09">
        <w:rPr>
          <w:rFonts w:ascii="Arial" w:hAnsi="Arial" w:cs="Arial"/>
          <w:color w:val="000000"/>
          <w:sz w:val="22"/>
          <w:szCs w:val="22"/>
        </w:rPr>
        <w:t xml:space="preserve"> monotherapy. </w:t>
      </w:r>
      <w:r>
        <w:rPr>
          <w:rFonts w:ascii="Arial" w:hAnsi="Arial" w:cs="Arial"/>
          <w:color w:val="000000"/>
          <w:sz w:val="22"/>
          <w:szCs w:val="22"/>
        </w:rPr>
        <w:t xml:space="preserve"> </w:t>
      </w:r>
      <w:r w:rsidRPr="00AC3C09">
        <w:rPr>
          <w:rFonts w:ascii="Arial" w:hAnsi="Arial" w:cs="Arial"/>
          <w:color w:val="000000"/>
          <w:sz w:val="22"/>
          <w:szCs w:val="22"/>
        </w:rPr>
        <w:t xml:space="preserve">The median age was 50 years and 7% were older than 65 years. </w:t>
      </w:r>
      <w:r>
        <w:rPr>
          <w:rFonts w:ascii="Arial" w:hAnsi="Arial" w:cs="Arial"/>
          <w:color w:val="000000"/>
          <w:sz w:val="22"/>
          <w:szCs w:val="22"/>
        </w:rPr>
        <w:t xml:space="preserve"> </w:t>
      </w:r>
      <w:r w:rsidRPr="00AC3C09">
        <w:rPr>
          <w:rFonts w:ascii="Arial" w:hAnsi="Arial" w:cs="Arial"/>
          <w:color w:val="000000"/>
          <w:sz w:val="22"/>
          <w:szCs w:val="22"/>
        </w:rPr>
        <w:t xml:space="preserve">Eighty-six percent (86%) were Asian, 8% Hispanic, and 5% Caucasian. </w:t>
      </w:r>
      <w:r w:rsidR="004531BD">
        <w:rPr>
          <w:rFonts w:ascii="Arial" w:hAnsi="Arial" w:cs="Arial"/>
          <w:color w:val="000000"/>
          <w:sz w:val="22"/>
          <w:szCs w:val="22"/>
        </w:rPr>
        <w:t xml:space="preserve"> </w:t>
      </w:r>
      <w:r w:rsidRPr="00AC3C09">
        <w:rPr>
          <w:rFonts w:ascii="Arial" w:hAnsi="Arial" w:cs="Arial"/>
          <w:color w:val="000000"/>
          <w:sz w:val="22"/>
          <w:szCs w:val="22"/>
        </w:rPr>
        <w:t>The overall survival data are</w:t>
      </w:r>
      <w:r w:rsidRPr="00AC3C09">
        <w:rPr>
          <w:rFonts w:ascii="Arial" w:hAnsi="Arial" w:cs="Arial"/>
          <w:sz w:val="22"/>
          <w:szCs w:val="22"/>
        </w:rPr>
        <w:t xml:space="preserve"> summarised in Table </w:t>
      </w:r>
      <w:r w:rsidR="00793106">
        <w:rPr>
          <w:rFonts w:ascii="Arial" w:hAnsi="Arial" w:cs="Arial"/>
          <w:sz w:val="22"/>
          <w:szCs w:val="22"/>
        </w:rPr>
        <w:t>3</w:t>
      </w:r>
      <w:r w:rsidR="003026E8">
        <w:rPr>
          <w:rFonts w:ascii="Arial" w:hAnsi="Arial" w:cs="Arial"/>
          <w:sz w:val="22"/>
          <w:szCs w:val="22"/>
        </w:rPr>
        <w:t xml:space="preserve"> and</w:t>
      </w:r>
      <w:r w:rsidR="003026E8" w:rsidRPr="003026E8">
        <w:rPr>
          <w:rFonts w:ascii="Arial" w:hAnsi="Arial" w:cs="Arial"/>
          <w:sz w:val="22"/>
          <w:szCs w:val="22"/>
        </w:rPr>
        <w:t xml:space="preserve"> </w:t>
      </w:r>
      <w:r w:rsidR="003026E8" w:rsidRPr="000B3F7D">
        <w:rPr>
          <w:rFonts w:ascii="Arial" w:hAnsi="Arial" w:cs="Arial"/>
          <w:sz w:val="22"/>
          <w:szCs w:val="22"/>
        </w:rPr>
        <w:t xml:space="preserve">represented graphically in Figure </w:t>
      </w:r>
      <w:r w:rsidR="003026E8">
        <w:rPr>
          <w:rFonts w:ascii="Arial" w:hAnsi="Arial" w:cs="Arial"/>
          <w:sz w:val="22"/>
          <w:szCs w:val="22"/>
        </w:rPr>
        <w:t>2.</w:t>
      </w:r>
    </w:p>
    <w:p w:rsidR="00AC3C09" w:rsidRPr="00AC3C09" w:rsidRDefault="00DC0E37" w:rsidP="00AC3C09">
      <w:pPr>
        <w:jc w:val="both"/>
        <w:rPr>
          <w:rFonts w:ascii="Arial" w:hAnsi="Arial" w:cs="Arial"/>
          <w:color w:val="000000"/>
          <w:sz w:val="22"/>
          <w:szCs w:val="22"/>
        </w:rPr>
      </w:pPr>
      <w:r>
        <w:rPr>
          <w:rFonts w:ascii="Arial" w:hAnsi="Arial" w:cs="Arial"/>
          <w:color w:val="000000"/>
          <w:sz w:val="22"/>
          <w:szCs w:val="22"/>
        </w:rPr>
        <w:br w:type="page"/>
      </w:r>
    </w:p>
    <w:p w:rsidR="00AC3C09" w:rsidRPr="00AC3C09" w:rsidRDefault="00AC3C09" w:rsidP="00963C41">
      <w:pPr>
        <w:keepNext/>
        <w:keepLines/>
        <w:autoSpaceDE w:val="0"/>
        <w:autoSpaceDN w:val="0"/>
        <w:spacing w:after="240"/>
        <w:rPr>
          <w:rFonts w:ascii="Arial" w:hAnsi="Arial" w:cs="Arial"/>
          <w:b/>
          <w:sz w:val="22"/>
          <w:szCs w:val="22"/>
          <w:u w:val="single"/>
        </w:rPr>
      </w:pPr>
      <w:r w:rsidRPr="00AC3C09">
        <w:rPr>
          <w:rFonts w:ascii="Arial" w:hAnsi="Arial" w:cs="Arial"/>
          <w:b/>
          <w:sz w:val="22"/>
          <w:szCs w:val="22"/>
          <w:u w:val="single"/>
        </w:rPr>
        <w:t xml:space="preserve">Table </w:t>
      </w:r>
      <w:r w:rsidR="00793106">
        <w:rPr>
          <w:rFonts w:ascii="Arial" w:hAnsi="Arial" w:cs="Arial"/>
          <w:b/>
          <w:sz w:val="22"/>
          <w:szCs w:val="22"/>
          <w:u w:val="single"/>
        </w:rPr>
        <w:t>3</w:t>
      </w:r>
      <w:r w:rsidRPr="00AC3C09">
        <w:rPr>
          <w:rFonts w:ascii="Arial" w:hAnsi="Arial" w:cs="Arial"/>
          <w:b/>
          <w:sz w:val="22"/>
          <w:szCs w:val="22"/>
          <w:u w:val="single"/>
        </w:rPr>
        <w:t xml:space="preserve">: Overall Survival Data </w:t>
      </w:r>
    </w:p>
    <w:tbl>
      <w:tblPr>
        <w:tblW w:w="86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50"/>
        <w:gridCol w:w="2250"/>
        <w:gridCol w:w="2302"/>
      </w:tblGrid>
      <w:tr w:rsidR="00AC3C09" w:rsidRPr="00AC3C09" w:rsidTr="00D03E32">
        <w:trPr>
          <w:cantSplit/>
          <w:trHeight w:val="721"/>
          <w:tblHeader/>
        </w:trPr>
        <w:tc>
          <w:tcPr>
            <w:tcW w:w="4050" w:type="dxa"/>
            <w:shd w:val="clear" w:color="auto" w:fill="auto"/>
          </w:tcPr>
          <w:p w:rsidR="00AC3C09" w:rsidRPr="00AC3C09" w:rsidRDefault="00AC3C09" w:rsidP="00D03E32">
            <w:pPr>
              <w:keepNext/>
              <w:keepLines/>
              <w:jc w:val="center"/>
              <w:rPr>
                <w:rFonts w:ascii="Arial" w:hAnsi="Arial" w:cs="Arial"/>
                <w:sz w:val="22"/>
                <w:szCs w:val="22"/>
              </w:rPr>
            </w:pPr>
          </w:p>
        </w:tc>
        <w:tc>
          <w:tcPr>
            <w:tcW w:w="2250" w:type="dxa"/>
            <w:shd w:val="clear" w:color="auto" w:fill="auto"/>
          </w:tcPr>
          <w:p w:rsidR="00AC3C09" w:rsidRPr="00AC3C09" w:rsidRDefault="00CC6ABA" w:rsidP="00D03E32">
            <w:pPr>
              <w:keepNext/>
              <w:keepLines/>
              <w:rPr>
                <w:rFonts w:ascii="Arial" w:hAnsi="Arial" w:cs="Arial"/>
                <w:sz w:val="22"/>
                <w:szCs w:val="22"/>
              </w:rPr>
            </w:pPr>
            <w:r>
              <w:rPr>
                <w:rFonts w:ascii="Arial" w:hAnsi="Arial" w:cs="Arial"/>
                <w:b/>
                <w:color w:val="000000"/>
                <w:sz w:val="22"/>
                <w:szCs w:val="22"/>
              </w:rPr>
              <w:t>TYKERB</w:t>
            </w:r>
            <w:r w:rsidR="00AC3C09" w:rsidRPr="00AC3C09">
              <w:rPr>
                <w:rFonts w:ascii="Arial" w:hAnsi="Arial" w:cs="Arial"/>
                <w:b/>
                <w:color w:val="000000"/>
                <w:sz w:val="22"/>
                <w:szCs w:val="22"/>
              </w:rPr>
              <w:t xml:space="preserve"> plus Paclitaxel (N = 222)</w:t>
            </w:r>
          </w:p>
        </w:tc>
        <w:tc>
          <w:tcPr>
            <w:tcW w:w="2302" w:type="dxa"/>
            <w:shd w:val="clear" w:color="auto" w:fill="auto"/>
            <w:vAlign w:val="bottom"/>
          </w:tcPr>
          <w:p w:rsidR="00AC3C09" w:rsidRPr="00AC3C09" w:rsidRDefault="00D319BF" w:rsidP="00D03E32">
            <w:pPr>
              <w:keepNext/>
              <w:keepLines/>
              <w:jc w:val="center"/>
              <w:rPr>
                <w:rFonts w:ascii="Arial" w:hAnsi="Arial" w:cs="Arial"/>
                <w:b/>
                <w:color w:val="000000"/>
                <w:sz w:val="22"/>
                <w:szCs w:val="22"/>
              </w:rPr>
            </w:pPr>
            <w:r w:rsidRPr="00691484">
              <w:rPr>
                <w:rFonts w:ascii="Arial" w:hAnsi="Arial" w:cs="Arial"/>
                <w:b/>
                <w:color w:val="000000"/>
                <w:sz w:val="22"/>
                <w:szCs w:val="22"/>
              </w:rPr>
              <w:t>Placebo plus</w:t>
            </w:r>
            <w:r>
              <w:rPr>
                <w:rFonts w:ascii="Arial" w:hAnsi="Arial" w:cs="Arial"/>
                <w:b/>
                <w:color w:val="000000"/>
                <w:sz w:val="22"/>
                <w:szCs w:val="22"/>
              </w:rPr>
              <w:t xml:space="preserve"> </w:t>
            </w:r>
            <w:r w:rsidR="00AC3C09" w:rsidRPr="00AC3C09">
              <w:rPr>
                <w:rFonts w:ascii="Arial" w:hAnsi="Arial" w:cs="Arial"/>
                <w:b/>
                <w:color w:val="000000"/>
                <w:sz w:val="22"/>
                <w:szCs w:val="22"/>
              </w:rPr>
              <w:t>Paclitaxel</w:t>
            </w:r>
            <w:r w:rsidR="00AC3C09" w:rsidRPr="00CF1910">
              <w:rPr>
                <w:rFonts w:ascii="Arial" w:hAnsi="Arial" w:cs="Arial"/>
                <w:b/>
                <w:strike/>
                <w:color w:val="000000"/>
                <w:sz w:val="22"/>
                <w:szCs w:val="22"/>
              </w:rPr>
              <w:t xml:space="preserve"> </w:t>
            </w:r>
          </w:p>
          <w:p w:rsidR="00AC3C09" w:rsidRPr="00AC3C09" w:rsidRDefault="00AC3C09" w:rsidP="00D03E32">
            <w:pPr>
              <w:keepNext/>
              <w:keepLines/>
              <w:jc w:val="center"/>
              <w:rPr>
                <w:rFonts w:ascii="Arial" w:hAnsi="Arial" w:cs="Arial"/>
                <w:sz w:val="22"/>
                <w:szCs w:val="22"/>
              </w:rPr>
            </w:pPr>
            <w:r w:rsidRPr="00AC3C09">
              <w:rPr>
                <w:rFonts w:ascii="Arial" w:hAnsi="Arial" w:cs="Arial"/>
                <w:b/>
                <w:color w:val="000000"/>
                <w:sz w:val="22"/>
                <w:szCs w:val="22"/>
              </w:rPr>
              <w:t>(N = 222)</w:t>
            </w:r>
          </w:p>
        </w:tc>
      </w:tr>
      <w:tr w:rsidR="00AC3C09" w:rsidRPr="00AC3C09" w:rsidTr="00D03E32">
        <w:trPr>
          <w:cantSplit/>
          <w:trHeight w:val="288"/>
        </w:trPr>
        <w:tc>
          <w:tcPr>
            <w:tcW w:w="4050" w:type="dxa"/>
            <w:shd w:val="clear" w:color="auto" w:fill="auto"/>
          </w:tcPr>
          <w:p w:rsidR="00AC3C09" w:rsidRPr="00AC3C09" w:rsidRDefault="00AC3C09" w:rsidP="00D03E32">
            <w:pPr>
              <w:pStyle w:val="listdashnospace"/>
              <w:keepNext/>
              <w:keepLines/>
              <w:numPr>
                <w:ilvl w:val="0"/>
                <w:numId w:val="0"/>
              </w:numPr>
              <w:rPr>
                <w:rFonts w:ascii="Arial" w:hAnsi="Arial" w:cs="Arial"/>
                <w:sz w:val="22"/>
                <w:szCs w:val="22"/>
              </w:rPr>
            </w:pPr>
            <w:r w:rsidRPr="00AC3C09">
              <w:rPr>
                <w:rFonts w:ascii="Arial" w:hAnsi="Arial" w:cs="Arial"/>
                <w:sz w:val="22"/>
                <w:szCs w:val="22"/>
              </w:rPr>
              <w:t xml:space="preserve">Died </w:t>
            </w:r>
          </w:p>
        </w:tc>
        <w:tc>
          <w:tcPr>
            <w:tcW w:w="2250" w:type="dxa"/>
            <w:shd w:val="clear" w:color="auto" w:fill="auto"/>
          </w:tcPr>
          <w:p w:rsidR="00AC3C09" w:rsidRPr="00AC3C09" w:rsidRDefault="00AC3C09" w:rsidP="00D03E32">
            <w:pPr>
              <w:keepNext/>
              <w:keepLines/>
              <w:jc w:val="center"/>
              <w:rPr>
                <w:rFonts w:ascii="Arial" w:hAnsi="Arial" w:cs="Arial"/>
                <w:sz w:val="22"/>
                <w:szCs w:val="22"/>
              </w:rPr>
            </w:pPr>
            <w:r w:rsidRPr="00AC3C09">
              <w:rPr>
                <w:rFonts w:ascii="Arial" w:hAnsi="Arial" w:cs="Arial"/>
                <w:sz w:val="22"/>
                <w:szCs w:val="22"/>
              </w:rPr>
              <w:t>54%</w:t>
            </w:r>
          </w:p>
        </w:tc>
        <w:tc>
          <w:tcPr>
            <w:tcW w:w="2302" w:type="dxa"/>
            <w:shd w:val="clear" w:color="auto" w:fill="auto"/>
          </w:tcPr>
          <w:p w:rsidR="00AC3C09" w:rsidRPr="00AC3C09" w:rsidRDefault="00AC3C09" w:rsidP="00D03E32">
            <w:pPr>
              <w:keepNext/>
              <w:keepLines/>
              <w:jc w:val="center"/>
              <w:rPr>
                <w:rFonts w:ascii="Arial" w:hAnsi="Arial" w:cs="Arial"/>
                <w:sz w:val="22"/>
                <w:szCs w:val="22"/>
              </w:rPr>
            </w:pPr>
            <w:r w:rsidRPr="00AC3C09">
              <w:rPr>
                <w:rFonts w:ascii="Arial" w:hAnsi="Arial" w:cs="Arial"/>
                <w:sz w:val="22"/>
                <w:szCs w:val="22"/>
              </w:rPr>
              <w:t>64%</w:t>
            </w:r>
          </w:p>
        </w:tc>
      </w:tr>
      <w:tr w:rsidR="00AC3C09" w:rsidRPr="00AC3C09" w:rsidTr="00D03E32">
        <w:trPr>
          <w:cantSplit/>
          <w:trHeight w:val="288"/>
        </w:trPr>
        <w:tc>
          <w:tcPr>
            <w:tcW w:w="4050" w:type="dxa"/>
            <w:shd w:val="clear" w:color="auto" w:fill="auto"/>
          </w:tcPr>
          <w:p w:rsidR="00AC3C09" w:rsidRPr="00AC3C09" w:rsidRDefault="00AC3C09" w:rsidP="00D03E32">
            <w:pPr>
              <w:pStyle w:val="listdashnospace"/>
              <w:numPr>
                <w:ilvl w:val="0"/>
                <w:numId w:val="0"/>
              </w:numPr>
              <w:rPr>
                <w:rFonts w:ascii="Arial" w:hAnsi="Arial" w:cs="Arial"/>
                <w:sz w:val="22"/>
                <w:szCs w:val="22"/>
                <w:vertAlign w:val="superscript"/>
              </w:rPr>
            </w:pPr>
            <w:r w:rsidRPr="00AC3C09">
              <w:rPr>
                <w:rFonts w:ascii="Arial" w:hAnsi="Arial" w:cs="Arial"/>
                <w:sz w:val="22"/>
                <w:szCs w:val="22"/>
              </w:rPr>
              <w:t>Median overall survival (months)</w:t>
            </w:r>
            <w:r w:rsidRPr="00AC3C09">
              <w:rPr>
                <w:rFonts w:ascii="Arial" w:hAnsi="Arial" w:cs="Arial"/>
                <w:sz w:val="22"/>
                <w:szCs w:val="22"/>
                <w:vertAlign w:val="superscript"/>
              </w:rPr>
              <w:t>1</w:t>
            </w:r>
          </w:p>
          <w:p w:rsidR="00AC3C09" w:rsidRPr="00AC3C09" w:rsidRDefault="00CC6ABA" w:rsidP="00CC6ABA">
            <w:pPr>
              <w:pStyle w:val="listdashnospace"/>
              <w:numPr>
                <w:ilvl w:val="0"/>
                <w:numId w:val="0"/>
              </w:numPr>
              <w:spacing w:line="312" w:lineRule="atLeast"/>
              <w:rPr>
                <w:rFonts w:ascii="Arial" w:hAnsi="Arial" w:cs="Arial"/>
                <w:sz w:val="22"/>
                <w:szCs w:val="22"/>
                <w:vertAlign w:val="superscript"/>
              </w:rPr>
            </w:pPr>
            <w:r w:rsidRPr="00AC3C09">
              <w:rPr>
                <w:rFonts w:ascii="Arial" w:hAnsi="Arial" w:cs="Arial"/>
                <w:sz w:val="22"/>
                <w:szCs w:val="22"/>
              </w:rPr>
              <w:t xml:space="preserve"> </w:t>
            </w:r>
            <w:r w:rsidR="00AC3C09" w:rsidRPr="00AC3C09">
              <w:rPr>
                <w:rFonts w:ascii="Arial" w:hAnsi="Arial" w:cs="Arial"/>
                <w:sz w:val="22"/>
                <w:szCs w:val="22"/>
              </w:rPr>
              <w:t>(95% CI)</w:t>
            </w:r>
          </w:p>
        </w:tc>
        <w:tc>
          <w:tcPr>
            <w:tcW w:w="2250" w:type="dxa"/>
            <w:shd w:val="clear" w:color="auto" w:fill="auto"/>
          </w:tcPr>
          <w:p w:rsidR="00AC3C09" w:rsidRPr="00AC3C09" w:rsidRDefault="00AC3C09" w:rsidP="00CC6ABA">
            <w:pPr>
              <w:jc w:val="center"/>
              <w:rPr>
                <w:rFonts w:ascii="Arial" w:hAnsi="Arial" w:cs="Arial"/>
                <w:sz w:val="22"/>
                <w:szCs w:val="22"/>
              </w:rPr>
            </w:pPr>
            <w:r w:rsidRPr="00AC3C09">
              <w:rPr>
                <w:rFonts w:ascii="Arial" w:hAnsi="Arial" w:cs="Arial"/>
                <w:sz w:val="22"/>
                <w:szCs w:val="22"/>
              </w:rPr>
              <w:t>27.8</w:t>
            </w:r>
          </w:p>
          <w:p w:rsidR="00AC3C09" w:rsidRPr="00AC3C09" w:rsidRDefault="00AC3C09" w:rsidP="00D03E32">
            <w:pPr>
              <w:jc w:val="center"/>
              <w:rPr>
                <w:rFonts w:ascii="Arial" w:hAnsi="Arial" w:cs="Arial"/>
                <w:sz w:val="22"/>
                <w:szCs w:val="22"/>
              </w:rPr>
            </w:pPr>
            <w:r w:rsidRPr="00AC3C09">
              <w:rPr>
                <w:rFonts w:ascii="Arial" w:hAnsi="Arial" w:cs="Arial"/>
                <w:sz w:val="22"/>
                <w:szCs w:val="22"/>
              </w:rPr>
              <w:t>(23.2, 32.2)</w:t>
            </w:r>
          </w:p>
        </w:tc>
        <w:tc>
          <w:tcPr>
            <w:tcW w:w="2302" w:type="dxa"/>
            <w:shd w:val="clear" w:color="auto" w:fill="auto"/>
          </w:tcPr>
          <w:p w:rsidR="00AC3C09" w:rsidRPr="00AC3C09" w:rsidRDefault="00AC3C09" w:rsidP="00D03E32">
            <w:pPr>
              <w:jc w:val="center"/>
              <w:rPr>
                <w:rFonts w:ascii="Arial" w:hAnsi="Arial" w:cs="Arial"/>
                <w:sz w:val="22"/>
                <w:szCs w:val="22"/>
              </w:rPr>
            </w:pPr>
            <w:r w:rsidRPr="00AC3C09">
              <w:rPr>
                <w:rFonts w:ascii="Arial" w:hAnsi="Arial" w:cs="Arial"/>
                <w:sz w:val="22"/>
                <w:szCs w:val="22"/>
              </w:rPr>
              <w:t>20.5</w:t>
            </w:r>
          </w:p>
          <w:p w:rsidR="00AC3C09" w:rsidRPr="00AC3C09" w:rsidRDefault="00AC3C09" w:rsidP="00D03E32">
            <w:pPr>
              <w:jc w:val="center"/>
              <w:rPr>
                <w:rFonts w:ascii="Arial" w:hAnsi="Arial" w:cs="Arial"/>
                <w:sz w:val="22"/>
                <w:szCs w:val="22"/>
              </w:rPr>
            </w:pPr>
            <w:r w:rsidRPr="00AC3C09">
              <w:rPr>
                <w:rFonts w:ascii="Arial" w:hAnsi="Arial" w:cs="Arial"/>
                <w:sz w:val="22"/>
                <w:szCs w:val="22"/>
              </w:rPr>
              <w:t>(17.9, 24.3)</w:t>
            </w:r>
          </w:p>
        </w:tc>
      </w:tr>
      <w:tr w:rsidR="00AC3C09" w:rsidRPr="00AC3C09" w:rsidTr="00D03E32">
        <w:trPr>
          <w:cantSplit/>
          <w:trHeight w:val="288"/>
        </w:trPr>
        <w:tc>
          <w:tcPr>
            <w:tcW w:w="4050" w:type="dxa"/>
            <w:shd w:val="clear" w:color="auto" w:fill="auto"/>
          </w:tcPr>
          <w:p w:rsidR="00AC3C09" w:rsidRPr="00AC3C09" w:rsidRDefault="00AC3C09" w:rsidP="00D03E32">
            <w:pPr>
              <w:pStyle w:val="listdashnospace"/>
              <w:numPr>
                <w:ilvl w:val="0"/>
                <w:numId w:val="0"/>
              </w:numPr>
              <w:rPr>
                <w:rFonts w:ascii="Arial" w:hAnsi="Arial" w:cs="Arial"/>
                <w:sz w:val="22"/>
                <w:szCs w:val="22"/>
              </w:rPr>
            </w:pPr>
            <w:r w:rsidRPr="00AC3C09">
              <w:rPr>
                <w:rFonts w:ascii="Arial" w:hAnsi="Arial" w:cs="Arial"/>
                <w:sz w:val="22"/>
                <w:szCs w:val="22"/>
              </w:rPr>
              <w:t>Hazard ratio</w:t>
            </w:r>
            <w:r w:rsidRPr="00AC3C09">
              <w:rPr>
                <w:rFonts w:ascii="Arial" w:hAnsi="Arial" w:cs="Arial"/>
                <w:sz w:val="22"/>
                <w:szCs w:val="22"/>
                <w:vertAlign w:val="superscript"/>
              </w:rPr>
              <w:t>2</w:t>
            </w:r>
            <w:r w:rsidRPr="00AC3C09">
              <w:rPr>
                <w:rFonts w:ascii="Arial" w:hAnsi="Arial" w:cs="Arial"/>
                <w:sz w:val="22"/>
                <w:szCs w:val="22"/>
              </w:rPr>
              <w:t>, 95% CI</w:t>
            </w:r>
          </w:p>
          <w:p w:rsidR="00AC3C09" w:rsidRPr="00AC3C09" w:rsidRDefault="00AC3C09" w:rsidP="00D03E32">
            <w:pPr>
              <w:rPr>
                <w:rFonts w:ascii="Arial" w:hAnsi="Arial" w:cs="Arial"/>
                <w:sz w:val="22"/>
                <w:szCs w:val="22"/>
              </w:rPr>
            </w:pPr>
            <w:r w:rsidRPr="00AC3C09">
              <w:rPr>
                <w:rFonts w:ascii="Arial" w:hAnsi="Arial" w:cs="Arial"/>
                <w:sz w:val="22"/>
                <w:szCs w:val="22"/>
              </w:rPr>
              <w:t xml:space="preserve">(Two-sided </w:t>
            </w:r>
            <w:r w:rsidRPr="00F108C0">
              <w:rPr>
                <w:rFonts w:ascii="Arial" w:hAnsi="Arial" w:cs="Arial"/>
                <w:sz w:val="22"/>
                <w:szCs w:val="22"/>
              </w:rPr>
              <w:t>P</w:t>
            </w:r>
            <w:r w:rsidRPr="00AC3C09">
              <w:rPr>
                <w:rFonts w:ascii="Arial" w:hAnsi="Arial" w:cs="Arial"/>
                <w:sz w:val="22"/>
                <w:szCs w:val="22"/>
              </w:rPr>
              <w:t xml:space="preserve"> value)</w:t>
            </w:r>
          </w:p>
        </w:tc>
        <w:tc>
          <w:tcPr>
            <w:tcW w:w="4552" w:type="dxa"/>
            <w:gridSpan w:val="2"/>
            <w:shd w:val="clear" w:color="auto" w:fill="auto"/>
          </w:tcPr>
          <w:p w:rsidR="00AC3C09" w:rsidRPr="00AC3C09" w:rsidRDefault="00AC3C09" w:rsidP="00D03E32">
            <w:pPr>
              <w:jc w:val="center"/>
              <w:rPr>
                <w:rFonts w:ascii="Arial" w:eastAsia="Calibri" w:hAnsi="Arial" w:cs="Arial"/>
                <w:sz w:val="22"/>
                <w:szCs w:val="22"/>
              </w:rPr>
            </w:pPr>
            <w:r w:rsidRPr="00AC3C09">
              <w:rPr>
                <w:rFonts w:ascii="Arial" w:hAnsi="Arial" w:cs="Arial"/>
                <w:sz w:val="22"/>
                <w:szCs w:val="22"/>
              </w:rPr>
              <w:t>0.74 (0.58, 0.94)</w:t>
            </w:r>
          </w:p>
          <w:p w:rsidR="00AC3C09" w:rsidRPr="00AC3C09" w:rsidRDefault="00AC3C09" w:rsidP="00D03E32">
            <w:pPr>
              <w:jc w:val="center"/>
              <w:rPr>
                <w:rFonts w:ascii="Arial" w:hAnsi="Arial" w:cs="Arial"/>
                <w:sz w:val="22"/>
                <w:szCs w:val="22"/>
              </w:rPr>
            </w:pPr>
            <w:r w:rsidRPr="00AC3C09">
              <w:rPr>
                <w:rFonts w:ascii="Arial" w:hAnsi="Arial" w:cs="Arial"/>
                <w:sz w:val="22"/>
                <w:szCs w:val="22"/>
              </w:rPr>
              <w:t>0.0124</w:t>
            </w:r>
          </w:p>
        </w:tc>
      </w:tr>
      <w:tr w:rsidR="00AC3C09" w:rsidRPr="00AC3C09" w:rsidTr="00D03E32">
        <w:trPr>
          <w:cantSplit/>
          <w:trHeight w:val="288"/>
        </w:trPr>
        <w:tc>
          <w:tcPr>
            <w:tcW w:w="4050" w:type="dxa"/>
            <w:shd w:val="clear" w:color="auto" w:fill="auto"/>
          </w:tcPr>
          <w:p w:rsidR="00AC3C09" w:rsidRPr="00AC3C09" w:rsidRDefault="00AC3C09" w:rsidP="00D03E32">
            <w:pPr>
              <w:rPr>
                <w:rFonts w:ascii="Arial" w:eastAsia="Calibri" w:hAnsi="Arial" w:cs="Arial"/>
                <w:sz w:val="22"/>
                <w:szCs w:val="22"/>
              </w:rPr>
            </w:pPr>
            <w:r w:rsidRPr="00AC3C09">
              <w:rPr>
                <w:rFonts w:ascii="Arial" w:hAnsi="Arial" w:cs="Arial"/>
                <w:sz w:val="22"/>
                <w:szCs w:val="22"/>
              </w:rPr>
              <w:t>Cox Regression</w:t>
            </w:r>
            <w:r w:rsidRPr="00AC3C09">
              <w:rPr>
                <w:rFonts w:ascii="Arial" w:hAnsi="Arial" w:cs="Arial"/>
                <w:sz w:val="22"/>
                <w:szCs w:val="22"/>
                <w:vertAlign w:val="superscript"/>
              </w:rPr>
              <w:t>3</w:t>
            </w:r>
            <w:r w:rsidRPr="00AC3C09">
              <w:rPr>
                <w:rFonts w:ascii="Arial" w:hAnsi="Arial" w:cs="Arial"/>
                <w:sz w:val="22"/>
                <w:szCs w:val="22"/>
              </w:rPr>
              <w:t xml:space="preserve"> Hazard Ratio </w:t>
            </w:r>
          </w:p>
          <w:p w:rsidR="00AC3C09" w:rsidRPr="00AC3C09" w:rsidRDefault="00AC3C09" w:rsidP="00D03E32">
            <w:pPr>
              <w:pStyle w:val="listdashnospace"/>
              <w:numPr>
                <w:ilvl w:val="0"/>
                <w:numId w:val="0"/>
              </w:numPr>
              <w:rPr>
                <w:rFonts w:ascii="Arial" w:hAnsi="Arial" w:cs="Arial"/>
                <w:sz w:val="22"/>
                <w:szCs w:val="22"/>
              </w:rPr>
            </w:pPr>
            <w:r w:rsidRPr="00AC3C09">
              <w:rPr>
                <w:rFonts w:ascii="Arial" w:hAnsi="Arial" w:cs="Arial"/>
                <w:sz w:val="22"/>
                <w:szCs w:val="22"/>
              </w:rPr>
              <w:t xml:space="preserve">95% CI (Two-sided </w:t>
            </w:r>
            <w:r w:rsidRPr="00F108C0">
              <w:rPr>
                <w:rFonts w:ascii="Arial" w:hAnsi="Arial" w:cs="Arial"/>
                <w:iCs/>
                <w:sz w:val="22"/>
                <w:szCs w:val="22"/>
              </w:rPr>
              <w:t>P</w:t>
            </w:r>
            <w:r w:rsidRPr="00AC3C09">
              <w:rPr>
                <w:rFonts w:ascii="Arial" w:hAnsi="Arial" w:cs="Arial"/>
                <w:sz w:val="22"/>
                <w:szCs w:val="22"/>
              </w:rPr>
              <w:t xml:space="preserve"> value)</w:t>
            </w:r>
          </w:p>
        </w:tc>
        <w:tc>
          <w:tcPr>
            <w:tcW w:w="4552" w:type="dxa"/>
            <w:gridSpan w:val="2"/>
            <w:shd w:val="clear" w:color="auto" w:fill="auto"/>
          </w:tcPr>
          <w:p w:rsidR="00AC3C09" w:rsidRPr="00AC3C09" w:rsidRDefault="00AC3C09" w:rsidP="00D03E32">
            <w:pPr>
              <w:jc w:val="center"/>
              <w:rPr>
                <w:rFonts w:ascii="Arial" w:eastAsia="Calibri" w:hAnsi="Arial" w:cs="Arial"/>
                <w:sz w:val="22"/>
                <w:szCs w:val="22"/>
              </w:rPr>
            </w:pPr>
            <w:r w:rsidRPr="00AC3C09">
              <w:rPr>
                <w:rFonts w:ascii="Arial" w:hAnsi="Arial" w:cs="Arial"/>
                <w:sz w:val="22"/>
                <w:szCs w:val="22"/>
              </w:rPr>
              <w:t>0.64 (0.49, 0.82)</w:t>
            </w:r>
          </w:p>
          <w:p w:rsidR="00AC3C09" w:rsidRPr="00AC3C09" w:rsidRDefault="00AC3C09" w:rsidP="00D03E32">
            <w:pPr>
              <w:jc w:val="center"/>
              <w:rPr>
                <w:rFonts w:ascii="Arial" w:hAnsi="Arial" w:cs="Arial"/>
                <w:sz w:val="22"/>
                <w:szCs w:val="22"/>
              </w:rPr>
            </w:pPr>
            <w:r w:rsidRPr="00AC3C09">
              <w:rPr>
                <w:rFonts w:ascii="Arial" w:hAnsi="Arial" w:cs="Arial"/>
                <w:sz w:val="22"/>
                <w:szCs w:val="22"/>
              </w:rPr>
              <w:t>0.0005</w:t>
            </w:r>
          </w:p>
        </w:tc>
      </w:tr>
    </w:tbl>
    <w:p w:rsidR="00AC3C09" w:rsidRPr="00AC3C09" w:rsidRDefault="00AC3C09" w:rsidP="00AC3C09">
      <w:pPr>
        <w:rPr>
          <w:rFonts w:ascii="Arial" w:hAnsi="Arial" w:cs="Arial"/>
          <w:i/>
          <w:iCs/>
          <w:noProof/>
          <w:color w:val="000000"/>
          <w:sz w:val="22"/>
          <w:szCs w:val="22"/>
        </w:rPr>
      </w:pPr>
      <w:r w:rsidRPr="00AC3C09">
        <w:rPr>
          <w:rFonts w:ascii="Arial" w:hAnsi="Arial" w:cs="Arial"/>
          <w:i/>
          <w:iCs/>
          <w:noProof/>
          <w:color w:val="000000"/>
          <w:sz w:val="22"/>
          <w:szCs w:val="22"/>
        </w:rPr>
        <w:t>CI = confidence interval</w:t>
      </w:r>
    </w:p>
    <w:p w:rsidR="00AC3C09" w:rsidRPr="00AC3C09" w:rsidRDefault="00AC3C09" w:rsidP="00AC3C09">
      <w:pPr>
        <w:rPr>
          <w:rFonts w:ascii="Arial" w:hAnsi="Arial" w:cs="Arial"/>
          <w:i/>
          <w:iCs/>
          <w:noProof/>
          <w:color w:val="000000"/>
          <w:sz w:val="22"/>
          <w:szCs w:val="22"/>
        </w:rPr>
      </w:pPr>
      <w:r w:rsidRPr="00AC3C09">
        <w:rPr>
          <w:rFonts w:ascii="Arial" w:hAnsi="Arial" w:cs="Arial"/>
          <w:i/>
          <w:iCs/>
          <w:noProof/>
          <w:color w:val="000000"/>
          <w:sz w:val="22"/>
          <w:szCs w:val="22"/>
          <w:vertAlign w:val="superscript"/>
        </w:rPr>
        <w:t xml:space="preserve">1 </w:t>
      </w:r>
      <w:r w:rsidRPr="00AC3C09">
        <w:rPr>
          <w:rFonts w:ascii="Arial" w:hAnsi="Arial" w:cs="Arial"/>
          <w:i/>
          <w:iCs/>
          <w:noProof/>
          <w:color w:val="000000"/>
          <w:sz w:val="22"/>
          <w:szCs w:val="22"/>
        </w:rPr>
        <w:t>Kaplan-Meier estimates</w:t>
      </w:r>
    </w:p>
    <w:p w:rsidR="00AC3C09" w:rsidRPr="00AC3C09" w:rsidRDefault="00AC3C09" w:rsidP="00AC3C09">
      <w:pPr>
        <w:rPr>
          <w:rFonts w:ascii="Arial" w:hAnsi="Arial" w:cs="Arial"/>
          <w:i/>
          <w:iCs/>
          <w:noProof/>
          <w:color w:val="000000"/>
          <w:sz w:val="22"/>
          <w:szCs w:val="22"/>
        </w:rPr>
      </w:pPr>
      <w:r w:rsidRPr="00AC3C09">
        <w:rPr>
          <w:rFonts w:ascii="Arial" w:hAnsi="Arial" w:cs="Arial"/>
          <w:i/>
          <w:iCs/>
          <w:noProof/>
          <w:color w:val="000000"/>
          <w:sz w:val="22"/>
          <w:szCs w:val="22"/>
          <w:vertAlign w:val="superscript"/>
        </w:rPr>
        <w:t xml:space="preserve">2  </w:t>
      </w:r>
      <w:r w:rsidRPr="00AC3C09">
        <w:rPr>
          <w:rFonts w:ascii="Arial" w:hAnsi="Arial" w:cs="Arial"/>
          <w:i/>
          <w:iCs/>
          <w:noProof/>
          <w:color w:val="000000"/>
          <w:sz w:val="22"/>
          <w:szCs w:val="22"/>
        </w:rPr>
        <w:t>Pike estimator of hazard ratio</w:t>
      </w:r>
    </w:p>
    <w:p w:rsidR="00AC3C09" w:rsidRDefault="00AC3C09" w:rsidP="00AC3C09">
      <w:pPr>
        <w:rPr>
          <w:rFonts w:ascii="Arial" w:hAnsi="Arial" w:cs="Arial"/>
          <w:i/>
          <w:color w:val="000000"/>
          <w:sz w:val="22"/>
          <w:szCs w:val="22"/>
        </w:rPr>
      </w:pPr>
      <w:r w:rsidRPr="00AC3C09">
        <w:rPr>
          <w:rFonts w:ascii="Arial" w:hAnsi="Arial" w:cs="Arial"/>
          <w:i/>
          <w:iCs/>
          <w:noProof/>
          <w:color w:val="000000"/>
          <w:sz w:val="22"/>
          <w:szCs w:val="22"/>
          <w:vertAlign w:val="superscript"/>
        </w:rPr>
        <w:t xml:space="preserve"> 3 </w:t>
      </w:r>
      <w:r w:rsidRPr="00AC3C09">
        <w:rPr>
          <w:rFonts w:ascii="Arial" w:hAnsi="Arial" w:cs="Arial"/>
          <w:i/>
          <w:color w:val="000000"/>
          <w:sz w:val="22"/>
          <w:szCs w:val="22"/>
        </w:rPr>
        <w:t>Adjusted for hormonal status, metastatic disease sites, stage at initial diagnosis, ECOG Performance Status, number of metastatic sites, age and disease-free interval.</w:t>
      </w:r>
    </w:p>
    <w:p w:rsidR="00CC6ABA" w:rsidRPr="00AC3C09" w:rsidRDefault="00CC6ABA" w:rsidP="00AC3C09">
      <w:pPr>
        <w:rPr>
          <w:rFonts w:ascii="Arial" w:hAnsi="Arial" w:cs="Arial"/>
          <w:i/>
          <w:iCs/>
          <w:noProof/>
          <w:color w:val="000000"/>
          <w:sz w:val="22"/>
          <w:szCs w:val="22"/>
          <w:vertAlign w:val="superscript"/>
        </w:rPr>
      </w:pPr>
    </w:p>
    <w:p w:rsidR="00AC3C09" w:rsidRPr="00AC3C09" w:rsidRDefault="00AC3C09" w:rsidP="00AC3C09">
      <w:pPr>
        <w:autoSpaceDE w:val="0"/>
        <w:autoSpaceDN w:val="0"/>
        <w:rPr>
          <w:rFonts w:ascii="Arial" w:hAnsi="Arial" w:cs="Arial"/>
          <w:color w:val="000000"/>
          <w:sz w:val="22"/>
          <w:szCs w:val="22"/>
        </w:rPr>
      </w:pPr>
      <w:r w:rsidRPr="00AC3C09">
        <w:rPr>
          <w:rFonts w:ascii="Arial" w:hAnsi="Arial" w:cs="Arial"/>
          <w:color w:val="000000"/>
          <w:sz w:val="22"/>
          <w:szCs w:val="22"/>
        </w:rPr>
        <w:t xml:space="preserve">A summary of other key efficacy endpoints are provided in Table </w:t>
      </w:r>
      <w:r w:rsidR="009A4CA4">
        <w:rPr>
          <w:rFonts w:ascii="Arial" w:hAnsi="Arial" w:cs="Arial"/>
          <w:color w:val="000000"/>
          <w:sz w:val="22"/>
          <w:szCs w:val="22"/>
        </w:rPr>
        <w:t>4</w:t>
      </w:r>
      <w:r w:rsidRPr="00AC3C09">
        <w:rPr>
          <w:rFonts w:ascii="Arial" w:hAnsi="Arial" w:cs="Arial"/>
          <w:color w:val="000000"/>
          <w:sz w:val="22"/>
          <w:szCs w:val="22"/>
        </w:rPr>
        <w:t>.</w:t>
      </w:r>
    </w:p>
    <w:p w:rsidR="00AC3C09" w:rsidRPr="00AC3C09" w:rsidRDefault="00AC3C09" w:rsidP="00AC3C09">
      <w:pPr>
        <w:autoSpaceDE w:val="0"/>
        <w:autoSpaceDN w:val="0"/>
        <w:rPr>
          <w:rFonts w:ascii="Arial" w:hAnsi="Arial" w:cs="Arial"/>
          <w:color w:val="000000"/>
          <w:sz w:val="22"/>
          <w:szCs w:val="22"/>
        </w:rPr>
      </w:pPr>
    </w:p>
    <w:p w:rsidR="00AC3C09" w:rsidRPr="00CC6ABA" w:rsidRDefault="00AC3C09" w:rsidP="00CC6ABA">
      <w:pPr>
        <w:pStyle w:val="Caption"/>
        <w:keepNext/>
        <w:jc w:val="left"/>
        <w:rPr>
          <w:rFonts w:ascii="Arial" w:hAnsi="Arial" w:cs="Arial"/>
          <w:b/>
          <w:i w:val="0"/>
          <w:sz w:val="22"/>
          <w:szCs w:val="22"/>
          <w:u w:val="single"/>
        </w:rPr>
      </w:pPr>
      <w:r w:rsidRPr="00CC6ABA">
        <w:rPr>
          <w:rFonts w:ascii="Arial" w:hAnsi="Arial" w:cs="Arial"/>
          <w:b/>
          <w:i w:val="0"/>
          <w:sz w:val="22"/>
          <w:szCs w:val="22"/>
          <w:u w:val="single"/>
        </w:rPr>
        <w:t xml:space="preserve">Table </w:t>
      </w:r>
      <w:r w:rsidR="009A4CA4">
        <w:rPr>
          <w:rFonts w:ascii="Arial" w:hAnsi="Arial" w:cs="Arial"/>
          <w:b/>
          <w:i w:val="0"/>
          <w:sz w:val="22"/>
          <w:szCs w:val="22"/>
          <w:u w:val="single"/>
        </w:rPr>
        <w:t>4</w:t>
      </w:r>
      <w:r w:rsidRPr="00CC6ABA">
        <w:rPr>
          <w:rFonts w:ascii="Arial" w:hAnsi="Arial" w:cs="Arial"/>
          <w:b/>
          <w:i w:val="0"/>
          <w:sz w:val="22"/>
          <w:szCs w:val="22"/>
          <w:u w:val="single"/>
        </w:rPr>
        <w:t xml:space="preserve">: Efficacy Data </w:t>
      </w:r>
    </w:p>
    <w:tbl>
      <w:tblPr>
        <w:tblW w:w="86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60"/>
        <w:gridCol w:w="2430"/>
        <w:gridCol w:w="2212"/>
      </w:tblGrid>
      <w:tr w:rsidR="00AC3C09" w:rsidRPr="00AC3C09" w:rsidTr="00D03E32">
        <w:trPr>
          <w:cantSplit/>
          <w:tblHeader/>
        </w:trPr>
        <w:tc>
          <w:tcPr>
            <w:tcW w:w="3960" w:type="dxa"/>
            <w:shd w:val="clear" w:color="auto" w:fill="auto"/>
          </w:tcPr>
          <w:p w:rsidR="00AC3C09" w:rsidRPr="00AC3C09" w:rsidRDefault="00AC3C09" w:rsidP="00D03E32">
            <w:pPr>
              <w:keepNext/>
              <w:keepLines/>
              <w:jc w:val="center"/>
              <w:rPr>
                <w:rFonts w:ascii="Arial" w:hAnsi="Arial" w:cs="Arial"/>
                <w:sz w:val="22"/>
                <w:szCs w:val="22"/>
              </w:rPr>
            </w:pPr>
          </w:p>
        </w:tc>
        <w:tc>
          <w:tcPr>
            <w:tcW w:w="2430" w:type="dxa"/>
            <w:shd w:val="clear" w:color="auto" w:fill="auto"/>
          </w:tcPr>
          <w:p w:rsidR="00AC3C09" w:rsidRPr="00AC3C09" w:rsidRDefault="00CC6ABA" w:rsidP="00D03E32">
            <w:pPr>
              <w:keepNext/>
              <w:keepLines/>
              <w:jc w:val="center"/>
              <w:rPr>
                <w:rFonts w:ascii="Arial" w:hAnsi="Arial" w:cs="Arial"/>
                <w:b/>
                <w:color w:val="000000"/>
                <w:sz w:val="22"/>
                <w:szCs w:val="22"/>
              </w:rPr>
            </w:pPr>
            <w:r>
              <w:rPr>
                <w:rFonts w:ascii="Arial" w:hAnsi="Arial" w:cs="Arial"/>
                <w:b/>
                <w:color w:val="000000"/>
                <w:sz w:val="22"/>
                <w:szCs w:val="22"/>
              </w:rPr>
              <w:t>TYKERB</w:t>
            </w:r>
            <w:r w:rsidR="00AC3C09" w:rsidRPr="00AC3C09">
              <w:rPr>
                <w:rFonts w:ascii="Arial" w:hAnsi="Arial" w:cs="Arial"/>
                <w:b/>
                <w:color w:val="000000"/>
                <w:sz w:val="22"/>
                <w:szCs w:val="22"/>
              </w:rPr>
              <w:t xml:space="preserve"> plus Paclitaxel </w:t>
            </w:r>
          </w:p>
          <w:p w:rsidR="00AC3C09" w:rsidRPr="00AC3C09" w:rsidRDefault="00AC3C09" w:rsidP="00D03E32">
            <w:pPr>
              <w:keepNext/>
              <w:keepLines/>
              <w:jc w:val="center"/>
              <w:rPr>
                <w:rFonts w:ascii="Arial" w:hAnsi="Arial" w:cs="Arial"/>
                <w:sz w:val="22"/>
                <w:szCs w:val="22"/>
              </w:rPr>
            </w:pPr>
            <w:r w:rsidRPr="00AC3C09">
              <w:rPr>
                <w:rFonts w:ascii="Arial" w:hAnsi="Arial" w:cs="Arial"/>
                <w:b/>
                <w:color w:val="000000"/>
                <w:sz w:val="22"/>
                <w:szCs w:val="22"/>
              </w:rPr>
              <w:t>(N = 222)</w:t>
            </w:r>
          </w:p>
        </w:tc>
        <w:tc>
          <w:tcPr>
            <w:tcW w:w="2212" w:type="dxa"/>
            <w:shd w:val="clear" w:color="auto" w:fill="auto"/>
            <w:vAlign w:val="bottom"/>
          </w:tcPr>
          <w:p w:rsidR="00AC3C09" w:rsidRPr="00AC3C09" w:rsidRDefault="00D319BF" w:rsidP="00D03E32">
            <w:pPr>
              <w:keepNext/>
              <w:keepLines/>
              <w:jc w:val="center"/>
              <w:rPr>
                <w:rFonts w:ascii="Arial" w:hAnsi="Arial" w:cs="Arial"/>
                <w:b/>
                <w:color w:val="000000"/>
                <w:sz w:val="22"/>
                <w:szCs w:val="22"/>
              </w:rPr>
            </w:pPr>
            <w:r w:rsidRPr="00691484">
              <w:rPr>
                <w:rFonts w:ascii="Arial" w:hAnsi="Arial" w:cs="Arial"/>
                <w:b/>
                <w:color w:val="000000"/>
                <w:sz w:val="22"/>
                <w:szCs w:val="22"/>
              </w:rPr>
              <w:t>Placebo plus</w:t>
            </w:r>
            <w:r>
              <w:rPr>
                <w:rFonts w:ascii="Arial" w:hAnsi="Arial" w:cs="Arial"/>
                <w:b/>
                <w:color w:val="000000"/>
                <w:sz w:val="22"/>
                <w:szCs w:val="22"/>
              </w:rPr>
              <w:t xml:space="preserve"> </w:t>
            </w:r>
            <w:r w:rsidR="00AC3C09" w:rsidRPr="00AC3C09">
              <w:rPr>
                <w:rFonts w:ascii="Arial" w:hAnsi="Arial" w:cs="Arial"/>
                <w:b/>
                <w:color w:val="000000"/>
                <w:sz w:val="22"/>
                <w:szCs w:val="22"/>
              </w:rPr>
              <w:t xml:space="preserve">Paclitaxel </w:t>
            </w:r>
          </w:p>
          <w:p w:rsidR="00AC3C09" w:rsidRPr="00AC3C09" w:rsidRDefault="00AC3C09" w:rsidP="00D03E32">
            <w:pPr>
              <w:keepNext/>
              <w:keepLines/>
              <w:jc w:val="center"/>
              <w:rPr>
                <w:rFonts w:ascii="Arial" w:hAnsi="Arial" w:cs="Arial"/>
                <w:sz w:val="22"/>
                <w:szCs w:val="22"/>
              </w:rPr>
            </w:pPr>
            <w:r w:rsidRPr="00AC3C09">
              <w:rPr>
                <w:rFonts w:ascii="Arial" w:hAnsi="Arial" w:cs="Arial"/>
                <w:b/>
                <w:color w:val="000000"/>
                <w:sz w:val="22"/>
                <w:szCs w:val="22"/>
              </w:rPr>
              <w:t>(N = 222)</w:t>
            </w:r>
          </w:p>
        </w:tc>
      </w:tr>
      <w:tr w:rsidR="00AC3C09" w:rsidRPr="00AC3C09" w:rsidTr="00D03E32">
        <w:trPr>
          <w:cantSplit/>
          <w:trHeight w:val="395"/>
        </w:trPr>
        <w:tc>
          <w:tcPr>
            <w:tcW w:w="3960" w:type="dxa"/>
            <w:shd w:val="clear" w:color="auto" w:fill="auto"/>
          </w:tcPr>
          <w:p w:rsidR="00AC3C09" w:rsidRPr="00AC3C09" w:rsidRDefault="00AC3C09" w:rsidP="00D03E32">
            <w:pPr>
              <w:keepNext/>
              <w:keepLines/>
              <w:tabs>
                <w:tab w:val="left" w:pos="274"/>
              </w:tabs>
              <w:rPr>
                <w:rFonts w:ascii="Arial" w:hAnsi="Arial" w:cs="Arial"/>
                <w:b/>
                <w:color w:val="000000"/>
                <w:sz w:val="22"/>
                <w:szCs w:val="22"/>
              </w:rPr>
            </w:pPr>
            <w:r w:rsidRPr="00AC3C09">
              <w:rPr>
                <w:rFonts w:ascii="Arial" w:hAnsi="Arial" w:cs="Arial"/>
                <w:b/>
                <w:color w:val="000000"/>
                <w:sz w:val="22"/>
                <w:szCs w:val="22"/>
              </w:rPr>
              <w:t>Median PFS</w:t>
            </w:r>
            <w:r w:rsidRPr="00AC3C09">
              <w:rPr>
                <w:rFonts w:ascii="Arial" w:hAnsi="Arial" w:cs="Arial"/>
                <w:b/>
                <w:color w:val="000000"/>
                <w:sz w:val="22"/>
                <w:szCs w:val="22"/>
                <w:vertAlign w:val="superscript"/>
              </w:rPr>
              <w:t>1</w:t>
            </w:r>
            <w:r w:rsidRPr="00AC3C09">
              <w:rPr>
                <w:rFonts w:ascii="Arial" w:hAnsi="Arial" w:cs="Arial"/>
                <w:b/>
                <w:color w:val="000000"/>
                <w:sz w:val="22"/>
                <w:szCs w:val="22"/>
              </w:rPr>
              <w:t>, months</w:t>
            </w:r>
          </w:p>
          <w:p w:rsidR="00AC3C09" w:rsidRPr="00AC3C09" w:rsidRDefault="00AC3C09" w:rsidP="00D03E32">
            <w:pPr>
              <w:keepNext/>
              <w:keepLines/>
              <w:rPr>
                <w:rFonts w:ascii="Arial" w:hAnsi="Arial" w:cs="Arial"/>
                <w:sz w:val="22"/>
                <w:szCs w:val="22"/>
              </w:rPr>
            </w:pPr>
            <w:r w:rsidRPr="00AC3C09">
              <w:rPr>
                <w:rFonts w:ascii="Arial" w:hAnsi="Arial" w:cs="Arial"/>
                <w:color w:val="000000"/>
                <w:sz w:val="22"/>
                <w:szCs w:val="22"/>
              </w:rPr>
              <w:t>(95% CI)</w:t>
            </w:r>
          </w:p>
        </w:tc>
        <w:tc>
          <w:tcPr>
            <w:tcW w:w="2430" w:type="dxa"/>
            <w:shd w:val="clear" w:color="auto" w:fill="auto"/>
          </w:tcPr>
          <w:p w:rsidR="00AC3C09" w:rsidRPr="00AC3C09" w:rsidRDefault="00AC3C09" w:rsidP="00D03E32">
            <w:pPr>
              <w:keepNext/>
              <w:keepLines/>
              <w:jc w:val="center"/>
              <w:rPr>
                <w:rFonts w:ascii="Arial" w:hAnsi="Arial" w:cs="Arial"/>
                <w:sz w:val="22"/>
                <w:szCs w:val="22"/>
              </w:rPr>
            </w:pPr>
            <w:r w:rsidRPr="00AC3C09">
              <w:rPr>
                <w:rFonts w:ascii="Arial" w:hAnsi="Arial" w:cs="Arial"/>
                <w:sz w:val="22"/>
                <w:szCs w:val="22"/>
              </w:rPr>
              <w:t>9.7</w:t>
            </w:r>
          </w:p>
          <w:p w:rsidR="00AC3C09" w:rsidRPr="00AC3C09" w:rsidRDefault="00AC3C09" w:rsidP="00D03E32">
            <w:pPr>
              <w:keepNext/>
              <w:keepLines/>
              <w:jc w:val="center"/>
              <w:rPr>
                <w:rFonts w:ascii="Arial" w:hAnsi="Arial" w:cs="Arial"/>
                <w:sz w:val="22"/>
                <w:szCs w:val="22"/>
              </w:rPr>
            </w:pPr>
            <w:r w:rsidRPr="00AC3C09">
              <w:rPr>
                <w:rFonts w:ascii="Arial" w:hAnsi="Arial" w:cs="Arial"/>
                <w:sz w:val="22"/>
                <w:szCs w:val="22"/>
              </w:rPr>
              <w:t>(9.2, 11.1)</w:t>
            </w:r>
          </w:p>
        </w:tc>
        <w:tc>
          <w:tcPr>
            <w:tcW w:w="2212" w:type="dxa"/>
            <w:shd w:val="clear" w:color="auto" w:fill="auto"/>
          </w:tcPr>
          <w:p w:rsidR="00AC3C09" w:rsidRPr="00AC3C09" w:rsidRDefault="00AC3C09" w:rsidP="00D03E32">
            <w:pPr>
              <w:keepNext/>
              <w:keepLines/>
              <w:jc w:val="center"/>
              <w:rPr>
                <w:rFonts w:ascii="Arial" w:hAnsi="Arial" w:cs="Arial"/>
                <w:sz w:val="22"/>
                <w:szCs w:val="22"/>
              </w:rPr>
            </w:pPr>
            <w:r w:rsidRPr="00AC3C09">
              <w:rPr>
                <w:rFonts w:ascii="Arial" w:hAnsi="Arial" w:cs="Arial"/>
                <w:sz w:val="22"/>
                <w:szCs w:val="22"/>
              </w:rPr>
              <w:t>6.5</w:t>
            </w:r>
          </w:p>
          <w:p w:rsidR="00AC3C09" w:rsidRPr="00AC3C09" w:rsidRDefault="00AC3C09" w:rsidP="00D03E32">
            <w:pPr>
              <w:keepNext/>
              <w:keepLines/>
              <w:jc w:val="center"/>
              <w:rPr>
                <w:rFonts w:ascii="Arial" w:hAnsi="Arial" w:cs="Arial"/>
                <w:sz w:val="22"/>
                <w:szCs w:val="22"/>
              </w:rPr>
            </w:pPr>
            <w:r w:rsidRPr="00AC3C09">
              <w:rPr>
                <w:rFonts w:ascii="Arial" w:hAnsi="Arial" w:cs="Arial"/>
                <w:sz w:val="22"/>
                <w:szCs w:val="22"/>
              </w:rPr>
              <w:t>(5.5, 7.3)</w:t>
            </w:r>
          </w:p>
        </w:tc>
      </w:tr>
      <w:tr w:rsidR="00AC3C09" w:rsidRPr="00AC3C09" w:rsidTr="00D03E32">
        <w:trPr>
          <w:cantSplit/>
        </w:trPr>
        <w:tc>
          <w:tcPr>
            <w:tcW w:w="3960" w:type="dxa"/>
            <w:shd w:val="clear" w:color="auto" w:fill="auto"/>
          </w:tcPr>
          <w:p w:rsidR="00AC3C09" w:rsidRPr="00AC3C09" w:rsidRDefault="00AC3C09" w:rsidP="00D03E32">
            <w:pPr>
              <w:keepNext/>
              <w:keepLines/>
              <w:tabs>
                <w:tab w:val="left" w:pos="274"/>
              </w:tabs>
              <w:rPr>
                <w:rFonts w:ascii="Arial" w:hAnsi="Arial" w:cs="Arial"/>
                <w:b/>
                <w:color w:val="000000"/>
                <w:sz w:val="22"/>
                <w:szCs w:val="22"/>
              </w:rPr>
            </w:pPr>
            <w:r w:rsidRPr="00AC3C09">
              <w:rPr>
                <w:rFonts w:ascii="Arial" w:hAnsi="Arial" w:cs="Arial"/>
                <w:b/>
                <w:color w:val="000000"/>
                <w:sz w:val="22"/>
                <w:szCs w:val="22"/>
              </w:rPr>
              <w:t>Hazard Ratio (95% CI)</w:t>
            </w:r>
          </w:p>
          <w:p w:rsidR="00AC3C09" w:rsidRPr="00AC3C09" w:rsidRDefault="00AC3C09" w:rsidP="00D03E32">
            <w:pPr>
              <w:pStyle w:val="listdashnospace"/>
              <w:keepNext/>
              <w:keepLines/>
              <w:numPr>
                <w:ilvl w:val="0"/>
                <w:numId w:val="0"/>
              </w:numPr>
              <w:rPr>
                <w:rFonts w:ascii="Arial" w:hAnsi="Arial" w:cs="Arial"/>
                <w:sz w:val="22"/>
                <w:szCs w:val="22"/>
              </w:rPr>
            </w:pPr>
            <w:r w:rsidRPr="00F108C0">
              <w:rPr>
                <w:rFonts w:ascii="Arial" w:hAnsi="Arial" w:cs="Arial"/>
                <w:iCs/>
                <w:color w:val="000000"/>
                <w:sz w:val="22"/>
                <w:szCs w:val="22"/>
              </w:rPr>
              <w:t>P</w:t>
            </w:r>
            <w:r w:rsidRPr="00AC3C09">
              <w:rPr>
                <w:rFonts w:ascii="Arial" w:hAnsi="Arial" w:cs="Arial"/>
                <w:color w:val="000000"/>
                <w:sz w:val="22"/>
                <w:szCs w:val="22"/>
              </w:rPr>
              <w:t xml:space="preserve"> value</w:t>
            </w:r>
          </w:p>
        </w:tc>
        <w:tc>
          <w:tcPr>
            <w:tcW w:w="4642" w:type="dxa"/>
            <w:gridSpan w:val="2"/>
            <w:shd w:val="clear" w:color="auto" w:fill="auto"/>
          </w:tcPr>
          <w:p w:rsidR="00AC3C09" w:rsidRPr="00AC3C09" w:rsidRDefault="00AC3C09" w:rsidP="00D03E32">
            <w:pPr>
              <w:keepNext/>
              <w:keepLines/>
              <w:jc w:val="center"/>
              <w:rPr>
                <w:rFonts w:ascii="Arial" w:hAnsi="Arial" w:cs="Arial"/>
                <w:sz w:val="22"/>
                <w:szCs w:val="22"/>
              </w:rPr>
            </w:pPr>
            <w:r w:rsidRPr="00AC3C09">
              <w:rPr>
                <w:rFonts w:ascii="Arial" w:hAnsi="Arial" w:cs="Arial"/>
                <w:sz w:val="22"/>
                <w:szCs w:val="22"/>
              </w:rPr>
              <w:t>0.52 (0.42, 0.64)</w:t>
            </w:r>
          </w:p>
          <w:p w:rsidR="00AC3C09" w:rsidRPr="00AC3C09" w:rsidRDefault="00AC3C09" w:rsidP="00D03E32">
            <w:pPr>
              <w:keepNext/>
              <w:keepLines/>
              <w:jc w:val="center"/>
              <w:rPr>
                <w:rFonts w:ascii="Arial" w:hAnsi="Arial" w:cs="Arial"/>
                <w:sz w:val="22"/>
                <w:szCs w:val="22"/>
              </w:rPr>
            </w:pPr>
            <w:r w:rsidRPr="00AC3C09">
              <w:rPr>
                <w:rFonts w:ascii="Arial" w:hAnsi="Arial" w:cs="Arial"/>
                <w:sz w:val="22"/>
                <w:szCs w:val="22"/>
              </w:rPr>
              <w:t>&lt;0.0001</w:t>
            </w:r>
          </w:p>
        </w:tc>
      </w:tr>
      <w:tr w:rsidR="00AC3C09" w:rsidRPr="00AC3C09" w:rsidTr="00D03E32">
        <w:trPr>
          <w:cantSplit/>
        </w:trPr>
        <w:tc>
          <w:tcPr>
            <w:tcW w:w="3960" w:type="dxa"/>
            <w:shd w:val="clear" w:color="auto" w:fill="auto"/>
          </w:tcPr>
          <w:p w:rsidR="00AC3C09" w:rsidRPr="00AC3C09" w:rsidRDefault="00AC3C09" w:rsidP="00D03E32">
            <w:pPr>
              <w:keepNext/>
              <w:keepLines/>
              <w:tabs>
                <w:tab w:val="left" w:pos="274"/>
              </w:tabs>
              <w:rPr>
                <w:rFonts w:ascii="Arial" w:hAnsi="Arial" w:cs="Arial"/>
                <w:b/>
                <w:color w:val="000000"/>
                <w:sz w:val="22"/>
                <w:szCs w:val="22"/>
              </w:rPr>
            </w:pPr>
            <w:r w:rsidRPr="00AC3C09">
              <w:rPr>
                <w:rFonts w:ascii="Arial" w:hAnsi="Arial" w:cs="Arial"/>
                <w:b/>
                <w:color w:val="000000"/>
                <w:sz w:val="22"/>
                <w:szCs w:val="22"/>
              </w:rPr>
              <w:t>Response Rate (%)</w:t>
            </w:r>
          </w:p>
          <w:p w:rsidR="00AC3C09" w:rsidRPr="00AC3C09" w:rsidRDefault="00AC3C09" w:rsidP="00D03E32">
            <w:pPr>
              <w:pStyle w:val="listdashnospace"/>
              <w:keepNext/>
              <w:keepLines/>
              <w:numPr>
                <w:ilvl w:val="0"/>
                <w:numId w:val="0"/>
              </w:numPr>
              <w:rPr>
                <w:rFonts w:ascii="Arial" w:hAnsi="Arial" w:cs="Arial"/>
                <w:sz w:val="22"/>
                <w:szCs w:val="22"/>
              </w:rPr>
            </w:pPr>
            <w:r w:rsidRPr="00AC3C09">
              <w:rPr>
                <w:rFonts w:ascii="Arial" w:hAnsi="Arial" w:cs="Arial"/>
                <w:color w:val="000000"/>
                <w:sz w:val="22"/>
                <w:szCs w:val="22"/>
              </w:rPr>
              <w:t>(95% CI)</w:t>
            </w:r>
          </w:p>
        </w:tc>
        <w:tc>
          <w:tcPr>
            <w:tcW w:w="2430" w:type="dxa"/>
            <w:shd w:val="clear" w:color="auto" w:fill="auto"/>
          </w:tcPr>
          <w:p w:rsidR="00AC3C09" w:rsidRPr="00AC3C09" w:rsidRDefault="00AC3C09" w:rsidP="00D03E32">
            <w:pPr>
              <w:keepNext/>
              <w:keepLines/>
              <w:jc w:val="center"/>
              <w:rPr>
                <w:rFonts w:ascii="Arial" w:hAnsi="Arial" w:cs="Arial"/>
                <w:sz w:val="22"/>
                <w:szCs w:val="22"/>
              </w:rPr>
            </w:pPr>
            <w:r w:rsidRPr="00AC3C09">
              <w:rPr>
                <w:rFonts w:ascii="Arial" w:hAnsi="Arial" w:cs="Arial"/>
                <w:sz w:val="22"/>
                <w:szCs w:val="22"/>
              </w:rPr>
              <w:t>69</w:t>
            </w:r>
          </w:p>
          <w:p w:rsidR="00AC3C09" w:rsidRPr="00AC3C09" w:rsidRDefault="00AC3C09" w:rsidP="00D03E32">
            <w:pPr>
              <w:keepNext/>
              <w:keepLines/>
              <w:jc w:val="center"/>
              <w:rPr>
                <w:rFonts w:ascii="Arial" w:hAnsi="Arial" w:cs="Arial"/>
                <w:sz w:val="22"/>
                <w:szCs w:val="22"/>
              </w:rPr>
            </w:pPr>
            <w:r w:rsidRPr="00AC3C09">
              <w:rPr>
                <w:rFonts w:ascii="Arial" w:hAnsi="Arial" w:cs="Arial"/>
                <w:sz w:val="22"/>
                <w:szCs w:val="22"/>
              </w:rPr>
              <w:t>(62.9, 75.4)</w:t>
            </w:r>
          </w:p>
        </w:tc>
        <w:tc>
          <w:tcPr>
            <w:tcW w:w="2212" w:type="dxa"/>
            <w:shd w:val="clear" w:color="auto" w:fill="auto"/>
          </w:tcPr>
          <w:p w:rsidR="00AC3C09" w:rsidRPr="00AC3C09" w:rsidRDefault="00AC3C09" w:rsidP="00D03E32">
            <w:pPr>
              <w:keepNext/>
              <w:keepLines/>
              <w:jc w:val="center"/>
              <w:rPr>
                <w:rFonts w:ascii="Arial" w:hAnsi="Arial" w:cs="Arial"/>
                <w:sz w:val="22"/>
                <w:szCs w:val="22"/>
              </w:rPr>
            </w:pPr>
            <w:r w:rsidRPr="00AC3C09">
              <w:rPr>
                <w:rFonts w:ascii="Arial" w:hAnsi="Arial" w:cs="Arial"/>
                <w:sz w:val="22"/>
                <w:szCs w:val="22"/>
              </w:rPr>
              <w:t>50</w:t>
            </w:r>
          </w:p>
          <w:p w:rsidR="00AC3C09" w:rsidRPr="00AC3C09" w:rsidRDefault="00AC3C09" w:rsidP="00D03E32">
            <w:pPr>
              <w:keepNext/>
              <w:keepLines/>
              <w:jc w:val="center"/>
              <w:rPr>
                <w:rFonts w:ascii="Arial" w:hAnsi="Arial" w:cs="Arial"/>
                <w:sz w:val="22"/>
                <w:szCs w:val="22"/>
              </w:rPr>
            </w:pPr>
            <w:r w:rsidRPr="00AC3C09">
              <w:rPr>
                <w:rFonts w:ascii="Arial" w:hAnsi="Arial" w:cs="Arial"/>
                <w:sz w:val="22"/>
                <w:szCs w:val="22"/>
              </w:rPr>
              <w:t>(42.8, 56.3)</w:t>
            </w:r>
          </w:p>
        </w:tc>
      </w:tr>
      <w:tr w:rsidR="00AC3C09" w:rsidRPr="00AC3C09" w:rsidTr="00D03E32">
        <w:trPr>
          <w:cantSplit/>
        </w:trPr>
        <w:tc>
          <w:tcPr>
            <w:tcW w:w="3960" w:type="dxa"/>
            <w:shd w:val="clear" w:color="auto" w:fill="auto"/>
          </w:tcPr>
          <w:p w:rsidR="00AC3C09" w:rsidRPr="00AC3C09" w:rsidRDefault="00AC3C09" w:rsidP="00D03E32">
            <w:pPr>
              <w:keepNext/>
              <w:tabs>
                <w:tab w:val="left" w:pos="274"/>
              </w:tabs>
              <w:rPr>
                <w:rFonts w:ascii="Arial" w:hAnsi="Arial" w:cs="Arial"/>
                <w:b/>
                <w:color w:val="000000"/>
                <w:sz w:val="22"/>
                <w:szCs w:val="22"/>
              </w:rPr>
            </w:pPr>
            <w:r w:rsidRPr="00AC3C09">
              <w:rPr>
                <w:rFonts w:ascii="Arial" w:hAnsi="Arial" w:cs="Arial"/>
                <w:b/>
                <w:color w:val="000000"/>
                <w:sz w:val="22"/>
                <w:szCs w:val="22"/>
              </w:rPr>
              <w:t>Duration of Response, months</w:t>
            </w:r>
          </w:p>
          <w:p w:rsidR="00AC3C09" w:rsidRPr="00AC3C09" w:rsidRDefault="00AC3C09" w:rsidP="00D03E32">
            <w:pPr>
              <w:keepNext/>
              <w:keepLines/>
              <w:tabs>
                <w:tab w:val="left" w:pos="274"/>
              </w:tabs>
              <w:rPr>
                <w:rFonts w:ascii="Arial" w:hAnsi="Arial" w:cs="Arial"/>
                <w:color w:val="000000"/>
                <w:sz w:val="22"/>
                <w:szCs w:val="22"/>
              </w:rPr>
            </w:pPr>
            <w:r w:rsidRPr="00AC3C09">
              <w:rPr>
                <w:rFonts w:ascii="Arial" w:hAnsi="Arial" w:cs="Arial"/>
                <w:color w:val="000000"/>
                <w:sz w:val="22"/>
                <w:szCs w:val="22"/>
              </w:rPr>
              <w:t>(95% CI)</w:t>
            </w:r>
          </w:p>
        </w:tc>
        <w:tc>
          <w:tcPr>
            <w:tcW w:w="2430" w:type="dxa"/>
            <w:shd w:val="clear" w:color="auto" w:fill="auto"/>
          </w:tcPr>
          <w:p w:rsidR="00AC3C09" w:rsidRPr="00AC3C09" w:rsidRDefault="00AC3C09" w:rsidP="00D03E32">
            <w:pPr>
              <w:jc w:val="center"/>
              <w:rPr>
                <w:rFonts w:ascii="Arial" w:hAnsi="Arial" w:cs="Arial"/>
                <w:sz w:val="22"/>
                <w:szCs w:val="22"/>
              </w:rPr>
            </w:pPr>
            <w:r w:rsidRPr="00AC3C09">
              <w:rPr>
                <w:rFonts w:ascii="Arial" w:hAnsi="Arial" w:cs="Arial"/>
                <w:sz w:val="22"/>
                <w:szCs w:val="22"/>
              </w:rPr>
              <w:t>9.3</w:t>
            </w:r>
          </w:p>
          <w:p w:rsidR="00AC3C09" w:rsidRPr="00AC3C09" w:rsidRDefault="00AC3C09" w:rsidP="00D03E32">
            <w:pPr>
              <w:keepNext/>
              <w:keepLines/>
              <w:jc w:val="center"/>
              <w:rPr>
                <w:rFonts w:ascii="Arial" w:hAnsi="Arial" w:cs="Arial"/>
                <w:sz w:val="22"/>
                <w:szCs w:val="22"/>
              </w:rPr>
            </w:pPr>
            <w:r w:rsidRPr="00AC3C09">
              <w:rPr>
                <w:rFonts w:ascii="Arial" w:hAnsi="Arial" w:cs="Arial"/>
                <w:sz w:val="22"/>
                <w:szCs w:val="22"/>
              </w:rPr>
              <w:t>(7.7, 10.7)</w:t>
            </w:r>
          </w:p>
        </w:tc>
        <w:tc>
          <w:tcPr>
            <w:tcW w:w="2212" w:type="dxa"/>
            <w:shd w:val="clear" w:color="auto" w:fill="auto"/>
          </w:tcPr>
          <w:p w:rsidR="00AC3C09" w:rsidRPr="00AC3C09" w:rsidRDefault="00AC3C09" w:rsidP="00D03E32">
            <w:pPr>
              <w:jc w:val="center"/>
              <w:rPr>
                <w:rFonts w:ascii="Arial" w:hAnsi="Arial" w:cs="Arial"/>
                <w:sz w:val="22"/>
                <w:szCs w:val="22"/>
              </w:rPr>
            </w:pPr>
            <w:r w:rsidRPr="00AC3C09">
              <w:rPr>
                <w:rFonts w:ascii="Arial" w:hAnsi="Arial" w:cs="Arial"/>
                <w:sz w:val="22"/>
                <w:szCs w:val="22"/>
              </w:rPr>
              <w:t>5.8</w:t>
            </w:r>
          </w:p>
          <w:p w:rsidR="00AC3C09" w:rsidRPr="00AC3C09" w:rsidRDefault="00AC3C09" w:rsidP="00D03E32">
            <w:pPr>
              <w:keepNext/>
              <w:keepLines/>
              <w:jc w:val="center"/>
              <w:rPr>
                <w:rFonts w:ascii="Arial" w:hAnsi="Arial" w:cs="Arial"/>
                <w:sz w:val="22"/>
                <w:szCs w:val="22"/>
              </w:rPr>
            </w:pPr>
            <w:r w:rsidRPr="00AC3C09">
              <w:rPr>
                <w:rFonts w:ascii="Arial" w:hAnsi="Arial" w:cs="Arial"/>
                <w:sz w:val="22"/>
                <w:szCs w:val="22"/>
              </w:rPr>
              <w:t>(5.6, 7.4)</w:t>
            </w:r>
          </w:p>
        </w:tc>
      </w:tr>
    </w:tbl>
    <w:p w:rsidR="00AC3C09" w:rsidRPr="00AC3C09" w:rsidRDefault="00AC3C09" w:rsidP="00AC3C09">
      <w:pPr>
        <w:pStyle w:val="LBLTableFootnotes"/>
        <w:keepNext/>
        <w:keepLines/>
        <w:rPr>
          <w:rFonts w:ascii="Arial" w:hAnsi="Arial" w:cs="Arial"/>
          <w:i/>
          <w:noProof/>
          <w:sz w:val="22"/>
          <w:szCs w:val="22"/>
        </w:rPr>
      </w:pPr>
      <w:r w:rsidRPr="00AC3C09">
        <w:rPr>
          <w:rFonts w:ascii="Arial" w:hAnsi="Arial" w:cs="Arial"/>
          <w:i/>
          <w:sz w:val="22"/>
          <w:szCs w:val="22"/>
        </w:rPr>
        <w:t xml:space="preserve">PFS = progression-free survival; </w:t>
      </w:r>
      <w:r w:rsidRPr="00AC3C09">
        <w:rPr>
          <w:rFonts w:ascii="Arial" w:hAnsi="Arial" w:cs="Arial"/>
          <w:i/>
          <w:noProof/>
          <w:sz w:val="22"/>
          <w:szCs w:val="22"/>
        </w:rPr>
        <w:t>CI = confidence interval.</w:t>
      </w:r>
    </w:p>
    <w:p w:rsidR="00AC3C09" w:rsidRPr="00AC3C09" w:rsidRDefault="00AC3C09" w:rsidP="00AC3C09">
      <w:pPr>
        <w:pStyle w:val="LBLTableFootnotes"/>
        <w:keepNext/>
        <w:keepLines/>
        <w:rPr>
          <w:rFonts w:ascii="Arial" w:hAnsi="Arial" w:cs="Arial"/>
          <w:i/>
          <w:noProof/>
          <w:sz w:val="22"/>
          <w:szCs w:val="22"/>
        </w:rPr>
      </w:pPr>
      <w:r w:rsidRPr="00AC3C09">
        <w:rPr>
          <w:rFonts w:ascii="Arial" w:hAnsi="Arial" w:cs="Arial"/>
          <w:i/>
          <w:noProof/>
          <w:sz w:val="22"/>
          <w:szCs w:val="22"/>
          <w:vertAlign w:val="superscript"/>
        </w:rPr>
        <w:t>1</w:t>
      </w:r>
      <w:r w:rsidRPr="00AC3C09">
        <w:rPr>
          <w:rFonts w:ascii="Arial" w:hAnsi="Arial" w:cs="Arial"/>
          <w:i/>
          <w:noProof/>
          <w:sz w:val="22"/>
          <w:szCs w:val="22"/>
        </w:rPr>
        <w:tab/>
        <w:t>Kaplan-Meier estimate.</w:t>
      </w:r>
    </w:p>
    <w:p w:rsidR="00AC3C09" w:rsidRDefault="00AC3C09" w:rsidP="00AC3C09">
      <w:pPr>
        <w:pStyle w:val="LBLTableFootnotes"/>
        <w:rPr>
          <w:rFonts w:ascii="Arial" w:hAnsi="Arial" w:cs="Arial"/>
          <w:noProof/>
          <w:sz w:val="22"/>
          <w:szCs w:val="22"/>
        </w:rPr>
      </w:pPr>
    </w:p>
    <w:p w:rsidR="00081E96" w:rsidRPr="00691484" w:rsidRDefault="00081E96" w:rsidP="00081E96">
      <w:pPr>
        <w:pStyle w:val="captionfigure"/>
      </w:pPr>
      <w:r w:rsidRPr="00691484">
        <w:t xml:space="preserve">Figure </w:t>
      </w:r>
      <w:r w:rsidR="003026E8">
        <w:t>2</w:t>
      </w:r>
      <w:r w:rsidRPr="00691484">
        <w:tab/>
        <w:t>Kaplan-Meier Estimates of Overall Survival (ITT Population)</w:t>
      </w:r>
    </w:p>
    <w:p w:rsidR="00081E96" w:rsidRDefault="004C1C75" w:rsidP="00081E96">
      <w:pPr>
        <w:pStyle w:val="LBLTableFootnotes"/>
      </w:pPr>
      <w:r>
        <w:rPr>
          <w:noProof/>
          <w:lang w:val="en-AU" w:eastAsia="en-AU"/>
        </w:rPr>
        <w:drawing>
          <wp:inline distT="0" distB="0" distL="0" distR="0">
            <wp:extent cx="5572125" cy="303847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572125" cy="3038475"/>
                    </a:xfrm>
                    <a:prstGeom prst="rect">
                      <a:avLst/>
                    </a:prstGeom>
                    <a:noFill/>
                    <a:ln w="9525">
                      <a:noFill/>
                      <a:miter lim="800000"/>
                      <a:headEnd/>
                      <a:tailEnd/>
                    </a:ln>
                  </pic:spPr>
                </pic:pic>
              </a:graphicData>
            </a:graphic>
          </wp:inline>
        </w:drawing>
      </w:r>
    </w:p>
    <w:p w:rsidR="00081E96" w:rsidRDefault="00081E96" w:rsidP="00081E96">
      <w:pPr>
        <w:pStyle w:val="LBLTableFootnotes"/>
      </w:pPr>
    </w:p>
    <w:p w:rsidR="00691484" w:rsidRPr="0051392C" w:rsidRDefault="00AC3C09" w:rsidP="00081E96">
      <w:pPr>
        <w:pStyle w:val="LBLTableFootnotes"/>
        <w:ind w:left="0" w:firstLine="0"/>
        <w:jc w:val="both"/>
        <w:rPr>
          <w:rFonts w:ascii="Arial" w:hAnsi="Arial" w:cs="Arial"/>
          <w:color w:val="000000" w:themeColor="text1"/>
          <w:sz w:val="22"/>
          <w:szCs w:val="22"/>
        </w:rPr>
      </w:pPr>
      <w:r w:rsidRPr="00AC3C09">
        <w:rPr>
          <w:rFonts w:ascii="Arial" w:hAnsi="Arial" w:cs="Arial"/>
          <w:color w:val="000000"/>
          <w:sz w:val="22"/>
          <w:szCs w:val="22"/>
        </w:rPr>
        <w:t xml:space="preserve">Another randomised, double-blind, controlled study evaluated </w:t>
      </w:r>
      <w:r w:rsidR="00CC6ABA">
        <w:rPr>
          <w:rFonts w:ascii="Arial" w:hAnsi="Arial" w:cs="Arial"/>
          <w:sz w:val="22"/>
          <w:szCs w:val="22"/>
        </w:rPr>
        <w:t>TYKERB</w:t>
      </w:r>
      <w:r w:rsidRPr="00AC3C09">
        <w:rPr>
          <w:rFonts w:ascii="Arial" w:hAnsi="Arial" w:cs="Arial"/>
          <w:sz w:val="22"/>
          <w:szCs w:val="22"/>
        </w:rPr>
        <w:t xml:space="preserve"> and paclitaxel as first-line therapy for metastatic breast cancer in patients with negative or untested </w:t>
      </w:r>
      <w:r w:rsidR="003C6E49" w:rsidRPr="00691484">
        <w:rPr>
          <w:rFonts w:ascii="Arial" w:hAnsi="Arial" w:cs="Arial"/>
          <w:sz w:val="22"/>
          <w:szCs w:val="22"/>
        </w:rPr>
        <w:t>HER2</w:t>
      </w:r>
      <w:r w:rsidRPr="00AC3C09">
        <w:rPr>
          <w:rFonts w:ascii="Arial" w:hAnsi="Arial" w:cs="Arial"/>
          <w:sz w:val="22"/>
          <w:szCs w:val="22"/>
        </w:rPr>
        <w:t xml:space="preserve"> status and previously untreated in the metastatic setting (EGF30001). </w:t>
      </w:r>
      <w:r w:rsidR="00CC6ABA">
        <w:rPr>
          <w:rFonts w:ascii="Arial" w:hAnsi="Arial" w:cs="Arial"/>
          <w:sz w:val="22"/>
          <w:szCs w:val="22"/>
        </w:rPr>
        <w:t xml:space="preserve"> </w:t>
      </w:r>
      <w:r w:rsidRPr="00AC3C09">
        <w:rPr>
          <w:rFonts w:ascii="Arial" w:hAnsi="Arial" w:cs="Arial"/>
          <w:sz w:val="22"/>
          <w:szCs w:val="22"/>
        </w:rPr>
        <w:t>Patients (N= 579) were randomly assigned 1:1 to paclitaxel (175mg/m</w:t>
      </w:r>
      <w:r w:rsidRPr="00AC3C09">
        <w:rPr>
          <w:rFonts w:ascii="Arial" w:hAnsi="Arial" w:cs="Arial"/>
          <w:sz w:val="22"/>
          <w:szCs w:val="22"/>
          <w:vertAlign w:val="superscript"/>
        </w:rPr>
        <w:t>2</w:t>
      </w:r>
      <w:r w:rsidRPr="00AC3C09">
        <w:rPr>
          <w:rFonts w:ascii="Arial" w:hAnsi="Arial" w:cs="Arial"/>
          <w:sz w:val="22"/>
          <w:szCs w:val="22"/>
        </w:rPr>
        <w:t xml:space="preserve"> intravenously over 3</w:t>
      </w:r>
      <w:r w:rsidR="00CC6ABA">
        <w:rPr>
          <w:rFonts w:ascii="Arial" w:hAnsi="Arial" w:cs="Arial"/>
          <w:bCs/>
          <w:sz w:val="22"/>
          <w:szCs w:val="22"/>
        </w:rPr>
        <w:t xml:space="preserve"> </w:t>
      </w:r>
      <w:r w:rsidRPr="00AC3C09">
        <w:rPr>
          <w:rFonts w:ascii="Arial" w:hAnsi="Arial" w:cs="Arial"/>
          <w:sz w:val="22"/>
          <w:szCs w:val="22"/>
        </w:rPr>
        <w:t>hours on day 1, every 3</w:t>
      </w:r>
      <w:r w:rsidR="00CC6ABA">
        <w:rPr>
          <w:rFonts w:ascii="Arial" w:hAnsi="Arial" w:cs="Arial"/>
          <w:bCs/>
          <w:sz w:val="22"/>
          <w:szCs w:val="22"/>
        </w:rPr>
        <w:t xml:space="preserve"> </w:t>
      </w:r>
      <w:r w:rsidRPr="00AC3C09">
        <w:rPr>
          <w:rFonts w:ascii="Arial" w:hAnsi="Arial" w:cs="Arial"/>
          <w:sz w:val="22"/>
          <w:szCs w:val="22"/>
        </w:rPr>
        <w:t xml:space="preserve">weeks) and either </w:t>
      </w:r>
      <w:r w:rsidR="00CC6ABA">
        <w:rPr>
          <w:rFonts w:ascii="Arial" w:hAnsi="Arial" w:cs="Arial"/>
          <w:sz w:val="22"/>
          <w:szCs w:val="22"/>
        </w:rPr>
        <w:t>TYKERB</w:t>
      </w:r>
      <w:r w:rsidRPr="00AC3C09">
        <w:rPr>
          <w:rFonts w:ascii="Arial" w:hAnsi="Arial" w:cs="Arial"/>
          <w:sz w:val="22"/>
          <w:szCs w:val="22"/>
        </w:rPr>
        <w:t xml:space="preserve"> 1500mg/day or placebo once daily. </w:t>
      </w:r>
      <w:r w:rsidR="004531BD">
        <w:rPr>
          <w:rFonts w:ascii="Arial" w:hAnsi="Arial" w:cs="Arial"/>
          <w:sz w:val="22"/>
          <w:szCs w:val="22"/>
        </w:rPr>
        <w:t xml:space="preserve"> </w:t>
      </w:r>
      <w:r w:rsidRPr="00AC3C09">
        <w:rPr>
          <w:rFonts w:ascii="Arial" w:hAnsi="Arial" w:cs="Arial"/>
          <w:sz w:val="22"/>
          <w:szCs w:val="22"/>
        </w:rPr>
        <w:t>Sixty-four</w:t>
      </w:r>
      <w:r w:rsidRPr="00AC3C09">
        <w:rPr>
          <w:rFonts w:ascii="Arial" w:hAnsi="Arial" w:cs="Arial"/>
          <w:color w:val="000000"/>
          <w:sz w:val="22"/>
          <w:szCs w:val="22"/>
        </w:rPr>
        <w:t xml:space="preserve"> percent (64%) were </w:t>
      </w:r>
      <w:r w:rsidRPr="0051392C">
        <w:rPr>
          <w:rFonts w:ascii="Arial" w:hAnsi="Arial" w:cs="Arial"/>
          <w:color w:val="000000" w:themeColor="text1"/>
          <w:sz w:val="22"/>
          <w:szCs w:val="22"/>
        </w:rPr>
        <w:t xml:space="preserve">Caucasian, 18% Hispanic, and 11% Asian. </w:t>
      </w:r>
      <w:r w:rsidR="004531BD" w:rsidRPr="0051392C">
        <w:rPr>
          <w:rFonts w:ascii="Arial" w:hAnsi="Arial" w:cs="Arial"/>
          <w:color w:val="000000" w:themeColor="text1"/>
          <w:sz w:val="22"/>
          <w:szCs w:val="22"/>
        </w:rPr>
        <w:t xml:space="preserve"> </w:t>
      </w:r>
      <w:r w:rsidRPr="0051392C">
        <w:rPr>
          <w:rFonts w:ascii="Arial" w:hAnsi="Arial" w:cs="Arial"/>
          <w:color w:val="000000" w:themeColor="text1"/>
          <w:sz w:val="22"/>
          <w:szCs w:val="22"/>
        </w:rPr>
        <w:t xml:space="preserve">There were 91 patients (16%) with HER2 positive disease. </w:t>
      </w:r>
      <w:r w:rsidR="00CC6ABA" w:rsidRPr="0051392C">
        <w:rPr>
          <w:rFonts w:ascii="Arial" w:hAnsi="Arial" w:cs="Arial"/>
          <w:color w:val="000000" w:themeColor="text1"/>
          <w:sz w:val="22"/>
          <w:szCs w:val="22"/>
        </w:rPr>
        <w:t xml:space="preserve"> </w:t>
      </w:r>
    </w:p>
    <w:p w:rsidR="00691484" w:rsidRPr="0051392C" w:rsidRDefault="00691484" w:rsidP="00081E96">
      <w:pPr>
        <w:pStyle w:val="LBLTableFootnotes"/>
        <w:ind w:left="0" w:firstLine="0"/>
        <w:jc w:val="both"/>
        <w:rPr>
          <w:rFonts w:ascii="Arial" w:hAnsi="Arial" w:cs="Arial"/>
          <w:color w:val="000000" w:themeColor="text1"/>
          <w:sz w:val="22"/>
          <w:szCs w:val="22"/>
        </w:rPr>
      </w:pPr>
    </w:p>
    <w:p w:rsidR="00CC6ABA" w:rsidRDefault="00AC3C09" w:rsidP="00081E96">
      <w:pPr>
        <w:pStyle w:val="LBLTableFootnotes"/>
        <w:ind w:left="0" w:firstLine="0"/>
        <w:jc w:val="both"/>
        <w:rPr>
          <w:rFonts w:ascii="Arial" w:hAnsi="Arial" w:cs="Arial"/>
          <w:noProof/>
          <w:sz w:val="22"/>
          <w:szCs w:val="22"/>
        </w:rPr>
      </w:pPr>
      <w:r w:rsidRPr="0051392C">
        <w:rPr>
          <w:rFonts w:ascii="Arial" w:hAnsi="Arial" w:cs="Arial"/>
          <w:color w:val="000000" w:themeColor="text1"/>
          <w:sz w:val="22"/>
          <w:szCs w:val="22"/>
        </w:rPr>
        <w:t xml:space="preserve">The primary endpoint was time-to-progression (TTP); secondary endpoints included progression free survival (PFS), tumour response rate (RR), clinical benefit rate (CBR), overall survival (OS) and safety. </w:t>
      </w:r>
      <w:r w:rsidR="00CC6ABA" w:rsidRPr="0051392C">
        <w:rPr>
          <w:rFonts w:ascii="Arial" w:hAnsi="Arial" w:cs="Arial"/>
          <w:color w:val="000000" w:themeColor="text1"/>
          <w:sz w:val="22"/>
          <w:szCs w:val="22"/>
        </w:rPr>
        <w:t xml:space="preserve"> </w:t>
      </w:r>
      <w:r w:rsidRPr="0051392C">
        <w:rPr>
          <w:rFonts w:ascii="Arial" w:hAnsi="Arial" w:cs="Arial"/>
          <w:color w:val="000000" w:themeColor="text1"/>
          <w:sz w:val="22"/>
          <w:szCs w:val="22"/>
        </w:rPr>
        <w:t>No significant differences in TTP or PFS were observed between treatment arms in</w:t>
      </w:r>
      <w:r w:rsidR="00CF1910" w:rsidRPr="0051392C">
        <w:rPr>
          <w:rFonts w:ascii="Arial" w:hAnsi="Arial" w:cs="Arial"/>
          <w:color w:val="000000" w:themeColor="text1"/>
          <w:sz w:val="22"/>
          <w:szCs w:val="22"/>
        </w:rPr>
        <w:t xml:space="preserve"> the</w:t>
      </w:r>
      <w:r w:rsidRPr="0051392C">
        <w:rPr>
          <w:rFonts w:ascii="Arial" w:hAnsi="Arial" w:cs="Arial"/>
          <w:color w:val="000000" w:themeColor="text1"/>
          <w:sz w:val="22"/>
          <w:szCs w:val="22"/>
        </w:rPr>
        <w:t xml:space="preserve"> unselected ITT population. </w:t>
      </w:r>
      <w:r w:rsidR="00CC6ABA" w:rsidRPr="0051392C">
        <w:rPr>
          <w:rFonts w:ascii="Arial" w:hAnsi="Arial" w:cs="Arial"/>
          <w:color w:val="000000" w:themeColor="text1"/>
          <w:sz w:val="22"/>
          <w:szCs w:val="22"/>
        </w:rPr>
        <w:t xml:space="preserve"> </w:t>
      </w:r>
      <w:r w:rsidR="00652478" w:rsidRPr="0051392C">
        <w:rPr>
          <w:rFonts w:ascii="Arial" w:hAnsi="Arial" w:cs="Arial"/>
          <w:color w:val="000000" w:themeColor="text1"/>
          <w:sz w:val="22"/>
          <w:szCs w:val="22"/>
        </w:rPr>
        <w:t xml:space="preserve">In the HER2 positive subgroup, </w:t>
      </w:r>
      <w:r w:rsidR="00180837" w:rsidRPr="0051392C">
        <w:rPr>
          <w:rFonts w:ascii="Arial" w:hAnsi="Arial" w:cs="Arial"/>
          <w:color w:val="000000" w:themeColor="text1"/>
          <w:sz w:val="22"/>
          <w:szCs w:val="22"/>
        </w:rPr>
        <w:t xml:space="preserve">statistically significant and clinically relevant benefit was observed in TTP and PFS in favour of the TYKERB plus paclitaxel group.  </w:t>
      </w:r>
      <w:r w:rsidR="00CF1910" w:rsidRPr="0051392C">
        <w:rPr>
          <w:rFonts w:ascii="Arial" w:hAnsi="Arial" w:cs="Arial"/>
          <w:color w:val="000000" w:themeColor="text1"/>
          <w:sz w:val="22"/>
          <w:szCs w:val="22"/>
        </w:rPr>
        <w:t xml:space="preserve">The median TTP </w:t>
      </w:r>
      <w:r w:rsidR="00180837" w:rsidRPr="0051392C">
        <w:rPr>
          <w:rFonts w:ascii="Arial" w:hAnsi="Arial" w:cs="Arial"/>
          <w:color w:val="000000" w:themeColor="text1"/>
          <w:sz w:val="22"/>
          <w:szCs w:val="22"/>
        </w:rPr>
        <w:t xml:space="preserve">in the HER2 positive subgroup </w:t>
      </w:r>
      <w:r w:rsidR="00CF1910" w:rsidRPr="0051392C">
        <w:rPr>
          <w:rFonts w:ascii="Arial" w:hAnsi="Arial" w:cs="Arial"/>
          <w:color w:val="000000" w:themeColor="text1"/>
          <w:sz w:val="22"/>
          <w:szCs w:val="22"/>
        </w:rPr>
        <w:t xml:space="preserve">was 35.1 weeks in the </w:t>
      </w:r>
      <w:r w:rsidR="00652478" w:rsidRPr="0051392C">
        <w:rPr>
          <w:rFonts w:ascii="Arial" w:hAnsi="Arial" w:cs="Arial"/>
          <w:color w:val="000000" w:themeColor="text1"/>
          <w:sz w:val="22"/>
          <w:szCs w:val="22"/>
        </w:rPr>
        <w:t xml:space="preserve">TYKERB plus paclitaxel group compared to 23.1 weeks in the paclitaxel plus placebo group (hazard ratio of 0.57; 95% CI: 0.34, 0.93; p </w:t>
      </w:r>
      <w:r w:rsidR="00877853" w:rsidRPr="0051392C">
        <w:rPr>
          <w:rFonts w:ascii="Arial" w:hAnsi="Arial" w:cs="Arial"/>
          <w:color w:val="000000" w:themeColor="text1"/>
          <w:sz w:val="22"/>
          <w:szCs w:val="22"/>
        </w:rPr>
        <w:t>=</w:t>
      </w:r>
      <w:r w:rsidR="00652478" w:rsidRPr="0051392C">
        <w:rPr>
          <w:rFonts w:ascii="Arial" w:hAnsi="Arial" w:cs="Arial"/>
          <w:color w:val="000000" w:themeColor="text1"/>
          <w:sz w:val="22"/>
          <w:szCs w:val="22"/>
        </w:rPr>
        <w:t xml:space="preserve"> 0.011).  </w:t>
      </w:r>
      <w:r w:rsidRPr="0051392C">
        <w:rPr>
          <w:rFonts w:ascii="Arial" w:hAnsi="Arial" w:cs="Arial"/>
          <w:color w:val="000000" w:themeColor="text1"/>
          <w:sz w:val="22"/>
          <w:szCs w:val="22"/>
        </w:rPr>
        <w:t xml:space="preserve">The median PFS in </w:t>
      </w:r>
      <w:r w:rsidR="00652478" w:rsidRPr="0051392C">
        <w:rPr>
          <w:rFonts w:ascii="Arial" w:hAnsi="Arial" w:cs="Arial"/>
          <w:color w:val="000000" w:themeColor="text1"/>
          <w:sz w:val="22"/>
          <w:szCs w:val="22"/>
        </w:rPr>
        <w:t xml:space="preserve">the </w:t>
      </w:r>
      <w:r w:rsidRPr="0051392C">
        <w:rPr>
          <w:rFonts w:ascii="Arial" w:hAnsi="Arial" w:cs="Arial"/>
          <w:color w:val="000000" w:themeColor="text1"/>
          <w:sz w:val="22"/>
          <w:szCs w:val="22"/>
        </w:rPr>
        <w:t xml:space="preserve">HER2 positive subgroup was 34.4 weeks (95% CI: 32.1, 41.6) in the </w:t>
      </w:r>
      <w:r w:rsidR="00CC6ABA" w:rsidRPr="0051392C">
        <w:rPr>
          <w:rFonts w:ascii="Arial" w:hAnsi="Arial" w:cs="Arial"/>
          <w:color w:val="000000" w:themeColor="text1"/>
          <w:sz w:val="22"/>
          <w:szCs w:val="22"/>
        </w:rPr>
        <w:t>TYKERB</w:t>
      </w:r>
      <w:r w:rsidRPr="0051392C">
        <w:rPr>
          <w:rFonts w:ascii="Arial" w:hAnsi="Arial" w:cs="Arial"/>
          <w:color w:val="000000" w:themeColor="text1"/>
          <w:sz w:val="22"/>
          <w:szCs w:val="22"/>
        </w:rPr>
        <w:t xml:space="preserve"> plus paclitaxel combination compared to 22.6 weeks (95% CI: 20.1, 32.9) in the paclitaxel plus</w:t>
      </w:r>
      <w:r w:rsidRPr="00AC3C09">
        <w:rPr>
          <w:rFonts w:ascii="Arial" w:hAnsi="Arial" w:cs="Arial"/>
          <w:sz w:val="22"/>
          <w:szCs w:val="22"/>
        </w:rPr>
        <w:t xml:space="preserve"> placebo group (hazard ratio of 0.56; 95% CI: 0.34, 0.90; p = 0.007). </w:t>
      </w:r>
      <w:r w:rsidR="00CC6ABA">
        <w:rPr>
          <w:rFonts w:ascii="Arial" w:hAnsi="Arial" w:cs="Arial"/>
          <w:sz w:val="22"/>
          <w:szCs w:val="22"/>
        </w:rPr>
        <w:t xml:space="preserve"> </w:t>
      </w:r>
      <w:r w:rsidRPr="00AC3C09">
        <w:rPr>
          <w:rFonts w:ascii="Arial" w:hAnsi="Arial" w:cs="Arial"/>
          <w:sz w:val="22"/>
          <w:szCs w:val="22"/>
        </w:rPr>
        <w:t xml:space="preserve">The overall survival analysis of the ITT population and HER2 positive subgroup are presented in Table </w:t>
      </w:r>
      <w:r w:rsidR="009A4CA4">
        <w:rPr>
          <w:rFonts w:ascii="Arial" w:hAnsi="Arial" w:cs="Arial"/>
          <w:sz w:val="22"/>
          <w:szCs w:val="22"/>
        </w:rPr>
        <w:t>5</w:t>
      </w:r>
      <w:r w:rsidRPr="00AC3C09">
        <w:rPr>
          <w:rFonts w:ascii="Arial" w:hAnsi="Arial" w:cs="Arial"/>
          <w:sz w:val="22"/>
          <w:szCs w:val="22"/>
        </w:rPr>
        <w:t>.</w:t>
      </w:r>
    </w:p>
    <w:p w:rsidR="00CC6ABA" w:rsidRDefault="00CC6ABA" w:rsidP="00CC6ABA">
      <w:pPr>
        <w:keepNext/>
        <w:jc w:val="both"/>
        <w:rPr>
          <w:rFonts w:ascii="Arial" w:hAnsi="Arial" w:cs="Arial"/>
          <w:sz w:val="22"/>
          <w:szCs w:val="22"/>
        </w:rPr>
      </w:pPr>
    </w:p>
    <w:p w:rsidR="00AC3C09" w:rsidRPr="00AC3C09" w:rsidRDefault="00AC3C09" w:rsidP="00963C41">
      <w:pPr>
        <w:keepNext/>
        <w:spacing w:after="240"/>
        <w:jc w:val="both"/>
        <w:rPr>
          <w:rFonts w:ascii="Arial" w:hAnsi="Arial" w:cs="Arial"/>
          <w:b/>
          <w:color w:val="000000"/>
          <w:sz w:val="22"/>
          <w:szCs w:val="22"/>
        </w:rPr>
      </w:pPr>
      <w:r w:rsidRPr="00AC3C09">
        <w:rPr>
          <w:rFonts w:ascii="Arial" w:hAnsi="Arial" w:cs="Arial"/>
          <w:b/>
          <w:color w:val="000000"/>
          <w:sz w:val="22"/>
          <w:szCs w:val="22"/>
        </w:rPr>
        <w:t xml:space="preserve">Table </w:t>
      </w:r>
      <w:r w:rsidR="009A4CA4">
        <w:rPr>
          <w:rFonts w:ascii="Arial" w:hAnsi="Arial" w:cs="Arial"/>
          <w:b/>
          <w:color w:val="000000"/>
          <w:sz w:val="22"/>
          <w:szCs w:val="22"/>
        </w:rPr>
        <w:t>5</w:t>
      </w:r>
      <w:r w:rsidRPr="00AC3C09">
        <w:rPr>
          <w:rFonts w:ascii="Arial" w:hAnsi="Arial" w:cs="Arial"/>
          <w:b/>
          <w:color w:val="000000"/>
          <w:sz w:val="22"/>
          <w:szCs w:val="22"/>
        </w:rPr>
        <w:t>: Overall Survival data from Study EGF30001 (</w:t>
      </w:r>
      <w:r w:rsidR="00CC6ABA">
        <w:rPr>
          <w:rFonts w:ascii="Arial" w:hAnsi="Arial" w:cs="Arial"/>
          <w:b/>
          <w:color w:val="000000"/>
          <w:sz w:val="22"/>
          <w:szCs w:val="22"/>
        </w:rPr>
        <w:t>TYKERB</w:t>
      </w:r>
      <w:r w:rsidRPr="00AC3C09">
        <w:rPr>
          <w:rFonts w:ascii="Arial" w:hAnsi="Arial" w:cs="Arial"/>
          <w:b/>
          <w:color w:val="000000"/>
          <w:sz w:val="22"/>
          <w:szCs w:val="22"/>
        </w:rPr>
        <w:t>/</w:t>
      </w:r>
      <w:r w:rsidR="00CC6ABA">
        <w:rPr>
          <w:rFonts w:ascii="Arial" w:hAnsi="Arial" w:cs="Arial"/>
          <w:b/>
          <w:color w:val="000000"/>
          <w:sz w:val="22"/>
          <w:szCs w:val="22"/>
        </w:rPr>
        <w:t>paclitaxel 175</w:t>
      </w:r>
      <w:r w:rsidRPr="00AC3C09">
        <w:rPr>
          <w:rFonts w:ascii="Arial" w:hAnsi="Arial" w:cs="Arial"/>
          <w:b/>
          <w:color w:val="000000"/>
          <w:sz w:val="22"/>
          <w:szCs w:val="22"/>
        </w:rPr>
        <w:t>mg/m</w:t>
      </w:r>
      <w:r w:rsidRPr="00AC3C09">
        <w:rPr>
          <w:rFonts w:ascii="Arial" w:hAnsi="Arial" w:cs="Arial"/>
          <w:b/>
          <w:color w:val="000000"/>
          <w:sz w:val="22"/>
          <w:szCs w:val="22"/>
          <w:vertAlign w:val="superscript"/>
        </w:rPr>
        <w:t>2</w:t>
      </w:r>
      <w:r w:rsidRPr="00AC3C09">
        <w:rPr>
          <w:rFonts w:ascii="Arial" w:hAnsi="Arial" w:cs="Arial"/>
          <w:b/>
          <w:color w:val="000000"/>
          <w:sz w:val="22"/>
          <w:szCs w:val="22"/>
        </w:rPr>
        <w:t>)</w:t>
      </w:r>
    </w:p>
    <w:tbl>
      <w:tblPr>
        <w:tblW w:w="86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69"/>
        <w:gridCol w:w="2111"/>
        <w:gridCol w:w="40"/>
        <w:gridCol w:w="2482"/>
      </w:tblGrid>
      <w:tr w:rsidR="00AC3C09" w:rsidRPr="00AC3C09" w:rsidTr="00CC6ABA">
        <w:trPr>
          <w:cantSplit/>
          <w:tblHeader/>
        </w:trPr>
        <w:tc>
          <w:tcPr>
            <w:tcW w:w="3969" w:type="dxa"/>
            <w:shd w:val="clear" w:color="auto" w:fill="auto"/>
          </w:tcPr>
          <w:p w:rsidR="00AC3C09" w:rsidRPr="00AC3C09" w:rsidRDefault="00AC3C09" w:rsidP="00D03E32">
            <w:pPr>
              <w:keepNext/>
              <w:jc w:val="center"/>
              <w:rPr>
                <w:rFonts w:ascii="Arial" w:hAnsi="Arial" w:cs="Arial"/>
                <w:color w:val="000000"/>
                <w:sz w:val="22"/>
                <w:szCs w:val="22"/>
              </w:rPr>
            </w:pPr>
          </w:p>
        </w:tc>
        <w:tc>
          <w:tcPr>
            <w:tcW w:w="2151" w:type="dxa"/>
            <w:gridSpan w:val="2"/>
            <w:shd w:val="clear" w:color="auto" w:fill="auto"/>
          </w:tcPr>
          <w:p w:rsidR="00AC3C09" w:rsidRPr="00AC3C09" w:rsidRDefault="00CC6ABA" w:rsidP="00D03E32">
            <w:pPr>
              <w:keepNext/>
              <w:jc w:val="center"/>
              <w:rPr>
                <w:rFonts w:ascii="Arial" w:hAnsi="Arial" w:cs="Arial"/>
                <w:b/>
                <w:color w:val="000000"/>
                <w:sz w:val="22"/>
                <w:szCs w:val="22"/>
              </w:rPr>
            </w:pPr>
            <w:r>
              <w:rPr>
                <w:rFonts w:ascii="Arial" w:hAnsi="Arial" w:cs="Arial"/>
                <w:b/>
                <w:color w:val="000000"/>
                <w:sz w:val="22"/>
                <w:szCs w:val="22"/>
              </w:rPr>
              <w:t>TYKERB</w:t>
            </w:r>
            <w:r w:rsidR="00AC3C09" w:rsidRPr="00AC3C09">
              <w:rPr>
                <w:rFonts w:ascii="Arial" w:hAnsi="Arial" w:cs="Arial"/>
                <w:b/>
                <w:color w:val="000000"/>
                <w:sz w:val="22"/>
                <w:szCs w:val="22"/>
              </w:rPr>
              <w:t xml:space="preserve"> plus paclitaxel </w:t>
            </w:r>
          </w:p>
        </w:tc>
        <w:tc>
          <w:tcPr>
            <w:tcW w:w="2482" w:type="dxa"/>
            <w:shd w:val="clear" w:color="auto" w:fill="auto"/>
          </w:tcPr>
          <w:p w:rsidR="00AC3C09" w:rsidRPr="00AC3C09" w:rsidRDefault="00AC3C09" w:rsidP="00D03E32">
            <w:pPr>
              <w:keepNext/>
              <w:jc w:val="center"/>
              <w:rPr>
                <w:rFonts w:ascii="Arial" w:hAnsi="Arial" w:cs="Arial"/>
                <w:b/>
                <w:color w:val="000000"/>
                <w:sz w:val="22"/>
                <w:szCs w:val="22"/>
              </w:rPr>
            </w:pPr>
            <w:r w:rsidRPr="00AC3C09">
              <w:rPr>
                <w:rFonts w:ascii="Arial" w:hAnsi="Arial" w:cs="Arial"/>
                <w:b/>
                <w:color w:val="000000"/>
                <w:sz w:val="22"/>
                <w:szCs w:val="22"/>
              </w:rPr>
              <w:t xml:space="preserve">Paclitaxel alone </w:t>
            </w:r>
          </w:p>
        </w:tc>
      </w:tr>
      <w:tr w:rsidR="00AC3C09" w:rsidRPr="00AC3C09" w:rsidTr="00CC6ABA">
        <w:trPr>
          <w:cantSplit/>
          <w:trHeight w:val="496"/>
        </w:trPr>
        <w:tc>
          <w:tcPr>
            <w:tcW w:w="3969" w:type="dxa"/>
            <w:shd w:val="clear" w:color="auto" w:fill="auto"/>
          </w:tcPr>
          <w:p w:rsidR="00AC3C09" w:rsidRPr="00AC3C09" w:rsidRDefault="00AC3C09" w:rsidP="00CC6ABA">
            <w:pPr>
              <w:pStyle w:val="listdashnospace"/>
              <w:keepNext/>
              <w:numPr>
                <w:ilvl w:val="0"/>
                <w:numId w:val="0"/>
              </w:numPr>
              <w:ind w:left="34" w:hanging="34"/>
              <w:rPr>
                <w:rFonts w:ascii="Arial" w:hAnsi="Arial" w:cs="Arial"/>
                <w:b/>
                <w:color w:val="000000"/>
                <w:sz w:val="22"/>
                <w:szCs w:val="22"/>
              </w:rPr>
            </w:pPr>
            <w:r w:rsidRPr="00AC3C09">
              <w:rPr>
                <w:rFonts w:ascii="Arial" w:hAnsi="Arial" w:cs="Arial"/>
                <w:b/>
                <w:color w:val="000000"/>
                <w:sz w:val="22"/>
                <w:szCs w:val="22"/>
              </w:rPr>
              <w:t>Overall Survival HER2+ Population)</w:t>
            </w:r>
          </w:p>
        </w:tc>
        <w:tc>
          <w:tcPr>
            <w:tcW w:w="2111" w:type="dxa"/>
            <w:shd w:val="clear" w:color="auto" w:fill="auto"/>
          </w:tcPr>
          <w:p w:rsidR="00AC3C09" w:rsidRPr="00AC3C09" w:rsidRDefault="00AC3C09" w:rsidP="00D03E32">
            <w:pPr>
              <w:keepNext/>
              <w:jc w:val="center"/>
              <w:rPr>
                <w:rFonts w:ascii="Arial" w:hAnsi="Arial" w:cs="Arial"/>
                <w:color w:val="000000"/>
                <w:sz w:val="22"/>
                <w:szCs w:val="22"/>
              </w:rPr>
            </w:pPr>
            <w:r w:rsidRPr="00AC3C09">
              <w:rPr>
                <w:rFonts w:ascii="Arial" w:hAnsi="Arial" w:cs="Arial"/>
                <w:b/>
                <w:color w:val="000000"/>
                <w:sz w:val="22"/>
                <w:szCs w:val="22"/>
              </w:rPr>
              <w:t>(N=52)</w:t>
            </w:r>
          </w:p>
        </w:tc>
        <w:tc>
          <w:tcPr>
            <w:tcW w:w="2522" w:type="dxa"/>
            <w:gridSpan w:val="2"/>
            <w:shd w:val="clear" w:color="auto" w:fill="auto"/>
          </w:tcPr>
          <w:p w:rsidR="00AC3C09" w:rsidRPr="00AC3C09" w:rsidRDefault="00AC3C09" w:rsidP="00D03E32">
            <w:pPr>
              <w:keepNext/>
              <w:jc w:val="center"/>
              <w:rPr>
                <w:rFonts w:ascii="Arial" w:hAnsi="Arial" w:cs="Arial"/>
                <w:color w:val="000000"/>
                <w:sz w:val="22"/>
                <w:szCs w:val="22"/>
              </w:rPr>
            </w:pPr>
            <w:r w:rsidRPr="00AC3C09">
              <w:rPr>
                <w:rFonts w:ascii="Arial" w:hAnsi="Arial" w:cs="Arial"/>
                <w:b/>
                <w:color w:val="000000"/>
                <w:sz w:val="22"/>
                <w:szCs w:val="22"/>
              </w:rPr>
              <w:t>(N=39)</w:t>
            </w:r>
          </w:p>
        </w:tc>
      </w:tr>
      <w:tr w:rsidR="00AC3C09" w:rsidRPr="00AC3C09" w:rsidTr="00CC6ABA">
        <w:trPr>
          <w:cantSplit/>
        </w:trPr>
        <w:tc>
          <w:tcPr>
            <w:tcW w:w="3969" w:type="dxa"/>
            <w:shd w:val="clear" w:color="auto" w:fill="auto"/>
          </w:tcPr>
          <w:p w:rsidR="00AC3C09" w:rsidRPr="00AC3C09" w:rsidRDefault="00AC3C09" w:rsidP="00D03E32">
            <w:pPr>
              <w:pStyle w:val="listdashnospace"/>
              <w:keepNext/>
              <w:numPr>
                <w:ilvl w:val="0"/>
                <w:numId w:val="0"/>
              </w:numPr>
              <w:tabs>
                <w:tab w:val="num" w:pos="567"/>
              </w:tabs>
              <w:spacing w:after="240"/>
              <w:ind w:left="567" w:hanging="567"/>
              <w:rPr>
                <w:rFonts w:ascii="Arial" w:hAnsi="Arial" w:cs="Arial"/>
                <w:b/>
                <w:color w:val="000000"/>
                <w:sz w:val="22"/>
                <w:szCs w:val="22"/>
              </w:rPr>
            </w:pPr>
            <w:r w:rsidRPr="00AC3C09">
              <w:rPr>
                <w:rFonts w:ascii="Arial" w:hAnsi="Arial" w:cs="Arial"/>
                <w:sz w:val="22"/>
                <w:szCs w:val="22"/>
              </w:rPr>
              <w:t>Died</w:t>
            </w:r>
          </w:p>
        </w:tc>
        <w:tc>
          <w:tcPr>
            <w:tcW w:w="2111" w:type="dxa"/>
            <w:shd w:val="clear" w:color="auto" w:fill="auto"/>
          </w:tcPr>
          <w:p w:rsidR="00AC3C09" w:rsidRPr="00AC3C09" w:rsidRDefault="00AC3C09" w:rsidP="00D03E32">
            <w:pPr>
              <w:keepNext/>
              <w:jc w:val="center"/>
              <w:rPr>
                <w:rFonts w:ascii="Arial" w:hAnsi="Arial" w:cs="Arial"/>
                <w:color w:val="000000"/>
                <w:sz w:val="22"/>
                <w:szCs w:val="22"/>
              </w:rPr>
            </w:pPr>
            <w:r w:rsidRPr="00AC3C09">
              <w:rPr>
                <w:rFonts w:ascii="Arial" w:hAnsi="Arial" w:cs="Arial"/>
                <w:color w:val="000000"/>
                <w:sz w:val="22"/>
                <w:szCs w:val="22"/>
              </w:rPr>
              <w:t>71%</w:t>
            </w:r>
          </w:p>
        </w:tc>
        <w:tc>
          <w:tcPr>
            <w:tcW w:w="2522" w:type="dxa"/>
            <w:gridSpan w:val="2"/>
            <w:shd w:val="clear" w:color="auto" w:fill="auto"/>
          </w:tcPr>
          <w:p w:rsidR="00AC3C09" w:rsidRPr="00AC3C09" w:rsidRDefault="00AC3C09" w:rsidP="00D03E32">
            <w:pPr>
              <w:keepNext/>
              <w:jc w:val="center"/>
              <w:rPr>
                <w:rFonts w:ascii="Arial" w:hAnsi="Arial" w:cs="Arial"/>
                <w:color w:val="000000"/>
                <w:sz w:val="22"/>
                <w:szCs w:val="22"/>
              </w:rPr>
            </w:pPr>
            <w:r w:rsidRPr="00AC3C09">
              <w:rPr>
                <w:rFonts w:ascii="Arial" w:hAnsi="Arial" w:cs="Arial"/>
                <w:color w:val="000000"/>
                <w:sz w:val="22"/>
                <w:szCs w:val="22"/>
              </w:rPr>
              <w:t>74%</w:t>
            </w:r>
          </w:p>
        </w:tc>
      </w:tr>
      <w:tr w:rsidR="00AC3C09" w:rsidRPr="00AC3C09" w:rsidTr="00CC6ABA">
        <w:trPr>
          <w:cantSplit/>
        </w:trPr>
        <w:tc>
          <w:tcPr>
            <w:tcW w:w="3969" w:type="dxa"/>
            <w:shd w:val="clear" w:color="auto" w:fill="auto"/>
          </w:tcPr>
          <w:p w:rsidR="00AC3C09" w:rsidRPr="00AC3C09" w:rsidRDefault="00AC3C09" w:rsidP="00CC6ABA">
            <w:pPr>
              <w:pStyle w:val="listdashnospace"/>
              <w:keepNext/>
              <w:numPr>
                <w:ilvl w:val="0"/>
                <w:numId w:val="0"/>
              </w:numPr>
              <w:tabs>
                <w:tab w:val="num" w:pos="567"/>
              </w:tabs>
              <w:ind w:left="567" w:hanging="567"/>
              <w:rPr>
                <w:rFonts w:ascii="Arial" w:hAnsi="Arial" w:cs="Arial"/>
                <w:color w:val="000000"/>
                <w:sz w:val="22"/>
                <w:szCs w:val="22"/>
              </w:rPr>
            </w:pPr>
            <w:r w:rsidRPr="00AC3C09">
              <w:rPr>
                <w:rFonts w:ascii="Arial" w:hAnsi="Arial" w:cs="Arial"/>
                <w:color w:val="000000"/>
                <w:sz w:val="22"/>
                <w:szCs w:val="22"/>
              </w:rPr>
              <w:t>Median overall survival (months)</w:t>
            </w:r>
          </w:p>
          <w:p w:rsidR="00AC3C09" w:rsidRPr="00AC3C09" w:rsidRDefault="00AC3C09" w:rsidP="00CC6ABA">
            <w:pPr>
              <w:pStyle w:val="listdashnospace"/>
              <w:keepNext/>
              <w:numPr>
                <w:ilvl w:val="0"/>
                <w:numId w:val="0"/>
              </w:numPr>
              <w:tabs>
                <w:tab w:val="num" w:pos="567"/>
              </w:tabs>
              <w:spacing w:line="312" w:lineRule="atLeast"/>
              <w:ind w:left="561" w:hanging="561"/>
              <w:rPr>
                <w:rFonts w:ascii="Arial" w:hAnsi="Arial" w:cs="Arial"/>
                <w:color w:val="000000"/>
                <w:sz w:val="22"/>
                <w:szCs w:val="22"/>
              </w:rPr>
            </w:pPr>
            <w:r w:rsidRPr="00AC3C09">
              <w:rPr>
                <w:rFonts w:ascii="Arial" w:hAnsi="Arial" w:cs="Arial"/>
                <w:color w:val="000000"/>
                <w:sz w:val="22"/>
                <w:szCs w:val="22"/>
              </w:rPr>
              <w:t>(95% CI)</w:t>
            </w:r>
          </w:p>
        </w:tc>
        <w:tc>
          <w:tcPr>
            <w:tcW w:w="2111" w:type="dxa"/>
            <w:shd w:val="clear" w:color="auto" w:fill="auto"/>
          </w:tcPr>
          <w:p w:rsidR="00AC3C09" w:rsidRPr="00AC3C09" w:rsidRDefault="00AC3C09" w:rsidP="00D03E32">
            <w:pPr>
              <w:keepNext/>
              <w:jc w:val="center"/>
              <w:rPr>
                <w:rFonts w:ascii="Arial" w:hAnsi="Arial" w:cs="Arial"/>
                <w:color w:val="000000"/>
                <w:sz w:val="22"/>
                <w:szCs w:val="22"/>
              </w:rPr>
            </w:pPr>
            <w:r w:rsidRPr="00AC3C09">
              <w:rPr>
                <w:rFonts w:ascii="Arial" w:hAnsi="Arial" w:cs="Arial"/>
                <w:color w:val="000000"/>
                <w:sz w:val="22"/>
                <w:szCs w:val="22"/>
              </w:rPr>
              <w:t>24.3</w:t>
            </w:r>
          </w:p>
          <w:p w:rsidR="00AC3C09" w:rsidRPr="00AC3C09" w:rsidRDefault="00AC3C09" w:rsidP="00D03E32">
            <w:pPr>
              <w:keepNext/>
              <w:jc w:val="center"/>
              <w:rPr>
                <w:rFonts w:ascii="Arial" w:hAnsi="Arial" w:cs="Arial"/>
                <w:color w:val="000000"/>
                <w:sz w:val="22"/>
                <w:szCs w:val="22"/>
              </w:rPr>
            </w:pPr>
            <w:r w:rsidRPr="00AC3C09">
              <w:rPr>
                <w:rFonts w:ascii="Arial" w:hAnsi="Arial" w:cs="Arial"/>
                <w:color w:val="000000"/>
                <w:sz w:val="22"/>
                <w:szCs w:val="22"/>
              </w:rPr>
              <w:t>(17.7, 31.3)</w:t>
            </w:r>
          </w:p>
        </w:tc>
        <w:tc>
          <w:tcPr>
            <w:tcW w:w="2522" w:type="dxa"/>
            <w:gridSpan w:val="2"/>
            <w:shd w:val="clear" w:color="auto" w:fill="auto"/>
          </w:tcPr>
          <w:p w:rsidR="00AC3C09" w:rsidRPr="00AC3C09" w:rsidRDefault="00AC3C09" w:rsidP="00D03E32">
            <w:pPr>
              <w:keepNext/>
              <w:jc w:val="center"/>
              <w:rPr>
                <w:rFonts w:ascii="Arial" w:hAnsi="Arial" w:cs="Arial"/>
                <w:color w:val="000000"/>
                <w:sz w:val="22"/>
                <w:szCs w:val="22"/>
              </w:rPr>
            </w:pPr>
            <w:r w:rsidRPr="00AC3C09">
              <w:rPr>
                <w:rFonts w:ascii="Arial" w:hAnsi="Arial" w:cs="Arial"/>
                <w:color w:val="000000"/>
                <w:sz w:val="22"/>
                <w:szCs w:val="22"/>
              </w:rPr>
              <w:t>19.2</w:t>
            </w:r>
          </w:p>
          <w:p w:rsidR="00AC3C09" w:rsidRPr="00AC3C09" w:rsidRDefault="00AC3C09" w:rsidP="00D03E32">
            <w:pPr>
              <w:keepNext/>
              <w:jc w:val="center"/>
              <w:rPr>
                <w:rFonts w:ascii="Arial" w:hAnsi="Arial" w:cs="Arial"/>
                <w:color w:val="000000"/>
                <w:sz w:val="22"/>
                <w:szCs w:val="22"/>
              </w:rPr>
            </w:pPr>
            <w:r w:rsidRPr="00AC3C09">
              <w:rPr>
                <w:rFonts w:ascii="Arial" w:hAnsi="Arial" w:cs="Arial"/>
                <w:color w:val="000000"/>
                <w:sz w:val="22"/>
                <w:szCs w:val="22"/>
              </w:rPr>
              <w:t>(11.7, 29.7)</w:t>
            </w:r>
          </w:p>
        </w:tc>
      </w:tr>
      <w:tr w:rsidR="00AC3C09" w:rsidRPr="00AC3C09" w:rsidTr="00CC6ABA">
        <w:trPr>
          <w:cantSplit/>
        </w:trPr>
        <w:tc>
          <w:tcPr>
            <w:tcW w:w="3969" w:type="dxa"/>
            <w:shd w:val="clear" w:color="auto" w:fill="auto"/>
          </w:tcPr>
          <w:p w:rsidR="00AC3C09" w:rsidRPr="00AC3C09" w:rsidRDefault="00AC3C09" w:rsidP="00CC6ABA">
            <w:pPr>
              <w:pStyle w:val="listdashnospace"/>
              <w:keepNext/>
              <w:numPr>
                <w:ilvl w:val="0"/>
                <w:numId w:val="0"/>
              </w:numPr>
              <w:tabs>
                <w:tab w:val="num" w:pos="567"/>
              </w:tabs>
              <w:ind w:left="567" w:hanging="567"/>
              <w:rPr>
                <w:rFonts w:ascii="Arial" w:hAnsi="Arial" w:cs="Arial"/>
                <w:color w:val="000000"/>
                <w:sz w:val="22"/>
                <w:szCs w:val="22"/>
              </w:rPr>
            </w:pPr>
            <w:r w:rsidRPr="00AC3C09">
              <w:rPr>
                <w:rFonts w:ascii="Arial" w:hAnsi="Arial" w:cs="Arial"/>
                <w:color w:val="000000"/>
                <w:sz w:val="22"/>
                <w:szCs w:val="22"/>
              </w:rPr>
              <w:t>Hazard ratio, 95% CI</w:t>
            </w:r>
          </w:p>
          <w:p w:rsidR="00AC3C09" w:rsidRPr="00AC3C09" w:rsidRDefault="00AC3C09" w:rsidP="00CC6ABA">
            <w:pPr>
              <w:pStyle w:val="listdashnospace"/>
              <w:keepNext/>
              <w:numPr>
                <w:ilvl w:val="0"/>
                <w:numId w:val="0"/>
              </w:numPr>
              <w:tabs>
                <w:tab w:val="num" w:pos="567"/>
              </w:tabs>
              <w:spacing w:line="312" w:lineRule="atLeast"/>
              <w:ind w:left="561" w:hanging="561"/>
              <w:rPr>
                <w:rFonts w:ascii="Arial" w:hAnsi="Arial" w:cs="Arial"/>
                <w:color w:val="000000"/>
                <w:sz w:val="22"/>
                <w:szCs w:val="22"/>
              </w:rPr>
            </w:pPr>
            <w:r w:rsidRPr="00AC3C09">
              <w:rPr>
                <w:rFonts w:ascii="Arial" w:hAnsi="Arial" w:cs="Arial"/>
                <w:color w:val="000000"/>
                <w:sz w:val="22"/>
                <w:szCs w:val="22"/>
              </w:rPr>
              <w:t>(p value)</w:t>
            </w:r>
          </w:p>
        </w:tc>
        <w:tc>
          <w:tcPr>
            <w:tcW w:w="4633" w:type="dxa"/>
            <w:gridSpan w:val="3"/>
            <w:shd w:val="clear" w:color="auto" w:fill="auto"/>
          </w:tcPr>
          <w:p w:rsidR="00AC3C09" w:rsidRPr="00AC3C09" w:rsidRDefault="00AC3C09" w:rsidP="00D03E32">
            <w:pPr>
              <w:keepNext/>
              <w:jc w:val="center"/>
              <w:rPr>
                <w:rFonts w:ascii="Arial" w:hAnsi="Arial" w:cs="Arial"/>
                <w:color w:val="000000"/>
                <w:sz w:val="22"/>
                <w:szCs w:val="22"/>
              </w:rPr>
            </w:pPr>
            <w:r w:rsidRPr="00AC3C09">
              <w:rPr>
                <w:rFonts w:ascii="Arial" w:hAnsi="Arial" w:cs="Arial"/>
                <w:color w:val="000000"/>
                <w:sz w:val="22"/>
                <w:szCs w:val="22"/>
              </w:rPr>
              <w:t>0.77 (0.5, 1.3)</w:t>
            </w:r>
          </w:p>
          <w:p w:rsidR="00AC3C09" w:rsidRPr="00AC3C09" w:rsidRDefault="00AC3C09" w:rsidP="00D03E32">
            <w:pPr>
              <w:keepNext/>
              <w:jc w:val="center"/>
              <w:rPr>
                <w:rFonts w:ascii="Arial" w:hAnsi="Arial" w:cs="Arial"/>
                <w:color w:val="000000"/>
                <w:sz w:val="22"/>
                <w:szCs w:val="22"/>
              </w:rPr>
            </w:pPr>
            <w:r w:rsidRPr="00AC3C09">
              <w:rPr>
                <w:rFonts w:ascii="Arial" w:hAnsi="Arial" w:cs="Arial"/>
                <w:color w:val="000000"/>
                <w:sz w:val="22"/>
                <w:szCs w:val="22"/>
              </w:rPr>
              <w:t>0.281</w:t>
            </w:r>
          </w:p>
        </w:tc>
      </w:tr>
    </w:tbl>
    <w:p w:rsidR="00AC3C09" w:rsidRPr="00AC3C09" w:rsidRDefault="00AC3C09" w:rsidP="00AC3C09">
      <w:pPr>
        <w:keepNext/>
        <w:rPr>
          <w:rFonts w:ascii="Arial" w:hAnsi="Arial" w:cs="Arial"/>
          <w:i/>
          <w:noProof/>
          <w:color w:val="000000"/>
          <w:sz w:val="22"/>
          <w:szCs w:val="22"/>
        </w:rPr>
      </w:pPr>
      <w:r w:rsidRPr="00AC3C09">
        <w:rPr>
          <w:rFonts w:ascii="Arial" w:hAnsi="Arial" w:cs="Arial"/>
          <w:i/>
          <w:noProof/>
          <w:color w:val="000000"/>
          <w:sz w:val="22"/>
          <w:szCs w:val="22"/>
        </w:rPr>
        <w:t>CI = confidence interval</w:t>
      </w:r>
    </w:p>
    <w:p w:rsidR="00AC3C09" w:rsidRDefault="00AC3C09" w:rsidP="00AC3C09">
      <w:pPr>
        <w:autoSpaceDE w:val="0"/>
        <w:autoSpaceDN w:val="0"/>
        <w:rPr>
          <w:rFonts w:ascii="Arial" w:hAnsi="Arial" w:cs="Arial"/>
          <w:sz w:val="22"/>
          <w:szCs w:val="22"/>
        </w:rPr>
      </w:pPr>
    </w:p>
    <w:p w:rsidR="00184EC5" w:rsidRPr="00D2281C" w:rsidRDefault="00184EC5" w:rsidP="00184EC5">
      <w:pPr>
        <w:autoSpaceDE w:val="0"/>
        <w:autoSpaceDN w:val="0"/>
        <w:jc w:val="both"/>
        <w:rPr>
          <w:rFonts w:ascii="Arial" w:hAnsi="Arial" w:cs="Arial"/>
          <w:sz w:val="22"/>
          <w:szCs w:val="22"/>
        </w:rPr>
      </w:pPr>
      <w:r w:rsidRPr="00184EC5">
        <w:rPr>
          <w:rFonts w:ascii="Arial" w:hAnsi="Arial" w:cs="Arial"/>
          <w:sz w:val="22"/>
          <w:szCs w:val="22"/>
        </w:rPr>
        <w:t xml:space="preserve">Data from a pre-planned interim analysis </w:t>
      </w:r>
      <w:r w:rsidR="00643228">
        <w:rPr>
          <w:rFonts w:ascii="Arial" w:hAnsi="Arial" w:cs="Arial"/>
          <w:sz w:val="22"/>
          <w:szCs w:val="22"/>
        </w:rPr>
        <w:t>are</w:t>
      </w:r>
      <w:r w:rsidRPr="00184EC5">
        <w:rPr>
          <w:rFonts w:ascii="Arial" w:hAnsi="Arial" w:cs="Arial"/>
          <w:sz w:val="22"/>
          <w:szCs w:val="22"/>
        </w:rPr>
        <w:t xml:space="preserve"> available on the efficacy and safety of lapatinib+taxane relative to trastuzumab+taxane. A randomized Phase III study (EGF108919) comparing the activity of lapatinib plus taxane followed by lapatinib alone versus trastuzumab plus </w:t>
      </w:r>
      <w:r w:rsidRPr="00FD7347">
        <w:rPr>
          <w:rFonts w:ascii="Arial" w:hAnsi="Arial" w:cs="Arial"/>
          <w:sz w:val="22"/>
          <w:szCs w:val="22"/>
        </w:rPr>
        <w:t xml:space="preserve">taxane followed by trastuzumab as first-line therapy for women with HER2+ metastatic breast cancer was stopped early due to superior efficacy of the trastuzumab+taxane in terms of progression-free survival.  </w:t>
      </w:r>
      <w:r w:rsidR="00FD7347" w:rsidRPr="00FD7347">
        <w:rPr>
          <w:rFonts w:ascii="Arial" w:hAnsi="Arial" w:cs="Arial"/>
          <w:bCs/>
          <w:sz w:val="22"/>
          <w:szCs w:val="22"/>
        </w:rPr>
        <w:t xml:space="preserve">Interim safety data also showed an increase in the frequency of specific Grade 3-4 adverse events, including diarrhoea, rash, fatigue and febrile neutropenia, in the study arm receiving lapatinib compared with the study arm receiving trastuzumab.  </w:t>
      </w:r>
      <w:r w:rsidRPr="00FD7347">
        <w:rPr>
          <w:rFonts w:ascii="Arial" w:hAnsi="Arial" w:cs="Arial"/>
          <w:sz w:val="22"/>
          <w:szCs w:val="22"/>
        </w:rPr>
        <w:t>At the time of the interim analysis, overall survival data were not mature to make any definitive conclusions</w:t>
      </w:r>
      <w:r w:rsidRPr="00184EC5">
        <w:rPr>
          <w:rFonts w:ascii="Arial" w:hAnsi="Arial" w:cs="Arial"/>
          <w:sz w:val="22"/>
          <w:szCs w:val="22"/>
        </w:rPr>
        <w:t>.</w:t>
      </w:r>
    </w:p>
    <w:p w:rsidR="00AC3C09" w:rsidRPr="000B3F7D" w:rsidRDefault="00AC3C09" w:rsidP="007763C8">
      <w:pPr>
        <w:pStyle w:val="Text"/>
        <w:spacing w:after="0"/>
        <w:rPr>
          <w:rFonts w:ascii="Arial" w:hAnsi="Arial" w:cs="Arial"/>
          <w:sz w:val="22"/>
          <w:szCs w:val="22"/>
          <w:u w:val="single"/>
        </w:rPr>
      </w:pPr>
    </w:p>
    <w:p w:rsidR="007763C8" w:rsidRPr="000B3F7D" w:rsidRDefault="00856C07" w:rsidP="007763C8">
      <w:pPr>
        <w:pStyle w:val="Text"/>
        <w:spacing w:after="0"/>
        <w:rPr>
          <w:rFonts w:ascii="Arial" w:hAnsi="Arial" w:cs="Arial"/>
          <w:b/>
          <w:sz w:val="22"/>
          <w:szCs w:val="22"/>
          <w:u w:val="single"/>
        </w:rPr>
      </w:pPr>
      <w:r w:rsidRPr="000B3F7D">
        <w:rPr>
          <w:rFonts w:ascii="Arial" w:hAnsi="Arial" w:cs="Arial"/>
          <w:b/>
          <w:sz w:val="22"/>
          <w:szCs w:val="22"/>
          <w:u w:val="single"/>
        </w:rPr>
        <w:t>Combination treatment with TYKERB and letrozole</w:t>
      </w:r>
    </w:p>
    <w:p w:rsidR="00856C07" w:rsidRPr="000B3F7D" w:rsidRDefault="00856C07" w:rsidP="007763C8">
      <w:pPr>
        <w:pStyle w:val="Text"/>
        <w:spacing w:after="0"/>
        <w:rPr>
          <w:rFonts w:ascii="Arial" w:hAnsi="Arial" w:cs="Arial"/>
          <w:b/>
          <w:sz w:val="22"/>
          <w:szCs w:val="22"/>
          <w:u w:val="single"/>
        </w:rPr>
      </w:pPr>
    </w:p>
    <w:p w:rsidR="00856C07" w:rsidRPr="000B3F7D" w:rsidRDefault="00856C07" w:rsidP="00856C07">
      <w:pPr>
        <w:pStyle w:val="Text"/>
        <w:spacing w:after="0"/>
        <w:jc w:val="both"/>
        <w:rPr>
          <w:rFonts w:ascii="Arial" w:hAnsi="Arial" w:cs="Arial"/>
          <w:sz w:val="22"/>
          <w:szCs w:val="22"/>
        </w:rPr>
      </w:pPr>
      <w:r w:rsidRPr="000B3F7D">
        <w:rPr>
          <w:rFonts w:ascii="Arial" w:hAnsi="Arial" w:cs="Arial"/>
          <w:sz w:val="22"/>
          <w:szCs w:val="22"/>
        </w:rPr>
        <w:t>TYKERB has been studie</w:t>
      </w:r>
      <w:r w:rsidR="005E1545" w:rsidRPr="000B3F7D">
        <w:rPr>
          <w:rFonts w:ascii="Arial" w:hAnsi="Arial" w:cs="Arial"/>
          <w:sz w:val="22"/>
          <w:szCs w:val="22"/>
        </w:rPr>
        <w:t>d</w:t>
      </w:r>
      <w:r w:rsidRPr="000B3F7D">
        <w:rPr>
          <w:rFonts w:ascii="Arial" w:hAnsi="Arial" w:cs="Arial"/>
          <w:sz w:val="22"/>
          <w:szCs w:val="22"/>
        </w:rPr>
        <w:t xml:space="preserve"> in combination with </w:t>
      </w:r>
      <w:r w:rsidR="00AC7C7D" w:rsidRPr="000B3F7D">
        <w:rPr>
          <w:rFonts w:ascii="Arial" w:hAnsi="Arial" w:cs="Arial"/>
          <w:sz w:val="22"/>
          <w:szCs w:val="22"/>
        </w:rPr>
        <w:t xml:space="preserve">the aromatase inhibitor </w:t>
      </w:r>
      <w:r w:rsidRPr="000B3F7D">
        <w:rPr>
          <w:rFonts w:ascii="Arial" w:hAnsi="Arial" w:cs="Arial"/>
          <w:sz w:val="22"/>
          <w:szCs w:val="22"/>
        </w:rPr>
        <w:t>letrozole for the treatment of advanced or metastatic breast cancer in hormone receptor positive (oestrogen receptor [ER] positive and/or progesterone receptor [PgR] positive) postmenopausal women.</w:t>
      </w:r>
    </w:p>
    <w:p w:rsidR="00856C07" w:rsidRPr="000B3F7D" w:rsidRDefault="00856C07" w:rsidP="00856C07">
      <w:pPr>
        <w:pStyle w:val="Text"/>
        <w:spacing w:after="0"/>
        <w:jc w:val="both"/>
        <w:rPr>
          <w:rFonts w:ascii="Arial" w:hAnsi="Arial" w:cs="Arial"/>
          <w:sz w:val="22"/>
          <w:szCs w:val="22"/>
        </w:rPr>
      </w:pPr>
    </w:p>
    <w:p w:rsidR="00A26AE0" w:rsidRPr="000B3F7D" w:rsidRDefault="00856C07" w:rsidP="00856C07">
      <w:pPr>
        <w:pStyle w:val="Text"/>
        <w:spacing w:after="0"/>
        <w:jc w:val="both"/>
        <w:rPr>
          <w:rFonts w:ascii="Arial" w:hAnsi="Arial" w:cs="Arial"/>
          <w:sz w:val="22"/>
          <w:szCs w:val="22"/>
        </w:rPr>
      </w:pPr>
      <w:r w:rsidRPr="000B3F7D">
        <w:rPr>
          <w:rFonts w:ascii="Arial" w:hAnsi="Arial" w:cs="Arial"/>
          <w:sz w:val="22"/>
          <w:szCs w:val="22"/>
        </w:rPr>
        <w:t xml:space="preserve">EGF30008 was a </w:t>
      </w:r>
      <w:r w:rsidR="00AC7C7D" w:rsidRPr="000B3F7D">
        <w:rPr>
          <w:rFonts w:ascii="Arial" w:hAnsi="Arial" w:cs="Arial"/>
          <w:sz w:val="22"/>
          <w:szCs w:val="22"/>
        </w:rPr>
        <w:t xml:space="preserve">Phase </w:t>
      </w:r>
      <w:smartTag w:uri="urn:schemas-microsoft-com:office:smarttags" w:element="stockticker">
        <w:r w:rsidR="00AC7C7D" w:rsidRPr="000B3F7D">
          <w:rPr>
            <w:rFonts w:ascii="Arial" w:hAnsi="Arial" w:cs="Arial"/>
            <w:sz w:val="22"/>
            <w:szCs w:val="22"/>
          </w:rPr>
          <w:t>III</w:t>
        </w:r>
      </w:smartTag>
      <w:r w:rsidR="00AC7C7D" w:rsidRPr="000B3F7D">
        <w:rPr>
          <w:rFonts w:ascii="Arial" w:hAnsi="Arial" w:cs="Arial"/>
          <w:sz w:val="22"/>
          <w:szCs w:val="22"/>
        </w:rPr>
        <w:t xml:space="preserve">, </w:t>
      </w:r>
      <w:r w:rsidRPr="000B3F7D">
        <w:rPr>
          <w:rFonts w:ascii="Arial" w:hAnsi="Arial" w:cs="Arial"/>
          <w:sz w:val="22"/>
          <w:szCs w:val="22"/>
        </w:rPr>
        <w:t>randomised, double-blind, controlled trial in patients with hormone</w:t>
      </w:r>
      <w:r w:rsidR="00EF5499" w:rsidRPr="000B3F7D">
        <w:rPr>
          <w:rFonts w:ascii="Arial" w:hAnsi="Arial" w:cs="Arial"/>
          <w:sz w:val="22"/>
          <w:szCs w:val="22"/>
        </w:rPr>
        <w:t xml:space="preserve"> receptor-positive</w:t>
      </w:r>
      <w:r w:rsidRPr="000B3F7D">
        <w:rPr>
          <w:rFonts w:ascii="Arial" w:hAnsi="Arial" w:cs="Arial"/>
          <w:sz w:val="22"/>
          <w:szCs w:val="22"/>
        </w:rPr>
        <w:t xml:space="preserve"> locally advanced or metastatic breast cancer (MBC), who had not received prior </w:t>
      </w:r>
      <w:r w:rsidR="00B74338" w:rsidRPr="000B3F7D">
        <w:rPr>
          <w:rFonts w:ascii="Arial" w:hAnsi="Arial" w:cs="Arial"/>
          <w:sz w:val="22"/>
          <w:szCs w:val="22"/>
        </w:rPr>
        <w:t xml:space="preserve">systemic </w:t>
      </w:r>
      <w:r w:rsidRPr="000B3F7D">
        <w:rPr>
          <w:rFonts w:ascii="Arial" w:hAnsi="Arial" w:cs="Arial"/>
          <w:sz w:val="22"/>
          <w:szCs w:val="22"/>
        </w:rPr>
        <w:t xml:space="preserve">therapy for their metastatic disease.  1286 patients were randomised to letrozole 2.5 mg once daily plus TYKERB 1500 mg once daily or letrozole </w:t>
      </w:r>
      <w:r w:rsidR="00DD5E35" w:rsidRPr="000B3F7D">
        <w:rPr>
          <w:rFonts w:ascii="Arial" w:hAnsi="Arial" w:cs="Arial"/>
          <w:sz w:val="22"/>
          <w:szCs w:val="22"/>
        </w:rPr>
        <w:t xml:space="preserve">2.5 mg </w:t>
      </w:r>
      <w:r w:rsidRPr="000B3F7D">
        <w:rPr>
          <w:rFonts w:ascii="Arial" w:hAnsi="Arial" w:cs="Arial"/>
          <w:sz w:val="22"/>
          <w:szCs w:val="22"/>
        </w:rPr>
        <w:t xml:space="preserve">with placebo.  Randomisation was stratified by sites of disease and prior adjuvant anti-oestrogen therapy.  HER2 receptor status was retrospectively determined by central laboratory testing.  </w:t>
      </w:r>
    </w:p>
    <w:p w:rsidR="00A26AE0" w:rsidRPr="000B3F7D" w:rsidRDefault="00A26AE0" w:rsidP="00856C07">
      <w:pPr>
        <w:pStyle w:val="Text"/>
        <w:spacing w:after="0"/>
        <w:jc w:val="both"/>
        <w:rPr>
          <w:rFonts w:ascii="Arial" w:hAnsi="Arial" w:cs="Arial"/>
          <w:sz w:val="22"/>
          <w:szCs w:val="22"/>
        </w:rPr>
      </w:pPr>
    </w:p>
    <w:p w:rsidR="00856C07" w:rsidRPr="000B3F7D" w:rsidRDefault="00856C07" w:rsidP="00856C07">
      <w:pPr>
        <w:pStyle w:val="Text"/>
        <w:spacing w:after="0"/>
        <w:jc w:val="both"/>
        <w:rPr>
          <w:rFonts w:ascii="Arial" w:hAnsi="Arial" w:cs="Arial"/>
          <w:sz w:val="22"/>
          <w:szCs w:val="22"/>
        </w:rPr>
      </w:pPr>
      <w:r w:rsidRPr="000B3F7D">
        <w:rPr>
          <w:rFonts w:ascii="Arial" w:hAnsi="Arial" w:cs="Arial"/>
          <w:sz w:val="22"/>
          <w:szCs w:val="22"/>
        </w:rPr>
        <w:t>Of all patients randomised to treatment, 219 patients had tumours over-expressing the HER2 receptor (the</w:t>
      </w:r>
      <w:r w:rsidR="00EC2346" w:rsidRPr="000B3F7D">
        <w:rPr>
          <w:rFonts w:ascii="Arial" w:hAnsi="Arial" w:cs="Arial"/>
          <w:sz w:val="22"/>
          <w:szCs w:val="22"/>
        </w:rPr>
        <w:t xml:space="preserve"> </w:t>
      </w:r>
      <w:r w:rsidRPr="000B3F7D">
        <w:rPr>
          <w:rFonts w:ascii="Arial" w:hAnsi="Arial" w:cs="Arial"/>
          <w:sz w:val="22"/>
          <w:szCs w:val="22"/>
        </w:rPr>
        <w:t>’HER2-positive population’), which was the pre-specified primary population for the analysis of efficacy.  There were 952 HER2 negative patients and a total of 115 patients whose HER2 status was unconfirmed.</w:t>
      </w:r>
    </w:p>
    <w:p w:rsidR="00856C07" w:rsidRPr="000B3F7D" w:rsidRDefault="00856C07" w:rsidP="00856C07">
      <w:pPr>
        <w:pStyle w:val="Text"/>
        <w:spacing w:after="0"/>
        <w:jc w:val="both"/>
        <w:rPr>
          <w:rFonts w:ascii="Arial" w:hAnsi="Arial" w:cs="Arial"/>
          <w:sz w:val="22"/>
          <w:szCs w:val="22"/>
        </w:rPr>
      </w:pPr>
    </w:p>
    <w:p w:rsidR="00856C07" w:rsidRPr="000B3F7D" w:rsidRDefault="00B12BF4" w:rsidP="00856C07">
      <w:pPr>
        <w:pStyle w:val="Text"/>
        <w:spacing w:after="0"/>
        <w:jc w:val="both"/>
        <w:rPr>
          <w:rFonts w:ascii="Arial" w:hAnsi="Arial" w:cs="Arial"/>
          <w:sz w:val="22"/>
          <w:szCs w:val="22"/>
        </w:rPr>
      </w:pPr>
      <w:r w:rsidRPr="000B3F7D">
        <w:rPr>
          <w:rFonts w:ascii="Arial" w:hAnsi="Arial" w:cs="Arial"/>
          <w:sz w:val="22"/>
          <w:szCs w:val="22"/>
        </w:rPr>
        <w:t>In the HER2-positive population</w:t>
      </w:r>
      <w:r w:rsidR="000402C9" w:rsidRPr="000B3F7D">
        <w:rPr>
          <w:rFonts w:ascii="Arial" w:hAnsi="Arial" w:cs="Arial"/>
          <w:sz w:val="22"/>
          <w:szCs w:val="22"/>
        </w:rPr>
        <w:t xml:space="preserve">, investigator-determined progression-free survival (PFS) was significantly greater with letrozole plus TYKERB compared with letrozole plus placebo (see Table </w:t>
      </w:r>
      <w:r w:rsidR="009A4CA4">
        <w:rPr>
          <w:rFonts w:ascii="Arial" w:hAnsi="Arial" w:cs="Arial"/>
          <w:sz w:val="22"/>
          <w:szCs w:val="22"/>
        </w:rPr>
        <w:t>6</w:t>
      </w:r>
      <w:r w:rsidR="000402C9" w:rsidRPr="000B3F7D">
        <w:rPr>
          <w:rFonts w:ascii="Arial" w:hAnsi="Arial" w:cs="Arial"/>
          <w:sz w:val="22"/>
          <w:szCs w:val="22"/>
        </w:rPr>
        <w:t>).</w:t>
      </w:r>
    </w:p>
    <w:p w:rsidR="000402C9" w:rsidRDefault="000402C9" w:rsidP="00856C07">
      <w:pPr>
        <w:pStyle w:val="Text"/>
        <w:spacing w:after="0"/>
        <w:jc w:val="both"/>
        <w:rPr>
          <w:rFonts w:ascii="Arial" w:hAnsi="Arial" w:cs="Arial"/>
          <w:b/>
          <w:sz w:val="22"/>
          <w:szCs w:val="22"/>
          <w:u w:val="single"/>
        </w:rPr>
      </w:pPr>
    </w:p>
    <w:p w:rsidR="008E6831" w:rsidRPr="000B3F7D" w:rsidRDefault="008E6831" w:rsidP="00963C41">
      <w:pPr>
        <w:pStyle w:val="listbull"/>
        <w:keepNext/>
        <w:numPr>
          <w:ilvl w:val="0"/>
          <w:numId w:val="0"/>
        </w:numPr>
        <w:spacing w:after="0"/>
        <w:ind w:left="567" w:hanging="567"/>
        <w:rPr>
          <w:rFonts w:ascii="Arial Bold" w:hAnsi="Arial Bold" w:cs="Arial"/>
          <w:b/>
          <w:sz w:val="22"/>
          <w:szCs w:val="22"/>
        </w:rPr>
      </w:pPr>
      <w:r w:rsidRPr="000B3F7D">
        <w:rPr>
          <w:rFonts w:ascii="Arial Bold" w:hAnsi="Arial Bold" w:cs="Arial"/>
          <w:b/>
          <w:sz w:val="22"/>
          <w:szCs w:val="22"/>
        </w:rPr>
        <w:t xml:space="preserve">Table </w:t>
      </w:r>
      <w:r w:rsidR="009A4CA4">
        <w:rPr>
          <w:rFonts w:ascii="Arial Bold" w:hAnsi="Arial Bold" w:cs="Arial"/>
          <w:b/>
          <w:sz w:val="22"/>
          <w:szCs w:val="22"/>
        </w:rPr>
        <w:t>6</w:t>
      </w:r>
      <w:r w:rsidR="0049306D" w:rsidRPr="000B3F7D">
        <w:rPr>
          <w:rFonts w:ascii="Arial Bold" w:hAnsi="Arial Bold" w:cs="Arial"/>
          <w:b/>
          <w:sz w:val="22"/>
          <w:szCs w:val="22"/>
        </w:rPr>
        <w:t xml:space="preserve"> </w:t>
      </w:r>
      <w:r w:rsidRPr="000B3F7D">
        <w:rPr>
          <w:rFonts w:ascii="Arial Bold" w:hAnsi="Arial Bold" w:cs="Arial"/>
          <w:b/>
          <w:sz w:val="22"/>
          <w:szCs w:val="22"/>
        </w:rPr>
        <w:t xml:space="preserve">Progression Free </w:t>
      </w:r>
      <w:r w:rsidR="00F72EE3" w:rsidRPr="000B3F7D">
        <w:rPr>
          <w:rFonts w:ascii="Arial Bold" w:hAnsi="Arial Bold" w:cs="Arial"/>
          <w:b/>
          <w:sz w:val="22"/>
          <w:szCs w:val="22"/>
        </w:rPr>
        <w:t xml:space="preserve">and Overall </w:t>
      </w:r>
      <w:r w:rsidRPr="000B3F7D">
        <w:rPr>
          <w:rFonts w:ascii="Arial Bold" w:hAnsi="Arial Bold" w:cs="Arial"/>
          <w:b/>
          <w:sz w:val="22"/>
          <w:szCs w:val="22"/>
        </w:rPr>
        <w:t>Survival data from Study EGF30008 (TYKERB / letrozole)</w:t>
      </w:r>
    </w:p>
    <w:p w:rsidR="00397301" w:rsidRPr="000B3F7D" w:rsidRDefault="00397301" w:rsidP="008E6831">
      <w:pPr>
        <w:rPr>
          <w:rFonts w:ascii="Arial Bold" w:hAnsi="Arial Bold" w:cs="Arial"/>
          <w:b/>
          <w:noProof/>
          <w:sz w:val="22"/>
          <w:szCs w:val="22"/>
        </w:rPr>
      </w:pPr>
    </w:p>
    <w:tbl>
      <w:tblPr>
        <w:tblW w:w="10403"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6"/>
        <w:gridCol w:w="1387"/>
        <w:gridCol w:w="111"/>
        <w:gridCol w:w="1276"/>
        <w:gridCol w:w="1418"/>
        <w:gridCol w:w="1418"/>
        <w:gridCol w:w="1418"/>
        <w:gridCol w:w="70"/>
        <w:gridCol w:w="1489"/>
      </w:tblGrid>
      <w:tr w:rsidR="00A26AE0" w:rsidRPr="000B3F7D" w:rsidTr="00C43236">
        <w:tc>
          <w:tcPr>
            <w:tcW w:w="0" w:type="auto"/>
          </w:tcPr>
          <w:p w:rsidR="00A26AE0" w:rsidRPr="000B3F7D" w:rsidRDefault="00A26AE0" w:rsidP="00DD25FA">
            <w:pPr>
              <w:keepNext/>
              <w:rPr>
                <w:rFonts w:ascii="Arial" w:hAnsi="Arial" w:cs="Arial"/>
                <w:noProof/>
                <w:sz w:val="20"/>
              </w:rPr>
            </w:pPr>
          </w:p>
        </w:tc>
        <w:tc>
          <w:tcPr>
            <w:tcW w:w="2774" w:type="dxa"/>
            <w:gridSpan w:val="3"/>
            <w:vAlign w:val="center"/>
          </w:tcPr>
          <w:p w:rsidR="00A26AE0" w:rsidRPr="000B3F7D" w:rsidRDefault="00A26AE0" w:rsidP="00DD25FA">
            <w:pPr>
              <w:keepNext/>
              <w:keepLines/>
              <w:jc w:val="center"/>
              <w:rPr>
                <w:rFonts w:ascii="Arial" w:hAnsi="Arial" w:cs="Arial"/>
                <w:b/>
                <w:noProof/>
                <w:sz w:val="20"/>
              </w:rPr>
            </w:pPr>
            <w:r w:rsidRPr="000B3F7D">
              <w:rPr>
                <w:rFonts w:ascii="Arial" w:hAnsi="Arial" w:cs="Arial"/>
                <w:b/>
                <w:noProof/>
                <w:sz w:val="20"/>
              </w:rPr>
              <w:t>Primary endpoint</w:t>
            </w:r>
          </w:p>
        </w:tc>
        <w:tc>
          <w:tcPr>
            <w:tcW w:w="5813" w:type="dxa"/>
            <w:gridSpan w:val="5"/>
            <w:vAlign w:val="center"/>
          </w:tcPr>
          <w:p w:rsidR="00A26AE0" w:rsidRPr="000B3F7D" w:rsidRDefault="00A26AE0" w:rsidP="00DD25FA">
            <w:pPr>
              <w:jc w:val="center"/>
              <w:rPr>
                <w:rFonts w:ascii="Arial" w:hAnsi="Arial" w:cs="Arial"/>
                <w:b/>
                <w:noProof/>
                <w:sz w:val="20"/>
              </w:rPr>
            </w:pPr>
            <w:r w:rsidRPr="000B3F7D">
              <w:rPr>
                <w:rFonts w:ascii="Arial" w:hAnsi="Arial" w:cs="Arial"/>
                <w:b/>
                <w:noProof/>
                <w:sz w:val="20"/>
              </w:rPr>
              <w:t>Secondary endpoints</w:t>
            </w:r>
          </w:p>
        </w:tc>
      </w:tr>
      <w:tr w:rsidR="00397301" w:rsidRPr="000B3F7D" w:rsidTr="00C43236">
        <w:tc>
          <w:tcPr>
            <w:tcW w:w="0" w:type="auto"/>
            <w:vMerge w:val="restart"/>
          </w:tcPr>
          <w:p w:rsidR="00397301" w:rsidRPr="000B3F7D" w:rsidRDefault="00397301" w:rsidP="00DD25FA">
            <w:pPr>
              <w:keepNext/>
              <w:rPr>
                <w:rFonts w:ascii="Arial" w:hAnsi="Arial" w:cs="Arial"/>
                <w:noProof/>
                <w:sz w:val="20"/>
              </w:rPr>
            </w:pPr>
          </w:p>
        </w:tc>
        <w:tc>
          <w:tcPr>
            <w:tcW w:w="2774" w:type="dxa"/>
            <w:gridSpan w:val="3"/>
            <w:vAlign w:val="center"/>
          </w:tcPr>
          <w:p w:rsidR="00397301" w:rsidRPr="000B3F7D" w:rsidRDefault="00EC2346" w:rsidP="00DD25FA">
            <w:pPr>
              <w:keepNext/>
              <w:keepLines/>
              <w:jc w:val="center"/>
              <w:rPr>
                <w:rFonts w:ascii="Arial" w:hAnsi="Arial" w:cs="Arial"/>
                <w:b/>
                <w:noProof/>
                <w:sz w:val="20"/>
              </w:rPr>
            </w:pPr>
            <w:r w:rsidRPr="000B3F7D">
              <w:rPr>
                <w:rFonts w:ascii="Arial" w:hAnsi="Arial" w:cs="Arial"/>
                <w:b/>
                <w:noProof/>
                <w:sz w:val="20"/>
              </w:rPr>
              <w:t>HER</w:t>
            </w:r>
            <w:r w:rsidR="00397301" w:rsidRPr="000B3F7D">
              <w:rPr>
                <w:rFonts w:ascii="Arial" w:hAnsi="Arial" w:cs="Arial"/>
                <w:b/>
                <w:noProof/>
                <w:sz w:val="20"/>
              </w:rPr>
              <w:t>2-Positive Population</w:t>
            </w:r>
          </w:p>
        </w:tc>
        <w:tc>
          <w:tcPr>
            <w:tcW w:w="2836" w:type="dxa"/>
            <w:gridSpan w:val="2"/>
            <w:vAlign w:val="center"/>
          </w:tcPr>
          <w:p w:rsidR="00397301" w:rsidRPr="000B3F7D" w:rsidRDefault="00397301" w:rsidP="00DD25FA">
            <w:pPr>
              <w:keepNext/>
              <w:keepLines/>
              <w:jc w:val="center"/>
              <w:rPr>
                <w:rFonts w:ascii="Arial" w:hAnsi="Arial" w:cs="Arial"/>
                <w:b/>
                <w:noProof/>
                <w:sz w:val="20"/>
              </w:rPr>
            </w:pPr>
            <w:r w:rsidRPr="000B3F7D">
              <w:rPr>
                <w:rFonts w:ascii="Arial" w:hAnsi="Arial" w:cs="Arial"/>
                <w:b/>
                <w:noProof/>
                <w:sz w:val="20"/>
              </w:rPr>
              <w:t>Intent-to-Treat Population</w:t>
            </w:r>
          </w:p>
        </w:tc>
        <w:tc>
          <w:tcPr>
            <w:tcW w:w="2977" w:type="dxa"/>
            <w:gridSpan w:val="3"/>
            <w:shd w:val="clear" w:color="auto" w:fill="auto"/>
            <w:vAlign w:val="center"/>
          </w:tcPr>
          <w:p w:rsidR="00397301" w:rsidRPr="000B3F7D" w:rsidRDefault="00EC2346" w:rsidP="00DD25FA">
            <w:pPr>
              <w:jc w:val="center"/>
              <w:rPr>
                <w:rFonts w:ascii="Arial" w:hAnsi="Arial" w:cs="Arial"/>
                <w:noProof/>
                <w:sz w:val="20"/>
              </w:rPr>
            </w:pPr>
            <w:r w:rsidRPr="000B3F7D">
              <w:rPr>
                <w:rFonts w:ascii="Arial" w:hAnsi="Arial" w:cs="Arial"/>
                <w:b/>
                <w:noProof/>
                <w:sz w:val="20"/>
              </w:rPr>
              <w:t>HER</w:t>
            </w:r>
            <w:r w:rsidR="00397301" w:rsidRPr="000B3F7D">
              <w:rPr>
                <w:rFonts w:ascii="Arial" w:hAnsi="Arial" w:cs="Arial"/>
                <w:b/>
                <w:noProof/>
                <w:sz w:val="20"/>
              </w:rPr>
              <w:t>2-Negative Population</w:t>
            </w:r>
          </w:p>
        </w:tc>
      </w:tr>
      <w:tr w:rsidR="00EC2346" w:rsidRPr="000B3F7D" w:rsidTr="00C43236">
        <w:tc>
          <w:tcPr>
            <w:tcW w:w="0" w:type="auto"/>
            <w:vMerge/>
          </w:tcPr>
          <w:p w:rsidR="00397301" w:rsidRPr="000B3F7D" w:rsidRDefault="00397301" w:rsidP="00AC3458">
            <w:pPr>
              <w:rPr>
                <w:rFonts w:ascii="Arial" w:hAnsi="Arial" w:cs="Arial"/>
                <w:noProof/>
                <w:sz w:val="20"/>
                <w:highlight w:val="green"/>
              </w:rPr>
            </w:pPr>
          </w:p>
        </w:tc>
        <w:tc>
          <w:tcPr>
            <w:tcW w:w="1498" w:type="dxa"/>
            <w:gridSpan w:val="2"/>
            <w:vAlign w:val="center"/>
          </w:tcPr>
          <w:p w:rsidR="00397301" w:rsidRPr="000B3F7D" w:rsidRDefault="00397301" w:rsidP="00DD25FA">
            <w:pPr>
              <w:keepLines/>
              <w:jc w:val="center"/>
              <w:rPr>
                <w:rFonts w:ascii="Arial" w:hAnsi="Arial" w:cs="Arial"/>
                <w:b/>
                <w:noProof/>
                <w:sz w:val="20"/>
              </w:rPr>
            </w:pPr>
            <w:r w:rsidRPr="000B3F7D">
              <w:rPr>
                <w:rFonts w:ascii="Arial" w:hAnsi="Arial" w:cs="Arial"/>
                <w:b/>
                <w:noProof/>
                <w:sz w:val="20"/>
              </w:rPr>
              <w:t>N = 111</w:t>
            </w:r>
          </w:p>
        </w:tc>
        <w:tc>
          <w:tcPr>
            <w:tcW w:w="1276" w:type="dxa"/>
            <w:vAlign w:val="center"/>
          </w:tcPr>
          <w:p w:rsidR="00397301" w:rsidRPr="000B3F7D" w:rsidRDefault="00397301" w:rsidP="00DD25FA">
            <w:pPr>
              <w:keepLines/>
              <w:jc w:val="center"/>
              <w:rPr>
                <w:rFonts w:ascii="Arial" w:hAnsi="Arial" w:cs="Arial"/>
                <w:b/>
                <w:noProof/>
                <w:sz w:val="20"/>
              </w:rPr>
            </w:pPr>
            <w:r w:rsidRPr="000B3F7D">
              <w:rPr>
                <w:rFonts w:ascii="Arial" w:hAnsi="Arial" w:cs="Arial"/>
                <w:b/>
                <w:noProof/>
                <w:sz w:val="20"/>
              </w:rPr>
              <w:t>N = 108</w:t>
            </w:r>
          </w:p>
        </w:tc>
        <w:tc>
          <w:tcPr>
            <w:tcW w:w="1418" w:type="dxa"/>
            <w:vAlign w:val="center"/>
          </w:tcPr>
          <w:p w:rsidR="00397301" w:rsidRPr="000B3F7D" w:rsidRDefault="00397301" w:rsidP="00DD25FA">
            <w:pPr>
              <w:keepLines/>
              <w:jc w:val="center"/>
              <w:rPr>
                <w:rFonts w:ascii="Arial" w:hAnsi="Arial" w:cs="Arial"/>
                <w:b/>
                <w:noProof/>
                <w:sz w:val="20"/>
              </w:rPr>
            </w:pPr>
            <w:r w:rsidRPr="000B3F7D">
              <w:rPr>
                <w:rFonts w:ascii="Arial" w:hAnsi="Arial" w:cs="Arial"/>
                <w:b/>
                <w:noProof/>
                <w:sz w:val="20"/>
              </w:rPr>
              <w:t>N = 642</w:t>
            </w:r>
          </w:p>
        </w:tc>
        <w:tc>
          <w:tcPr>
            <w:tcW w:w="1418" w:type="dxa"/>
            <w:vAlign w:val="center"/>
          </w:tcPr>
          <w:p w:rsidR="00397301" w:rsidRPr="000B3F7D" w:rsidRDefault="00397301" w:rsidP="00DD25FA">
            <w:pPr>
              <w:keepLines/>
              <w:jc w:val="center"/>
              <w:rPr>
                <w:rFonts w:ascii="Arial" w:hAnsi="Arial" w:cs="Arial"/>
                <w:b/>
                <w:noProof/>
                <w:sz w:val="20"/>
              </w:rPr>
            </w:pPr>
            <w:r w:rsidRPr="000B3F7D">
              <w:rPr>
                <w:rFonts w:ascii="Arial" w:hAnsi="Arial" w:cs="Arial"/>
                <w:b/>
                <w:noProof/>
                <w:sz w:val="20"/>
              </w:rPr>
              <w:t>N = 644</w:t>
            </w:r>
          </w:p>
        </w:tc>
        <w:tc>
          <w:tcPr>
            <w:tcW w:w="1418" w:type="dxa"/>
            <w:shd w:val="clear" w:color="auto" w:fill="auto"/>
            <w:vAlign w:val="center"/>
          </w:tcPr>
          <w:p w:rsidR="00397301" w:rsidRPr="000B3F7D" w:rsidRDefault="00397301" w:rsidP="00DD25FA">
            <w:pPr>
              <w:keepLines/>
              <w:jc w:val="center"/>
              <w:rPr>
                <w:rFonts w:ascii="Arial" w:hAnsi="Arial" w:cs="Arial"/>
                <w:b/>
                <w:noProof/>
                <w:sz w:val="20"/>
              </w:rPr>
            </w:pPr>
            <w:r w:rsidRPr="000B3F7D">
              <w:rPr>
                <w:rFonts w:ascii="Arial" w:hAnsi="Arial" w:cs="Arial"/>
                <w:b/>
                <w:noProof/>
                <w:sz w:val="20"/>
              </w:rPr>
              <w:t>N = 478</w:t>
            </w:r>
          </w:p>
        </w:tc>
        <w:tc>
          <w:tcPr>
            <w:tcW w:w="1559" w:type="dxa"/>
            <w:gridSpan w:val="2"/>
            <w:shd w:val="clear" w:color="auto" w:fill="auto"/>
            <w:vAlign w:val="center"/>
          </w:tcPr>
          <w:p w:rsidR="00397301" w:rsidRPr="000B3F7D" w:rsidRDefault="00397301" w:rsidP="00DD25FA">
            <w:pPr>
              <w:keepLines/>
              <w:jc w:val="center"/>
              <w:rPr>
                <w:rFonts w:ascii="Arial" w:hAnsi="Arial" w:cs="Arial"/>
                <w:b/>
                <w:noProof/>
                <w:sz w:val="20"/>
              </w:rPr>
            </w:pPr>
            <w:r w:rsidRPr="000B3F7D">
              <w:rPr>
                <w:rFonts w:ascii="Arial" w:hAnsi="Arial" w:cs="Arial"/>
                <w:b/>
                <w:noProof/>
                <w:sz w:val="20"/>
              </w:rPr>
              <w:t>N = 474</w:t>
            </w:r>
          </w:p>
        </w:tc>
      </w:tr>
      <w:tr w:rsidR="00EC2346" w:rsidRPr="000B3F7D" w:rsidTr="00C43236">
        <w:tc>
          <w:tcPr>
            <w:tcW w:w="0" w:type="auto"/>
            <w:vMerge/>
          </w:tcPr>
          <w:p w:rsidR="00397301" w:rsidRPr="000B3F7D" w:rsidRDefault="00397301" w:rsidP="00AC3458">
            <w:pPr>
              <w:rPr>
                <w:rFonts w:ascii="Arial" w:hAnsi="Arial" w:cs="Arial"/>
                <w:noProof/>
                <w:sz w:val="20"/>
                <w:highlight w:val="green"/>
              </w:rPr>
            </w:pPr>
          </w:p>
        </w:tc>
        <w:tc>
          <w:tcPr>
            <w:tcW w:w="1498" w:type="dxa"/>
            <w:gridSpan w:val="2"/>
            <w:vAlign w:val="center"/>
          </w:tcPr>
          <w:p w:rsidR="00397301" w:rsidRPr="000B3F7D" w:rsidRDefault="00397301" w:rsidP="00DD25FA">
            <w:pPr>
              <w:keepLines/>
              <w:jc w:val="center"/>
              <w:rPr>
                <w:rFonts w:ascii="Arial" w:hAnsi="Arial" w:cs="Arial"/>
                <w:b/>
                <w:noProof/>
                <w:sz w:val="20"/>
              </w:rPr>
            </w:pPr>
            <w:r w:rsidRPr="000B3F7D">
              <w:rPr>
                <w:rFonts w:ascii="Arial" w:hAnsi="Arial" w:cs="Arial"/>
                <w:b/>
                <w:noProof/>
                <w:sz w:val="20"/>
              </w:rPr>
              <w:t>TYKERB 1500 mg / day</w:t>
            </w:r>
          </w:p>
          <w:p w:rsidR="00397301" w:rsidRPr="000B3F7D" w:rsidRDefault="00397301" w:rsidP="00DD25FA">
            <w:pPr>
              <w:keepLines/>
              <w:jc w:val="center"/>
              <w:rPr>
                <w:rFonts w:ascii="Arial" w:hAnsi="Arial" w:cs="Arial"/>
                <w:b/>
                <w:noProof/>
                <w:sz w:val="20"/>
              </w:rPr>
            </w:pPr>
            <w:r w:rsidRPr="000B3F7D">
              <w:rPr>
                <w:rFonts w:ascii="Arial" w:hAnsi="Arial" w:cs="Arial"/>
                <w:b/>
                <w:noProof/>
                <w:sz w:val="20"/>
              </w:rPr>
              <w:t>+ Letrozole 2.5 mg /</w:t>
            </w:r>
            <w:r w:rsidR="00EC2346" w:rsidRPr="000B3F7D">
              <w:rPr>
                <w:rFonts w:ascii="Arial" w:hAnsi="Arial" w:cs="Arial"/>
                <w:b/>
                <w:noProof/>
                <w:sz w:val="20"/>
              </w:rPr>
              <w:t xml:space="preserve"> </w:t>
            </w:r>
            <w:r w:rsidRPr="000B3F7D">
              <w:rPr>
                <w:rFonts w:ascii="Arial" w:hAnsi="Arial" w:cs="Arial"/>
                <w:b/>
                <w:noProof/>
                <w:sz w:val="20"/>
              </w:rPr>
              <w:t>day</w:t>
            </w:r>
          </w:p>
        </w:tc>
        <w:tc>
          <w:tcPr>
            <w:tcW w:w="1276" w:type="dxa"/>
            <w:vAlign w:val="center"/>
          </w:tcPr>
          <w:p w:rsidR="00397301" w:rsidRPr="000B3F7D" w:rsidRDefault="00397301" w:rsidP="00DD25FA">
            <w:pPr>
              <w:keepLines/>
              <w:jc w:val="center"/>
              <w:rPr>
                <w:rFonts w:ascii="Arial" w:hAnsi="Arial" w:cs="Arial"/>
                <w:b/>
                <w:noProof/>
                <w:sz w:val="20"/>
              </w:rPr>
            </w:pPr>
          </w:p>
          <w:p w:rsidR="00397301" w:rsidRPr="000B3F7D" w:rsidRDefault="00397301" w:rsidP="00DD25FA">
            <w:pPr>
              <w:keepLines/>
              <w:jc w:val="center"/>
              <w:rPr>
                <w:rFonts w:ascii="Arial" w:hAnsi="Arial" w:cs="Arial"/>
                <w:b/>
                <w:noProof/>
                <w:sz w:val="20"/>
              </w:rPr>
            </w:pPr>
            <w:r w:rsidRPr="000B3F7D">
              <w:rPr>
                <w:rFonts w:ascii="Arial" w:hAnsi="Arial" w:cs="Arial"/>
                <w:b/>
                <w:noProof/>
                <w:sz w:val="20"/>
              </w:rPr>
              <w:t>Letrozole 2.5 mg /</w:t>
            </w:r>
            <w:r w:rsidR="00EC2346" w:rsidRPr="000B3F7D">
              <w:rPr>
                <w:rFonts w:ascii="Arial" w:hAnsi="Arial" w:cs="Arial"/>
                <w:b/>
                <w:noProof/>
                <w:sz w:val="20"/>
              </w:rPr>
              <w:t xml:space="preserve"> </w:t>
            </w:r>
            <w:r w:rsidRPr="000B3F7D">
              <w:rPr>
                <w:rFonts w:ascii="Arial" w:hAnsi="Arial" w:cs="Arial"/>
                <w:b/>
                <w:noProof/>
                <w:sz w:val="20"/>
              </w:rPr>
              <w:t>day</w:t>
            </w:r>
            <w:r w:rsidRPr="000B3F7D">
              <w:rPr>
                <w:rFonts w:ascii="Arial" w:hAnsi="Arial" w:cs="Arial"/>
                <w:b/>
                <w:noProof/>
                <w:sz w:val="20"/>
              </w:rPr>
              <w:br/>
              <w:t>+ placebo</w:t>
            </w:r>
          </w:p>
        </w:tc>
        <w:tc>
          <w:tcPr>
            <w:tcW w:w="1418" w:type="dxa"/>
            <w:vAlign w:val="center"/>
          </w:tcPr>
          <w:p w:rsidR="00397301" w:rsidRPr="000B3F7D" w:rsidRDefault="00397301" w:rsidP="00DD25FA">
            <w:pPr>
              <w:keepLines/>
              <w:jc w:val="center"/>
              <w:rPr>
                <w:rFonts w:ascii="Arial" w:hAnsi="Arial" w:cs="Arial"/>
                <w:b/>
                <w:noProof/>
                <w:sz w:val="20"/>
              </w:rPr>
            </w:pPr>
            <w:r w:rsidRPr="000B3F7D">
              <w:rPr>
                <w:rFonts w:ascii="Arial" w:hAnsi="Arial" w:cs="Arial"/>
                <w:b/>
                <w:noProof/>
                <w:sz w:val="20"/>
              </w:rPr>
              <w:t>TYKERB 1500 mg / day</w:t>
            </w:r>
          </w:p>
          <w:p w:rsidR="00397301" w:rsidRPr="000B3F7D" w:rsidRDefault="00397301" w:rsidP="00DD25FA">
            <w:pPr>
              <w:keepLines/>
              <w:jc w:val="center"/>
              <w:rPr>
                <w:rFonts w:ascii="Arial" w:hAnsi="Arial" w:cs="Arial"/>
                <w:b/>
                <w:noProof/>
                <w:sz w:val="20"/>
              </w:rPr>
            </w:pPr>
            <w:r w:rsidRPr="000B3F7D">
              <w:rPr>
                <w:rFonts w:ascii="Arial" w:hAnsi="Arial" w:cs="Arial"/>
                <w:b/>
                <w:noProof/>
                <w:sz w:val="20"/>
              </w:rPr>
              <w:t>+ Letrozole 2.5 mg /</w:t>
            </w:r>
            <w:r w:rsidR="00EC2346" w:rsidRPr="000B3F7D">
              <w:rPr>
                <w:rFonts w:ascii="Arial" w:hAnsi="Arial" w:cs="Arial"/>
                <w:b/>
                <w:noProof/>
                <w:sz w:val="20"/>
              </w:rPr>
              <w:t xml:space="preserve"> </w:t>
            </w:r>
            <w:r w:rsidRPr="000B3F7D">
              <w:rPr>
                <w:rFonts w:ascii="Arial" w:hAnsi="Arial" w:cs="Arial"/>
                <w:b/>
                <w:noProof/>
                <w:sz w:val="20"/>
              </w:rPr>
              <w:t>day</w:t>
            </w:r>
          </w:p>
        </w:tc>
        <w:tc>
          <w:tcPr>
            <w:tcW w:w="1418" w:type="dxa"/>
            <w:vAlign w:val="center"/>
          </w:tcPr>
          <w:p w:rsidR="00397301" w:rsidRPr="000B3F7D" w:rsidRDefault="00397301" w:rsidP="00DD25FA">
            <w:pPr>
              <w:keepLines/>
              <w:jc w:val="center"/>
              <w:rPr>
                <w:rFonts w:ascii="Arial" w:hAnsi="Arial" w:cs="Arial"/>
                <w:b/>
                <w:noProof/>
                <w:sz w:val="20"/>
              </w:rPr>
            </w:pPr>
          </w:p>
          <w:p w:rsidR="00397301" w:rsidRPr="000B3F7D" w:rsidRDefault="00397301" w:rsidP="00DD25FA">
            <w:pPr>
              <w:keepLines/>
              <w:jc w:val="center"/>
              <w:rPr>
                <w:rFonts w:ascii="Arial" w:hAnsi="Arial" w:cs="Arial"/>
                <w:b/>
                <w:noProof/>
                <w:sz w:val="20"/>
              </w:rPr>
            </w:pPr>
            <w:r w:rsidRPr="000B3F7D">
              <w:rPr>
                <w:rFonts w:ascii="Arial" w:hAnsi="Arial" w:cs="Arial"/>
                <w:b/>
                <w:noProof/>
                <w:sz w:val="20"/>
              </w:rPr>
              <w:t>Letrozole 2.5 mg /</w:t>
            </w:r>
            <w:r w:rsidR="00EC2346" w:rsidRPr="000B3F7D">
              <w:rPr>
                <w:rFonts w:ascii="Arial" w:hAnsi="Arial" w:cs="Arial"/>
                <w:b/>
                <w:noProof/>
                <w:sz w:val="20"/>
              </w:rPr>
              <w:t xml:space="preserve"> </w:t>
            </w:r>
            <w:r w:rsidRPr="000B3F7D">
              <w:rPr>
                <w:rFonts w:ascii="Arial" w:hAnsi="Arial" w:cs="Arial"/>
                <w:b/>
                <w:noProof/>
                <w:sz w:val="20"/>
              </w:rPr>
              <w:t>day</w:t>
            </w:r>
            <w:r w:rsidRPr="000B3F7D">
              <w:rPr>
                <w:rFonts w:ascii="Arial" w:hAnsi="Arial" w:cs="Arial"/>
                <w:b/>
                <w:noProof/>
                <w:sz w:val="20"/>
              </w:rPr>
              <w:br/>
              <w:t>+ placebo</w:t>
            </w:r>
          </w:p>
        </w:tc>
        <w:tc>
          <w:tcPr>
            <w:tcW w:w="1418" w:type="dxa"/>
            <w:shd w:val="clear" w:color="auto" w:fill="auto"/>
            <w:vAlign w:val="center"/>
          </w:tcPr>
          <w:p w:rsidR="00397301" w:rsidRPr="000B3F7D" w:rsidRDefault="00397301" w:rsidP="00DD25FA">
            <w:pPr>
              <w:keepLines/>
              <w:jc w:val="center"/>
              <w:rPr>
                <w:rFonts w:ascii="Arial" w:hAnsi="Arial" w:cs="Arial"/>
                <w:b/>
                <w:noProof/>
                <w:sz w:val="20"/>
              </w:rPr>
            </w:pPr>
            <w:r w:rsidRPr="000B3F7D">
              <w:rPr>
                <w:rFonts w:ascii="Arial" w:hAnsi="Arial" w:cs="Arial"/>
                <w:b/>
                <w:noProof/>
                <w:sz w:val="20"/>
              </w:rPr>
              <w:t>TYKERB 1500 mg / day</w:t>
            </w:r>
          </w:p>
          <w:p w:rsidR="00397301" w:rsidRPr="000B3F7D" w:rsidRDefault="00397301" w:rsidP="00DD25FA">
            <w:pPr>
              <w:keepLines/>
              <w:jc w:val="center"/>
              <w:rPr>
                <w:rFonts w:ascii="Arial" w:hAnsi="Arial" w:cs="Arial"/>
                <w:b/>
                <w:noProof/>
                <w:sz w:val="20"/>
              </w:rPr>
            </w:pPr>
            <w:r w:rsidRPr="000B3F7D">
              <w:rPr>
                <w:rFonts w:ascii="Arial" w:hAnsi="Arial" w:cs="Arial"/>
                <w:b/>
                <w:noProof/>
                <w:sz w:val="20"/>
              </w:rPr>
              <w:t>+ Letrozole 2.5 mg /</w:t>
            </w:r>
            <w:r w:rsidR="00EC2346" w:rsidRPr="000B3F7D">
              <w:rPr>
                <w:rFonts w:ascii="Arial" w:hAnsi="Arial" w:cs="Arial"/>
                <w:b/>
                <w:noProof/>
                <w:sz w:val="20"/>
              </w:rPr>
              <w:t xml:space="preserve"> </w:t>
            </w:r>
            <w:r w:rsidRPr="000B3F7D">
              <w:rPr>
                <w:rFonts w:ascii="Arial" w:hAnsi="Arial" w:cs="Arial"/>
                <w:b/>
                <w:noProof/>
                <w:sz w:val="20"/>
              </w:rPr>
              <w:t>day</w:t>
            </w:r>
          </w:p>
        </w:tc>
        <w:tc>
          <w:tcPr>
            <w:tcW w:w="1559" w:type="dxa"/>
            <w:gridSpan w:val="2"/>
            <w:shd w:val="clear" w:color="auto" w:fill="auto"/>
            <w:vAlign w:val="center"/>
          </w:tcPr>
          <w:p w:rsidR="00397301" w:rsidRPr="000B3F7D" w:rsidRDefault="00397301" w:rsidP="00DD25FA">
            <w:pPr>
              <w:keepLines/>
              <w:jc w:val="center"/>
              <w:rPr>
                <w:rFonts w:ascii="Arial" w:hAnsi="Arial" w:cs="Arial"/>
                <w:b/>
                <w:noProof/>
                <w:sz w:val="20"/>
              </w:rPr>
            </w:pPr>
          </w:p>
          <w:p w:rsidR="00397301" w:rsidRPr="000B3F7D" w:rsidRDefault="00397301" w:rsidP="00DD25FA">
            <w:pPr>
              <w:keepLines/>
              <w:jc w:val="center"/>
              <w:rPr>
                <w:rFonts w:ascii="Arial" w:hAnsi="Arial" w:cs="Arial"/>
                <w:b/>
                <w:noProof/>
                <w:sz w:val="20"/>
              </w:rPr>
            </w:pPr>
            <w:r w:rsidRPr="000B3F7D">
              <w:rPr>
                <w:rFonts w:ascii="Arial" w:hAnsi="Arial" w:cs="Arial"/>
                <w:b/>
                <w:noProof/>
                <w:sz w:val="20"/>
              </w:rPr>
              <w:t>Letrozole 2.5 mg /</w:t>
            </w:r>
            <w:r w:rsidR="00EC2346" w:rsidRPr="000B3F7D">
              <w:rPr>
                <w:rFonts w:ascii="Arial" w:hAnsi="Arial" w:cs="Arial"/>
                <w:b/>
                <w:noProof/>
                <w:sz w:val="20"/>
              </w:rPr>
              <w:t xml:space="preserve"> </w:t>
            </w:r>
            <w:r w:rsidRPr="000B3F7D">
              <w:rPr>
                <w:rFonts w:ascii="Arial" w:hAnsi="Arial" w:cs="Arial"/>
                <w:b/>
                <w:noProof/>
                <w:sz w:val="20"/>
              </w:rPr>
              <w:t>day</w:t>
            </w:r>
            <w:r w:rsidRPr="000B3F7D">
              <w:rPr>
                <w:rFonts w:ascii="Arial" w:hAnsi="Arial" w:cs="Arial"/>
                <w:b/>
                <w:noProof/>
                <w:sz w:val="20"/>
              </w:rPr>
              <w:br/>
              <w:t>+ placebo</w:t>
            </w:r>
          </w:p>
        </w:tc>
      </w:tr>
      <w:tr w:rsidR="00EC2346" w:rsidRPr="000B3F7D" w:rsidTr="00C43236">
        <w:tc>
          <w:tcPr>
            <w:tcW w:w="0" w:type="auto"/>
            <w:vAlign w:val="center"/>
          </w:tcPr>
          <w:p w:rsidR="00397301" w:rsidRPr="000B3F7D" w:rsidRDefault="00397301" w:rsidP="00320E69">
            <w:pPr>
              <w:rPr>
                <w:rFonts w:ascii="Arial" w:hAnsi="Arial" w:cs="Arial"/>
                <w:b/>
                <w:noProof/>
                <w:sz w:val="20"/>
              </w:rPr>
            </w:pPr>
            <w:r w:rsidRPr="000B3F7D">
              <w:rPr>
                <w:rFonts w:ascii="Arial" w:hAnsi="Arial" w:cs="Arial"/>
                <w:b/>
                <w:noProof/>
                <w:sz w:val="20"/>
              </w:rPr>
              <w:t xml:space="preserve">Median PFS, </w:t>
            </w:r>
            <w:r w:rsidR="00320E69" w:rsidRPr="000B3F7D">
              <w:rPr>
                <w:rFonts w:ascii="Arial" w:hAnsi="Arial" w:cs="Arial"/>
                <w:b/>
                <w:noProof/>
                <w:sz w:val="20"/>
              </w:rPr>
              <w:t xml:space="preserve">months </w:t>
            </w:r>
            <w:r w:rsidRPr="000B3F7D">
              <w:rPr>
                <w:rFonts w:ascii="Arial" w:hAnsi="Arial" w:cs="Arial"/>
                <w:b/>
                <w:noProof/>
                <w:sz w:val="20"/>
              </w:rPr>
              <w:t>(95% CI)</w:t>
            </w:r>
          </w:p>
        </w:tc>
        <w:tc>
          <w:tcPr>
            <w:tcW w:w="1498" w:type="dxa"/>
            <w:gridSpan w:val="2"/>
            <w:vAlign w:val="center"/>
          </w:tcPr>
          <w:p w:rsidR="00397301" w:rsidRPr="000B3F7D" w:rsidRDefault="00320E69" w:rsidP="00DD25FA">
            <w:pPr>
              <w:spacing w:before="120"/>
              <w:jc w:val="center"/>
              <w:rPr>
                <w:rFonts w:ascii="Arial" w:hAnsi="Arial" w:cs="Arial"/>
                <w:noProof/>
                <w:sz w:val="20"/>
              </w:rPr>
            </w:pPr>
            <w:r w:rsidRPr="000B3F7D">
              <w:rPr>
                <w:rFonts w:ascii="Arial" w:hAnsi="Arial" w:cs="Arial"/>
                <w:noProof/>
                <w:sz w:val="20"/>
              </w:rPr>
              <w:t>8.2</w:t>
            </w:r>
          </w:p>
          <w:p w:rsidR="00397301" w:rsidRPr="000B3F7D" w:rsidRDefault="00397301" w:rsidP="00DD25FA">
            <w:pPr>
              <w:spacing w:before="120"/>
              <w:jc w:val="center"/>
              <w:rPr>
                <w:rFonts w:ascii="Arial" w:hAnsi="Arial" w:cs="Arial"/>
                <w:noProof/>
                <w:sz w:val="20"/>
              </w:rPr>
            </w:pPr>
            <w:r w:rsidRPr="000B3F7D">
              <w:rPr>
                <w:rFonts w:ascii="Arial" w:hAnsi="Arial" w:cs="Arial"/>
                <w:noProof/>
                <w:sz w:val="20"/>
              </w:rPr>
              <w:t>(</w:t>
            </w:r>
            <w:r w:rsidR="00320E69" w:rsidRPr="000B3F7D">
              <w:rPr>
                <w:rFonts w:ascii="Arial" w:hAnsi="Arial" w:cs="Arial"/>
                <w:noProof/>
                <w:sz w:val="20"/>
              </w:rPr>
              <w:t>5.6</w:t>
            </w:r>
            <w:r w:rsidRPr="000B3F7D">
              <w:rPr>
                <w:rFonts w:ascii="Arial" w:hAnsi="Arial" w:cs="Arial"/>
                <w:noProof/>
                <w:sz w:val="20"/>
              </w:rPr>
              <w:t xml:space="preserve">, </w:t>
            </w:r>
            <w:r w:rsidR="00320E69" w:rsidRPr="000B3F7D">
              <w:rPr>
                <w:rFonts w:ascii="Arial" w:hAnsi="Arial" w:cs="Arial"/>
                <w:noProof/>
                <w:sz w:val="20"/>
              </w:rPr>
              <w:t>9.1</w:t>
            </w:r>
            <w:r w:rsidRPr="000B3F7D">
              <w:rPr>
                <w:rFonts w:ascii="Arial" w:hAnsi="Arial" w:cs="Arial"/>
                <w:noProof/>
                <w:sz w:val="20"/>
              </w:rPr>
              <w:t>)</w:t>
            </w:r>
          </w:p>
        </w:tc>
        <w:tc>
          <w:tcPr>
            <w:tcW w:w="1276" w:type="dxa"/>
            <w:vAlign w:val="center"/>
          </w:tcPr>
          <w:p w:rsidR="00397301" w:rsidRPr="000B3F7D" w:rsidRDefault="00320E69" w:rsidP="00DD25FA">
            <w:pPr>
              <w:spacing w:before="120"/>
              <w:jc w:val="center"/>
              <w:rPr>
                <w:rFonts w:ascii="Arial" w:hAnsi="Arial" w:cs="Arial"/>
                <w:noProof/>
                <w:sz w:val="20"/>
              </w:rPr>
            </w:pPr>
            <w:r w:rsidRPr="000B3F7D">
              <w:rPr>
                <w:rFonts w:ascii="Arial" w:hAnsi="Arial" w:cs="Arial"/>
                <w:noProof/>
                <w:sz w:val="20"/>
              </w:rPr>
              <w:t>3.0</w:t>
            </w:r>
          </w:p>
          <w:p w:rsidR="00397301" w:rsidRPr="000B3F7D" w:rsidRDefault="00397301" w:rsidP="00DD25FA">
            <w:pPr>
              <w:spacing w:before="120"/>
              <w:jc w:val="center"/>
              <w:rPr>
                <w:rFonts w:ascii="Arial" w:hAnsi="Arial" w:cs="Arial"/>
                <w:noProof/>
                <w:sz w:val="20"/>
              </w:rPr>
            </w:pPr>
            <w:r w:rsidRPr="000B3F7D">
              <w:rPr>
                <w:rFonts w:ascii="Arial" w:hAnsi="Arial" w:cs="Arial"/>
                <w:noProof/>
                <w:sz w:val="20"/>
              </w:rPr>
              <w:t>(</w:t>
            </w:r>
            <w:r w:rsidR="00320E69" w:rsidRPr="000B3F7D">
              <w:rPr>
                <w:rFonts w:ascii="Arial" w:hAnsi="Arial" w:cs="Arial"/>
                <w:noProof/>
                <w:sz w:val="20"/>
              </w:rPr>
              <w:t>2.8</w:t>
            </w:r>
            <w:r w:rsidRPr="000B3F7D">
              <w:rPr>
                <w:rFonts w:ascii="Arial" w:hAnsi="Arial" w:cs="Arial"/>
                <w:noProof/>
                <w:sz w:val="20"/>
              </w:rPr>
              <w:t xml:space="preserve">, </w:t>
            </w:r>
            <w:r w:rsidR="00320E69" w:rsidRPr="000B3F7D">
              <w:rPr>
                <w:rFonts w:ascii="Arial" w:hAnsi="Arial" w:cs="Arial"/>
                <w:noProof/>
                <w:sz w:val="20"/>
              </w:rPr>
              <w:t>5.5</w:t>
            </w:r>
            <w:r w:rsidRPr="000B3F7D">
              <w:rPr>
                <w:rFonts w:ascii="Arial" w:hAnsi="Arial" w:cs="Arial"/>
                <w:noProof/>
                <w:sz w:val="20"/>
              </w:rPr>
              <w:t>)</w:t>
            </w:r>
          </w:p>
        </w:tc>
        <w:tc>
          <w:tcPr>
            <w:tcW w:w="1418" w:type="dxa"/>
            <w:vAlign w:val="center"/>
          </w:tcPr>
          <w:p w:rsidR="00397301" w:rsidRPr="000B3F7D" w:rsidRDefault="00320E69" w:rsidP="00DD25FA">
            <w:pPr>
              <w:spacing w:before="120"/>
              <w:ind w:left="-79" w:right="-40"/>
              <w:jc w:val="center"/>
              <w:rPr>
                <w:rFonts w:ascii="Arial" w:hAnsi="Arial" w:cs="Arial"/>
                <w:noProof/>
                <w:sz w:val="20"/>
              </w:rPr>
            </w:pPr>
            <w:r w:rsidRPr="000B3F7D">
              <w:rPr>
                <w:rFonts w:ascii="Arial" w:hAnsi="Arial" w:cs="Arial"/>
                <w:noProof/>
                <w:sz w:val="20"/>
              </w:rPr>
              <w:t>11.9</w:t>
            </w:r>
          </w:p>
          <w:p w:rsidR="00397301" w:rsidRPr="000B3F7D" w:rsidRDefault="00397301" w:rsidP="00DD25FA">
            <w:pPr>
              <w:spacing w:before="120"/>
              <w:ind w:left="-79" w:right="-40"/>
              <w:jc w:val="center"/>
              <w:rPr>
                <w:rFonts w:ascii="Arial" w:hAnsi="Arial" w:cs="Arial"/>
                <w:noProof/>
                <w:sz w:val="20"/>
              </w:rPr>
            </w:pPr>
            <w:r w:rsidRPr="000B3F7D">
              <w:rPr>
                <w:rFonts w:ascii="Arial" w:hAnsi="Arial" w:cs="Arial"/>
                <w:noProof/>
                <w:sz w:val="20"/>
              </w:rPr>
              <w:t>(</w:t>
            </w:r>
            <w:r w:rsidR="00320E69" w:rsidRPr="000B3F7D">
              <w:rPr>
                <w:rFonts w:ascii="Arial" w:hAnsi="Arial" w:cs="Arial"/>
                <w:noProof/>
                <w:sz w:val="20"/>
              </w:rPr>
              <w:t>1</w:t>
            </w:r>
            <w:r w:rsidR="00C43236" w:rsidRPr="000B3F7D">
              <w:rPr>
                <w:rFonts w:ascii="Arial" w:hAnsi="Arial" w:cs="Arial"/>
                <w:noProof/>
                <w:sz w:val="20"/>
              </w:rPr>
              <w:t>0.9</w:t>
            </w:r>
            <w:r w:rsidRPr="000B3F7D">
              <w:rPr>
                <w:rFonts w:ascii="Arial" w:hAnsi="Arial" w:cs="Arial"/>
                <w:noProof/>
                <w:sz w:val="20"/>
              </w:rPr>
              <w:t xml:space="preserve">,  </w:t>
            </w:r>
            <w:r w:rsidR="00320E69" w:rsidRPr="000B3F7D">
              <w:rPr>
                <w:rFonts w:ascii="Arial" w:hAnsi="Arial" w:cs="Arial"/>
                <w:noProof/>
                <w:sz w:val="20"/>
              </w:rPr>
              <w:t>13.</w:t>
            </w:r>
            <w:r w:rsidR="00C43236" w:rsidRPr="000B3F7D">
              <w:rPr>
                <w:rFonts w:ascii="Arial" w:hAnsi="Arial" w:cs="Arial"/>
                <w:noProof/>
                <w:sz w:val="20"/>
              </w:rPr>
              <w:t>7</w:t>
            </w:r>
            <w:r w:rsidRPr="000B3F7D">
              <w:rPr>
                <w:rFonts w:ascii="Arial" w:hAnsi="Arial" w:cs="Arial"/>
                <w:noProof/>
                <w:sz w:val="20"/>
              </w:rPr>
              <w:t>)</w:t>
            </w:r>
          </w:p>
        </w:tc>
        <w:tc>
          <w:tcPr>
            <w:tcW w:w="1418" w:type="dxa"/>
            <w:vAlign w:val="center"/>
          </w:tcPr>
          <w:p w:rsidR="00397301" w:rsidRPr="000B3F7D" w:rsidRDefault="00320E69" w:rsidP="00DD25FA">
            <w:pPr>
              <w:spacing w:before="120"/>
              <w:jc w:val="center"/>
              <w:rPr>
                <w:rFonts w:ascii="Arial" w:hAnsi="Arial" w:cs="Arial"/>
                <w:noProof/>
                <w:sz w:val="20"/>
              </w:rPr>
            </w:pPr>
            <w:r w:rsidRPr="000B3F7D">
              <w:rPr>
                <w:rFonts w:ascii="Arial" w:hAnsi="Arial" w:cs="Arial"/>
                <w:noProof/>
                <w:sz w:val="20"/>
              </w:rPr>
              <w:t>10.8</w:t>
            </w:r>
          </w:p>
          <w:p w:rsidR="00397301" w:rsidRPr="000B3F7D" w:rsidRDefault="00397301" w:rsidP="00DD25FA">
            <w:pPr>
              <w:spacing w:before="120"/>
              <w:jc w:val="center"/>
              <w:rPr>
                <w:rFonts w:ascii="Arial" w:hAnsi="Arial" w:cs="Arial"/>
                <w:noProof/>
                <w:sz w:val="20"/>
              </w:rPr>
            </w:pPr>
            <w:r w:rsidRPr="000B3F7D">
              <w:rPr>
                <w:rFonts w:ascii="Arial" w:hAnsi="Arial" w:cs="Arial"/>
                <w:noProof/>
                <w:sz w:val="20"/>
              </w:rPr>
              <w:t>(</w:t>
            </w:r>
            <w:r w:rsidR="00320E69" w:rsidRPr="000B3F7D">
              <w:rPr>
                <w:rFonts w:ascii="Arial" w:hAnsi="Arial" w:cs="Arial"/>
                <w:noProof/>
                <w:sz w:val="20"/>
              </w:rPr>
              <w:t>8.5</w:t>
            </w:r>
            <w:r w:rsidRPr="000B3F7D">
              <w:rPr>
                <w:rFonts w:ascii="Arial" w:hAnsi="Arial" w:cs="Arial"/>
                <w:noProof/>
                <w:sz w:val="20"/>
              </w:rPr>
              <w:t xml:space="preserve">, </w:t>
            </w:r>
            <w:r w:rsidR="00320E69" w:rsidRPr="000B3F7D">
              <w:rPr>
                <w:rFonts w:ascii="Arial" w:hAnsi="Arial" w:cs="Arial"/>
                <w:noProof/>
                <w:sz w:val="20"/>
              </w:rPr>
              <w:t>11.7</w:t>
            </w:r>
            <w:r w:rsidRPr="000B3F7D">
              <w:rPr>
                <w:rFonts w:ascii="Arial" w:hAnsi="Arial" w:cs="Arial"/>
                <w:noProof/>
                <w:sz w:val="20"/>
              </w:rPr>
              <w:t>)</w:t>
            </w:r>
          </w:p>
        </w:tc>
        <w:tc>
          <w:tcPr>
            <w:tcW w:w="1418" w:type="dxa"/>
            <w:shd w:val="clear" w:color="auto" w:fill="auto"/>
            <w:vAlign w:val="center"/>
          </w:tcPr>
          <w:p w:rsidR="00397301" w:rsidRPr="000B3F7D" w:rsidRDefault="00320E69" w:rsidP="00DD25FA">
            <w:pPr>
              <w:spacing w:before="120"/>
              <w:jc w:val="center"/>
              <w:rPr>
                <w:rFonts w:ascii="Arial" w:hAnsi="Arial" w:cs="Arial"/>
                <w:noProof/>
                <w:sz w:val="20"/>
              </w:rPr>
            </w:pPr>
            <w:r w:rsidRPr="000B3F7D">
              <w:rPr>
                <w:rFonts w:ascii="Arial" w:hAnsi="Arial" w:cs="Arial"/>
                <w:noProof/>
                <w:sz w:val="20"/>
              </w:rPr>
              <w:t>13.</w:t>
            </w:r>
            <w:r w:rsidR="00C43236" w:rsidRPr="000B3F7D">
              <w:rPr>
                <w:rFonts w:ascii="Arial" w:hAnsi="Arial" w:cs="Arial"/>
                <w:noProof/>
                <w:sz w:val="20"/>
              </w:rPr>
              <w:t>7</w:t>
            </w:r>
          </w:p>
          <w:p w:rsidR="00397301" w:rsidRPr="000B3F7D" w:rsidRDefault="00397301" w:rsidP="00DD25FA">
            <w:pPr>
              <w:spacing w:before="120"/>
              <w:jc w:val="center"/>
              <w:rPr>
                <w:rFonts w:ascii="Arial" w:hAnsi="Arial" w:cs="Arial"/>
                <w:noProof/>
                <w:sz w:val="20"/>
              </w:rPr>
            </w:pPr>
            <w:r w:rsidRPr="000B3F7D">
              <w:rPr>
                <w:rFonts w:ascii="Arial" w:hAnsi="Arial" w:cs="Arial"/>
                <w:noProof/>
                <w:sz w:val="20"/>
              </w:rPr>
              <w:t>(</w:t>
            </w:r>
            <w:r w:rsidR="00320E69" w:rsidRPr="000B3F7D">
              <w:rPr>
                <w:rFonts w:ascii="Arial" w:hAnsi="Arial" w:cs="Arial"/>
                <w:noProof/>
                <w:sz w:val="20"/>
              </w:rPr>
              <w:t>11.2</w:t>
            </w:r>
            <w:r w:rsidRPr="000B3F7D">
              <w:rPr>
                <w:rFonts w:ascii="Arial" w:hAnsi="Arial" w:cs="Arial"/>
                <w:noProof/>
                <w:sz w:val="20"/>
              </w:rPr>
              <w:t xml:space="preserve">, </w:t>
            </w:r>
            <w:r w:rsidR="00320E69" w:rsidRPr="000B3F7D">
              <w:rPr>
                <w:rFonts w:ascii="Arial" w:hAnsi="Arial" w:cs="Arial"/>
                <w:noProof/>
                <w:sz w:val="20"/>
              </w:rPr>
              <w:t>16.</w:t>
            </w:r>
            <w:r w:rsidR="00C43236" w:rsidRPr="000B3F7D">
              <w:rPr>
                <w:rFonts w:ascii="Arial" w:hAnsi="Arial" w:cs="Arial"/>
                <w:noProof/>
                <w:sz w:val="20"/>
              </w:rPr>
              <w:t>0</w:t>
            </w:r>
            <w:r w:rsidRPr="000B3F7D">
              <w:rPr>
                <w:rFonts w:ascii="Arial" w:hAnsi="Arial" w:cs="Arial"/>
                <w:noProof/>
                <w:sz w:val="20"/>
              </w:rPr>
              <w:t>)</w:t>
            </w:r>
          </w:p>
        </w:tc>
        <w:tc>
          <w:tcPr>
            <w:tcW w:w="1559" w:type="dxa"/>
            <w:gridSpan w:val="2"/>
            <w:shd w:val="clear" w:color="auto" w:fill="auto"/>
            <w:vAlign w:val="center"/>
          </w:tcPr>
          <w:p w:rsidR="00397301" w:rsidRPr="000B3F7D" w:rsidRDefault="00320E69" w:rsidP="00DD25FA">
            <w:pPr>
              <w:spacing w:before="120"/>
              <w:jc w:val="center"/>
              <w:rPr>
                <w:rFonts w:ascii="Arial" w:hAnsi="Arial" w:cs="Arial"/>
                <w:noProof/>
                <w:sz w:val="20"/>
              </w:rPr>
            </w:pPr>
            <w:r w:rsidRPr="000B3F7D">
              <w:rPr>
                <w:rFonts w:ascii="Arial" w:hAnsi="Arial" w:cs="Arial"/>
                <w:noProof/>
                <w:sz w:val="20"/>
              </w:rPr>
              <w:t>13.</w:t>
            </w:r>
            <w:r w:rsidR="00C43236" w:rsidRPr="000B3F7D">
              <w:rPr>
                <w:rFonts w:ascii="Arial" w:hAnsi="Arial" w:cs="Arial"/>
                <w:noProof/>
                <w:sz w:val="20"/>
              </w:rPr>
              <w:t>4</w:t>
            </w:r>
          </w:p>
          <w:p w:rsidR="00397301" w:rsidRPr="000B3F7D" w:rsidRDefault="00397301" w:rsidP="00DD25FA">
            <w:pPr>
              <w:spacing w:before="120"/>
              <w:jc w:val="center"/>
              <w:rPr>
                <w:rFonts w:ascii="Arial" w:hAnsi="Arial" w:cs="Arial"/>
                <w:noProof/>
                <w:sz w:val="20"/>
              </w:rPr>
            </w:pPr>
            <w:r w:rsidRPr="000B3F7D">
              <w:rPr>
                <w:rFonts w:ascii="Arial" w:hAnsi="Arial" w:cs="Arial"/>
                <w:noProof/>
                <w:sz w:val="20"/>
              </w:rPr>
              <w:t>(</w:t>
            </w:r>
            <w:r w:rsidR="00320E69" w:rsidRPr="000B3F7D">
              <w:rPr>
                <w:rFonts w:ascii="Arial" w:hAnsi="Arial" w:cs="Arial"/>
                <w:noProof/>
                <w:sz w:val="20"/>
              </w:rPr>
              <w:t>11.</w:t>
            </w:r>
            <w:r w:rsidR="00C43236" w:rsidRPr="000B3F7D">
              <w:rPr>
                <w:rFonts w:ascii="Arial" w:hAnsi="Arial" w:cs="Arial"/>
                <w:noProof/>
                <w:sz w:val="20"/>
              </w:rPr>
              <w:t>0</w:t>
            </w:r>
            <w:r w:rsidRPr="000B3F7D">
              <w:rPr>
                <w:rFonts w:ascii="Arial" w:hAnsi="Arial" w:cs="Arial"/>
                <w:noProof/>
                <w:sz w:val="20"/>
              </w:rPr>
              <w:t xml:space="preserve">, </w:t>
            </w:r>
            <w:r w:rsidR="00320E69" w:rsidRPr="000B3F7D">
              <w:rPr>
                <w:rFonts w:ascii="Arial" w:hAnsi="Arial" w:cs="Arial"/>
                <w:noProof/>
                <w:sz w:val="20"/>
              </w:rPr>
              <w:t>14.3</w:t>
            </w:r>
            <w:r w:rsidRPr="000B3F7D">
              <w:rPr>
                <w:rFonts w:ascii="Arial" w:hAnsi="Arial" w:cs="Arial"/>
                <w:noProof/>
                <w:sz w:val="20"/>
              </w:rPr>
              <w:t>)</w:t>
            </w:r>
          </w:p>
        </w:tc>
      </w:tr>
      <w:tr w:rsidR="00397301" w:rsidRPr="000B3F7D" w:rsidTr="00C43236">
        <w:tc>
          <w:tcPr>
            <w:tcW w:w="0" w:type="auto"/>
            <w:vAlign w:val="center"/>
          </w:tcPr>
          <w:p w:rsidR="00397301" w:rsidRPr="000B3F7D" w:rsidRDefault="00397301" w:rsidP="00DD25FA">
            <w:pPr>
              <w:ind w:left="360"/>
              <w:rPr>
                <w:rFonts w:ascii="Arial" w:hAnsi="Arial" w:cs="Arial"/>
                <w:b/>
                <w:noProof/>
                <w:sz w:val="20"/>
              </w:rPr>
            </w:pPr>
            <w:r w:rsidRPr="000B3F7D">
              <w:rPr>
                <w:rFonts w:ascii="Arial" w:hAnsi="Arial" w:cs="Arial"/>
                <w:b/>
                <w:noProof/>
                <w:sz w:val="20"/>
              </w:rPr>
              <w:t>Hazard Ratio</w:t>
            </w:r>
          </w:p>
        </w:tc>
        <w:tc>
          <w:tcPr>
            <w:tcW w:w="2774" w:type="dxa"/>
            <w:gridSpan w:val="3"/>
            <w:vAlign w:val="center"/>
          </w:tcPr>
          <w:p w:rsidR="00397301" w:rsidRPr="000B3F7D" w:rsidRDefault="00397301" w:rsidP="00DD25FA">
            <w:pPr>
              <w:jc w:val="center"/>
              <w:rPr>
                <w:rFonts w:ascii="Arial" w:hAnsi="Arial" w:cs="Arial"/>
                <w:noProof/>
                <w:sz w:val="20"/>
              </w:rPr>
            </w:pPr>
            <w:r w:rsidRPr="000B3F7D">
              <w:rPr>
                <w:rFonts w:ascii="Arial" w:hAnsi="Arial" w:cs="Arial"/>
                <w:noProof/>
                <w:sz w:val="20"/>
              </w:rPr>
              <w:t>0.71 (0.53, 0.96)</w:t>
            </w:r>
          </w:p>
        </w:tc>
        <w:tc>
          <w:tcPr>
            <w:tcW w:w="2836" w:type="dxa"/>
            <w:gridSpan w:val="2"/>
            <w:vAlign w:val="center"/>
          </w:tcPr>
          <w:p w:rsidR="00397301" w:rsidRPr="000B3F7D" w:rsidRDefault="00397301" w:rsidP="00DD25FA">
            <w:pPr>
              <w:jc w:val="center"/>
              <w:rPr>
                <w:rFonts w:ascii="Arial" w:hAnsi="Arial" w:cs="Arial"/>
                <w:noProof/>
                <w:sz w:val="20"/>
              </w:rPr>
            </w:pPr>
            <w:r w:rsidRPr="000B3F7D">
              <w:rPr>
                <w:rFonts w:ascii="Arial" w:hAnsi="Arial" w:cs="Arial"/>
                <w:noProof/>
                <w:sz w:val="20"/>
              </w:rPr>
              <w:t>0.86 (0.76, 0.98)</w:t>
            </w:r>
          </w:p>
        </w:tc>
        <w:tc>
          <w:tcPr>
            <w:tcW w:w="2977" w:type="dxa"/>
            <w:gridSpan w:val="3"/>
            <w:shd w:val="clear" w:color="auto" w:fill="auto"/>
            <w:vAlign w:val="center"/>
          </w:tcPr>
          <w:p w:rsidR="00397301" w:rsidRPr="000B3F7D" w:rsidRDefault="00397301" w:rsidP="00DD25FA">
            <w:pPr>
              <w:jc w:val="center"/>
              <w:rPr>
                <w:rFonts w:ascii="Arial" w:hAnsi="Arial" w:cs="Arial"/>
                <w:noProof/>
                <w:sz w:val="20"/>
              </w:rPr>
            </w:pPr>
            <w:r w:rsidRPr="000B3F7D">
              <w:rPr>
                <w:rFonts w:ascii="Arial" w:hAnsi="Arial" w:cs="Arial"/>
                <w:noProof/>
                <w:sz w:val="20"/>
              </w:rPr>
              <w:t>0.90 (0.77, 1.05)</w:t>
            </w:r>
          </w:p>
        </w:tc>
      </w:tr>
      <w:tr w:rsidR="00397301" w:rsidRPr="000B3F7D" w:rsidTr="00C43236">
        <w:tc>
          <w:tcPr>
            <w:tcW w:w="0" w:type="auto"/>
            <w:vAlign w:val="center"/>
          </w:tcPr>
          <w:p w:rsidR="00397301" w:rsidRPr="000B3F7D" w:rsidRDefault="00397301" w:rsidP="00DD25FA">
            <w:pPr>
              <w:ind w:left="360"/>
              <w:rPr>
                <w:rFonts w:ascii="Arial" w:hAnsi="Arial" w:cs="Arial"/>
                <w:b/>
                <w:noProof/>
                <w:sz w:val="20"/>
              </w:rPr>
            </w:pPr>
            <w:r w:rsidRPr="000B3F7D">
              <w:rPr>
                <w:rFonts w:ascii="Arial" w:hAnsi="Arial" w:cs="Arial"/>
                <w:b/>
                <w:noProof/>
                <w:sz w:val="20"/>
              </w:rPr>
              <w:t>P-value</w:t>
            </w:r>
          </w:p>
        </w:tc>
        <w:tc>
          <w:tcPr>
            <w:tcW w:w="2774" w:type="dxa"/>
            <w:gridSpan w:val="3"/>
            <w:vAlign w:val="center"/>
          </w:tcPr>
          <w:p w:rsidR="00397301" w:rsidRPr="000B3F7D" w:rsidRDefault="00397301" w:rsidP="00DD25FA">
            <w:pPr>
              <w:jc w:val="center"/>
              <w:rPr>
                <w:rFonts w:ascii="Arial" w:hAnsi="Arial" w:cs="Arial"/>
                <w:noProof/>
                <w:sz w:val="20"/>
              </w:rPr>
            </w:pPr>
            <w:r w:rsidRPr="000B3F7D">
              <w:rPr>
                <w:rFonts w:ascii="Arial" w:hAnsi="Arial" w:cs="Arial"/>
                <w:noProof/>
                <w:sz w:val="20"/>
              </w:rPr>
              <w:t>0.019</w:t>
            </w:r>
          </w:p>
        </w:tc>
        <w:tc>
          <w:tcPr>
            <w:tcW w:w="2836" w:type="dxa"/>
            <w:gridSpan w:val="2"/>
            <w:vAlign w:val="center"/>
          </w:tcPr>
          <w:p w:rsidR="00397301" w:rsidRPr="000B3F7D" w:rsidRDefault="00397301" w:rsidP="00DD25FA">
            <w:pPr>
              <w:jc w:val="center"/>
              <w:rPr>
                <w:rFonts w:ascii="Arial" w:hAnsi="Arial" w:cs="Arial"/>
                <w:noProof/>
                <w:sz w:val="20"/>
              </w:rPr>
            </w:pPr>
            <w:r w:rsidRPr="000B3F7D">
              <w:rPr>
                <w:rFonts w:ascii="Arial" w:hAnsi="Arial" w:cs="Arial"/>
                <w:noProof/>
                <w:sz w:val="20"/>
              </w:rPr>
              <w:t>0.026</w:t>
            </w:r>
          </w:p>
        </w:tc>
        <w:tc>
          <w:tcPr>
            <w:tcW w:w="2977" w:type="dxa"/>
            <w:gridSpan w:val="3"/>
            <w:shd w:val="clear" w:color="auto" w:fill="auto"/>
            <w:vAlign w:val="center"/>
          </w:tcPr>
          <w:p w:rsidR="00397301" w:rsidRPr="000B3F7D" w:rsidRDefault="00397301" w:rsidP="00DD25FA">
            <w:pPr>
              <w:jc w:val="center"/>
              <w:rPr>
                <w:rFonts w:ascii="Arial" w:hAnsi="Arial" w:cs="Arial"/>
                <w:noProof/>
                <w:sz w:val="20"/>
              </w:rPr>
            </w:pPr>
            <w:r w:rsidRPr="000B3F7D">
              <w:rPr>
                <w:rFonts w:ascii="Arial" w:hAnsi="Arial" w:cs="Arial"/>
                <w:noProof/>
                <w:sz w:val="20"/>
              </w:rPr>
              <w:t>0.188</w:t>
            </w:r>
          </w:p>
        </w:tc>
      </w:tr>
      <w:tr w:rsidR="00C43236" w:rsidRPr="000B3F7D" w:rsidTr="00C43236">
        <w:tc>
          <w:tcPr>
            <w:tcW w:w="0" w:type="auto"/>
            <w:vAlign w:val="center"/>
          </w:tcPr>
          <w:p w:rsidR="00C43236" w:rsidRPr="000B3F7D" w:rsidRDefault="00C43236" w:rsidP="00DD25FA">
            <w:pPr>
              <w:ind w:left="360"/>
              <w:rPr>
                <w:rFonts w:ascii="Arial" w:hAnsi="Arial" w:cs="Arial"/>
                <w:b/>
                <w:noProof/>
                <w:sz w:val="20"/>
              </w:rPr>
            </w:pPr>
            <w:r w:rsidRPr="000B3F7D">
              <w:rPr>
                <w:rFonts w:ascii="Arial" w:hAnsi="Arial" w:cs="Arial"/>
                <w:b/>
                <w:noProof/>
                <w:sz w:val="20"/>
              </w:rPr>
              <w:t>Median OS, months (95% CI)</w:t>
            </w:r>
          </w:p>
        </w:tc>
        <w:tc>
          <w:tcPr>
            <w:tcW w:w="1387" w:type="dxa"/>
            <w:vAlign w:val="center"/>
          </w:tcPr>
          <w:p w:rsidR="00C43236" w:rsidRPr="000B3F7D" w:rsidRDefault="00C43236" w:rsidP="00DD25FA">
            <w:pPr>
              <w:jc w:val="center"/>
              <w:rPr>
                <w:rFonts w:ascii="Arial" w:hAnsi="Arial" w:cs="Arial"/>
                <w:noProof/>
                <w:sz w:val="20"/>
              </w:rPr>
            </w:pPr>
            <w:r w:rsidRPr="000B3F7D">
              <w:rPr>
                <w:rFonts w:ascii="Arial" w:hAnsi="Arial" w:cs="Arial"/>
                <w:noProof/>
                <w:sz w:val="20"/>
              </w:rPr>
              <w:t>33.3</w:t>
            </w:r>
            <w:r w:rsidRPr="000B3F7D">
              <w:rPr>
                <w:rFonts w:ascii="Arial" w:hAnsi="Arial" w:cs="Arial"/>
                <w:noProof/>
                <w:sz w:val="20"/>
              </w:rPr>
              <w:br/>
              <w:t>(22.0 – NE)</w:t>
            </w:r>
          </w:p>
        </w:tc>
        <w:tc>
          <w:tcPr>
            <w:tcW w:w="1387" w:type="dxa"/>
            <w:gridSpan w:val="2"/>
            <w:vAlign w:val="center"/>
          </w:tcPr>
          <w:p w:rsidR="00C43236" w:rsidRPr="000B3F7D" w:rsidRDefault="00C43236" w:rsidP="00DD25FA">
            <w:pPr>
              <w:jc w:val="center"/>
              <w:rPr>
                <w:rFonts w:ascii="Arial" w:hAnsi="Arial" w:cs="Arial"/>
                <w:noProof/>
                <w:sz w:val="20"/>
              </w:rPr>
            </w:pPr>
            <w:r w:rsidRPr="000B3F7D">
              <w:rPr>
                <w:rFonts w:ascii="Arial" w:hAnsi="Arial" w:cs="Arial"/>
                <w:noProof/>
                <w:sz w:val="20"/>
              </w:rPr>
              <w:t>32.3</w:t>
            </w:r>
            <w:r w:rsidRPr="000B3F7D">
              <w:rPr>
                <w:rFonts w:ascii="Arial" w:hAnsi="Arial" w:cs="Arial"/>
                <w:noProof/>
                <w:sz w:val="20"/>
              </w:rPr>
              <w:br/>
              <w:t>(21.2 – 36.7)</w:t>
            </w:r>
          </w:p>
        </w:tc>
        <w:tc>
          <w:tcPr>
            <w:tcW w:w="1418" w:type="dxa"/>
            <w:vAlign w:val="center"/>
          </w:tcPr>
          <w:p w:rsidR="00C43236" w:rsidRPr="000B3F7D" w:rsidRDefault="00C43236" w:rsidP="00DD25FA">
            <w:pPr>
              <w:jc w:val="center"/>
              <w:rPr>
                <w:rFonts w:ascii="Arial" w:hAnsi="Arial" w:cs="Arial"/>
                <w:noProof/>
                <w:sz w:val="20"/>
              </w:rPr>
            </w:pPr>
            <w:r w:rsidRPr="000B3F7D">
              <w:rPr>
                <w:rFonts w:ascii="Arial" w:hAnsi="Arial" w:cs="Arial"/>
                <w:noProof/>
                <w:sz w:val="20"/>
              </w:rPr>
              <w:t>39.4</w:t>
            </w:r>
            <w:r w:rsidRPr="000B3F7D">
              <w:rPr>
                <w:rFonts w:ascii="Arial" w:hAnsi="Arial" w:cs="Arial"/>
                <w:noProof/>
                <w:sz w:val="20"/>
              </w:rPr>
              <w:br/>
              <w:t>(36.3, 45.1)</w:t>
            </w:r>
          </w:p>
        </w:tc>
        <w:tc>
          <w:tcPr>
            <w:tcW w:w="1418" w:type="dxa"/>
            <w:vAlign w:val="center"/>
          </w:tcPr>
          <w:p w:rsidR="00C43236" w:rsidRPr="000B3F7D" w:rsidRDefault="00C43236" w:rsidP="00803557">
            <w:pPr>
              <w:jc w:val="center"/>
              <w:rPr>
                <w:rFonts w:ascii="Arial" w:hAnsi="Arial" w:cs="Arial"/>
                <w:noProof/>
                <w:sz w:val="20"/>
              </w:rPr>
            </w:pPr>
            <w:r w:rsidRPr="000B3F7D">
              <w:rPr>
                <w:rFonts w:ascii="Arial" w:hAnsi="Arial" w:cs="Arial"/>
                <w:noProof/>
                <w:sz w:val="20"/>
              </w:rPr>
              <w:t>40.5</w:t>
            </w:r>
            <w:r w:rsidRPr="000B3F7D">
              <w:rPr>
                <w:rFonts w:ascii="Arial" w:hAnsi="Arial" w:cs="Arial"/>
                <w:noProof/>
                <w:sz w:val="20"/>
              </w:rPr>
              <w:br/>
              <w:t>(35.</w:t>
            </w:r>
            <w:r w:rsidR="00803557" w:rsidRPr="000B3F7D">
              <w:rPr>
                <w:rFonts w:ascii="Arial" w:hAnsi="Arial" w:cs="Arial"/>
                <w:noProof/>
                <w:sz w:val="20"/>
              </w:rPr>
              <w:t>9</w:t>
            </w:r>
            <w:r w:rsidRPr="000B3F7D">
              <w:rPr>
                <w:rFonts w:ascii="Arial" w:hAnsi="Arial" w:cs="Arial"/>
                <w:noProof/>
                <w:sz w:val="20"/>
              </w:rPr>
              <w:t>, 43.6)</w:t>
            </w:r>
          </w:p>
        </w:tc>
        <w:tc>
          <w:tcPr>
            <w:tcW w:w="1488" w:type="dxa"/>
            <w:gridSpan w:val="2"/>
            <w:shd w:val="clear" w:color="auto" w:fill="auto"/>
            <w:vAlign w:val="center"/>
          </w:tcPr>
          <w:p w:rsidR="00C43236" w:rsidRPr="000B3F7D" w:rsidRDefault="00C43236" w:rsidP="00DD25FA">
            <w:pPr>
              <w:jc w:val="center"/>
              <w:rPr>
                <w:rFonts w:ascii="Arial" w:hAnsi="Arial" w:cs="Arial"/>
                <w:noProof/>
                <w:sz w:val="20"/>
              </w:rPr>
            </w:pPr>
            <w:r w:rsidRPr="000B3F7D">
              <w:rPr>
                <w:rFonts w:ascii="Arial" w:hAnsi="Arial" w:cs="Arial"/>
                <w:noProof/>
                <w:sz w:val="20"/>
              </w:rPr>
              <w:t>40.1</w:t>
            </w:r>
            <w:r w:rsidRPr="000B3F7D">
              <w:rPr>
                <w:rFonts w:ascii="Arial" w:hAnsi="Arial" w:cs="Arial"/>
                <w:noProof/>
                <w:sz w:val="20"/>
              </w:rPr>
              <w:br/>
              <w:t>(37.1, NE)</w:t>
            </w:r>
          </w:p>
        </w:tc>
        <w:tc>
          <w:tcPr>
            <w:tcW w:w="1489" w:type="dxa"/>
            <w:shd w:val="clear" w:color="auto" w:fill="auto"/>
            <w:vAlign w:val="center"/>
          </w:tcPr>
          <w:p w:rsidR="00C43236" w:rsidRPr="000B3F7D" w:rsidRDefault="00C43236" w:rsidP="00DD25FA">
            <w:pPr>
              <w:jc w:val="center"/>
              <w:rPr>
                <w:rFonts w:ascii="Arial" w:hAnsi="Arial" w:cs="Arial"/>
                <w:noProof/>
                <w:sz w:val="20"/>
              </w:rPr>
            </w:pPr>
            <w:r w:rsidRPr="000B3F7D">
              <w:rPr>
                <w:rFonts w:ascii="Arial" w:hAnsi="Arial" w:cs="Arial"/>
                <w:noProof/>
                <w:sz w:val="20"/>
              </w:rPr>
              <w:t>41.3</w:t>
            </w:r>
            <w:r w:rsidRPr="000B3F7D">
              <w:rPr>
                <w:rFonts w:ascii="Arial" w:hAnsi="Arial" w:cs="Arial"/>
                <w:noProof/>
                <w:sz w:val="20"/>
              </w:rPr>
              <w:br/>
              <w:t>(38.8, NE)</w:t>
            </w:r>
          </w:p>
        </w:tc>
      </w:tr>
      <w:tr w:rsidR="00C33A5C" w:rsidRPr="000B3F7D" w:rsidTr="00C43236">
        <w:tc>
          <w:tcPr>
            <w:tcW w:w="0" w:type="auto"/>
            <w:vAlign w:val="center"/>
          </w:tcPr>
          <w:p w:rsidR="00C33A5C" w:rsidRPr="000B3F7D" w:rsidRDefault="00C33A5C" w:rsidP="00DD25FA">
            <w:pPr>
              <w:ind w:left="360"/>
              <w:rPr>
                <w:rFonts w:ascii="Arial" w:hAnsi="Arial" w:cs="Arial"/>
                <w:b/>
                <w:noProof/>
                <w:sz w:val="20"/>
              </w:rPr>
            </w:pPr>
            <w:r w:rsidRPr="000B3F7D">
              <w:rPr>
                <w:rFonts w:ascii="Arial" w:hAnsi="Arial" w:cs="Arial"/>
                <w:b/>
                <w:noProof/>
                <w:sz w:val="20"/>
              </w:rPr>
              <w:t>Hazard Ratio</w:t>
            </w:r>
          </w:p>
        </w:tc>
        <w:tc>
          <w:tcPr>
            <w:tcW w:w="2774" w:type="dxa"/>
            <w:gridSpan w:val="3"/>
            <w:vAlign w:val="center"/>
          </w:tcPr>
          <w:p w:rsidR="00C33A5C" w:rsidRPr="000B3F7D" w:rsidRDefault="00C33A5C" w:rsidP="00DD25FA">
            <w:pPr>
              <w:jc w:val="center"/>
              <w:rPr>
                <w:rFonts w:ascii="Arial" w:hAnsi="Arial" w:cs="Arial"/>
                <w:noProof/>
                <w:sz w:val="20"/>
              </w:rPr>
            </w:pPr>
            <w:r w:rsidRPr="000B3F7D">
              <w:rPr>
                <w:rFonts w:ascii="Arial" w:hAnsi="Arial" w:cs="Arial"/>
                <w:noProof/>
                <w:sz w:val="20"/>
              </w:rPr>
              <w:t>0.74 (0.5, 1.1)</w:t>
            </w:r>
          </w:p>
        </w:tc>
        <w:tc>
          <w:tcPr>
            <w:tcW w:w="2836" w:type="dxa"/>
            <w:gridSpan w:val="2"/>
            <w:vAlign w:val="center"/>
          </w:tcPr>
          <w:p w:rsidR="00C33A5C" w:rsidRPr="000B3F7D" w:rsidRDefault="00C43236" w:rsidP="00DD25FA">
            <w:pPr>
              <w:jc w:val="center"/>
              <w:rPr>
                <w:rFonts w:ascii="Arial" w:hAnsi="Arial" w:cs="Arial"/>
                <w:noProof/>
                <w:sz w:val="20"/>
              </w:rPr>
            </w:pPr>
            <w:r w:rsidRPr="000B3F7D">
              <w:rPr>
                <w:rFonts w:ascii="Arial" w:hAnsi="Arial" w:cs="Arial"/>
                <w:noProof/>
                <w:sz w:val="20"/>
              </w:rPr>
              <w:t>1.01 (0.8, 1.2)</w:t>
            </w:r>
          </w:p>
        </w:tc>
        <w:tc>
          <w:tcPr>
            <w:tcW w:w="2977" w:type="dxa"/>
            <w:gridSpan w:val="3"/>
            <w:shd w:val="clear" w:color="auto" w:fill="auto"/>
            <w:vAlign w:val="center"/>
          </w:tcPr>
          <w:p w:rsidR="00C33A5C" w:rsidRPr="000B3F7D" w:rsidRDefault="00C43236" w:rsidP="00DD25FA">
            <w:pPr>
              <w:jc w:val="center"/>
              <w:rPr>
                <w:rFonts w:ascii="Arial" w:hAnsi="Arial" w:cs="Arial"/>
                <w:noProof/>
                <w:sz w:val="20"/>
              </w:rPr>
            </w:pPr>
            <w:r w:rsidRPr="000B3F7D">
              <w:rPr>
                <w:rFonts w:ascii="Arial" w:hAnsi="Arial" w:cs="Arial"/>
                <w:noProof/>
                <w:sz w:val="20"/>
              </w:rPr>
              <w:t>1.15 (0.9, 1.4)</w:t>
            </w:r>
          </w:p>
        </w:tc>
      </w:tr>
      <w:tr w:rsidR="00C33A5C" w:rsidRPr="000B3F7D" w:rsidTr="00C43236">
        <w:tc>
          <w:tcPr>
            <w:tcW w:w="0" w:type="auto"/>
            <w:vAlign w:val="center"/>
          </w:tcPr>
          <w:p w:rsidR="00C33A5C" w:rsidRPr="000B3F7D" w:rsidRDefault="00C33A5C" w:rsidP="00DD25FA">
            <w:pPr>
              <w:ind w:left="360"/>
              <w:rPr>
                <w:rFonts w:ascii="Arial" w:hAnsi="Arial" w:cs="Arial"/>
                <w:b/>
                <w:noProof/>
                <w:sz w:val="20"/>
              </w:rPr>
            </w:pPr>
            <w:r w:rsidRPr="000B3F7D">
              <w:rPr>
                <w:rFonts w:ascii="Arial" w:hAnsi="Arial" w:cs="Arial"/>
                <w:b/>
                <w:noProof/>
                <w:sz w:val="20"/>
              </w:rPr>
              <w:t>P-value</w:t>
            </w:r>
          </w:p>
        </w:tc>
        <w:tc>
          <w:tcPr>
            <w:tcW w:w="2774" w:type="dxa"/>
            <w:gridSpan w:val="3"/>
            <w:vAlign w:val="center"/>
          </w:tcPr>
          <w:p w:rsidR="00C33A5C" w:rsidRPr="000B3F7D" w:rsidRDefault="00C33A5C" w:rsidP="00DD25FA">
            <w:pPr>
              <w:jc w:val="center"/>
              <w:rPr>
                <w:rFonts w:ascii="Arial" w:hAnsi="Arial" w:cs="Arial"/>
                <w:noProof/>
                <w:sz w:val="20"/>
              </w:rPr>
            </w:pPr>
            <w:r w:rsidRPr="000B3F7D">
              <w:rPr>
                <w:rFonts w:ascii="Arial" w:hAnsi="Arial" w:cs="Arial"/>
                <w:noProof/>
                <w:sz w:val="20"/>
              </w:rPr>
              <w:t>0.113</w:t>
            </w:r>
          </w:p>
        </w:tc>
        <w:tc>
          <w:tcPr>
            <w:tcW w:w="2836" w:type="dxa"/>
            <w:gridSpan w:val="2"/>
            <w:vAlign w:val="center"/>
          </w:tcPr>
          <w:p w:rsidR="00C33A5C" w:rsidRPr="000B3F7D" w:rsidRDefault="00C43236" w:rsidP="00DD25FA">
            <w:pPr>
              <w:jc w:val="center"/>
              <w:rPr>
                <w:rFonts w:ascii="Arial" w:hAnsi="Arial" w:cs="Arial"/>
                <w:noProof/>
                <w:sz w:val="20"/>
              </w:rPr>
            </w:pPr>
            <w:r w:rsidRPr="000B3F7D">
              <w:rPr>
                <w:rFonts w:ascii="Arial" w:hAnsi="Arial" w:cs="Arial"/>
                <w:noProof/>
                <w:sz w:val="20"/>
              </w:rPr>
              <w:t>0.915</w:t>
            </w:r>
          </w:p>
        </w:tc>
        <w:tc>
          <w:tcPr>
            <w:tcW w:w="2977" w:type="dxa"/>
            <w:gridSpan w:val="3"/>
            <w:shd w:val="clear" w:color="auto" w:fill="auto"/>
            <w:vAlign w:val="center"/>
          </w:tcPr>
          <w:p w:rsidR="00C33A5C" w:rsidRPr="000B3F7D" w:rsidRDefault="00C43236" w:rsidP="00DD25FA">
            <w:pPr>
              <w:jc w:val="center"/>
              <w:rPr>
                <w:rFonts w:ascii="Arial" w:hAnsi="Arial" w:cs="Arial"/>
                <w:noProof/>
                <w:sz w:val="20"/>
              </w:rPr>
            </w:pPr>
            <w:r w:rsidRPr="000B3F7D">
              <w:rPr>
                <w:rFonts w:ascii="Arial" w:hAnsi="Arial" w:cs="Arial"/>
                <w:noProof/>
                <w:sz w:val="20"/>
              </w:rPr>
              <w:t>0.193</w:t>
            </w:r>
          </w:p>
        </w:tc>
      </w:tr>
    </w:tbl>
    <w:p w:rsidR="008E6831" w:rsidRPr="000B3F7D" w:rsidRDefault="008E6831" w:rsidP="008E6831">
      <w:pPr>
        <w:rPr>
          <w:rFonts w:ascii="Arial Bold" w:hAnsi="Arial Bold" w:cs="Arial"/>
          <w:b/>
          <w:noProof/>
          <w:sz w:val="18"/>
          <w:szCs w:val="18"/>
        </w:rPr>
      </w:pPr>
      <w:r w:rsidRPr="000B3F7D">
        <w:rPr>
          <w:rFonts w:ascii="Arial Bold" w:hAnsi="Arial Bold" w:cs="Arial"/>
          <w:b/>
          <w:noProof/>
          <w:sz w:val="18"/>
          <w:szCs w:val="18"/>
        </w:rPr>
        <w:t>CI= confidence interval</w:t>
      </w:r>
    </w:p>
    <w:p w:rsidR="008E6831" w:rsidRPr="000B3F7D" w:rsidRDefault="00C33A5C" w:rsidP="008E6831">
      <w:pPr>
        <w:rPr>
          <w:rFonts w:ascii="Arial Bold" w:hAnsi="Arial Bold" w:cs="Arial"/>
          <w:b/>
          <w:noProof/>
          <w:sz w:val="18"/>
          <w:szCs w:val="18"/>
        </w:rPr>
      </w:pPr>
      <w:r w:rsidRPr="000B3F7D">
        <w:rPr>
          <w:rFonts w:ascii="Arial Bold" w:hAnsi="Arial Bold" w:cs="Arial"/>
          <w:b/>
          <w:noProof/>
          <w:sz w:val="18"/>
          <w:szCs w:val="18"/>
        </w:rPr>
        <w:t>NE= Non-evaluable</w:t>
      </w:r>
    </w:p>
    <w:p w:rsidR="00A86579" w:rsidRPr="000B3F7D" w:rsidRDefault="00A86579" w:rsidP="008E6831">
      <w:pPr>
        <w:rPr>
          <w:rFonts w:ascii="Arial Bold" w:hAnsi="Arial Bold" w:cs="Arial"/>
          <w:b/>
          <w:noProof/>
          <w:sz w:val="18"/>
          <w:szCs w:val="18"/>
        </w:rPr>
      </w:pPr>
    </w:p>
    <w:p w:rsidR="003A5C93" w:rsidRPr="000B3F7D" w:rsidRDefault="003A5C93" w:rsidP="003A5C93">
      <w:pPr>
        <w:pStyle w:val="listbull"/>
        <w:numPr>
          <w:ilvl w:val="0"/>
          <w:numId w:val="0"/>
        </w:numPr>
        <w:spacing w:after="0" w:line="312" w:lineRule="atLeast"/>
        <w:jc w:val="both"/>
        <w:rPr>
          <w:rFonts w:ascii="Arial" w:hAnsi="Arial" w:cs="Arial"/>
          <w:sz w:val="22"/>
          <w:szCs w:val="22"/>
        </w:rPr>
      </w:pPr>
      <w:r w:rsidRPr="000B3F7D">
        <w:rPr>
          <w:rFonts w:ascii="Arial" w:hAnsi="Arial" w:cs="Arial"/>
          <w:sz w:val="22"/>
          <w:szCs w:val="22"/>
        </w:rPr>
        <w:t>The PFS data in the HER2</w:t>
      </w:r>
      <w:r w:rsidR="00EC2346" w:rsidRPr="000B3F7D">
        <w:rPr>
          <w:rFonts w:ascii="Arial" w:hAnsi="Arial" w:cs="Arial"/>
          <w:sz w:val="22"/>
          <w:szCs w:val="22"/>
        </w:rPr>
        <w:t>-positive</w:t>
      </w:r>
      <w:r w:rsidRPr="000B3F7D">
        <w:rPr>
          <w:rFonts w:ascii="Arial" w:hAnsi="Arial" w:cs="Arial"/>
          <w:sz w:val="22"/>
          <w:szCs w:val="22"/>
        </w:rPr>
        <w:t xml:space="preserve"> population is represented graphically in Figure </w:t>
      </w:r>
      <w:r w:rsidR="00AB6AF2">
        <w:rPr>
          <w:rFonts w:ascii="Arial" w:hAnsi="Arial" w:cs="Arial"/>
          <w:sz w:val="22"/>
          <w:szCs w:val="22"/>
        </w:rPr>
        <w:t>3</w:t>
      </w:r>
      <w:r w:rsidRPr="000B3F7D">
        <w:rPr>
          <w:rFonts w:ascii="Arial" w:hAnsi="Arial" w:cs="Arial"/>
          <w:sz w:val="22"/>
          <w:szCs w:val="22"/>
        </w:rPr>
        <w:t>.</w:t>
      </w:r>
    </w:p>
    <w:p w:rsidR="00A86579" w:rsidRPr="000B3F7D" w:rsidRDefault="00A86579" w:rsidP="003A5C93">
      <w:pPr>
        <w:pStyle w:val="listbull"/>
        <w:numPr>
          <w:ilvl w:val="0"/>
          <w:numId w:val="0"/>
        </w:numPr>
        <w:spacing w:after="0" w:line="312" w:lineRule="atLeast"/>
        <w:jc w:val="both"/>
        <w:rPr>
          <w:rFonts w:ascii="Arial" w:hAnsi="Arial" w:cs="Arial"/>
          <w:sz w:val="22"/>
          <w:szCs w:val="22"/>
        </w:rPr>
      </w:pPr>
    </w:p>
    <w:p w:rsidR="003A5C93" w:rsidRPr="000B3F7D" w:rsidRDefault="00AB6AF2" w:rsidP="00C24EDF">
      <w:pPr>
        <w:pStyle w:val="listbull"/>
        <w:numPr>
          <w:ilvl w:val="0"/>
          <w:numId w:val="0"/>
        </w:numPr>
        <w:spacing w:after="0" w:line="312" w:lineRule="atLeast"/>
        <w:ind w:left="993" w:hanging="993"/>
        <w:jc w:val="both"/>
        <w:rPr>
          <w:rFonts w:ascii="Arial Bold" w:hAnsi="Arial Bold" w:cs="Arial"/>
          <w:b/>
          <w:sz w:val="22"/>
          <w:szCs w:val="22"/>
        </w:rPr>
      </w:pPr>
      <w:r>
        <w:rPr>
          <w:rFonts w:ascii="Arial Bold" w:hAnsi="Arial Bold" w:cs="Arial"/>
          <w:b/>
          <w:sz w:val="22"/>
          <w:szCs w:val="22"/>
        </w:rPr>
        <w:br w:type="page"/>
      </w:r>
      <w:r w:rsidR="00C24EDF" w:rsidRPr="000B3F7D">
        <w:rPr>
          <w:rFonts w:ascii="Arial Bold" w:hAnsi="Arial Bold" w:cs="Arial"/>
          <w:b/>
          <w:sz w:val="22"/>
          <w:szCs w:val="22"/>
        </w:rPr>
        <w:t xml:space="preserve">Figure </w:t>
      </w:r>
      <w:r>
        <w:rPr>
          <w:rFonts w:ascii="Arial Bold" w:hAnsi="Arial Bold" w:cs="Arial"/>
          <w:b/>
          <w:sz w:val="22"/>
          <w:szCs w:val="22"/>
        </w:rPr>
        <w:t>3</w:t>
      </w:r>
      <w:r w:rsidR="00C24EDF" w:rsidRPr="000B3F7D">
        <w:rPr>
          <w:rFonts w:ascii="Arial Bold" w:hAnsi="Arial Bold" w:cs="Arial"/>
          <w:b/>
          <w:sz w:val="22"/>
          <w:szCs w:val="22"/>
        </w:rPr>
        <w:t>:</w:t>
      </w:r>
      <w:r w:rsidR="00C24EDF" w:rsidRPr="000B3F7D">
        <w:rPr>
          <w:rFonts w:ascii="Arial Bold" w:hAnsi="Arial Bold" w:cs="Arial"/>
          <w:b/>
          <w:sz w:val="22"/>
          <w:szCs w:val="22"/>
        </w:rPr>
        <w:tab/>
      </w:r>
      <w:r w:rsidR="003A5C93" w:rsidRPr="000B3F7D">
        <w:rPr>
          <w:rFonts w:ascii="Arial Bold" w:hAnsi="Arial Bold" w:cs="Arial"/>
          <w:b/>
          <w:sz w:val="22"/>
          <w:szCs w:val="22"/>
        </w:rPr>
        <w:t>Kaplan-Meier Estimates for Investigator-Evaluated PFS (Study EGF30008, HER2 +ve Population)</w:t>
      </w:r>
    </w:p>
    <w:p w:rsidR="003A5C93" w:rsidRPr="000B3F7D" w:rsidRDefault="00792117" w:rsidP="003A5C93">
      <w:pPr>
        <w:pStyle w:val="listbull"/>
        <w:numPr>
          <w:ilvl w:val="0"/>
          <w:numId w:val="0"/>
        </w:numPr>
        <w:spacing w:after="0" w:line="312" w:lineRule="atLeast"/>
        <w:jc w:val="both"/>
        <w:rPr>
          <w:rFonts w:ascii="Arial Bold" w:hAnsi="Arial Bold" w:cs="Arial"/>
          <w:b/>
          <w:sz w:val="22"/>
          <w:szCs w:val="22"/>
          <w:lang w:val="en-AU"/>
        </w:rPr>
      </w:pPr>
      <w:r>
        <w:rPr>
          <w:rFonts w:ascii="Arial" w:hAnsi="Arial" w:cs="Arial"/>
          <w:b/>
          <w:noProof/>
          <w:sz w:val="22"/>
          <w:szCs w:val="22"/>
          <w:lang w:val="en-AU"/>
        </w:rPr>
        <w:drawing>
          <wp:inline distT="0" distB="0" distL="0" distR="0">
            <wp:extent cx="5114925" cy="31623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5114925" cy="3162300"/>
                    </a:xfrm>
                    <a:prstGeom prst="rect">
                      <a:avLst/>
                    </a:prstGeom>
                    <a:noFill/>
                    <a:ln w="9525">
                      <a:noFill/>
                      <a:miter lim="800000"/>
                      <a:headEnd/>
                      <a:tailEnd/>
                    </a:ln>
                  </pic:spPr>
                </pic:pic>
              </a:graphicData>
            </a:graphic>
          </wp:inline>
        </w:drawing>
      </w:r>
    </w:p>
    <w:p w:rsidR="003A5C93" w:rsidRPr="000B3F7D" w:rsidRDefault="003A5C93" w:rsidP="008E6831">
      <w:pPr>
        <w:rPr>
          <w:rFonts w:ascii="Arial Bold" w:hAnsi="Arial Bold" w:cs="Arial"/>
          <w:b/>
          <w:noProof/>
          <w:sz w:val="22"/>
          <w:szCs w:val="22"/>
        </w:rPr>
      </w:pPr>
    </w:p>
    <w:p w:rsidR="008E6831" w:rsidRPr="000B3F7D" w:rsidRDefault="008E6831" w:rsidP="008E6831">
      <w:pPr>
        <w:pStyle w:val="listbull"/>
        <w:numPr>
          <w:ilvl w:val="0"/>
          <w:numId w:val="0"/>
        </w:numPr>
        <w:spacing w:after="0" w:line="312" w:lineRule="atLeast"/>
        <w:jc w:val="both"/>
        <w:rPr>
          <w:rFonts w:ascii="Arial" w:hAnsi="Arial" w:cs="Arial"/>
          <w:sz w:val="22"/>
          <w:szCs w:val="22"/>
        </w:rPr>
      </w:pPr>
      <w:r w:rsidRPr="000B3F7D">
        <w:rPr>
          <w:rFonts w:ascii="Arial" w:hAnsi="Arial" w:cs="Arial"/>
          <w:sz w:val="22"/>
          <w:szCs w:val="22"/>
        </w:rPr>
        <w:t>The benefit of TYKERB + letrozole on PFS in the HER2</w:t>
      </w:r>
      <w:r w:rsidR="00EC2346" w:rsidRPr="000B3F7D">
        <w:rPr>
          <w:rFonts w:ascii="Arial" w:hAnsi="Arial" w:cs="Arial"/>
          <w:sz w:val="22"/>
          <w:szCs w:val="22"/>
        </w:rPr>
        <w:t>-positive</w:t>
      </w:r>
      <w:r w:rsidRPr="000B3F7D">
        <w:rPr>
          <w:rFonts w:ascii="Arial" w:hAnsi="Arial" w:cs="Arial"/>
          <w:sz w:val="22"/>
          <w:szCs w:val="22"/>
        </w:rPr>
        <w:t xml:space="preserve"> population was confirmed in a pre-planned Cox regression analysis (HR=0.65 (95 %CI 0.47-0.89) p=0.008).  In addition to a PFS benefit seen in the HER2+ patient population, combination therapy of </w:t>
      </w:r>
      <w:r w:rsidR="00CD7008" w:rsidRPr="000B3F7D">
        <w:rPr>
          <w:rFonts w:ascii="Arial" w:hAnsi="Arial" w:cs="Arial"/>
          <w:sz w:val="22"/>
          <w:szCs w:val="22"/>
        </w:rPr>
        <w:t>TYKERB</w:t>
      </w:r>
      <w:r w:rsidRPr="000B3F7D">
        <w:rPr>
          <w:rFonts w:ascii="Arial" w:hAnsi="Arial" w:cs="Arial"/>
          <w:sz w:val="22"/>
          <w:szCs w:val="22"/>
        </w:rPr>
        <w:t xml:space="preserve"> and letrozole </w:t>
      </w:r>
      <w:r w:rsidR="00DF0F77" w:rsidRPr="000B3F7D">
        <w:rPr>
          <w:rFonts w:ascii="Arial" w:hAnsi="Arial" w:cs="Arial"/>
          <w:sz w:val="22"/>
          <w:szCs w:val="22"/>
        </w:rPr>
        <w:t>was associated with a significant</w:t>
      </w:r>
      <w:r w:rsidRPr="000B3F7D">
        <w:rPr>
          <w:rFonts w:ascii="Arial" w:hAnsi="Arial" w:cs="Arial"/>
          <w:sz w:val="22"/>
          <w:szCs w:val="22"/>
        </w:rPr>
        <w:t xml:space="preserve"> improvement in objective response rate (27.9 % and 14.8 % respectively) </w:t>
      </w:r>
      <w:r w:rsidR="00DF0F77" w:rsidRPr="000B3F7D">
        <w:rPr>
          <w:rFonts w:ascii="Arial" w:hAnsi="Arial" w:cs="Arial"/>
          <w:sz w:val="22"/>
          <w:szCs w:val="22"/>
        </w:rPr>
        <w:t>(p=0.021) compared with treatment with letrozole plus placebo</w:t>
      </w:r>
      <w:r w:rsidRPr="000B3F7D">
        <w:rPr>
          <w:rFonts w:ascii="Arial" w:hAnsi="Arial" w:cs="Arial"/>
          <w:sz w:val="22"/>
          <w:szCs w:val="22"/>
        </w:rPr>
        <w:t xml:space="preserve">. </w:t>
      </w:r>
      <w:r w:rsidR="00CD7008" w:rsidRPr="000B3F7D">
        <w:rPr>
          <w:rFonts w:ascii="Arial" w:hAnsi="Arial" w:cs="Arial"/>
          <w:sz w:val="22"/>
          <w:szCs w:val="22"/>
        </w:rPr>
        <w:t xml:space="preserve"> </w:t>
      </w:r>
      <w:r w:rsidRPr="000B3F7D">
        <w:rPr>
          <w:rFonts w:ascii="Arial" w:hAnsi="Arial" w:cs="Arial"/>
          <w:sz w:val="22"/>
          <w:szCs w:val="22"/>
        </w:rPr>
        <w:t>Although not yet mature, a trend toward</w:t>
      </w:r>
      <w:r w:rsidR="00A17144" w:rsidRPr="000B3F7D">
        <w:rPr>
          <w:rFonts w:ascii="Arial" w:hAnsi="Arial" w:cs="Arial"/>
          <w:sz w:val="22"/>
          <w:szCs w:val="22"/>
        </w:rPr>
        <w:t>s</w:t>
      </w:r>
      <w:r w:rsidRPr="000B3F7D">
        <w:rPr>
          <w:rFonts w:ascii="Arial" w:hAnsi="Arial" w:cs="Arial"/>
          <w:sz w:val="22"/>
          <w:szCs w:val="22"/>
        </w:rPr>
        <w:t xml:space="preserve"> a survival benefit was noted for the </w:t>
      </w:r>
      <w:r w:rsidR="00CD7008" w:rsidRPr="000B3F7D">
        <w:rPr>
          <w:rFonts w:ascii="Arial" w:hAnsi="Arial" w:cs="Arial"/>
          <w:sz w:val="22"/>
          <w:szCs w:val="22"/>
        </w:rPr>
        <w:t>TYKERB</w:t>
      </w:r>
      <w:r w:rsidRPr="000B3F7D">
        <w:rPr>
          <w:rFonts w:ascii="Arial" w:hAnsi="Arial" w:cs="Arial"/>
          <w:sz w:val="22"/>
          <w:szCs w:val="22"/>
        </w:rPr>
        <w:t>/letrozole combination, HR= 0.</w:t>
      </w:r>
      <w:r w:rsidR="00C33A5C" w:rsidRPr="000B3F7D">
        <w:rPr>
          <w:rFonts w:ascii="Arial" w:hAnsi="Arial" w:cs="Arial"/>
          <w:sz w:val="22"/>
          <w:szCs w:val="22"/>
        </w:rPr>
        <w:t xml:space="preserve">74 </w:t>
      </w:r>
      <w:r w:rsidRPr="000B3F7D">
        <w:rPr>
          <w:rFonts w:ascii="Arial" w:hAnsi="Arial" w:cs="Arial"/>
          <w:sz w:val="22"/>
          <w:szCs w:val="22"/>
        </w:rPr>
        <w:t>(95 %</w:t>
      </w:r>
      <w:r w:rsidR="00C33A5C" w:rsidRPr="000B3F7D">
        <w:rPr>
          <w:rFonts w:ascii="Arial" w:hAnsi="Arial" w:cs="Arial"/>
          <w:sz w:val="22"/>
          <w:szCs w:val="22"/>
        </w:rPr>
        <w:t xml:space="preserve"> </w:t>
      </w:r>
      <w:r w:rsidRPr="000B3F7D">
        <w:rPr>
          <w:rFonts w:ascii="Arial" w:hAnsi="Arial" w:cs="Arial"/>
          <w:sz w:val="22"/>
          <w:szCs w:val="22"/>
        </w:rPr>
        <w:t>CI 0.</w:t>
      </w:r>
      <w:r w:rsidR="00C33A5C" w:rsidRPr="000B3F7D">
        <w:rPr>
          <w:rFonts w:ascii="Arial" w:hAnsi="Arial" w:cs="Arial"/>
          <w:sz w:val="22"/>
          <w:szCs w:val="22"/>
        </w:rPr>
        <w:t>50</w:t>
      </w:r>
      <w:r w:rsidR="00375F6E" w:rsidRPr="000B3F7D">
        <w:rPr>
          <w:rFonts w:ascii="Arial" w:hAnsi="Arial" w:cs="Arial"/>
          <w:sz w:val="22"/>
          <w:szCs w:val="22"/>
        </w:rPr>
        <w:t xml:space="preserve">, </w:t>
      </w:r>
      <w:r w:rsidR="00C33A5C" w:rsidRPr="000B3F7D">
        <w:rPr>
          <w:rFonts w:ascii="Arial" w:hAnsi="Arial" w:cs="Arial"/>
          <w:sz w:val="22"/>
          <w:szCs w:val="22"/>
        </w:rPr>
        <w:t>1.1</w:t>
      </w:r>
      <w:r w:rsidRPr="000B3F7D">
        <w:rPr>
          <w:rFonts w:ascii="Arial" w:hAnsi="Arial" w:cs="Arial"/>
          <w:sz w:val="22"/>
          <w:szCs w:val="22"/>
        </w:rPr>
        <w:t>) p=0.</w:t>
      </w:r>
      <w:r w:rsidR="00C33A5C" w:rsidRPr="000B3F7D">
        <w:rPr>
          <w:rFonts w:ascii="Arial" w:hAnsi="Arial" w:cs="Arial"/>
          <w:sz w:val="22"/>
          <w:szCs w:val="22"/>
        </w:rPr>
        <w:t xml:space="preserve">113 (see Table </w:t>
      </w:r>
      <w:r w:rsidR="00BB2CC3">
        <w:rPr>
          <w:rFonts w:ascii="Arial" w:hAnsi="Arial" w:cs="Arial"/>
          <w:sz w:val="22"/>
          <w:szCs w:val="22"/>
        </w:rPr>
        <w:t>6</w:t>
      </w:r>
      <w:r w:rsidR="00C33A5C" w:rsidRPr="000B3F7D">
        <w:rPr>
          <w:rFonts w:ascii="Arial" w:hAnsi="Arial" w:cs="Arial"/>
          <w:sz w:val="22"/>
          <w:szCs w:val="22"/>
        </w:rPr>
        <w:t>)</w:t>
      </w:r>
      <w:r w:rsidRPr="000B3F7D">
        <w:rPr>
          <w:rFonts w:ascii="Arial" w:hAnsi="Arial" w:cs="Arial"/>
          <w:sz w:val="22"/>
          <w:szCs w:val="22"/>
        </w:rPr>
        <w:t>.</w:t>
      </w:r>
    </w:p>
    <w:p w:rsidR="008E6831" w:rsidRPr="000B3F7D" w:rsidRDefault="008E6831" w:rsidP="008E6831">
      <w:pPr>
        <w:pStyle w:val="listbull"/>
        <w:numPr>
          <w:ilvl w:val="0"/>
          <w:numId w:val="0"/>
        </w:numPr>
        <w:spacing w:after="0" w:line="312" w:lineRule="atLeast"/>
        <w:jc w:val="both"/>
        <w:rPr>
          <w:rFonts w:ascii="Arial" w:hAnsi="Arial" w:cs="Arial"/>
          <w:sz w:val="22"/>
          <w:szCs w:val="22"/>
        </w:rPr>
      </w:pPr>
    </w:p>
    <w:p w:rsidR="006825A2" w:rsidRPr="000B3F7D" w:rsidRDefault="001100D5" w:rsidP="008E6831">
      <w:pPr>
        <w:jc w:val="both"/>
        <w:rPr>
          <w:rFonts w:ascii="Arial" w:hAnsi="Arial" w:cs="Arial"/>
          <w:sz w:val="22"/>
          <w:szCs w:val="22"/>
          <w:lang w:val="en-US" w:bidi="or-IN"/>
        </w:rPr>
      </w:pPr>
      <w:r w:rsidRPr="000B3F7D">
        <w:rPr>
          <w:rFonts w:ascii="Arial" w:hAnsi="Arial" w:cs="Arial"/>
          <w:sz w:val="22"/>
          <w:szCs w:val="22"/>
          <w:lang w:val="en-US" w:bidi="or-IN"/>
        </w:rPr>
        <w:t>In the Intent-to-Treat (</w:t>
      </w:r>
      <w:smartTag w:uri="urn:schemas-microsoft-com:office:smarttags" w:element="stockticker">
        <w:r w:rsidRPr="000B3F7D">
          <w:rPr>
            <w:rFonts w:ascii="Arial" w:hAnsi="Arial" w:cs="Arial"/>
            <w:sz w:val="22"/>
            <w:szCs w:val="22"/>
            <w:lang w:val="en-US" w:bidi="or-IN"/>
          </w:rPr>
          <w:t>ITT</w:t>
        </w:r>
      </w:smartTag>
      <w:r w:rsidRPr="000B3F7D">
        <w:rPr>
          <w:rFonts w:ascii="Arial" w:hAnsi="Arial" w:cs="Arial"/>
          <w:sz w:val="22"/>
          <w:szCs w:val="22"/>
          <w:lang w:val="en-US" w:bidi="or-IN"/>
        </w:rPr>
        <w:t>) population</w:t>
      </w:r>
      <w:r w:rsidR="006825A2" w:rsidRPr="000B3F7D">
        <w:rPr>
          <w:rFonts w:ascii="Arial" w:hAnsi="Arial" w:cs="Arial"/>
          <w:sz w:val="22"/>
          <w:szCs w:val="22"/>
          <w:lang w:val="en-US" w:bidi="or-IN"/>
        </w:rPr>
        <w:t xml:space="preserve">, investigator-determined PFS was greater between the two treatment arms (see Table </w:t>
      </w:r>
      <w:r w:rsidR="00D056DD">
        <w:rPr>
          <w:rFonts w:ascii="Arial" w:hAnsi="Arial" w:cs="Arial"/>
          <w:sz w:val="22"/>
          <w:szCs w:val="22"/>
          <w:lang w:val="en-US" w:bidi="or-IN"/>
        </w:rPr>
        <w:t>6</w:t>
      </w:r>
      <w:r w:rsidR="006825A2" w:rsidRPr="000B3F7D">
        <w:rPr>
          <w:rFonts w:ascii="Arial" w:hAnsi="Arial" w:cs="Arial"/>
          <w:sz w:val="22"/>
          <w:szCs w:val="22"/>
          <w:lang w:val="en-US" w:bidi="or-IN"/>
        </w:rPr>
        <w:t>).  Although statistically significant, the difference was not considered clinically relevant.</w:t>
      </w:r>
    </w:p>
    <w:p w:rsidR="006825A2" w:rsidRPr="000B3F7D" w:rsidRDefault="006825A2" w:rsidP="008E6831">
      <w:pPr>
        <w:jc w:val="both"/>
        <w:rPr>
          <w:rFonts w:ascii="Arial" w:hAnsi="Arial" w:cs="Arial"/>
          <w:sz w:val="22"/>
          <w:szCs w:val="22"/>
          <w:lang w:val="en-US" w:bidi="or-IN"/>
        </w:rPr>
      </w:pPr>
    </w:p>
    <w:p w:rsidR="008E6831" w:rsidRPr="000B3F7D" w:rsidRDefault="008E6831" w:rsidP="00D74111">
      <w:pPr>
        <w:jc w:val="both"/>
        <w:rPr>
          <w:rFonts w:ascii="Arial" w:hAnsi="Arial" w:cs="Arial"/>
          <w:noProof/>
          <w:sz w:val="18"/>
          <w:szCs w:val="18"/>
          <w:vertAlign w:val="superscript"/>
        </w:rPr>
      </w:pPr>
      <w:r w:rsidRPr="000B3F7D">
        <w:rPr>
          <w:rFonts w:ascii="Arial" w:hAnsi="Arial" w:cs="Arial"/>
          <w:sz w:val="22"/>
          <w:szCs w:val="22"/>
          <w:lang w:val="en-US" w:bidi="or-IN"/>
        </w:rPr>
        <w:t xml:space="preserve">In the HER2-negative population (n=952), the Kaplan-Meier analyses for PFS did not show a significant difference between the two treatment arms (see Table </w:t>
      </w:r>
      <w:r w:rsidR="009A4CA4">
        <w:rPr>
          <w:rFonts w:ascii="Arial" w:hAnsi="Arial" w:cs="Arial"/>
          <w:sz w:val="22"/>
          <w:szCs w:val="22"/>
          <w:lang w:val="en-US" w:bidi="or-IN"/>
        </w:rPr>
        <w:t>6</w:t>
      </w:r>
      <w:r w:rsidRPr="000B3F7D">
        <w:rPr>
          <w:rFonts w:ascii="Arial" w:hAnsi="Arial" w:cs="Arial"/>
          <w:sz w:val="22"/>
          <w:szCs w:val="22"/>
          <w:lang w:val="en-US" w:bidi="or-IN"/>
        </w:rPr>
        <w:t xml:space="preserve">). </w:t>
      </w:r>
    </w:p>
    <w:p w:rsidR="000402C9" w:rsidRPr="000B3F7D" w:rsidRDefault="000402C9" w:rsidP="00856C07">
      <w:pPr>
        <w:pStyle w:val="Text"/>
        <w:spacing w:after="0"/>
        <w:jc w:val="both"/>
        <w:rPr>
          <w:rFonts w:ascii="Arial" w:hAnsi="Arial" w:cs="Arial"/>
          <w:b/>
          <w:sz w:val="22"/>
          <w:szCs w:val="22"/>
          <w:u w:val="single"/>
        </w:rPr>
      </w:pPr>
    </w:p>
    <w:p w:rsidR="00CD7008" w:rsidRPr="000B3F7D" w:rsidRDefault="00CD7008" w:rsidP="00856C07">
      <w:pPr>
        <w:pStyle w:val="Text"/>
        <w:spacing w:after="0"/>
        <w:jc w:val="both"/>
        <w:rPr>
          <w:rFonts w:ascii="Arial" w:hAnsi="Arial" w:cs="Arial"/>
          <w:b/>
          <w:sz w:val="22"/>
          <w:szCs w:val="22"/>
          <w:u w:val="single"/>
        </w:rPr>
      </w:pPr>
    </w:p>
    <w:p w:rsidR="00F6584A" w:rsidRPr="000B3F7D" w:rsidRDefault="00F6584A" w:rsidP="007763C8">
      <w:pPr>
        <w:pStyle w:val="Text"/>
        <w:spacing w:after="0"/>
        <w:rPr>
          <w:rFonts w:ascii="Arial" w:hAnsi="Arial" w:cs="Arial"/>
          <w:b/>
          <w:sz w:val="22"/>
          <w:szCs w:val="22"/>
          <w:lang w:val="en-US"/>
        </w:rPr>
      </w:pPr>
      <w:r w:rsidRPr="000B3F7D">
        <w:rPr>
          <w:rFonts w:ascii="Arial" w:hAnsi="Arial" w:cs="Arial"/>
          <w:b/>
          <w:sz w:val="22"/>
          <w:szCs w:val="22"/>
          <w:lang w:val="en-US"/>
        </w:rPr>
        <w:t>INDICATIONS</w:t>
      </w:r>
    </w:p>
    <w:p w:rsidR="009D4995" w:rsidRPr="000B3F7D" w:rsidRDefault="009D4995" w:rsidP="007763C8">
      <w:pPr>
        <w:pStyle w:val="Text"/>
        <w:spacing w:after="0"/>
        <w:rPr>
          <w:rFonts w:ascii="Arial" w:hAnsi="Arial" w:cs="Arial"/>
          <w:b/>
          <w:sz w:val="22"/>
          <w:szCs w:val="22"/>
          <w:u w:val="single"/>
          <w:lang w:val="en-US"/>
        </w:rPr>
      </w:pPr>
    </w:p>
    <w:p w:rsidR="00AD233B" w:rsidRPr="000B3F7D" w:rsidRDefault="00AD233B" w:rsidP="004006A9">
      <w:pPr>
        <w:jc w:val="both"/>
        <w:rPr>
          <w:rFonts w:ascii="Arial" w:hAnsi="Arial" w:cs="Arial"/>
          <w:i/>
          <w:sz w:val="22"/>
          <w:szCs w:val="22"/>
          <w:lang w:val="en-US"/>
        </w:rPr>
      </w:pPr>
      <w:r w:rsidRPr="000B3F7D">
        <w:rPr>
          <w:rFonts w:ascii="Arial" w:hAnsi="Arial" w:cs="Arial"/>
          <w:sz w:val="22"/>
          <w:szCs w:val="22"/>
          <w:lang w:val="en-US"/>
        </w:rPr>
        <w:t xml:space="preserve">TYKERB, in combination with an aromatase inhibitor, is indicated for the treatment of </w:t>
      </w:r>
      <w:r w:rsidR="008B1E2C">
        <w:rPr>
          <w:rFonts w:ascii="Arial" w:hAnsi="Arial" w:cs="Arial"/>
          <w:sz w:val="22"/>
          <w:szCs w:val="22"/>
          <w:lang w:val="en-US"/>
        </w:rPr>
        <w:t>post-menopausal women</w:t>
      </w:r>
      <w:r w:rsidR="008B1E2C" w:rsidRPr="000B3F7D">
        <w:rPr>
          <w:rFonts w:ascii="Arial" w:hAnsi="Arial" w:cs="Arial"/>
          <w:sz w:val="22"/>
          <w:szCs w:val="22"/>
          <w:lang w:val="en-US"/>
        </w:rPr>
        <w:t xml:space="preserve"> </w:t>
      </w:r>
      <w:r w:rsidRPr="000B3F7D">
        <w:rPr>
          <w:rFonts w:ascii="Arial" w:hAnsi="Arial" w:cs="Arial"/>
          <w:sz w:val="22"/>
          <w:szCs w:val="22"/>
          <w:lang w:val="en-US"/>
        </w:rPr>
        <w:t xml:space="preserve">with hormone </w:t>
      </w:r>
      <w:r w:rsidR="008B1E2C">
        <w:rPr>
          <w:rFonts w:ascii="Arial" w:hAnsi="Arial" w:cs="Arial"/>
          <w:sz w:val="22"/>
          <w:szCs w:val="22"/>
          <w:lang w:val="en-US"/>
        </w:rPr>
        <w:t>receptor-positive</w:t>
      </w:r>
      <w:r w:rsidR="008B1E2C" w:rsidRPr="000B3F7D">
        <w:rPr>
          <w:rFonts w:ascii="Arial" w:hAnsi="Arial" w:cs="Arial"/>
          <w:sz w:val="22"/>
          <w:szCs w:val="22"/>
          <w:lang w:val="en-US"/>
        </w:rPr>
        <w:t xml:space="preserve"> </w:t>
      </w:r>
      <w:r w:rsidR="00B526B5" w:rsidRPr="000B3F7D">
        <w:rPr>
          <w:rFonts w:ascii="Arial" w:hAnsi="Arial" w:cs="Arial"/>
          <w:sz w:val="22"/>
          <w:szCs w:val="22"/>
          <w:lang w:val="en-US"/>
        </w:rPr>
        <w:t xml:space="preserve">metastatic </w:t>
      </w:r>
      <w:r w:rsidRPr="000B3F7D">
        <w:rPr>
          <w:rFonts w:ascii="Arial" w:hAnsi="Arial" w:cs="Arial"/>
          <w:sz w:val="22"/>
          <w:szCs w:val="22"/>
          <w:lang w:val="en-US"/>
        </w:rPr>
        <w:t xml:space="preserve">breast cancer whose tumours overexpress HER2 (ErbB2) </w:t>
      </w:r>
      <w:r w:rsidR="008B1E2C">
        <w:rPr>
          <w:rFonts w:ascii="Arial" w:hAnsi="Arial" w:cs="Arial"/>
          <w:sz w:val="22"/>
          <w:szCs w:val="22"/>
          <w:lang w:val="en-US"/>
        </w:rPr>
        <w:t>and for whom hormonal therapy is indicated</w:t>
      </w:r>
      <w:r w:rsidRPr="000B3F7D">
        <w:rPr>
          <w:rFonts w:ascii="Arial" w:hAnsi="Arial" w:cs="Arial"/>
          <w:i/>
          <w:sz w:val="22"/>
          <w:szCs w:val="22"/>
          <w:lang w:val="en-US"/>
        </w:rPr>
        <w:t>.</w:t>
      </w:r>
    </w:p>
    <w:p w:rsidR="00AD233B" w:rsidRPr="000B3F7D" w:rsidRDefault="00AD233B" w:rsidP="00AD233B">
      <w:pPr>
        <w:rPr>
          <w:rFonts w:ascii="Arial" w:hAnsi="Arial" w:cs="Arial"/>
          <w:b/>
          <w:i/>
          <w:sz w:val="22"/>
          <w:szCs w:val="22"/>
          <w:u w:val="single"/>
          <w:lang w:val="en-US"/>
        </w:rPr>
      </w:pPr>
    </w:p>
    <w:p w:rsidR="00F6584A" w:rsidRPr="000B3F7D" w:rsidRDefault="00F6584A" w:rsidP="00D70D33">
      <w:pPr>
        <w:pStyle w:val="Text"/>
        <w:spacing w:after="0"/>
        <w:jc w:val="both"/>
        <w:rPr>
          <w:rFonts w:ascii="Arial" w:hAnsi="Arial" w:cs="Arial"/>
          <w:sz w:val="22"/>
          <w:szCs w:val="22"/>
        </w:rPr>
      </w:pPr>
      <w:r w:rsidRPr="000B3F7D">
        <w:rPr>
          <w:rFonts w:ascii="Arial" w:hAnsi="Arial" w:cs="Arial"/>
          <w:sz w:val="22"/>
          <w:szCs w:val="22"/>
        </w:rPr>
        <w:t xml:space="preserve">TYKERB, in combination with capecitabine, is indicated for the treatment of patients with advanced </w:t>
      </w:r>
      <w:r w:rsidRPr="000B3F7D">
        <w:rPr>
          <w:rFonts w:ascii="Arial" w:hAnsi="Arial" w:cs="Arial"/>
          <w:i/>
          <w:sz w:val="22"/>
          <w:szCs w:val="22"/>
        </w:rPr>
        <w:t>/</w:t>
      </w:r>
      <w:r w:rsidRPr="000B3F7D">
        <w:rPr>
          <w:rFonts w:ascii="Arial" w:hAnsi="Arial" w:cs="Arial"/>
          <w:sz w:val="22"/>
          <w:szCs w:val="22"/>
        </w:rPr>
        <w:t xml:space="preserve">metastatic breast cancer whose tumours overexpress HER2 (ErbB2) and </w:t>
      </w:r>
      <w:r w:rsidR="00FA3DCC" w:rsidRPr="000B3F7D">
        <w:rPr>
          <w:rFonts w:ascii="Arial" w:hAnsi="Arial" w:cs="Arial"/>
          <w:sz w:val="22"/>
          <w:szCs w:val="22"/>
        </w:rPr>
        <w:t xml:space="preserve">whose tumours have progressed after treatment with </w:t>
      </w:r>
      <w:r w:rsidRPr="000B3F7D">
        <w:rPr>
          <w:rFonts w:ascii="Arial" w:hAnsi="Arial" w:cs="Arial"/>
          <w:sz w:val="22"/>
          <w:szCs w:val="22"/>
        </w:rPr>
        <w:t xml:space="preserve">an anthracycline, a taxane and trastuzumab.   </w:t>
      </w:r>
    </w:p>
    <w:p w:rsidR="003E16C8" w:rsidRDefault="003E16C8" w:rsidP="00963C41">
      <w:pPr>
        <w:spacing w:line="300" w:lineRule="atLeast"/>
        <w:jc w:val="both"/>
        <w:rPr>
          <w:rFonts w:ascii="Arial" w:hAnsi="Arial" w:cs="Arial"/>
          <w:iCs/>
          <w:sz w:val="22"/>
          <w:szCs w:val="22"/>
          <w:lang w:val="en-US"/>
        </w:rPr>
      </w:pPr>
    </w:p>
    <w:p w:rsidR="002766FC" w:rsidRDefault="002766FC" w:rsidP="00963C41">
      <w:pPr>
        <w:spacing w:line="300" w:lineRule="atLeast"/>
        <w:jc w:val="both"/>
        <w:rPr>
          <w:rFonts w:ascii="Arial" w:hAnsi="Arial" w:cs="Arial"/>
          <w:iCs/>
          <w:sz w:val="22"/>
          <w:szCs w:val="22"/>
          <w:lang w:val="en-US"/>
        </w:rPr>
      </w:pPr>
      <w:r w:rsidRPr="002766FC">
        <w:rPr>
          <w:rFonts w:ascii="Arial" w:hAnsi="Arial" w:cs="Arial"/>
          <w:iCs/>
          <w:sz w:val="22"/>
          <w:szCs w:val="22"/>
          <w:lang w:val="en-US"/>
        </w:rPr>
        <w:t xml:space="preserve">TYKERB, in combination with </w:t>
      </w:r>
      <w:r w:rsidRPr="00963C41">
        <w:rPr>
          <w:rFonts w:ascii="Arial" w:hAnsi="Arial" w:cs="Arial"/>
          <w:iCs/>
          <w:sz w:val="22"/>
          <w:szCs w:val="22"/>
          <w:lang w:val="en-US"/>
        </w:rPr>
        <w:t>paclitaxel, is indicated for the first-line treatment of patients with metastatic breast cancer whose tumours overexpress HER2 (ErbB2) and for whom trastuzumab is not appropriate</w:t>
      </w:r>
      <w:r w:rsidR="009124C7">
        <w:rPr>
          <w:rFonts w:ascii="Arial" w:hAnsi="Arial" w:cs="Arial"/>
          <w:iCs/>
          <w:sz w:val="22"/>
          <w:szCs w:val="22"/>
          <w:lang w:val="en-US"/>
        </w:rPr>
        <w:t xml:space="preserve"> </w:t>
      </w:r>
      <w:r w:rsidR="009124C7">
        <w:rPr>
          <w:rFonts w:ascii="Arial" w:hAnsi="Arial" w:cs="Arial"/>
          <w:i/>
          <w:iCs/>
          <w:sz w:val="22"/>
          <w:szCs w:val="22"/>
          <w:lang w:val="en-US"/>
        </w:rPr>
        <w:t>(see Clinical Trials)</w:t>
      </w:r>
      <w:r w:rsidR="00963C41">
        <w:rPr>
          <w:rFonts w:ascii="Arial" w:hAnsi="Arial" w:cs="Arial"/>
          <w:iCs/>
          <w:sz w:val="22"/>
          <w:szCs w:val="22"/>
          <w:lang w:val="en-US"/>
        </w:rPr>
        <w:t>.</w:t>
      </w:r>
    </w:p>
    <w:p w:rsidR="002766FC" w:rsidRPr="00AC3DB5" w:rsidRDefault="002766FC" w:rsidP="00963C41">
      <w:pPr>
        <w:spacing w:line="300" w:lineRule="atLeast"/>
        <w:jc w:val="both"/>
        <w:rPr>
          <w:rFonts w:ascii="Arial" w:hAnsi="Arial" w:cs="Arial"/>
          <w:b/>
          <w:sz w:val="22"/>
          <w:szCs w:val="22"/>
          <w:u w:val="single"/>
          <w:lang w:val="en-US"/>
        </w:rPr>
      </w:pPr>
    </w:p>
    <w:p w:rsidR="009D4995" w:rsidRPr="000B3F7D" w:rsidRDefault="009D4995" w:rsidP="000C1256">
      <w:pPr>
        <w:spacing w:line="300" w:lineRule="atLeast"/>
        <w:rPr>
          <w:rFonts w:ascii="Arial" w:hAnsi="Arial" w:cs="Arial"/>
          <w:b/>
          <w:i/>
          <w:sz w:val="22"/>
          <w:szCs w:val="22"/>
          <w:u w:val="single"/>
          <w:lang w:val="en-US"/>
        </w:rPr>
      </w:pPr>
    </w:p>
    <w:p w:rsidR="00F6584A" w:rsidRPr="000B3F7D" w:rsidRDefault="00F6584A" w:rsidP="007763C8">
      <w:pPr>
        <w:spacing w:line="240" w:lineRule="atLeast"/>
        <w:rPr>
          <w:rFonts w:ascii="Arial" w:hAnsi="Arial" w:cs="Arial"/>
          <w:b/>
          <w:sz w:val="22"/>
          <w:szCs w:val="22"/>
          <w:lang w:val="en-US"/>
        </w:rPr>
      </w:pPr>
      <w:r w:rsidRPr="000B3F7D">
        <w:rPr>
          <w:rFonts w:ascii="Arial" w:hAnsi="Arial" w:cs="Arial"/>
          <w:b/>
          <w:sz w:val="22"/>
          <w:szCs w:val="22"/>
          <w:lang w:val="en-US"/>
        </w:rPr>
        <w:t>CONTRAINDICATIONS</w:t>
      </w:r>
    </w:p>
    <w:p w:rsidR="00D70D33" w:rsidRPr="000B3F7D" w:rsidRDefault="00D70D33" w:rsidP="004F292D">
      <w:pPr>
        <w:jc w:val="both"/>
        <w:rPr>
          <w:rStyle w:val="CSIchar"/>
          <w:rFonts w:ascii="Arial" w:hAnsi="Arial" w:cs="Arial"/>
          <w:sz w:val="22"/>
          <w:szCs w:val="22"/>
          <w:shd w:val="clear" w:color="auto" w:fill="auto"/>
        </w:rPr>
      </w:pPr>
      <w:r w:rsidRPr="000B3F7D">
        <w:rPr>
          <w:rStyle w:val="CSIchar"/>
          <w:rFonts w:ascii="Arial" w:hAnsi="Arial" w:cs="Arial"/>
          <w:sz w:val="22"/>
          <w:szCs w:val="22"/>
          <w:shd w:val="clear" w:color="auto" w:fill="auto"/>
        </w:rPr>
        <w:t xml:space="preserve">TYKERB is contraindicated in patients with hypersensitivity to any of the ingredients </w:t>
      </w:r>
      <w:r w:rsidRPr="000B3F7D">
        <w:rPr>
          <w:rStyle w:val="CSIchar"/>
          <w:rFonts w:ascii="Arial" w:hAnsi="Arial" w:cs="Arial"/>
          <w:i/>
          <w:sz w:val="22"/>
          <w:szCs w:val="22"/>
          <w:shd w:val="clear" w:color="auto" w:fill="auto"/>
        </w:rPr>
        <w:t>(see Description and Adverse Events)</w:t>
      </w:r>
      <w:r w:rsidRPr="000B3F7D">
        <w:rPr>
          <w:rStyle w:val="CSIchar"/>
          <w:rFonts w:ascii="Arial" w:hAnsi="Arial" w:cs="Arial"/>
          <w:sz w:val="22"/>
          <w:szCs w:val="22"/>
          <w:shd w:val="clear" w:color="auto" w:fill="auto"/>
        </w:rPr>
        <w:t>.</w:t>
      </w:r>
    </w:p>
    <w:p w:rsidR="00F6584A" w:rsidRPr="000B3F7D" w:rsidRDefault="00F6584A" w:rsidP="000C1256">
      <w:pPr>
        <w:pStyle w:val="Text"/>
        <w:spacing w:after="0"/>
        <w:rPr>
          <w:rFonts w:ascii="Arial" w:hAnsi="Arial" w:cs="Arial"/>
          <w:sz w:val="22"/>
          <w:szCs w:val="22"/>
        </w:rPr>
      </w:pPr>
    </w:p>
    <w:p w:rsidR="007763C8" w:rsidRPr="000B3F7D" w:rsidRDefault="007763C8" w:rsidP="000C1256">
      <w:pPr>
        <w:pStyle w:val="Text"/>
        <w:spacing w:after="0"/>
        <w:rPr>
          <w:rFonts w:ascii="Arial" w:hAnsi="Arial" w:cs="Arial"/>
          <w:sz w:val="22"/>
          <w:szCs w:val="22"/>
        </w:rPr>
      </w:pPr>
    </w:p>
    <w:p w:rsidR="00F6584A" w:rsidRPr="000B3F7D" w:rsidRDefault="00F6584A" w:rsidP="007763C8">
      <w:pPr>
        <w:pStyle w:val="Text"/>
        <w:spacing w:after="0"/>
        <w:rPr>
          <w:rFonts w:ascii="Arial" w:hAnsi="Arial" w:cs="Arial"/>
          <w:sz w:val="22"/>
          <w:szCs w:val="22"/>
        </w:rPr>
      </w:pPr>
      <w:r w:rsidRPr="000B3F7D">
        <w:rPr>
          <w:rFonts w:ascii="Arial" w:hAnsi="Arial" w:cs="Arial"/>
          <w:b/>
          <w:sz w:val="22"/>
          <w:szCs w:val="22"/>
          <w:lang w:val="en-US"/>
        </w:rPr>
        <w:t>PRECAUTIONS</w:t>
      </w:r>
    </w:p>
    <w:p w:rsidR="00F6584A" w:rsidRPr="000B3F7D" w:rsidRDefault="00F6584A" w:rsidP="007763C8">
      <w:pPr>
        <w:pStyle w:val="Text"/>
        <w:spacing w:after="0"/>
        <w:jc w:val="both"/>
        <w:rPr>
          <w:rStyle w:val="CSIchar"/>
          <w:rFonts w:ascii="Arial" w:hAnsi="Arial" w:cs="Arial"/>
          <w:sz w:val="22"/>
          <w:szCs w:val="22"/>
          <w:shd w:val="clear" w:color="auto" w:fill="auto"/>
        </w:rPr>
      </w:pPr>
      <w:r w:rsidRPr="000B3F7D">
        <w:rPr>
          <w:rFonts w:ascii="Arial" w:hAnsi="Arial" w:cs="Arial"/>
          <w:sz w:val="22"/>
          <w:szCs w:val="22"/>
        </w:rPr>
        <w:t>TYKERB</w:t>
      </w:r>
      <w:r w:rsidRPr="000B3F7D">
        <w:rPr>
          <w:rStyle w:val="CSIchar"/>
          <w:rFonts w:ascii="Arial" w:hAnsi="Arial" w:cs="Arial"/>
          <w:sz w:val="22"/>
          <w:szCs w:val="22"/>
          <w:shd w:val="clear" w:color="auto" w:fill="auto"/>
        </w:rPr>
        <w:t xml:space="preserve"> has been associated with reports of decreases in left ventricular ejection fraction [LVEF] (</w:t>
      </w:r>
      <w:r w:rsidRPr="000B3F7D">
        <w:rPr>
          <w:rStyle w:val="CSIchar"/>
          <w:rFonts w:ascii="Arial" w:hAnsi="Arial" w:cs="Arial"/>
          <w:i/>
          <w:iCs/>
          <w:sz w:val="22"/>
          <w:szCs w:val="22"/>
          <w:shd w:val="clear" w:color="auto" w:fill="auto"/>
        </w:rPr>
        <w:t>see Adverse Events</w:t>
      </w:r>
      <w:r w:rsidRPr="000B3F7D">
        <w:rPr>
          <w:rStyle w:val="CSIchar"/>
          <w:rFonts w:ascii="Arial" w:hAnsi="Arial" w:cs="Arial"/>
          <w:sz w:val="22"/>
          <w:szCs w:val="22"/>
          <w:shd w:val="clear" w:color="auto" w:fill="auto"/>
        </w:rPr>
        <w:t xml:space="preserve">).  Caution should be taken if </w:t>
      </w:r>
      <w:r w:rsidRPr="000B3F7D">
        <w:rPr>
          <w:rFonts w:ascii="Arial" w:hAnsi="Arial" w:cs="Arial"/>
          <w:sz w:val="22"/>
          <w:szCs w:val="22"/>
        </w:rPr>
        <w:t>TYKERB</w:t>
      </w:r>
      <w:r w:rsidRPr="000B3F7D">
        <w:rPr>
          <w:rStyle w:val="CSIchar"/>
          <w:rFonts w:ascii="Arial" w:hAnsi="Arial" w:cs="Arial"/>
          <w:sz w:val="22"/>
          <w:szCs w:val="22"/>
          <w:shd w:val="clear" w:color="auto" w:fill="auto"/>
        </w:rPr>
        <w:t xml:space="preserve"> is to be administered to patients with conditions that could impair left ventricular function.  LVEF should be evaluated in all patients prior to initiation of treatment with </w:t>
      </w:r>
      <w:r w:rsidRPr="000B3F7D">
        <w:rPr>
          <w:rFonts w:ascii="Arial" w:hAnsi="Arial" w:cs="Arial"/>
          <w:sz w:val="22"/>
          <w:szCs w:val="22"/>
        </w:rPr>
        <w:t>TYKERB</w:t>
      </w:r>
      <w:r w:rsidRPr="000B3F7D">
        <w:rPr>
          <w:rStyle w:val="CSIchar"/>
          <w:rFonts w:ascii="Arial" w:hAnsi="Arial" w:cs="Arial"/>
          <w:sz w:val="22"/>
          <w:szCs w:val="22"/>
          <w:shd w:val="clear" w:color="auto" w:fill="auto"/>
        </w:rPr>
        <w:t xml:space="preserve"> to ensure that the patient has a baseline LVEF that is within the institutions normal limits. </w:t>
      </w:r>
      <w:r w:rsidR="001D72CC" w:rsidRPr="000B3F7D">
        <w:rPr>
          <w:rStyle w:val="CSIchar"/>
          <w:rFonts w:ascii="Arial" w:hAnsi="Arial" w:cs="Arial"/>
          <w:sz w:val="22"/>
          <w:szCs w:val="22"/>
          <w:shd w:val="clear" w:color="auto" w:fill="auto"/>
        </w:rPr>
        <w:t xml:space="preserve"> </w:t>
      </w:r>
      <w:r w:rsidRPr="000B3F7D">
        <w:rPr>
          <w:rStyle w:val="CSIchar"/>
          <w:rFonts w:ascii="Arial" w:hAnsi="Arial" w:cs="Arial"/>
          <w:sz w:val="22"/>
          <w:szCs w:val="22"/>
          <w:shd w:val="clear" w:color="auto" w:fill="auto"/>
        </w:rPr>
        <w:t>LVEF should be evaluated during treatment with TYKERB; this should be performed prior to the initiation of therapy and then approximately 8-12 week intervals to ensure that LVEF does not d</w:t>
      </w:r>
      <w:r w:rsidR="001D72CC" w:rsidRPr="000B3F7D">
        <w:rPr>
          <w:rStyle w:val="CSIchar"/>
          <w:rFonts w:ascii="Arial" w:hAnsi="Arial" w:cs="Arial"/>
          <w:sz w:val="22"/>
          <w:szCs w:val="22"/>
          <w:shd w:val="clear" w:color="auto" w:fill="auto"/>
        </w:rPr>
        <w:t>ecline to an unacceptable level</w:t>
      </w:r>
      <w:r w:rsidRPr="000B3F7D">
        <w:rPr>
          <w:rStyle w:val="CSIchar"/>
          <w:rFonts w:ascii="Arial" w:hAnsi="Arial" w:cs="Arial"/>
          <w:sz w:val="22"/>
          <w:szCs w:val="22"/>
          <w:shd w:val="clear" w:color="auto" w:fill="auto"/>
        </w:rPr>
        <w:t xml:space="preserve"> (</w:t>
      </w:r>
      <w:r w:rsidRPr="000B3F7D">
        <w:rPr>
          <w:rStyle w:val="CSIchar"/>
          <w:rFonts w:ascii="Arial" w:hAnsi="Arial" w:cs="Arial"/>
          <w:i/>
          <w:iCs/>
          <w:sz w:val="22"/>
          <w:szCs w:val="22"/>
          <w:shd w:val="clear" w:color="auto" w:fill="auto"/>
        </w:rPr>
        <w:t xml:space="preserve">see Dosage and Administration — Dose delay and dose reduction — </w:t>
      </w:r>
      <w:r w:rsidR="005E246B" w:rsidRPr="000B3F7D">
        <w:rPr>
          <w:rStyle w:val="CSIchar"/>
          <w:rFonts w:ascii="Arial" w:hAnsi="Arial" w:cs="Arial"/>
          <w:i/>
          <w:iCs/>
          <w:sz w:val="22"/>
          <w:szCs w:val="22"/>
          <w:shd w:val="clear" w:color="auto" w:fill="auto"/>
        </w:rPr>
        <w:t>C</w:t>
      </w:r>
      <w:r w:rsidRPr="000B3F7D">
        <w:rPr>
          <w:rStyle w:val="CSIchar"/>
          <w:rFonts w:ascii="Arial" w:hAnsi="Arial" w:cs="Arial"/>
          <w:i/>
          <w:iCs/>
          <w:sz w:val="22"/>
          <w:szCs w:val="22"/>
          <w:shd w:val="clear" w:color="auto" w:fill="auto"/>
        </w:rPr>
        <w:t>ardiac events and Clinical Trials</w:t>
      </w:r>
      <w:r w:rsidRPr="000B3F7D">
        <w:rPr>
          <w:rStyle w:val="CSIchar"/>
          <w:rFonts w:ascii="Arial" w:hAnsi="Arial" w:cs="Arial"/>
          <w:sz w:val="22"/>
          <w:szCs w:val="22"/>
          <w:shd w:val="clear" w:color="auto" w:fill="auto"/>
        </w:rPr>
        <w:t>).</w:t>
      </w:r>
      <w:r w:rsidR="00C52430" w:rsidRPr="000B3F7D">
        <w:rPr>
          <w:rStyle w:val="CSIchar"/>
          <w:rFonts w:ascii="Arial" w:hAnsi="Arial" w:cs="Arial"/>
          <w:sz w:val="22"/>
          <w:szCs w:val="22"/>
          <w:shd w:val="clear" w:color="auto" w:fill="auto"/>
        </w:rPr>
        <w:t xml:space="preserve">  </w:t>
      </w:r>
    </w:p>
    <w:p w:rsidR="00F6584A" w:rsidRPr="000B3F7D" w:rsidRDefault="00F6584A" w:rsidP="007763C8">
      <w:pPr>
        <w:pStyle w:val="Text"/>
        <w:spacing w:after="0"/>
        <w:rPr>
          <w:rStyle w:val="CSIchar"/>
          <w:rFonts w:ascii="Arial" w:hAnsi="Arial" w:cs="Arial"/>
          <w:sz w:val="22"/>
          <w:szCs w:val="22"/>
          <w:shd w:val="clear" w:color="auto" w:fill="auto"/>
        </w:rPr>
      </w:pPr>
    </w:p>
    <w:p w:rsidR="00F6584A" w:rsidRPr="000B3F7D" w:rsidRDefault="00F6584A" w:rsidP="007763C8">
      <w:pPr>
        <w:pStyle w:val="Text"/>
        <w:spacing w:after="0"/>
        <w:jc w:val="both"/>
        <w:rPr>
          <w:rStyle w:val="CSIchar"/>
          <w:rFonts w:ascii="Arial" w:hAnsi="Arial" w:cs="Arial"/>
          <w:sz w:val="22"/>
          <w:szCs w:val="22"/>
          <w:shd w:val="clear" w:color="auto" w:fill="auto"/>
        </w:rPr>
      </w:pPr>
      <w:r w:rsidRPr="000B3F7D">
        <w:rPr>
          <w:rStyle w:val="CSIchar"/>
          <w:rFonts w:ascii="Arial" w:hAnsi="Arial" w:cs="Arial"/>
          <w:sz w:val="22"/>
          <w:szCs w:val="22"/>
          <w:shd w:val="clear" w:color="auto" w:fill="auto"/>
        </w:rPr>
        <w:t>TYKERB has been associated with reports of interstitial lung disease and pneumonitis (</w:t>
      </w:r>
      <w:r w:rsidRPr="000B3F7D">
        <w:rPr>
          <w:rStyle w:val="CSIchar"/>
          <w:rFonts w:ascii="Arial" w:hAnsi="Arial" w:cs="Arial"/>
          <w:i/>
          <w:sz w:val="22"/>
          <w:szCs w:val="22"/>
          <w:shd w:val="clear" w:color="auto" w:fill="auto"/>
        </w:rPr>
        <w:t>see Adverse Events</w:t>
      </w:r>
      <w:r w:rsidRPr="000B3F7D">
        <w:rPr>
          <w:rStyle w:val="CSIchar"/>
          <w:rFonts w:ascii="Arial" w:hAnsi="Arial" w:cs="Arial"/>
          <w:sz w:val="22"/>
          <w:szCs w:val="22"/>
          <w:shd w:val="clear" w:color="auto" w:fill="auto"/>
        </w:rPr>
        <w:t>).  Patients should be monitored for pulmonary symptoms indicative of interstitial lung disease/pneumonitis (</w:t>
      </w:r>
      <w:r w:rsidRPr="000B3F7D">
        <w:rPr>
          <w:rStyle w:val="CSIchar"/>
          <w:rFonts w:ascii="Arial" w:hAnsi="Arial" w:cs="Arial"/>
          <w:i/>
          <w:sz w:val="22"/>
          <w:szCs w:val="22"/>
          <w:shd w:val="clear" w:color="auto" w:fill="auto"/>
        </w:rPr>
        <w:t>see Dosage and Administration</w:t>
      </w:r>
      <w:r w:rsidRPr="000B3F7D">
        <w:rPr>
          <w:rStyle w:val="CSIchar"/>
          <w:rFonts w:ascii="Arial" w:hAnsi="Arial" w:cs="Arial"/>
          <w:sz w:val="22"/>
          <w:szCs w:val="22"/>
          <w:shd w:val="clear" w:color="auto" w:fill="auto"/>
        </w:rPr>
        <w:t>)</w:t>
      </w:r>
      <w:r w:rsidR="00350A73" w:rsidRPr="000B3F7D">
        <w:rPr>
          <w:rStyle w:val="CSIchar"/>
          <w:rFonts w:ascii="Arial" w:hAnsi="Arial" w:cs="Arial"/>
          <w:sz w:val="22"/>
          <w:szCs w:val="22"/>
          <w:shd w:val="clear" w:color="auto" w:fill="auto"/>
        </w:rPr>
        <w:t>.</w:t>
      </w:r>
    </w:p>
    <w:p w:rsidR="00841FD9" w:rsidRPr="000B3F7D" w:rsidRDefault="00841FD9" w:rsidP="007763C8">
      <w:pPr>
        <w:pStyle w:val="Text"/>
        <w:spacing w:after="0"/>
        <w:jc w:val="both"/>
        <w:rPr>
          <w:rStyle w:val="CSIchar"/>
          <w:rFonts w:ascii="Arial" w:hAnsi="Arial" w:cs="Arial"/>
          <w:sz w:val="22"/>
          <w:szCs w:val="22"/>
          <w:shd w:val="clear" w:color="auto" w:fill="auto"/>
        </w:rPr>
      </w:pPr>
    </w:p>
    <w:p w:rsidR="00F6584A" w:rsidRPr="000B3F7D" w:rsidRDefault="0071575F" w:rsidP="00C9790B">
      <w:pPr>
        <w:pStyle w:val="Postspace"/>
        <w:rPr>
          <w:rStyle w:val="CSIchar"/>
          <w:highlight w:val="yellow"/>
        </w:rPr>
      </w:pPr>
      <w:bookmarkStart w:id="4" w:name="OLE_LINK1"/>
      <w:r w:rsidRPr="000B3F7D">
        <w:rPr>
          <w:rStyle w:val="CSIchar"/>
          <w:shd w:val="clear" w:color="auto" w:fill="auto"/>
        </w:rPr>
        <w:t xml:space="preserve">Hepatotoxicity (ALT or AST &gt;3 times the upper limit of normal and total bilirubin &gt;1.5 times the upper limit of normal) has been observed </w:t>
      </w:r>
      <w:r w:rsidRPr="000B3F7D">
        <w:rPr>
          <w:rStyle w:val="CSIchar"/>
          <w:rFonts w:eastAsia="Batang"/>
          <w:shd w:val="clear" w:color="auto" w:fill="auto"/>
        </w:rPr>
        <w:t xml:space="preserve">in clinical trials </w:t>
      </w:r>
      <w:r w:rsidRPr="000B3F7D">
        <w:rPr>
          <w:rStyle w:val="CSIchar"/>
          <w:shd w:val="clear" w:color="auto" w:fill="auto"/>
        </w:rPr>
        <w:t xml:space="preserve">(&lt;1% of patients) </w:t>
      </w:r>
      <w:r w:rsidRPr="000B3F7D">
        <w:rPr>
          <w:rStyle w:val="CSIchar"/>
          <w:rFonts w:eastAsia="Batang"/>
          <w:shd w:val="clear" w:color="auto" w:fill="auto"/>
        </w:rPr>
        <w:t>and postmarketing experience.</w:t>
      </w:r>
      <w:r w:rsidRPr="000B3F7D">
        <w:rPr>
          <w:rStyle w:val="CSIchar"/>
          <w:shd w:val="clear" w:color="auto" w:fill="auto"/>
        </w:rPr>
        <w:t xml:space="preserve">  The hepatotoxicity may be severe and deaths have been reported, although the relationship to TYKERB is uncertain.  The hepatotoxicity may occur days to several months after initiation of treatment.  Liver function tests (transaminases, bilirubin, and alkaline phosphatase) should be monitored before initiation of treatment, every 4 to 6 weeks during treatment, and as clinically indicated.  If changes in liver function are severe, therapy with TYKERB should be discontinued and patients should not be retreated with TYKERB (</w:t>
      </w:r>
      <w:r w:rsidRPr="008452D7">
        <w:rPr>
          <w:rStyle w:val="CSIchar"/>
          <w:i/>
          <w:shd w:val="clear" w:color="auto" w:fill="auto"/>
        </w:rPr>
        <w:t xml:space="preserve">see Adverse </w:t>
      </w:r>
      <w:r w:rsidR="006E3F52" w:rsidRPr="008452D7">
        <w:rPr>
          <w:rStyle w:val="CSIchar"/>
          <w:i/>
          <w:shd w:val="clear" w:color="auto" w:fill="auto"/>
        </w:rPr>
        <w:t>Events</w:t>
      </w:r>
      <w:r w:rsidRPr="000B3F7D">
        <w:rPr>
          <w:rStyle w:val="CSIchar"/>
          <w:shd w:val="clear" w:color="auto" w:fill="auto"/>
        </w:rPr>
        <w:t>).</w:t>
      </w:r>
      <w:bookmarkEnd w:id="4"/>
    </w:p>
    <w:p w:rsidR="00025F17" w:rsidRPr="000B3F7D" w:rsidRDefault="00025F17" w:rsidP="007763C8">
      <w:pPr>
        <w:pStyle w:val="Text"/>
        <w:spacing w:after="0"/>
        <w:rPr>
          <w:rStyle w:val="CSIchar"/>
          <w:rFonts w:ascii="Arial" w:hAnsi="Arial" w:cs="Arial"/>
          <w:sz w:val="22"/>
          <w:szCs w:val="22"/>
          <w:u w:val="single"/>
          <w:shd w:val="clear" w:color="auto" w:fill="auto"/>
        </w:rPr>
      </w:pPr>
    </w:p>
    <w:p w:rsidR="00F6584A" w:rsidRPr="00DB2420" w:rsidRDefault="00F6584A" w:rsidP="00802834">
      <w:pPr>
        <w:pStyle w:val="Text"/>
        <w:spacing w:after="0"/>
        <w:jc w:val="both"/>
        <w:rPr>
          <w:rStyle w:val="CSIchar"/>
          <w:rFonts w:ascii="Arial" w:hAnsi="Arial" w:cs="Arial"/>
          <w:sz w:val="22"/>
          <w:szCs w:val="22"/>
          <w:shd w:val="clear" w:color="auto" w:fill="auto"/>
        </w:rPr>
      </w:pPr>
      <w:r w:rsidRPr="000B3F7D">
        <w:rPr>
          <w:rStyle w:val="CSIchar"/>
          <w:rFonts w:ascii="Arial" w:hAnsi="Arial" w:cs="Arial"/>
          <w:sz w:val="22"/>
          <w:szCs w:val="22"/>
          <w:shd w:val="clear" w:color="auto" w:fill="auto"/>
        </w:rPr>
        <w:t xml:space="preserve">Diarrhoea, including severe diarrhoea, has been reported with </w:t>
      </w:r>
      <w:r w:rsidRPr="000B3F7D">
        <w:rPr>
          <w:rFonts w:ascii="Arial" w:hAnsi="Arial" w:cs="Arial"/>
          <w:sz w:val="22"/>
          <w:szCs w:val="22"/>
        </w:rPr>
        <w:t>TYKERB</w:t>
      </w:r>
      <w:r w:rsidRPr="000B3F7D">
        <w:rPr>
          <w:rStyle w:val="CSIchar"/>
          <w:rFonts w:ascii="Arial" w:hAnsi="Arial" w:cs="Arial"/>
          <w:sz w:val="22"/>
          <w:szCs w:val="22"/>
          <w:shd w:val="clear" w:color="auto" w:fill="auto"/>
        </w:rPr>
        <w:t xml:space="preserve"> treatment (</w:t>
      </w:r>
      <w:r w:rsidRPr="000B3F7D">
        <w:rPr>
          <w:rStyle w:val="CSIchar"/>
          <w:rFonts w:ascii="Arial" w:hAnsi="Arial" w:cs="Arial"/>
          <w:i/>
          <w:iCs/>
          <w:sz w:val="22"/>
          <w:szCs w:val="22"/>
          <w:shd w:val="clear" w:color="auto" w:fill="auto"/>
        </w:rPr>
        <w:t xml:space="preserve">see Adverse </w:t>
      </w:r>
      <w:r w:rsidR="00C557BD" w:rsidRPr="000B3F7D">
        <w:rPr>
          <w:rStyle w:val="CSIchar"/>
          <w:rFonts w:ascii="Arial" w:hAnsi="Arial" w:cs="Arial"/>
          <w:i/>
          <w:iCs/>
          <w:sz w:val="22"/>
          <w:szCs w:val="22"/>
          <w:shd w:val="clear" w:color="auto" w:fill="auto"/>
        </w:rPr>
        <w:t>Events</w:t>
      </w:r>
      <w:r w:rsidRPr="000B3F7D">
        <w:rPr>
          <w:rStyle w:val="CSIchar"/>
          <w:rFonts w:ascii="Arial" w:hAnsi="Arial" w:cs="Arial"/>
          <w:sz w:val="22"/>
          <w:szCs w:val="22"/>
          <w:shd w:val="clear" w:color="auto" w:fill="auto"/>
        </w:rPr>
        <w:t xml:space="preserve">). </w:t>
      </w:r>
      <w:r w:rsidR="00350A73" w:rsidRPr="000B3F7D">
        <w:rPr>
          <w:rStyle w:val="CSIchar"/>
          <w:rFonts w:ascii="Arial" w:hAnsi="Arial" w:cs="Arial"/>
          <w:sz w:val="22"/>
          <w:szCs w:val="22"/>
          <w:shd w:val="clear" w:color="auto" w:fill="auto"/>
        </w:rPr>
        <w:t xml:space="preserve"> </w:t>
      </w:r>
      <w:r w:rsidR="002B2F5A">
        <w:rPr>
          <w:rStyle w:val="CSIchar"/>
          <w:rFonts w:ascii="Arial" w:hAnsi="Arial" w:cs="Arial"/>
          <w:sz w:val="22"/>
          <w:szCs w:val="22"/>
          <w:shd w:val="clear" w:color="auto" w:fill="auto"/>
        </w:rPr>
        <w:t>Early identification and intervention is critical for the optimal management of diarrhoea.  Patients should be instructed to report any change in bowel patterns immediately.  Prompt treatment</w:t>
      </w:r>
      <w:r w:rsidRPr="000B3F7D">
        <w:rPr>
          <w:rStyle w:val="CSIchar"/>
          <w:rFonts w:ascii="Arial" w:hAnsi="Arial" w:cs="Arial"/>
          <w:sz w:val="22"/>
          <w:szCs w:val="22"/>
          <w:shd w:val="clear" w:color="auto" w:fill="auto"/>
        </w:rPr>
        <w:t xml:space="preserve"> of diarrhoea with anti-diarrhoeal agents </w:t>
      </w:r>
      <w:r w:rsidR="002B2F5A">
        <w:rPr>
          <w:rStyle w:val="CSIchar"/>
          <w:rFonts w:ascii="Arial" w:hAnsi="Arial" w:cs="Arial"/>
          <w:sz w:val="22"/>
          <w:szCs w:val="22"/>
          <w:shd w:val="clear" w:color="auto" w:fill="auto"/>
        </w:rPr>
        <w:t>(such as loperamide) after the first unformed stool is recommended</w:t>
      </w:r>
      <w:r w:rsidRPr="000B3F7D">
        <w:rPr>
          <w:rStyle w:val="CSIchar"/>
          <w:rFonts w:ascii="Arial" w:hAnsi="Arial" w:cs="Arial"/>
          <w:sz w:val="22"/>
          <w:szCs w:val="22"/>
          <w:shd w:val="clear" w:color="auto" w:fill="auto"/>
        </w:rPr>
        <w:t xml:space="preserve">. Severe cases of diarrhoea may require administration of oral or intravenous </w:t>
      </w:r>
      <w:r w:rsidRPr="00DB2420">
        <w:rPr>
          <w:rStyle w:val="CSIchar"/>
          <w:rFonts w:ascii="Arial" w:hAnsi="Arial" w:cs="Arial"/>
          <w:sz w:val="22"/>
          <w:szCs w:val="22"/>
          <w:shd w:val="clear" w:color="auto" w:fill="auto"/>
        </w:rPr>
        <w:t xml:space="preserve">electrolytes and fluids, and interruption or discontinuation of </w:t>
      </w:r>
      <w:r w:rsidRPr="00DB2420">
        <w:rPr>
          <w:rFonts w:ascii="Arial" w:hAnsi="Arial" w:cs="Arial"/>
          <w:sz w:val="22"/>
          <w:szCs w:val="22"/>
        </w:rPr>
        <w:t>TYKERB</w:t>
      </w:r>
      <w:r w:rsidRPr="00DB2420">
        <w:rPr>
          <w:rStyle w:val="CSIchar"/>
          <w:rFonts w:ascii="Arial" w:hAnsi="Arial" w:cs="Arial"/>
          <w:sz w:val="22"/>
          <w:szCs w:val="22"/>
          <w:shd w:val="clear" w:color="auto" w:fill="auto"/>
        </w:rPr>
        <w:t xml:space="preserve"> therapy (</w:t>
      </w:r>
      <w:r w:rsidRPr="00DB2420">
        <w:rPr>
          <w:rStyle w:val="CSIchar"/>
          <w:rFonts w:ascii="Arial" w:hAnsi="Arial" w:cs="Arial"/>
          <w:i/>
          <w:iCs/>
          <w:sz w:val="22"/>
          <w:szCs w:val="22"/>
          <w:shd w:val="clear" w:color="auto" w:fill="auto"/>
        </w:rPr>
        <w:t>see Dosage and Administration</w:t>
      </w:r>
      <w:bookmarkStart w:id="5" w:name="_DV_C6"/>
      <w:r w:rsidRPr="00DB2420">
        <w:rPr>
          <w:rStyle w:val="DeltaViewInsertion"/>
          <w:rFonts w:ascii="Arial" w:hAnsi="Arial" w:cs="Arial"/>
          <w:color w:val="auto"/>
          <w:sz w:val="22"/>
          <w:szCs w:val="22"/>
        </w:rPr>
        <w:t xml:space="preserve"> </w:t>
      </w:r>
      <w:r w:rsidRPr="00DB2420">
        <w:rPr>
          <w:rStyle w:val="DeltaViewInsertion"/>
          <w:rFonts w:ascii="Arial" w:hAnsi="Arial" w:cs="Arial"/>
          <w:b w:val="0"/>
          <w:color w:val="auto"/>
          <w:sz w:val="22"/>
          <w:szCs w:val="22"/>
        </w:rPr>
        <w:t xml:space="preserve">— Dose delay and dose reduction — </w:t>
      </w:r>
      <w:r w:rsidR="005E246B" w:rsidRPr="00DB2420">
        <w:rPr>
          <w:rStyle w:val="DeltaViewInsertion"/>
          <w:rFonts w:ascii="Arial" w:hAnsi="Arial" w:cs="Arial"/>
          <w:b w:val="0"/>
          <w:color w:val="auto"/>
          <w:sz w:val="22"/>
          <w:szCs w:val="22"/>
        </w:rPr>
        <w:t>O</w:t>
      </w:r>
      <w:r w:rsidRPr="00DB2420">
        <w:rPr>
          <w:rStyle w:val="DeltaViewInsertion"/>
          <w:rFonts w:ascii="Arial" w:hAnsi="Arial" w:cs="Arial"/>
          <w:b w:val="0"/>
          <w:color w:val="auto"/>
          <w:sz w:val="22"/>
          <w:szCs w:val="22"/>
        </w:rPr>
        <w:t>ther toxicities</w:t>
      </w:r>
      <w:bookmarkStart w:id="6" w:name="_DV_M70"/>
      <w:bookmarkEnd w:id="5"/>
      <w:bookmarkEnd w:id="6"/>
      <w:r w:rsidRPr="00DB2420">
        <w:rPr>
          <w:rStyle w:val="CSIchar"/>
          <w:rFonts w:ascii="Arial" w:hAnsi="Arial" w:cs="Arial"/>
          <w:sz w:val="22"/>
          <w:szCs w:val="22"/>
          <w:shd w:val="clear" w:color="auto" w:fill="auto"/>
        </w:rPr>
        <w:t>).</w:t>
      </w:r>
    </w:p>
    <w:p w:rsidR="00F6584A" w:rsidRDefault="00F6584A" w:rsidP="00802834">
      <w:pPr>
        <w:pStyle w:val="Text"/>
        <w:spacing w:after="0"/>
        <w:jc w:val="both"/>
        <w:rPr>
          <w:rStyle w:val="CSIchar"/>
          <w:rFonts w:ascii="Arial" w:hAnsi="Arial" w:cs="Arial"/>
          <w:sz w:val="22"/>
          <w:szCs w:val="22"/>
          <w:shd w:val="clear" w:color="auto" w:fill="auto"/>
        </w:rPr>
      </w:pPr>
    </w:p>
    <w:p w:rsidR="00DA5BE2" w:rsidRDefault="00DA5BE2" w:rsidP="00802834">
      <w:pPr>
        <w:jc w:val="both"/>
        <w:rPr>
          <w:rStyle w:val="CSIchar"/>
          <w:rFonts w:ascii="Arial" w:hAnsi="Arial" w:cs="Arial"/>
          <w:sz w:val="22"/>
          <w:szCs w:val="22"/>
          <w:shd w:val="clear" w:color="auto" w:fill="auto"/>
        </w:rPr>
      </w:pPr>
      <w:r>
        <w:rPr>
          <w:rStyle w:val="CSIchar"/>
          <w:rFonts w:ascii="Arial" w:hAnsi="Arial" w:cs="Arial"/>
          <w:sz w:val="22"/>
          <w:szCs w:val="22"/>
          <w:shd w:val="clear" w:color="auto" w:fill="auto"/>
        </w:rPr>
        <w:t>Neutropenia has been reported with TYKERB administered in combination with paclitaxel (</w:t>
      </w:r>
      <w:r w:rsidRPr="00AB11C9">
        <w:rPr>
          <w:rStyle w:val="CSIchar"/>
          <w:rFonts w:ascii="Arial" w:hAnsi="Arial" w:cs="Arial"/>
          <w:i/>
          <w:sz w:val="22"/>
          <w:szCs w:val="22"/>
          <w:shd w:val="clear" w:color="auto" w:fill="auto"/>
        </w:rPr>
        <w:t>see Adverse Events and Interactions</w:t>
      </w:r>
      <w:r>
        <w:rPr>
          <w:rStyle w:val="CSIchar"/>
          <w:rFonts w:ascii="Arial" w:hAnsi="Arial" w:cs="Arial"/>
          <w:sz w:val="22"/>
          <w:szCs w:val="22"/>
          <w:shd w:val="clear" w:color="auto" w:fill="auto"/>
        </w:rPr>
        <w:t>). Complete blood counts should be monitored regularly during treatment with this combination.</w:t>
      </w:r>
      <w:r w:rsidR="005E7A38">
        <w:rPr>
          <w:rStyle w:val="CSIchar"/>
          <w:rFonts w:ascii="Arial" w:hAnsi="Arial" w:cs="Arial"/>
          <w:sz w:val="22"/>
          <w:szCs w:val="22"/>
          <w:shd w:val="clear" w:color="auto" w:fill="auto"/>
        </w:rPr>
        <w:t xml:space="preserve"> </w:t>
      </w:r>
      <w:r w:rsidR="005E7A38" w:rsidRPr="005E7A38">
        <w:rPr>
          <w:rStyle w:val="CSIchar"/>
          <w:rFonts w:ascii="Arial" w:hAnsi="Arial" w:cs="Arial"/>
          <w:i/>
          <w:sz w:val="22"/>
          <w:szCs w:val="22"/>
          <w:shd w:val="clear" w:color="auto" w:fill="auto"/>
        </w:rPr>
        <w:t xml:space="preserve"> </w:t>
      </w:r>
      <w:r w:rsidR="005E7A38">
        <w:rPr>
          <w:rStyle w:val="CSIchar"/>
          <w:rFonts w:ascii="Arial" w:hAnsi="Arial" w:cs="Arial"/>
          <w:i/>
          <w:sz w:val="22"/>
          <w:szCs w:val="22"/>
          <w:shd w:val="clear" w:color="auto" w:fill="auto"/>
        </w:rPr>
        <w:t>(see Dosage and Administration – Dose Delay and dose reduction – administration with paclitaxel).</w:t>
      </w:r>
    </w:p>
    <w:p w:rsidR="00DA5BE2" w:rsidRPr="00DB2420" w:rsidRDefault="00DA5BE2" w:rsidP="00802834">
      <w:pPr>
        <w:pStyle w:val="Text"/>
        <w:spacing w:after="0"/>
        <w:jc w:val="both"/>
        <w:rPr>
          <w:rStyle w:val="CSIchar"/>
          <w:rFonts w:ascii="Arial" w:hAnsi="Arial" w:cs="Arial"/>
          <w:sz w:val="22"/>
          <w:szCs w:val="22"/>
          <w:shd w:val="clear" w:color="auto" w:fill="auto"/>
        </w:rPr>
      </w:pPr>
    </w:p>
    <w:p w:rsidR="00F6584A" w:rsidRPr="00DB2420" w:rsidRDefault="00F6584A" w:rsidP="007763C8">
      <w:pPr>
        <w:jc w:val="both"/>
        <w:rPr>
          <w:rStyle w:val="CSIchar"/>
          <w:rFonts w:ascii="Arial" w:hAnsi="Arial" w:cs="Arial"/>
          <w:sz w:val="22"/>
          <w:szCs w:val="22"/>
          <w:shd w:val="clear" w:color="auto" w:fill="auto"/>
        </w:rPr>
      </w:pPr>
      <w:r w:rsidRPr="00DB2420">
        <w:rPr>
          <w:rStyle w:val="CSIchar"/>
          <w:rFonts w:ascii="Arial" w:hAnsi="Arial" w:cs="Arial"/>
          <w:sz w:val="22"/>
          <w:szCs w:val="22"/>
          <w:shd w:val="clear" w:color="auto" w:fill="auto"/>
        </w:rPr>
        <w:t>Concomitant treatment with inhibitors or inducers of CYP3A4 should proceed with caution due to risk of increased or decreased exposure to TYKERB, respectively (</w:t>
      </w:r>
      <w:r w:rsidRPr="00DB2420">
        <w:rPr>
          <w:rStyle w:val="CSIchar"/>
          <w:rFonts w:ascii="Arial" w:hAnsi="Arial" w:cs="Arial"/>
          <w:i/>
          <w:sz w:val="22"/>
          <w:szCs w:val="22"/>
          <w:shd w:val="clear" w:color="auto" w:fill="auto"/>
        </w:rPr>
        <w:t>see Interactions</w:t>
      </w:r>
      <w:r w:rsidRPr="00DB2420">
        <w:rPr>
          <w:rStyle w:val="CSIchar"/>
          <w:rFonts w:ascii="Arial" w:hAnsi="Arial" w:cs="Arial"/>
          <w:sz w:val="22"/>
          <w:szCs w:val="22"/>
          <w:shd w:val="clear" w:color="auto" w:fill="auto"/>
        </w:rPr>
        <w:t>).</w:t>
      </w:r>
    </w:p>
    <w:p w:rsidR="00F6584A" w:rsidRDefault="00F6584A" w:rsidP="007763C8">
      <w:pPr>
        <w:pStyle w:val="Text"/>
        <w:spacing w:after="0"/>
        <w:rPr>
          <w:rFonts w:ascii="Arial" w:hAnsi="Arial" w:cs="Arial"/>
          <w:sz w:val="22"/>
          <w:szCs w:val="22"/>
        </w:rPr>
      </w:pPr>
    </w:p>
    <w:p w:rsidR="004E0EA8" w:rsidRPr="00C141ED" w:rsidRDefault="004E0EA8" w:rsidP="004E0EA8">
      <w:pPr>
        <w:jc w:val="both"/>
        <w:rPr>
          <w:rStyle w:val="CSIchar"/>
          <w:rFonts w:ascii="Arial" w:hAnsi="Arial" w:cs="Arial"/>
          <w:sz w:val="22"/>
          <w:szCs w:val="22"/>
          <w:shd w:val="clear" w:color="auto" w:fill="auto"/>
        </w:rPr>
      </w:pPr>
      <w:r w:rsidRPr="004E0EA8">
        <w:rPr>
          <w:rFonts w:ascii="Arial" w:hAnsi="Arial" w:cs="Arial"/>
          <w:iCs/>
          <w:sz w:val="22"/>
          <w:szCs w:val="22"/>
        </w:rPr>
        <w:t xml:space="preserve">Limited data suggest that TYKERB in combination with paclitaxel is less effective </w:t>
      </w:r>
      <w:r w:rsidR="00A00D32">
        <w:rPr>
          <w:rFonts w:ascii="Arial" w:hAnsi="Arial" w:cs="Arial"/>
          <w:iCs/>
          <w:sz w:val="22"/>
          <w:szCs w:val="22"/>
        </w:rPr>
        <w:t>and not as tolerable as</w:t>
      </w:r>
      <w:r w:rsidRPr="004E0EA8">
        <w:rPr>
          <w:rFonts w:ascii="Arial" w:hAnsi="Arial" w:cs="Arial"/>
          <w:iCs/>
          <w:sz w:val="22"/>
          <w:szCs w:val="22"/>
        </w:rPr>
        <w:t xml:space="preserve"> trastuzumab in combination with paclitaxel for the first-line treatment of patients with metastatic breast cancer whose tumours overexpress HER2 (ErbB2).  Therefore lapatinib-paclitaxel should be used in patients for whom trastuzumab is not appropriate </w:t>
      </w:r>
      <w:r w:rsidRPr="00806C60">
        <w:rPr>
          <w:rFonts w:ascii="Arial" w:hAnsi="Arial" w:cs="Arial"/>
          <w:i/>
          <w:iCs/>
          <w:sz w:val="22"/>
          <w:szCs w:val="22"/>
        </w:rPr>
        <w:t>(see Clinical Trials)</w:t>
      </w:r>
      <w:r w:rsidR="00806C60">
        <w:rPr>
          <w:rFonts w:ascii="Arial" w:hAnsi="Arial" w:cs="Arial"/>
          <w:i/>
          <w:iCs/>
          <w:sz w:val="22"/>
          <w:szCs w:val="22"/>
        </w:rPr>
        <w:t>.</w:t>
      </w:r>
    </w:p>
    <w:p w:rsidR="004E0EA8" w:rsidRPr="00DB2420" w:rsidRDefault="004E0EA8" w:rsidP="007763C8">
      <w:pPr>
        <w:pStyle w:val="Text"/>
        <w:spacing w:after="0"/>
        <w:rPr>
          <w:rFonts w:ascii="Arial" w:hAnsi="Arial" w:cs="Arial"/>
          <w:sz w:val="22"/>
          <w:szCs w:val="22"/>
        </w:rPr>
      </w:pPr>
    </w:p>
    <w:p w:rsidR="00F6584A" w:rsidRPr="000B3F7D" w:rsidRDefault="00F6584A" w:rsidP="007763C8">
      <w:pPr>
        <w:pStyle w:val="Text"/>
        <w:spacing w:after="0"/>
        <w:rPr>
          <w:rFonts w:ascii="Arial" w:hAnsi="Arial" w:cs="Arial"/>
          <w:b/>
          <w:sz w:val="22"/>
          <w:szCs w:val="22"/>
        </w:rPr>
      </w:pPr>
      <w:r w:rsidRPr="000B3F7D">
        <w:rPr>
          <w:rFonts w:ascii="Arial" w:hAnsi="Arial" w:cs="Arial"/>
          <w:b/>
          <w:sz w:val="22"/>
          <w:szCs w:val="22"/>
        </w:rPr>
        <w:t>Patients with renal impairment:</w:t>
      </w:r>
    </w:p>
    <w:p w:rsidR="00F6584A" w:rsidRPr="000B3F7D" w:rsidRDefault="00F6584A" w:rsidP="007763C8">
      <w:pPr>
        <w:pStyle w:val="Text"/>
        <w:spacing w:after="0"/>
        <w:rPr>
          <w:rStyle w:val="CSIchar"/>
          <w:rFonts w:ascii="Arial" w:hAnsi="Arial" w:cs="Arial"/>
          <w:sz w:val="22"/>
          <w:szCs w:val="22"/>
          <w:shd w:val="clear" w:color="auto" w:fill="auto"/>
        </w:rPr>
      </w:pPr>
      <w:r w:rsidRPr="000B3F7D">
        <w:rPr>
          <w:rFonts w:ascii="Arial" w:hAnsi="Arial" w:cs="Arial"/>
          <w:i/>
          <w:sz w:val="22"/>
          <w:szCs w:val="22"/>
        </w:rPr>
        <w:t>Refer to Pharmacokinetics</w:t>
      </w:r>
      <w:r w:rsidRPr="000B3F7D">
        <w:rPr>
          <w:rStyle w:val="CSIchar"/>
          <w:rFonts w:ascii="Arial" w:hAnsi="Arial" w:cs="Arial"/>
          <w:sz w:val="22"/>
          <w:szCs w:val="22"/>
          <w:shd w:val="clear" w:color="auto" w:fill="auto"/>
        </w:rPr>
        <w:t>.</w:t>
      </w:r>
    </w:p>
    <w:p w:rsidR="00F6584A" w:rsidRPr="000B3F7D" w:rsidRDefault="00F6584A" w:rsidP="007763C8">
      <w:pPr>
        <w:pStyle w:val="Text"/>
        <w:spacing w:after="0"/>
        <w:rPr>
          <w:rStyle w:val="CSIchar"/>
          <w:rFonts w:ascii="Arial" w:hAnsi="Arial" w:cs="Arial"/>
          <w:sz w:val="22"/>
          <w:szCs w:val="22"/>
          <w:shd w:val="clear" w:color="auto" w:fill="auto"/>
        </w:rPr>
      </w:pPr>
    </w:p>
    <w:p w:rsidR="00F6584A" w:rsidRPr="000B3F7D" w:rsidRDefault="00F6584A" w:rsidP="007763C8">
      <w:pPr>
        <w:pStyle w:val="Text"/>
        <w:spacing w:after="0"/>
        <w:rPr>
          <w:rFonts w:ascii="Arial" w:hAnsi="Arial" w:cs="Arial"/>
          <w:b/>
          <w:sz w:val="22"/>
          <w:szCs w:val="22"/>
        </w:rPr>
      </w:pPr>
      <w:r w:rsidRPr="000B3F7D">
        <w:rPr>
          <w:rFonts w:ascii="Arial" w:hAnsi="Arial" w:cs="Arial"/>
          <w:b/>
          <w:sz w:val="22"/>
          <w:szCs w:val="22"/>
        </w:rPr>
        <w:t>Patients with Hepatic Impairment:</w:t>
      </w:r>
    </w:p>
    <w:p w:rsidR="00F6584A" w:rsidRDefault="0071575F" w:rsidP="0071575F">
      <w:pPr>
        <w:pStyle w:val="Text"/>
        <w:spacing w:after="0"/>
        <w:jc w:val="both"/>
        <w:rPr>
          <w:rStyle w:val="CSIchar"/>
          <w:rFonts w:ascii="Arial" w:hAnsi="Arial" w:cs="Arial"/>
          <w:sz w:val="22"/>
          <w:szCs w:val="22"/>
          <w:shd w:val="clear" w:color="auto" w:fill="auto"/>
        </w:rPr>
      </w:pPr>
      <w:r w:rsidRPr="000B3F7D">
        <w:rPr>
          <w:rStyle w:val="CSIchar"/>
          <w:rFonts w:ascii="Arial" w:eastAsia="Batang" w:hAnsi="Arial" w:cs="Arial"/>
          <w:sz w:val="22"/>
          <w:szCs w:val="22"/>
          <w:shd w:val="clear" w:color="auto" w:fill="auto"/>
        </w:rPr>
        <w:t>If TYKERB is to be administered to patients with severe pre-existing hepatic impairment, dose reduction is recommended</w:t>
      </w:r>
      <w:r w:rsidRPr="000B3F7D">
        <w:rPr>
          <w:rStyle w:val="CSIchar"/>
          <w:rFonts w:ascii="Arial" w:hAnsi="Arial" w:cs="Arial"/>
          <w:sz w:val="22"/>
          <w:szCs w:val="22"/>
          <w:shd w:val="clear" w:color="auto" w:fill="auto"/>
        </w:rPr>
        <w:t>.  In patients who develop severe hepatotoxicity while on therapy, TYKERB should be discontinued and patients should not be retreated with TYKERB (</w:t>
      </w:r>
      <w:r w:rsidRPr="000B3F7D">
        <w:rPr>
          <w:rStyle w:val="CSIchar"/>
          <w:rFonts w:ascii="Arial" w:hAnsi="Arial" w:cs="Arial"/>
          <w:i/>
          <w:sz w:val="22"/>
          <w:szCs w:val="22"/>
          <w:shd w:val="clear" w:color="auto" w:fill="auto"/>
        </w:rPr>
        <w:t>see Dosage and Administration and Pharmacokinetics – Hepatic Impairment</w:t>
      </w:r>
      <w:r w:rsidRPr="000B3F7D">
        <w:rPr>
          <w:rStyle w:val="CSIchar"/>
          <w:rFonts w:ascii="Arial" w:hAnsi="Arial" w:cs="Arial"/>
          <w:sz w:val="22"/>
          <w:szCs w:val="22"/>
          <w:shd w:val="clear" w:color="auto" w:fill="auto"/>
        </w:rPr>
        <w:t>).</w:t>
      </w:r>
    </w:p>
    <w:p w:rsidR="00220993" w:rsidRPr="000B3F7D" w:rsidRDefault="00220993" w:rsidP="0071575F">
      <w:pPr>
        <w:pStyle w:val="Text"/>
        <w:spacing w:after="0"/>
        <w:jc w:val="both"/>
        <w:rPr>
          <w:rStyle w:val="CSIchar"/>
          <w:rFonts w:ascii="Arial" w:hAnsi="Arial" w:cs="Arial"/>
          <w:strike/>
          <w:sz w:val="22"/>
          <w:szCs w:val="22"/>
          <w:shd w:val="clear" w:color="auto" w:fill="auto"/>
        </w:rPr>
      </w:pPr>
    </w:p>
    <w:p w:rsidR="00F6584A" w:rsidRPr="000B3F7D" w:rsidRDefault="00F6584A" w:rsidP="007763C8">
      <w:pPr>
        <w:rPr>
          <w:rFonts w:ascii="Arial" w:hAnsi="Arial" w:cs="Arial"/>
          <w:b/>
          <w:sz w:val="22"/>
          <w:szCs w:val="22"/>
        </w:rPr>
      </w:pPr>
      <w:r w:rsidRPr="000B3F7D">
        <w:rPr>
          <w:rFonts w:ascii="Arial" w:hAnsi="Arial" w:cs="Arial"/>
          <w:b/>
          <w:sz w:val="22"/>
          <w:szCs w:val="22"/>
        </w:rPr>
        <w:t>Effect</w:t>
      </w:r>
      <w:r w:rsidR="00046FD3" w:rsidRPr="000B3F7D">
        <w:rPr>
          <w:rFonts w:ascii="Arial" w:hAnsi="Arial" w:cs="Arial"/>
          <w:b/>
          <w:sz w:val="22"/>
          <w:szCs w:val="22"/>
        </w:rPr>
        <w:t>s</w:t>
      </w:r>
      <w:r w:rsidRPr="000B3F7D">
        <w:rPr>
          <w:rFonts w:ascii="Arial" w:hAnsi="Arial" w:cs="Arial"/>
          <w:b/>
          <w:sz w:val="22"/>
          <w:szCs w:val="22"/>
        </w:rPr>
        <w:t xml:space="preserve"> on fertility:</w:t>
      </w:r>
    </w:p>
    <w:p w:rsidR="00F6584A" w:rsidRPr="000B3F7D" w:rsidRDefault="00F6584A" w:rsidP="007763C8">
      <w:pPr>
        <w:pStyle w:val="Text"/>
        <w:spacing w:after="0"/>
        <w:jc w:val="both"/>
        <w:rPr>
          <w:rFonts w:ascii="Arial" w:hAnsi="Arial" w:cs="Arial"/>
          <w:sz w:val="22"/>
          <w:szCs w:val="22"/>
          <w:u w:val="single"/>
        </w:rPr>
      </w:pPr>
      <w:r w:rsidRPr="000B3F7D">
        <w:rPr>
          <w:rFonts w:ascii="Arial" w:hAnsi="Arial" w:cs="Arial"/>
          <w:sz w:val="22"/>
          <w:szCs w:val="22"/>
        </w:rPr>
        <w:t xml:space="preserve">Rat fertility was unaffected by lapatinib at doses (as free base) of up to 180 mg/kg/day (males) and 120 mg/kg/day (females), which correspond to exposures (AUC) that were </w:t>
      </w:r>
      <w:r w:rsidR="00046FD3" w:rsidRPr="000B3F7D">
        <w:rPr>
          <w:rFonts w:ascii="Arial" w:hAnsi="Arial" w:cs="Arial"/>
          <w:sz w:val="22"/>
          <w:szCs w:val="22"/>
        </w:rPr>
        <w:t xml:space="preserve">approximately </w:t>
      </w:r>
      <w:r w:rsidRPr="000B3F7D">
        <w:rPr>
          <w:rFonts w:ascii="Arial" w:hAnsi="Arial" w:cs="Arial"/>
          <w:sz w:val="22"/>
          <w:szCs w:val="22"/>
        </w:rPr>
        <w:t xml:space="preserve">2 and </w:t>
      </w:r>
      <w:r w:rsidR="00046FD3" w:rsidRPr="000B3F7D">
        <w:rPr>
          <w:rFonts w:ascii="Arial" w:hAnsi="Arial" w:cs="Arial"/>
          <w:sz w:val="22"/>
          <w:szCs w:val="22"/>
        </w:rPr>
        <w:t>8</w:t>
      </w:r>
      <w:r w:rsidRPr="000B3F7D">
        <w:rPr>
          <w:rFonts w:ascii="Arial" w:hAnsi="Arial" w:cs="Arial"/>
          <w:sz w:val="22"/>
          <w:szCs w:val="22"/>
        </w:rPr>
        <w:t xml:space="preserve"> times the </w:t>
      </w:r>
      <w:r w:rsidR="002D6C68" w:rsidRPr="000B3F7D">
        <w:rPr>
          <w:rFonts w:ascii="Arial" w:hAnsi="Arial" w:cs="Arial"/>
          <w:sz w:val="22"/>
          <w:szCs w:val="22"/>
        </w:rPr>
        <w:t>expected clinical exposure</w:t>
      </w:r>
      <w:r w:rsidRPr="000B3F7D">
        <w:rPr>
          <w:rFonts w:ascii="Arial" w:hAnsi="Arial" w:cs="Arial"/>
          <w:sz w:val="22"/>
          <w:szCs w:val="22"/>
        </w:rPr>
        <w:t xml:space="preserve">, respectively. </w:t>
      </w:r>
      <w:r w:rsidR="00350A73" w:rsidRPr="000B3F7D">
        <w:rPr>
          <w:rFonts w:ascii="Arial" w:hAnsi="Arial" w:cs="Arial"/>
          <w:sz w:val="22"/>
          <w:szCs w:val="22"/>
        </w:rPr>
        <w:t xml:space="preserve"> </w:t>
      </w:r>
      <w:r w:rsidRPr="000B3F7D">
        <w:rPr>
          <w:rFonts w:ascii="Arial" w:hAnsi="Arial" w:cs="Arial"/>
          <w:sz w:val="22"/>
          <w:szCs w:val="22"/>
        </w:rPr>
        <w:t xml:space="preserve">There was an increase in post implantation loss in </w:t>
      </w:r>
      <w:r w:rsidR="00046FD3" w:rsidRPr="000B3F7D">
        <w:rPr>
          <w:rFonts w:ascii="Arial" w:hAnsi="Arial" w:cs="Arial"/>
          <w:sz w:val="22"/>
          <w:szCs w:val="22"/>
        </w:rPr>
        <w:t xml:space="preserve">the </w:t>
      </w:r>
      <w:r w:rsidRPr="000B3F7D">
        <w:rPr>
          <w:rFonts w:ascii="Arial" w:hAnsi="Arial" w:cs="Arial"/>
          <w:sz w:val="22"/>
          <w:szCs w:val="22"/>
        </w:rPr>
        <w:t xml:space="preserve">female fertility study at &gt; 60 mg/kg/day (relative exposure approximately 4). </w:t>
      </w:r>
      <w:r w:rsidR="00350A73" w:rsidRPr="000B3F7D">
        <w:rPr>
          <w:rFonts w:ascii="Arial" w:hAnsi="Arial" w:cs="Arial"/>
          <w:sz w:val="22"/>
          <w:szCs w:val="22"/>
        </w:rPr>
        <w:t xml:space="preserve"> </w:t>
      </w:r>
      <w:r w:rsidRPr="000B3F7D">
        <w:rPr>
          <w:rFonts w:ascii="Arial" w:hAnsi="Arial" w:cs="Arial"/>
          <w:sz w:val="22"/>
          <w:szCs w:val="22"/>
        </w:rPr>
        <w:t>The effect on human fertility is unknown.</w:t>
      </w:r>
    </w:p>
    <w:p w:rsidR="00C27FDD" w:rsidRPr="000B3F7D" w:rsidRDefault="00C27FDD" w:rsidP="007763C8">
      <w:pPr>
        <w:pStyle w:val="Text"/>
        <w:spacing w:after="0"/>
        <w:rPr>
          <w:rFonts w:ascii="Arial" w:hAnsi="Arial" w:cs="Arial"/>
          <w:b/>
          <w:sz w:val="22"/>
          <w:szCs w:val="22"/>
        </w:rPr>
      </w:pPr>
    </w:p>
    <w:p w:rsidR="00F6584A" w:rsidRPr="000B3F7D" w:rsidRDefault="00F6584A" w:rsidP="007763C8">
      <w:pPr>
        <w:pStyle w:val="Text"/>
        <w:spacing w:after="0"/>
        <w:rPr>
          <w:rFonts w:ascii="Arial" w:hAnsi="Arial" w:cs="Arial"/>
          <w:sz w:val="22"/>
          <w:szCs w:val="22"/>
          <w:u w:val="single"/>
        </w:rPr>
      </w:pPr>
      <w:r w:rsidRPr="000B3F7D">
        <w:rPr>
          <w:rFonts w:ascii="Arial" w:hAnsi="Arial" w:cs="Arial"/>
          <w:b/>
          <w:sz w:val="22"/>
          <w:szCs w:val="22"/>
        </w:rPr>
        <w:t xml:space="preserve">Use in Pregnancy </w:t>
      </w:r>
      <w:r w:rsidRPr="000B3F7D">
        <w:rPr>
          <w:rFonts w:ascii="Arial" w:hAnsi="Arial" w:cs="Arial"/>
          <w:sz w:val="22"/>
          <w:szCs w:val="22"/>
        </w:rPr>
        <w:t>(Category C)</w:t>
      </w:r>
    </w:p>
    <w:p w:rsidR="00F6584A" w:rsidRPr="000B3F7D" w:rsidRDefault="00F6584A" w:rsidP="007763C8">
      <w:pPr>
        <w:jc w:val="both"/>
        <w:rPr>
          <w:rFonts w:ascii="Arial" w:hAnsi="Arial" w:cs="Arial"/>
          <w:sz w:val="22"/>
          <w:szCs w:val="22"/>
        </w:rPr>
      </w:pPr>
      <w:r w:rsidRPr="000B3F7D">
        <w:rPr>
          <w:rFonts w:ascii="Arial" w:hAnsi="Arial" w:cs="Arial"/>
          <w:sz w:val="22"/>
          <w:szCs w:val="22"/>
        </w:rPr>
        <w:t xml:space="preserve">Lapatinib was studied in pregnant rats and rabbits given oral doses of 30, 60 and 120 mg/kg/day. </w:t>
      </w:r>
      <w:r w:rsidR="00350A73" w:rsidRPr="000B3F7D">
        <w:rPr>
          <w:rFonts w:ascii="Arial" w:hAnsi="Arial" w:cs="Arial"/>
          <w:sz w:val="22"/>
          <w:szCs w:val="22"/>
        </w:rPr>
        <w:t xml:space="preserve"> </w:t>
      </w:r>
      <w:r w:rsidRPr="000B3F7D">
        <w:rPr>
          <w:rFonts w:ascii="Arial" w:hAnsi="Arial" w:cs="Arial"/>
          <w:sz w:val="22"/>
          <w:szCs w:val="22"/>
        </w:rPr>
        <w:t xml:space="preserve">There were no treatment-related malformations, however alterations (left-sided umbilical artery, cervical rib) were observed in rats in the presence of maternal toxicity at 120 mg/kg/day ( </w:t>
      </w:r>
      <w:r w:rsidR="00046FD3" w:rsidRPr="000B3F7D">
        <w:rPr>
          <w:rFonts w:ascii="Arial" w:hAnsi="Arial" w:cs="Arial"/>
          <w:sz w:val="22"/>
          <w:szCs w:val="22"/>
        </w:rPr>
        <w:t>approximately 6</w:t>
      </w:r>
      <w:r w:rsidR="002530FF" w:rsidRPr="000B3F7D">
        <w:rPr>
          <w:rFonts w:ascii="Arial" w:hAnsi="Arial" w:cs="Arial"/>
          <w:sz w:val="22"/>
          <w:szCs w:val="22"/>
        </w:rPr>
        <w:t xml:space="preserve"> </w:t>
      </w:r>
      <w:r w:rsidRPr="000B3F7D">
        <w:rPr>
          <w:rFonts w:ascii="Arial" w:hAnsi="Arial" w:cs="Arial"/>
          <w:sz w:val="22"/>
          <w:szCs w:val="22"/>
        </w:rPr>
        <w:t xml:space="preserve">times the </w:t>
      </w:r>
      <w:r w:rsidR="002530FF" w:rsidRPr="000B3F7D">
        <w:rPr>
          <w:rFonts w:ascii="Arial" w:hAnsi="Arial" w:cs="Arial"/>
          <w:sz w:val="22"/>
          <w:szCs w:val="22"/>
        </w:rPr>
        <w:t>clinical</w:t>
      </w:r>
      <w:r w:rsidR="002530FF" w:rsidRPr="000B3F7D">
        <w:rPr>
          <w:rFonts w:ascii="Arial" w:hAnsi="Arial" w:cs="Arial"/>
          <w:b/>
          <w:sz w:val="22"/>
          <w:szCs w:val="22"/>
        </w:rPr>
        <w:t xml:space="preserve"> </w:t>
      </w:r>
      <w:r w:rsidRPr="000B3F7D">
        <w:rPr>
          <w:rFonts w:ascii="Arial" w:hAnsi="Arial" w:cs="Arial"/>
          <w:sz w:val="22"/>
          <w:szCs w:val="22"/>
        </w:rPr>
        <w:t xml:space="preserve">exposure </w:t>
      </w:r>
      <w:r w:rsidR="00046FD3" w:rsidRPr="000B3F7D">
        <w:rPr>
          <w:rFonts w:ascii="Arial" w:hAnsi="Arial" w:cs="Arial"/>
          <w:sz w:val="22"/>
          <w:szCs w:val="22"/>
        </w:rPr>
        <w:t>based on AUC</w:t>
      </w:r>
      <w:r w:rsidRPr="000B3F7D">
        <w:rPr>
          <w:rFonts w:ascii="Arial" w:hAnsi="Arial" w:cs="Arial"/>
          <w:sz w:val="22"/>
          <w:szCs w:val="22"/>
        </w:rPr>
        <w:t xml:space="preserve">). </w:t>
      </w:r>
      <w:r w:rsidR="00350A73" w:rsidRPr="000B3F7D">
        <w:rPr>
          <w:rFonts w:ascii="Arial" w:hAnsi="Arial" w:cs="Arial"/>
          <w:sz w:val="22"/>
          <w:szCs w:val="22"/>
        </w:rPr>
        <w:t xml:space="preserve"> </w:t>
      </w:r>
      <w:r w:rsidRPr="000B3F7D">
        <w:rPr>
          <w:rFonts w:ascii="Arial" w:hAnsi="Arial" w:cs="Arial"/>
          <w:sz w:val="22"/>
          <w:szCs w:val="22"/>
        </w:rPr>
        <w:t>An increased number of early post implantation losses were also seen in rats treated at 120 mg/kg/day, while precocious ossification was observed in rats in all treatment groups, independent of maternal toxicity or foetal body weight changes.</w:t>
      </w:r>
    </w:p>
    <w:p w:rsidR="00F6584A" w:rsidRPr="000B3F7D" w:rsidRDefault="00F6584A" w:rsidP="007763C8">
      <w:pPr>
        <w:rPr>
          <w:rFonts w:ascii="Arial" w:hAnsi="Arial" w:cs="Arial"/>
          <w:sz w:val="22"/>
          <w:szCs w:val="22"/>
        </w:rPr>
      </w:pPr>
    </w:p>
    <w:p w:rsidR="00F6584A" w:rsidRPr="000B3F7D" w:rsidRDefault="00F6584A" w:rsidP="007763C8">
      <w:pPr>
        <w:jc w:val="both"/>
        <w:rPr>
          <w:rFonts w:ascii="Arial" w:hAnsi="Arial" w:cs="Arial"/>
          <w:sz w:val="22"/>
          <w:szCs w:val="22"/>
        </w:rPr>
      </w:pPr>
      <w:r w:rsidRPr="000B3F7D">
        <w:rPr>
          <w:rFonts w:ascii="Arial" w:hAnsi="Arial" w:cs="Arial"/>
          <w:sz w:val="22"/>
          <w:szCs w:val="22"/>
        </w:rPr>
        <w:t xml:space="preserve">In rabbits, an increased incidence of fetuses and litters with minor skeletal variations was seen at ≥ 60 mg/kg/day, in the presence of decreased maternal body weight and clinical signs. </w:t>
      </w:r>
      <w:r w:rsidR="001D72CC" w:rsidRPr="000B3F7D">
        <w:rPr>
          <w:rFonts w:ascii="Arial" w:hAnsi="Arial" w:cs="Arial"/>
          <w:sz w:val="22"/>
          <w:szCs w:val="22"/>
        </w:rPr>
        <w:t xml:space="preserve"> </w:t>
      </w:r>
      <w:r w:rsidRPr="000B3F7D">
        <w:rPr>
          <w:rFonts w:ascii="Arial" w:hAnsi="Arial" w:cs="Arial"/>
          <w:sz w:val="22"/>
          <w:szCs w:val="22"/>
        </w:rPr>
        <w:t xml:space="preserve">Abortions were seen in doses treated at 120 mg/kg/day. </w:t>
      </w:r>
      <w:r w:rsidR="00350A73" w:rsidRPr="000B3F7D">
        <w:rPr>
          <w:rFonts w:ascii="Arial" w:hAnsi="Arial" w:cs="Arial"/>
          <w:sz w:val="22"/>
          <w:szCs w:val="22"/>
        </w:rPr>
        <w:t xml:space="preserve"> </w:t>
      </w:r>
      <w:r w:rsidRPr="000B3F7D">
        <w:rPr>
          <w:rFonts w:ascii="Arial" w:hAnsi="Arial" w:cs="Arial"/>
          <w:sz w:val="22"/>
          <w:szCs w:val="22"/>
        </w:rPr>
        <w:t xml:space="preserve">Lapatinib exposures at 60 and 120 mg/kg/day in the rabbit study were approximately 10 and 20% respectively, </w:t>
      </w:r>
      <w:r w:rsidR="007B43A0" w:rsidRPr="000B3F7D">
        <w:rPr>
          <w:rFonts w:ascii="Arial" w:hAnsi="Arial" w:cs="Arial"/>
          <w:sz w:val="22"/>
          <w:szCs w:val="22"/>
        </w:rPr>
        <w:t>the clinical exposure (based on AUC)</w:t>
      </w:r>
      <w:r w:rsidRPr="000B3F7D">
        <w:rPr>
          <w:rFonts w:ascii="Arial" w:hAnsi="Arial" w:cs="Arial"/>
          <w:sz w:val="22"/>
          <w:szCs w:val="22"/>
        </w:rPr>
        <w:t>.</w:t>
      </w:r>
    </w:p>
    <w:p w:rsidR="00F6584A" w:rsidRPr="000B3F7D" w:rsidRDefault="00F6584A" w:rsidP="007763C8">
      <w:pPr>
        <w:rPr>
          <w:rFonts w:ascii="Arial" w:hAnsi="Arial" w:cs="Arial"/>
          <w:sz w:val="22"/>
          <w:szCs w:val="22"/>
        </w:rPr>
      </w:pPr>
    </w:p>
    <w:p w:rsidR="00F6584A" w:rsidRPr="000B3F7D" w:rsidRDefault="00F6584A" w:rsidP="007763C8">
      <w:pPr>
        <w:jc w:val="both"/>
        <w:rPr>
          <w:rFonts w:ascii="Arial" w:hAnsi="Arial" w:cs="Arial"/>
          <w:sz w:val="22"/>
          <w:szCs w:val="22"/>
        </w:rPr>
      </w:pPr>
      <w:r w:rsidRPr="000B3F7D">
        <w:rPr>
          <w:rFonts w:ascii="Arial" w:hAnsi="Arial" w:cs="Arial"/>
          <w:sz w:val="22"/>
          <w:szCs w:val="22"/>
        </w:rPr>
        <w:t>In the pre- and postnatal development study, a marked decrease in pup survival occurred between birth and postnatal day 21 at doses of ≥ 60 mg/kg/day (</w:t>
      </w:r>
      <w:r w:rsidR="007B43A0" w:rsidRPr="000B3F7D">
        <w:rPr>
          <w:rFonts w:ascii="Arial" w:hAnsi="Arial" w:cs="Arial"/>
          <w:sz w:val="22"/>
          <w:szCs w:val="22"/>
        </w:rPr>
        <w:t xml:space="preserve">approximately </w:t>
      </w:r>
      <w:r w:rsidRPr="000B3F7D">
        <w:rPr>
          <w:rFonts w:ascii="Arial" w:hAnsi="Arial" w:cs="Arial"/>
          <w:sz w:val="22"/>
          <w:szCs w:val="22"/>
        </w:rPr>
        <w:t xml:space="preserve">3 times the </w:t>
      </w:r>
      <w:r w:rsidR="002D6C68" w:rsidRPr="000B3F7D">
        <w:rPr>
          <w:rFonts w:ascii="Arial" w:hAnsi="Arial" w:cs="Arial"/>
          <w:sz w:val="22"/>
          <w:szCs w:val="22"/>
        </w:rPr>
        <w:t xml:space="preserve">expected </w:t>
      </w:r>
      <w:r w:rsidRPr="000B3F7D">
        <w:rPr>
          <w:rFonts w:ascii="Arial" w:hAnsi="Arial" w:cs="Arial"/>
          <w:sz w:val="22"/>
          <w:szCs w:val="22"/>
        </w:rPr>
        <w:t xml:space="preserve"> </w:t>
      </w:r>
      <w:r w:rsidR="00AB0FD7" w:rsidRPr="000B3F7D">
        <w:rPr>
          <w:rFonts w:ascii="Arial" w:hAnsi="Arial" w:cs="Arial"/>
          <w:sz w:val="22"/>
          <w:szCs w:val="22"/>
        </w:rPr>
        <w:t>clinical</w:t>
      </w:r>
      <w:r w:rsidR="00AB0FD7" w:rsidRPr="000B3F7D">
        <w:rPr>
          <w:rFonts w:ascii="Arial" w:hAnsi="Arial" w:cs="Arial"/>
          <w:b/>
          <w:sz w:val="22"/>
          <w:szCs w:val="22"/>
        </w:rPr>
        <w:t xml:space="preserve"> </w:t>
      </w:r>
      <w:r w:rsidRPr="000B3F7D">
        <w:rPr>
          <w:rFonts w:ascii="Arial" w:hAnsi="Arial" w:cs="Arial"/>
          <w:sz w:val="22"/>
          <w:szCs w:val="22"/>
        </w:rPr>
        <w:t xml:space="preserve">exposure </w:t>
      </w:r>
      <w:r w:rsidR="007B43A0" w:rsidRPr="000B3F7D">
        <w:rPr>
          <w:rFonts w:ascii="Arial" w:hAnsi="Arial" w:cs="Arial"/>
          <w:sz w:val="22"/>
          <w:szCs w:val="22"/>
        </w:rPr>
        <w:t>based on AUC</w:t>
      </w:r>
      <w:r w:rsidRPr="000B3F7D">
        <w:rPr>
          <w:rFonts w:ascii="Arial" w:hAnsi="Arial" w:cs="Arial"/>
          <w:sz w:val="22"/>
          <w:szCs w:val="22"/>
        </w:rPr>
        <w:t xml:space="preserve">). </w:t>
      </w:r>
      <w:r w:rsidR="00350A73" w:rsidRPr="000B3F7D">
        <w:rPr>
          <w:rFonts w:ascii="Arial" w:hAnsi="Arial" w:cs="Arial"/>
          <w:sz w:val="22"/>
          <w:szCs w:val="22"/>
        </w:rPr>
        <w:t xml:space="preserve"> </w:t>
      </w:r>
      <w:r w:rsidRPr="000B3F7D">
        <w:rPr>
          <w:rFonts w:ascii="Arial" w:hAnsi="Arial" w:cs="Arial"/>
          <w:sz w:val="22"/>
          <w:szCs w:val="22"/>
        </w:rPr>
        <w:t>The highest no-effect dose for this study was 20 mg/kg/day</w:t>
      </w:r>
      <w:r w:rsidR="007B43A0" w:rsidRPr="000B3F7D">
        <w:rPr>
          <w:rFonts w:ascii="Arial" w:hAnsi="Arial" w:cs="Arial"/>
          <w:sz w:val="22"/>
          <w:szCs w:val="22"/>
        </w:rPr>
        <w:t>, similar to the clinical exposure</w:t>
      </w:r>
      <w:r w:rsidRPr="000B3F7D">
        <w:rPr>
          <w:rFonts w:ascii="Arial" w:hAnsi="Arial" w:cs="Arial"/>
          <w:sz w:val="22"/>
          <w:szCs w:val="22"/>
        </w:rPr>
        <w:t>.</w:t>
      </w:r>
    </w:p>
    <w:p w:rsidR="00F6584A" w:rsidRPr="000B3F7D" w:rsidRDefault="00F6584A" w:rsidP="007763C8">
      <w:pPr>
        <w:rPr>
          <w:rFonts w:ascii="Arial" w:hAnsi="Arial" w:cs="Arial"/>
          <w:sz w:val="22"/>
          <w:szCs w:val="22"/>
        </w:rPr>
      </w:pPr>
    </w:p>
    <w:p w:rsidR="00F6584A" w:rsidRPr="000B3F7D" w:rsidRDefault="00F6584A" w:rsidP="007763C8">
      <w:pPr>
        <w:pStyle w:val="Text"/>
        <w:spacing w:after="0"/>
        <w:jc w:val="both"/>
        <w:rPr>
          <w:rStyle w:val="CSIchar"/>
          <w:rFonts w:ascii="Arial" w:hAnsi="Arial" w:cs="Arial"/>
          <w:sz w:val="22"/>
          <w:szCs w:val="22"/>
          <w:shd w:val="clear" w:color="auto" w:fill="auto"/>
        </w:rPr>
      </w:pPr>
      <w:r w:rsidRPr="000B3F7D">
        <w:rPr>
          <w:rStyle w:val="CSIchar"/>
          <w:rFonts w:ascii="Arial" w:hAnsi="Arial" w:cs="Arial"/>
          <w:sz w:val="22"/>
          <w:szCs w:val="22"/>
          <w:shd w:val="clear" w:color="auto" w:fill="auto"/>
        </w:rPr>
        <w:t xml:space="preserve">There are no adequate and well-controlled studies of </w:t>
      </w:r>
      <w:r w:rsidRPr="000B3F7D">
        <w:rPr>
          <w:rFonts w:ascii="Arial" w:hAnsi="Arial" w:cs="Arial"/>
          <w:sz w:val="22"/>
          <w:szCs w:val="22"/>
        </w:rPr>
        <w:t>TYKERB</w:t>
      </w:r>
      <w:r w:rsidRPr="000B3F7D">
        <w:rPr>
          <w:rStyle w:val="CSIchar"/>
          <w:rFonts w:ascii="Arial" w:hAnsi="Arial" w:cs="Arial"/>
          <w:sz w:val="22"/>
          <w:szCs w:val="22"/>
          <w:shd w:val="clear" w:color="auto" w:fill="auto"/>
        </w:rPr>
        <w:t xml:space="preserve"> in pregnant women. </w:t>
      </w:r>
      <w:r w:rsidR="00350A73" w:rsidRPr="000B3F7D">
        <w:rPr>
          <w:rStyle w:val="CSIchar"/>
          <w:rFonts w:ascii="Arial" w:hAnsi="Arial" w:cs="Arial"/>
          <w:sz w:val="22"/>
          <w:szCs w:val="22"/>
          <w:shd w:val="clear" w:color="auto" w:fill="auto"/>
        </w:rPr>
        <w:t xml:space="preserve"> </w:t>
      </w:r>
      <w:r w:rsidRPr="000B3F7D">
        <w:rPr>
          <w:rStyle w:val="CSIchar"/>
          <w:rFonts w:ascii="Arial" w:hAnsi="Arial" w:cs="Arial"/>
          <w:sz w:val="22"/>
          <w:szCs w:val="22"/>
          <w:shd w:val="clear" w:color="auto" w:fill="auto"/>
        </w:rPr>
        <w:t xml:space="preserve">The effect of </w:t>
      </w:r>
      <w:r w:rsidRPr="000B3F7D">
        <w:rPr>
          <w:rFonts w:ascii="Arial" w:hAnsi="Arial" w:cs="Arial"/>
          <w:sz w:val="22"/>
          <w:szCs w:val="22"/>
        </w:rPr>
        <w:t>TYKERB</w:t>
      </w:r>
      <w:r w:rsidRPr="000B3F7D">
        <w:rPr>
          <w:rStyle w:val="CSIchar"/>
          <w:rFonts w:ascii="Arial" w:hAnsi="Arial" w:cs="Arial"/>
          <w:sz w:val="22"/>
          <w:szCs w:val="22"/>
          <w:shd w:val="clear" w:color="auto" w:fill="auto"/>
        </w:rPr>
        <w:t xml:space="preserve"> on human pregnancy is unknown. </w:t>
      </w:r>
      <w:r w:rsidR="00350A73" w:rsidRPr="000B3F7D">
        <w:rPr>
          <w:rStyle w:val="CSIchar"/>
          <w:rFonts w:ascii="Arial" w:hAnsi="Arial" w:cs="Arial"/>
          <w:sz w:val="22"/>
          <w:szCs w:val="22"/>
          <w:shd w:val="clear" w:color="auto" w:fill="auto"/>
        </w:rPr>
        <w:t xml:space="preserve"> </w:t>
      </w:r>
      <w:r w:rsidRPr="000B3F7D">
        <w:rPr>
          <w:rFonts w:ascii="Arial" w:hAnsi="Arial" w:cs="Arial"/>
          <w:sz w:val="22"/>
          <w:szCs w:val="22"/>
        </w:rPr>
        <w:t>TYKERB should not be used in pregnancy.</w:t>
      </w:r>
      <w:r w:rsidRPr="000B3F7D">
        <w:rPr>
          <w:rStyle w:val="CSIchar"/>
          <w:rFonts w:ascii="Arial" w:hAnsi="Arial" w:cs="Arial"/>
          <w:sz w:val="22"/>
          <w:szCs w:val="22"/>
          <w:shd w:val="clear" w:color="auto" w:fill="auto"/>
        </w:rPr>
        <w:t xml:space="preserve"> </w:t>
      </w:r>
      <w:r w:rsidR="00350A73" w:rsidRPr="000B3F7D">
        <w:rPr>
          <w:rStyle w:val="CSIchar"/>
          <w:rFonts w:ascii="Arial" w:hAnsi="Arial" w:cs="Arial"/>
          <w:sz w:val="22"/>
          <w:szCs w:val="22"/>
          <w:shd w:val="clear" w:color="auto" w:fill="auto"/>
        </w:rPr>
        <w:t xml:space="preserve"> </w:t>
      </w:r>
      <w:r w:rsidRPr="000B3F7D">
        <w:rPr>
          <w:rStyle w:val="CSIchar"/>
          <w:rFonts w:ascii="Arial" w:hAnsi="Arial" w:cs="Arial"/>
          <w:sz w:val="22"/>
          <w:szCs w:val="22"/>
          <w:shd w:val="clear" w:color="auto" w:fill="auto"/>
        </w:rPr>
        <w:t xml:space="preserve">Women of childbearing potential must be advised to use adequate contraception and avoid becoming pregnant while receiving treatment with </w:t>
      </w:r>
      <w:r w:rsidRPr="000B3F7D">
        <w:rPr>
          <w:rFonts w:ascii="Arial" w:hAnsi="Arial" w:cs="Arial"/>
          <w:sz w:val="22"/>
          <w:szCs w:val="22"/>
        </w:rPr>
        <w:t>TYKERB</w:t>
      </w:r>
      <w:r w:rsidRPr="000B3F7D">
        <w:rPr>
          <w:rStyle w:val="CSIchar"/>
          <w:rFonts w:ascii="Arial" w:hAnsi="Arial" w:cs="Arial"/>
          <w:sz w:val="22"/>
          <w:szCs w:val="22"/>
          <w:shd w:val="clear" w:color="auto" w:fill="auto"/>
        </w:rPr>
        <w:t xml:space="preserve">. </w:t>
      </w:r>
      <w:r w:rsidR="00350A73" w:rsidRPr="000B3F7D">
        <w:rPr>
          <w:rStyle w:val="CSIchar"/>
          <w:rFonts w:ascii="Arial" w:hAnsi="Arial" w:cs="Arial"/>
          <w:sz w:val="22"/>
          <w:szCs w:val="22"/>
          <w:shd w:val="clear" w:color="auto" w:fill="auto"/>
        </w:rPr>
        <w:t xml:space="preserve"> </w:t>
      </w:r>
      <w:r w:rsidRPr="000B3F7D">
        <w:rPr>
          <w:rStyle w:val="CSIchar"/>
          <w:rFonts w:ascii="Arial" w:hAnsi="Arial" w:cs="Arial"/>
          <w:sz w:val="22"/>
          <w:szCs w:val="22"/>
          <w:shd w:val="clear" w:color="auto" w:fill="auto"/>
        </w:rPr>
        <w:t>If the drug is used during pregnancy or if the patient becomes pregnant while receiving the drug, the patient should be notified that TYKERB may cause harmful effects to the human fetus or neonate.</w:t>
      </w:r>
    </w:p>
    <w:p w:rsidR="007919FC" w:rsidRPr="000B3F7D" w:rsidRDefault="007919FC" w:rsidP="007763C8">
      <w:pPr>
        <w:pStyle w:val="Text"/>
        <w:spacing w:after="0"/>
        <w:rPr>
          <w:rFonts w:ascii="Arial" w:hAnsi="Arial" w:cs="Arial"/>
          <w:b/>
          <w:sz w:val="22"/>
          <w:szCs w:val="22"/>
        </w:rPr>
      </w:pPr>
    </w:p>
    <w:p w:rsidR="00F6584A" w:rsidRPr="000B3F7D" w:rsidRDefault="00F6584A" w:rsidP="007763C8">
      <w:pPr>
        <w:pStyle w:val="Text"/>
        <w:spacing w:after="0"/>
        <w:rPr>
          <w:rFonts w:ascii="Arial" w:hAnsi="Arial" w:cs="Arial"/>
          <w:b/>
          <w:sz w:val="22"/>
          <w:szCs w:val="22"/>
        </w:rPr>
      </w:pPr>
      <w:r w:rsidRPr="000B3F7D">
        <w:rPr>
          <w:rFonts w:ascii="Arial" w:hAnsi="Arial" w:cs="Arial"/>
          <w:b/>
          <w:sz w:val="22"/>
          <w:szCs w:val="22"/>
        </w:rPr>
        <w:t>Use in Lactation</w:t>
      </w:r>
    </w:p>
    <w:p w:rsidR="00F6584A" w:rsidRDefault="00F6584A" w:rsidP="007763C8">
      <w:pPr>
        <w:pStyle w:val="Text"/>
        <w:spacing w:after="0"/>
        <w:jc w:val="both"/>
        <w:rPr>
          <w:rStyle w:val="CSIchar"/>
          <w:rFonts w:ascii="Arial" w:hAnsi="Arial" w:cs="Arial"/>
          <w:sz w:val="22"/>
          <w:szCs w:val="22"/>
          <w:shd w:val="clear" w:color="auto" w:fill="auto"/>
        </w:rPr>
      </w:pPr>
      <w:r w:rsidRPr="000B3F7D">
        <w:rPr>
          <w:rStyle w:val="CSIchar"/>
          <w:rFonts w:ascii="Arial" w:hAnsi="Arial" w:cs="Arial"/>
          <w:sz w:val="22"/>
          <w:szCs w:val="22"/>
          <w:shd w:val="clear" w:color="auto" w:fill="auto"/>
        </w:rPr>
        <w:t xml:space="preserve">It is not known whether </w:t>
      </w:r>
      <w:r w:rsidRPr="000B3F7D">
        <w:rPr>
          <w:rFonts w:ascii="Arial" w:hAnsi="Arial" w:cs="Arial"/>
          <w:sz w:val="22"/>
          <w:szCs w:val="22"/>
        </w:rPr>
        <w:t>TYKERB</w:t>
      </w:r>
      <w:r w:rsidRPr="000B3F7D">
        <w:rPr>
          <w:rStyle w:val="CSIchar"/>
          <w:rFonts w:ascii="Arial" w:hAnsi="Arial" w:cs="Arial"/>
          <w:sz w:val="22"/>
          <w:szCs w:val="22"/>
          <w:shd w:val="clear" w:color="auto" w:fill="auto"/>
        </w:rPr>
        <w:t xml:space="preserve"> is excreted in human milk. </w:t>
      </w:r>
      <w:r w:rsidR="00350A73" w:rsidRPr="000B3F7D">
        <w:rPr>
          <w:rStyle w:val="CSIchar"/>
          <w:rFonts w:ascii="Arial" w:hAnsi="Arial" w:cs="Arial"/>
          <w:sz w:val="22"/>
          <w:szCs w:val="22"/>
          <w:shd w:val="clear" w:color="auto" w:fill="auto"/>
        </w:rPr>
        <w:t xml:space="preserve"> </w:t>
      </w:r>
      <w:r w:rsidRPr="000B3F7D">
        <w:rPr>
          <w:rStyle w:val="CSIchar"/>
          <w:rFonts w:ascii="Arial" w:hAnsi="Arial" w:cs="Arial"/>
          <w:sz w:val="22"/>
          <w:szCs w:val="22"/>
          <w:shd w:val="clear" w:color="auto" w:fill="auto"/>
        </w:rPr>
        <w:t xml:space="preserve">Because many drugs are excreted in human milk and because of the potential for adverse reactions in breast-feeding infants from </w:t>
      </w:r>
      <w:r w:rsidRPr="000B3F7D">
        <w:rPr>
          <w:rFonts w:ascii="Arial" w:hAnsi="Arial" w:cs="Arial"/>
          <w:sz w:val="22"/>
          <w:szCs w:val="22"/>
        </w:rPr>
        <w:t>TYKERB</w:t>
      </w:r>
      <w:r w:rsidRPr="000B3F7D">
        <w:rPr>
          <w:rStyle w:val="CSIchar"/>
          <w:rFonts w:ascii="Arial" w:hAnsi="Arial" w:cs="Arial"/>
          <w:sz w:val="22"/>
          <w:szCs w:val="22"/>
          <w:shd w:val="clear" w:color="auto" w:fill="auto"/>
        </w:rPr>
        <w:t>, women who are receiving therapy with TYKERB should not breastfeed.</w:t>
      </w:r>
    </w:p>
    <w:p w:rsidR="00BB6BA4" w:rsidRDefault="00BB6BA4" w:rsidP="007763C8">
      <w:pPr>
        <w:pStyle w:val="Text"/>
        <w:spacing w:after="0"/>
        <w:jc w:val="both"/>
        <w:rPr>
          <w:rStyle w:val="CSIchar"/>
          <w:rFonts w:ascii="Arial" w:hAnsi="Arial" w:cs="Arial"/>
          <w:sz w:val="22"/>
          <w:szCs w:val="22"/>
          <w:shd w:val="clear" w:color="auto" w:fill="auto"/>
        </w:rPr>
      </w:pPr>
    </w:p>
    <w:p w:rsidR="00BB6BA4" w:rsidRPr="00BB6BA4" w:rsidRDefault="00BB6BA4" w:rsidP="007763C8">
      <w:pPr>
        <w:pStyle w:val="Text"/>
        <w:spacing w:after="0"/>
        <w:jc w:val="both"/>
        <w:rPr>
          <w:rStyle w:val="CSIchar"/>
          <w:rFonts w:ascii="Arial" w:hAnsi="Arial" w:cs="Arial"/>
          <w:b/>
          <w:sz w:val="22"/>
          <w:szCs w:val="22"/>
          <w:shd w:val="clear" w:color="auto" w:fill="auto"/>
        </w:rPr>
      </w:pPr>
      <w:r w:rsidRPr="00BB6BA4">
        <w:rPr>
          <w:rStyle w:val="CSIchar"/>
          <w:rFonts w:ascii="Arial" w:hAnsi="Arial" w:cs="Arial"/>
          <w:b/>
          <w:sz w:val="22"/>
          <w:szCs w:val="22"/>
          <w:shd w:val="clear" w:color="auto" w:fill="auto"/>
        </w:rPr>
        <w:t>Paediatric Use</w:t>
      </w:r>
    </w:p>
    <w:p w:rsidR="00BB6BA4" w:rsidRPr="000B3F7D" w:rsidRDefault="00BB6BA4" w:rsidP="00BB6BA4">
      <w:pPr>
        <w:pStyle w:val="Text"/>
        <w:spacing w:after="0"/>
        <w:rPr>
          <w:rFonts w:ascii="Arial" w:hAnsi="Arial" w:cs="Arial"/>
          <w:i/>
          <w:sz w:val="22"/>
          <w:szCs w:val="22"/>
        </w:rPr>
      </w:pPr>
      <w:r w:rsidRPr="000B3F7D">
        <w:rPr>
          <w:rFonts w:ascii="Arial" w:hAnsi="Arial" w:cs="Arial"/>
          <w:i/>
          <w:sz w:val="22"/>
          <w:szCs w:val="22"/>
        </w:rPr>
        <w:t>Refer to Dosage and Administration</w:t>
      </w:r>
      <w:r>
        <w:rPr>
          <w:rFonts w:ascii="Arial" w:hAnsi="Arial" w:cs="Arial"/>
          <w:i/>
          <w:sz w:val="22"/>
          <w:szCs w:val="22"/>
        </w:rPr>
        <w:t>.</w:t>
      </w:r>
    </w:p>
    <w:p w:rsidR="00BB6BA4" w:rsidRDefault="00BB6BA4" w:rsidP="007763C8">
      <w:pPr>
        <w:pStyle w:val="Text"/>
        <w:spacing w:after="0"/>
        <w:jc w:val="both"/>
        <w:rPr>
          <w:rStyle w:val="CSIchar"/>
          <w:rFonts w:ascii="Arial" w:hAnsi="Arial" w:cs="Arial"/>
          <w:sz w:val="22"/>
          <w:szCs w:val="22"/>
          <w:shd w:val="clear" w:color="auto" w:fill="auto"/>
        </w:rPr>
      </w:pPr>
    </w:p>
    <w:p w:rsidR="00BB6BA4" w:rsidRPr="000B3F7D" w:rsidRDefault="0082524C" w:rsidP="00BB6BA4">
      <w:pPr>
        <w:rPr>
          <w:rFonts w:ascii="Arial" w:hAnsi="Arial" w:cs="Arial"/>
          <w:b/>
          <w:sz w:val="22"/>
          <w:szCs w:val="22"/>
          <w:lang w:val="en-US"/>
        </w:rPr>
      </w:pPr>
      <w:r>
        <w:rPr>
          <w:rFonts w:ascii="Arial" w:hAnsi="Arial" w:cs="Arial"/>
          <w:b/>
          <w:snapToGrid w:val="0"/>
          <w:sz w:val="22"/>
          <w:szCs w:val="22"/>
          <w:lang w:eastAsia="en-US"/>
        </w:rPr>
        <w:t xml:space="preserve">Use in </w:t>
      </w:r>
      <w:r w:rsidR="00BB6BA4" w:rsidRPr="000B3F7D">
        <w:rPr>
          <w:rFonts w:ascii="Arial" w:hAnsi="Arial" w:cs="Arial"/>
          <w:b/>
          <w:snapToGrid w:val="0"/>
          <w:sz w:val="22"/>
          <w:szCs w:val="22"/>
          <w:lang w:eastAsia="en-US"/>
        </w:rPr>
        <w:t>Elderly</w:t>
      </w:r>
      <w:r w:rsidR="00BB6BA4" w:rsidRPr="000B3F7D">
        <w:rPr>
          <w:rFonts w:ascii="Arial" w:hAnsi="Arial" w:cs="Arial"/>
          <w:snapToGrid w:val="0"/>
          <w:sz w:val="22"/>
          <w:szCs w:val="22"/>
          <w:lang w:eastAsia="en-US"/>
        </w:rPr>
        <w:t>:</w:t>
      </w:r>
    </w:p>
    <w:p w:rsidR="00BB6BA4" w:rsidRPr="000B3F7D" w:rsidRDefault="00BB6BA4" w:rsidP="00BB6BA4">
      <w:pPr>
        <w:pStyle w:val="Text"/>
        <w:spacing w:after="0"/>
        <w:rPr>
          <w:rFonts w:ascii="Arial" w:hAnsi="Arial" w:cs="Arial"/>
          <w:i/>
          <w:sz w:val="22"/>
          <w:szCs w:val="22"/>
        </w:rPr>
      </w:pPr>
      <w:r w:rsidRPr="000B3F7D">
        <w:rPr>
          <w:rFonts w:ascii="Arial" w:hAnsi="Arial" w:cs="Arial"/>
          <w:i/>
          <w:sz w:val="22"/>
          <w:szCs w:val="22"/>
        </w:rPr>
        <w:t>Refer to Dosage and Administration</w:t>
      </w:r>
    </w:p>
    <w:p w:rsidR="00BB6BA4" w:rsidRPr="000B3F7D" w:rsidRDefault="00BB6BA4" w:rsidP="007763C8">
      <w:pPr>
        <w:pStyle w:val="Text"/>
        <w:spacing w:after="0"/>
        <w:jc w:val="both"/>
        <w:rPr>
          <w:rStyle w:val="CSIchar"/>
          <w:rFonts w:ascii="Arial" w:hAnsi="Arial" w:cs="Arial"/>
          <w:sz w:val="22"/>
          <w:szCs w:val="22"/>
          <w:shd w:val="clear" w:color="auto" w:fill="auto"/>
        </w:rPr>
      </w:pPr>
    </w:p>
    <w:p w:rsidR="0082524C" w:rsidRPr="000B3F7D" w:rsidRDefault="0082524C" w:rsidP="0082524C">
      <w:pPr>
        <w:pStyle w:val="Text"/>
        <w:spacing w:after="0"/>
        <w:rPr>
          <w:rFonts w:ascii="Arial" w:hAnsi="Arial" w:cs="Arial"/>
          <w:b/>
          <w:sz w:val="22"/>
          <w:szCs w:val="22"/>
        </w:rPr>
      </w:pPr>
      <w:r w:rsidRPr="000B3F7D">
        <w:rPr>
          <w:rFonts w:ascii="Arial" w:hAnsi="Arial" w:cs="Arial"/>
          <w:b/>
          <w:sz w:val="22"/>
          <w:szCs w:val="22"/>
        </w:rPr>
        <w:t>Genotoxicity:</w:t>
      </w:r>
    </w:p>
    <w:p w:rsidR="0082524C" w:rsidRPr="000B3F7D" w:rsidRDefault="0082524C" w:rsidP="0082524C">
      <w:pPr>
        <w:pStyle w:val="Text"/>
        <w:spacing w:after="0"/>
        <w:jc w:val="both"/>
        <w:rPr>
          <w:rFonts w:ascii="Arial" w:hAnsi="Arial" w:cs="Arial"/>
          <w:sz w:val="22"/>
          <w:szCs w:val="22"/>
        </w:rPr>
      </w:pPr>
      <w:r w:rsidRPr="000B3F7D">
        <w:rPr>
          <w:rFonts w:ascii="Arial" w:hAnsi="Arial" w:cs="Arial"/>
          <w:sz w:val="22"/>
          <w:szCs w:val="22"/>
        </w:rPr>
        <w:t xml:space="preserve">Lapatinib was not mutagenic in the bacterial reverse mutation assay (Ames test), or clastogenic in Chinese hamster ovary cells or human lymphocytes in vitro, or an in vivo rat bone marrow chromosome aberration assay.  Lapatinib contains an impurity that was genotoxic </w:t>
      </w:r>
      <w:r w:rsidRPr="000B3F7D">
        <w:rPr>
          <w:rFonts w:ascii="Arial" w:hAnsi="Arial" w:cs="Arial"/>
          <w:i/>
          <w:sz w:val="22"/>
          <w:szCs w:val="22"/>
        </w:rPr>
        <w:t>in vitro</w:t>
      </w:r>
      <w:r w:rsidRPr="000B3F7D">
        <w:rPr>
          <w:rFonts w:ascii="Arial" w:hAnsi="Arial" w:cs="Arial"/>
          <w:sz w:val="22"/>
          <w:szCs w:val="22"/>
        </w:rPr>
        <w:t xml:space="preserve"> and </w:t>
      </w:r>
      <w:r w:rsidRPr="000B3F7D">
        <w:rPr>
          <w:rFonts w:ascii="Arial" w:hAnsi="Arial" w:cs="Arial"/>
          <w:i/>
          <w:sz w:val="22"/>
          <w:szCs w:val="22"/>
        </w:rPr>
        <w:t>in vivo</w:t>
      </w:r>
      <w:r w:rsidRPr="000B3F7D">
        <w:rPr>
          <w:rFonts w:ascii="Arial" w:hAnsi="Arial" w:cs="Arial"/>
          <w:sz w:val="22"/>
          <w:szCs w:val="22"/>
        </w:rPr>
        <w:t>, however the levels of this impurity in the drug are considered acceptable given the proposed indication.</w:t>
      </w:r>
    </w:p>
    <w:p w:rsidR="0082524C" w:rsidRPr="000B3F7D" w:rsidRDefault="0082524C" w:rsidP="0082524C">
      <w:pPr>
        <w:pStyle w:val="Text"/>
        <w:spacing w:after="0"/>
        <w:rPr>
          <w:rFonts w:ascii="Arial" w:hAnsi="Arial" w:cs="Arial"/>
          <w:sz w:val="22"/>
          <w:szCs w:val="22"/>
          <w:u w:val="single"/>
        </w:rPr>
      </w:pPr>
    </w:p>
    <w:p w:rsidR="0082524C" w:rsidRPr="000B3F7D" w:rsidRDefault="0082524C" w:rsidP="0082524C">
      <w:pPr>
        <w:pStyle w:val="Text"/>
        <w:spacing w:after="0"/>
        <w:rPr>
          <w:rFonts w:ascii="Arial" w:hAnsi="Arial" w:cs="Arial"/>
          <w:b/>
          <w:sz w:val="22"/>
          <w:szCs w:val="22"/>
        </w:rPr>
      </w:pPr>
      <w:r w:rsidRPr="000B3F7D">
        <w:rPr>
          <w:rFonts w:ascii="Arial" w:hAnsi="Arial" w:cs="Arial"/>
          <w:b/>
          <w:sz w:val="22"/>
          <w:szCs w:val="22"/>
        </w:rPr>
        <w:t>Carcinogenicity:</w:t>
      </w:r>
    </w:p>
    <w:p w:rsidR="0082524C" w:rsidRPr="0082524C" w:rsidRDefault="0082524C" w:rsidP="0082524C">
      <w:pPr>
        <w:pStyle w:val="Text"/>
        <w:spacing w:after="0"/>
        <w:jc w:val="both"/>
        <w:rPr>
          <w:rStyle w:val="CSIchar"/>
          <w:rFonts w:ascii="Arial" w:hAnsi="Arial" w:cs="Arial"/>
          <w:strike/>
          <w:sz w:val="22"/>
          <w:szCs w:val="22"/>
          <w:shd w:val="clear" w:color="auto" w:fill="auto"/>
        </w:rPr>
      </w:pPr>
      <w:r w:rsidRPr="000B3F7D">
        <w:rPr>
          <w:rStyle w:val="CSIchar"/>
          <w:rFonts w:ascii="Arial" w:hAnsi="Arial" w:cs="Arial"/>
          <w:sz w:val="22"/>
          <w:szCs w:val="22"/>
          <w:shd w:val="clear" w:color="auto" w:fill="auto"/>
        </w:rPr>
        <w:t>In oral carcinogenicity studies with lapatinib, severe skin lesions were seen at the highest doses tested which produced exposures based on AUC up to 2-fold in mice and male rats, and up to 8-fold in female rats, the anticipated clinical AUC.  There was no evidence of carcinogenicity in mice. In rats, the incidence of benign haemangioma of the mesenteric lymph nodes was higher in some groups than in concurrent controls, but was within background range.  There was also an increase in renal infarcts and papillary necrosis in female rats at exposures 5 and 8-fold the anticipated clinical AUC.  The relevance of these findings for humans is uncertain.</w:t>
      </w:r>
    </w:p>
    <w:p w:rsidR="0082524C" w:rsidRDefault="0082524C" w:rsidP="007763C8">
      <w:pPr>
        <w:pStyle w:val="Text"/>
        <w:spacing w:after="0"/>
        <w:rPr>
          <w:rStyle w:val="CSIchar"/>
          <w:rFonts w:ascii="Arial" w:hAnsi="Arial" w:cs="Arial"/>
          <w:sz w:val="22"/>
          <w:szCs w:val="22"/>
          <w:u w:val="single"/>
          <w:shd w:val="clear" w:color="auto" w:fill="auto"/>
        </w:rPr>
      </w:pPr>
    </w:p>
    <w:p w:rsidR="00F471CC" w:rsidRPr="000B3F7D" w:rsidRDefault="00F471CC" w:rsidP="007763C8">
      <w:pPr>
        <w:pStyle w:val="Text"/>
        <w:spacing w:after="0"/>
        <w:rPr>
          <w:rStyle w:val="CSIchar"/>
          <w:rFonts w:ascii="Arial" w:hAnsi="Arial" w:cs="Arial"/>
          <w:sz w:val="22"/>
          <w:szCs w:val="22"/>
          <w:u w:val="single"/>
          <w:shd w:val="clear" w:color="auto" w:fill="auto"/>
        </w:rPr>
      </w:pPr>
    </w:p>
    <w:p w:rsidR="00F6584A" w:rsidRPr="000B3F7D" w:rsidRDefault="00BB6DE2" w:rsidP="007763C8">
      <w:pPr>
        <w:pStyle w:val="Text"/>
        <w:spacing w:after="0"/>
        <w:rPr>
          <w:rFonts w:ascii="Arial" w:hAnsi="Arial" w:cs="Arial"/>
          <w:b/>
          <w:sz w:val="22"/>
          <w:szCs w:val="22"/>
          <w:lang w:val="en-US"/>
        </w:rPr>
      </w:pPr>
      <w:r>
        <w:rPr>
          <w:rFonts w:ascii="Arial" w:hAnsi="Arial" w:cs="Arial"/>
          <w:b/>
          <w:sz w:val="22"/>
          <w:szCs w:val="22"/>
          <w:lang w:val="en-US"/>
        </w:rPr>
        <w:t>INTERACTIONS WITH OTHER MEDICINES</w:t>
      </w:r>
    </w:p>
    <w:p w:rsidR="00F6584A" w:rsidRPr="000B3F7D" w:rsidRDefault="00F6584A" w:rsidP="007763C8">
      <w:pPr>
        <w:pStyle w:val="Text"/>
        <w:spacing w:after="0"/>
        <w:jc w:val="both"/>
        <w:rPr>
          <w:rStyle w:val="CSIchar"/>
          <w:rFonts w:ascii="Arial" w:hAnsi="Arial" w:cs="Arial"/>
          <w:sz w:val="22"/>
          <w:szCs w:val="22"/>
          <w:shd w:val="clear" w:color="auto" w:fill="auto"/>
        </w:rPr>
      </w:pPr>
      <w:r w:rsidRPr="000B3F7D">
        <w:rPr>
          <w:rFonts w:ascii="Arial" w:hAnsi="Arial" w:cs="Arial"/>
          <w:sz w:val="22"/>
          <w:szCs w:val="22"/>
        </w:rPr>
        <w:t>TYKERB</w:t>
      </w:r>
      <w:r w:rsidRPr="000B3F7D">
        <w:rPr>
          <w:rStyle w:val="CSIchar"/>
          <w:rFonts w:ascii="Arial" w:hAnsi="Arial" w:cs="Arial"/>
          <w:sz w:val="22"/>
          <w:szCs w:val="22"/>
          <w:shd w:val="clear" w:color="auto" w:fill="auto"/>
        </w:rPr>
        <w:t xml:space="preserve"> is predominantly metabolised by CYP3A (</w:t>
      </w:r>
      <w:r w:rsidRPr="000B3F7D">
        <w:rPr>
          <w:rStyle w:val="CSIchar"/>
          <w:rFonts w:ascii="Arial" w:hAnsi="Arial" w:cs="Arial"/>
          <w:i/>
          <w:sz w:val="22"/>
          <w:szCs w:val="22"/>
          <w:shd w:val="clear" w:color="auto" w:fill="auto"/>
        </w:rPr>
        <w:t>see Pharmacokinetics</w:t>
      </w:r>
      <w:r w:rsidRPr="000B3F7D">
        <w:rPr>
          <w:rStyle w:val="CSIchar"/>
          <w:rFonts w:ascii="Arial" w:hAnsi="Arial" w:cs="Arial"/>
          <w:sz w:val="22"/>
          <w:szCs w:val="22"/>
          <w:shd w:val="clear" w:color="auto" w:fill="auto"/>
        </w:rPr>
        <w:t xml:space="preserve">). </w:t>
      </w:r>
      <w:r w:rsidR="00350A73" w:rsidRPr="000B3F7D">
        <w:rPr>
          <w:rStyle w:val="CSIchar"/>
          <w:rFonts w:ascii="Arial" w:hAnsi="Arial" w:cs="Arial"/>
          <w:sz w:val="22"/>
          <w:szCs w:val="22"/>
          <w:shd w:val="clear" w:color="auto" w:fill="auto"/>
        </w:rPr>
        <w:t xml:space="preserve"> </w:t>
      </w:r>
      <w:r w:rsidRPr="000B3F7D">
        <w:rPr>
          <w:rStyle w:val="CSIchar"/>
          <w:rFonts w:ascii="Arial" w:hAnsi="Arial" w:cs="Arial"/>
          <w:sz w:val="22"/>
          <w:szCs w:val="22"/>
          <w:shd w:val="clear" w:color="auto" w:fill="auto"/>
        </w:rPr>
        <w:t xml:space="preserve">Therefore, inhibitors or inducers of these enzymes may alter the pharmacokinetics of </w:t>
      </w:r>
      <w:r w:rsidRPr="000B3F7D">
        <w:rPr>
          <w:rFonts w:ascii="Arial" w:hAnsi="Arial" w:cs="Arial"/>
          <w:sz w:val="22"/>
          <w:szCs w:val="22"/>
        </w:rPr>
        <w:t>TYKERB</w:t>
      </w:r>
      <w:r w:rsidRPr="000B3F7D">
        <w:rPr>
          <w:rStyle w:val="CSIchar"/>
          <w:rFonts w:ascii="Arial" w:hAnsi="Arial" w:cs="Arial"/>
          <w:sz w:val="22"/>
          <w:szCs w:val="22"/>
          <w:shd w:val="clear" w:color="auto" w:fill="auto"/>
        </w:rPr>
        <w:t>. Coadministration of TYKERB with known inhibitors of CYP3A4 (e.g., ketoconazole</w:t>
      </w:r>
      <w:r w:rsidR="0005438A" w:rsidRPr="000B3F7D">
        <w:rPr>
          <w:rStyle w:val="CSIchar"/>
          <w:rFonts w:ascii="Arial" w:hAnsi="Arial" w:cs="Arial"/>
          <w:sz w:val="22"/>
          <w:szCs w:val="22"/>
          <w:shd w:val="clear" w:color="auto" w:fill="auto"/>
        </w:rPr>
        <w:t>,</w:t>
      </w:r>
      <w:r w:rsidRPr="000B3F7D">
        <w:rPr>
          <w:rStyle w:val="CSIchar"/>
          <w:rFonts w:ascii="Arial" w:hAnsi="Arial" w:cs="Arial"/>
          <w:sz w:val="22"/>
          <w:szCs w:val="22"/>
          <w:shd w:val="clear" w:color="auto" w:fill="auto"/>
        </w:rPr>
        <w:t xml:space="preserve"> itraconazole or grapefruit juice) should proceed with caution and clinical response and adverse events should be carefully monitored (</w:t>
      </w:r>
      <w:r w:rsidRPr="000B3F7D">
        <w:rPr>
          <w:rStyle w:val="CSIchar"/>
          <w:rFonts w:ascii="Arial" w:hAnsi="Arial" w:cs="Arial"/>
          <w:i/>
          <w:sz w:val="22"/>
          <w:szCs w:val="22"/>
          <w:shd w:val="clear" w:color="auto" w:fill="auto"/>
        </w:rPr>
        <w:t>see Precautions</w:t>
      </w:r>
      <w:r w:rsidRPr="000B3F7D">
        <w:rPr>
          <w:rStyle w:val="CSIchar"/>
          <w:rFonts w:ascii="Arial" w:hAnsi="Arial" w:cs="Arial"/>
          <w:sz w:val="22"/>
          <w:szCs w:val="22"/>
          <w:shd w:val="clear" w:color="auto" w:fill="auto"/>
        </w:rPr>
        <w:t xml:space="preserve">).  If patients must be coadministered a strong CYP3A4 inhibitor, based on pharmacokinetic studies, a dose reduction to 500 mg/day of TYKERB is predicted to adjust the TYKERB AUC to the range observed without inhibitors and should be considered. </w:t>
      </w:r>
      <w:r w:rsidR="00350A73" w:rsidRPr="000B3F7D">
        <w:rPr>
          <w:rStyle w:val="CSIchar"/>
          <w:rFonts w:ascii="Arial" w:hAnsi="Arial" w:cs="Arial"/>
          <w:sz w:val="22"/>
          <w:szCs w:val="22"/>
          <w:shd w:val="clear" w:color="auto" w:fill="auto"/>
        </w:rPr>
        <w:t xml:space="preserve"> </w:t>
      </w:r>
      <w:r w:rsidRPr="000B3F7D">
        <w:rPr>
          <w:rStyle w:val="CSIchar"/>
          <w:rFonts w:ascii="Arial" w:hAnsi="Arial" w:cs="Arial"/>
          <w:sz w:val="22"/>
          <w:szCs w:val="22"/>
          <w:shd w:val="clear" w:color="auto" w:fill="auto"/>
        </w:rPr>
        <w:t>However, there are no clinical data with this dose adjustment in patients receiving strong CYP3A4 inhibitors.</w:t>
      </w:r>
      <w:r w:rsidR="00350A73" w:rsidRPr="000B3F7D">
        <w:rPr>
          <w:rStyle w:val="CSIchar"/>
          <w:rFonts w:ascii="Arial" w:hAnsi="Arial" w:cs="Arial"/>
          <w:sz w:val="22"/>
          <w:szCs w:val="22"/>
          <w:shd w:val="clear" w:color="auto" w:fill="auto"/>
        </w:rPr>
        <w:t xml:space="preserve"> </w:t>
      </w:r>
      <w:r w:rsidRPr="000B3F7D">
        <w:rPr>
          <w:rStyle w:val="CSIchar"/>
          <w:rFonts w:ascii="Arial" w:hAnsi="Arial" w:cs="Arial"/>
          <w:sz w:val="22"/>
          <w:szCs w:val="22"/>
          <w:shd w:val="clear" w:color="auto" w:fill="auto"/>
        </w:rPr>
        <w:t xml:space="preserve"> If the strong inhibitor is discontinued, a washout period of approximately 1 week should be allowed before the TYKERB dose is adjusted upward to the indicated dose.</w:t>
      </w:r>
    </w:p>
    <w:p w:rsidR="00F6584A" w:rsidRPr="000B3F7D" w:rsidRDefault="00F6584A" w:rsidP="007763C8">
      <w:pPr>
        <w:pStyle w:val="Text"/>
        <w:spacing w:after="0"/>
        <w:rPr>
          <w:rStyle w:val="CSIchar"/>
          <w:rFonts w:ascii="Arial" w:hAnsi="Arial" w:cs="Arial"/>
          <w:sz w:val="22"/>
          <w:szCs w:val="22"/>
          <w:u w:val="single"/>
          <w:shd w:val="clear" w:color="auto" w:fill="auto"/>
        </w:rPr>
      </w:pPr>
    </w:p>
    <w:p w:rsidR="00F6584A" w:rsidRPr="00990A44" w:rsidRDefault="00F6584A" w:rsidP="007763C8">
      <w:pPr>
        <w:jc w:val="both"/>
        <w:rPr>
          <w:rStyle w:val="CSIchar"/>
          <w:rFonts w:ascii="Arial" w:hAnsi="Arial" w:cs="Arial"/>
          <w:sz w:val="22"/>
          <w:szCs w:val="22"/>
          <w:shd w:val="clear" w:color="auto" w:fill="auto"/>
        </w:rPr>
      </w:pPr>
      <w:r w:rsidRPr="000B3F7D">
        <w:rPr>
          <w:rStyle w:val="CSIchar"/>
          <w:rFonts w:ascii="Arial" w:hAnsi="Arial" w:cs="Arial"/>
          <w:sz w:val="22"/>
          <w:szCs w:val="22"/>
          <w:shd w:val="clear" w:color="auto" w:fill="auto"/>
        </w:rPr>
        <w:t>Coadministration of TYKERB with known inducers of CYP3A4 (e.g., rifamp</w:t>
      </w:r>
      <w:r w:rsidR="00A45754" w:rsidRPr="000B3F7D">
        <w:rPr>
          <w:rStyle w:val="CSIchar"/>
          <w:rFonts w:ascii="Arial" w:hAnsi="Arial" w:cs="Arial"/>
          <w:sz w:val="22"/>
          <w:szCs w:val="22"/>
          <w:shd w:val="clear" w:color="auto" w:fill="auto"/>
        </w:rPr>
        <w:t>ic</w:t>
      </w:r>
      <w:r w:rsidRPr="000B3F7D">
        <w:rPr>
          <w:rStyle w:val="CSIchar"/>
          <w:rFonts w:ascii="Arial" w:hAnsi="Arial" w:cs="Arial"/>
          <w:sz w:val="22"/>
          <w:szCs w:val="22"/>
          <w:shd w:val="clear" w:color="auto" w:fill="auto"/>
        </w:rPr>
        <w:t>in, carbamazepine, or phenytoin) should proceed with caution and clinical response and adverse events should be carefully monitored (</w:t>
      </w:r>
      <w:r w:rsidRPr="000B3F7D">
        <w:rPr>
          <w:rStyle w:val="CSIchar"/>
          <w:rFonts w:ascii="Arial" w:hAnsi="Arial" w:cs="Arial"/>
          <w:i/>
          <w:sz w:val="22"/>
          <w:szCs w:val="22"/>
          <w:shd w:val="clear" w:color="auto" w:fill="auto"/>
        </w:rPr>
        <w:t>see Precautions</w:t>
      </w:r>
      <w:r w:rsidRPr="000B3F7D">
        <w:rPr>
          <w:rStyle w:val="CSIchar"/>
          <w:rFonts w:ascii="Arial" w:hAnsi="Arial" w:cs="Arial"/>
          <w:sz w:val="22"/>
          <w:szCs w:val="22"/>
          <w:shd w:val="clear" w:color="auto" w:fill="auto"/>
        </w:rPr>
        <w:t xml:space="preserve">).  </w:t>
      </w:r>
      <w:r w:rsidRPr="000B3F7D">
        <w:rPr>
          <w:rFonts w:ascii="Arial" w:hAnsi="Arial" w:cs="Arial"/>
          <w:sz w:val="22"/>
          <w:szCs w:val="22"/>
        </w:rPr>
        <w:t>If patients must be coadministered a strong CYP3A4 inducer, the dose of TYKERB should be titrated gradually</w:t>
      </w:r>
      <w:r w:rsidR="002C669E" w:rsidRPr="000B3F7D">
        <w:rPr>
          <w:rFonts w:ascii="Arial" w:hAnsi="Arial" w:cs="Arial"/>
          <w:sz w:val="22"/>
          <w:szCs w:val="22"/>
        </w:rPr>
        <w:t>,</w:t>
      </w:r>
      <w:r w:rsidR="002C669E" w:rsidRPr="000B3F7D">
        <w:rPr>
          <w:rFonts w:ascii="Arial" w:hAnsi="Arial" w:cs="Arial"/>
          <w:b/>
          <w:sz w:val="22"/>
          <w:szCs w:val="22"/>
        </w:rPr>
        <w:t xml:space="preserve"> </w:t>
      </w:r>
      <w:r w:rsidRPr="000B3F7D">
        <w:rPr>
          <w:rFonts w:ascii="Arial" w:hAnsi="Arial" w:cs="Arial"/>
          <w:sz w:val="22"/>
          <w:szCs w:val="22"/>
        </w:rPr>
        <w:t xml:space="preserve">based on tolerability. </w:t>
      </w:r>
      <w:r w:rsidR="00350A73" w:rsidRPr="000B3F7D">
        <w:rPr>
          <w:rFonts w:ascii="Arial" w:hAnsi="Arial" w:cs="Arial"/>
          <w:sz w:val="22"/>
          <w:szCs w:val="22"/>
        </w:rPr>
        <w:t xml:space="preserve"> </w:t>
      </w:r>
      <w:r w:rsidR="00F368CF" w:rsidRPr="000B3F7D">
        <w:rPr>
          <w:rFonts w:ascii="Arial" w:hAnsi="Arial" w:cs="Arial"/>
          <w:sz w:val="22"/>
          <w:szCs w:val="22"/>
        </w:rPr>
        <w:t>However, t</w:t>
      </w:r>
      <w:r w:rsidRPr="000B3F7D">
        <w:rPr>
          <w:rFonts w:ascii="Arial" w:hAnsi="Arial" w:cs="Arial"/>
          <w:sz w:val="22"/>
          <w:szCs w:val="22"/>
        </w:rPr>
        <w:t xml:space="preserve">here are no clinical data with this dose adjustment in patients receiving strong CYP3A4 inducers. </w:t>
      </w:r>
      <w:r w:rsidR="00350A73" w:rsidRPr="000B3F7D">
        <w:rPr>
          <w:rFonts w:ascii="Arial" w:hAnsi="Arial" w:cs="Arial"/>
          <w:sz w:val="22"/>
          <w:szCs w:val="22"/>
        </w:rPr>
        <w:t xml:space="preserve"> </w:t>
      </w:r>
      <w:r w:rsidRPr="000B3F7D">
        <w:rPr>
          <w:rFonts w:ascii="Arial" w:hAnsi="Arial" w:cs="Arial"/>
          <w:sz w:val="22"/>
          <w:szCs w:val="22"/>
        </w:rPr>
        <w:t xml:space="preserve">If the strong inducer is </w:t>
      </w:r>
      <w:r w:rsidRPr="00990A44">
        <w:rPr>
          <w:rFonts w:ascii="Arial" w:hAnsi="Arial" w:cs="Arial"/>
          <w:sz w:val="22"/>
          <w:szCs w:val="22"/>
        </w:rPr>
        <w:t xml:space="preserve">discontinued the TYKERB dose should be reduced over approximately 2 weeks to the indicated dose. </w:t>
      </w:r>
      <w:r w:rsidRPr="00990A44">
        <w:rPr>
          <w:rStyle w:val="CSIchar"/>
          <w:rFonts w:ascii="Arial" w:hAnsi="Arial" w:cs="Arial"/>
          <w:sz w:val="22"/>
          <w:szCs w:val="22"/>
          <w:shd w:val="clear" w:color="auto" w:fill="auto"/>
        </w:rPr>
        <w:t xml:space="preserve"> </w:t>
      </w:r>
    </w:p>
    <w:p w:rsidR="00F6584A" w:rsidRPr="00990A44" w:rsidRDefault="00F6584A" w:rsidP="007763C8">
      <w:pPr>
        <w:rPr>
          <w:rStyle w:val="CSIchar"/>
          <w:rFonts w:ascii="Arial" w:hAnsi="Arial" w:cs="Arial"/>
          <w:sz w:val="22"/>
          <w:szCs w:val="22"/>
          <w:shd w:val="clear" w:color="auto" w:fill="auto"/>
        </w:rPr>
      </w:pPr>
    </w:p>
    <w:p w:rsidR="000802FD" w:rsidRPr="00627B32" w:rsidRDefault="000802FD" w:rsidP="000802FD">
      <w:pPr>
        <w:jc w:val="both"/>
        <w:rPr>
          <w:rStyle w:val="CSIchar"/>
          <w:rFonts w:ascii="Arial" w:hAnsi="Arial" w:cs="Arial"/>
          <w:sz w:val="22"/>
          <w:szCs w:val="22"/>
          <w:shd w:val="clear" w:color="auto" w:fill="auto"/>
        </w:rPr>
      </w:pPr>
      <w:r w:rsidRPr="00990A44">
        <w:rPr>
          <w:rStyle w:val="CSIchar"/>
          <w:rFonts w:ascii="Arial" w:hAnsi="Arial" w:cs="Arial"/>
          <w:sz w:val="22"/>
          <w:szCs w:val="22"/>
          <w:shd w:val="clear" w:color="auto" w:fill="auto"/>
        </w:rPr>
        <w:t xml:space="preserve">The solubility of TYKERB is pH-dependent.  Concomitant treatment with substances that increase gastric pH should be avoided since TYKERB solubility and absorption may decrease.  Pre-treatment with a proton pump inhibitor (esomeprazole) decreased TYKERB exposure by an average of 27% (range: 6% to 49 %). </w:t>
      </w:r>
      <w:r w:rsidR="00990A44">
        <w:rPr>
          <w:rStyle w:val="CSIchar"/>
          <w:rFonts w:ascii="Arial" w:hAnsi="Arial" w:cs="Arial"/>
          <w:sz w:val="22"/>
          <w:szCs w:val="22"/>
          <w:shd w:val="clear" w:color="auto" w:fill="auto"/>
        </w:rPr>
        <w:t xml:space="preserve"> </w:t>
      </w:r>
      <w:r w:rsidRPr="00990A44">
        <w:rPr>
          <w:rStyle w:val="CSIchar"/>
          <w:rFonts w:ascii="Arial" w:hAnsi="Arial" w:cs="Arial"/>
          <w:sz w:val="22"/>
          <w:szCs w:val="22"/>
          <w:shd w:val="clear" w:color="auto" w:fill="auto"/>
        </w:rPr>
        <w:t>This effect decreases with increasing age fro</w:t>
      </w:r>
      <w:r w:rsidR="00990A44">
        <w:rPr>
          <w:rStyle w:val="CSIchar"/>
          <w:rFonts w:ascii="Arial" w:hAnsi="Arial" w:cs="Arial"/>
          <w:sz w:val="22"/>
          <w:szCs w:val="22"/>
          <w:shd w:val="clear" w:color="auto" w:fill="auto"/>
        </w:rPr>
        <w:t>m approximately 40 to 60 years.</w:t>
      </w:r>
      <w:r w:rsidRPr="00990A44">
        <w:rPr>
          <w:rStyle w:val="CSIchar"/>
          <w:rFonts w:ascii="Arial" w:hAnsi="Arial" w:cs="Arial"/>
          <w:sz w:val="22"/>
          <w:szCs w:val="22"/>
          <w:shd w:val="clear" w:color="auto" w:fill="auto"/>
        </w:rPr>
        <w:t xml:space="preserve"> </w:t>
      </w:r>
      <w:r w:rsidR="00990A44">
        <w:rPr>
          <w:rStyle w:val="CSIchar"/>
          <w:rFonts w:ascii="Arial" w:hAnsi="Arial" w:cs="Arial"/>
          <w:sz w:val="22"/>
          <w:szCs w:val="22"/>
          <w:shd w:val="clear" w:color="auto" w:fill="auto"/>
        </w:rPr>
        <w:t xml:space="preserve"> </w:t>
      </w:r>
      <w:r w:rsidRPr="00990A44">
        <w:rPr>
          <w:rStyle w:val="CSIchar"/>
          <w:rFonts w:ascii="Arial" w:hAnsi="Arial" w:cs="Arial"/>
          <w:sz w:val="22"/>
          <w:szCs w:val="22"/>
          <w:shd w:val="clear" w:color="auto" w:fill="auto"/>
        </w:rPr>
        <w:t>Therefore, caution should be used when</w:t>
      </w:r>
      <w:r w:rsidRPr="000802FD">
        <w:rPr>
          <w:rStyle w:val="CSIchar"/>
          <w:rFonts w:ascii="Arial" w:hAnsi="Arial" w:cs="Arial"/>
          <w:sz w:val="22"/>
          <w:szCs w:val="22"/>
          <w:shd w:val="clear" w:color="auto" w:fill="auto"/>
        </w:rPr>
        <w:t xml:space="preserve"> TYKERB is used in patients pre-treated with a proton pump inhibitor.</w:t>
      </w:r>
    </w:p>
    <w:p w:rsidR="000802FD" w:rsidRPr="000B3F7D" w:rsidRDefault="000802FD" w:rsidP="007763C8">
      <w:pPr>
        <w:rPr>
          <w:rStyle w:val="CSIchar"/>
          <w:rFonts w:ascii="Arial" w:hAnsi="Arial" w:cs="Arial"/>
          <w:sz w:val="22"/>
          <w:szCs w:val="22"/>
          <w:u w:val="single"/>
          <w:shd w:val="clear" w:color="auto" w:fill="auto"/>
        </w:rPr>
      </w:pPr>
    </w:p>
    <w:p w:rsidR="00D01DBB" w:rsidRPr="000B3F7D" w:rsidRDefault="00F6584A" w:rsidP="007763C8">
      <w:pPr>
        <w:jc w:val="both"/>
        <w:rPr>
          <w:rStyle w:val="CSIchar"/>
          <w:rFonts w:ascii="Arial" w:hAnsi="Arial" w:cs="Arial"/>
          <w:sz w:val="22"/>
          <w:szCs w:val="22"/>
          <w:shd w:val="clear" w:color="auto" w:fill="auto"/>
        </w:rPr>
      </w:pPr>
      <w:r w:rsidRPr="000B3F7D">
        <w:rPr>
          <w:rFonts w:ascii="Arial" w:hAnsi="Arial" w:cs="Arial"/>
          <w:sz w:val="22"/>
          <w:szCs w:val="22"/>
        </w:rPr>
        <w:t>TYKERB</w:t>
      </w:r>
      <w:r w:rsidRPr="000B3F7D">
        <w:rPr>
          <w:rStyle w:val="CSIchar"/>
          <w:rFonts w:ascii="Arial" w:hAnsi="Arial" w:cs="Arial"/>
          <w:sz w:val="22"/>
          <w:szCs w:val="22"/>
          <w:shd w:val="clear" w:color="auto" w:fill="auto"/>
        </w:rPr>
        <w:t xml:space="preserve"> inhibits CYP3A4</w:t>
      </w:r>
      <w:r w:rsidRPr="000B3F7D">
        <w:rPr>
          <w:rStyle w:val="CSIchar"/>
          <w:rFonts w:ascii="Arial" w:hAnsi="Arial" w:cs="Arial"/>
          <w:i/>
          <w:sz w:val="22"/>
          <w:szCs w:val="22"/>
          <w:shd w:val="clear" w:color="auto" w:fill="auto"/>
        </w:rPr>
        <w:t xml:space="preserve"> in vitro</w:t>
      </w:r>
      <w:r w:rsidRPr="000B3F7D">
        <w:rPr>
          <w:rStyle w:val="CSIchar"/>
          <w:rFonts w:ascii="Arial" w:hAnsi="Arial" w:cs="Arial"/>
          <w:sz w:val="22"/>
          <w:szCs w:val="22"/>
          <w:shd w:val="clear" w:color="auto" w:fill="auto"/>
        </w:rPr>
        <w:t xml:space="preserve"> at clinically relevant concentrations. </w:t>
      </w:r>
      <w:r w:rsidR="00A043D3" w:rsidRPr="00571E33">
        <w:rPr>
          <w:rFonts w:ascii="Arial" w:hAnsi="Arial" w:cs="Arial"/>
          <w:sz w:val="22"/>
          <w:szCs w:val="22"/>
        </w:rPr>
        <w:t xml:space="preserve">Coadministration of lapatinib with orally administered midazolam resulted in an approximate 45% increase in the AUC of midazolam. There was no clinically meaningful increase in AUC when midazolam was dosed intravenously.  </w:t>
      </w:r>
      <w:r w:rsidRPr="000B3F7D">
        <w:rPr>
          <w:rStyle w:val="CSIchar"/>
          <w:rFonts w:ascii="Arial" w:hAnsi="Arial" w:cs="Arial"/>
          <w:sz w:val="22"/>
          <w:szCs w:val="22"/>
          <w:shd w:val="clear" w:color="auto" w:fill="auto"/>
        </w:rPr>
        <w:t xml:space="preserve">Caution should be exercised when dosing TYKERB concurrently with </w:t>
      </w:r>
      <w:r w:rsidR="00A043D3">
        <w:rPr>
          <w:rStyle w:val="CSIchar"/>
          <w:rFonts w:ascii="Arial" w:hAnsi="Arial" w:cs="Arial"/>
          <w:sz w:val="22"/>
          <w:szCs w:val="22"/>
          <w:shd w:val="clear" w:color="auto" w:fill="auto"/>
        </w:rPr>
        <w:t xml:space="preserve">orally administered </w:t>
      </w:r>
      <w:r w:rsidRPr="000B3F7D">
        <w:rPr>
          <w:rStyle w:val="CSIchar"/>
          <w:rFonts w:ascii="Arial" w:hAnsi="Arial" w:cs="Arial"/>
          <w:sz w:val="22"/>
          <w:szCs w:val="22"/>
          <w:shd w:val="clear" w:color="auto" w:fill="auto"/>
        </w:rPr>
        <w:t>medications with narrow therapeutic windows that are substrates of CYP3A4 (</w:t>
      </w:r>
      <w:r w:rsidRPr="000B3F7D">
        <w:rPr>
          <w:rStyle w:val="CSIchar"/>
          <w:rFonts w:ascii="Arial" w:hAnsi="Arial" w:cs="Arial"/>
          <w:i/>
          <w:sz w:val="22"/>
          <w:szCs w:val="22"/>
          <w:shd w:val="clear" w:color="auto" w:fill="auto"/>
        </w:rPr>
        <w:t>see Pharmacokinetics</w:t>
      </w:r>
      <w:r w:rsidRPr="000B3F7D">
        <w:rPr>
          <w:rStyle w:val="CSIchar"/>
          <w:rFonts w:ascii="Arial" w:hAnsi="Arial" w:cs="Arial"/>
          <w:sz w:val="22"/>
          <w:szCs w:val="22"/>
          <w:shd w:val="clear" w:color="auto" w:fill="auto"/>
        </w:rPr>
        <w:t>).</w:t>
      </w:r>
      <w:bookmarkStart w:id="7" w:name="_DV_M74"/>
      <w:bookmarkEnd w:id="7"/>
      <w:r w:rsidRPr="000B3F7D">
        <w:rPr>
          <w:rStyle w:val="CSIchar"/>
          <w:rFonts w:ascii="Arial" w:hAnsi="Arial" w:cs="Arial"/>
          <w:sz w:val="22"/>
          <w:szCs w:val="22"/>
          <w:shd w:val="clear" w:color="auto" w:fill="auto"/>
        </w:rPr>
        <w:t xml:space="preserve"> </w:t>
      </w:r>
      <w:r w:rsidR="00D01DBB" w:rsidRPr="000B3F7D">
        <w:rPr>
          <w:rStyle w:val="CommentReference"/>
          <w:rFonts w:ascii="Arial" w:hAnsi="Arial" w:cs="Arial"/>
          <w:vanish/>
          <w:sz w:val="22"/>
          <w:szCs w:val="22"/>
        </w:rPr>
        <w:t xml:space="preserve"> </w:t>
      </w:r>
    </w:p>
    <w:p w:rsidR="00F6584A" w:rsidRPr="000B3F7D" w:rsidRDefault="00F6584A" w:rsidP="007763C8">
      <w:pPr>
        <w:pStyle w:val="Text"/>
        <w:spacing w:after="0"/>
        <w:rPr>
          <w:rFonts w:ascii="Arial" w:hAnsi="Arial" w:cs="Arial"/>
          <w:sz w:val="22"/>
          <w:szCs w:val="22"/>
        </w:rPr>
      </w:pPr>
    </w:p>
    <w:p w:rsidR="00A043D3" w:rsidRDefault="003946BA" w:rsidP="00A043D3">
      <w:pPr>
        <w:jc w:val="both"/>
        <w:rPr>
          <w:rFonts w:ascii="Arial" w:hAnsi="Arial" w:cs="Arial"/>
          <w:sz w:val="22"/>
          <w:szCs w:val="22"/>
        </w:rPr>
      </w:pPr>
      <w:r>
        <w:rPr>
          <w:rFonts w:ascii="Arial" w:hAnsi="Arial" w:cs="Arial"/>
          <w:sz w:val="22"/>
          <w:szCs w:val="22"/>
        </w:rPr>
        <w:t>TYKERB</w:t>
      </w:r>
      <w:r w:rsidRPr="00571E33">
        <w:rPr>
          <w:rFonts w:ascii="Arial" w:hAnsi="Arial" w:cs="Arial"/>
          <w:sz w:val="22"/>
          <w:szCs w:val="22"/>
        </w:rPr>
        <w:t xml:space="preserve"> </w:t>
      </w:r>
      <w:r w:rsidR="00A043D3" w:rsidRPr="00A043D3">
        <w:rPr>
          <w:rFonts w:ascii="Arial" w:hAnsi="Arial" w:cs="Arial"/>
          <w:sz w:val="22"/>
          <w:szCs w:val="22"/>
        </w:rPr>
        <w:t xml:space="preserve">inhibits CYP2C8 at clinically relevant concentrations. Caution should be exercised (see Pharmacokinetics) when dosing lapatinib concurrently with medications with narrow therapeutic windows that are substrates of CYP2C8 </w:t>
      </w:r>
      <w:r w:rsidR="00C130A9">
        <w:rPr>
          <w:rFonts w:ascii="Arial" w:hAnsi="Arial" w:cs="Arial"/>
          <w:sz w:val="22"/>
          <w:szCs w:val="22"/>
        </w:rPr>
        <w:t>(</w:t>
      </w:r>
      <w:r w:rsidR="00C130A9" w:rsidRPr="00C130A9">
        <w:rPr>
          <w:rFonts w:ascii="Arial" w:hAnsi="Arial" w:cs="Arial"/>
          <w:i/>
          <w:sz w:val="22"/>
          <w:szCs w:val="22"/>
        </w:rPr>
        <w:t>see Pharmacokinetics</w:t>
      </w:r>
      <w:r w:rsidR="00C130A9">
        <w:rPr>
          <w:rFonts w:ascii="Arial" w:hAnsi="Arial" w:cs="Arial"/>
          <w:sz w:val="22"/>
          <w:szCs w:val="22"/>
        </w:rPr>
        <w:t>)</w:t>
      </w:r>
      <w:r w:rsidR="00A043D3" w:rsidRPr="00A043D3">
        <w:rPr>
          <w:rFonts w:ascii="Arial" w:hAnsi="Arial" w:cs="Arial"/>
          <w:sz w:val="22"/>
          <w:szCs w:val="22"/>
        </w:rPr>
        <w:t>.</w:t>
      </w:r>
    </w:p>
    <w:p w:rsidR="00A043D3" w:rsidRDefault="00A043D3" w:rsidP="007763C8">
      <w:pPr>
        <w:jc w:val="both"/>
        <w:rPr>
          <w:rFonts w:ascii="Arial" w:hAnsi="Arial" w:cs="Arial"/>
          <w:sz w:val="22"/>
          <w:szCs w:val="22"/>
        </w:rPr>
      </w:pPr>
    </w:p>
    <w:p w:rsidR="00C130A9" w:rsidRPr="00691484" w:rsidRDefault="00C130A9" w:rsidP="007763C8">
      <w:pPr>
        <w:jc w:val="both"/>
        <w:rPr>
          <w:rFonts w:ascii="Arial" w:hAnsi="Arial" w:cs="Arial"/>
          <w:sz w:val="22"/>
          <w:szCs w:val="22"/>
        </w:rPr>
      </w:pPr>
      <w:r>
        <w:rPr>
          <w:rFonts w:ascii="Arial" w:hAnsi="Arial" w:cs="Arial"/>
          <w:sz w:val="22"/>
          <w:szCs w:val="22"/>
        </w:rPr>
        <w:t>Coadministration of lapatinib with intravenous paclitaxel increased the exposure of paclitaxel by 23%, due to lapatinib inhibition of CYP2C8 and/or P-glycoprotein (Pgp).  An increase in the incidence and severity of diarrhoea and neutropenia has been observed with this combination in clinical trials.  Caution is advised when lapatinib is coadministered with paclitaxel.</w:t>
      </w:r>
    </w:p>
    <w:p w:rsidR="00297C6B" w:rsidRDefault="00297C6B" w:rsidP="007763C8">
      <w:pPr>
        <w:jc w:val="both"/>
        <w:rPr>
          <w:rFonts w:ascii="Arial" w:hAnsi="Arial" w:cs="Arial"/>
          <w:sz w:val="22"/>
          <w:szCs w:val="22"/>
        </w:rPr>
      </w:pPr>
    </w:p>
    <w:p w:rsidR="00D01DBB" w:rsidRDefault="003946BA" w:rsidP="007763C8">
      <w:pPr>
        <w:jc w:val="both"/>
        <w:rPr>
          <w:rFonts w:ascii="Arial" w:hAnsi="Arial" w:cs="Arial"/>
          <w:sz w:val="22"/>
          <w:szCs w:val="22"/>
        </w:rPr>
      </w:pPr>
      <w:r>
        <w:rPr>
          <w:rFonts w:ascii="Arial" w:hAnsi="Arial" w:cs="Arial"/>
          <w:sz w:val="22"/>
          <w:szCs w:val="22"/>
        </w:rPr>
        <w:t>TYKERB</w:t>
      </w:r>
      <w:r w:rsidRPr="000B3F7D">
        <w:rPr>
          <w:rFonts w:ascii="Arial" w:hAnsi="Arial" w:cs="Arial"/>
          <w:sz w:val="22"/>
          <w:szCs w:val="22"/>
        </w:rPr>
        <w:t xml:space="preserve"> </w:t>
      </w:r>
      <w:r w:rsidR="00D01DBB" w:rsidRPr="000B3F7D">
        <w:rPr>
          <w:rFonts w:ascii="Arial" w:hAnsi="Arial" w:cs="Arial"/>
          <w:sz w:val="22"/>
          <w:szCs w:val="22"/>
        </w:rPr>
        <w:t xml:space="preserve">is a substrate for the transport </w:t>
      </w:r>
      <w:r w:rsidR="00D01DBB" w:rsidRPr="00A043D3">
        <w:rPr>
          <w:rFonts w:ascii="Arial" w:hAnsi="Arial" w:cs="Arial"/>
          <w:sz w:val="22"/>
          <w:szCs w:val="22"/>
        </w:rPr>
        <w:t xml:space="preserve">proteins </w:t>
      </w:r>
      <w:r w:rsidR="00A043D3" w:rsidRPr="00A043D3">
        <w:rPr>
          <w:rFonts w:ascii="Arial" w:hAnsi="Arial" w:cs="Arial"/>
          <w:sz w:val="22"/>
          <w:szCs w:val="22"/>
        </w:rPr>
        <w:t>P-glycoprotein</w:t>
      </w:r>
      <w:r w:rsidR="00D01DBB" w:rsidRPr="000B3F7D">
        <w:rPr>
          <w:rFonts w:ascii="Arial" w:hAnsi="Arial" w:cs="Arial"/>
          <w:sz w:val="22"/>
          <w:szCs w:val="22"/>
        </w:rPr>
        <w:t xml:space="preserve"> and BCRP</w:t>
      </w:r>
      <w:r w:rsidR="00A043D3">
        <w:rPr>
          <w:rFonts w:ascii="Arial" w:hAnsi="Arial" w:cs="Arial"/>
          <w:sz w:val="22"/>
          <w:szCs w:val="22"/>
        </w:rPr>
        <w:t xml:space="preserve"> </w:t>
      </w:r>
      <w:r w:rsidR="00A043D3" w:rsidRPr="00571E33">
        <w:rPr>
          <w:rFonts w:ascii="Arial" w:hAnsi="Arial" w:cs="Arial"/>
          <w:sz w:val="22"/>
          <w:szCs w:val="22"/>
        </w:rPr>
        <w:t>(Breast Cancer Resistance Protein)</w:t>
      </w:r>
      <w:r w:rsidR="00D01DBB" w:rsidRPr="000B3F7D">
        <w:rPr>
          <w:rFonts w:ascii="Arial" w:hAnsi="Arial" w:cs="Arial"/>
          <w:sz w:val="22"/>
          <w:szCs w:val="22"/>
        </w:rPr>
        <w:t xml:space="preserve">. Inhibitors and inducers of these proteins may alter the exposure and/or distribution of </w:t>
      </w:r>
      <w:r w:rsidR="00A043D3">
        <w:rPr>
          <w:rFonts w:ascii="Arial" w:hAnsi="Arial" w:cs="Arial"/>
          <w:sz w:val="22"/>
          <w:szCs w:val="22"/>
        </w:rPr>
        <w:t>lapatinib</w:t>
      </w:r>
      <w:r w:rsidR="00D01DBB" w:rsidRPr="000B3F7D">
        <w:rPr>
          <w:rFonts w:ascii="Arial" w:hAnsi="Arial" w:cs="Arial"/>
          <w:sz w:val="22"/>
          <w:szCs w:val="22"/>
        </w:rPr>
        <w:t xml:space="preserve">. </w:t>
      </w:r>
    </w:p>
    <w:p w:rsidR="00A043D3" w:rsidRDefault="00A043D3" w:rsidP="007763C8">
      <w:pPr>
        <w:jc w:val="both"/>
        <w:rPr>
          <w:rFonts w:ascii="Arial" w:hAnsi="Arial" w:cs="Arial"/>
          <w:sz w:val="22"/>
          <w:szCs w:val="22"/>
        </w:rPr>
      </w:pPr>
    </w:p>
    <w:p w:rsidR="00A043D3" w:rsidRPr="00571E33" w:rsidRDefault="003946BA" w:rsidP="00A043D3">
      <w:pPr>
        <w:jc w:val="both"/>
        <w:rPr>
          <w:rFonts w:ascii="Arial" w:hAnsi="Arial" w:cs="Arial"/>
          <w:sz w:val="22"/>
          <w:szCs w:val="22"/>
        </w:rPr>
      </w:pPr>
      <w:r>
        <w:rPr>
          <w:rFonts w:ascii="Arial" w:hAnsi="Arial" w:cs="Arial"/>
          <w:sz w:val="22"/>
          <w:szCs w:val="22"/>
        </w:rPr>
        <w:t>TYKERB</w:t>
      </w:r>
      <w:r w:rsidRPr="00571E33">
        <w:rPr>
          <w:rFonts w:ascii="Arial" w:hAnsi="Arial" w:cs="Arial"/>
          <w:sz w:val="22"/>
          <w:szCs w:val="22"/>
        </w:rPr>
        <w:t xml:space="preserve"> </w:t>
      </w:r>
      <w:r w:rsidR="00A043D3" w:rsidRPr="00571E33">
        <w:rPr>
          <w:rFonts w:ascii="Arial" w:hAnsi="Arial" w:cs="Arial"/>
          <w:sz w:val="22"/>
          <w:szCs w:val="22"/>
        </w:rPr>
        <w:t xml:space="preserve">inhibits the transport </w:t>
      </w:r>
      <w:r w:rsidR="00A043D3" w:rsidRPr="00A043D3">
        <w:rPr>
          <w:rFonts w:ascii="Arial" w:hAnsi="Arial" w:cs="Arial"/>
          <w:sz w:val="22"/>
          <w:szCs w:val="22"/>
        </w:rPr>
        <w:t>protein P-glycoprotein</w:t>
      </w:r>
      <w:r w:rsidR="00A043D3" w:rsidRPr="00571E33">
        <w:rPr>
          <w:rFonts w:ascii="Arial" w:hAnsi="Arial" w:cs="Arial"/>
          <w:sz w:val="22"/>
          <w:szCs w:val="22"/>
        </w:rPr>
        <w:t xml:space="preserve"> in vitro at clinically relevant concentrations. Coadministration of lapatinib with </w:t>
      </w:r>
      <w:r w:rsidR="00A043D3">
        <w:rPr>
          <w:rFonts w:ascii="Arial" w:hAnsi="Arial" w:cs="Arial"/>
          <w:sz w:val="22"/>
          <w:szCs w:val="22"/>
        </w:rPr>
        <w:t>orally</w:t>
      </w:r>
      <w:r w:rsidR="00A043D3" w:rsidRPr="00571E33">
        <w:rPr>
          <w:rFonts w:ascii="Arial" w:hAnsi="Arial" w:cs="Arial"/>
          <w:sz w:val="22"/>
          <w:szCs w:val="22"/>
        </w:rPr>
        <w:t xml:space="preserve"> administered digoxin resulted in an approximate 98% increase in the AUC of digoxin. Caution should be exercised when dosing lapatinib concurrently with medications with narrow therapeutic windows that are substrates of Pgp.</w:t>
      </w:r>
    </w:p>
    <w:p w:rsidR="00D01DBB" w:rsidRPr="000B3F7D" w:rsidRDefault="00D01DBB" w:rsidP="007763C8">
      <w:pPr>
        <w:rPr>
          <w:rStyle w:val="CSIchar"/>
          <w:rFonts w:ascii="Arial" w:hAnsi="Arial" w:cs="Arial"/>
          <w:sz w:val="22"/>
          <w:szCs w:val="22"/>
          <w:shd w:val="clear" w:color="auto" w:fill="auto"/>
        </w:rPr>
      </w:pPr>
    </w:p>
    <w:p w:rsidR="00D01DBB" w:rsidRPr="000B3F7D" w:rsidRDefault="00D01DBB" w:rsidP="007763C8">
      <w:pPr>
        <w:jc w:val="both"/>
        <w:rPr>
          <w:rFonts w:ascii="Arial" w:hAnsi="Arial" w:cs="Arial"/>
          <w:sz w:val="22"/>
          <w:szCs w:val="22"/>
        </w:rPr>
      </w:pPr>
      <w:r w:rsidRPr="000B3F7D">
        <w:rPr>
          <w:rStyle w:val="CSIchar"/>
          <w:rFonts w:ascii="Arial" w:hAnsi="Arial" w:cs="Arial"/>
          <w:sz w:val="22"/>
          <w:szCs w:val="22"/>
          <w:shd w:val="clear" w:color="auto" w:fill="auto"/>
        </w:rPr>
        <w:t xml:space="preserve">Lapatinib inhibits the transport proteins BCRP and OATP1B1 in vitro. </w:t>
      </w:r>
      <w:r w:rsidR="001D72CC" w:rsidRPr="000B3F7D">
        <w:rPr>
          <w:rStyle w:val="CSIchar"/>
          <w:rFonts w:ascii="Arial" w:hAnsi="Arial" w:cs="Arial"/>
          <w:sz w:val="22"/>
          <w:szCs w:val="22"/>
          <w:shd w:val="clear" w:color="auto" w:fill="auto"/>
        </w:rPr>
        <w:t xml:space="preserve"> </w:t>
      </w:r>
      <w:r w:rsidRPr="000B3F7D">
        <w:rPr>
          <w:rStyle w:val="CSIchar"/>
          <w:rFonts w:ascii="Arial" w:hAnsi="Arial" w:cs="Arial"/>
          <w:sz w:val="22"/>
          <w:szCs w:val="22"/>
          <w:shd w:val="clear" w:color="auto" w:fill="auto"/>
        </w:rPr>
        <w:t xml:space="preserve">The clinical relevance of this effect has not been evaluated. </w:t>
      </w:r>
      <w:r w:rsidR="001D72CC" w:rsidRPr="000B3F7D">
        <w:rPr>
          <w:rStyle w:val="CSIchar"/>
          <w:rFonts w:ascii="Arial" w:hAnsi="Arial" w:cs="Arial"/>
          <w:sz w:val="22"/>
          <w:szCs w:val="22"/>
          <w:shd w:val="clear" w:color="auto" w:fill="auto"/>
        </w:rPr>
        <w:t xml:space="preserve"> </w:t>
      </w:r>
      <w:r w:rsidRPr="000B3F7D">
        <w:rPr>
          <w:rStyle w:val="CSIchar"/>
          <w:rFonts w:ascii="Arial" w:hAnsi="Arial" w:cs="Arial"/>
          <w:sz w:val="22"/>
          <w:szCs w:val="22"/>
          <w:shd w:val="clear" w:color="auto" w:fill="auto"/>
        </w:rPr>
        <w:t>It cannot be excluded that lapatinib will affect the pharmacokinetics of substrates of BCRP (e.g. topotecan) and OATP1B1 (e.g. rosuvastatin)</w:t>
      </w:r>
      <w:r w:rsidRPr="000B3F7D">
        <w:rPr>
          <w:rFonts w:ascii="Arial" w:hAnsi="Arial" w:cs="Arial"/>
          <w:sz w:val="22"/>
          <w:szCs w:val="22"/>
        </w:rPr>
        <w:t>.</w:t>
      </w:r>
    </w:p>
    <w:p w:rsidR="00D01DBB" w:rsidRPr="000B3F7D" w:rsidRDefault="00D01DBB" w:rsidP="007763C8">
      <w:pPr>
        <w:rPr>
          <w:rStyle w:val="CSIchar"/>
          <w:rFonts w:ascii="Arial" w:hAnsi="Arial" w:cs="Arial"/>
          <w:sz w:val="22"/>
          <w:szCs w:val="22"/>
          <w:u w:val="single"/>
          <w:shd w:val="clear" w:color="auto" w:fill="auto"/>
        </w:rPr>
      </w:pPr>
    </w:p>
    <w:p w:rsidR="00D01DBB" w:rsidRPr="000B3F7D" w:rsidRDefault="00D01DBB" w:rsidP="007763C8">
      <w:pPr>
        <w:pStyle w:val="Para"/>
        <w:spacing w:line="312" w:lineRule="atLeast"/>
        <w:jc w:val="both"/>
        <w:rPr>
          <w:rStyle w:val="CSIchar"/>
          <w:rFonts w:ascii="Arial" w:hAnsi="Arial" w:cs="Arial"/>
          <w:sz w:val="22"/>
          <w:szCs w:val="22"/>
          <w:shd w:val="clear" w:color="auto" w:fill="auto"/>
        </w:rPr>
      </w:pPr>
      <w:r w:rsidRPr="000B3F7D">
        <w:rPr>
          <w:rStyle w:val="CSIchar"/>
          <w:rFonts w:ascii="Arial" w:hAnsi="Arial" w:cs="Arial"/>
          <w:sz w:val="22"/>
          <w:szCs w:val="22"/>
          <w:shd w:val="clear" w:color="auto" w:fill="auto"/>
        </w:rPr>
        <w:t xml:space="preserve">Concomitant administration of </w:t>
      </w:r>
      <w:r w:rsidRPr="000B3F7D">
        <w:rPr>
          <w:rFonts w:ascii="Arial" w:hAnsi="Arial" w:cs="Arial"/>
          <w:sz w:val="22"/>
          <w:szCs w:val="22"/>
        </w:rPr>
        <w:t>TYKERB</w:t>
      </w:r>
      <w:r w:rsidRPr="000B3F7D">
        <w:rPr>
          <w:rStyle w:val="CSIchar"/>
          <w:rFonts w:ascii="Arial" w:hAnsi="Arial" w:cs="Arial"/>
          <w:sz w:val="22"/>
          <w:szCs w:val="22"/>
          <w:shd w:val="clear" w:color="auto" w:fill="auto"/>
        </w:rPr>
        <w:t xml:space="preserve"> with capecitabine</w:t>
      </w:r>
      <w:r w:rsidR="002C669E" w:rsidRPr="000B3F7D">
        <w:rPr>
          <w:rStyle w:val="CSIchar"/>
          <w:rFonts w:ascii="Arial" w:hAnsi="Arial" w:cs="Arial"/>
          <w:sz w:val="22"/>
          <w:szCs w:val="22"/>
          <w:shd w:val="clear" w:color="auto" w:fill="auto"/>
        </w:rPr>
        <w:t>, letrozole</w:t>
      </w:r>
      <w:r w:rsidRPr="000B3F7D">
        <w:rPr>
          <w:rStyle w:val="CSIchar"/>
          <w:rFonts w:ascii="Arial" w:hAnsi="Arial" w:cs="Arial"/>
          <w:sz w:val="22"/>
          <w:szCs w:val="22"/>
          <w:shd w:val="clear" w:color="auto" w:fill="auto"/>
        </w:rPr>
        <w:t xml:space="preserve"> or trastuzumab did not meaningfully alter the pharmacokinetics of these agents (or the metabolites of capecitabine) or </w:t>
      </w:r>
      <w:r w:rsidRPr="000B3F7D">
        <w:rPr>
          <w:rFonts w:ascii="Arial" w:hAnsi="Arial" w:cs="Arial"/>
          <w:sz w:val="22"/>
          <w:szCs w:val="22"/>
        </w:rPr>
        <w:t>TYKERB</w:t>
      </w:r>
      <w:r w:rsidRPr="000B3F7D">
        <w:rPr>
          <w:rStyle w:val="CSIchar"/>
          <w:rFonts w:ascii="Arial" w:hAnsi="Arial" w:cs="Arial"/>
          <w:sz w:val="22"/>
          <w:szCs w:val="22"/>
          <w:shd w:val="clear" w:color="auto" w:fill="auto"/>
        </w:rPr>
        <w:t>.</w:t>
      </w:r>
    </w:p>
    <w:p w:rsidR="00D01DBB" w:rsidRPr="000B3F7D" w:rsidRDefault="00D01DBB" w:rsidP="007763C8">
      <w:pPr>
        <w:pStyle w:val="Para"/>
        <w:spacing w:line="312" w:lineRule="atLeast"/>
        <w:rPr>
          <w:rStyle w:val="CSIchar"/>
          <w:rFonts w:ascii="Arial" w:hAnsi="Arial" w:cs="Arial"/>
          <w:sz w:val="22"/>
          <w:szCs w:val="22"/>
          <w:shd w:val="clear" w:color="auto" w:fill="auto"/>
        </w:rPr>
      </w:pPr>
    </w:p>
    <w:p w:rsidR="00D01DBB" w:rsidRPr="000B3F7D" w:rsidRDefault="00D01DBB" w:rsidP="007763C8">
      <w:pPr>
        <w:pStyle w:val="Text"/>
        <w:spacing w:after="0"/>
        <w:jc w:val="both"/>
        <w:rPr>
          <w:rStyle w:val="CSIchar"/>
          <w:rFonts w:ascii="Arial" w:hAnsi="Arial" w:cs="Arial"/>
          <w:sz w:val="22"/>
          <w:szCs w:val="22"/>
          <w:shd w:val="clear" w:color="auto" w:fill="auto"/>
        </w:rPr>
      </w:pPr>
      <w:r w:rsidRPr="000B3F7D">
        <w:rPr>
          <w:rStyle w:val="CSIchar"/>
          <w:rFonts w:ascii="Arial" w:hAnsi="Arial" w:cs="Arial"/>
          <w:sz w:val="22"/>
          <w:szCs w:val="22"/>
          <w:shd w:val="clear" w:color="auto" w:fill="auto"/>
        </w:rPr>
        <w:t>The bioavailability of TYKERB is affected by food (</w:t>
      </w:r>
      <w:r w:rsidRPr="000B3F7D">
        <w:rPr>
          <w:rStyle w:val="CSIchar"/>
          <w:rFonts w:ascii="Arial" w:hAnsi="Arial" w:cs="Arial"/>
          <w:i/>
          <w:sz w:val="22"/>
          <w:szCs w:val="22"/>
          <w:shd w:val="clear" w:color="auto" w:fill="auto"/>
        </w:rPr>
        <w:t>see Dosage and Administration and Pharmacokinetics</w:t>
      </w:r>
      <w:r w:rsidRPr="000B3F7D">
        <w:rPr>
          <w:rStyle w:val="CSIchar"/>
          <w:rFonts w:ascii="Arial" w:hAnsi="Arial" w:cs="Arial"/>
          <w:sz w:val="22"/>
          <w:szCs w:val="22"/>
          <w:shd w:val="clear" w:color="auto" w:fill="auto"/>
        </w:rPr>
        <w:t>).</w:t>
      </w:r>
    </w:p>
    <w:p w:rsidR="00D01DBB" w:rsidRPr="000B3F7D" w:rsidRDefault="00D01DBB" w:rsidP="007763C8">
      <w:pPr>
        <w:pStyle w:val="Text"/>
        <w:spacing w:after="0"/>
        <w:rPr>
          <w:rStyle w:val="CSIchar"/>
          <w:rFonts w:ascii="Arial" w:hAnsi="Arial" w:cs="Arial"/>
          <w:sz w:val="22"/>
          <w:szCs w:val="22"/>
          <w:u w:val="single"/>
          <w:shd w:val="clear" w:color="auto" w:fill="auto"/>
        </w:rPr>
      </w:pPr>
    </w:p>
    <w:p w:rsidR="00D01DBB" w:rsidRPr="000B3F7D" w:rsidRDefault="00D01DBB" w:rsidP="007763C8">
      <w:pPr>
        <w:pStyle w:val="Text"/>
        <w:spacing w:after="0"/>
        <w:rPr>
          <w:rFonts w:ascii="Arial" w:hAnsi="Arial" w:cs="Arial"/>
          <w:b/>
          <w:sz w:val="22"/>
          <w:szCs w:val="22"/>
        </w:rPr>
      </w:pPr>
      <w:r w:rsidRPr="000B3F7D">
        <w:rPr>
          <w:rFonts w:ascii="Arial" w:hAnsi="Arial" w:cs="Arial"/>
          <w:b/>
          <w:sz w:val="22"/>
          <w:szCs w:val="22"/>
        </w:rPr>
        <w:t>Driving or operating machinery</w:t>
      </w:r>
    </w:p>
    <w:p w:rsidR="00D01DBB" w:rsidRPr="007F6979" w:rsidRDefault="00D01DBB" w:rsidP="007763C8">
      <w:pPr>
        <w:pStyle w:val="Text"/>
        <w:spacing w:after="0"/>
        <w:jc w:val="both"/>
        <w:rPr>
          <w:rStyle w:val="CSIchar"/>
          <w:rFonts w:ascii="Arial" w:hAnsi="Arial" w:cs="Arial"/>
          <w:sz w:val="22"/>
          <w:szCs w:val="22"/>
          <w:shd w:val="clear" w:color="auto" w:fill="auto"/>
        </w:rPr>
      </w:pPr>
      <w:r w:rsidRPr="000B3F7D">
        <w:rPr>
          <w:rStyle w:val="CSIchar"/>
          <w:rFonts w:ascii="Arial" w:hAnsi="Arial" w:cs="Arial"/>
          <w:sz w:val="22"/>
          <w:szCs w:val="22"/>
          <w:shd w:val="clear" w:color="auto" w:fill="auto"/>
        </w:rPr>
        <w:t xml:space="preserve">There have been no studies to investigate the effect of </w:t>
      </w:r>
      <w:r w:rsidRPr="000B3F7D">
        <w:rPr>
          <w:rFonts w:ascii="Arial" w:hAnsi="Arial" w:cs="Arial"/>
          <w:sz w:val="22"/>
          <w:szCs w:val="22"/>
        </w:rPr>
        <w:t>TYKERB</w:t>
      </w:r>
      <w:r w:rsidRPr="000B3F7D">
        <w:rPr>
          <w:rStyle w:val="CSIchar"/>
          <w:rFonts w:ascii="Arial" w:hAnsi="Arial" w:cs="Arial"/>
          <w:sz w:val="22"/>
          <w:szCs w:val="22"/>
          <w:shd w:val="clear" w:color="auto" w:fill="auto"/>
        </w:rPr>
        <w:t xml:space="preserve"> on driving performance or the ability to operate machinery. </w:t>
      </w:r>
      <w:r w:rsidR="00350A73" w:rsidRPr="000B3F7D">
        <w:rPr>
          <w:rStyle w:val="CSIchar"/>
          <w:rFonts w:ascii="Arial" w:hAnsi="Arial" w:cs="Arial"/>
          <w:sz w:val="22"/>
          <w:szCs w:val="22"/>
          <w:shd w:val="clear" w:color="auto" w:fill="auto"/>
        </w:rPr>
        <w:t xml:space="preserve"> </w:t>
      </w:r>
      <w:r w:rsidRPr="000B3F7D">
        <w:rPr>
          <w:rStyle w:val="CSIchar"/>
          <w:rFonts w:ascii="Arial" w:hAnsi="Arial" w:cs="Arial"/>
          <w:sz w:val="22"/>
          <w:szCs w:val="22"/>
          <w:shd w:val="clear" w:color="auto" w:fill="auto"/>
        </w:rPr>
        <w:t xml:space="preserve">A detrimental effect on such activities cannot be predicted from the pharmacology of </w:t>
      </w:r>
      <w:r w:rsidRPr="000B3F7D">
        <w:rPr>
          <w:rFonts w:ascii="Arial" w:hAnsi="Arial" w:cs="Arial"/>
          <w:sz w:val="22"/>
          <w:szCs w:val="22"/>
        </w:rPr>
        <w:t>TYKERB</w:t>
      </w:r>
      <w:r w:rsidR="00AD123E">
        <w:rPr>
          <w:rFonts w:ascii="Arial" w:hAnsi="Arial" w:cs="Arial"/>
          <w:sz w:val="22"/>
          <w:szCs w:val="22"/>
        </w:rPr>
        <w:t>, although</w:t>
      </w:r>
      <w:r w:rsidR="00D9135D">
        <w:rPr>
          <w:rFonts w:ascii="Arial" w:hAnsi="Arial" w:cs="Arial"/>
          <w:sz w:val="22"/>
          <w:szCs w:val="22"/>
        </w:rPr>
        <w:t xml:space="preserve"> in clinical studies, fatigue is a very common adverse event associated with TYKERB treatment</w:t>
      </w:r>
      <w:r w:rsidRPr="000B3F7D">
        <w:rPr>
          <w:rStyle w:val="CSIchar"/>
          <w:rFonts w:ascii="Arial" w:hAnsi="Arial" w:cs="Arial"/>
          <w:sz w:val="22"/>
          <w:szCs w:val="22"/>
          <w:shd w:val="clear" w:color="auto" w:fill="auto"/>
        </w:rPr>
        <w:t xml:space="preserve">. </w:t>
      </w:r>
      <w:r w:rsidR="001D72CC" w:rsidRPr="000B3F7D">
        <w:rPr>
          <w:rStyle w:val="CSIchar"/>
          <w:rFonts w:ascii="Arial" w:hAnsi="Arial" w:cs="Arial"/>
          <w:sz w:val="22"/>
          <w:szCs w:val="22"/>
          <w:shd w:val="clear" w:color="auto" w:fill="auto"/>
        </w:rPr>
        <w:t xml:space="preserve"> </w:t>
      </w:r>
      <w:r w:rsidR="007F6979">
        <w:rPr>
          <w:rStyle w:val="CSIchar"/>
          <w:rFonts w:ascii="Arial" w:hAnsi="Arial" w:cs="Arial"/>
          <w:i/>
          <w:sz w:val="22"/>
          <w:szCs w:val="22"/>
          <w:shd w:val="clear" w:color="auto" w:fill="auto"/>
        </w:rPr>
        <w:t xml:space="preserve"> </w:t>
      </w:r>
      <w:r w:rsidR="007F6979">
        <w:rPr>
          <w:rStyle w:val="CSIchar"/>
          <w:rFonts w:ascii="Arial" w:hAnsi="Arial" w:cs="Arial"/>
          <w:sz w:val="22"/>
          <w:szCs w:val="22"/>
          <w:shd w:val="clear" w:color="auto" w:fill="auto"/>
        </w:rPr>
        <w:t>If patients experience fatigue, weakness or tiredness, they should be advised not to drive or operate machinery</w:t>
      </w:r>
      <w:r w:rsidR="006E3F52">
        <w:rPr>
          <w:rStyle w:val="CSIchar"/>
          <w:rFonts w:ascii="Arial" w:hAnsi="Arial" w:cs="Arial"/>
          <w:sz w:val="22"/>
          <w:szCs w:val="22"/>
          <w:shd w:val="clear" w:color="auto" w:fill="auto"/>
        </w:rPr>
        <w:t xml:space="preserve"> (see </w:t>
      </w:r>
      <w:r w:rsidR="006E3F52">
        <w:rPr>
          <w:rStyle w:val="CSIchar"/>
          <w:rFonts w:ascii="Arial" w:hAnsi="Arial" w:cs="Arial"/>
          <w:i/>
          <w:sz w:val="22"/>
          <w:szCs w:val="22"/>
          <w:shd w:val="clear" w:color="auto" w:fill="auto"/>
        </w:rPr>
        <w:t>Adverse Events)</w:t>
      </w:r>
      <w:r w:rsidR="007F6979">
        <w:rPr>
          <w:rStyle w:val="CSIchar"/>
          <w:rFonts w:ascii="Arial" w:hAnsi="Arial" w:cs="Arial"/>
          <w:sz w:val="22"/>
          <w:szCs w:val="22"/>
          <w:shd w:val="clear" w:color="auto" w:fill="auto"/>
        </w:rPr>
        <w:t>.</w:t>
      </w:r>
    </w:p>
    <w:p w:rsidR="00C27FDD" w:rsidRPr="000B3F7D" w:rsidRDefault="00C27FDD" w:rsidP="007763C8">
      <w:pPr>
        <w:pStyle w:val="Text"/>
        <w:spacing w:after="0"/>
        <w:rPr>
          <w:rFonts w:ascii="Arial" w:hAnsi="Arial" w:cs="Arial"/>
          <w:b/>
          <w:sz w:val="22"/>
          <w:szCs w:val="22"/>
          <w:lang w:val="en-US"/>
        </w:rPr>
      </w:pPr>
    </w:p>
    <w:p w:rsidR="00DF2D9B" w:rsidRPr="000B3F7D" w:rsidRDefault="00DF2D9B" w:rsidP="007763C8">
      <w:pPr>
        <w:pStyle w:val="Text"/>
        <w:spacing w:after="0"/>
        <w:rPr>
          <w:rFonts w:ascii="Arial" w:hAnsi="Arial" w:cs="Arial"/>
          <w:b/>
          <w:sz w:val="22"/>
          <w:szCs w:val="22"/>
          <w:lang w:val="en-US"/>
        </w:rPr>
      </w:pPr>
    </w:p>
    <w:p w:rsidR="00D01DBB" w:rsidRPr="000B3F7D" w:rsidRDefault="00D01DBB" w:rsidP="007763C8">
      <w:pPr>
        <w:pStyle w:val="Text"/>
        <w:spacing w:after="0"/>
        <w:rPr>
          <w:rFonts w:ascii="Arial" w:hAnsi="Arial" w:cs="Arial"/>
          <w:b/>
          <w:sz w:val="22"/>
          <w:szCs w:val="22"/>
          <w:lang w:val="en-US"/>
        </w:rPr>
      </w:pPr>
      <w:r w:rsidRPr="000B3F7D">
        <w:rPr>
          <w:rFonts w:ascii="Arial" w:hAnsi="Arial" w:cs="Arial"/>
          <w:b/>
          <w:sz w:val="22"/>
          <w:szCs w:val="22"/>
          <w:lang w:val="en-US"/>
        </w:rPr>
        <w:t>AD</w:t>
      </w:r>
      <w:smartTag w:uri="schemas-GSKSiteLocations-com/fourthcoffee" w:element="flavor">
        <w:r w:rsidRPr="000B3F7D">
          <w:rPr>
            <w:rFonts w:ascii="Arial" w:hAnsi="Arial" w:cs="Arial"/>
            <w:b/>
            <w:sz w:val="22"/>
            <w:szCs w:val="22"/>
            <w:lang w:val="en-US"/>
          </w:rPr>
          <w:t>VER</w:t>
        </w:r>
      </w:smartTag>
      <w:r w:rsidRPr="000B3F7D">
        <w:rPr>
          <w:rFonts w:ascii="Arial" w:hAnsi="Arial" w:cs="Arial"/>
          <w:b/>
          <w:sz w:val="22"/>
          <w:szCs w:val="22"/>
          <w:lang w:val="en-US"/>
        </w:rPr>
        <w:t xml:space="preserve">SE </w:t>
      </w:r>
      <w:r w:rsidR="009021CB">
        <w:rPr>
          <w:rFonts w:ascii="Arial" w:hAnsi="Arial" w:cs="Arial"/>
          <w:b/>
          <w:sz w:val="22"/>
          <w:szCs w:val="22"/>
          <w:lang w:val="en-US"/>
        </w:rPr>
        <w:t>EFFECTS</w:t>
      </w:r>
      <w:r w:rsidRPr="000B3F7D">
        <w:rPr>
          <w:rFonts w:ascii="Arial" w:hAnsi="Arial" w:cs="Arial"/>
          <w:b/>
          <w:sz w:val="22"/>
          <w:szCs w:val="22"/>
          <w:lang w:val="en-US"/>
        </w:rPr>
        <w:t>:</w:t>
      </w:r>
    </w:p>
    <w:p w:rsidR="00D01DBB" w:rsidRPr="000B3F7D" w:rsidRDefault="00D01DBB" w:rsidP="007763C8">
      <w:pPr>
        <w:pStyle w:val="Text"/>
        <w:spacing w:after="0"/>
        <w:jc w:val="both"/>
        <w:rPr>
          <w:rFonts w:ascii="Arial" w:hAnsi="Arial" w:cs="Arial"/>
          <w:sz w:val="22"/>
          <w:szCs w:val="22"/>
        </w:rPr>
      </w:pPr>
      <w:r w:rsidRPr="000B3F7D">
        <w:rPr>
          <w:rFonts w:ascii="Arial" w:hAnsi="Arial" w:cs="Arial"/>
          <w:sz w:val="22"/>
          <w:szCs w:val="22"/>
        </w:rPr>
        <w:t xml:space="preserve">Safety of TYKERB has been evaluated as monotherapy or in combination with other chemotherapies for various cancers in more than </w:t>
      </w:r>
      <w:r w:rsidR="002B2F5A">
        <w:rPr>
          <w:rFonts w:ascii="Arial" w:hAnsi="Arial" w:cs="Arial"/>
          <w:sz w:val="22"/>
          <w:szCs w:val="22"/>
        </w:rPr>
        <w:t>19</w:t>
      </w:r>
      <w:r w:rsidRPr="000B3F7D">
        <w:rPr>
          <w:rFonts w:ascii="Arial" w:hAnsi="Arial" w:cs="Arial"/>
          <w:sz w:val="22"/>
          <w:szCs w:val="22"/>
        </w:rPr>
        <w:t xml:space="preserve">,000 patients, including </w:t>
      </w:r>
      <w:r w:rsidR="0041149A" w:rsidRPr="000B3F7D">
        <w:rPr>
          <w:rFonts w:ascii="Arial" w:hAnsi="Arial" w:cs="Arial"/>
          <w:sz w:val="22"/>
          <w:szCs w:val="22"/>
        </w:rPr>
        <w:t>1</w:t>
      </w:r>
      <w:r w:rsidR="0041149A">
        <w:rPr>
          <w:rFonts w:ascii="Arial" w:hAnsi="Arial" w:cs="Arial"/>
          <w:sz w:val="22"/>
          <w:szCs w:val="22"/>
        </w:rPr>
        <w:t>98</w:t>
      </w:r>
      <w:r w:rsidR="0041149A" w:rsidRPr="000B3F7D">
        <w:rPr>
          <w:rFonts w:ascii="Arial" w:hAnsi="Arial" w:cs="Arial"/>
          <w:sz w:val="22"/>
          <w:szCs w:val="22"/>
        </w:rPr>
        <w:t xml:space="preserve"> </w:t>
      </w:r>
      <w:r w:rsidRPr="000B3F7D">
        <w:rPr>
          <w:rFonts w:ascii="Arial" w:hAnsi="Arial" w:cs="Arial"/>
          <w:sz w:val="22"/>
          <w:szCs w:val="22"/>
        </w:rPr>
        <w:t>patients who received TYKERB in combination with capecitabine</w:t>
      </w:r>
      <w:r w:rsidR="00225F0D">
        <w:rPr>
          <w:rFonts w:ascii="Arial" w:hAnsi="Arial" w:cs="Arial"/>
          <w:sz w:val="22"/>
          <w:szCs w:val="22"/>
        </w:rPr>
        <w:t xml:space="preserve">, 222 patients who received TYKERB in </w:t>
      </w:r>
      <w:r w:rsidR="00C856D0">
        <w:rPr>
          <w:rFonts w:ascii="Arial" w:hAnsi="Arial" w:cs="Arial"/>
          <w:sz w:val="22"/>
          <w:szCs w:val="22"/>
        </w:rPr>
        <w:t>combination with paclitaxel (80</w:t>
      </w:r>
      <w:r w:rsidR="00225F0D">
        <w:rPr>
          <w:rFonts w:ascii="Arial" w:hAnsi="Arial" w:cs="Arial"/>
          <w:sz w:val="22"/>
          <w:szCs w:val="22"/>
        </w:rPr>
        <w:t>mg/m</w:t>
      </w:r>
      <w:r w:rsidR="00225F0D" w:rsidRPr="00225F0D">
        <w:rPr>
          <w:rFonts w:ascii="Arial" w:hAnsi="Arial" w:cs="Arial"/>
          <w:sz w:val="22"/>
          <w:szCs w:val="22"/>
          <w:vertAlign w:val="superscript"/>
        </w:rPr>
        <w:t>2</w:t>
      </w:r>
      <w:r w:rsidR="00225F0D">
        <w:rPr>
          <w:rFonts w:ascii="Arial" w:hAnsi="Arial" w:cs="Arial"/>
          <w:sz w:val="22"/>
          <w:szCs w:val="22"/>
        </w:rPr>
        <w:t xml:space="preserve"> weekly), 293 patients who received TYKERB in combina</w:t>
      </w:r>
      <w:r w:rsidR="00C856D0">
        <w:rPr>
          <w:rFonts w:ascii="Arial" w:hAnsi="Arial" w:cs="Arial"/>
          <w:sz w:val="22"/>
          <w:szCs w:val="22"/>
        </w:rPr>
        <w:t>tion with paclitaxel (175</w:t>
      </w:r>
      <w:r w:rsidR="00225F0D">
        <w:rPr>
          <w:rFonts w:ascii="Arial" w:hAnsi="Arial" w:cs="Arial"/>
          <w:sz w:val="22"/>
          <w:szCs w:val="22"/>
        </w:rPr>
        <w:t>mg/m</w:t>
      </w:r>
      <w:r w:rsidR="00225F0D" w:rsidRPr="00225F0D">
        <w:rPr>
          <w:rFonts w:ascii="Arial" w:hAnsi="Arial" w:cs="Arial"/>
          <w:sz w:val="22"/>
          <w:szCs w:val="22"/>
          <w:vertAlign w:val="superscript"/>
        </w:rPr>
        <w:t>2</w:t>
      </w:r>
      <w:r w:rsidR="00225F0D">
        <w:rPr>
          <w:rFonts w:ascii="Arial" w:hAnsi="Arial" w:cs="Arial"/>
          <w:sz w:val="22"/>
          <w:szCs w:val="22"/>
        </w:rPr>
        <w:t xml:space="preserve"> every 3 weeks),</w:t>
      </w:r>
      <w:r w:rsidRPr="000B3F7D">
        <w:rPr>
          <w:rFonts w:ascii="Arial" w:hAnsi="Arial" w:cs="Arial"/>
          <w:sz w:val="22"/>
          <w:szCs w:val="22"/>
        </w:rPr>
        <w:t xml:space="preserve"> </w:t>
      </w:r>
      <w:r w:rsidR="002C669E" w:rsidRPr="000B3F7D">
        <w:rPr>
          <w:rFonts w:ascii="Arial" w:hAnsi="Arial" w:cs="Arial"/>
          <w:sz w:val="22"/>
          <w:szCs w:val="22"/>
        </w:rPr>
        <w:t>and 654 patients who received TYKERB in combination with letrozole</w:t>
      </w:r>
      <w:r w:rsidR="002C669E" w:rsidRPr="000B3F7D">
        <w:rPr>
          <w:rFonts w:ascii="Arial" w:hAnsi="Arial" w:cs="Arial"/>
          <w:b/>
          <w:sz w:val="22"/>
          <w:szCs w:val="22"/>
        </w:rPr>
        <w:t xml:space="preserve"> </w:t>
      </w:r>
      <w:r w:rsidRPr="000B3F7D">
        <w:rPr>
          <w:rFonts w:ascii="Arial" w:hAnsi="Arial" w:cs="Arial"/>
          <w:sz w:val="22"/>
          <w:szCs w:val="22"/>
        </w:rPr>
        <w:t>(</w:t>
      </w:r>
      <w:r w:rsidRPr="000B3F7D">
        <w:rPr>
          <w:rFonts w:ascii="Arial" w:hAnsi="Arial" w:cs="Arial"/>
          <w:i/>
          <w:iCs/>
          <w:sz w:val="22"/>
          <w:szCs w:val="22"/>
        </w:rPr>
        <w:t>see Clinical Trial</w:t>
      </w:r>
      <w:r w:rsidR="00990A44">
        <w:rPr>
          <w:rFonts w:ascii="Arial" w:hAnsi="Arial" w:cs="Arial"/>
          <w:sz w:val="22"/>
          <w:szCs w:val="22"/>
        </w:rPr>
        <w:t>s).</w:t>
      </w:r>
    </w:p>
    <w:p w:rsidR="00F6584A" w:rsidRPr="000B3F7D" w:rsidRDefault="00F6584A" w:rsidP="007763C8">
      <w:pPr>
        <w:pStyle w:val="anchor"/>
        <w:spacing w:line="312" w:lineRule="atLeast"/>
        <w:jc w:val="both"/>
        <w:rPr>
          <w:rFonts w:ascii="Arial" w:hAnsi="Arial" w:cs="Arial"/>
          <w:dstrike/>
          <w:sz w:val="22"/>
          <w:szCs w:val="22"/>
        </w:rPr>
      </w:pPr>
      <w:bookmarkStart w:id="8" w:name="_Ref21161719"/>
      <w:bookmarkStart w:id="9" w:name="_Ref20821316"/>
      <w:bookmarkStart w:id="10" w:name="_Toc21242810"/>
    </w:p>
    <w:p w:rsidR="00F6584A" w:rsidRPr="000B3F7D" w:rsidRDefault="00F6584A" w:rsidP="007763C8">
      <w:pPr>
        <w:jc w:val="both"/>
        <w:rPr>
          <w:rFonts w:ascii="Arial" w:hAnsi="Arial" w:cs="Arial"/>
          <w:sz w:val="22"/>
          <w:szCs w:val="22"/>
        </w:rPr>
      </w:pPr>
      <w:r w:rsidRPr="000B3F7D">
        <w:rPr>
          <w:rFonts w:ascii="Arial" w:hAnsi="Arial" w:cs="Arial"/>
          <w:sz w:val="22"/>
          <w:szCs w:val="22"/>
        </w:rPr>
        <w:t>The following convention has been utilised for the classification of frequency:  Very common (greater than or equal to 1/10), common (greater than or equal to 1/100 and less than 1/10), uncommon (greater than or equal to 1/1000 and less than 1/100), rare (greater than or equal to 1/10,000 and less than 1/1000) and very rare (less than 1/10,000).</w:t>
      </w:r>
    </w:p>
    <w:p w:rsidR="00F6584A" w:rsidRDefault="00F6584A" w:rsidP="007763C8">
      <w:pPr>
        <w:pStyle w:val="anchor"/>
        <w:rPr>
          <w:rFonts w:ascii="Arial" w:hAnsi="Arial" w:cs="Arial"/>
          <w:dstrike/>
          <w:sz w:val="22"/>
          <w:szCs w:val="22"/>
        </w:rPr>
      </w:pPr>
    </w:p>
    <w:p w:rsidR="00CE20CF" w:rsidRDefault="00CE20CF" w:rsidP="007763C8">
      <w:pPr>
        <w:pStyle w:val="anchor"/>
        <w:rPr>
          <w:rFonts w:ascii="Arial" w:hAnsi="Arial" w:cs="Arial"/>
          <w:dstrike/>
          <w:sz w:val="22"/>
          <w:szCs w:val="22"/>
        </w:rPr>
      </w:pPr>
    </w:p>
    <w:p w:rsidR="00CE20CF" w:rsidRPr="000B3F7D" w:rsidRDefault="00CE20CF" w:rsidP="007763C8">
      <w:pPr>
        <w:pStyle w:val="anchor"/>
        <w:rPr>
          <w:rFonts w:ascii="Arial" w:hAnsi="Arial" w:cs="Arial"/>
          <w:dstrike/>
          <w:sz w:val="22"/>
          <w:szCs w:val="22"/>
        </w:rPr>
      </w:pPr>
    </w:p>
    <w:p w:rsidR="00F6584A" w:rsidRPr="000B3F7D" w:rsidRDefault="00F6584A" w:rsidP="007763C8">
      <w:pPr>
        <w:rPr>
          <w:rFonts w:ascii="Arial" w:hAnsi="Arial" w:cs="Arial"/>
          <w:b/>
          <w:i/>
          <w:sz w:val="22"/>
          <w:szCs w:val="22"/>
        </w:rPr>
      </w:pPr>
      <w:r w:rsidRPr="000B3F7D">
        <w:rPr>
          <w:rFonts w:ascii="Arial" w:hAnsi="Arial" w:cs="Arial"/>
          <w:b/>
          <w:i/>
          <w:sz w:val="22"/>
          <w:szCs w:val="22"/>
        </w:rPr>
        <w:t>TYKERB monotherapy</w:t>
      </w:r>
    </w:p>
    <w:p w:rsidR="00F6584A" w:rsidRPr="000B3F7D" w:rsidRDefault="00F6584A" w:rsidP="007763C8">
      <w:pPr>
        <w:jc w:val="both"/>
        <w:rPr>
          <w:rFonts w:ascii="Arial" w:hAnsi="Arial" w:cs="Arial"/>
          <w:sz w:val="22"/>
          <w:szCs w:val="22"/>
        </w:rPr>
      </w:pPr>
      <w:r w:rsidRPr="000B3F7D">
        <w:rPr>
          <w:rFonts w:ascii="Arial" w:hAnsi="Arial" w:cs="Arial"/>
          <w:sz w:val="22"/>
          <w:szCs w:val="22"/>
        </w:rPr>
        <w:t>The following adverse reactions have been reported to be associated with TYKERB:</w:t>
      </w:r>
    </w:p>
    <w:p w:rsidR="004971D9" w:rsidRPr="000B3F7D" w:rsidRDefault="004971D9" w:rsidP="007763C8">
      <w:pPr>
        <w:jc w:val="both"/>
        <w:rPr>
          <w:rFonts w:ascii="Arial" w:hAnsi="Arial" w:cs="Arial"/>
          <w:sz w:val="22"/>
          <w:szCs w:val="22"/>
        </w:rPr>
      </w:pPr>
    </w:p>
    <w:tbl>
      <w:tblPr>
        <w:tblW w:w="0" w:type="auto"/>
        <w:tblInd w:w="108" w:type="dxa"/>
        <w:tblLayout w:type="fixed"/>
        <w:tblLook w:val="0000"/>
      </w:tblPr>
      <w:tblGrid>
        <w:gridCol w:w="1800"/>
        <w:gridCol w:w="6989"/>
      </w:tblGrid>
      <w:tr w:rsidR="00F6584A" w:rsidRPr="000B3F7D" w:rsidTr="00A86579">
        <w:trPr>
          <w:cantSplit/>
        </w:trPr>
        <w:tc>
          <w:tcPr>
            <w:tcW w:w="8789" w:type="dxa"/>
            <w:gridSpan w:val="2"/>
            <w:tcBorders>
              <w:top w:val="single" w:sz="4" w:space="0" w:color="auto"/>
              <w:left w:val="single" w:sz="4" w:space="0" w:color="auto"/>
              <w:bottom w:val="single" w:sz="4" w:space="0" w:color="auto"/>
              <w:right w:val="single" w:sz="4" w:space="0" w:color="auto"/>
            </w:tcBorders>
            <w:shd w:val="clear" w:color="auto" w:fill="auto"/>
          </w:tcPr>
          <w:p w:rsidR="00F6584A" w:rsidRPr="000B3F7D" w:rsidRDefault="00F6584A" w:rsidP="007763C8">
            <w:pPr>
              <w:rPr>
                <w:rFonts w:ascii="Arial" w:hAnsi="Arial" w:cs="Arial"/>
                <w:sz w:val="22"/>
                <w:szCs w:val="22"/>
              </w:rPr>
            </w:pPr>
            <w:r w:rsidRPr="000B3F7D">
              <w:rPr>
                <w:rFonts w:ascii="Arial" w:hAnsi="Arial" w:cs="Arial"/>
                <w:b/>
                <w:sz w:val="22"/>
                <w:szCs w:val="22"/>
              </w:rPr>
              <w:t>Metabolism and nutrition disorders</w:t>
            </w:r>
          </w:p>
        </w:tc>
      </w:tr>
      <w:tr w:rsidR="00F6584A" w:rsidRPr="000B3F7D" w:rsidTr="00A86579">
        <w:trPr>
          <w:cantSplit/>
        </w:trPr>
        <w:tc>
          <w:tcPr>
            <w:tcW w:w="1800" w:type="dxa"/>
            <w:tcBorders>
              <w:top w:val="single" w:sz="4" w:space="0" w:color="auto"/>
              <w:left w:val="single" w:sz="4" w:space="0" w:color="auto"/>
              <w:bottom w:val="single" w:sz="4" w:space="0" w:color="auto"/>
              <w:right w:val="single" w:sz="4" w:space="0" w:color="auto"/>
            </w:tcBorders>
            <w:shd w:val="clear" w:color="auto" w:fill="auto"/>
          </w:tcPr>
          <w:p w:rsidR="00F6584A" w:rsidRPr="000B3F7D" w:rsidRDefault="00F6584A" w:rsidP="007763C8">
            <w:pPr>
              <w:rPr>
                <w:rFonts w:ascii="Arial" w:hAnsi="Arial" w:cs="Arial"/>
                <w:sz w:val="22"/>
                <w:szCs w:val="22"/>
              </w:rPr>
            </w:pPr>
            <w:r w:rsidRPr="000B3F7D">
              <w:rPr>
                <w:rFonts w:ascii="Arial" w:hAnsi="Arial" w:cs="Arial"/>
                <w:sz w:val="22"/>
                <w:szCs w:val="22"/>
              </w:rPr>
              <w:t>Very common</w:t>
            </w:r>
          </w:p>
        </w:tc>
        <w:tc>
          <w:tcPr>
            <w:tcW w:w="6989" w:type="dxa"/>
            <w:tcBorders>
              <w:top w:val="single" w:sz="4" w:space="0" w:color="auto"/>
              <w:left w:val="single" w:sz="4" w:space="0" w:color="auto"/>
              <w:bottom w:val="single" w:sz="4" w:space="0" w:color="auto"/>
              <w:right w:val="single" w:sz="4" w:space="0" w:color="auto"/>
            </w:tcBorders>
            <w:shd w:val="clear" w:color="auto" w:fill="auto"/>
          </w:tcPr>
          <w:p w:rsidR="00F6584A" w:rsidRPr="000B3F7D" w:rsidRDefault="00F6584A" w:rsidP="007763C8">
            <w:pPr>
              <w:rPr>
                <w:rFonts w:ascii="Arial" w:hAnsi="Arial" w:cs="Arial"/>
                <w:sz w:val="22"/>
                <w:szCs w:val="22"/>
              </w:rPr>
            </w:pPr>
            <w:r w:rsidRPr="000B3F7D">
              <w:rPr>
                <w:rStyle w:val="CSIchar"/>
                <w:rFonts w:ascii="Arial" w:hAnsi="Arial" w:cs="Arial"/>
                <w:sz w:val="22"/>
                <w:szCs w:val="22"/>
                <w:shd w:val="clear" w:color="auto" w:fill="auto"/>
              </w:rPr>
              <w:t>Anorexia.</w:t>
            </w:r>
          </w:p>
        </w:tc>
      </w:tr>
      <w:tr w:rsidR="00F6584A" w:rsidRPr="000B3F7D" w:rsidTr="00A86579">
        <w:trPr>
          <w:cantSplit/>
        </w:trPr>
        <w:tc>
          <w:tcPr>
            <w:tcW w:w="8789" w:type="dxa"/>
            <w:gridSpan w:val="2"/>
            <w:tcBorders>
              <w:top w:val="single" w:sz="4" w:space="0" w:color="auto"/>
              <w:left w:val="single" w:sz="4" w:space="0" w:color="auto"/>
              <w:bottom w:val="single" w:sz="4" w:space="0" w:color="auto"/>
              <w:right w:val="single" w:sz="4" w:space="0" w:color="auto"/>
            </w:tcBorders>
            <w:shd w:val="clear" w:color="auto" w:fill="auto"/>
          </w:tcPr>
          <w:p w:rsidR="00F6584A" w:rsidRPr="000B3F7D" w:rsidRDefault="00F6584A" w:rsidP="007763C8">
            <w:pPr>
              <w:rPr>
                <w:rFonts w:ascii="Arial" w:hAnsi="Arial" w:cs="Arial"/>
                <w:sz w:val="22"/>
                <w:szCs w:val="22"/>
              </w:rPr>
            </w:pPr>
            <w:r w:rsidRPr="000B3F7D">
              <w:rPr>
                <w:rFonts w:ascii="Arial" w:hAnsi="Arial" w:cs="Arial"/>
                <w:b/>
                <w:sz w:val="22"/>
                <w:szCs w:val="22"/>
              </w:rPr>
              <w:t>Cardiac disorders</w:t>
            </w:r>
          </w:p>
        </w:tc>
      </w:tr>
      <w:tr w:rsidR="00F6584A" w:rsidRPr="000B3F7D" w:rsidTr="00A86579">
        <w:trPr>
          <w:cantSplit/>
        </w:trPr>
        <w:tc>
          <w:tcPr>
            <w:tcW w:w="1800" w:type="dxa"/>
            <w:tcBorders>
              <w:top w:val="single" w:sz="4" w:space="0" w:color="auto"/>
              <w:left w:val="single" w:sz="4" w:space="0" w:color="auto"/>
              <w:bottom w:val="single" w:sz="4" w:space="0" w:color="auto"/>
              <w:right w:val="single" w:sz="4" w:space="0" w:color="auto"/>
            </w:tcBorders>
            <w:shd w:val="clear" w:color="auto" w:fill="auto"/>
          </w:tcPr>
          <w:p w:rsidR="00F6584A" w:rsidRPr="000B3F7D" w:rsidRDefault="00F6584A" w:rsidP="007763C8">
            <w:pPr>
              <w:rPr>
                <w:rFonts w:ascii="Arial" w:hAnsi="Arial" w:cs="Arial"/>
                <w:sz w:val="22"/>
                <w:szCs w:val="22"/>
              </w:rPr>
            </w:pPr>
            <w:r w:rsidRPr="000B3F7D">
              <w:rPr>
                <w:rFonts w:ascii="Arial" w:hAnsi="Arial" w:cs="Arial"/>
                <w:sz w:val="22"/>
                <w:szCs w:val="22"/>
              </w:rPr>
              <w:t>Common</w:t>
            </w:r>
          </w:p>
        </w:tc>
        <w:tc>
          <w:tcPr>
            <w:tcW w:w="6989" w:type="dxa"/>
            <w:tcBorders>
              <w:top w:val="single" w:sz="4" w:space="0" w:color="auto"/>
              <w:left w:val="single" w:sz="4" w:space="0" w:color="auto"/>
              <w:bottom w:val="single" w:sz="4" w:space="0" w:color="auto"/>
              <w:right w:val="single" w:sz="4" w:space="0" w:color="auto"/>
            </w:tcBorders>
            <w:shd w:val="clear" w:color="auto" w:fill="auto"/>
          </w:tcPr>
          <w:p w:rsidR="00F6584A" w:rsidRPr="000B3F7D" w:rsidRDefault="00F6584A" w:rsidP="007763C8">
            <w:pPr>
              <w:rPr>
                <w:rFonts w:ascii="Arial" w:hAnsi="Arial" w:cs="Arial"/>
                <w:sz w:val="22"/>
                <w:szCs w:val="22"/>
              </w:rPr>
            </w:pPr>
            <w:r w:rsidRPr="000B3F7D">
              <w:rPr>
                <w:rStyle w:val="CSIchar"/>
                <w:rFonts w:ascii="Arial" w:hAnsi="Arial" w:cs="Arial"/>
                <w:sz w:val="22"/>
                <w:szCs w:val="22"/>
                <w:shd w:val="clear" w:color="auto" w:fill="auto"/>
              </w:rPr>
              <w:t>Decreased left ventricular ejection fraction</w:t>
            </w:r>
            <w:r w:rsidR="007D7E51" w:rsidRPr="000B3F7D">
              <w:rPr>
                <w:rStyle w:val="CSIchar"/>
                <w:rFonts w:ascii="Arial Bold" w:hAnsi="Arial Bold" w:cs="Arial"/>
                <w:sz w:val="22"/>
                <w:szCs w:val="22"/>
                <w:shd w:val="clear" w:color="auto" w:fill="auto"/>
                <w:vertAlign w:val="superscript"/>
              </w:rPr>
              <w:t>1</w:t>
            </w:r>
            <w:r w:rsidRPr="000B3F7D">
              <w:rPr>
                <w:rStyle w:val="CSIchar"/>
                <w:rFonts w:ascii="Arial" w:hAnsi="Arial" w:cs="Arial"/>
                <w:sz w:val="22"/>
                <w:szCs w:val="22"/>
                <w:shd w:val="clear" w:color="auto" w:fill="auto"/>
              </w:rPr>
              <w:t xml:space="preserve"> (</w:t>
            </w:r>
            <w:r w:rsidRPr="000B3F7D">
              <w:rPr>
                <w:rStyle w:val="CSIchar"/>
                <w:rFonts w:ascii="Arial" w:hAnsi="Arial" w:cs="Arial"/>
                <w:i/>
                <w:sz w:val="22"/>
                <w:szCs w:val="22"/>
                <w:shd w:val="clear" w:color="auto" w:fill="auto"/>
              </w:rPr>
              <w:t xml:space="preserve">see Dosage and Administration — dose delay and dose reduction — </w:t>
            </w:r>
            <w:r w:rsidR="005E246B" w:rsidRPr="000B3F7D">
              <w:rPr>
                <w:rStyle w:val="CSIchar"/>
                <w:rFonts w:ascii="Arial" w:hAnsi="Arial" w:cs="Arial"/>
                <w:i/>
                <w:sz w:val="22"/>
                <w:szCs w:val="22"/>
                <w:shd w:val="clear" w:color="auto" w:fill="auto"/>
              </w:rPr>
              <w:t>C</w:t>
            </w:r>
            <w:r w:rsidRPr="000B3F7D">
              <w:rPr>
                <w:rStyle w:val="CSIchar"/>
                <w:rFonts w:ascii="Arial" w:hAnsi="Arial" w:cs="Arial"/>
                <w:i/>
                <w:sz w:val="22"/>
                <w:szCs w:val="22"/>
                <w:shd w:val="clear" w:color="auto" w:fill="auto"/>
              </w:rPr>
              <w:t>ardiac events and Precautions</w:t>
            </w:r>
            <w:r w:rsidRPr="000B3F7D">
              <w:rPr>
                <w:rStyle w:val="CSIchar"/>
                <w:rFonts w:ascii="Arial" w:hAnsi="Arial" w:cs="Arial"/>
                <w:sz w:val="22"/>
                <w:szCs w:val="22"/>
                <w:shd w:val="clear" w:color="auto" w:fill="auto"/>
              </w:rPr>
              <w:t>).</w:t>
            </w:r>
          </w:p>
        </w:tc>
      </w:tr>
      <w:tr w:rsidR="00F6584A" w:rsidRPr="000B3F7D" w:rsidTr="00A86579">
        <w:trPr>
          <w:cantSplit/>
        </w:trPr>
        <w:tc>
          <w:tcPr>
            <w:tcW w:w="8789" w:type="dxa"/>
            <w:gridSpan w:val="2"/>
            <w:tcBorders>
              <w:top w:val="single" w:sz="4" w:space="0" w:color="auto"/>
              <w:left w:val="single" w:sz="4" w:space="0" w:color="auto"/>
              <w:bottom w:val="single" w:sz="4" w:space="0" w:color="auto"/>
              <w:right w:val="single" w:sz="4" w:space="0" w:color="auto"/>
            </w:tcBorders>
            <w:shd w:val="clear" w:color="auto" w:fill="auto"/>
          </w:tcPr>
          <w:p w:rsidR="00F6584A" w:rsidRPr="000B3F7D" w:rsidRDefault="00F6584A" w:rsidP="003946BA">
            <w:pPr>
              <w:jc w:val="both"/>
              <w:rPr>
                <w:rFonts w:ascii="Arial" w:hAnsi="Arial" w:cs="Arial"/>
                <w:sz w:val="22"/>
                <w:szCs w:val="22"/>
              </w:rPr>
            </w:pPr>
            <w:r w:rsidRPr="000B3F7D">
              <w:rPr>
                <w:rFonts w:ascii="Arial" w:hAnsi="Arial" w:cs="Arial"/>
                <w:sz w:val="22"/>
                <w:szCs w:val="22"/>
              </w:rPr>
              <w:t xml:space="preserve"> </w:t>
            </w:r>
            <w:r w:rsidR="007D7E51" w:rsidRPr="000B3F7D">
              <w:rPr>
                <w:rStyle w:val="CSIchar"/>
                <w:rFonts w:ascii="Arial Bold" w:hAnsi="Arial Bold" w:cs="Arial"/>
                <w:sz w:val="22"/>
                <w:szCs w:val="22"/>
                <w:shd w:val="clear" w:color="auto" w:fill="auto"/>
                <w:vertAlign w:val="superscript"/>
              </w:rPr>
              <w:t>1</w:t>
            </w:r>
            <w:r w:rsidRPr="000B3F7D">
              <w:rPr>
                <w:rStyle w:val="CSIchar"/>
                <w:rFonts w:ascii="Arial" w:hAnsi="Arial" w:cs="Arial"/>
                <w:sz w:val="22"/>
                <w:szCs w:val="22"/>
                <w:shd w:val="clear" w:color="auto" w:fill="auto"/>
              </w:rPr>
              <w:t xml:space="preserve">Left ventricular ejection fraction (LVEF) decreases have been reported in approximately 1% of patients and were asymptomatic in more than </w:t>
            </w:r>
            <w:r w:rsidR="003946BA">
              <w:rPr>
                <w:rStyle w:val="CSIchar"/>
                <w:rFonts w:ascii="Arial" w:hAnsi="Arial" w:cs="Arial"/>
                <w:sz w:val="22"/>
                <w:szCs w:val="22"/>
                <w:shd w:val="clear" w:color="auto" w:fill="auto"/>
              </w:rPr>
              <w:t>70%</w:t>
            </w:r>
            <w:r w:rsidRPr="000B3F7D">
              <w:rPr>
                <w:rStyle w:val="CSIchar"/>
                <w:rFonts w:ascii="Arial" w:hAnsi="Arial" w:cs="Arial"/>
                <w:sz w:val="22"/>
                <w:szCs w:val="22"/>
                <w:shd w:val="clear" w:color="auto" w:fill="auto"/>
              </w:rPr>
              <w:t xml:space="preserve"> of cases. LVEF decreases resolved or improved in more than 60% of cases on discontinuation of treatment with TYKERB. </w:t>
            </w:r>
            <w:r w:rsidR="001D72CC" w:rsidRPr="000B3F7D">
              <w:rPr>
                <w:rStyle w:val="CSIchar"/>
                <w:rFonts w:ascii="Arial" w:hAnsi="Arial" w:cs="Arial"/>
                <w:sz w:val="22"/>
                <w:szCs w:val="22"/>
                <w:shd w:val="clear" w:color="auto" w:fill="auto"/>
              </w:rPr>
              <w:t xml:space="preserve"> </w:t>
            </w:r>
            <w:r w:rsidRPr="000B3F7D">
              <w:rPr>
                <w:rStyle w:val="CSIchar"/>
                <w:rFonts w:ascii="Arial" w:hAnsi="Arial" w:cs="Arial"/>
                <w:sz w:val="22"/>
                <w:szCs w:val="22"/>
                <w:shd w:val="clear" w:color="auto" w:fill="auto"/>
              </w:rPr>
              <w:t xml:space="preserve">Symptomatic LVEF decreases were observed in approximately </w:t>
            </w:r>
            <w:r w:rsidR="003946BA">
              <w:rPr>
                <w:rStyle w:val="CSIchar"/>
                <w:rFonts w:ascii="Arial" w:hAnsi="Arial" w:cs="Arial"/>
                <w:sz w:val="22"/>
                <w:szCs w:val="22"/>
                <w:shd w:val="clear" w:color="auto" w:fill="auto"/>
              </w:rPr>
              <w:t>0.3%</w:t>
            </w:r>
            <w:r w:rsidRPr="000B3F7D">
              <w:rPr>
                <w:rStyle w:val="CSIchar"/>
                <w:rFonts w:ascii="Arial" w:hAnsi="Arial" w:cs="Arial"/>
                <w:sz w:val="22"/>
                <w:szCs w:val="22"/>
                <w:shd w:val="clear" w:color="auto" w:fill="auto"/>
              </w:rPr>
              <w:t xml:space="preserve"> of patients who received TYKERB. </w:t>
            </w:r>
            <w:r w:rsidR="001D72CC" w:rsidRPr="000B3F7D">
              <w:rPr>
                <w:rStyle w:val="CSIchar"/>
                <w:rFonts w:ascii="Arial" w:hAnsi="Arial" w:cs="Arial"/>
                <w:sz w:val="22"/>
                <w:szCs w:val="22"/>
                <w:shd w:val="clear" w:color="auto" w:fill="auto"/>
              </w:rPr>
              <w:t xml:space="preserve"> </w:t>
            </w:r>
            <w:r w:rsidRPr="000B3F7D">
              <w:rPr>
                <w:rStyle w:val="CSIchar"/>
                <w:rFonts w:ascii="Arial" w:hAnsi="Arial" w:cs="Arial"/>
                <w:sz w:val="22"/>
                <w:szCs w:val="22"/>
                <w:shd w:val="clear" w:color="auto" w:fill="auto"/>
              </w:rPr>
              <w:t>Observed symptoms included dyspnoea, cardiac failure and palpitations.</w:t>
            </w:r>
          </w:p>
        </w:tc>
      </w:tr>
      <w:tr w:rsidR="00F6584A" w:rsidRPr="000B3F7D" w:rsidTr="00A86579">
        <w:trPr>
          <w:cantSplit/>
        </w:trPr>
        <w:tc>
          <w:tcPr>
            <w:tcW w:w="8789" w:type="dxa"/>
            <w:gridSpan w:val="2"/>
            <w:tcBorders>
              <w:top w:val="single" w:sz="4" w:space="0" w:color="auto"/>
              <w:left w:val="single" w:sz="4" w:space="0" w:color="auto"/>
              <w:bottom w:val="single" w:sz="4" w:space="0" w:color="auto"/>
              <w:right w:val="single" w:sz="4" w:space="0" w:color="auto"/>
            </w:tcBorders>
            <w:shd w:val="clear" w:color="auto" w:fill="auto"/>
          </w:tcPr>
          <w:p w:rsidR="00F6584A" w:rsidRPr="000B3F7D" w:rsidRDefault="00F6584A" w:rsidP="007763C8">
            <w:pPr>
              <w:rPr>
                <w:rFonts w:ascii="Arial" w:hAnsi="Arial" w:cs="Arial"/>
                <w:b/>
                <w:sz w:val="22"/>
                <w:szCs w:val="22"/>
              </w:rPr>
            </w:pPr>
            <w:r w:rsidRPr="000B3F7D">
              <w:rPr>
                <w:rFonts w:ascii="Arial" w:hAnsi="Arial" w:cs="Arial"/>
                <w:b/>
                <w:sz w:val="22"/>
                <w:szCs w:val="22"/>
              </w:rPr>
              <w:t>Respiratory, thoracic and mediastinal disorders:</w:t>
            </w:r>
          </w:p>
        </w:tc>
      </w:tr>
      <w:tr w:rsidR="00F6584A" w:rsidRPr="000B3F7D" w:rsidTr="00A86579">
        <w:trPr>
          <w:cantSplit/>
        </w:trPr>
        <w:tc>
          <w:tcPr>
            <w:tcW w:w="1800" w:type="dxa"/>
            <w:tcBorders>
              <w:top w:val="single" w:sz="4" w:space="0" w:color="auto"/>
              <w:left w:val="single" w:sz="4" w:space="0" w:color="auto"/>
              <w:bottom w:val="single" w:sz="4" w:space="0" w:color="auto"/>
              <w:right w:val="single" w:sz="4" w:space="0" w:color="auto"/>
            </w:tcBorders>
            <w:shd w:val="clear" w:color="auto" w:fill="auto"/>
          </w:tcPr>
          <w:p w:rsidR="00F6584A" w:rsidRPr="000B3F7D" w:rsidRDefault="00F6584A" w:rsidP="007763C8">
            <w:pPr>
              <w:rPr>
                <w:rFonts w:ascii="Arial" w:hAnsi="Arial" w:cs="Arial"/>
                <w:sz w:val="22"/>
                <w:szCs w:val="22"/>
              </w:rPr>
            </w:pPr>
            <w:r w:rsidRPr="000B3F7D">
              <w:rPr>
                <w:rFonts w:ascii="Arial" w:hAnsi="Arial" w:cs="Arial"/>
                <w:sz w:val="22"/>
                <w:szCs w:val="22"/>
              </w:rPr>
              <w:t xml:space="preserve"> Uncommon</w:t>
            </w:r>
          </w:p>
        </w:tc>
        <w:tc>
          <w:tcPr>
            <w:tcW w:w="6989" w:type="dxa"/>
            <w:tcBorders>
              <w:top w:val="single" w:sz="4" w:space="0" w:color="auto"/>
              <w:left w:val="single" w:sz="4" w:space="0" w:color="auto"/>
              <w:bottom w:val="single" w:sz="4" w:space="0" w:color="auto"/>
              <w:right w:val="single" w:sz="4" w:space="0" w:color="auto"/>
            </w:tcBorders>
            <w:shd w:val="clear" w:color="auto" w:fill="auto"/>
          </w:tcPr>
          <w:p w:rsidR="00F6584A" w:rsidRPr="000B3F7D" w:rsidRDefault="00F6584A" w:rsidP="007763C8">
            <w:pPr>
              <w:rPr>
                <w:rFonts w:ascii="Arial" w:hAnsi="Arial" w:cs="Arial"/>
                <w:sz w:val="22"/>
                <w:szCs w:val="22"/>
              </w:rPr>
            </w:pPr>
            <w:r w:rsidRPr="000B3F7D">
              <w:rPr>
                <w:rStyle w:val="CSIchar"/>
                <w:rFonts w:ascii="Arial" w:hAnsi="Arial" w:cs="Arial"/>
                <w:sz w:val="22"/>
                <w:szCs w:val="22"/>
                <w:shd w:val="clear" w:color="auto" w:fill="auto"/>
              </w:rPr>
              <w:t>Interstitial lung disease / pneumonitis</w:t>
            </w:r>
            <w:r w:rsidR="00C557BD" w:rsidRPr="000B3F7D">
              <w:rPr>
                <w:rStyle w:val="CSIchar"/>
                <w:rFonts w:ascii="Arial" w:hAnsi="Arial" w:cs="Arial"/>
                <w:sz w:val="22"/>
                <w:szCs w:val="22"/>
                <w:shd w:val="clear" w:color="auto" w:fill="auto"/>
              </w:rPr>
              <w:t xml:space="preserve"> (</w:t>
            </w:r>
            <w:r w:rsidR="00C557BD" w:rsidRPr="000B3F7D">
              <w:rPr>
                <w:rStyle w:val="CSIchar"/>
                <w:rFonts w:ascii="Arial" w:hAnsi="Arial" w:cs="Arial"/>
                <w:i/>
                <w:sz w:val="22"/>
                <w:szCs w:val="22"/>
                <w:shd w:val="clear" w:color="auto" w:fill="auto"/>
              </w:rPr>
              <w:t>see Dosage and Administration and Precautions</w:t>
            </w:r>
            <w:r w:rsidR="00C557BD" w:rsidRPr="000B3F7D">
              <w:rPr>
                <w:rStyle w:val="CSIchar"/>
                <w:rFonts w:ascii="Arial" w:hAnsi="Arial" w:cs="Arial"/>
                <w:sz w:val="22"/>
                <w:szCs w:val="22"/>
                <w:shd w:val="clear" w:color="auto" w:fill="auto"/>
              </w:rPr>
              <w:t>)</w:t>
            </w:r>
          </w:p>
        </w:tc>
      </w:tr>
      <w:tr w:rsidR="00F6584A" w:rsidRPr="000B3F7D" w:rsidTr="00A86579">
        <w:trPr>
          <w:cantSplit/>
        </w:trPr>
        <w:tc>
          <w:tcPr>
            <w:tcW w:w="8789" w:type="dxa"/>
            <w:gridSpan w:val="2"/>
            <w:tcBorders>
              <w:top w:val="single" w:sz="4" w:space="0" w:color="auto"/>
              <w:left w:val="single" w:sz="4" w:space="0" w:color="auto"/>
              <w:bottom w:val="single" w:sz="4" w:space="0" w:color="auto"/>
              <w:right w:val="single" w:sz="4" w:space="0" w:color="auto"/>
            </w:tcBorders>
            <w:shd w:val="clear" w:color="auto" w:fill="auto"/>
          </w:tcPr>
          <w:p w:rsidR="00F6584A" w:rsidRPr="000B3F7D" w:rsidRDefault="00F6584A" w:rsidP="007763C8">
            <w:pPr>
              <w:rPr>
                <w:rFonts w:ascii="Arial" w:hAnsi="Arial" w:cs="Arial"/>
                <w:sz w:val="22"/>
                <w:szCs w:val="22"/>
              </w:rPr>
            </w:pPr>
            <w:r w:rsidRPr="000B3F7D">
              <w:rPr>
                <w:rFonts w:ascii="Arial" w:hAnsi="Arial" w:cs="Arial"/>
                <w:b/>
                <w:sz w:val="22"/>
                <w:szCs w:val="22"/>
              </w:rPr>
              <w:t>Gastrointestinal disorders</w:t>
            </w:r>
          </w:p>
        </w:tc>
      </w:tr>
      <w:tr w:rsidR="00F6584A" w:rsidRPr="000B3F7D" w:rsidTr="00A86579">
        <w:trPr>
          <w:cantSplit/>
        </w:trPr>
        <w:tc>
          <w:tcPr>
            <w:tcW w:w="1800" w:type="dxa"/>
            <w:tcBorders>
              <w:top w:val="single" w:sz="4" w:space="0" w:color="auto"/>
              <w:left w:val="single" w:sz="4" w:space="0" w:color="auto"/>
              <w:bottom w:val="single" w:sz="4" w:space="0" w:color="auto"/>
              <w:right w:val="single" w:sz="4" w:space="0" w:color="auto"/>
            </w:tcBorders>
            <w:shd w:val="clear" w:color="auto" w:fill="auto"/>
          </w:tcPr>
          <w:p w:rsidR="00F6584A" w:rsidRPr="000B3F7D" w:rsidRDefault="00F6584A" w:rsidP="007763C8">
            <w:pPr>
              <w:rPr>
                <w:rFonts w:ascii="Arial" w:hAnsi="Arial" w:cs="Arial"/>
                <w:sz w:val="22"/>
                <w:szCs w:val="22"/>
              </w:rPr>
            </w:pPr>
            <w:r w:rsidRPr="000B3F7D">
              <w:rPr>
                <w:rFonts w:ascii="Arial" w:hAnsi="Arial" w:cs="Arial"/>
                <w:sz w:val="22"/>
                <w:szCs w:val="22"/>
              </w:rPr>
              <w:t>Very common</w:t>
            </w:r>
          </w:p>
        </w:tc>
        <w:tc>
          <w:tcPr>
            <w:tcW w:w="6989" w:type="dxa"/>
            <w:tcBorders>
              <w:top w:val="single" w:sz="4" w:space="0" w:color="auto"/>
              <w:left w:val="single" w:sz="4" w:space="0" w:color="auto"/>
              <w:bottom w:val="single" w:sz="4" w:space="0" w:color="auto"/>
              <w:right w:val="single" w:sz="4" w:space="0" w:color="auto"/>
            </w:tcBorders>
            <w:shd w:val="clear" w:color="auto" w:fill="auto"/>
          </w:tcPr>
          <w:p w:rsidR="00F6584A" w:rsidRPr="000B3F7D" w:rsidRDefault="00F6584A" w:rsidP="007763C8">
            <w:pPr>
              <w:rPr>
                <w:rFonts w:ascii="Arial" w:hAnsi="Arial" w:cs="Arial"/>
                <w:sz w:val="22"/>
                <w:szCs w:val="22"/>
              </w:rPr>
            </w:pPr>
            <w:r w:rsidRPr="000B3F7D">
              <w:rPr>
                <w:rStyle w:val="CSIchar"/>
                <w:rFonts w:ascii="Arial" w:hAnsi="Arial" w:cs="Arial"/>
                <w:sz w:val="22"/>
                <w:szCs w:val="22"/>
                <w:shd w:val="clear" w:color="auto" w:fill="auto"/>
              </w:rPr>
              <w:t>Diarrhoea</w:t>
            </w:r>
            <w:r w:rsidR="007D7E51" w:rsidRPr="000B3F7D">
              <w:rPr>
                <w:rStyle w:val="CSIchar"/>
                <w:rFonts w:ascii="Arial Bold" w:hAnsi="Arial Bold" w:cs="Arial"/>
                <w:sz w:val="22"/>
                <w:szCs w:val="22"/>
                <w:shd w:val="clear" w:color="auto" w:fill="auto"/>
                <w:vertAlign w:val="superscript"/>
              </w:rPr>
              <w:t>2</w:t>
            </w:r>
            <w:r w:rsidRPr="000B3F7D">
              <w:rPr>
                <w:rStyle w:val="CSIchar"/>
                <w:rFonts w:ascii="Arial" w:hAnsi="Arial" w:cs="Arial"/>
                <w:sz w:val="22"/>
                <w:szCs w:val="22"/>
                <w:shd w:val="clear" w:color="auto" w:fill="auto"/>
              </w:rPr>
              <w:t xml:space="preserve">, which may lead to dehydration </w:t>
            </w:r>
            <w:r w:rsidR="007D7E51" w:rsidRPr="000B3F7D">
              <w:rPr>
                <w:rStyle w:val="CSIchar"/>
                <w:rFonts w:ascii="Arial" w:hAnsi="Arial" w:cs="Arial"/>
                <w:sz w:val="22"/>
                <w:szCs w:val="22"/>
                <w:shd w:val="clear" w:color="auto" w:fill="auto"/>
                <w:vertAlign w:val="superscript"/>
              </w:rPr>
              <w:t>3</w:t>
            </w:r>
            <w:r w:rsidRPr="000B3F7D">
              <w:rPr>
                <w:rStyle w:val="CSIchar"/>
                <w:rFonts w:ascii="Arial" w:hAnsi="Arial" w:cs="Arial"/>
                <w:sz w:val="22"/>
                <w:szCs w:val="22"/>
                <w:shd w:val="clear" w:color="auto" w:fill="auto"/>
              </w:rPr>
              <w:t>(</w:t>
            </w:r>
            <w:r w:rsidRPr="000B3F7D">
              <w:rPr>
                <w:rStyle w:val="CSIchar"/>
                <w:rFonts w:ascii="Arial" w:hAnsi="Arial" w:cs="Arial"/>
                <w:i/>
                <w:sz w:val="22"/>
                <w:szCs w:val="22"/>
                <w:shd w:val="clear" w:color="auto" w:fill="auto"/>
              </w:rPr>
              <w:t xml:space="preserve">see Dosage and Administration — dose delay and dose reduction — </w:t>
            </w:r>
            <w:r w:rsidR="005E246B" w:rsidRPr="000B3F7D">
              <w:rPr>
                <w:rStyle w:val="CSIchar"/>
                <w:rFonts w:ascii="Arial" w:hAnsi="Arial" w:cs="Arial"/>
                <w:i/>
                <w:sz w:val="22"/>
                <w:szCs w:val="22"/>
                <w:shd w:val="clear" w:color="auto" w:fill="auto"/>
              </w:rPr>
              <w:t>O</w:t>
            </w:r>
            <w:r w:rsidRPr="000B3F7D">
              <w:rPr>
                <w:rStyle w:val="CSIchar"/>
                <w:rFonts w:ascii="Arial" w:hAnsi="Arial" w:cs="Arial"/>
                <w:i/>
                <w:sz w:val="22"/>
                <w:szCs w:val="22"/>
                <w:shd w:val="clear" w:color="auto" w:fill="auto"/>
              </w:rPr>
              <w:t>ther toxicities and Precautions</w:t>
            </w:r>
            <w:r w:rsidRPr="000B3F7D">
              <w:rPr>
                <w:rStyle w:val="CSIchar"/>
                <w:rFonts w:ascii="Arial" w:hAnsi="Arial" w:cs="Arial"/>
                <w:sz w:val="22"/>
                <w:szCs w:val="22"/>
                <w:shd w:val="clear" w:color="auto" w:fill="auto"/>
              </w:rPr>
              <w:t>)</w:t>
            </w:r>
            <w:r w:rsidRPr="000B3F7D">
              <w:rPr>
                <w:rFonts w:ascii="Arial" w:hAnsi="Arial" w:cs="Arial"/>
                <w:sz w:val="22"/>
                <w:szCs w:val="22"/>
              </w:rPr>
              <w:t>.</w:t>
            </w:r>
          </w:p>
          <w:p w:rsidR="00F6584A" w:rsidRPr="000B3F7D" w:rsidRDefault="00F6584A" w:rsidP="007763C8">
            <w:pPr>
              <w:rPr>
                <w:rFonts w:ascii="Arial" w:hAnsi="Arial" w:cs="Arial"/>
                <w:sz w:val="22"/>
                <w:szCs w:val="22"/>
              </w:rPr>
            </w:pPr>
            <w:r w:rsidRPr="000B3F7D">
              <w:rPr>
                <w:rStyle w:val="CSIchar"/>
                <w:rFonts w:ascii="Arial" w:hAnsi="Arial" w:cs="Arial"/>
                <w:sz w:val="22"/>
                <w:szCs w:val="22"/>
                <w:shd w:val="clear" w:color="auto" w:fill="auto"/>
              </w:rPr>
              <w:t>Nausea</w:t>
            </w:r>
            <w:r w:rsidRPr="000B3F7D">
              <w:rPr>
                <w:rFonts w:ascii="Arial" w:hAnsi="Arial" w:cs="Arial"/>
                <w:sz w:val="22"/>
                <w:szCs w:val="22"/>
              </w:rPr>
              <w:t>.</w:t>
            </w:r>
          </w:p>
          <w:p w:rsidR="00F6584A" w:rsidRPr="000B3F7D" w:rsidRDefault="00F6584A" w:rsidP="007763C8">
            <w:pPr>
              <w:rPr>
                <w:rFonts w:ascii="Arial" w:hAnsi="Arial" w:cs="Arial"/>
                <w:sz w:val="22"/>
                <w:szCs w:val="22"/>
              </w:rPr>
            </w:pPr>
            <w:r w:rsidRPr="000B3F7D">
              <w:rPr>
                <w:rStyle w:val="CSIchar"/>
                <w:rFonts w:ascii="Arial" w:hAnsi="Arial" w:cs="Arial"/>
                <w:sz w:val="22"/>
                <w:szCs w:val="22"/>
                <w:shd w:val="clear" w:color="auto" w:fill="auto"/>
              </w:rPr>
              <w:t>Vomiting</w:t>
            </w:r>
            <w:r w:rsidRPr="000B3F7D">
              <w:rPr>
                <w:rFonts w:ascii="Arial" w:hAnsi="Arial" w:cs="Arial"/>
                <w:sz w:val="22"/>
                <w:szCs w:val="22"/>
              </w:rPr>
              <w:t>.</w:t>
            </w:r>
          </w:p>
        </w:tc>
      </w:tr>
      <w:tr w:rsidR="00F6584A" w:rsidRPr="000B3F7D" w:rsidTr="00A86579">
        <w:trPr>
          <w:cantSplit/>
        </w:trPr>
        <w:tc>
          <w:tcPr>
            <w:tcW w:w="8789" w:type="dxa"/>
            <w:gridSpan w:val="2"/>
            <w:tcBorders>
              <w:top w:val="single" w:sz="4" w:space="0" w:color="auto"/>
              <w:left w:val="single" w:sz="4" w:space="0" w:color="auto"/>
              <w:bottom w:val="single" w:sz="4" w:space="0" w:color="auto"/>
              <w:right w:val="single" w:sz="4" w:space="0" w:color="auto"/>
            </w:tcBorders>
            <w:shd w:val="clear" w:color="auto" w:fill="auto"/>
          </w:tcPr>
          <w:p w:rsidR="00F6584A" w:rsidRPr="000B3F7D" w:rsidRDefault="00F6584A" w:rsidP="007763C8">
            <w:pPr>
              <w:rPr>
                <w:rFonts w:ascii="Arial" w:hAnsi="Arial" w:cs="Arial"/>
                <w:sz w:val="22"/>
                <w:szCs w:val="22"/>
              </w:rPr>
            </w:pPr>
            <w:r w:rsidRPr="000B3F7D">
              <w:rPr>
                <w:rFonts w:ascii="Arial" w:hAnsi="Arial" w:cs="Arial"/>
                <w:sz w:val="22"/>
                <w:szCs w:val="22"/>
              </w:rPr>
              <w:t xml:space="preserve"> </w:t>
            </w:r>
            <w:r w:rsidR="007D7E51" w:rsidRPr="000B3F7D">
              <w:rPr>
                <w:rStyle w:val="CSIchar"/>
                <w:rFonts w:ascii="Arial" w:hAnsi="Arial" w:cs="Arial"/>
                <w:sz w:val="22"/>
                <w:szCs w:val="22"/>
                <w:shd w:val="clear" w:color="auto" w:fill="auto"/>
                <w:vertAlign w:val="superscript"/>
              </w:rPr>
              <w:t>3</w:t>
            </w:r>
            <w:r w:rsidRPr="000B3F7D">
              <w:rPr>
                <w:rStyle w:val="CSIchar"/>
                <w:rFonts w:ascii="Arial" w:hAnsi="Arial" w:cs="Arial"/>
                <w:sz w:val="22"/>
                <w:szCs w:val="22"/>
                <w:shd w:val="clear" w:color="auto" w:fill="auto"/>
              </w:rPr>
              <w:t>Most events of diarrhoea were grade 1 or 2.</w:t>
            </w:r>
          </w:p>
        </w:tc>
      </w:tr>
      <w:tr w:rsidR="00F6584A" w:rsidRPr="000B3F7D" w:rsidTr="00A86579">
        <w:trPr>
          <w:cantSplit/>
        </w:trPr>
        <w:tc>
          <w:tcPr>
            <w:tcW w:w="8789" w:type="dxa"/>
            <w:gridSpan w:val="2"/>
            <w:tcBorders>
              <w:top w:val="single" w:sz="4" w:space="0" w:color="auto"/>
              <w:left w:val="single" w:sz="4" w:space="0" w:color="auto"/>
              <w:bottom w:val="single" w:sz="4" w:space="0" w:color="auto"/>
              <w:right w:val="single" w:sz="4" w:space="0" w:color="auto"/>
            </w:tcBorders>
            <w:shd w:val="clear" w:color="auto" w:fill="auto"/>
          </w:tcPr>
          <w:p w:rsidR="00F6584A" w:rsidRPr="000B3F7D" w:rsidRDefault="00F6584A" w:rsidP="007763C8">
            <w:pPr>
              <w:rPr>
                <w:rFonts w:ascii="Arial" w:hAnsi="Arial" w:cs="Arial"/>
                <w:sz w:val="22"/>
                <w:szCs w:val="22"/>
              </w:rPr>
            </w:pPr>
            <w:r w:rsidRPr="000B3F7D">
              <w:rPr>
                <w:rFonts w:ascii="Arial" w:hAnsi="Arial" w:cs="Arial"/>
                <w:b/>
                <w:sz w:val="22"/>
                <w:szCs w:val="22"/>
              </w:rPr>
              <w:t>Hepatobiliary disorders</w:t>
            </w:r>
          </w:p>
        </w:tc>
      </w:tr>
      <w:tr w:rsidR="00F6584A" w:rsidRPr="000B3F7D" w:rsidTr="00A86579">
        <w:trPr>
          <w:cantSplit/>
        </w:trPr>
        <w:tc>
          <w:tcPr>
            <w:tcW w:w="1800" w:type="dxa"/>
            <w:tcBorders>
              <w:top w:val="single" w:sz="4" w:space="0" w:color="auto"/>
              <w:left w:val="single" w:sz="4" w:space="0" w:color="auto"/>
              <w:bottom w:val="single" w:sz="4" w:space="0" w:color="auto"/>
              <w:right w:val="single" w:sz="4" w:space="0" w:color="auto"/>
            </w:tcBorders>
            <w:shd w:val="clear" w:color="auto" w:fill="auto"/>
          </w:tcPr>
          <w:p w:rsidR="00F6584A" w:rsidRPr="000B3F7D" w:rsidRDefault="00F6584A" w:rsidP="007763C8">
            <w:pPr>
              <w:rPr>
                <w:rFonts w:ascii="Arial" w:hAnsi="Arial" w:cs="Arial"/>
                <w:sz w:val="22"/>
                <w:szCs w:val="22"/>
              </w:rPr>
            </w:pPr>
            <w:r w:rsidRPr="000B3F7D">
              <w:rPr>
                <w:rFonts w:ascii="Arial" w:hAnsi="Arial" w:cs="Arial"/>
                <w:sz w:val="22"/>
                <w:szCs w:val="22"/>
              </w:rPr>
              <w:t>Very common</w:t>
            </w:r>
          </w:p>
        </w:tc>
        <w:tc>
          <w:tcPr>
            <w:tcW w:w="6989" w:type="dxa"/>
            <w:tcBorders>
              <w:top w:val="single" w:sz="4" w:space="0" w:color="auto"/>
              <w:left w:val="single" w:sz="4" w:space="0" w:color="auto"/>
              <w:bottom w:val="single" w:sz="4" w:space="0" w:color="auto"/>
              <w:right w:val="single" w:sz="4" w:space="0" w:color="auto"/>
            </w:tcBorders>
            <w:shd w:val="clear" w:color="auto" w:fill="auto"/>
          </w:tcPr>
          <w:p w:rsidR="0093006E" w:rsidRPr="000B3F7D" w:rsidRDefault="00F6584A" w:rsidP="007763C8">
            <w:pPr>
              <w:rPr>
                <w:rFonts w:ascii="Arial Bold" w:hAnsi="Arial Bold" w:cs="Arial"/>
                <w:b/>
                <w:sz w:val="22"/>
                <w:szCs w:val="22"/>
                <w:highlight w:val="yellow"/>
                <w:u w:val="single"/>
              </w:rPr>
            </w:pPr>
            <w:r w:rsidRPr="000B3F7D">
              <w:rPr>
                <w:rStyle w:val="CSIchar"/>
                <w:rFonts w:ascii="Arial" w:hAnsi="Arial" w:cs="Arial"/>
                <w:sz w:val="22"/>
                <w:szCs w:val="22"/>
                <w:shd w:val="clear" w:color="auto" w:fill="auto"/>
              </w:rPr>
              <w:t>Hyperbilirubinaemia</w:t>
            </w:r>
            <w:r w:rsidR="007D7E51" w:rsidRPr="000B3F7D">
              <w:rPr>
                <w:rStyle w:val="CSIchar"/>
                <w:rFonts w:ascii="Arial Bold" w:hAnsi="Arial Bold" w:cs="Arial"/>
                <w:sz w:val="22"/>
                <w:szCs w:val="22"/>
                <w:shd w:val="clear" w:color="auto" w:fill="auto"/>
                <w:vertAlign w:val="superscript"/>
              </w:rPr>
              <w:t>4</w:t>
            </w:r>
            <w:r w:rsidRPr="000B3F7D">
              <w:rPr>
                <w:rStyle w:val="CSIchar"/>
                <w:rFonts w:ascii="Arial" w:hAnsi="Arial" w:cs="Arial"/>
                <w:sz w:val="22"/>
                <w:szCs w:val="22"/>
                <w:shd w:val="clear" w:color="auto" w:fill="auto"/>
              </w:rPr>
              <w:t>.</w:t>
            </w:r>
          </w:p>
        </w:tc>
      </w:tr>
      <w:tr w:rsidR="00DB33DD" w:rsidRPr="000B3F7D" w:rsidTr="00A86579">
        <w:trPr>
          <w:cantSplit/>
        </w:trPr>
        <w:tc>
          <w:tcPr>
            <w:tcW w:w="1800" w:type="dxa"/>
            <w:tcBorders>
              <w:top w:val="single" w:sz="4" w:space="0" w:color="auto"/>
              <w:left w:val="single" w:sz="4" w:space="0" w:color="auto"/>
              <w:bottom w:val="single" w:sz="4" w:space="0" w:color="auto"/>
              <w:right w:val="single" w:sz="4" w:space="0" w:color="auto"/>
            </w:tcBorders>
            <w:shd w:val="clear" w:color="auto" w:fill="auto"/>
          </w:tcPr>
          <w:p w:rsidR="00DB33DD" w:rsidRPr="000B3F7D" w:rsidRDefault="00DF2D9B" w:rsidP="008D1833">
            <w:pPr>
              <w:rPr>
                <w:rFonts w:ascii="Arial" w:hAnsi="Arial" w:cs="Arial"/>
                <w:sz w:val="22"/>
                <w:szCs w:val="22"/>
              </w:rPr>
            </w:pPr>
            <w:r w:rsidRPr="000B3F7D">
              <w:rPr>
                <w:rFonts w:ascii="Arial" w:hAnsi="Arial" w:cs="Arial"/>
                <w:sz w:val="22"/>
                <w:szCs w:val="22"/>
              </w:rPr>
              <w:t>Common</w:t>
            </w:r>
          </w:p>
        </w:tc>
        <w:tc>
          <w:tcPr>
            <w:tcW w:w="6989" w:type="dxa"/>
            <w:tcBorders>
              <w:top w:val="single" w:sz="4" w:space="0" w:color="auto"/>
              <w:left w:val="single" w:sz="4" w:space="0" w:color="auto"/>
              <w:bottom w:val="single" w:sz="4" w:space="0" w:color="auto"/>
              <w:right w:val="single" w:sz="4" w:space="0" w:color="auto"/>
            </w:tcBorders>
            <w:shd w:val="clear" w:color="auto" w:fill="auto"/>
          </w:tcPr>
          <w:p w:rsidR="00DB33DD" w:rsidRPr="000B3F7D" w:rsidRDefault="00DB33DD" w:rsidP="008D1833">
            <w:pPr>
              <w:rPr>
                <w:rFonts w:ascii="Arial" w:hAnsi="Arial" w:cs="Arial"/>
                <w:sz w:val="22"/>
                <w:szCs w:val="22"/>
              </w:rPr>
            </w:pPr>
            <w:r w:rsidRPr="000B3F7D">
              <w:rPr>
                <w:rStyle w:val="CSIchar"/>
                <w:rFonts w:ascii="Arial" w:hAnsi="Arial" w:cs="Arial"/>
                <w:sz w:val="22"/>
                <w:szCs w:val="22"/>
                <w:shd w:val="clear" w:color="auto" w:fill="auto"/>
              </w:rPr>
              <w:t>Hepatotoxicity.</w:t>
            </w:r>
          </w:p>
        </w:tc>
      </w:tr>
      <w:tr w:rsidR="007D7E51" w:rsidRPr="000B3F7D" w:rsidTr="00A86579">
        <w:trPr>
          <w:cantSplit/>
        </w:trPr>
        <w:tc>
          <w:tcPr>
            <w:tcW w:w="8789" w:type="dxa"/>
            <w:gridSpan w:val="2"/>
            <w:tcBorders>
              <w:top w:val="single" w:sz="4" w:space="0" w:color="auto"/>
              <w:left w:val="single" w:sz="4" w:space="0" w:color="auto"/>
              <w:bottom w:val="single" w:sz="4" w:space="0" w:color="auto"/>
              <w:right w:val="single" w:sz="4" w:space="0" w:color="auto"/>
            </w:tcBorders>
            <w:shd w:val="clear" w:color="auto" w:fill="auto"/>
          </w:tcPr>
          <w:p w:rsidR="007D7E51" w:rsidRPr="000B3F7D" w:rsidRDefault="007D7E51" w:rsidP="007763C8">
            <w:pPr>
              <w:rPr>
                <w:rFonts w:ascii="Arial" w:hAnsi="Arial" w:cs="Arial"/>
                <w:sz w:val="22"/>
                <w:szCs w:val="22"/>
              </w:rPr>
            </w:pPr>
            <w:r w:rsidRPr="000B3F7D">
              <w:rPr>
                <w:rFonts w:ascii="Arial" w:hAnsi="Arial" w:cs="Arial"/>
                <w:sz w:val="22"/>
                <w:szCs w:val="22"/>
                <w:vertAlign w:val="superscript"/>
              </w:rPr>
              <w:t>4</w:t>
            </w:r>
            <w:r w:rsidRPr="000B3F7D">
              <w:rPr>
                <w:rFonts w:ascii="Arial" w:hAnsi="Arial" w:cs="Arial"/>
                <w:sz w:val="22"/>
                <w:szCs w:val="22"/>
              </w:rPr>
              <w:t>Elevated bilirubin may be due to TYKERB inhibition of hepatic uptake by OATP1B1 or inhibition of excretion into bile by Pgp or BCRP.</w:t>
            </w:r>
          </w:p>
        </w:tc>
      </w:tr>
      <w:tr w:rsidR="00F6584A" w:rsidRPr="000B3F7D" w:rsidTr="00A86579">
        <w:trPr>
          <w:cantSplit/>
        </w:trPr>
        <w:tc>
          <w:tcPr>
            <w:tcW w:w="8789" w:type="dxa"/>
            <w:gridSpan w:val="2"/>
            <w:tcBorders>
              <w:top w:val="single" w:sz="4" w:space="0" w:color="auto"/>
              <w:left w:val="single" w:sz="4" w:space="0" w:color="auto"/>
              <w:bottom w:val="single" w:sz="4" w:space="0" w:color="auto"/>
              <w:right w:val="single" w:sz="4" w:space="0" w:color="auto"/>
            </w:tcBorders>
            <w:shd w:val="clear" w:color="auto" w:fill="auto"/>
          </w:tcPr>
          <w:p w:rsidR="00F6584A" w:rsidRPr="000B3F7D" w:rsidRDefault="00F6584A" w:rsidP="007763C8">
            <w:pPr>
              <w:rPr>
                <w:rFonts w:ascii="Arial" w:hAnsi="Arial" w:cs="Arial"/>
                <w:sz w:val="22"/>
                <w:szCs w:val="22"/>
              </w:rPr>
            </w:pPr>
            <w:r w:rsidRPr="000B3F7D">
              <w:rPr>
                <w:rFonts w:ascii="Arial" w:hAnsi="Arial" w:cs="Arial"/>
                <w:b/>
                <w:sz w:val="22"/>
                <w:szCs w:val="22"/>
              </w:rPr>
              <w:t>Skin and subcutaneous tissue disorders</w:t>
            </w:r>
          </w:p>
        </w:tc>
      </w:tr>
      <w:tr w:rsidR="00F6584A" w:rsidRPr="000B3F7D" w:rsidTr="00A86579">
        <w:trPr>
          <w:cantSplit/>
        </w:trPr>
        <w:tc>
          <w:tcPr>
            <w:tcW w:w="1800" w:type="dxa"/>
            <w:tcBorders>
              <w:top w:val="single" w:sz="4" w:space="0" w:color="auto"/>
              <w:left w:val="single" w:sz="4" w:space="0" w:color="auto"/>
              <w:bottom w:val="single" w:sz="4" w:space="0" w:color="auto"/>
              <w:right w:val="single" w:sz="4" w:space="0" w:color="auto"/>
            </w:tcBorders>
            <w:shd w:val="clear" w:color="auto" w:fill="auto"/>
          </w:tcPr>
          <w:p w:rsidR="00F6584A" w:rsidRPr="000B3F7D" w:rsidRDefault="00F6584A" w:rsidP="007763C8">
            <w:pPr>
              <w:rPr>
                <w:rFonts w:ascii="Arial" w:hAnsi="Arial" w:cs="Arial"/>
                <w:sz w:val="22"/>
                <w:szCs w:val="22"/>
              </w:rPr>
            </w:pPr>
            <w:r w:rsidRPr="000B3F7D">
              <w:rPr>
                <w:rFonts w:ascii="Arial" w:hAnsi="Arial" w:cs="Arial"/>
                <w:sz w:val="22"/>
                <w:szCs w:val="22"/>
              </w:rPr>
              <w:t>Very common</w:t>
            </w:r>
          </w:p>
        </w:tc>
        <w:tc>
          <w:tcPr>
            <w:tcW w:w="6989" w:type="dxa"/>
            <w:tcBorders>
              <w:top w:val="single" w:sz="4" w:space="0" w:color="auto"/>
              <w:left w:val="single" w:sz="4" w:space="0" w:color="auto"/>
              <w:bottom w:val="single" w:sz="4" w:space="0" w:color="auto"/>
              <w:right w:val="single" w:sz="4" w:space="0" w:color="auto"/>
            </w:tcBorders>
            <w:shd w:val="clear" w:color="auto" w:fill="auto"/>
          </w:tcPr>
          <w:p w:rsidR="00F6584A" w:rsidRPr="000B3F7D" w:rsidRDefault="00F6584A" w:rsidP="007763C8">
            <w:pPr>
              <w:rPr>
                <w:rFonts w:ascii="Arial" w:hAnsi="Arial" w:cs="Arial"/>
                <w:sz w:val="22"/>
                <w:szCs w:val="22"/>
              </w:rPr>
            </w:pPr>
            <w:r w:rsidRPr="000B3F7D">
              <w:rPr>
                <w:rStyle w:val="CSIchar"/>
                <w:rFonts w:ascii="Arial" w:hAnsi="Arial" w:cs="Arial"/>
                <w:sz w:val="22"/>
                <w:szCs w:val="22"/>
                <w:shd w:val="clear" w:color="auto" w:fill="auto"/>
              </w:rPr>
              <w:t>Rash</w:t>
            </w:r>
            <w:r w:rsidR="00920AFE" w:rsidRPr="000B3F7D">
              <w:rPr>
                <w:rStyle w:val="CSIchar"/>
                <w:rFonts w:ascii="Arial" w:hAnsi="Arial" w:cs="Arial"/>
                <w:sz w:val="22"/>
                <w:szCs w:val="22"/>
                <w:shd w:val="clear" w:color="auto" w:fill="auto"/>
                <w:vertAlign w:val="superscript"/>
              </w:rPr>
              <w:t>2</w:t>
            </w:r>
            <w:r w:rsidRPr="000B3F7D">
              <w:rPr>
                <w:rStyle w:val="CSIchar"/>
                <w:rFonts w:ascii="Arial" w:hAnsi="Arial" w:cs="Arial"/>
                <w:sz w:val="22"/>
                <w:szCs w:val="22"/>
                <w:shd w:val="clear" w:color="auto" w:fill="auto"/>
              </w:rPr>
              <w:t xml:space="preserve"> (including dermatitis acneform) (</w:t>
            </w:r>
            <w:r w:rsidRPr="000B3F7D">
              <w:rPr>
                <w:rStyle w:val="CSIchar"/>
                <w:rFonts w:ascii="Arial" w:hAnsi="Arial" w:cs="Arial"/>
                <w:i/>
                <w:sz w:val="22"/>
                <w:szCs w:val="22"/>
                <w:shd w:val="clear" w:color="auto" w:fill="auto"/>
              </w:rPr>
              <w:t xml:space="preserve">see Dosage and Administration — dose delay and dose reduction — </w:t>
            </w:r>
            <w:r w:rsidR="005E246B" w:rsidRPr="000B3F7D">
              <w:rPr>
                <w:rStyle w:val="CSIchar"/>
                <w:rFonts w:ascii="Arial" w:hAnsi="Arial" w:cs="Arial"/>
                <w:i/>
                <w:sz w:val="22"/>
                <w:szCs w:val="22"/>
                <w:shd w:val="clear" w:color="auto" w:fill="auto"/>
              </w:rPr>
              <w:t>O</w:t>
            </w:r>
            <w:r w:rsidRPr="000B3F7D">
              <w:rPr>
                <w:rStyle w:val="CSIchar"/>
                <w:rFonts w:ascii="Arial" w:hAnsi="Arial" w:cs="Arial"/>
                <w:i/>
                <w:sz w:val="22"/>
                <w:szCs w:val="22"/>
                <w:shd w:val="clear" w:color="auto" w:fill="auto"/>
              </w:rPr>
              <w:t>ther toxicities</w:t>
            </w:r>
            <w:r w:rsidRPr="000B3F7D">
              <w:rPr>
                <w:rStyle w:val="CSIchar"/>
                <w:rFonts w:ascii="Arial" w:hAnsi="Arial" w:cs="Arial"/>
                <w:sz w:val="22"/>
                <w:szCs w:val="22"/>
                <w:shd w:val="clear" w:color="auto" w:fill="auto"/>
              </w:rPr>
              <w:t>)</w:t>
            </w:r>
            <w:r w:rsidRPr="000B3F7D">
              <w:rPr>
                <w:rFonts w:ascii="Arial" w:hAnsi="Arial" w:cs="Arial"/>
                <w:sz w:val="22"/>
                <w:szCs w:val="22"/>
              </w:rPr>
              <w:t>.</w:t>
            </w:r>
          </w:p>
        </w:tc>
      </w:tr>
      <w:tr w:rsidR="00D70D33" w:rsidRPr="000B3F7D" w:rsidTr="00A86579">
        <w:trPr>
          <w:cantSplit/>
        </w:trPr>
        <w:tc>
          <w:tcPr>
            <w:tcW w:w="1800" w:type="dxa"/>
            <w:tcBorders>
              <w:top w:val="single" w:sz="4" w:space="0" w:color="auto"/>
              <w:left w:val="single" w:sz="4" w:space="0" w:color="auto"/>
              <w:bottom w:val="single" w:sz="4" w:space="0" w:color="auto"/>
              <w:right w:val="single" w:sz="4" w:space="0" w:color="auto"/>
            </w:tcBorders>
            <w:shd w:val="clear" w:color="auto" w:fill="auto"/>
          </w:tcPr>
          <w:p w:rsidR="00D70D33" w:rsidRPr="000B3F7D" w:rsidRDefault="00D70D33" w:rsidP="007763C8">
            <w:pPr>
              <w:rPr>
                <w:rFonts w:ascii="Arial" w:hAnsi="Arial" w:cs="Arial"/>
                <w:sz w:val="22"/>
                <w:szCs w:val="22"/>
              </w:rPr>
            </w:pPr>
            <w:r w:rsidRPr="000B3F7D">
              <w:rPr>
                <w:rFonts w:ascii="Arial" w:hAnsi="Arial" w:cs="Arial"/>
                <w:sz w:val="22"/>
                <w:szCs w:val="22"/>
              </w:rPr>
              <w:t>Common</w:t>
            </w:r>
          </w:p>
        </w:tc>
        <w:tc>
          <w:tcPr>
            <w:tcW w:w="6989" w:type="dxa"/>
            <w:tcBorders>
              <w:top w:val="single" w:sz="4" w:space="0" w:color="auto"/>
              <w:left w:val="single" w:sz="4" w:space="0" w:color="auto"/>
              <w:bottom w:val="single" w:sz="4" w:space="0" w:color="auto"/>
              <w:right w:val="single" w:sz="4" w:space="0" w:color="auto"/>
            </w:tcBorders>
            <w:shd w:val="clear" w:color="auto" w:fill="auto"/>
          </w:tcPr>
          <w:p w:rsidR="00D70D33" w:rsidRPr="000B3F7D" w:rsidRDefault="00D70D33" w:rsidP="007763C8">
            <w:pPr>
              <w:rPr>
                <w:rFonts w:ascii="Arial" w:hAnsi="Arial" w:cs="Arial"/>
                <w:sz w:val="22"/>
                <w:szCs w:val="22"/>
              </w:rPr>
            </w:pPr>
            <w:r w:rsidRPr="000B3F7D">
              <w:rPr>
                <w:rFonts w:ascii="Arial" w:hAnsi="Arial" w:cs="Arial"/>
                <w:sz w:val="22"/>
                <w:szCs w:val="22"/>
              </w:rPr>
              <w:t>Nail disorders including paron</w:t>
            </w:r>
            <w:r w:rsidR="00A57C78" w:rsidRPr="000B3F7D">
              <w:rPr>
                <w:rFonts w:ascii="Arial" w:hAnsi="Arial" w:cs="Arial"/>
                <w:sz w:val="22"/>
                <w:szCs w:val="22"/>
              </w:rPr>
              <w:t>y</w:t>
            </w:r>
            <w:r w:rsidRPr="000B3F7D">
              <w:rPr>
                <w:rFonts w:ascii="Arial" w:hAnsi="Arial" w:cs="Arial"/>
                <w:sz w:val="22"/>
                <w:szCs w:val="22"/>
              </w:rPr>
              <w:t>chia</w:t>
            </w:r>
          </w:p>
        </w:tc>
      </w:tr>
      <w:tr w:rsidR="00D70D33" w:rsidRPr="000B3F7D" w:rsidTr="00A86579">
        <w:trPr>
          <w:cantSplit/>
        </w:trPr>
        <w:tc>
          <w:tcPr>
            <w:tcW w:w="8789" w:type="dxa"/>
            <w:gridSpan w:val="2"/>
            <w:tcBorders>
              <w:top w:val="single" w:sz="4" w:space="0" w:color="auto"/>
              <w:left w:val="single" w:sz="4" w:space="0" w:color="auto"/>
              <w:bottom w:val="single" w:sz="4" w:space="0" w:color="auto"/>
              <w:right w:val="single" w:sz="4" w:space="0" w:color="auto"/>
            </w:tcBorders>
            <w:shd w:val="clear" w:color="auto" w:fill="auto"/>
          </w:tcPr>
          <w:p w:rsidR="00D70D33" w:rsidRPr="000B3F7D" w:rsidRDefault="00D70D33" w:rsidP="007763C8">
            <w:pPr>
              <w:rPr>
                <w:rFonts w:ascii="Arial" w:hAnsi="Arial" w:cs="Arial"/>
                <w:b/>
                <w:sz w:val="22"/>
                <w:szCs w:val="22"/>
                <w:highlight w:val="yellow"/>
              </w:rPr>
            </w:pPr>
            <w:r w:rsidRPr="000B3F7D">
              <w:rPr>
                <w:rFonts w:ascii="Arial" w:hAnsi="Arial" w:cs="Arial"/>
                <w:b/>
                <w:sz w:val="22"/>
                <w:szCs w:val="22"/>
              </w:rPr>
              <w:t>Immune System Disorders</w:t>
            </w:r>
          </w:p>
        </w:tc>
      </w:tr>
      <w:tr w:rsidR="00D70D33" w:rsidRPr="000B3F7D" w:rsidTr="00A86579">
        <w:trPr>
          <w:cantSplit/>
        </w:trPr>
        <w:tc>
          <w:tcPr>
            <w:tcW w:w="1800" w:type="dxa"/>
            <w:tcBorders>
              <w:top w:val="single" w:sz="4" w:space="0" w:color="auto"/>
              <w:left w:val="single" w:sz="4" w:space="0" w:color="auto"/>
              <w:bottom w:val="single" w:sz="4" w:space="0" w:color="auto"/>
              <w:right w:val="single" w:sz="4" w:space="0" w:color="auto"/>
            </w:tcBorders>
            <w:shd w:val="clear" w:color="auto" w:fill="auto"/>
          </w:tcPr>
          <w:p w:rsidR="00D70D33" w:rsidRPr="000B3F7D" w:rsidRDefault="00D70D33" w:rsidP="004918F4">
            <w:pPr>
              <w:rPr>
                <w:rFonts w:ascii="Arial" w:hAnsi="Arial" w:cs="Arial"/>
                <w:sz w:val="22"/>
                <w:szCs w:val="22"/>
              </w:rPr>
            </w:pPr>
            <w:r w:rsidRPr="000B3F7D">
              <w:rPr>
                <w:rFonts w:ascii="Arial" w:hAnsi="Arial" w:cs="Arial"/>
                <w:sz w:val="22"/>
                <w:szCs w:val="22"/>
              </w:rPr>
              <w:t>Rare</w:t>
            </w:r>
          </w:p>
        </w:tc>
        <w:tc>
          <w:tcPr>
            <w:tcW w:w="6989" w:type="dxa"/>
            <w:tcBorders>
              <w:top w:val="single" w:sz="4" w:space="0" w:color="auto"/>
              <w:left w:val="single" w:sz="4" w:space="0" w:color="auto"/>
              <w:bottom w:val="single" w:sz="4" w:space="0" w:color="auto"/>
              <w:right w:val="single" w:sz="4" w:space="0" w:color="auto"/>
            </w:tcBorders>
            <w:shd w:val="clear" w:color="auto" w:fill="auto"/>
          </w:tcPr>
          <w:p w:rsidR="00D70D33" w:rsidRPr="000B3F7D" w:rsidRDefault="00D70D33" w:rsidP="004918F4">
            <w:pPr>
              <w:rPr>
                <w:rFonts w:ascii="Arial" w:hAnsi="Arial" w:cs="Arial"/>
                <w:i/>
                <w:sz w:val="22"/>
                <w:szCs w:val="22"/>
              </w:rPr>
            </w:pPr>
            <w:r w:rsidRPr="000B3F7D">
              <w:rPr>
                <w:rStyle w:val="CSIchar"/>
                <w:rFonts w:ascii="Arial" w:hAnsi="Arial" w:cs="Arial"/>
                <w:sz w:val="22"/>
                <w:szCs w:val="22"/>
                <w:shd w:val="clear" w:color="auto" w:fill="auto"/>
              </w:rPr>
              <w:t>Hypersensitivity reactions including anaphylaxis (</w:t>
            </w:r>
            <w:r w:rsidRPr="000B3F7D">
              <w:rPr>
                <w:rStyle w:val="CSIchar"/>
                <w:rFonts w:ascii="Arial" w:hAnsi="Arial" w:cs="Arial"/>
                <w:i/>
                <w:sz w:val="22"/>
                <w:szCs w:val="22"/>
                <w:shd w:val="clear" w:color="auto" w:fill="auto"/>
              </w:rPr>
              <w:t>see Contraindications)</w:t>
            </w:r>
          </w:p>
        </w:tc>
      </w:tr>
      <w:tr w:rsidR="00F6584A" w:rsidRPr="000B3F7D" w:rsidTr="00A86579">
        <w:trPr>
          <w:cantSplit/>
        </w:trPr>
        <w:tc>
          <w:tcPr>
            <w:tcW w:w="8789" w:type="dxa"/>
            <w:gridSpan w:val="2"/>
            <w:tcBorders>
              <w:top w:val="single" w:sz="4" w:space="0" w:color="auto"/>
              <w:left w:val="single" w:sz="4" w:space="0" w:color="auto"/>
              <w:bottom w:val="single" w:sz="4" w:space="0" w:color="auto"/>
              <w:right w:val="single" w:sz="4" w:space="0" w:color="auto"/>
            </w:tcBorders>
            <w:shd w:val="clear" w:color="auto" w:fill="auto"/>
          </w:tcPr>
          <w:p w:rsidR="00F6584A" w:rsidRPr="000B3F7D" w:rsidRDefault="00F6584A" w:rsidP="007763C8">
            <w:pPr>
              <w:rPr>
                <w:rFonts w:ascii="Arial" w:hAnsi="Arial" w:cs="Arial"/>
                <w:sz w:val="22"/>
                <w:szCs w:val="22"/>
              </w:rPr>
            </w:pPr>
            <w:r w:rsidRPr="000B3F7D">
              <w:rPr>
                <w:rFonts w:ascii="Arial" w:hAnsi="Arial" w:cs="Arial"/>
                <w:b/>
                <w:sz w:val="22"/>
                <w:szCs w:val="22"/>
              </w:rPr>
              <w:t>General disorders and administration site conditions</w:t>
            </w:r>
          </w:p>
        </w:tc>
      </w:tr>
      <w:tr w:rsidR="00F6584A" w:rsidRPr="000B3F7D" w:rsidTr="00A86579">
        <w:trPr>
          <w:cantSplit/>
        </w:trPr>
        <w:tc>
          <w:tcPr>
            <w:tcW w:w="1800" w:type="dxa"/>
            <w:tcBorders>
              <w:top w:val="single" w:sz="4" w:space="0" w:color="auto"/>
              <w:left w:val="single" w:sz="4" w:space="0" w:color="auto"/>
              <w:bottom w:val="single" w:sz="4" w:space="0" w:color="auto"/>
              <w:right w:val="single" w:sz="4" w:space="0" w:color="auto"/>
            </w:tcBorders>
            <w:shd w:val="clear" w:color="auto" w:fill="auto"/>
          </w:tcPr>
          <w:p w:rsidR="00F6584A" w:rsidRPr="000B3F7D" w:rsidRDefault="00F6584A" w:rsidP="007763C8">
            <w:pPr>
              <w:rPr>
                <w:rFonts w:ascii="Arial" w:hAnsi="Arial" w:cs="Arial"/>
                <w:sz w:val="22"/>
                <w:szCs w:val="22"/>
              </w:rPr>
            </w:pPr>
            <w:r w:rsidRPr="000B3F7D">
              <w:rPr>
                <w:rFonts w:ascii="Arial" w:hAnsi="Arial" w:cs="Arial"/>
                <w:sz w:val="22"/>
                <w:szCs w:val="22"/>
              </w:rPr>
              <w:t>Very common</w:t>
            </w:r>
          </w:p>
        </w:tc>
        <w:tc>
          <w:tcPr>
            <w:tcW w:w="6989" w:type="dxa"/>
            <w:tcBorders>
              <w:top w:val="single" w:sz="4" w:space="0" w:color="auto"/>
              <w:left w:val="single" w:sz="4" w:space="0" w:color="auto"/>
              <w:bottom w:val="single" w:sz="4" w:space="0" w:color="auto"/>
              <w:right w:val="single" w:sz="4" w:space="0" w:color="auto"/>
            </w:tcBorders>
            <w:shd w:val="clear" w:color="auto" w:fill="auto"/>
          </w:tcPr>
          <w:p w:rsidR="00F6584A" w:rsidRPr="000B3F7D" w:rsidRDefault="00F6584A" w:rsidP="007763C8">
            <w:pPr>
              <w:rPr>
                <w:rFonts w:ascii="Arial" w:hAnsi="Arial" w:cs="Arial"/>
                <w:sz w:val="22"/>
                <w:szCs w:val="22"/>
              </w:rPr>
            </w:pPr>
            <w:r w:rsidRPr="000B3F7D">
              <w:rPr>
                <w:rFonts w:ascii="Arial" w:hAnsi="Arial" w:cs="Arial"/>
                <w:sz w:val="22"/>
                <w:szCs w:val="22"/>
              </w:rPr>
              <w:t xml:space="preserve"> </w:t>
            </w:r>
            <w:r w:rsidRPr="000B3F7D">
              <w:rPr>
                <w:rStyle w:val="CSIchar"/>
                <w:rFonts w:ascii="Arial" w:hAnsi="Arial" w:cs="Arial"/>
                <w:sz w:val="22"/>
                <w:szCs w:val="22"/>
                <w:shd w:val="clear" w:color="auto" w:fill="auto"/>
              </w:rPr>
              <w:t>Fatigue</w:t>
            </w:r>
            <w:r w:rsidRPr="000B3F7D">
              <w:rPr>
                <w:rFonts w:ascii="Arial" w:hAnsi="Arial" w:cs="Arial"/>
                <w:sz w:val="22"/>
                <w:szCs w:val="22"/>
              </w:rPr>
              <w:t>.</w:t>
            </w:r>
          </w:p>
        </w:tc>
      </w:tr>
    </w:tbl>
    <w:p w:rsidR="00F6584A" w:rsidRPr="000B3F7D" w:rsidRDefault="00F6584A" w:rsidP="007763C8">
      <w:pPr>
        <w:jc w:val="both"/>
        <w:rPr>
          <w:rStyle w:val="CSIchar"/>
          <w:rFonts w:ascii="Arial" w:hAnsi="Arial" w:cs="Arial"/>
          <w:sz w:val="22"/>
          <w:szCs w:val="22"/>
          <w:shd w:val="clear" w:color="auto" w:fill="auto"/>
        </w:rPr>
      </w:pPr>
      <w:r w:rsidRPr="000B3F7D">
        <w:rPr>
          <w:rFonts w:ascii="Arial" w:hAnsi="Arial" w:cs="Arial"/>
          <w:sz w:val="22"/>
          <w:szCs w:val="22"/>
        </w:rPr>
        <w:t xml:space="preserve"> </w:t>
      </w:r>
      <w:r w:rsidR="00920AFE" w:rsidRPr="000B3F7D">
        <w:rPr>
          <w:rStyle w:val="CSIchar"/>
          <w:rFonts w:ascii="Arial" w:hAnsi="Arial" w:cs="Arial"/>
          <w:sz w:val="22"/>
          <w:szCs w:val="22"/>
          <w:shd w:val="clear" w:color="auto" w:fill="auto"/>
          <w:vertAlign w:val="superscript"/>
        </w:rPr>
        <w:t>2</w:t>
      </w:r>
      <w:r w:rsidRPr="000B3F7D">
        <w:rPr>
          <w:rStyle w:val="CSIchar"/>
          <w:rFonts w:ascii="Arial" w:hAnsi="Arial" w:cs="Arial"/>
          <w:sz w:val="22"/>
          <w:szCs w:val="22"/>
          <w:shd w:val="clear" w:color="auto" w:fill="auto"/>
        </w:rPr>
        <w:t xml:space="preserve">Diarrhoea and rash were generally low grade and did not result in discontinuation of treatment with TYKERB. </w:t>
      </w:r>
      <w:r w:rsidR="00920AFE" w:rsidRPr="000B3F7D">
        <w:rPr>
          <w:rStyle w:val="CSIchar"/>
          <w:rFonts w:ascii="Arial" w:hAnsi="Arial" w:cs="Arial"/>
          <w:sz w:val="22"/>
          <w:szCs w:val="22"/>
          <w:shd w:val="clear" w:color="auto" w:fill="auto"/>
        </w:rPr>
        <w:t xml:space="preserve"> </w:t>
      </w:r>
      <w:r w:rsidRPr="000B3F7D">
        <w:rPr>
          <w:rStyle w:val="CSIchar"/>
          <w:rFonts w:ascii="Arial" w:hAnsi="Arial" w:cs="Arial"/>
          <w:sz w:val="22"/>
          <w:szCs w:val="22"/>
          <w:shd w:val="clear" w:color="auto" w:fill="auto"/>
        </w:rPr>
        <w:t>Diarrhoea responds well to proactive management (</w:t>
      </w:r>
      <w:r w:rsidRPr="000B3F7D">
        <w:rPr>
          <w:rStyle w:val="CSIchar"/>
          <w:rFonts w:ascii="Arial" w:hAnsi="Arial" w:cs="Arial"/>
          <w:i/>
          <w:sz w:val="22"/>
          <w:szCs w:val="22"/>
          <w:shd w:val="clear" w:color="auto" w:fill="auto"/>
        </w:rPr>
        <w:t>see Precautions</w:t>
      </w:r>
      <w:r w:rsidRPr="000B3F7D">
        <w:rPr>
          <w:rStyle w:val="CSIchar"/>
          <w:rFonts w:ascii="Arial" w:hAnsi="Arial" w:cs="Arial"/>
          <w:sz w:val="22"/>
          <w:szCs w:val="22"/>
          <w:shd w:val="clear" w:color="auto" w:fill="auto"/>
        </w:rPr>
        <w:t xml:space="preserve">). </w:t>
      </w:r>
      <w:r w:rsidR="00920AFE" w:rsidRPr="000B3F7D">
        <w:rPr>
          <w:rStyle w:val="CSIchar"/>
          <w:rFonts w:ascii="Arial" w:hAnsi="Arial" w:cs="Arial"/>
          <w:sz w:val="22"/>
          <w:szCs w:val="22"/>
          <w:shd w:val="clear" w:color="auto" w:fill="auto"/>
        </w:rPr>
        <w:t xml:space="preserve"> </w:t>
      </w:r>
      <w:r w:rsidRPr="000B3F7D">
        <w:rPr>
          <w:rStyle w:val="CSIchar"/>
          <w:rFonts w:ascii="Arial" w:hAnsi="Arial" w:cs="Arial"/>
          <w:sz w:val="22"/>
          <w:szCs w:val="22"/>
          <w:shd w:val="clear" w:color="auto" w:fill="auto"/>
        </w:rPr>
        <w:t xml:space="preserve">Rash was transient in the majority of cases. </w:t>
      </w:r>
    </w:p>
    <w:p w:rsidR="00AC25F8" w:rsidRPr="000B3F7D" w:rsidRDefault="00AC25F8" w:rsidP="007763C8">
      <w:pPr>
        <w:jc w:val="both"/>
        <w:rPr>
          <w:rFonts w:ascii="Arial" w:hAnsi="Arial" w:cs="Arial"/>
          <w:sz w:val="22"/>
          <w:szCs w:val="22"/>
        </w:rPr>
      </w:pPr>
    </w:p>
    <w:p w:rsidR="007919FC" w:rsidRPr="000B3F7D" w:rsidRDefault="007919FC" w:rsidP="007763C8">
      <w:pPr>
        <w:rPr>
          <w:rFonts w:ascii="Arial" w:hAnsi="Arial" w:cs="Arial"/>
          <w:b/>
          <w:i/>
          <w:sz w:val="22"/>
          <w:szCs w:val="22"/>
        </w:rPr>
      </w:pPr>
      <w:bookmarkStart w:id="11" w:name="_DV_M104"/>
      <w:bookmarkEnd w:id="11"/>
    </w:p>
    <w:p w:rsidR="00F6584A" w:rsidRPr="000B3F7D" w:rsidRDefault="00F6584A" w:rsidP="007763C8">
      <w:pPr>
        <w:rPr>
          <w:rFonts w:ascii="Arial" w:hAnsi="Arial" w:cs="Arial"/>
          <w:b/>
          <w:sz w:val="22"/>
          <w:szCs w:val="22"/>
        </w:rPr>
      </w:pPr>
      <w:r w:rsidRPr="000B3F7D">
        <w:rPr>
          <w:rFonts w:ascii="Arial" w:hAnsi="Arial" w:cs="Arial"/>
          <w:b/>
          <w:i/>
          <w:sz w:val="22"/>
          <w:szCs w:val="22"/>
        </w:rPr>
        <w:t>TYKERB</w:t>
      </w:r>
      <w:r w:rsidRPr="000B3F7D">
        <w:rPr>
          <w:rFonts w:ascii="Arial" w:hAnsi="Arial" w:cs="Arial"/>
          <w:b/>
          <w:bCs/>
          <w:i/>
          <w:iCs/>
          <w:sz w:val="22"/>
          <w:szCs w:val="22"/>
        </w:rPr>
        <w:t xml:space="preserve"> in combination with capecitabine</w:t>
      </w:r>
      <w:bookmarkStart w:id="12" w:name="_DV_M105"/>
      <w:bookmarkEnd w:id="12"/>
    </w:p>
    <w:p w:rsidR="00F6584A" w:rsidRPr="000B3F7D" w:rsidRDefault="003946BA" w:rsidP="007763C8">
      <w:pPr>
        <w:jc w:val="both"/>
        <w:rPr>
          <w:rFonts w:ascii="Arial" w:hAnsi="Arial" w:cs="Arial"/>
          <w:sz w:val="22"/>
          <w:szCs w:val="22"/>
        </w:rPr>
      </w:pPr>
      <w:r>
        <w:rPr>
          <w:rFonts w:ascii="Arial" w:hAnsi="Arial" w:cs="Arial"/>
          <w:sz w:val="22"/>
          <w:szCs w:val="22"/>
        </w:rPr>
        <w:t>In addition to the adverse reactions observed with TYKERB monotherapy, t</w:t>
      </w:r>
      <w:r w:rsidR="00F6584A" w:rsidRPr="000B3F7D">
        <w:rPr>
          <w:rFonts w:ascii="Arial" w:hAnsi="Arial" w:cs="Arial"/>
          <w:sz w:val="22"/>
          <w:szCs w:val="22"/>
        </w:rPr>
        <w:t xml:space="preserve">he following adverse reactions have been reported to be associated with TYKERB in combination with capecitabine with a frequency difference of greater than 5% compared to capecitabine alone. </w:t>
      </w:r>
      <w:bookmarkStart w:id="13" w:name="_DV_M106"/>
      <w:bookmarkEnd w:id="13"/>
      <w:r w:rsidR="00F6584A" w:rsidRPr="000B3F7D">
        <w:rPr>
          <w:rFonts w:ascii="Arial" w:hAnsi="Arial" w:cs="Arial"/>
          <w:sz w:val="22"/>
          <w:szCs w:val="22"/>
        </w:rPr>
        <w:t xml:space="preserve"> These data are based on exposure to this combination in </w:t>
      </w:r>
      <w:r>
        <w:rPr>
          <w:rFonts w:ascii="Arial" w:hAnsi="Arial" w:cs="Arial"/>
          <w:sz w:val="22"/>
          <w:szCs w:val="22"/>
        </w:rPr>
        <w:t>198</w:t>
      </w:r>
      <w:r w:rsidRPr="000B3F7D">
        <w:rPr>
          <w:rFonts w:ascii="Arial" w:hAnsi="Arial" w:cs="Arial"/>
          <w:sz w:val="22"/>
          <w:szCs w:val="22"/>
        </w:rPr>
        <w:t xml:space="preserve"> </w:t>
      </w:r>
      <w:r w:rsidR="00F6584A" w:rsidRPr="000B3F7D">
        <w:rPr>
          <w:rFonts w:ascii="Arial" w:hAnsi="Arial" w:cs="Arial"/>
          <w:sz w:val="22"/>
          <w:szCs w:val="22"/>
        </w:rPr>
        <w:t>patients.</w:t>
      </w:r>
    </w:p>
    <w:p w:rsidR="0093006E" w:rsidRPr="000B3F7D" w:rsidRDefault="0093006E" w:rsidP="007763C8">
      <w:pPr>
        <w:jc w:val="both"/>
        <w:rPr>
          <w:rFonts w:ascii="Arial" w:hAnsi="Arial" w:cs="Arial"/>
          <w:sz w:val="22"/>
          <w:szCs w:val="22"/>
        </w:rPr>
      </w:pPr>
    </w:p>
    <w:tbl>
      <w:tblPr>
        <w:tblW w:w="0" w:type="auto"/>
        <w:tblInd w:w="108" w:type="dxa"/>
        <w:tblLayout w:type="fixed"/>
        <w:tblLook w:val="0000"/>
      </w:tblPr>
      <w:tblGrid>
        <w:gridCol w:w="1791"/>
        <w:gridCol w:w="6128"/>
      </w:tblGrid>
      <w:tr w:rsidR="00F6584A" w:rsidRPr="000B3F7D">
        <w:tc>
          <w:tcPr>
            <w:tcW w:w="7919" w:type="dxa"/>
            <w:gridSpan w:val="2"/>
            <w:tcBorders>
              <w:top w:val="single" w:sz="4" w:space="0" w:color="auto"/>
              <w:left w:val="single" w:sz="4" w:space="0" w:color="auto"/>
              <w:bottom w:val="single" w:sz="4" w:space="0" w:color="auto"/>
              <w:right w:val="single" w:sz="4" w:space="0" w:color="auto"/>
            </w:tcBorders>
          </w:tcPr>
          <w:p w:rsidR="00F6584A" w:rsidRPr="000B3F7D" w:rsidRDefault="00F6584A" w:rsidP="007763C8">
            <w:pPr>
              <w:rPr>
                <w:rFonts w:ascii="Arial" w:hAnsi="Arial" w:cs="Arial"/>
                <w:b/>
                <w:bCs/>
                <w:sz w:val="22"/>
                <w:szCs w:val="22"/>
              </w:rPr>
            </w:pPr>
            <w:r w:rsidRPr="000B3F7D">
              <w:rPr>
                <w:rFonts w:ascii="Arial" w:hAnsi="Arial" w:cs="Arial"/>
                <w:b/>
                <w:bCs/>
                <w:sz w:val="22"/>
                <w:szCs w:val="22"/>
              </w:rPr>
              <w:t>Gastrointestinal disorders</w:t>
            </w:r>
          </w:p>
        </w:tc>
      </w:tr>
      <w:tr w:rsidR="00F6584A" w:rsidRPr="000B3F7D">
        <w:tc>
          <w:tcPr>
            <w:tcW w:w="1791" w:type="dxa"/>
            <w:tcBorders>
              <w:top w:val="single" w:sz="4" w:space="0" w:color="auto"/>
              <w:left w:val="single" w:sz="4" w:space="0" w:color="auto"/>
              <w:bottom w:val="single" w:sz="4" w:space="0" w:color="auto"/>
              <w:right w:val="single" w:sz="4" w:space="0" w:color="auto"/>
            </w:tcBorders>
          </w:tcPr>
          <w:p w:rsidR="00F6584A" w:rsidRPr="000B3F7D" w:rsidRDefault="00F6584A" w:rsidP="007763C8">
            <w:pPr>
              <w:rPr>
                <w:rFonts w:ascii="Arial" w:hAnsi="Arial" w:cs="Arial"/>
                <w:sz w:val="22"/>
                <w:szCs w:val="22"/>
              </w:rPr>
            </w:pPr>
            <w:r w:rsidRPr="000B3F7D">
              <w:rPr>
                <w:rFonts w:ascii="Arial" w:hAnsi="Arial" w:cs="Arial"/>
                <w:sz w:val="22"/>
                <w:szCs w:val="22"/>
              </w:rPr>
              <w:t>Very common</w:t>
            </w:r>
          </w:p>
        </w:tc>
        <w:tc>
          <w:tcPr>
            <w:tcW w:w="6128" w:type="dxa"/>
            <w:tcBorders>
              <w:top w:val="single" w:sz="4" w:space="0" w:color="auto"/>
              <w:left w:val="single" w:sz="4" w:space="0" w:color="auto"/>
              <w:bottom w:val="single" w:sz="4" w:space="0" w:color="auto"/>
              <w:right w:val="single" w:sz="4" w:space="0" w:color="auto"/>
            </w:tcBorders>
          </w:tcPr>
          <w:p w:rsidR="00F6584A" w:rsidRPr="000B3F7D" w:rsidRDefault="00F6584A" w:rsidP="007763C8">
            <w:pPr>
              <w:rPr>
                <w:rFonts w:ascii="Arial" w:hAnsi="Arial" w:cs="Arial"/>
                <w:sz w:val="22"/>
                <w:szCs w:val="22"/>
              </w:rPr>
            </w:pPr>
            <w:r w:rsidRPr="000B3F7D">
              <w:rPr>
                <w:rFonts w:ascii="Arial" w:hAnsi="Arial" w:cs="Arial"/>
                <w:sz w:val="22"/>
                <w:szCs w:val="22"/>
              </w:rPr>
              <w:t xml:space="preserve"> </w:t>
            </w:r>
            <w:r w:rsidRPr="000B3F7D">
              <w:rPr>
                <w:rStyle w:val="CSIchar"/>
                <w:rFonts w:ascii="Arial" w:hAnsi="Arial" w:cs="Arial"/>
                <w:sz w:val="22"/>
                <w:szCs w:val="22"/>
                <w:shd w:val="clear" w:color="auto" w:fill="auto"/>
              </w:rPr>
              <w:t>Dyspepsia.</w:t>
            </w:r>
          </w:p>
        </w:tc>
      </w:tr>
      <w:tr w:rsidR="00F6584A" w:rsidRPr="000B3F7D">
        <w:tc>
          <w:tcPr>
            <w:tcW w:w="7919" w:type="dxa"/>
            <w:gridSpan w:val="2"/>
            <w:tcBorders>
              <w:top w:val="single" w:sz="4" w:space="0" w:color="auto"/>
              <w:left w:val="single" w:sz="4" w:space="0" w:color="auto"/>
              <w:bottom w:val="single" w:sz="4" w:space="0" w:color="auto"/>
              <w:right w:val="single" w:sz="4" w:space="0" w:color="auto"/>
            </w:tcBorders>
          </w:tcPr>
          <w:p w:rsidR="00F6584A" w:rsidRPr="000B3F7D" w:rsidRDefault="00F6584A" w:rsidP="007763C8">
            <w:pPr>
              <w:rPr>
                <w:rFonts w:ascii="Arial" w:hAnsi="Arial" w:cs="Arial"/>
                <w:b/>
                <w:bCs/>
                <w:sz w:val="22"/>
                <w:szCs w:val="22"/>
              </w:rPr>
            </w:pPr>
            <w:r w:rsidRPr="000B3F7D">
              <w:rPr>
                <w:rFonts w:ascii="Arial" w:hAnsi="Arial" w:cs="Arial"/>
                <w:b/>
                <w:bCs/>
                <w:sz w:val="22"/>
                <w:szCs w:val="22"/>
              </w:rPr>
              <w:t>Skin and subcutaneous tissue disorders</w:t>
            </w:r>
          </w:p>
        </w:tc>
      </w:tr>
      <w:tr w:rsidR="00F6584A" w:rsidRPr="000B3F7D">
        <w:tc>
          <w:tcPr>
            <w:tcW w:w="1791" w:type="dxa"/>
            <w:tcBorders>
              <w:top w:val="single" w:sz="4" w:space="0" w:color="auto"/>
              <w:left w:val="single" w:sz="4" w:space="0" w:color="auto"/>
              <w:bottom w:val="single" w:sz="4" w:space="0" w:color="auto"/>
              <w:right w:val="single" w:sz="4" w:space="0" w:color="auto"/>
            </w:tcBorders>
          </w:tcPr>
          <w:p w:rsidR="00F6584A" w:rsidRPr="000B3F7D" w:rsidRDefault="00F6584A" w:rsidP="007763C8">
            <w:pPr>
              <w:rPr>
                <w:rFonts w:ascii="Arial" w:hAnsi="Arial" w:cs="Arial"/>
                <w:sz w:val="22"/>
                <w:szCs w:val="22"/>
              </w:rPr>
            </w:pPr>
            <w:r w:rsidRPr="000B3F7D">
              <w:rPr>
                <w:rFonts w:ascii="Arial" w:hAnsi="Arial" w:cs="Arial"/>
                <w:sz w:val="22"/>
                <w:szCs w:val="22"/>
              </w:rPr>
              <w:t>Very common</w:t>
            </w:r>
          </w:p>
        </w:tc>
        <w:tc>
          <w:tcPr>
            <w:tcW w:w="6128" w:type="dxa"/>
            <w:tcBorders>
              <w:top w:val="single" w:sz="4" w:space="0" w:color="auto"/>
              <w:left w:val="single" w:sz="4" w:space="0" w:color="auto"/>
              <w:bottom w:val="single" w:sz="4" w:space="0" w:color="auto"/>
              <w:right w:val="single" w:sz="4" w:space="0" w:color="auto"/>
            </w:tcBorders>
          </w:tcPr>
          <w:p w:rsidR="00F6584A" w:rsidRPr="000B3F7D" w:rsidRDefault="00F6584A" w:rsidP="007763C8">
            <w:pPr>
              <w:rPr>
                <w:rFonts w:ascii="Arial" w:hAnsi="Arial" w:cs="Arial"/>
                <w:sz w:val="22"/>
                <w:szCs w:val="22"/>
              </w:rPr>
            </w:pPr>
            <w:r w:rsidRPr="000B3F7D">
              <w:rPr>
                <w:rFonts w:ascii="Arial" w:hAnsi="Arial" w:cs="Arial"/>
                <w:sz w:val="22"/>
                <w:szCs w:val="22"/>
              </w:rPr>
              <w:t xml:space="preserve"> </w:t>
            </w:r>
            <w:r w:rsidRPr="000B3F7D">
              <w:rPr>
                <w:rStyle w:val="CSIchar"/>
                <w:rFonts w:ascii="Arial" w:hAnsi="Arial" w:cs="Arial"/>
                <w:sz w:val="22"/>
                <w:szCs w:val="22"/>
                <w:shd w:val="clear" w:color="auto" w:fill="auto"/>
              </w:rPr>
              <w:t>Dry skin.</w:t>
            </w:r>
          </w:p>
        </w:tc>
      </w:tr>
    </w:tbl>
    <w:p w:rsidR="00F6584A" w:rsidRPr="000B3F7D" w:rsidRDefault="00F6584A" w:rsidP="00C9790B">
      <w:pPr>
        <w:pStyle w:val="Postspace"/>
      </w:pPr>
    </w:p>
    <w:p w:rsidR="00F6584A" w:rsidRPr="000B3F7D" w:rsidRDefault="003946BA" w:rsidP="007763C8">
      <w:pPr>
        <w:jc w:val="both"/>
        <w:rPr>
          <w:rFonts w:ascii="Arial" w:hAnsi="Arial" w:cs="Arial"/>
          <w:sz w:val="22"/>
          <w:szCs w:val="22"/>
        </w:rPr>
      </w:pPr>
      <w:bookmarkStart w:id="14" w:name="_DV_M108"/>
      <w:bookmarkEnd w:id="14"/>
      <w:r>
        <w:rPr>
          <w:rFonts w:ascii="Arial" w:hAnsi="Arial" w:cs="Arial"/>
          <w:sz w:val="22"/>
          <w:szCs w:val="22"/>
        </w:rPr>
        <w:t>T</w:t>
      </w:r>
      <w:r w:rsidR="00F6584A" w:rsidRPr="000B3F7D">
        <w:rPr>
          <w:rFonts w:ascii="Arial" w:hAnsi="Arial" w:cs="Arial"/>
          <w:sz w:val="22"/>
          <w:szCs w:val="22"/>
        </w:rPr>
        <w:t>he following adverse reactions were reported to be associated with TYKERB in combination with capecitabine but were seen at a similar frequency in the capecitabine alone arm.</w:t>
      </w:r>
    </w:p>
    <w:p w:rsidR="00F6584A" w:rsidRPr="000B3F7D" w:rsidRDefault="00F6584A" w:rsidP="007763C8">
      <w:pPr>
        <w:pStyle w:val="anchor"/>
        <w:rPr>
          <w:rFonts w:ascii="Arial" w:hAnsi="Arial" w:cs="Arial"/>
          <w:sz w:val="22"/>
          <w:szCs w:val="22"/>
        </w:rPr>
      </w:pPr>
    </w:p>
    <w:tbl>
      <w:tblPr>
        <w:tblW w:w="0" w:type="auto"/>
        <w:tblInd w:w="108" w:type="dxa"/>
        <w:tblLayout w:type="fixed"/>
        <w:tblLook w:val="0000"/>
      </w:tblPr>
      <w:tblGrid>
        <w:gridCol w:w="1791"/>
        <w:gridCol w:w="6128"/>
      </w:tblGrid>
      <w:tr w:rsidR="00F6584A" w:rsidRPr="000B3F7D">
        <w:tc>
          <w:tcPr>
            <w:tcW w:w="7919" w:type="dxa"/>
            <w:gridSpan w:val="2"/>
            <w:tcBorders>
              <w:top w:val="single" w:sz="4" w:space="0" w:color="auto"/>
              <w:left w:val="single" w:sz="4" w:space="0" w:color="auto"/>
              <w:bottom w:val="single" w:sz="4" w:space="0" w:color="auto"/>
              <w:right w:val="single" w:sz="4" w:space="0" w:color="auto"/>
            </w:tcBorders>
          </w:tcPr>
          <w:p w:rsidR="00F6584A" w:rsidRPr="000B3F7D" w:rsidRDefault="00F6584A" w:rsidP="007763C8">
            <w:pPr>
              <w:rPr>
                <w:rFonts w:ascii="Arial" w:hAnsi="Arial" w:cs="Arial"/>
                <w:b/>
                <w:bCs/>
                <w:sz w:val="22"/>
                <w:szCs w:val="22"/>
              </w:rPr>
            </w:pPr>
            <w:r w:rsidRPr="000B3F7D">
              <w:rPr>
                <w:rFonts w:ascii="Arial" w:hAnsi="Arial" w:cs="Arial"/>
                <w:b/>
                <w:bCs/>
                <w:sz w:val="22"/>
                <w:szCs w:val="22"/>
              </w:rPr>
              <w:t>Gastrointestinal disorders</w:t>
            </w:r>
          </w:p>
        </w:tc>
      </w:tr>
      <w:tr w:rsidR="00F6584A" w:rsidRPr="000B3F7D">
        <w:tc>
          <w:tcPr>
            <w:tcW w:w="1791" w:type="dxa"/>
            <w:tcBorders>
              <w:top w:val="single" w:sz="4" w:space="0" w:color="auto"/>
              <w:left w:val="single" w:sz="4" w:space="0" w:color="auto"/>
              <w:bottom w:val="single" w:sz="4" w:space="0" w:color="auto"/>
              <w:right w:val="single" w:sz="4" w:space="0" w:color="auto"/>
            </w:tcBorders>
          </w:tcPr>
          <w:p w:rsidR="00F6584A" w:rsidRPr="000B3F7D" w:rsidRDefault="00F6584A" w:rsidP="007763C8">
            <w:pPr>
              <w:rPr>
                <w:rFonts w:ascii="Arial" w:hAnsi="Arial" w:cs="Arial"/>
                <w:sz w:val="22"/>
                <w:szCs w:val="22"/>
              </w:rPr>
            </w:pPr>
            <w:r w:rsidRPr="000B3F7D">
              <w:rPr>
                <w:rFonts w:ascii="Arial" w:hAnsi="Arial" w:cs="Arial"/>
                <w:sz w:val="22"/>
                <w:szCs w:val="22"/>
              </w:rPr>
              <w:t>Very common</w:t>
            </w:r>
          </w:p>
        </w:tc>
        <w:tc>
          <w:tcPr>
            <w:tcW w:w="6128" w:type="dxa"/>
            <w:tcBorders>
              <w:top w:val="single" w:sz="4" w:space="0" w:color="auto"/>
              <w:left w:val="single" w:sz="4" w:space="0" w:color="auto"/>
              <w:bottom w:val="single" w:sz="4" w:space="0" w:color="auto"/>
              <w:right w:val="single" w:sz="4" w:space="0" w:color="auto"/>
            </w:tcBorders>
          </w:tcPr>
          <w:p w:rsidR="00F6584A" w:rsidRPr="000B3F7D" w:rsidRDefault="00F6584A" w:rsidP="007763C8">
            <w:pPr>
              <w:rPr>
                <w:rFonts w:ascii="Arial" w:hAnsi="Arial" w:cs="Arial"/>
                <w:sz w:val="22"/>
                <w:szCs w:val="22"/>
              </w:rPr>
            </w:pPr>
            <w:r w:rsidRPr="000B3F7D">
              <w:rPr>
                <w:rFonts w:ascii="Arial" w:hAnsi="Arial" w:cs="Arial"/>
                <w:sz w:val="22"/>
                <w:szCs w:val="22"/>
              </w:rPr>
              <w:t xml:space="preserve"> </w:t>
            </w:r>
            <w:r w:rsidRPr="000B3F7D">
              <w:rPr>
                <w:rStyle w:val="CSIchar"/>
                <w:rFonts w:ascii="Arial" w:hAnsi="Arial" w:cs="Arial"/>
                <w:sz w:val="22"/>
                <w:szCs w:val="22"/>
                <w:shd w:val="clear" w:color="auto" w:fill="auto"/>
              </w:rPr>
              <w:t>Stomatitis, constipation, abdominal pain.</w:t>
            </w:r>
          </w:p>
        </w:tc>
      </w:tr>
      <w:tr w:rsidR="00F6584A" w:rsidRPr="000B3F7D">
        <w:tc>
          <w:tcPr>
            <w:tcW w:w="7919" w:type="dxa"/>
            <w:gridSpan w:val="2"/>
            <w:tcBorders>
              <w:top w:val="single" w:sz="4" w:space="0" w:color="auto"/>
              <w:left w:val="single" w:sz="4" w:space="0" w:color="auto"/>
              <w:bottom w:val="single" w:sz="4" w:space="0" w:color="auto"/>
              <w:right w:val="single" w:sz="4" w:space="0" w:color="auto"/>
            </w:tcBorders>
          </w:tcPr>
          <w:p w:rsidR="00F6584A" w:rsidRPr="000B3F7D" w:rsidRDefault="00F6584A" w:rsidP="007763C8">
            <w:pPr>
              <w:rPr>
                <w:rFonts w:ascii="Arial" w:hAnsi="Arial" w:cs="Arial"/>
                <w:b/>
                <w:bCs/>
                <w:sz w:val="22"/>
                <w:szCs w:val="22"/>
              </w:rPr>
            </w:pPr>
            <w:r w:rsidRPr="000B3F7D">
              <w:rPr>
                <w:rFonts w:ascii="Arial" w:hAnsi="Arial" w:cs="Arial"/>
                <w:b/>
                <w:bCs/>
                <w:sz w:val="22"/>
                <w:szCs w:val="22"/>
              </w:rPr>
              <w:t>Skin and subcutaneous tissue disorders</w:t>
            </w:r>
          </w:p>
        </w:tc>
      </w:tr>
      <w:tr w:rsidR="00F6584A" w:rsidRPr="000B3F7D">
        <w:tc>
          <w:tcPr>
            <w:tcW w:w="1791" w:type="dxa"/>
            <w:tcBorders>
              <w:top w:val="single" w:sz="4" w:space="0" w:color="auto"/>
              <w:left w:val="single" w:sz="4" w:space="0" w:color="auto"/>
              <w:bottom w:val="single" w:sz="4" w:space="0" w:color="auto"/>
              <w:right w:val="single" w:sz="4" w:space="0" w:color="auto"/>
            </w:tcBorders>
          </w:tcPr>
          <w:p w:rsidR="00F6584A" w:rsidRPr="000B3F7D" w:rsidRDefault="00F6584A" w:rsidP="007763C8">
            <w:pPr>
              <w:rPr>
                <w:rFonts w:ascii="Arial" w:hAnsi="Arial" w:cs="Arial"/>
                <w:sz w:val="22"/>
                <w:szCs w:val="22"/>
              </w:rPr>
            </w:pPr>
            <w:r w:rsidRPr="000B3F7D">
              <w:rPr>
                <w:rFonts w:ascii="Arial" w:hAnsi="Arial" w:cs="Arial"/>
                <w:sz w:val="22"/>
                <w:szCs w:val="22"/>
              </w:rPr>
              <w:t>Very common</w:t>
            </w:r>
          </w:p>
        </w:tc>
        <w:tc>
          <w:tcPr>
            <w:tcW w:w="6128" w:type="dxa"/>
            <w:tcBorders>
              <w:top w:val="single" w:sz="4" w:space="0" w:color="auto"/>
              <w:left w:val="single" w:sz="4" w:space="0" w:color="auto"/>
              <w:bottom w:val="single" w:sz="4" w:space="0" w:color="auto"/>
              <w:right w:val="single" w:sz="4" w:space="0" w:color="auto"/>
            </w:tcBorders>
          </w:tcPr>
          <w:p w:rsidR="00F6584A" w:rsidRPr="000B3F7D" w:rsidRDefault="00F6584A" w:rsidP="007763C8">
            <w:pPr>
              <w:rPr>
                <w:rFonts w:ascii="Arial" w:hAnsi="Arial" w:cs="Arial"/>
                <w:sz w:val="22"/>
                <w:szCs w:val="22"/>
              </w:rPr>
            </w:pPr>
            <w:r w:rsidRPr="000B3F7D">
              <w:rPr>
                <w:rFonts w:ascii="Arial" w:hAnsi="Arial" w:cs="Arial"/>
                <w:sz w:val="22"/>
                <w:szCs w:val="22"/>
              </w:rPr>
              <w:t xml:space="preserve"> </w:t>
            </w:r>
            <w:r w:rsidRPr="000B3F7D">
              <w:rPr>
                <w:rStyle w:val="CSIchar"/>
                <w:rFonts w:ascii="Arial" w:hAnsi="Arial" w:cs="Arial"/>
                <w:sz w:val="22"/>
                <w:szCs w:val="22"/>
                <w:shd w:val="clear" w:color="auto" w:fill="auto"/>
              </w:rPr>
              <w:t>Palmar-plantar erythrodysaesthesia.</w:t>
            </w:r>
          </w:p>
        </w:tc>
      </w:tr>
      <w:tr w:rsidR="00F6584A" w:rsidRPr="000B3F7D">
        <w:tc>
          <w:tcPr>
            <w:tcW w:w="7919" w:type="dxa"/>
            <w:gridSpan w:val="2"/>
            <w:tcBorders>
              <w:top w:val="single" w:sz="4" w:space="0" w:color="auto"/>
              <w:left w:val="single" w:sz="4" w:space="0" w:color="auto"/>
              <w:bottom w:val="single" w:sz="4" w:space="0" w:color="auto"/>
              <w:right w:val="single" w:sz="4" w:space="0" w:color="auto"/>
            </w:tcBorders>
          </w:tcPr>
          <w:p w:rsidR="00F6584A" w:rsidRPr="000B3F7D" w:rsidRDefault="00F6584A" w:rsidP="007763C8">
            <w:pPr>
              <w:rPr>
                <w:rFonts w:ascii="Arial" w:hAnsi="Arial" w:cs="Arial"/>
                <w:b/>
                <w:bCs/>
                <w:sz w:val="22"/>
                <w:szCs w:val="22"/>
              </w:rPr>
            </w:pPr>
            <w:r w:rsidRPr="000B3F7D">
              <w:rPr>
                <w:rFonts w:ascii="Arial" w:hAnsi="Arial" w:cs="Arial"/>
                <w:b/>
                <w:bCs/>
                <w:sz w:val="22"/>
                <w:szCs w:val="22"/>
              </w:rPr>
              <w:t>General disorders and administrative site conditions</w:t>
            </w:r>
          </w:p>
        </w:tc>
      </w:tr>
      <w:tr w:rsidR="00F6584A" w:rsidRPr="000B3F7D">
        <w:tc>
          <w:tcPr>
            <w:tcW w:w="1791" w:type="dxa"/>
            <w:tcBorders>
              <w:top w:val="single" w:sz="4" w:space="0" w:color="auto"/>
              <w:left w:val="single" w:sz="4" w:space="0" w:color="auto"/>
              <w:bottom w:val="single" w:sz="4" w:space="0" w:color="auto"/>
              <w:right w:val="single" w:sz="4" w:space="0" w:color="auto"/>
            </w:tcBorders>
          </w:tcPr>
          <w:p w:rsidR="00F6584A" w:rsidRPr="000B3F7D" w:rsidRDefault="00F6584A" w:rsidP="007763C8">
            <w:pPr>
              <w:rPr>
                <w:rFonts w:ascii="Arial" w:hAnsi="Arial" w:cs="Arial"/>
                <w:sz w:val="22"/>
                <w:szCs w:val="22"/>
              </w:rPr>
            </w:pPr>
            <w:r w:rsidRPr="000B3F7D">
              <w:rPr>
                <w:rFonts w:ascii="Arial" w:hAnsi="Arial" w:cs="Arial"/>
                <w:sz w:val="22"/>
                <w:szCs w:val="22"/>
              </w:rPr>
              <w:t>Very common</w:t>
            </w:r>
          </w:p>
        </w:tc>
        <w:tc>
          <w:tcPr>
            <w:tcW w:w="6128" w:type="dxa"/>
            <w:tcBorders>
              <w:top w:val="single" w:sz="4" w:space="0" w:color="auto"/>
              <w:left w:val="single" w:sz="4" w:space="0" w:color="auto"/>
              <w:bottom w:val="single" w:sz="4" w:space="0" w:color="auto"/>
              <w:right w:val="single" w:sz="4" w:space="0" w:color="auto"/>
            </w:tcBorders>
          </w:tcPr>
          <w:p w:rsidR="00F6584A" w:rsidRPr="000B3F7D" w:rsidRDefault="00F6584A" w:rsidP="007763C8">
            <w:pPr>
              <w:rPr>
                <w:rFonts w:ascii="Arial" w:hAnsi="Arial" w:cs="Arial"/>
                <w:sz w:val="22"/>
                <w:szCs w:val="22"/>
              </w:rPr>
            </w:pPr>
            <w:r w:rsidRPr="000B3F7D">
              <w:rPr>
                <w:rFonts w:ascii="Arial" w:hAnsi="Arial" w:cs="Arial"/>
                <w:sz w:val="22"/>
                <w:szCs w:val="22"/>
              </w:rPr>
              <w:t xml:space="preserve"> </w:t>
            </w:r>
            <w:r w:rsidRPr="000B3F7D">
              <w:rPr>
                <w:rStyle w:val="CSIchar"/>
                <w:rFonts w:ascii="Arial" w:hAnsi="Arial" w:cs="Arial"/>
                <w:sz w:val="22"/>
                <w:szCs w:val="22"/>
                <w:shd w:val="clear" w:color="auto" w:fill="auto"/>
              </w:rPr>
              <w:t>Mucosal inflammation.</w:t>
            </w:r>
          </w:p>
        </w:tc>
      </w:tr>
      <w:tr w:rsidR="00F6584A" w:rsidRPr="000B3F7D">
        <w:tc>
          <w:tcPr>
            <w:tcW w:w="7919" w:type="dxa"/>
            <w:gridSpan w:val="2"/>
            <w:tcBorders>
              <w:top w:val="single" w:sz="4" w:space="0" w:color="auto"/>
              <w:left w:val="single" w:sz="4" w:space="0" w:color="auto"/>
              <w:bottom w:val="single" w:sz="4" w:space="0" w:color="auto"/>
              <w:right w:val="single" w:sz="4" w:space="0" w:color="auto"/>
            </w:tcBorders>
          </w:tcPr>
          <w:p w:rsidR="00F6584A" w:rsidRPr="000B3F7D" w:rsidRDefault="00F6584A" w:rsidP="007763C8">
            <w:pPr>
              <w:rPr>
                <w:rFonts w:ascii="Arial" w:hAnsi="Arial" w:cs="Arial"/>
                <w:b/>
                <w:bCs/>
                <w:sz w:val="22"/>
                <w:szCs w:val="22"/>
              </w:rPr>
            </w:pPr>
            <w:r w:rsidRPr="000B3F7D">
              <w:rPr>
                <w:rFonts w:ascii="Arial" w:hAnsi="Arial" w:cs="Arial"/>
                <w:b/>
                <w:bCs/>
                <w:sz w:val="22"/>
                <w:szCs w:val="22"/>
              </w:rPr>
              <w:t>Musculoskeletal and connective tissue disorders</w:t>
            </w:r>
          </w:p>
        </w:tc>
      </w:tr>
      <w:tr w:rsidR="00F6584A" w:rsidRPr="000B3F7D">
        <w:tc>
          <w:tcPr>
            <w:tcW w:w="1791" w:type="dxa"/>
            <w:tcBorders>
              <w:top w:val="single" w:sz="4" w:space="0" w:color="auto"/>
              <w:left w:val="single" w:sz="4" w:space="0" w:color="auto"/>
              <w:bottom w:val="single" w:sz="4" w:space="0" w:color="auto"/>
              <w:right w:val="single" w:sz="4" w:space="0" w:color="auto"/>
            </w:tcBorders>
          </w:tcPr>
          <w:p w:rsidR="00F6584A" w:rsidRPr="000B3F7D" w:rsidRDefault="00F6584A" w:rsidP="007763C8">
            <w:pPr>
              <w:rPr>
                <w:rFonts w:ascii="Arial" w:hAnsi="Arial" w:cs="Arial"/>
                <w:sz w:val="22"/>
                <w:szCs w:val="22"/>
              </w:rPr>
            </w:pPr>
            <w:r w:rsidRPr="000B3F7D">
              <w:rPr>
                <w:rFonts w:ascii="Arial" w:hAnsi="Arial" w:cs="Arial"/>
                <w:sz w:val="22"/>
                <w:szCs w:val="22"/>
              </w:rPr>
              <w:t>Very common</w:t>
            </w:r>
          </w:p>
        </w:tc>
        <w:tc>
          <w:tcPr>
            <w:tcW w:w="6128" w:type="dxa"/>
            <w:tcBorders>
              <w:top w:val="single" w:sz="4" w:space="0" w:color="auto"/>
              <w:left w:val="single" w:sz="4" w:space="0" w:color="auto"/>
              <w:bottom w:val="single" w:sz="4" w:space="0" w:color="auto"/>
              <w:right w:val="single" w:sz="4" w:space="0" w:color="auto"/>
            </w:tcBorders>
          </w:tcPr>
          <w:p w:rsidR="00F6584A" w:rsidRPr="000B3F7D" w:rsidRDefault="00F6584A" w:rsidP="007763C8">
            <w:pPr>
              <w:rPr>
                <w:rFonts w:ascii="Arial" w:hAnsi="Arial" w:cs="Arial"/>
                <w:sz w:val="22"/>
                <w:szCs w:val="22"/>
              </w:rPr>
            </w:pPr>
            <w:r w:rsidRPr="000B3F7D">
              <w:rPr>
                <w:rFonts w:ascii="Arial" w:hAnsi="Arial" w:cs="Arial"/>
                <w:sz w:val="22"/>
                <w:szCs w:val="22"/>
              </w:rPr>
              <w:t xml:space="preserve"> </w:t>
            </w:r>
            <w:r w:rsidRPr="000B3F7D">
              <w:rPr>
                <w:rStyle w:val="CSIchar"/>
                <w:rFonts w:ascii="Arial" w:hAnsi="Arial" w:cs="Arial"/>
                <w:sz w:val="22"/>
                <w:szCs w:val="22"/>
                <w:shd w:val="clear" w:color="auto" w:fill="auto"/>
              </w:rPr>
              <w:t>Pain in extremity, back pain.</w:t>
            </w:r>
          </w:p>
        </w:tc>
      </w:tr>
      <w:tr w:rsidR="00F6584A" w:rsidRPr="000B3F7D">
        <w:tc>
          <w:tcPr>
            <w:tcW w:w="7919" w:type="dxa"/>
            <w:gridSpan w:val="2"/>
            <w:tcBorders>
              <w:top w:val="single" w:sz="4" w:space="0" w:color="auto"/>
              <w:left w:val="single" w:sz="4" w:space="0" w:color="auto"/>
              <w:bottom w:val="single" w:sz="4" w:space="0" w:color="auto"/>
              <w:right w:val="single" w:sz="4" w:space="0" w:color="auto"/>
            </w:tcBorders>
          </w:tcPr>
          <w:p w:rsidR="00F6584A" w:rsidRPr="000B3F7D" w:rsidRDefault="00F6584A" w:rsidP="007763C8">
            <w:pPr>
              <w:rPr>
                <w:rFonts w:ascii="Arial" w:hAnsi="Arial" w:cs="Arial"/>
                <w:b/>
                <w:bCs/>
                <w:sz w:val="22"/>
                <w:szCs w:val="22"/>
              </w:rPr>
            </w:pPr>
            <w:r w:rsidRPr="000B3F7D">
              <w:rPr>
                <w:rFonts w:ascii="Arial" w:hAnsi="Arial" w:cs="Arial"/>
                <w:b/>
                <w:bCs/>
                <w:sz w:val="22"/>
                <w:szCs w:val="22"/>
              </w:rPr>
              <w:t>Nervous system disorders</w:t>
            </w:r>
          </w:p>
        </w:tc>
      </w:tr>
      <w:tr w:rsidR="00F6584A" w:rsidRPr="000B3F7D">
        <w:tc>
          <w:tcPr>
            <w:tcW w:w="1791" w:type="dxa"/>
            <w:tcBorders>
              <w:top w:val="single" w:sz="4" w:space="0" w:color="auto"/>
              <w:left w:val="single" w:sz="4" w:space="0" w:color="auto"/>
              <w:bottom w:val="single" w:sz="4" w:space="0" w:color="auto"/>
              <w:right w:val="single" w:sz="4" w:space="0" w:color="auto"/>
            </w:tcBorders>
          </w:tcPr>
          <w:p w:rsidR="00F6584A" w:rsidRPr="000B3F7D" w:rsidRDefault="00F6584A" w:rsidP="007763C8">
            <w:pPr>
              <w:rPr>
                <w:rFonts w:ascii="Arial" w:hAnsi="Arial" w:cs="Arial"/>
                <w:sz w:val="22"/>
                <w:szCs w:val="22"/>
              </w:rPr>
            </w:pPr>
            <w:r w:rsidRPr="000B3F7D">
              <w:rPr>
                <w:rFonts w:ascii="Arial" w:hAnsi="Arial" w:cs="Arial"/>
                <w:sz w:val="22"/>
                <w:szCs w:val="22"/>
              </w:rPr>
              <w:t>Common</w:t>
            </w:r>
          </w:p>
        </w:tc>
        <w:tc>
          <w:tcPr>
            <w:tcW w:w="6128" w:type="dxa"/>
            <w:tcBorders>
              <w:top w:val="single" w:sz="4" w:space="0" w:color="auto"/>
              <w:left w:val="single" w:sz="4" w:space="0" w:color="auto"/>
              <w:bottom w:val="single" w:sz="4" w:space="0" w:color="auto"/>
              <w:right w:val="single" w:sz="4" w:space="0" w:color="auto"/>
            </w:tcBorders>
          </w:tcPr>
          <w:p w:rsidR="00F6584A" w:rsidRPr="000B3F7D" w:rsidRDefault="00F6584A" w:rsidP="007763C8">
            <w:pPr>
              <w:rPr>
                <w:rFonts w:ascii="Arial" w:hAnsi="Arial" w:cs="Arial"/>
                <w:sz w:val="22"/>
                <w:szCs w:val="22"/>
              </w:rPr>
            </w:pPr>
            <w:r w:rsidRPr="000B3F7D">
              <w:rPr>
                <w:rFonts w:ascii="Arial" w:hAnsi="Arial" w:cs="Arial"/>
                <w:sz w:val="22"/>
                <w:szCs w:val="22"/>
              </w:rPr>
              <w:t xml:space="preserve"> </w:t>
            </w:r>
            <w:r w:rsidRPr="000B3F7D">
              <w:rPr>
                <w:rStyle w:val="CSIchar"/>
                <w:rFonts w:ascii="Arial" w:hAnsi="Arial" w:cs="Arial"/>
                <w:sz w:val="22"/>
                <w:szCs w:val="22"/>
                <w:shd w:val="clear" w:color="auto" w:fill="auto"/>
              </w:rPr>
              <w:t>Headache.</w:t>
            </w:r>
          </w:p>
        </w:tc>
      </w:tr>
      <w:tr w:rsidR="00F6584A" w:rsidRPr="000B3F7D">
        <w:tc>
          <w:tcPr>
            <w:tcW w:w="7919" w:type="dxa"/>
            <w:gridSpan w:val="2"/>
            <w:tcBorders>
              <w:top w:val="single" w:sz="4" w:space="0" w:color="auto"/>
              <w:left w:val="single" w:sz="4" w:space="0" w:color="auto"/>
              <w:bottom w:val="single" w:sz="4" w:space="0" w:color="auto"/>
              <w:right w:val="single" w:sz="4" w:space="0" w:color="auto"/>
            </w:tcBorders>
          </w:tcPr>
          <w:p w:rsidR="00F6584A" w:rsidRPr="000B3F7D" w:rsidRDefault="00F6584A" w:rsidP="007763C8">
            <w:pPr>
              <w:rPr>
                <w:rFonts w:ascii="Arial" w:hAnsi="Arial" w:cs="Arial"/>
                <w:b/>
                <w:bCs/>
                <w:sz w:val="22"/>
                <w:szCs w:val="22"/>
              </w:rPr>
            </w:pPr>
            <w:r w:rsidRPr="000B3F7D">
              <w:rPr>
                <w:rFonts w:ascii="Arial" w:hAnsi="Arial" w:cs="Arial"/>
                <w:b/>
                <w:bCs/>
                <w:sz w:val="22"/>
                <w:szCs w:val="22"/>
              </w:rPr>
              <w:t>Psychiatric disorders</w:t>
            </w:r>
          </w:p>
        </w:tc>
      </w:tr>
      <w:tr w:rsidR="00F6584A" w:rsidRPr="000B3F7D">
        <w:tc>
          <w:tcPr>
            <w:tcW w:w="1791" w:type="dxa"/>
            <w:tcBorders>
              <w:top w:val="single" w:sz="4" w:space="0" w:color="auto"/>
              <w:left w:val="single" w:sz="4" w:space="0" w:color="auto"/>
              <w:bottom w:val="single" w:sz="4" w:space="0" w:color="auto"/>
              <w:right w:val="single" w:sz="4" w:space="0" w:color="auto"/>
            </w:tcBorders>
          </w:tcPr>
          <w:p w:rsidR="00F6584A" w:rsidRPr="000B3F7D" w:rsidRDefault="00F6584A" w:rsidP="007763C8">
            <w:pPr>
              <w:rPr>
                <w:rFonts w:ascii="Arial" w:hAnsi="Arial" w:cs="Arial"/>
                <w:sz w:val="22"/>
                <w:szCs w:val="22"/>
              </w:rPr>
            </w:pPr>
            <w:r w:rsidRPr="000B3F7D">
              <w:rPr>
                <w:rFonts w:ascii="Arial" w:hAnsi="Arial" w:cs="Arial"/>
                <w:sz w:val="22"/>
                <w:szCs w:val="22"/>
              </w:rPr>
              <w:t>Very common</w:t>
            </w:r>
          </w:p>
        </w:tc>
        <w:tc>
          <w:tcPr>
            <w:tcW w:w="6128" w:type="dxa"/>
            <w:tcBorders>
              <w:top w:val="single" w:sz="4" w:space="0" w:color="auto"/>
              <w:left w:val="single" w:sz="4" w:space="0" w:color="auto"/>
              <w:bottom w:val="single" w:sz="4" w:space="0" w:color="auto"/>
              <w:right w:val="single" w:sz="4" w:space="0" w:color="auto"/>
            </w:tcBorders>
          </w:tcPr>
          <w:p w:rsidR="00F6584A" w:rsidRPr="000B3F7D" w:rsidRDefault="00F6584A" w:rsidP="007763C8">
            <w:pPr>
              <w:rPr>
                <w:rFonts w:ascii="Arial" w:hAnsi="Arial" w:cs="Arial"/>
                <w:sz w:val="22"/>
                <w:szCs w:val="22"/>
              </w:rPr>
            </w:pPr>
            <w:r w:rsidRPr="000B3F7D">
              <w:rPr>
                <w:rFonts w:ascii="Arial" w:hAnsi="Arial" w:cs="Arial"/>
                <w:sz w:val="22"/>
                <w:szCs w:val="22"/>
              </w:rPr>
              <w:t xml:space="preserve"> </w:t>
            </w:r>
            <w:r w:rsidRPr="000B3F7D">
              <w:rPr>
                <w:rStyle w:val="CSIchar"/>
                <w:rFonts w:ascii="Arial" w:hAnsi="Arial" w:cs="Arial"/>
                <w:sz w:val="22"/>
                <w:szCs w:val="22"/>
                <w:shd w:val="clear" w:color="auto" w:fill="auto"/>
              </w:rPr>
              <w:t>Insomnia.</w:t>
            </w:r>
          </w:p>
        </w:tc>
      </w:tr>
    </w:tbl>
    <w:p w:rsidR="00F6584A" w:rsidRPr="000B3F7D" w:rsidRDefault="00F6584A" w:rsidP="00C9790B">
      <w:pPr>
        <w:pStyle w:val="Postspace"/>
      </w:pPr>
    </w:p>
    <w:p w:rsidR="00F6584A" w:rsidRPr="000B3F7D" w:rsidRDefault="00F6584A" w:rsidP="007763C8">
      <w:pPr>
        <w:pStyle w:val="captiontable"/>
        <w:ind w:left="0" w:firstLine="0"/>
        <w:rPr>
          <w:rStyle w:val="hdgtitle"/>
          <w:rFonts w:cs="Arial"/>
          <w:b w:val="0"/>
          <w:szCs w:val="22"/>
        </w:rPr>
      </w:pPr>
      <w:r w:rsidRPr="000B3F7D">
        <w:rPr>
          <w:rFonts w:cs="Arial"/>
          <w:szCs w:val="22"/>
        </w:rPr>
        <w:t xml:space="preserve">Table </w:t>
      </w:r>
      <w:bookmarkEnd w:id="8"/>
      <w:r w:rsidR="009A4CA4">
        <w:rPr>
          <w:rFonts w:cs="Arial"/>
          <w:szCs w:val="22"/>
        </w:rPr>
        <w:t>7</w:t>
      </w:r>
      <w:r w:rsidRPr="000B3F7D">
        <w:rPr>
          <w:rFonts w:cs="Arial"/>
          <w:szCs w:val="22"/>
        </w:rPr>
        <w:tab/>
      </w:r>
      <w:bookmarkEnd w:id="9"/>
      <w:r w:rsidRPr="000B3F7D">
        <w:rPr>
          <w:rStyle w:val="hdgtitle"/>
          <w:rFonts w:cs="Arial"/>
          <w:szCs w:val="22"/>
        </w:rPr>
        <w:t>Most common study medication related adverse reactions (</w:t>
      </w:r>
      <w:r w:rsidRPr="000B3F7D">
        <w:rPr>
          <w:rStyle w:val="hdgtitle"/>
          <w:rFonts w:cs="Arial"/>
          <w:szCs w:val="22"/>
        </w:rPr>
        <w:sym w:font="Symbol" w:char="F0B3"/>
      </w:r>
      <w:r w:rsidRPr="000B3F7D">
        <w:rPr>
          <w:rStyle w:val="hdgtitle"/>
          <w:rFonts w:cs="Arial"/>
          <w:szCs w:val="22"/>
        </w:rPr>
        <w:t xml:space="preserve">5%) in studies of </w:t>
      </w:r>
      <w:r w:rsidR="003946BA">
        <w:rPr>
          <w:rStyle w:val="hdgtitle"/>
          <w:rFonts w:cs="Arial"/>
          <w:szCs w:val="22"/>
        </w:rPr>
        <w:t>TYKERB</w:t>
      </w:r>
      <w:r w:rsidRPr="000B3F7D">
        <w:rPr>
          <w:rStyle w:val="hdgtitle"/>
          <w:rFonts w:cs="Arial"/>
          <w:szCs w:val="22"/>
        </w:rPr>
        <w:t xml:space="preserve"> in combination with Capecitabine (EGF100151</w:t>
      </w:r>
      <w:r w:rsidR="003946BA">
        <w:rPr>
          <w:rStyle w:val="hdgtitle"/>
          <w:rFonts w:cs="Arial"/>
          <w:szCs w:val="22"/>
        </w:rPr>
        <w:t xml:space="preserve"> 03 April 2006 Cut Off</w:t>
      </w:r>
      <w:r w:rsidRPr="000B3F7D">
        <w:rPr>
          <w:rStyle w:val="hdgtitle"/>
          <w:rFonts w:cs="Arial"/>
          <w:szCs w:val="22"/>
        </w:rPr>
        <w:t>)</w:t>
      </w:r>
      <w:bookmarkEnd w:id="10"/>
    </w:p>
    <w:tbl>
      <w:tblPr>
        <w:tblW w:w="0" w:type="auto"/>
        <w:jc w:val="center"/>
        <w:tblLayout w:type="fixed"/>
        <w:tblLook w:val="0000"/>
      </w:tblPr>
      <w:tblGrid>
        <w:gridCol w:w="4722"/>
        <w:gridCol w:w="2008"/>
        <w:gridCol w:w="2008"/>
      </w:tblGrid>
      <w:tr w:rsidR="00F6584A" w:rsidRPr="000B3F7D">
        <w:trPr>
          <w:jc w:val="center"/>
        </w:trPr>
        <w:tc>
          <w:tcPr>
            <w:tcW w:w="4722" w:type="dxa"/>
            <w:tcBorders>
              <w:top w:val="single" w:sz="4" w:space="0" w:color="auto"/>
              <w:left w:val="single" w:sz="4" w:space="0" w:color="auto"/>
              <w:bottom w:val="single" w:sz="4" w:space="0" w:color="auto"/>
              <w:right w:val="single" w:sz="4" w:space="0" w:color="auto"/>
            </w:tcBorders>
          </w:tcPr>
          <w:p w:rsidR="00F6584A" w:rsidRPr="000B3F7D" w:rsidRDefault="00F6584A" w:rsidP="007763C8">
            <w:pPr>
              <w:pStyle w:val="TBLPara8N"/>
              <w:keepNext/>
              <w:rPr>
                <w:rFonts w:ascii="Arial" w:hAnsi="Arial" w:cs="Arial"/>
                <w:sz w:val="22"/>
                <w:szCs w:val="22"/>
                <w:lang w:val="en-GB"/>
              </w:rPr>
            </w:pPr>
            <w:r w:rsidRPr="000B3F7D">
              <w:rPr>
                <w:rFonts w:ascii="Arial" w:hAnsi="Arial" w:cs="Arial"/>
                <w:sz w:val="22"/>
                <w:szCs w:val="22"/>
                <w:lang w:val="en-GB"/>
              </w:rPr>
              <w:t>Preferred term</w:t>
            </w:r>
          </w:p>
        </w:tc>
        <w:tc>
          <w:tcPr>
            <w:tcW w:w="2008" w:type="dxa"/>
            <w:tcBorders>
              <w:top w:val="single" w:sz="4" w:space="0" w:color="auto"/>
              <w:left w:val="single" w:sz="4" w:space="0" w:color="auto"/>
              <w:bottom w:val="single" w:sz="4" w:space="0" w:color="auto"/>
              <w:right w:val="single" w:sz="4" w:space="0" w:color="auto"/>
            </w:tcBorders>
          </w:tcPr>
          <w:p w:rsidR="00F6584A" w:rsidRPr="000B3F7D" w:rsidRDefault="00F6584A" w:rsidP="007763C8">
            <w:pPr>
              <w:pStyle w:val="TBLPara8N"/>
              <w:keepNext/>
              <w:jc w:val="center"/>
              <w:rPr>
                <w:rFonts w:ascii="Arial" w:hAnsi="Arial" w:cs="Arial"/>
                <w:sz w:val="22"/>
                <w:szCs w:val="22"/>
                <w:lang w:val="it-IT"/>
              </w:rPr>
            </w:pPr>
            <w:r w:rsidRPr="000B3F7D">
              <w:rPr>
                <w:rFonts w:ascii="Arial" w:hAnsi="Arial" w:cs="Arial"/>
                <w:sz w:val="22"/>
                <w:szCs w:val="22"/>
                <w:lang w:val="it-IT"/>
              </w:rPr>
              <w:t>Lapatinib 1250mg + Capecitabine 2000mg/m</w:t>
            </w:r>
            <w:r w:rsidRPr="000B3F7D">
              <w:rPr>
                <w:rFonts w:ascii="Arial" w:hAnsi="Arial" w:cs="Arial"/>
                <w:sz w:val="22"/>
                <w:szCs w:val="22"/>
                <w:vertAlign w:val="superscript"/>
                <w:lang w:val="it-IT"/>
              </w:rPr>
              <w:t>2</w:t>
            </w:r>
          </w:p>
        </w:tc>
        <w:tc>
          <w:tcPr>
            <w:tcW w:w="2008" w:type="dxa"/>
            <w:tcBorders>
              <w:top w:val="single" w:sz="4" w:space="0" w:color="auto"/>
              <w:left w:val="single" w:sz="4" w:space="0" w:color="auto"/>
              <w:bottom w:val="single" w:sz="4" w:space="0" w:color="auto"/>
              <w:right w:val="single" w:sz="4" w:space="0" w:color="auto"/>
            </w:tcBorders>
          </w:tcPr>
          <w:p w:rsidR="00F6584A" w:rsidRPr="000B3F7D" w:rsidRDefault="00F6584A" w:rsidP="007763C8">
            <w:pPr>
              <w:pStyle w:val="TBLPara8N"/>
              <w:keepNext/>
              <w:jc w:val="center"/>
              <w:rPr>
                <w:rFonts w:ascii="Arial" w:hAnsi="Arial" w:cs="Arial"/>
                <w:sz w:val="22"/>
                <w:szCs w:val="22"/>
                <w:lang w:val="en-GB"/>
              </w:rPr>
            </w:pPr>
            <w:r w:rsidRPr="000B3F7D">
              <w:rPr>
                <w:rFonts w:ascii="Arial" w:hAnsi="Arial" w:cs="Arial"/>
                <w:sz w:val="22"/>
                <w:szCs w:val="22"/>
                <w:lang w:val="en-GB"/>
              </w:rPr>
              <w:t>Capecitabine (2500 mg/m</w:t>
            </w:r>
            <w:r w:rsidRPr="000B3F7D">
              <w:rPr>
                <w:rFonts w:ascii="Arial" w:hAnsi="Arial" w:cs="Arial"/>
                <w:sz w:val="22"/>
                <w:szCs w:val="22"/>
                <w:vertAlign w:val="superscript"/>
                <w:lang w:val="en-GB"/>
              </w:rPr>
              <w:t>2</w:t>
            </w:r>
            <w:r w:rsidRPr="000B3F7D">
              <w:rPr>
                <w:rFonts w:ascii="Arial" w:hAnsi="Arial" w:cs="Arial"/>
                <w:sz w:val="22"/>
                <w:szCs w:val="22"/>
                <w:lang w:val="en-GB"/>
              </w:rPr>
              <w:t>)</w:t>
            </w:r>
          </w:p>
        </w:tc>
      </w:tr>
      <w:tr w:rsidR="00F6584A" w:rsidRPr="000B3F7D">
        <w:trPr>
          <w:jc w:val="center"/>
        </w:trPr>
        <w:tc>
          <w:tcPr>
            <w:tcW w:w="4722" w:type="dxa"/>
            <w:tcBorders>
              <w:top w:val="single" w:sz="4" w:space="0" w:color="auto"/>
              <w:left w:val="single" w:sz="4" w:space="0" w:color="auto"/>
              <w:bottom w:val="single" w:sz="4" w:space="0" w:color="auto"/>
              <w:right w:val="single" w:sz="4" w:space="0" w:color="auto"/>
            </w:tcBorders>
          </w:tcPr>
          <w:p w:rsidR="00F6584A" w:rsidRPr="000B3F7D" w:rsidRDefault="00F6584A" w:rsidP="007763C8">
            <w:pPr>
              <w:pStyle w:val="TBLPara8N"/>
              <w:keepNext/>
              <w:rPr>
                <w:rFonts w:ascii="Arial" w:hAnsi="Arial" w:cs="Arial"/>
                <w:sz w:val="22"/>
                <w:szCs w:val="22"/>
                <w:lang w:val="en-GB"/>
              </w:rPr>
            </w:pPr>
          </w:p>
        </w:tc>
        <w:tc>
          <w:tcPr>
            <w:tcW w:w="2008" w:type="dxa"/>
            <w:tcBorders>
              <w:top w:val="single" w:sz="4" w:space="0" w:color="auto"/>
              <w:left w:val="single" w:sz="4" w:space="0" w:color="auto"/>
              <w:bottom w:val="single" w:sz="4" w:space="0" w:color="auto"/>
              <w:right w:val="single" w:sz="4" w:space="0" w:color="auto"/>
            </w:tcBorders>
          </w:tcPr>
          <w:p w:rsidR="00F6584A" w:rsidRPr="000B3F7D" w:rsidRDefault="00F6584A" w:rsidP="003946BA">
            <w:pPr>
              <w:pStyle w:val="TBLPara8N"/>
              <w:keepNext/>
              <w:jc w:val="center"/>
              <w:rPr>
                <w:rFonts w:ascii="Arial" w:hAnsi="Arial" w:cs="Arial"/>
                <w:sz w:val="22"/>
                <w:szCs w:val="22"/>
                <w:lang w:val="en-GB"/>
              </w:rPr>
            </w:pPr>
            <w:r w:rsidRPr="000B3F7D">
              <w:rPr>
                <w:rFonts w:ascii="Arial" w:hAnsi="Arial" w:cs="Arial"/>
                <w:sz w:val="22"/>
                <w:szCs w:val="22"/>
                <w:lang w:val="en-GB"/>
              </w:rPr>
              <w:t xml:space="preserve">(N = </w:t>
            </w:r>
            <w:r w:rsidR="003946BA">
              <w:rPr>
                <w:rFonts w:ascii="Arial" w:hAnsi="Arial" w:cs="Arial"/>
                <w:sz w:val="22"/>
                <w:szCs w:val="22"/>
                <w:lang w:val="en-GB"/>
              </w:rPr>
              <w:t>198</w:t>
            </w:r>
            <w:r w:rsidRPr="000B3F7D">
              <w:rPr>
                <w:rFonts w:ascii="Arial" w:hAnsi="Arial" w:cs="Arial"/>
                <w:sz w:val="22"/>
                <w:szCs w:val="22"/>
                <w:lang w:val="en-GB"/>
              </w:rPr>
              <w:t>)</w:t>
            </w:r>
          </w:p>
        </w:tc>
        <w:tc>
          <w:tcPr>
            <w:tcW w:w="2008" w:type="dxa"/>
            <w:tcBorders>
              <w:top w:val="single" w:sz="4" w:space="0" w:color="auto"/>
              <w:left w:val="single" w:sz="4" w:space="0" w:color="auto"/>
              <w:bottom w:val="single" w:sz="4" w:space="0" w:color="auto"/>
              <w:right w:val="single" w:sz="4" w:space="0" w:color="auto"/>
            </w:tcBorders>
          </w:tcPr>
          <w:p w:rsidR="00F6584A" w:rsidRPr="000B3F7D" w:rsidRDefault="00F6584A" w:rsidP="003946BA">
            <w:pPr>
              <w:pStyle w:val="TBLPara8N"/>
              <w:keepNext/>
              <w:jc w:val="center"/>
              <w:rPr>
                <w:rFonts w:ascii="Arial" w:hAnsi="Arial" w:cs="Arial"/>
                <w:sz w:val="22"/>
                <w:szCs w:val="22"/>
                <w:lang w:val="en-GB"/>
              </w:rPr>
            </w:pPr>
            <w:r w:rsidRPr="000B3F7D">
              <w:rPr>
                <w:rFonts w:ascii="Arial" w:hAnsi="Arial" w:cs="Arial"/>
                <w:sz w:val="22"/>
                <w:szCs w:val="22"/>
                <w:lang w:val="en-GB"/>
              </w:rPr>
              <w:t>(N=</w:t>
            </w:r>
            <w:r w:rsidR="003946BA">
              <w:rPr>
                <w:rFonts w:ascii="Arial" w:hAnsi="Arial" w:cs="Arial"/>
                <w:sz w:val="22"/>
                <w:szCs w:val="22"/>
                <w:lang w:val="en-GB"/>
              </w:rPr>
              <w:t>191</w:t>
            </w:r>
            <w:r w:rsidRPr="000B3F7D">
              <w:rPr>
                <w:rFonts w:ascii="Arial" w:hAnsi="Arial" w:cs="Arial"/>
                <w:sz w:val="22"/>
                <w:szCs w:val="22"/>
                <w:lang w:val="en-GB"/>
              </w:rPr>
              <w:t>)</w:t>
            </w:r>
          </w:p>
        </w:tc>
      </w:tr>
      <w:tr w:rsidR="00F6584A" w:rsidRPr="000B3F7D">
        <w:tblPrEx>
          <w:tblBorders>
            <w:top w:val="single" w:sz="12" w:space="0" w:color="808080"/>
            <w:left w:val="nil"/>
            <w:bottom w:val="single" w:sz="12" w:space="0" w:color="808080"/>
            <w:right w:val="nil"/>
            <w:insideH w:val="nil"/>
            <w:insideV w:val="nil"/>
          </w:tblBorders>
          <w:tblLook w:val="0033"/>
        </w:tblPrEx>
        <w:trPr>
          <w:jc w:val="center"/>
        </w:trPr>
        <w:tc>
          <w:tcPr>
            <w:tcW w:w="4722" w:type="dxa"/>
            <w:tcBorders>
              <w:top w:val="single" w:sz="4" w:space="0" w:color="auto"/>
              <w:left w:val="single" w:sz="4" w:space="0" w:color="auto"/>
              <w:bottom w:val="single" w:sz="4" w:space="0" w:color="auto"/>
              <w:right w:val="single" w:sz="4" w:space="0" w:color="auto"/>
            </w:tcBorders>
          </w:tcPr>
          <w:p w:rsidR="00F6584A" w:rsidRPr="000B3F7D" w:rsidRDefault="00F6584A" w:rsidP="007763C8">
            <w:pPr>
              <w:pStyle w:val="TBLPara8N"/>
              <w:keepNext/>
              <w:rPr>
                <w:rFonts w:ascii="Arial" w:hAnsi="Arial" w:cs="Arial"/>
                <w:sz w:val="22"/>
                <w:szCs w:val="22"/>
                <w:lang w:val="en-GB"/>
              </w:rPr>
            </w:pPr>
          </w:p>
        </w:tc>
        <w:tc>
          <w:tcPr>
            <w:tcW w:w="2008" w:type="dxa"/>
            <w:tcBorders>
              <w:top w:val="single" w:sz="4" w:space="0" w:color="auto"/>
              <w:left w:val="single" w:sz="4" w:space="0" w:color="auto"/>
              <w:bottom w:val="single" w:sz="4" w:space="0" w:color="auto"/>
              <w:right w:val="single" w:sz="4" w:space="0" w:color="auto"/>
            </w:tcBorders>
          </w:tcPr>
          <w:p w:rsidR="00F6584A" w:rsidRPr="000B3F7D" w:rsidRDefault="00F6584A" w:rsidP="007763C8">
            <w:pPr>
              <w:pStyle w:val="TBLPara8N"/>
              <w:keepNext/>
              <w:jc w:val="center"/>
              <w:rPr>
                <w:rFonts w:ascii="Arial" w:hAnsi="Arial" w:cs="Arial"/>
                <w:sz w:val="22"/>
                <w:szCs w:val="22"/>
                <w:lang w:val="en-GB"/>
              </w:rPr>
            </w:pPr>
            <w:r w:rsidRPr="000B3F7D">
              <w:rPr>
                <w:rFonts w:ascii="Arial" w:hAnsi="Arial" w:cs="Arial"/>
                <w:sz w:val="22"/>
                <w:szCs w:val="22"/>
                <w:lang w:val="en-GB"/>
              </w:rPr>
              <w:t>%</w:t>
            </w:r>
          </w:p>
        </w:tc>
        <w:tc>
          <w:tcPr>
            <w:tcW w:w="2008" w:type="dxa"/>
            <w:tcBorders>
              <w:top w:val="single" w:sz="4" w:space="0" w:color="auto"/>
              <w:left w:val="single" w:sz="4" w:space="0" w:color="auto"/>
              <w:bottom w:val="single" w:sz="4" w:space="0" w:color="auto"/>
              <w:right w:val="single" w:sz="4" w:space="0" w:color="auto"/>
            </w:tcBorders>
          </w:tcPr>
          <w:p w:rsidR="00F6584A" w:rsidRPr="000B3F7D" w:rsidRDefault="00F6584A" w:rsidP="007763C8">
            <w:pPr>
              <w:pStyle w:val="TBLPara8N"/>
              <w:keepNext/>
              <w:jc w:val="center"/>
              <w:rPr>
                <w:rFonts w:ascii="Arial" w:hAnsi="Arial" w:cs="Arial"/>
                <w:sz w:val="22"/>
                <w:szCs w:val="22"/>
                <w:lang w:val="en-GB"/>
              </w:rPr>
            </w:pPr>
            <w:r w:rsidRPr="000B3F7D">
              <w:rPr>
                <w:rFonts w:ascii="Arial" w:hAnsi="Arial" w:cs="Arial"/>
                <w:sz w:val="22"/>
                <w:szCs w:val="22"/>
                <w:lang w:val="en-GB"/>
              </w:rPr>
              <w:t>%</w:t>
            </w:r>
          </w:p>
        </w:tc>
      </w:tr>
      <w:tr w:rsidR="00F6584A" w:rsidRPr="000B3F7D">
        <w:tblPrEx>
          <w:tblBorders>
            <w:top w:val="single" w:sz="12" w:space="0" w:color="808080"/>
            <w:left w:val="nil"/>
            <w:bottom w:val="single" w:sz="12" w:space="0" w:color="808080"/>
            <w:right w:val="nil"/>
            <w:insideH w:val="nil"/>
            <w:insideV w:val="nil"/>
          </w:tblBorders>
          <w:tblLook w:val="0033"/>
        </w:tblPrEx>
        <w:trPr>
          <w:jc w:val="center"/>
        </w:trPr>
        <w:tc>
          <w:tcPr>
            <w:tcW w:w="4722" w:type="dxa"/>
            <w:tcBorders>
              <w:top w:val="single" w:sz="4" w:space="0" w:color="auto"/>
              <w:left w:val="single" w:sz="4" w:space="0" w:color="auto"/>
              <w:bottom w:val="single" w:sz="4" w:space="0" w:color="auto"/>
              <w:right w:val="single" w:sz="4" w:space="0" w:color="auto"/>
            </w:tcBorders>
          </w:tcPr>
          <w:p w:rsidR="00F6584A" w:rsidRPr="000B3F7D" w:rsidRDefault="00F6584A" w:rsidP="007763C8">
            <w:pPr>
              <w:pStyle w:val="TBLPara8N"/>
              <w:keepNext/>
              <w:rPr>
                <w:rFonts w:ascii="Arial" w:hAnsi="Arial" w:cs="Arial"/>
                <w:sz w:val="22"/>
                <w:szCs w:val="22"/>
                <w:lang w:val="en-GB"/>
              </w:rPr>
            </w:pPr>
            <w:r w:rsidRPr="000B3F7D">
              <w:rPr>
                <w:rFonts w:ascii="Arial" w:hAnsi="Arial" w:cs="Arial"/>
                <w:sz w:val="22"/>
                <w:szCs w:val="22"/>
                <w:lang w:val="en-GB"/>
              </w:rPr>
              <w:t>Any related AEs</w:t>
            </w:r>
          </w:p>
        </w:tc>
        <w:tc>
          <w:tcPr>
            <w:tcW w:w="2008" w:type="dxa"/>
            <w:tcBorders>
              <w:top w:val="single" w:sz="4" w:space="0" w:color="auto"/>
              <w:left w:val="single" w:sz="4" w:space="0" w:color="auto"/>
              <w:bottom w:val="single" w:sz="4" w:space="0" w:color="auto"/>
              <w:right w:val="single" w:sz="4" w:space="0" w:color="auto"/>
            </w:tcBorders>
          </w:tcPr>
          <w:p w:rsidR="00F6584A" w:rsidRPr="000B3F7D" w:rsidRDefault="003946BA" w:rsidP="007763C8">
            <w:pPr>
              <w:pStyle w:val="TBLPara8N"/>
              <w:keepNext/>
              <w:jc w:val="center"/>
              <w:rPr>
                <w:rFonts w:ascii="Arial" w:hAnsi="Arial" w:cs="Arial"/>
                <w:sz w:val="22"/>
                <w:szCs w:val="22"/>
                <w:lang w:val="en-GB"/>
              </w:rPr>
            </w:pPr>
            <w:r>
              <w:rPr>
                <w:rFonts w:ascii="Arial" w:hAnsi="Arial" w:cs="Arial"/>
                <w:sz w:val="22"/>
                <w:szCs w:val="22"/>
                <w:lang w:val="en-GB"/>
              </w:rPr>
              <w:t>87</w:t>
            </w:r>
          </w:p>
        </w:tc>
        <w:tc>
          <w:tcPr>
            <w:tcW w:w="2008" w:type="dxa"/>
            <w:tcBorders>
              <w:top w:val="single" w:sz="4" w:space="0" w:color="auto"/>
              <w:left w:val="single" w:sz="4" w:space="0" w:color="auto"/>
              <w:bottom w:val="single" w:sz="4" w:space="0" w:color="auto"/>
              <w:right w:val="single" w:sz="4" w:space="0" w:color="auto"/>
            </w:tcBorders>
          </w:tcPr>
          <w:p w:rsidR="00F6584A" w:rsidRPr="000B3F7D" w:rsidRDefault="003946BA" w:rsidP="007763C8">
            <w:pPr>
              <w:pStyle w:val="TBLPara8N"/>
              <w:keepNext/>
              <w:jc w:val="center"/>
              <w:rPr>
                <w:rFonts w:ascii="Arial" w:hAnsi="Arial" w:cs="Arial"/>
                <w:sz w:val="22"/>
                <w:szCs w:val="22"/>
                <w:lang w:val="en-GB"/>
              </w:rPr>
            </w:pPr>
            <w:r>
              <w:rPr>
                <w:rFonts w:ascii="Arial" w:hAnsi="Arial" w:cs="Arial"/>
                <w:sz w:val="22"/>
                <w:szCs w:val="22"/>
                <w:lang w:val="en-GB"/>
              </w:rPr>
              <w:t>82</w:t>
            </w:r>
          </w:p>
        </w:tc>
      </w:tr>
      <w:tr w:rsidR="00F6584A" w:rsidRPr="000B3F7D">
        <w:tblPrEx>
          <w:tblBorders>
            <w:top w:val="single" w:sz="12" w:space="0" w:color="808080"/>
            <w:left w:val="nil"/>
            <w:bottom w:val="single" w:sz="12" w:space="0" w:color="808080"/>
            <w:right w:val="nil"/>
            <w:insideH w:val="nil"/>
            <w:insideV w:val="nil"/>
          </w:tblBorders>
          <w:tblLook w:val="0033"/>
        </w:tblPrEx>
        <w:trPr>
          <w:jc w:val="center"/>
        </w:trPr>
        <w:tc>
          <w:tcPr>
            <w:tcW w:w="4722" w:type="dxa"/>
            <w:tcBorders>
              <w:top w:val="single" w:sz="4" w:space="0" w:color="auto"/>
              <w:left w:val="single" w:sz="4" w:space="0" w:color="auto"/>
              <w:bottom w:val="single" w:sz="4" w:space="0" w:color="auto"/>
              <w:right w:val="single" w:sz="4" w:space="0" w:color="auto"/>
            </w:tcBorders>
          </w:tcPr>
          <w:p w:rsidR="00F6584A" w:rsidRPr="000B3F7D" w:rsidRDefault="00F6584A" w:rsidP="007763C8">
            <w:pPr>
              <w:pStyle w:val="TBLPara8N"/>
              <w:keepNext/>
              <w:rPr>
                <w:rFonts w:ascii="Arial" w:hAnsi="Arial" w:cs="Arial"/>
                <w:sz w:val="22"/>
                <w:szCs w:val="22"/>
                <w:lang w:val="en-GB"/>
              </w:rPr>
            </w:pPr>
            <w:r w:rsidRPr="000B3F7D">
              <w:rPr>
                <w:rFonts w:ascii="Arial" w:hAnsi="Arial" w:cs="Arial"/>
                <w:sz w:val="22"/>
                <w:szCs w:val="22"/>
                <w:lang w:val="en-GB"/>
              </w:rPr>
              <w:t>Diarrhoea</w:t>
            </w:r>
          </w:p>
        </w:tc>
        <w:tc>
          <w:tcPr>
            <w:tcW w:w="2008" w:type="dxa"/>
            <w:tcBorders>
              <w:top w:val="single" w:sz="4" w:space="0" w:color="auto"/>
              <w:left w:val="single" w:sz="4" w:space="0" w:color="auto"/>
              <w:bottom w:val="single" w:sz="4" w:space="0" w:color="auto"/>
              <w:right w:val="single" w:sz="4" w:space="0" w:color="auto"/>
            </w:tcBorders>
          </w:tcPr>
          <w:p w:rsidR="00F6584A" w:rsidRPr="000B3F7D" w:rsidRDefault="003946BA" w:rsidP="007763C8">
            <w:pPr>
              <w:pStyle w:val="TBLPara8N"/>
              <w:keepNext/>
              <w:jc w:val="center"/>
              <w:rPr>
                <w:rFonts w:ascii="Arial" w:hAnsi="Arial" w:cs="Arial"/>
                <w:sz w:val="22"/>
                <w:szCs w:val="22"/>
                <w:lang w:val="en-GB"/>
              </w:rPr>
            </w:pPr>
            <w:r>
              <w:rPr>
                <w:rFonts w:ascii="Arial" w:hAnsi="Arial" w:cs="Arial"/>
                <w:sz w:val="22"/>
                <w:szCs w:val="22"/>
                <w:lang w:val="en-GB"/>
              </w:rPr>
              <w:t>60</w:t>
            </w:r>
          </w:p>
        </w:tc>
        <w:tc>
          <w:tcPr>
            <w:tcW w:w="2008" w:type="dxa"/>
            <w:tcBorders>
              <w:top w:val="single" w:sz="4" w:space="0" w:color="auto"/>
              <w:left w:val="single" w:sz="4" w:space="0" w:color="auto"/>
              <w:bottom w:val="single" w:sz="4" w:space="0" w:color="auto"/>
              <w:right w:val="single" w:sz="4" w:space="0" w:color="auto"/>
            </w:tcBorders>
          </w:tcPr>
          <w:p w:rsidR="00F6584A" w:rsidRPr="000B3F7D" w:rsidRDefault="003946BA" w:rsidP="007763C8">
            <w:pPr>
              <w:pStyle w:val="TBLPara8N"/>
              <w:keepNext/>
              <w:jc w:val="center"/>
              <w:rPr>
                <w:rFonts w:ascii="Arial" w:hAnsi="Arial" w:cs="Arial"/>
                <w:sz w:val="22"/>
                <w:szCs w:val="22"/>
                <w:lang w:val="en-GB"/>
              </w:rPr>
            </w:pPr>
            <w:r>
              <w:rPr>
                <w:rFonts w:ascii="Arial" w:hAnsi="Arial" w:cs="Arial"/>
                <w:sz w:val="22"/>
                <w:szCs w:val="22"/>
                <w:lang w:val="en-GB"/>
              </w:rPr>
              <w:t>37</w:t>
            </w:r>
          </w:p>
        </w:tc>
      </w:tr>
      <w:tr w:rsidR="00F6584A" w:rsidRPr="000B3F7D">
        <w:tblPrEx>
          <w:tblBorders>
            <w:top w:val="single" w:sz="12" w:space="0" w:color="808080"/>
            <w:left w:val="nil"/>
            <w:bottom w:val="single" w:sz="12" w:space="0" w:color="808080"/>
            <w:right w:val="nil"/>
            <w:insideH w:val="nil"/>
            <w:insideV w:val="nil"/>
          </w:tblBorders>
          <w:tblLook w:val="0033"/>
        </w:tblPrEx>
        <w:trPr>
          <w:jc w:val="center"/>
        </w:trPr>
        <w:tc>
          <w:tcPr>
            <w:tcW w:w="4722" w:type="dxa"/>
            <w:tcBorders>
              <w:top w:val="single" w:sz="4" w:space="0" w:color="auto"/>
              <w:left w:val="single" w:sz="4" w:space="0" w:color="auto"/>
              <w:bottom w:val="single" w:sz="4" w:space="0" w:color="auto"/>
              <w:right w:val="single" w:sz="4" w:space="0" w:color="auto"/>
            </w:tcBorders>
          </w:tcPr>
          <w:p w:rsidR="00F6584A" w:rsidRPr="000B3F7D" w:rsidRDefault="00F6584A" w:rsidP="007763C8">
            <w:pPr>
              <w:pStyle w:val="TBLPara8N"/>
              <w:keepNext/>
              <w:rPr>
                <w:rFonts w:ascii="Arial" w:hAnsi="Arial" w:cs="Arial"/>
                <w:sz w:val="22"/>
                <w:szCs w:val="22"/>
                <w:lang w:val="en-GB"/>
              </w:rPr>
            </w:pPr>
            <w:r w:rsidRPr="000B3F7D">
              <w:rPr>
                <w:rFonts w:ascii="Arial" w:hAnsi="Arial" w:cs="Arial"/>
                <w:sz w:val="22"/>
                <w:szCs w:val="22"/>
                <w:lang w:val="en-GB"/>
              </w:rPr>
              <w:t>Palmar-plantar erythrodysaesthesia syndrome</w:t>
            </w:r>
          </w:p>
        </w:tc>
        <w:tc>
          <w:tcPr>
            <w:tcW w:w="2008" w:type="dxa"/>
            <w:tcBorders>
              <w:top w:val="single" w:sz="4" w:space="0" w:color="auto"/>
              <w:left w:val="single" w:sz="4" w:space="0" w:color="auto"/>
              <w:bottom w:val="single" w:sz="4" w:space="0" w:color="auto"/>
              <w:right w:val="single" w:sz="4" w:space="0" w:color="auto"/>
            </w:tcBorders>
          </w:tcPr>
          <w:p w:rsidR="00F6584A" w:rsidRPr="000B3F7D" w:rsidRDefault="003946BA" w:rsidP="007763C8">
            <w:pPr>
              <w:pStyle w:val="TBLPara8N"/>
              <w:keepNext/>
              <w:jc w:val="center"/>
              <w:rPr>
                <w:rFonts w:ascii="Arial" w:hAnsi="Arial" w:cs="Arial"/>
                <w:sz w:val="22"/>
                <w:szCs w:val="22"/>
                <w:lang w:val="en-GB"/>
              </w:rPr>
            </w:pPr>
            <w:r>
              <w:rPr>
                <w:rFonts w:ascii="Arial" w:hAnsi="Arial" w:cs="Arial"/>
                <w:sz w:val="22"/>
                <w:szCs w:val="22"/>
                <w:lang w:val="en-GB"/>
              </w:rPr>
              <w:t>49</w:t>
            </w:r>
          </w:p>
        </w:tc>
        <w:tc>
          <w:tcPr>
            <w:tcW w:w="2008" w:type="dxa"/>
            <w:tcBorders>
              <w:top w:val="single" w:sz="4" w:space="0" w:color="auto"/>
              <w:left w:val="single" w:sz="4" w:space="0" w:color="auto"/>
              <w:bottom w:val="single" w:sz="4" w:space="0" w:color="auto"/>
              <w:right w:val="single" w:sz="4" w:space="0" w:color="auto"/>
            </w:tcBorders>
          </w:tcPr>
          <w:p w:rsidR="00F6584A" w:rsidRPr="000B3F7D" w:rsidRDefault="003946BA" w:rsidP="007763C8">
            <w:pPr>
              <w:pStyle w:val="TBLPara8N"/>
              <w:keepNext/>
              <w:jc w:val="center"/>
              <w:rPr>
                <w:rFonts w:ascii="Arial" w:hAnsi="Arial" w:cs="Arial"/>
                <w:sz w:val="22"/>
                <w:szCs w:val="22"/>
                <w:lang w:val="en-GB"/>
              </w:rPr>
            </w:pPr>
            <w:r>
              <w:rPr>
                <w:rFonts w:ascii="Arial" w:hAnsi="Arial" w:cs="Arial"/>
                <w:sz w:val="22"/>
                <w:szCs w:val="22"/>
                <w:lang w:val="en-GB"/>
              </w:rPr>
              <w:t>49</w:t>
            </w:r>
          </w:p>
        </w:tc>
      </w:tr>
      <w:tr w:rsidR="00F6584A" w:rsidRPr="000B3F7D">
        <w:tblPrEx>
          <w:tblBorders>
            <w:top w:val="single" w:sz="12" w:space="0" w:color="808080"/>
            <w:left w:val="nil"/>
            <w:bottom w:val="single" w:sz="12" w:space="0" w:color="808080"/>
            <w:right w:val="nil"/>
            <w:insideH w:val="nil"/>
            <w:insideV w:val="nil"/>
          </w:tblBorders>
          <w:tblLook w:val="0033"/>
        </w:tblPrEx>
        <w:trPr>
          <w:jc w:val="center"/>
        </w:trPr>
        <w:tc>
          <w:tcPr>
            <w:tcW w:w="4722" w:type="dxa"/>
            <w:tcBorders>
              <w:top w:val="single" w:sz="4" w:space="0" w:color="auto"/>
              <w:left w:val="single" w:sz="4" w:space="0" w:color="auto"/>
              <w:bottom w:val="single" w:sz="4" w:space="0" w:color="auto"/>
              <w:right w:val="single" w:sz="4" w:space="0" w:color="auto"/>
            </w:tcBorders>
          </w:tcPr>
          <w:p w:rsidR="00F6584A" w:rsidRPr="000B3F7D" w:rsidRDefault="00F6584A" w:rsidP="007763C8">
            <w:pPr>
              <w:pStyle w:val="TBLPara8N"/>
              <w:keepNext/>
              <w:rPr>
                <w:rFonts w:ascii="Arial" w:hAnsi="Arial" w:cs="Arial"/>
                <w:sz w:val="22"/>
                <w:szCs w:val="22"/>
                <w:lang w:val="en-GB"/>
              </w:rPr>
            </w:pPr>
            <w:r w:rsidRPr="000B3F7D">
              <w:rPr>
                <w:rFonts w:ascii="Arial" w:hAnsi="Arial" w:cs="Arial"/>
                <w:sz w:val="22"/>
                <w:szCs w:val="22"/>
                <w:lang w:val="en-GB"/>
              </w:rPr>
              <w:t>Nausea</w:t>
            </w:r>
          </w:p>
        </w:tc>
        <w:tc>
          <w:tcPr>
            <w:tcW w:w="2008" w:type="dxa"/>
            <w:tcBorders>
              <w:top w:val="single" w:sz="4" w:space="0" w:color="auto"/>
              <w:left w:val="single" w:sz="4" w:space="0" w:color="auto"/>
              <w:bottom w:val="single" w:sz="4" w:space="0" w:color="auto"/>
              <w:right w:val="single" w:sz="4" w:space="0" w:color="auto"/>
            </w:tcBorders>
          </w:tcPr>
          <w:p w:rsidR="00F6584A" w:rsidRPr="000B3F7D" w:rsidRDefault="00F6584A" w:rsidP="007763C8">
            <w:pPr>
              <w:pStyle w:val="TBLPara8N"/>
              <w:keepNext/>
              <w:jc w:val="center"/>
              <w:rPr>
                <w:rFonts w:ascii="Arial" w:hAnsi="Arial" w:cs="Arial"/>
                <w:sz w:val="22"/>
                <w:szCs w:val="22"/>
                <w:lang w:val="en-GB"/>
              </w:rPr>
            </w:pPr>
            <w:r w:rsidRPr="000B3F7D">
              <w:rPr>
                <w:rFonts w:ascii="Arial" w:hAnsi="Arial" w:cs="Arial"/>
                <w:sz w:val="22"/>
                <w:szCs w:val="22"/>
                <w:lang w:val="en-GB"/>
              </w:rPr>
              <w:t>40</w:t>
            </w:r>
          </w:p>
        </w:tc>
        <w:tc>
          <w:tcPr>
            <w:tcW w:w="2008" w:type="dxa"/>
            <w:tcBorders>
              <w:top w:val="single" w:sz="4" w:space="0" w:color="auto"/>
              <w:left w:val="single" w:sz="4" w:space="0" w:color="auto"/>
              <w:bottom w:val="single" w:sz="4" w:space="0" w:color="auto"/>
              <w:right w:val="single" w:sz="4" w:space="0" w:color="auto"/>
            </w:tcBorders>
          </w:tcPr>
          <w:p w:rsidR="00F6584A" w:rsidRPr="000B3F7D" w:rsidRDefault="003946BA" w:rsidP="007763C8">
            <w:pPr>
              <w:pStyle w:val="TBLPara8N"/>
              <w:keepNext/>
              <w:jc w:val="center"/>
              <w:rPr>
                <w:rFonts w:ascii="Arial" w:hAnsi="Arial" w:cs="Arial"/>
                <w:sz w:val="22"/>
                <w:szCs w:val="22"/>
                <w:lang w:val="en-GB"/>
              </w:rPr>
            </w:pPr>
            <w:r>
              <w:rPr>
                <w:rFonts w:ascii="Arial" w:hAnsi="Arial" w:cs="Arial"/>
                <w:sz w:val="22"/>
                <w:szCs w:val="22"/>
                <w:lang w:val="en-GB"/>
              </w:rPr>
              <w:t>39</w:t>
            </w:r>
          </w:p>
        </w:tc>
      </w:tr>
      <w:tr w:rsidR="00F6584A" w:rsidRPr="000B3F7D">
        <w:tblPrEx>
          <w:tblBorders>
            <w:top w:val="single" w:sz="12" w:space="0" w:color="808080"/>
            <w:left w:val="nil"/>
            <w:bottom w:val="single" w:sz="12" w:space="0" w:color="808080"/>
            <w:right w:val="nil"/>
            <w:insideH w:val="nil"/>
            <w:insideV w:val="nil"/>
          </w:tblBorders>
          <w:tblLook w:val="0033"/>
        </w:tblPrEx>
        <w:trPr>
          <w:jc w:val="center"/>
        </w:trPr>
        <w:tc>
          <w:tcPr>
            <w:tcW w:w="4722" w:type="dxa"/>
            <w:tcBorders>
              <w:top w:val="single" w:sz="4" w:space="0" w:color="auto"/>
              <w:left w:val="single" w:sz="4" w:space="0" w:color="auto"/>
              <w:bottom w:val="single" w:sz="4" w:space="0" w:color="auto"/>
              <w:right w:val="single" w:sz="4" w:space="0" w:color="auto"/>
            </w:tcBorders>
          </w:tcPr>
          <w:p w:rsidR="00F6584A" w:rsidRPr="000B3F7D" w:rsidRDefault="00F6584A" w:rsidP="007763C8">
            <w:pPr>
              <w:pStyle w:val="TBLPara8N"/>
              <w:keepNext/>
              <w:rPr>
                <w:rFonts w:ascii="Arial" w:hAnsi="Arial" w:cs="Arial"/>
                <w:sz w:val="22"/>
                <w:szCs w:val="22"/>
                <w:lang w:val="en-GB"/>
              </w:rPr>
            </w:pPr>
            <w:r w:rsidRPr="000B3F7D">
              <w:rPr>
                <w:rFonts w:ascii="Arial" w:hAnsi="Arial" w:cs="Arial"/>
                <w:sz w:val="22"/>
                <w:szCs w:val="22"/>
                <w:lang w:val="en-GB"/>
              </w:rPr>
              <w:t>Rash</w:t>
            </w:r>
          </w:p>
        </w:tc>
        <w:tc>
          <w:tcPr>
            <w:tcW w:w="2008" w:type="dxa"/>
            <w:tcBorders>
              <w:top w:val="single" w:sz="4" w:space="0" w:color="auto"/>
              <w:left w:val="single" w:sz="4" w:space="0" w:color="auto"/>
              <w:bottom w:val="single" w:sz="4" w:space="0" w:color="auto"/>
              <w:right w:val="single" w:sz="4" w:space="0" w:color="auto"/>
            </w:tcBorders>
          </w:tcPr>
          <w:p w:rsidR="00F6584A" w:rsidRPr="000B3F7D" w:rsidRDefault="003946BA" w:rsidP="007763C8">
            <w:pPr>
              <w:pStyle w:val="TBLPara8N"/>
              <w:keepNext/>
              <w:jc w:val="center"/>
              <w:rPr>
                <w:rFonts w:ascii="Arial" w:hAnsi="Arial" w:cs="Arial"/>
                <w:sz w:val="22"/>
                <w:szCs w:val="22"/>
                <w:lang w:val="en-GB"/>
              </w:rPr>
            </w:pPr>
            <w:r>
              <w:rPr>
                <w:rFonts w:ascii="Arial" w:hAnsi="Arial" w:cs="Arial"/>
                <w:sz w:val="22"/>
                <w:szCs w:val="22"/>
                <w:lang w:val="en-GB"/>
              </w:rPr>
              <w:t>25</w:t>
            </w:r>
          </w:p>
        </w:tc>
        <w:tc>
          <w:tcPr>
            <w:tcW w:w="2008" w:type="dxa"/>
            <w:tcBorders>
              <w:top w:val="single" w:sz="4" w:space="0" w:color="auto"/>
              <w:left w:val="single" w:sz="4" w:space="0" w:color="auto"/>
              <w:bottom w:val="single" w:sz="4" w:space="0" w:color="auto"/>
              <w:right w:val="single" w:sz="4" w:space="0" w:color="auto"/>
            </w:tcBorders>
          </w:tcPr>
          <w:p w:rsidR="00F6584A" w:rsidRPr="000B3F7D" w:rsidRDefault="003946BA" w:rsidP="007763C8">
            <w:pPr>
              <w:pStyle w:val="TBLPara8N"/>
              <w:keepNext/>
              <w:jc w:val="center"/>
              <w:rPr>
                <w:rFonts w:ascii="Arial" w:hAnsi="Arial" w:cs="Arial"/>
                <w:sz w:val="22"/>
                <w:szCs w:val="22"/>
                <w:lang w:val="en-GB"/>
              </w:rPr>
            </w:pPr>
            <w:r>
              <w:rPr>
                <w:rFonts w:ascii="Arial" w:hAnsi="Arial" w:cs="Arial"/>
                <w:sz w:val="22"/>
                <w:szCs w:val="22"/>
                <w:lang w:val="en-GB"/>
              </w:rPr>
              <w:t>12</w:t>
            </w:r>
          </w:p>
        </w:tc>
      </w:tr>
      <w:tr w:rsidR="00F6584A" w:rsidRPr="000B3F7D">
        <w:tblPrEx>
          <w:tblBorders>
            <w:top w:val="single" w:sz="12" w:space="0" w:color="808080"/>
            <w:left w:val="nil"/>
            <w:bottom w:val="single" w:sz="12" w:space="0" w:color="808080"/>
            <w:right w:val="nil"/>
            <w:insideH w:val="nil"/>
            <w:insideV w:val="nil"/>
          </w:tblBorders>
          <w:tblLook w:val="0033"/>
        </w:tblPrEx>
        <w:trPr>
          <w:jc w:val="center"/>
        </w:trPr>
        <w:tc>
          <w:tcPr>
            <w:tcW w:w="4722" w:type="dxa"/>
            <w:tcBorders>
              <w:top w:val="single" w:sz="4" w:space="0" w:color="auto"/>
              <w:left w:val="single" w:sz="4" w:space="0" w:color="auto"/>
              <w:bottom w:val="single" w:sz="4" w:space="0" w:color="auto"/>
              <w:right w:val="single" w:sz="4" w:space="0" w:color="auto"/>
            </w:tcBorders>
          </w:tcPr>
          <w:p w:rsidR="00F6584A" w:rsidRPr="000B3F7D" w:rsidRDefault="00F6584A" w:rsidP="007763C8">
            <w:pPr>
              <w:pStyle w:val="TBLPara8N"/>
              <w:keepNext/>
              <w:rPr>
                <w:rFonts w:ascii="Arial" w:hAnsi="Arial" w:cs="Arial"/>
                <w:sz w:val="22"/>
                <w:szCs w:val="22"/>
                <w:lang w:val="en-GB"/>
              </w:rPr>
            </w:pPr>
            <w:r w:rsidRPr="000B3F7D">
              <w:rPr>
                <w:rFonts w:ascii="Arial" w:hAnsi="Arial" w:cs="Arial"/>
                <w:sz w:val="22"/>
                <w:szCs w:val="22"/>
                <w:lang w:val="en-GB"/>
              </w:rPr>
              <w:t>Vomiting</w:t>
            </w:r>
          </w:p>
        </w:tc>
        <w:tc>
          <w:tcPr>
            <w:tcW w:w="2008" w:type="dxa"/>
            <w:tcBorders>
              <w:top w:val="single" w:sz="4" w:space="0" w:color="auto"/>
              <w:left w:val="single" w:sz="4" w:space="0" w:color="auto"/>
              <w:bottom w:val="single" w:sz="4" w:space="0" w:color="auto"/>
              <w:right w:val="single" w:sz="4" w:space="0" w:color="auto"/>
            </w:tcBorders>
          </w:tcPr>
          <w:p w:rsidR="00F6584A" w:rsidRPr="000B3F7D" w:rsidRDefault="003946BA" w:rsidP="007763C8">
            <w:pPr>
              <w:pStyle w:val="TBLPara8N"/>
              <w:keepNext/>
              <w:jc w:val="center"/>
              <w:rPr>
                <w:rFonts w:ascii="Arial" w:hAnsi="Arial" w:cs="Arial"/>
                <w:sz w:val="22"/>
                <w:szCs w:val="22"/>
                <w:lang w:val="en-GB"/>
              </w:rPr>
            </w:pPr>
            <w:r>
              <w:rPr>
                <w:rFonts w:ascii="Arial" w:hAnsi="Arial" w:cs="Arial"/>
                <w:sz w:val="22"/>
                <w:szCs w:val="22"/>
                <w:lang w:val="en-GB"/>
              </w:rPr>
              <w:t>20</w:t>
            </w:r>
          </w:p>
        </w:tc>
        <w:tc>
          <w:tcPr>
            <w:tcW w:w="2008" w:type="dxa"/>
            <w:tcBorders>
              <w:top w:val="single" w:sz="4" w:space="0" w:color="auto"/>
              <w:left w:val="single" w:sz="4" w:space="0" w:color="auto"/>
              <w:bottom w:val="single" w:sz="4" w:space="0" w:color="auto"/>
              <w:right w:val="single" w:sz="4" w:space="0" w:color="auto"/>
            </w:tcBorders>
          </w:tcPr>
          <w:p w:rsidR="00F6584A" w:rsidRPr="000B3F7D" w:rsidRDefault="003946BA" w:rsidP="007763C8">
            <w:pPr>
              <w:pStyle w:val="TBLPara8N"/>
              <w:keepNext/>
              <w:jc w:val="center"/>
              <w:rPr>
                <w:rFonts w:ascii="Arial" w:hAnsi="Arial" w:cs="Arial"/>
                <w:sz w:val="22"/>
                <w:szCs w:val="22"/>
                <w:lang w:val="en-GB"/>
              </w:rPr>
            </w:pPr>
            <w:r>
              <w:rPr>
                <w:rFonts w:ascii="Arial" w:hAnsi="Arial" w:cs="Arial"/>
                <w:sz w:val="22"/>
                <w:szCs w:val="22"/>
                <w:lang w:val="en-GB"/>
              </w:rPr>
              <w:t>17</w:t>
            </w:r>
          </w:p>
        </w:tc>
      </w:tr>
      <w:tr w:rsidR="00F6584A" w:rsidRPr="000B3F7D">
        <w:tblPrEx>
          <w:tblBorders>
            <w:top w:val="single" w:sz="12" w:space="0" w:color="808080"/>
            <w:left w:val="nil"/>
            <w:bottom w:val="single" w:sz="12" w:space="0" w:color="808080"/>
            <w:right w:val="nil"/>
            <w:insideH w:val="nil"/>
            <w:insideV w:val="nil"/>
          </w:tblBorders>
          <w:tblLook w:val="0033"/>
        </w:tblPrEx>
        <w:trPr>
          <w:jc w:val="center"/>
        </w:trPr>
        <w:tc>
          <w:tcPr>
            <w:tcW w:w="4722" w:type="dxa"/>
            <w:tcBorders>
              <w:top w:val="single" w:sz="4" w:space="0" w:color="auto"/>
              <w:left w:val="single" w:sz="4" w:space="0" w:color="auto"/>
              <w:bottom w:val="single" w:sz="4" w:space="0" w:color="auto"/>
              <w:right w:val="single" w:sz="4" w:space="0" w:color="auto"/>
            </w:tcBorders>
          </w:tcPr>
          <w:p w:rsidR="00F6584A" w:rsidRPr="000B3F7D" w:rsidRDefault="00F6584A" w:rsidP="007763C8">
            <w:pPr>
              <w:pStyle w:val="TBLPara8N"/>
              <w:keepNext/>
              <w:rPr>
                <w:rFonts w:ascii="Arial" w:hAnsi="Arial" w:cs="Arial"/>
                <w:sz w:val="22"/>
                <w:szCs w:val="22"/>
                <w:lang w:val="en-GB"/>
              </w:rPr>
            </w:pPr>
            <w:r w:rsidRPr="000B3F7D">
              <w:rPr>
                <w:rFonts w:ascii="Arial" w:hAnsi="Arial" w:cs="Arial"/>
                <w:sz w:val="22"/>
                <w:szCs w:val="22"/>
                <w:lang w:val="en-GB"/>
              </w:rPr>
              <w:t>Stomatitis</w:t>
            </w:r>
          </w:p>
        </w:tc>
        <w:tc>
          <w:tcPr>
            <w:tcW w:w="2008" w:type="dxa"/>
            <w:tcBorders>
              <w:top w:val="single" w:sz="4" w:space="0" w:color="auto"/>
              <w:left w:val="single" w:sz="4" w:space="0" w:color="auto"/>
              <w:bottom w:val="single" w:sz="4" w:space="0" w:color="auto"/>
              <w:right w:val="single" w:sz="4" w:space="0" w:color="auto"/>
            </w:tcBorders>
          </w:tcPr>
          <w:p w:rsidR="00F6584A" w:rsidRPr="000B3F7D" w:rsidRDefault="003946BA" w:rsidP="007763C8">
            <w:pPr>
              <w:pStyle w:val="TBLPara8N"/>
              <w:keepNext/>
              <w:jc w:val="center"/>
              <w:rPr>
                <w:rFonts w:ascii="Arial" w:hAnsi="Arial" w:cs="Arial"/>
                <w:sz w:val="22"/>
                <w:szCs w:val="22"/>
                <w:lang w:val="en-GB"/>
              </w:rPr>
            </w:pPr>
            <w:r>
              <w:rPr>
                <w:rFonts w:ascii="Arial" w:hAnsi="Arial" w:cs="Arial"/>
                <w:sz w:val="22"/>
                <w:szCs w:val="22"/>
                <w:lang w:val="en-GB"/>
              </w:rPr>
              <w:t>13</w:t>
            </w:r>
          </w:p>
        </w:tc>
        <w:tc>
          <w:tcPr>
            <w:tcW w:w="2008" w:type="dxa"/>
            <w:tcBorders>
              <w:top w:val="single" w:sz="4" w:space="0" w:color="auto"/>
              <w:left w:val="single" w:sz="4" w:space="0" w:color="auto"/>
              <w:bottom w:val="single" w:sz="4" w:space="0" w:color="auto"/>
              <w:right w:val="single" w:sz="4" w:space="0" w:color="auto"/>
            </w:tcBorders>
          </w:tcPr>
          <w:p w:rsidR="00F6584A" w:rsidRPr="000B3F7D" w:rsidRDefault="003946BA" w:rsidP="007763C8">
            <w:pPr>
              <w:pStyle w:val="TBLPara8N"/>
              <w:keepNext/>
              <w:jc w:val="center"/>
              <w:rPr>
                <w:rFonts w:ascii="Arial" w:hAnsi="Arial" w:cs="Arial"/>
                <w:sz w:val="22"/>
                <w:szCs w:val="22"/>
                <w:lang w:val="en-GB"/>
              </w:rPr>
            </w:pPr>
            <w:r>
              <w:rPr>
                <w:rFonts w:ascii="Arial" w:hAnsi="Arial" w:cs="Arial"/>
                <w:sz w:val="22"/>
                <w:szCs w:val="22"/>
                <w:lang w:val="en-GB"/>
              </w:rPr>
              <w:t>9</w:t>
            </w:r>
          </w:p>
        </w:tc>
      </w:tr>
      <w:tr w:rsidR="00F6584A" w:rsidRPr="000B3F7D">
        <w:tblPrEx>
          <w:tblBorders>
            <w:top w:val="single" w:sz="12" w:space="0" w:color="808080"/>
            <w:left w:val="nil"/>
            <w:bottom w:val="single" w:sz="12" w:space="0" w:color="808080"/>
            <w:right w:val="nil"/>
            <w:insideH w:val="nil"/>
            <w:insideV w:val="nil"/>
          </w:tblBorders>
          <w:tblLook w:val="0033"/>
        </w:tblPrEx>
        <w:trPr>
          <w:jc w:val="center"/>
        </w:trPr>
        <w:tc>
          <w:tcPr>
            <w:tcW w:w="4722" w:type="dxa"/>
            <w:tcBorders>
              <w:top w:val="single" w:sz="4" w:space="0" w:color="auto"/>
              <w:left w:val="single" w:sz="4" w:space="0" w:color="auto"/>
              <w:bottom w:val="single" w:sz="4" w:space="0" w:color="auto"/>
              <w:right w:val="single" w:sz="4" w:space="0" w:color="auto"/>
            </w:tcBorders>
          </w:tcPr>
          <w:p w:rsidR="00F6584A" w:rsidRPr="000B3F7D" w:rsidRDefault="00F6584A" w:rsidP="007763C8">
            <w:pPr>
              <w:pStyle w:val="TBLPara8N"/>
              <w:keepNext/>
              <w:rPr>
                <w:rFonts w:ascii="Arial" w:hAnsi="Arial" w:cs="Arial"/>
                <w:sz w:val="22"/>
                <w:szCs w:val="22"/>
                <w:lang w:val="en-GB"/>
              </w:rPr>
            </w:pPr>
            <w:r w:rsidRPr="000B3F7D">
              <w:rPr>
                <w:rFonts w:ascii="Arial" w:hAnsi="Arial" w:cs="Arial"/>
                <w:sz w:val="22"/>
                <w:szCs w:val="22"/>
                <w:lang w:val="en-GB"/>
              </w:rPr>
              <w:t>Fatigue</w:t>
            </w:r>
          </w:p>
        </w:tc>
        <w:tc>
          <w:tcPr>
            <w:tcW w:w="2008" w:type="dxa"/>
            <w:tcBorders>
              <w:top w:val="single" w:sz="4" w:space="0" w:color="auto"/>
              <w:left w:val="single" w:sz="4" w:space="0" w:color="auto"/>
              <w:bottom w:val="single" w:sz="4" w:space="0" w:color="auto"/>
              <w:right w:val="single" w:sz="4" w:space="0" w:color="auto"/>
            </w:tcBorders>
          </w:tcPr>
          <w:p w:rsidR="00F6584A" w:rsidRPr="000B3F7D" w:rsidRDefault="003946BA" w:rsidP="007763C8">
            <w:pPr>
              <w:pStyle w:val="TBLPara8N"/>
              <w:keepNext/>
              <w:jc w:val="center"/>
              <w:rPr>
                <w:rFonts w:ascii="Arial" w:hAnsi="Arial" w:cs="Arial"/>
                <w:sz w:val="22"/>
                <w:szCs w:val="22"/>
                <w:lang w:val="en-GB"/>
              </w:rPr>
            </w:pPr>
            <w:r>
              <w:rPr>
                <w:rFonts w:ascii="Arial" w:hAnsi="Arial" w:cs="Arial"/>
                <w:sz w:val="22"/>
                <w:szCs w:val="22"/>
                <w:lang w:val="en-GB"/>
              </w:rPr>
              <w:t>18</w:t>
            </w:r>
          </w:p>
        </w:tc>
        <w:tc>
          <w:tcPr>
            <w:tcW w:w="2008" w:type="dxa"/>
            <w:tcBorders>
              <w:top w:val="single" w:sz="4" w:space="0" w:color="auto"/>
              <w:left w:val="single" w:sz="4" w:space="0" w:color="auto"/>
              <w:bottom w:val="single" w:sz="4" w:space="0" w:color="auto"/>
              <w:right w:val="single" w:sz="4" w:space="0" w:color="auto"/>
            </w:tcBorders>
          </w:tcPr>
          <w:p w:rsidR="00F6584A" w:rsidRPr="000B3F7D" w:rsidRDefault="003946BA" w:rsidP="007763C8">
            <w:pPr>
              <w:pStyle w:val="TBLPara8N"/>
              <w:keepNext/>
              <w:jc w:val="center"/>
              <w:rPr>
                <w:rFonts w:ascii="Arial" w:hAnsi="Arial" w:cs="Arial"/>
                <w:sz w:val="22"/>
                <w:szCs w:val="22"/>
                <w:lang w:val="en-GB"/>
              </w:rPr>
            </w:pPr>
            <w:r>
              <w:rPr>
                <w:rFonts w:ascii="Arial" w:hAnsi="Arial" w:cs="Arial"/>
                <w:sz w:val="22"/>
                <w:szCs w:val="22"/>
                <w:lang w:val="en-GB"/>
              </w:rPr>
              <w:t>21</w:t>
            </w:r>
          </w:p>
        </w:tc>
      </w:tr>
      <w:tr w:rsidR="00F6584A" w:rsidRPr="000B3F7D">
        <w:tblPrEx>
          <w:tblBorders>
            <w:top w:val="single" w:sz="12" w:space="0" w:color="808080"/>
            <w:left w:val="nil"/>
            <w:bottom w:val="single" w:sz="12" w:space="0" w:color="808080"/>
            <w:right w:val="nil"/>
            <w:insideH w:val="nil"/>
            <w:insideV w:val="nil"/>
          </w:tblBorders>
          <w:tblLook w:val="0033"/>
        </w:tblPrEx>
        <w:trPr>
          <w:jc w:val="center"/>
        </w:trPr>
        <w:tc>
          <w:tcPr>
            <w:tcW w:w="4722" w:type="dxa"/>
            <w:tcBorders>
              <w:top w:val="single" w:sz="4" w:space="0" w:color="auto"/>
              <w:left w:val="single" w:sz="4" w:space="0" w:color="auto"/>
              <w:bottom w:val="single" w:sz="4" w:space="0" w:color="auto"/>
              <w:right w:val="single" w:sz="4" w:space="0" w:color="auto"/>
            </w:tcBorders>
          </w:tcPr>
          <w:p w:rsidR="00F6584A" w:rsidRPr="000B3F7D" w:rsidRDefault="00F6584A" w:rsidP="007763C8">
            <w:pPr>
              <w:pStyle w:val="TBLPara8N"/>
              <w:keepNext/>
              <w:rPr>
                <w:rFonts w:ascii="Arial" w:hAnsi="Arial" w:cs="Arial"/>
                <w:sz w:val="22"/>
                <w:szCs w:val="22"/>
                <w:lang w:val="en-GB"/>
              </w:rPr>
            </w:pPr>
            <w:r w:rsidRPr="000B3F7D">
              <w:rPr>
                <w:rFonts w:ascii="Arial" w:hAnsi="Arial" w:cs="Arial"/>
                <w:sz w:val="22"/>
                <w:szCs w:val="22"/>
                <w:lang w:val="en-GB"/>
              </w:rPr>
              <w:t>Anorexia</w:t>
            </w:r>
          </w:p>
        </w:tc>
        <w:tc>
          <w:tcPr>
            <w:tcW w:w="2008" w:type="dxa"/>
            <w:tcBorders>
              <w:top w:val="single" w:sz="4" w:space="0" w:color="auto"/>
              <w:left w:val="single" w:sz="4" w:space="0" w:color="auto"/>
              <w:bottom w:val="single" w:sz="4" w:space="0" w:color="auto"/>
              <w:right w:val="single" w:sz="4" w:space="0" w:color="auto"/>
            </w:tcBorders>
          </w:tcPr>
          <w:p w:rsidR="00F6584A" w:rsidRPr="000B3F7D" w:rsidRDefault="003946BA" w:rsidP="007763C8">
            <w:pPr>
              <w:pStyle w:val="TBLPara8N"/>
              <w:keepNext/>
              <w:jc w:val="center"/>
              <w:rPr>
                <w:rFonts w:ascii="Arial" w:hAnsi="Arial" w:cs="Arial"/>
                <w:sz w:val="22"/>
                <w:szCs w:val="22"/>
                <w:lang w:val="en-GB"/>
              </w:rPr>
            </w:pPr>
            <w:r>
              <w:rPr>
                <w:rFonts w:ascii="Arial" w:hAnsi="Arial" w:cs="Arial"/>
                <w:sz w:val="22"/>
                <w:szCs w:val="22"/>
                <w:lang w:val="en-GB"/>
              </w:rPr>
              <w:t>11</w:t>
            </w:r>
          </w:p>
        </w:tc>
        <w:tc>
          <w:tcPr>
            <w:tcW w:w="2008" w:type="dxa"/>
            <w:tcBorders>
              <w:top w:val="single" w:sz="4" w:space="0" w:color="auto"/>
              <w:left w:val="single" w:sz="4" w:space="0" w:color="auto"/>
              <w:bottom w:val="single" w:sz="4" w:space="0" w:color="auto"/>
              <w:right w:val="single" w:sz="4" w:space="0" w:color="auto"/>
            </w:tcBorders>
          </w:tcPr>
          <w:p w:rsidR="00F6584A" w:rsidRPr="000B3F7D" w:rsidRDefault="00F6584A" w:rsidP="007763C8">
            <w:pPr>
              <w:pStyle w:val="TBLPara8N"/>
              <w:keepNext/>
              <w:jc w:val="center"/>
              <w:rPr>
                <w:rFonts w:ascii="Arial" w:hAnsi="Arial" w:cs="Arial"/>
                <w:sz w:val="22"/>
                <w:szCs w:val="22"/>
                <w:lang w:val="en-GB"/>
              </w:rPr>
            </w:pPr>
            <w:r w:rsidRPr="000B3F7D">
              <w:rPr>
                <w:rFonts w:ascii="Arial" w:hAnsi="Arial" w:cs="Arial"/>
                <w:sz w:val="22"/>
                <w:szCs w:val="22"/>
                <w:lang w:val="en-GB"/>
              </w:rPr>
              <w:t>18</w:t>
            </w:r>
          </w:p>
        </w:tc>
      </w:tr>
      <w:tr w:rsidR="00F6584A" w:rsidRPr="000B3F7D">
        <w:tblPrEx>
          <w:tblBorders>
            <w:top w:val="single" w:sz="12" w:space="0" w:color="808080"/>
            <w:left w:val="nil"/>
            <w:bottom w:val="single" w:sz="12" w:space="0" w:color="808080"/>
            <w:right w:val="nil"/>
            <w:insideH w:val="nil"/>
            <w:insideV w:val="nil"/>
          </w:tblBorders>
          <w:tblLook w:val="0033"/>
        </w:tblPrEx>
        <w:trPr>
          <w:jc w:val="center"/>
        </w:trPr>
        <w:tc>
          <w:tcPr>
            <w:tcW w:w="4722" w:type="dxa"/>
            <w:tcBorders>
              <w:top w:val="single" w:sz="4" w:space="0" w:color="auto"/>
              <w:left w:val="single" w:sz="4" w:space="0" w:color="auto"/>
              <w:bottom w:val="single" w:sz="4" w:space="0" w:color="auto"/>
              <w:right w:val="single" w:sz="4" w:space="0" w:color="auto"/>
            </w:tcBorders>
          </w:tcPr>
          <w:p w:rsidR="00F6584A" w:rsidRPr="000B3F7D" w:rsidRDefault="00F6584A" w:rsidP="007763C8">
            <w:pPr>
              <w:pStyle w:val="TBLPara8N"/>
              <w:keepNext/>
              <w:rPr>
                <w:rFonts w:ascii="Arial" w:hAnsi="Arial" w:cs="Arial"/>
                <w:sz w:val="22"/>
                <w:szCs w:val="22"/>
                <w:lang w:val="en-GB"/>
              </w:rPr>
            </w:pPr>
            <w:r w:rsidRPr="000B3F7D">
              <w:rPr>
                <w:rFonts w:ascii="Arial" w:hAnsi="Arial" w:cs="Arial"/>
                <w:sz w:val="22"/>
                <w:szCs w:val="22"/>
                <w:lang w:val="en-GB"/>
              </w:rPr>
              <w:t>Mucosal inflammation</w:t>
            </w:r>
          </w:p>
        </w:tc>
        <w:tc>
          <w:tcPr>
            <w:tcW w:w="2008" w:type="dxa"/>
            <w:tcBorders>
              <w:top w:val="single" w:sz="4" w:space="0" w:color="auto"/>
              <w:left w:val="single" w:sz="4" w:space="0" w:color="auto"/>
              <w:bottom w:val="single" w:sz="4" w:space="0" w:color="auto"/>
              <w:right w:val="single" w:sz="4" w:space="0" w:color="auto"/>
            </w:tcBorders>
          </w:tcPr>
          <w:p w:rsidR="00F6584A" w:rsidRPr="000B3F7D" w:rsidRDefault="003946BA" w:rsidP="007763C8">
            <w:pPr>
              <w:pStyle w:val="TBLPara8N"/>
              <w:keepNext/>
              <w:jc w:val="center"/>
              <w:rPr>
                <w:rFonts w:ascii="Arial" w:hAnsi="Arial" w:cs="Arial"/>
                <w:sz w:val="22"/>
                <w:szCs w:val="22"/>
                <w:lang w:val="en-GB"/>
              </w:rPr>
            </w:pPr>
            <w:r>
              <w:rPr>
                <w:rFonts w:ascii="Arial" w:hAnsi="Arial" w:cs="Arial"/>
                <w:sz w:val="22"/>
                <w:szCs w:val="22"/>
                <w:lang w:val="en-GB"/>
              </w:rPr>
              <w:t>14</w:t>
            </w:r>
          </w:p>
        </w:tc>
        <w:tc>
          <w:tcPr>
            <w:tcW w:w="2008" w:type="dxa"/>
            <w:tcBorders>
              <w:top w:val="single" w:sz="4" w:space="0" w:color="auto"/>
              <w:left w:val="single" w:sz="4" w:space="0" w:color="auto"/>
              <w:bottom w:val="single" w:sz="4" w:space="0" w:color="auto"/>
              <w:right w:val="single" w:sz="4" w:space="0" w:color="auto"/>
            </w:tcBorders>
          </w:tcPr>
          <w:p w:rsidR="00F6584A" w:rsidRPr="000B3F7D" w:rsidRDefault="00F6584A" w:rsidP="007763C8">
            <w:pPr>
              <w:pStyle w:val="TBLPara8N"/>
              <w:keepNext/>
              <w:jc w:val="center"/>
              <w:rPr>
                <w:rFonts w:ascii="Arial" w:hAnsi="Arial" w:cs="Arial"/>
                <w:sz w:val="22"/>
                <w:szCs w:val="22"/>
                <w:lang w:val="en-GB"/>
              </w:rPr>
            </w:pPr>
            <w:r w:rsidRPr="000B3F7D">
              <w:rPr>
                <w:rFonts w:ascii="Arial" w:hAnsi="Arial" w:cs="Arial"/>
                <w:sz w:val="22"/>
                <w:szCs w:val="22"/>
                <w:lang w:val="en-GB"/>
              </w:rPr>
              <w:t>11</w:t>
            </w:r>
          </w:p>
        </w:tc>
      </w:tr>
      <w:tr w:rsidR="00F6584A" w:rsidRPr="000B3F7D">
        <w:tblPrEx>
          <w:tblBorders>
            <w:top w:val="single" w:sz="12" w:space="0" w:color="808080"/>
            <w:left w:val="nil"/>
            <w:bottom w:val="single" w:sz="12" w:space="0" w:color="808080"/>
            <w:right w:val="nil"/>
            <w:insideH w:val="nil"/>
            <w:insideV w:val="nil"/>
          </w:tblBorders>
          <w:tblLook w:val="0033"/>
        </w:tblPrEx>
        <w:trPr>
          <w:jc w:val="center"/>
        </w:trPr>
        <w:tc>
          <w:tcPr>
            <w:tcW w:w="4722" w:type="dxa"/>
            <w:tcBorders>
              <w:top w:val="single" w:sz="4" w:space="0" w:color="auto"/>
              <w:left w:val="single" w:sz="4" w:space="0" w:color="auto"/>
              <w:bottom w:val="single" w:sz="4" w:space="0" w:color="auto"/>
              <w:right w:val="single" w:sz="4" w:space="0" w:color="auto"/>
            </w:tcBorders>
          </w:tcPr>
          <w:p w:rsidR="00F6584A" w:rsidRPr="000B3F7D" w:rsidRDefault="00F6584A" w:rsidP="007763C8">
            <w:pPr>
              <w:pStyle w:val="TBLPara8N"/>
              <w:keepNext/>
              <w:rPr>
                <w:rFonts w:ascii="Arial" w:hAnsi="Arial" w:cs="Arial"/>
                <w:sz w:val="22"/>
                <w:szCs w:val="22"/>
                <w:lang w:val="en-GB"/>
              </w:rPr>
            </w:pPr>
            <w:r w:rsidRPr="000B3F7D">
              <w:rPr>
                <w:rFonts w:ascii="Arial" w:hAnsi="Arial" w:cs="Arial"/>
                <w:sz w:val="22"/>
                <w:szCs w:val="22"/>
                <w:lang w:val="en-GB"/>
              </w:rPr>
              <w:t>Dry skin</w:t>
            </w:r>
          </w:p>
        </w:tc>
        <w:tc>
          <w:tcPr>
            <w:tcW w:w="2008" w:type="dxa"/>
            <w:tcBorders>
              <w:top w:val="single" w:sz="4" w:space="0" w:color="auto"/>
              <w:left w:val="single" w:sz="4" w:space="0" w:color="auto"/>
              <w:bottom w:val="single" w:sz="4" w:space="0" w:color="auto"/>
              <w:right w:val="single" w:sz="4" w:space="0" w:color="auto"/>
            </w:tcBorders>
          </w:tcPr>
          <w:p w:rsidR="00F6584A" w:rsidRPr="000B3F7D" w:rsidRDefault="003946BA" w:rsidP="007763C8">
            <w:pPr>
              <w:pStyle w:val="TBLPara8N"/>
              <w:keepNext/>
              <w:jc w:val="center"/>
              <w:rPr>
                <w:rFonts w:ascii="Arial" w:hAnsi="Arial" w:cs="Arial"/>
                <w:sz w:val="22"/>
                <w:szCs w:val="22"/>
                <w:lang w:val="en-GB"/>
              </w:rPr>
            </w:pPr>
            <w:r>
              <w:rPr>
                <w:rFonts w:ascii="Arial" w:hAnsi="Arial" w:cs="Arial"/>
                <w:sz w:val="22"/>
                <w:szCs w:val="22"/>
                <w:lang w:val="en-GB"/>
              </w:rPr>
              <w:t>9</w:t>
            </w:r>
          </w:p>
        </w:tc>
        <w:tc>
          <w:tcPr>
            <w:tcW w:w="2008" w:type="dxa"/>
            <w:tcBorders>
              <w:top w:val="single" w:sz="4" w:space="0" w:color="auto"/>
              <w:left w:val="single" w:sz="4" w:space="0" w:color="auto"/>
              <w:bottom w:val="single" w:sz="4" w:space="0" w:color="auto"/>
              <w:right w:val="single" w:sz="4" w:space="0" w:color="auto"/>
            </w:tcBorders>
          </w:tcPr>
          <w:p w:rsidR="00F6584A" w:rsidRPr="000B3F7D" w:rsidRDefault="003946BA" w:rsidP="007763C8">
            <w:pPr>
              <w:pStyle w:val="TBLPara8N"/>
              <w:keepNext/>
              <w:jc w:val="center"/>
              <w:rPr>
                <w:rFonts w:ascii="Arial" w:hAnsi="Arial" w:cs="Arial"/>
                <w:sz w:val="22"/>
                <w:szCs w:val="22"/>
                <w:lang w:val="en-GB"/>
              </w:rPr>
            </w:pPr>
            <w:r>
              <w:rPr>
                <w:rFonts w:ascii="Arial" w:hAnsi="Arial" w:cs="Arial"/>
                <w:sz w:val="22"/>
                <w:szCs w:val="22"/>
                <w:lang w:val="en-GB"/>
              </w:rPr>
              <w:t>6</w:t>
            </w:r>
          </w:p>
        </w:tc>
      </w:tr>
      <w:tr w:rsidR="00F6584A" w:rsidRPr="000B3F7D">
        <w:tblPrEx>
          <w:tblBorders>
            <w:top w:val="single" w:sz="12" w:space="0" w:color="808080"/>
            <w:left w:val="nil"/>
            <w:bottom w:val="single" w:sz="12" w:space="0" w:color="808080"/>
            <w:right w:val="nil"/>
            <w:insideH w:val="nil"/>
            <w:insideV w:val="nil"/>
          </w:tblBorders>
          <w:tblLook w:val="0033"/>
        </w:tblPrEx>
        <w:trPr>
          <w:jc w:val="center"/>
        </w:trPr>
        <w:tc>
          <w:tcPr>
            <w:tcW w:w="4722" w:type="dxa"/>
            <w:tcBorders>
              <w:top w:val="single" w:sz="4" w:space="0" w:color="auto"/>
              <w:left w:val="single" w:sz="4" w:space="0" w:color="auto"/>
              <w:bottom w:val="single" w:sz="4" w:space="0" w:color="auto"/>
              <w:right w:val="single" w:sz="4" w:space="0" w:color="auto"/>
            </w:tcBorders>
          </w:tcPr>
          <w:p w:rsidR="00F6584A" w:rsidRPr="000B3F7D" w:rsidRDefault="00F6584A" w:rsidP="007763C8">
            <w:pPr>
              <w:pStyle w:val="TBLPara8N"/>
              <w:keepNext/>
              <w:rPr>
                <w:rFonts w:ascii="Arial" w:hAnsi="Arial" w:cs="Arial"/>
                <w:sz w:val="22"/>
                <w:szCs w:val="22"/>
                <w:lang w:val="en-GB"/>
              </w:rPr>
            </w:pPr>
            <w:r w:rsidRPr="000B3F7D">
              <w:rPr>
                <w:rFonts w:ascii="Arial" w:hAnsi="Arial" w:cs="Arial"/>
                <w:sz w:val="22"/>
                <w:szCs w:val="22"/>
                <w:lang w:val="en-GB"/>
              </w:rPr>
              <w:t>Dyspepsia</w:t>
            </w:r>
          </w:p>
        </w:tc>
        <w:tc>
          <w:tcPr>
            <w:tcW w:w="2008" w:type="dxa"/>
            <w:tcBorders>
              <w:top w:val="single" w:sz="4" w:space="0" w:color="auto"/>
              <w:left w:val="single" w:sz="4" w:space="0" w:color="auto"/>
              <w:bottom w:val="single" w:sz="4" w:space="0" w:color="auto"/>
              <w:right w:val="single" w:sz="4" w:space="0" w:color="auto"/>
            </w:tcBorders>
          </w:tcPr>
          <w:p w:rsidR="00F6584A" w:rsidRPr="000B3F7D" w:rsidRDefault="003946BA" w:rsidP="007763C8">
            <w:pPr>
              <w:pStyle w:val="TBLPara8N"/>
              <w:keepNext/>
              <w:jc w:val="center"/>
              <w:rPr>
                <w:rFonts w:ascii="Arial" w:hAnsi="Arial" w:cs="Arial"/>
                <w:sz w:val="22"/>
                <w:szCs w:val="22"/>
                <w:lang w:val="en-GB"/>
              </w:rPr>
            </w:pPr>
            <w:r>
              <w:rPr>
                <w:rFonts w:ascii="Arial" w:hAnsi="Arial" w:cs="Arial"/>
                <w:sz w:val="22"/>
                <w:szCs w:val="22"/>
                <w:lang w:val="en-GB"/>
              </w:rPr>
              <w:t>8</w:t>
            </w:r>
          </w:p>
        </w:tc>
        <w:tc>
          <w:tcPr>
            <w:tcW w:w="2008" w:type="dxa"/>
            <w:tcBorders>
              <w:top w:val="single" w:sz="4" w:space="0" w:color="auto"/>
              <w:left w:val="single" w:sz="4" w:space="0" w:color="auto"/>
              <w:bottom w:val="single" w:sz="4" w:space="0" w:color="auto"/>
              <w:right w:val="single" w:sz="4" w:space="0" w:color="auto"/>
            </w:tcBorders>
          </w:tcPr>
          <w:p w:rsidR="00F6584A" w:rsidRPr="000B3F7D" w:rsidRDefault="00F6584A" w:rsidP="007763C8">
            <w:pPr>
              <w:pStyle w:val="TBLPara8N"/>
              <w:keepNext/>
              <w:jc w:val="center"/>
              <w:rPr>
                <w:rFonts w:ascii="Arial" w:hAnsi="Arial" w:cs="Arial"/>
                <w:sz w:val="22"/>
                <w:szCs w:val="22"/>
                <w:lang w:val="en-GB"/>
              </w:rPr>
            </w:pPr>
            <w:r w:rsidRPr="000B3F7D">
              <w:rPr>
                <w:rFonts w:ascii="Arial" w:hAnsi="Arial" w:cs="Arial"/>
                <w:sz w:val="22"/>
                <w:szCs w:val="22"/>
                <w:lang w:val="en-GB"/>
              </w:rPr>
              <w:t>2</w:t>
            </w:r>
          </w:p>
        </w:tc>
      </w:tr>
      <w:tr w:rsidR="00F6584A" w:rsidRPr="000B3F7D">
        <w:tblPrEx>
          <w:tblBorders>
            <w:top w:val="single" w:sz="12" w:space="0" w:color="808080"/>
            <w:left w:val="nil"/>
            <w:bottom w:val="single" w:sz="12" w:space="0" w:color="808080"/>
            <w:right w:val="nil"/>
            <w:insideH w:val="nil"/>
            <w:insideV w:val="nil"/>
          </w:tblBorders>
          <w:tblLook w:val="0033"/>
        </w:tblPrEx>
        <w:trPr>
          <w:jc w:val="center"/>
        </w:trPr>
        <w:tc>
          <w:tcPr>
            <w:tcW w:w="4722" w:type="dxa"/>
            <w:tcBorders>
              <w:top w:val="single" w:sz="4" w:space="0" w:color="auto"/>
              <w:left w:val="single" w:sz="4" w:space="0" w:color="auto"/>
              <w:bottom w:val="single" w:sz="4" w:space="0" w:color="auto"/>
              <w:right w:val="single" w:sz="4" w:space="0" w:color="auto"/>
            </w:tcBorders>
          </w:tcPr>
          <w:p w:rsidR="00F6584A" w:rsidRPr="000B3F7D" w:rsidRDefault="00F6584A" w:rsidP="007763C8">
            <w:pPr>
              <w:pStyle w:val="TBLPara8N"/>
              <w:keepNext/>
              <w:rPr>
                <w:rFonts w:ascii="Arial" w:hAnsi="Arial" w:cs="Arial"/>
                <w:sz w:val="22"/>
                <w:szCs w:val="22"/>
                <w:lang w:val="en-GB"/>
              </w:rPr>
            </w:pPr>
            <w:r w:rsidRPr="000B3F7D">
              <w:rPr>
                <w:rFonts w:ascii="Arial" w:hAnsi="Arial" w:cs="Arial"/>
                <w:sz w:val="22"/>
                <w:szCs w:val="22"/>
                <w:lang w:val="en-GB"/>
              </w:rPr>
              <w:t>Pain in extremity</w:t>
            </w:r>
          </w:p>
        </w:tc>
        <w:tc>
          <w:tcPr>
            <w:tcW w:w="2008" w:type="dxa"/>
            <w:tcBorders>
              <w:top w:val="single" w:sz="4" w:space="0" w:color="auto"/>
              <w:left w:val="single" w:sz="4" w:space="0" w:color="auto"/>
              <w:bottom w:val="single" w:sz="4" w:space="0" w:color="auto"/>
              <w:right w:val="single" w:sz="4" w:space="0" w:color="auto"/>
            </w:tcBorders>
          </w:tcPr>
          <w:p w:rsidR="00F6584A" w:rsidRPr="000B3F7D" w:rsidRDefault="003946BA" w:rsidP="007763C8">
            <w:pPr>
              <w:pStyle w:val="TBLPara8N"/>
              <w:keepNext/>
              <w:jc w:val="center"/>
              <w:rPr>
                <w:rFonts w:ascii="Arial" w:hAnsi="Arial" w:cs="Arial"/>
                <w:sz w:val="22"/>
                <w:szCs w:val="22"/>
                <w:lang w:val="en-GB"/>
              </w:rPr>
            </w:pPr>
            <w:r>
              <w:rPr>
                <w:rFonts w:ascii="Arial" w:hAnsi="Arial" w:cs="Arial"/>
                <w:sz w:val="22"/>
                <w:szCs w:val="22"/>
                <w:lang w:val="en-GB"/>
              </w:rPr>
              <w:t>6</w:t>
            </w:r>
          </w:p>
        </w:tc>
        <w:tc>
          <w:tcPr>
            <w:tcW w:w="2008" w:type="dxa"/>
            <w:tcBorders>
              <w:top w:val="single" w:sz="4" w:space="0" w:color="auto"/>
              <w:left w:val="single" w:sz="4" w:space="0" w:color="auto"/>
              <w:bottom w:val="single" w:sz="4" w:space="0" w:color="auto"/>
              <w:right w:val="single" w:sz="4" w:space="0" w:color="auto"/>
            </w:tcBorders>
          </w:tcPr>
          <w:p w:rsidR="00F6584A" w:rsidRPr="000B3F7D" w:rsidRDefault="003946BA" w:rsidP="007763C8">
            <w:pPr>
              <w:pStyle w:val="TBLPara8N"/>
              <w:keepNext/>
              <w:jc w:val="center"/>
              <w:rPr>
                <w:rFonts w:ascii="Arial" w:hAnsi="Arial" w:cs="Arial"/>
                <w:sz w:val="22"/>
                <w:szCs w:val="22"/>
                <w:lang w:val="en-GB"/>
              </w:rPr>
            </w:pPr>
            <w:r>
              <w:rPr>
                <w:rFonts w:ascii="Arial" w:hAnsi="Arial" w:cs="Arial"/>
                <w:sz w:val="22"/>
                <w:szCs w:val="22"/>
                <w:lang w:val="en-GB"/>
              </w:rPr>
              <w:t>5</w:t>
            </w:r>
          </w:p>
        </w:tc>
      </w:tr>
      <w:tr w:rsidR="00F6584A" w:rsidRPr="000B3F7D">
        <w:tblPrEx>
          <w:tblBorders>
            <w:top w:val="single" w:sz="12" w:space="0" w:color="808080"/>
            <w:left w:val="nil"/>
            <w:bottom w:val="single" w:sz="12" w:space="0" w:color="808080"/>
            <w:right w:val="nil"/>
            <w:insideH w:val="nil"/>
            <w:insideV w:val="nil"/>
          </w:tblBorders>
          <w:tblLook w:val="0033"/>
        </w:tblPrEx>
        <w:trPr>
          <w:jc w:val="center"/>
        </w:trPr>
        <w:tc>
          <w:tcPr>
            <w:tcW w:w="4722" w:type="dxa"/>
            <w:tcBorders>
              <w:top w:val="single" w:sz="4" w:space="0" w:color="auto"/>
              <w:left w:val="single" w:sz="4" w:space="0" w:color="auto"/>
              <w:bottom w:val="single" w:sz="4" w:space="0" w:color="auto"/>
              <w:right w:val="single" w:sz="4" w:space="0" w:color="auto"/>
            </w:tcBorders>
          </w:tcPr>
          <w:p w:rsidR="00F6584A" w:rsidRPr="000B3F7D" w:rsidRDefault="00F6584A" w:rsidP="007763C8">
            <w:pPr>
              <w:pStyle w:val="TBLPara8N"/>
              <w:keepNext/>
              <w:rPr>
                <w:rFonts w:ascii="Arial" w:hAnsi="Arial" w:cs="Arial"/>
                <w:sz w:val="22"/>
                <w:szCs w:val="22"/>
                <w:lang w:val="en-GB"/>
              </w:rPr>
            </w:pPr>
            <w:r w:rsidRPr="000B3F7D">
              <w:rPr>
                <w:rFonts w:ascii="Arial" w:hAnsi="Arial" w:cs="Arial"/>
                <w:sz w:val="22"/>
                <w:szCs w:val="22"/>
                <w:lang w:val="en-GB"/>
              </w:rPr>
              <w:t>Abdominal pain</w:t>
            </w:r>
          </w:p>
        </w:tc>
        <w:tc>
          <w:tcPr>
            <w:tcW w:w="2008" w:type="dxa"/>
            <w:tcBorders>
              <w:top w:val="single" w:sz="4" w:space="0" w:color="auto"/>
              <w:left w:val="single" w:sz="4" w:space="0" w:color="auto"/>
              <w:bottom w:val="single" w:sz="4" w:space="0" w:color="auto"/>
              <w:right w:val="single" w:sz="4" w:space="0" w:color="auto"/>
            </w:tcBorders>
          </w:tcPr>
          <w:p w:rsidR="00F6584A" w:rsidRPr="000B3F7D" w:rsidRDefault="003946BA" w:rsidP="007763C8">
            <w:pPr>
              <w:pStyle w:val="TBLPara8N"/>
              <w:keepNext/>
              <w:jc w:val="center"/>
              <w:rPr>
                <w:rFonts w:ascii="Arial" w:hAnsi="Arial" w:cs="Arial"/>
                <w:sz w:val="22"/>
                <w:szCs w:val="22"/>
                <w:lang w:val="en-GB"/>
              </w:rPr>
            </w:pPr>
            <w:r>
              <w:rPr>
                <w:rFonts w:ascii="Arial" w:hAnsi="Arial" w:cs="Arial"/>
                <w:sz w:val="22"/>
                <w:szCs w:val="22"/>
                <w:lang w:val="en-GB"/>
              </w:rPr>
              <w:t>6</w:t>
            </w:r>
          </w:p>
        </w:tc>
        <w:tc>
          <w:tcPr>
            <w:tcW w:w="2008" w:type="dxa"/>
            <w:tcBorders>
              <w:top w:val="single" w:sz="4" w:space="0" w:color="auto"/>
              <w:left w:val="single" w:sz="4" w:space="0" w:color="auto"/>
              <w:bottom w:val="single" w:sz="4" w:space="0" w:color="auto"/>
              <w:right w:val="single" w:sz="4" w:space="0" w:color="auto"/>
            </w:tcBorders>
          </w:tcPr>
          <w:p w:rsidR="00F6584A" w:rsidRPr="000B3F7D" w:rsidRDefault="00F6584A" w:rsidP="007763C8">
            <w:pPr>
              <w:pStyle w:val="TBLPara8N"/>
              <w:keepNext/>
              <w:jc w:val="center"/>
              <w:rPr>
                <w:rFonts w:ascii="Arial" w:hAnsi="Arial" w:cs="Arial"/>
                <w:sz w:val="22"/>
                <w:szCs w:val="22"/>
                <w:lang w:val="en-GB"/>
              </w:rPr>
            </w:pPr>
            <w:r w:rsidRPr="000B3F7D">
              <w:rPr>
                <w:rFonts w:ascii="Arial" w:hAnsi="Arial" w:cs="Arial"/>
                <w:sz w:val="22"/>
                <w:szCs w:val="22"/>
                <w:lang w:val="en-GB"/>
              </w:rPr>
              <w:t>12</w:t>
            </w:r>
          </w:p>
        </w:tc>
      </w:tr>
      <w:tr w:rsidR="00F6584A" w:rsidRPr="000B3F7D">
        <w:tblPrEx>
          <w:tblBorders>
            <w:top w:val="single" w:sz="12" w:space="0" w:color="808080"/>
            <w:left w:val="nil"/>
            <w:bottom w:val="single" w:sz="12" w:space="0" w:color="808080"/>
            <w:right w:val="nil"/>
            <w:insideH w:val="nil"/>
            <w:insideV w:val="nil"/>
          </w:tblBorders>
          <w:tblLook w:val="0033"/>
        </w:tblPrEx>
        <w:trPr>
          <w:jc w:val="center"/>
        </w:trPr>
        <w:tc>
          <w:tcPr>
            <w:tcW w:w="4722" w:type="dxa"/>
            <w:tcBorders>
              <w:top w:val="single" w:sz="4" w:space="0" w:color="auto"/>
              <w:left w:val="single" w:sz="4" w:space="0" w:color="auto"/>
              <w:bottom w:val="single" w:sz="4" w:space="0" w:color="auto"/>
              <w:right w:val="single" w:sz="4" w:space="0" w:color="auto"/>
            </w:tcBorders>
          </w:tcPr>
          <w:p w:rsidR="00F6584A" w:rsidRPr="000B3F7D" w:rsidRDefault="00F6584A" w:rsidP="007763C8">
            <w:pPr>
              <w:pStyle w:val="TBLPara8N"/>
              <w:keepNext/>
              <w:rPr>
                <w:rFonts w:ascii="Arial" w:hAnsi="Arial" w:cs="Arial"/>
                <w:sz w:val="22"/>
                <w:szCs w:val="22"/>
                <w:lang w:val="en-GB"/>
              </w:rPr>
            </w:pPr>
            <w:r w:rsidRPr="000B3F7D">
              <w:rPr>
                <w:rFonts w:ascii="Arial" w:hAnsi="Arial" w:cs="Arial"/>
                <w:sz w:val="22"/>
                <w:szCs w:val="22"/>
                <w:lang w:val="en-GB"/>
              </w:rPr>
              <w:t>Anaemia</w:t>
            </w:r>
          </w:p>
        </w:tc>
        <w:tc>
          <w:tcPr>
            <w:tcW w:w="2008" w:type="dxa"/>
            <w:tcBorders>
              <w:top w:val="single" w:sz="4" w:space="0" w:color="auto"/>
              <w:left w:val="single" w:sz="4" w:space="0" w:color="auto"/>
              <w:bottom w:val="single" w:sz="4" w:space="0" w:color="auto"/>
              <w:right w:val="single" w:sz="4" w:space="0" w:color="auto"/>
            </w:tcBorders>
          </w:tcPr>
          <w:p w:rsidR="00F6584A" w:rsidRPr="000B3F7D" w:rsidRDefault="00F6584A" w:rsidP="007763C8">
            <w:pPr>
              <w:pStyle w:val="TBLPara8N"/>
              <w:keepNext/>
              <w:jc w:val="center"/>
              <w:rPr>
                <w:rFonts w:ascii="Arial" w:hAnsi="Arial" w:cs="Arial"/>
                <w:sz w:val="22"/>
                <w:szCs w:val="22"/>
                <w:lang w:val="en-GB"/>
              </w:rPr>
            </w:pPr>
            <w:r w:rsidRPr="000B3F7D">
              <w:rPr>
                <w:rFonts w:ascii="Arial" w:hAnsi="Arial" w:cs="Arial"/>
                <w:sz w:val="22"/>
                <w:szCs w:val="22"/>
                <w:lang w:val="en-GB"/>
              </w:rPr>
              <w:t>5</w:t>
            </w:r>
          </w:p>
        </w:tc>
        <w:tc>
          <w:tcPr>
            <w:tcW w:w="2008" w:type="dxa"/>
            <w:tcBorders>
              <w:top w:val="single" w:sz="4" w:space="0" w:color="auto"/>
              <w:left w:val="single" w:sz="4" w:space="0" w:color="auto"/>
              <w:bottom w:val="single" w:sz="4" w:space="0" w:color="auto"/>
              <w:right w:val="single" w:sz="4" w:space="0" w:color="auto"/>
            </w:tcBorders>
          </w:tcPr>
          <w:p w:rsidR="00F6584A" w:rsidRPr="000B3F7D" w:rsidRDefault="00F6584A" w:rsidP="007763C8">
            <w:pPr>
              <w:pStyle w:val="TBLPara8N"/>
              <w:keepNext/>
              <w:jc w:val="center"/>
              <w:rPr>
                <w:rFonts w:ascii="Arial" w:hAnsi="Arial" w:cs="Arial"/>
                <w:sz w:val="22"/>
                <w:szCs w:val="22"/>
                <w:lang w:val="en-GB"/>
              </w:rPr>
            </w:pPr>
            <w:r w:rsidRPr="000B3F7D">
              <w:rPr>
                <w:rFonts w:ascii="Arial" w:hAnsi="Arial" w:cs="Arial"/>
                <w:sz w:val="22"/>
                <w:szCs w:val="22"/>
                <w:lang w:val="en-GB"/>
              </w:rPr>
              <w:t>5</w:t>
            </w:r>
          </w:p>
        </w:tc>
      </w:tr>
      <w:tr w:rsidR="00F6584A" w:rsidRPr="000B3F7D">
        <w:tblPrEx>
          <w:tblBorders>
            <w:top w:val="single" w:sz="12" w:space="0" w:color="808080"/>
            <w:left w:val="nil"/>
            <w:bottom w:val="single" w:sz="12" w:space="0" w:color="808080"/>
            <w:right w:val="nil"/>
            <w:insideH w:val="nil"/>
            <w:insideV w:val="nil"/>
          </w:tblBorders>
          <w:tblLook w:val="0033"/>
        </w:tblPrEx>
        <w:trPr>
          <w:jc w:val="center"/>
        </w:trPr>
        <w:tc>
          <w:tcPr>
            <w:tcW w:w="4722" w:type="dxa"/>
            <w:tcBorders>
              <w:top w:val="single" w:sz="4" w:space="0" w:color="auto"/>
              <w:left w:val="single" w:sz="4" w:space="0" w:color="auto"/>
              <w:bottom w:val="single" w:sz="4" w:space="0" w:color="auto"/>
              <w:right w:val="single" w:sz="4" w:space="0" w:color="auto"/>
            </w:tcBorders>
          </w:tcPr>
          <w:p w:rsidR="00F6584A" w:rsidRPr="000B3F7D" w:rsidRDefault="00F6584A" w:rsidP="007763C8">
            <w:pPr>
              <w:pStyle w:val="TBLPara8N"/>
              <w:keepNext/>
              <w:rPr>
                <w:rFonts w:ascii="Arial" w:hAnsi="Arial" w:cs="Arial"/>
                <w:sz w:val="22"/>
                <w:szCs w:val="22"/>
                <w:lang w:val="en-GB"/>
              </w:rPr>
            </w:pPr>
            <w:r w:rsidRPr="000B3F7D">
              <w:rPr>
                <w:rFonts w:ascii="Arial" w:hAnsi="Arial" w:cs="Arial"/>
                <w:sz w:val="22"/>
                <w:szCs w:val="22"/>
                <w:lang w:val="en-GB"/>
              </w:rPr>
              <w:t>Epistaxis</w:t>
            </w:r>
          </w:p>
        </w:tc>
        <w:tc>
          <w:tcPr>
            <w:tcW w:w="2008" w:type="dxa"/>
            <w:tcBorders>
              <w:top w:val="single" w:sz="4" w:space="0" w:color="auto"/>
              <w:left w:val="single" w:sz="4" w:space="0" w:color="auto"/>
              <w:bottom w:val="single" w:sz="4" w:space="0" w:color="auto"/>
              <w:right w:val="single" w:sz="4" w:space="0" w:color="auto"/>
            </w:tcBorders>
          </w:tcPr>
          <w:p w:rsidR="00F6584A" w:rsidRPr="000B3F7D" w:rsidRDefault="003946BA" w:rsidP="007763C8">
            <w:pPr>
              <w:pStyle w:val="TBLPara8N"/>
              <w:keepNext/>
              <w:jc w:val="center"/>
              <w:rPr>
                <w:rFonts w:ascii="Arial" w:hAnsi="Arial" w:cs="Arial"/>
                <w:sz w:val="22"/>
                <w:szCs w:val="22"/>
                <w:lang w:val="en-GB"/>
              </w:rPr>
            </w:pPr>
            <w:r>
              <w:rPr>
                <w:rFonts w:ascii="Arial" w:hAnsi="Arial" w:cs="Arial"/>
                <w:sz w:val="22"/>
                <w:szCs w:val="22"/>
                <w:lang w:val="en-GB"/>
              </w:rPr>
              <w:t>7</w:t>
            </w:r>
          </w:p>
        </w:tc>
        <w:tc>
          <w:tcPr>
            <w:tcW w:w="2008" w:type="dxa"/>
            <w:tcBorders>
              <w:top w:val="single" w:sz="4" w:space="0" w:color="auto"/>
              <w:left w:val="single" w:sz="4" w:space="0" w:color="auto"/>
              <w:bottom w:val="single" w:sz="4" w:space="0" w:color="auto"/>
              <w:right w:val="single" w:sz="4" w:space="0" w:color="auto"/>
            </w:tcBorders>
          </w:tcPr>
          <w:p w:rsidR="00F6584A" w:rsidRPr="000B3F7D" w:rsidRDefault="00F6584A" w:rsidP="007763C8">
            <w:pPr>
              <w:pStyle w:val="TBLPara8N"/>
              <w:keepNext/>
              <w:jc w:val="center"/>
              <w:rPr>
                <w:rFonts w:ascii="Arial" w:hAnsi="Arial" w:cs="Arial"/>
                <w:sz w:val="22"/>
                <w:szCs w:val="22"/>
                <w:lang w:val="en-GB"/>
              </w:rPr>
            </w:pPr>
            <w:r w:rsidRPr="000B3F7D">
              <w:rPr>
                <w:rFonts w:ascii="Arial" w:hAnsi="Arial" w:cs="Arial"/>
                <w:sz w:val="22"/>
                <w:szCs w:val="22"/>
                <w:lang w:val="en-GB"/>
              </w:rPr>
              <w:t>(&lt;1)</w:t>
            </w:r>
          </w:p>
        </w:tc>
      </w:tr>
      <w:tr w:rsidR="00F6584A" w:rsidRPr="000B3F7D">
        <w:tblPrEx>
          <w:tblBorders>
            <w:top w:val="single" w:sz="12" w:space="0" w:color="808080"/>
            <w:left w:val="nil"/>
            <w:bottom w:val="single" w:sz="12" w:space="0" w:color="808080"/>
            <w:right w:val="nil"/>
            <w:insideH w:val="nil"/>
            <w:insideV w:val="nil"/>
          </w:tblBorders>
          <w:tblLook w:val="0033"/>
        </w:tblPrEx>
        <w:trPr>
          <w:jc w:val="center"/>
        </w:trPr>
        <w:tc>
          <w:tcPr>
            <w:tcW w:w="4722" w:type="dxa"/>
            <w:tcBorders>
              <w:top w:val="single" w:sz="4" w:space="0" w:color="auto"/>
              <w:left w:val="single" w:sz="4" w:space="0" w:color="auto"/>
              <w:bottom w:val="single" w:sz="4" w:space="0" w:color="auto"/>
              <w:right w:val="single" w:sz="4" w:space="0" w:color="auto"/>
            </w:tcBorders>
          </w:tcPr>
          <w:p w:rsidR="00F6584A" w:rsidRPr="000B3F7D" w:rsidRDefault="00F6584A" w:rsidP="007763C8">
            <w:pPr>
              <w:pStyle w:val="TBLPara8N"/>
              <w:keepNext/>
              <w:rPr>
                <w:rFonts w:ascii="Arial" w:hAnsi="Arial" w:cs="Arial"/>
                <w:sz w:val="22"/>
                <w:szCs w:val="22"/>
                <w:lang w:val="en-GB"/>
              </w:rPr>
            </w:pPr>
            <w:r w:rsidRPr="000B3F7D">
              <w:rPr>
                <w:rFonts w:ascii="Arial" w:hAnsi="Arial" w:cs="Arial"/>
                <w:sz w:val="22"/>
                <w:szCs w:val="22"/>
                <w:lang w:val="en-GB"/>
              </w:rPr>
              <w:t>Asthenia</w:t>
            </w:r>
          </w:p>
        </w:tc>
        <w:tc>
          <w:tcPr>
            <w:tcW w:w="2008" w:type="dxa"/>
            <w:tcBorders>
              <w:top w:val="single" w:sz="4" w:space="0" w:color="auto"/>
              <w:left w:val="single" w:sz="4" w:space="0" w:color="auto"/>
              <w:bottom w:val="single" w:sz="4" w:space="0" w:color="auto"/>
              <w:right w:val="single" w:sz="4" w:space="0" w:color="auto"/>
            </w:tcBorders>
          </w:tcPr>
          <w:p w:rsidR="00F6584A" w:rsidRPr="000B3F7D" w:rsidRDefault="003946BA" w:rsidP="007763C8">
            <w:pPr>
              <w:pStyle w:val="TBLPara8N"/>
              <w:keepNext/>
              <w:jc w:val="center"/>
              <w:rPr>
                <w:rFonts w:ascii="Arial" w:hAnsi="Arial" w:cs="Arial"/>
                <w:sz w:val="22"/>
                <w:szCs w:val="22"/>
                <w:lang w:val="en-GB"/>
              </w:rPr>
            </w:pPr>
            <w:r>
              <w:rPr>
                <w:rFonts w:ascii="Arial" w:hAnsi="Arial" w:cs="Arial"/>
                <w:sz w:val="22"/>
                <w:szCs w:val="22"/>
                <w:lang w:val="en-GB"/>
              </w:rPr>
              <w:t>7</w:t>
            </w:r>
          </w:p>
        </w:tc>
        <w:tc>
          <w:tcPr>
            <w:tcW w:w="2008" w:type="dxa"/>
            <w:tcBorders>
              <w:top w:val="single" w:sz="4" w:space="0" w:color="auto"/>
              <w:left w:val="single" w:sz="4" w:space="0" w:color="auto"/>
              <w:bottom w:val="single" w:sz="4" w:space="0" w:color="auto"/>
              <w:right w:val="single" w:sz="4" w:space="0" w:color="auto"/>
            </w:tcBorders>
          </w:tcPr>
          <w:p w:rsidR="00F6584A" w:rsidRPr="000B3F7D" w:rsidRDefault="003946BA" w:rsidP="007763C8">
            <w:pPr>
              <w:pStyle w:val="TBLPara8N"/>
              <w:keepNext/>
              <w:jc w:val="center"/>
              <w:rPr>
                <w:rFonts w:ascii="Arial" w:hAnsi="Arial" w:cs="Arial"/>
                <w:sz w:val="22"/>
                <w:szCs w:val="22"/>
                <w:lang w:val="en-GB"/>
              </w:rPr>
            </w:pPr>
            <w:r>
              <w:rPr>
                <w:rFonts w:ascii="Arial" w:hAnsi="Arial" w:cs="Arial"/>
                <w:sz w:val="22"/>
                <w:szCs w:val="22"/>
                <w:lang w:val="en-GB"/>
              </w:rPr>
              <w:t>9</w:t>
            </w:r>
          </w:p>
        </w:tc>
      </w:tr>
      <w:tr w:rsidR="00F6584A" w:rsidRPr="000B3F7D">
        <w:tblPrEx>
          <w:tblBorders>
            <w:top w:val="single" w:sz="12" w:space="0" w:color="808080"/>
            <w:left w:val="nil"/>
            <w:bottom w:val="single" w:sz="12" w:space="0" w:color="808080"/>
            <w:right w:val="nil"/>
            <w:insideH w:val="nil"/>
            <w:insideV w:val="nil"/>
          </w:tblBorders>
          <w:tblLook w:val="0033"/>
        </w:tblPrEx>
        <w:trPr>
          <w:jc w:val="center"/>
        </w:trPr>
        <w:tc>
          <w:tcPr>
            <w:tcW w:w="4722" w:type="dxa"/>
            <w:tcBorders>
              <w:top w:val="single" w:sz="4" w:space="0" w:color="auto"/>
              <w:left w:val="single" w:sz="4" w:space="0" w:color="auto"/>
              <w:bottom w:val="single" w:sz="4" w:space="0" w:color="auto"/>
              <w:right w:val="single" w:sz="4" w:space="0" w:color="auto"/>
            </w:tcBorders>
          </w:tcPr>
          <w:p w:rsidR="00F6584A" w:rsidRPr="000B3F7D" w:rsidRDefault="00F6584A" w:rsidP="007763C8">
            <w:pPr>
              <w:pStyle w:val="TBLPara8N"/>
              <w:keepNext/>
              <w:rPr>
                <w:rFonts w:ascii="Arial" w:hAnsi="Arial" w:cs="Arial"/>
                <w:sz w:val="22"/>
                <w:szCs w:val="22"/>
                <w:lang w:val="en-GB"/>
              </w:rPr>
            </w:pPr>
            <w:r w:rsidRPr="000B3F7D">
              <w:rPr>
                <w:rFonts w:ascii="Arial" w:hAnsi="Arial" w:cs="Arial"/>
                <w:sz w:val="22"/>
                <w:szCs w:val="22"/>
                <w:lang w:val="en-GB"/>
              </w:rPr>
              <w:t>Headache</w:t>
            </w:r>
          </w:p>
        </w:tc>
        <w:tc>
          <w:tcPr>
            <w:tcW w:w="2008" w:type="dxa"/>
            <w:tcBorders>
              <w:top w:val="single" w:sz="4" w:space="0" w:color="auto"/>
              <w:left w:val="single" w:sz="4" w:space="0" w:color="auto"/>
              <w:bottom w:val="single" w:sz="4" w:space="0" w:color="auto"/>
              <w:right w:val="single" w:sz="4" w:space="0" w:color="auto"/>
            </w:tcBorders>
          </w:tcPr>
          <w:p w:rsidR="00F6584A" w:rsidRPr="000B3F7D" w:rsidRDefault="00F6584A" w:rsidP="007763C8">
            <w:pPr>
              <w:pStyle w:val="TBLPara8N"/>
              <w:keepNext/>
              <w:jc w:val="center"/>
              <w:rPr>
                <w:rFonts w:ascii="Arial" w:hAnsi="Arial" w:cs="Arial"/>
                <w:sz w:val="22"/>
                <w:szCs w:val="22"/>
                <w:lang w:val="en-GB"/>
              </w:rPr>
            </w:pPr>
            <w:r w:rsidRPr="000B3F7D">
              <w:rPr>
                <w:rFonts w:ascii="Arial" w:hAnsi="Arial" w:cs="Arial"/>
                <w:sz w:val="22"/>
                <w:szCs w:val="22"/>
                <w:lang w:val="en-GB"/>
              </w:rPr>
              <w:t>4</w:t>
            </w:r>
          </w:p>
        </w:tc>
        <w:tc>
          <w:tcPr>
            <w:tcW w:w="2008" w:type="dxa"/>
            <w:tcBorders>
              <w:top w:val="single" w:sz="4" w:space="0" w:color="auto"/>
              <w:left w:val="single" w:sz="4" w:space="0" w:color="auto"/>
              <w:bottom w:val="single" w:sz="4" w:space="0" w:color="auto"/>
              <w:right w:val="single" w:sz="4" w:space="0" w:color="auto"/>
            </w:tcBorders>
          </w:tcPr>
          <w:p w:rsidR="00F6584A" w:rsidRPr="000B3F7D" w:rsidRDefault="00F6584A" w:rsidP="007763C8">
            <w:pPr>
              <w:pStyle w:val="TBLPara8N"/>
              <w:keepNext/>
              <w:jc w:val="center"/>
              <w:rPr>
                <w:rFonts w:ascii="Arial" w:hAnsi="Arial" w:cs="Arial"/>
                <w:sz w:val="22"/>
                <w:szCs w:val="22"/>
                <w:lang w:val="en-GB"/>
              </w:rPr>
            </w:pPr>
            <w:r w:rsidRPr="000B3F7D">
              <w:rPr>
                <w:rFonts w:ascii="Arial" w:hAnsi="Arial" w:cs="Arial"/>
                <w:sz w:val="22"/>
                <w:szCs w:val="22"/>
                <w:lang w:val="en-GB"/>
              </w:rPr>
              <w:t>5</w:t>
            </w:r>
          </w:p>
        </w:tc>
      </w:tr>
      <w:tr w:rsidR="003946BA" w:rsidRPr="000B3F7D">
        <w:tblPrEx>
          <w:tblBorders>
            <w:top w:val="single" w:sz="12" w:space="0" w:color="808080"/>
            <w:left w:val="nil"/>
            <w:bottom w:val="single" w:sz="12" w:space="0" w:color="808080"/>
            <w:right w:val="nil"/>
            <w:insideH w:val="nil"/>
            <w:insideV w:val="nil"/>
          </w:tblBorders>
          <w:tblLook w:val="0033"/>
        </w:tblPrEx>
        <w:trPr>
          <w:jc w:val="center"/>
        </w:trPr>
        <w:tc>
          <w:tcPr>
            <w:tcW w:w="4722" w:type="dxa"/>
            <w:tcBorders>
              <w:top w:val="single" w:sz="4" w:space="0" w:color="auto"/>
              <w:left w:val="single" w:sz="4" w:space="0" w:color="auto"/>
              <w:bottom w:val="single" w:sz="4" w:space="0" w:color="auto"/>
              <w:right w:val="single" w:sz="4" w:space="0" w:color="auto"/>
            </w:tcBorders>
          </w:tcPr>
          <w:p w:rsidR="003946BA" w:rsidRPr="000B3F7D" w:rsidRDefault="003946BA" w:rsidP="007763C8">
            <w:pPr>
              <w:pStyle w:val="TBLPara8N"/>
              <w:keepNext/>
              <w:rPr>
                <w:rFonts w:ascii="Arial" w:hAnsi="Arial" w:cs="Arial"/>
                <w:sz w:val="22"/>
                <w:szCs w:val="22"/>
                <w:lang w:val="en-GB"/>
              </w:rPr>
            </w:pPr>
            <w:r>
              <w:rPr>
                <w:rFonts w:ascii="Arial" w:hAnsi="Arial" w:cs="Arial"/>
                <w:sz w:val="22"/>
                <w:szCs w:val="22"/>
                <w:lang w:val="en-GB"/>
              </w:rPr>
              <w:t>Neutropenia</w:t>
            </w:r>
          </w:p>
        </w:tc>
        <w:tc>
          <w:tcPr>
            <w:tcW w:w="2008" w:type="dxa"/>
            <w:tcBorders>
              <w:top w:val="single" w:sz="4" w:space="0" w:color="auto"/>
              <w:left w:val="single" w:sz="4" w:space="0" w:color="auto"/>
              <w:bottom w:val="single" w:sz="4" w:space="0" w:color="auto"/>
              <w:right w:val="single" w:sz="4" w:space="0" w:color="auto"/>
            </w:tcBorders>
          </w:tcPr>
          <w:p w:rsidR="003946BA" w:rsidRPr="000B3F7D" w:rsidRDefault="003946BA" w:rsidP="007763C8">
            <w:pPr>
              <w:pStyle w:val="TBLPara8N"/>
              <w:keepNext/>
              <w:jc w:val="center"/>
              <w:rPr>
                <w:rFonts w:ascii="Arial" w:hAnsi="Arial" w:cs="Arial"/>
                <w:sz w:val="22"/>
                <w:szCs w:val="22"/>
                <w:lang w:val="en-GB"/>
              </w:rPr>
            </w:pPr>
            <w:r>
              <w:rPr>
                <w:rFonts w:ascii="Arial" w:hAnsi="Arial" w:cs="Arial"/>
                <w:sz w:val="22"/>
                <w:szCs w:val="22"/>
                <w:lang w:val="en-GB"/>
              </w:rPr>
              <w:t>3</w:t>
            </w:r>
          </w:p>
        </w:tc>
        <w:tc>
          <w:tcPr>
            <w:tcW w:w="2008" w:type="dxa"/>
            <w:tcBorders>
              <w:top w:val="single" w:sz="4" w:space="0" w:color="auto"/>
              <w:left w:val="single" w:sz="4" w:space="0" w:color="auto"/>
              <w:bottom w:val="single" w:sz="4" w:space="0" w:color="auto"/>
              <w:right w:val="single" w:sz="4" w:space="0" w:color="auto"/>
            </w:tcBorders>
          </w:tcPr>
          <w:p w:rsidR="003946BA" w:rsidRPr="000B3F7D" w:rsidRDefault="003946BA" w:rsidP="007763C8">
            <w:pPr>
              <w:pStyle w:val="TBLPara8N"/>
              <w:keepNext/>
              <w:jc w:val="center"/>
              <w:rPr>
                <w:rFonts w:ascii="Arial" w:hAnsi="Arial" w:cs="Arial"/>
                <w:sz w:val="22"/>
                <w:szCs w:val="22"/>
                <w:lang w:val="en-GB"/>
              </w:rPr>
            </w:pPr>
            <w:r>
              <w:rPr>
                <w:rFonts w:ascii="Arial" w:hAnsi="Arial" w:cs="Arial"/>
                <w:sz w:val="22"/>
                <w:szCs w:val="22"/>
                <w:lang w:val="en-GB"/>
              </w:rPr>
              <w:t>6</w:t>
            </w:r>
          </w:p>
        </w:tc>
      </w:tr>
      <w:tr w:rsidR="003946BA" w:rsidRPr="000B3F7D">
        <w:tblPrEx>
          <w:tblBorders>
            <w:top w:val="single" w:sz="12" w:space="0" w:color="808080"/>
            <w:left w:val="nil"/>
            <w:bottom w:val="single" w:sz="12" w:space="0" w:color="808080"/>
            <w:right w:val="nil"/>
            <w:insideH w:val="nil"/>
            <w:insideV w:val="nil"/>
          </w:tblBorders>
          <w:tblLook w:val="0033"/>
        </w:tblPrEx>
        <w:trPr>
          <w:jc w:val="center"/>
        </w:trPr>
        <w:tc>
          <w:tcPr>
            <w:tcW w:w="4722" w:type="dxa"/>
            <w:tcBorders>
              <w:top w:val="single" w:sz="4" w:space="0" w:color="auto"/>
              <w:left w:val="single" w:sz="4" w:space="0" w:color="auto"/>
              <w:bottom w:val="single" w:sz="4" w:space="0" w:color="auto"/>
              <w:right w:val="single" w:sz="4" w:space="0" w:color="auto"/>
            </w:tcBorders>
          </w:tcPr>
          <w:p w:rsidR="003946BA" w:rsidRPr="000B3F7D" w:rsidRDefault="003946BA" w:rsidP="007763C8">
            <w:pPr>
              <w:pStyle w:val="TBLPara8N"/>
              <w:keepNext/>
              <w:rPr>
                <w:rFonts w:ascii="Arial" w:hAnsi="Arial" w:cs="Arial"/>
                <w:sz w:val="22"/>
                <w:szCs w:val="22"/>
                <w:lang w:val="en-GB"/>
              </w:rPr>
            </w:pPr>
            <w:r>
              <w:rPr>
                <w:rFonts w:ascii="Arial" w:hAnsi="Arial" w:cs="Arial"/>
                <w:sz w:val="22"/>
                <w:szCs w:val="22"/>
                <w:lang w:val="en-GB"/>
              </w:rPr>
              <w:t>Nail Disorder</w:t>
            </w:r>
          </w:p>
        </w:tc>
        <w:tc>
          <w:tcPr>
            <w:tcW w:w="2008" w:type="dxa"/>
            <w:tcBorders>
              <w:top w:val="single" w:sz="4" w:space="0" w:color="auto"/>
              <w:left w:val="single" w:sz="4" w:space="0" w:color="auto"/>
              <w:bottom w:val="single" w:sz="4" w:space="0" w:color="auto"/>
              <w:right w:val="single" w:sz="4" w:space="0" w:color="auto"/>
            </w:tcBorders>
          </w:tcPr>
          <w:p w:rsidR="003946BA" w:rsidRPr="000B3F7D" w:rsidRDefault="003946BA" w:rsidP="007763C8">
            <w:pPr>
              <w:pStyle w:val="TBLPara8N"/>
              <w:keepNext/>
              <w:jc w:val="center"/>
              <w:rPr>
                <w:rFonts w:ascii="Arial" w:hAnsi="Arial" w:cs="Arial"/>
                <w:sz w:val="22"/>
                <w:szCs w:val="22"/>
                <w:lang w:val="en-GB"/>
              </w:rPr>
            </w:pPr>
            <w:r>
              <w:rPr>
                <w:rFonts w:ascii="Arial" w:hAnsi="Arial" w:cs="Arial"/>
                <w:sz w:val="22"/>
                <w:szCs w:val="22"/>
                <w:lang w:val="en-GB"/>
              </w:rPr>
              <w:t>5</w:t>
            </w:r>
          </w:p>
        </w:tc>
        <w:tc>
          <w:tcPr>
            <w:tcW w:w="2008" w:type="dxa"/>
            <w:tcBorders>
              <w:top w:val="single" w:sz="4" w:space="0" w:color="auto"/>
              <w:left w:val="single" w:sz="4" w:space="0" w:color="auto"/>
              <w:bottom w:val="single" w:sz="4" w:space="0" w:color="auto"/>
              <w:right w:val="single" w:sz="4" w:space="0" w:color="auto"/>
            </w:tcBorders>
          </w:tcPr>
          <w:p w:rsidR="003946BA" w:rsidRPr="000B3F7D" w:rsidRDefault="003946BA" w:rsidP="007763C8">
            <w:pPr>
              <w:pStyle w:val="TBLPara8N"/>
              <w:keepNext/>
              <w:jc w:val="center"/>
              <w:rPr>
                <w:rFonts w:ascii="Arial" w:hAnsi="Arial" w:cs="Arial"/>
                <w:sz w:val="22"/>
                <w:szCs w:val="22"/>
                <w:lang w:val="en-GB"/>
              </w:rPr>
            </w:pPr>
            <w:r>
              <w:rPr>
                <w:rFonts w:ascii="Arial" w:hAnsi="Arial" w:cs="Arial"/>
                <w:sz w:val="22"/>
                <w:szCs w:val="22"/>
                <w:lang w:val="en-GB"/>
              </w:rPr>
              <w:t>2</w:t>
            </w:r>
          </w:p>
        </w:tc>
      </w:tr>
      <w:tr w:rsidR="003946BA" w:rsidRPr="000B3F7D">
        <w:tblPrEx>
          <w:tblBorders>
            <w:top w:val="single" w:sz="12" w:space="0" w:color="808080"/>
            <w:left w:val="nil"/>
            <w:bottom w:val="single" w:sz="12" w:space="0" w:color="808080"/>
            <w:right w:val="nil"/>
            <w:insideH w:val="nil"/>
            <w:insideV w:val="nil"/>
          </w:tblBorders>
          <w:tblLook w:val="0033"/>
        </w:tblPrEx>
        <w:trPr>
          <w:jc w:val="center"/>
        </w:trPr>
        <w:tc>
          <w:tcPr>
            <w:tcW w:w="4722" w:type="dxa"/>
            <w:tcBorders>
              <w:top w:val="single" w:sz="4" w:space="0" w:color="auto"/>
              <w:left w:val="single" w:sz="4" w:space="0" w:color="auto"/>
              <w:bottom w:val="single" w:sz="4" w:space="0" w:color="auto"/>
              <w:right w:val="single" w:sz="4" w:space="0" w:color="auto"/>
            </w:tcBorders>
          </w:tcPr>
          <w:p w:rsidR="003946BA" w:rsidRPr="000B3F7D" w:rsidRDefault="003946BA" w:rsidP="007763C8">
            <w:pPr>
              <w:pStyle w:val="TBLPara8N"/>
              <w:keepNext/>
              <w:rPr>
                <w:rFonts w:ascii="Arial" w:hAnsi="Arial" w:cs="Arial"/>
                <w:sz w:val="22"/>
                <w:szCs w:val="22"/>
                <w:lang w:val="en-GB"/>
              </w:rPr>
            </w:pPr>
            <w:r>
              <w:rPr>
                <w:rFonts w:ascii="Arial" w:hAnsi="Arial" w:cs="Arial"/>
                <w:sz w:val="22"/>
                <w:szCs w:val="22"/>
                <w:lang w:val="en-GB"/>
              </w:rPr>
              <w:t>Peripheral sensory neuropathy</w:t>
            </w:r>
          </w:p>
        </w:tc>
        <w:tc>
          <w:tcPr>
            <w:tcW w:w="2008" w:type="dxa"/>
            <w:tcBorders>
              <w:top w:val="single" w:sz="4" w:space="0" w:color="auto"/>
              <w:left w:val="single" w:sz="4" w:space="0" w:color="auto"/>
              <w:bottom w:val="single" w:sz="4" w:space="0" w:color="auto"/>
              <w:right w:val="single" w:sz="4" w:space="0" w:color="auto"/>
            </w:tcBorders>
          </w:tcPr>
          <w:p w:rsidR="003946BA" w:rsidRPr="000B3F7D" w:rsidRDefault="003946BA" w:rsidP="007763C8">
            <w:pPr>
              <w:pStyle w:val="TBLPara8N"/>
              <w:keepNext/>
              <w:jc w:val="center"/>
              <w:rPr>
                <w:rFonts w:ascii="Arial" w:hAnsi="Arial" w:cs="Arial"/>
                <w:sz w:val="22"/>
                <w:szCs w:val="22"/>
                <w:lang w:val="en-GB"/>
              </w:rPr>
            </w:pPr>
            <w:r>
              <w:rPr>
                <w:rFonts w:ascii="Arial" w:hAnsi="Arial" w:cs="Arial"/>
                <w:sz w:val="22"/>
                <w:szCs w:val="22"/>
                <w:lang w:val="en-GB"/>
              </w:rPr>
              <w:t>1</w:t>
            </w:r>
          </w:p>
        </w:tc>
        <w:tc>
          <w:tcPr>
            <w:tcW w:w="2008" w:type="dxa"/>
            <w:tcBorders>
              <w:top w:val="single" w:sz="4" w:space="0" w:color="auto"/>
              <w:left w:val="single" w:sz="4" w:space="0" w:color="auto"/>
              <w:bottom w:val="single" w:sz="4" w:space="0" w:color="auto"/>
              <w:right w:val="single" w:sz="4" w:space="0" w:color="auto"/>
            </w:tcBorders>
          </w:tcPr>
          <w:p w:rsidR="003946BA" w:rsidRPr="000B3F7D" w:rsidRDefault="003946BA" w:rsidP="007763C8">
            <w:pPr>
              <w:pStyle w:val="TBLPara8N"/>
              <w:keepNext/>
              <w:jc w:val="center"/>
              <w:rPr>
                <w:rFonts w:ascii="Arial" w:hAnsi="Arial" w:cs="Arial"/>
                <w:sz w:val="22"/>
                <w:szCs w:val="22"/>
                <w:lang w:val="en-GB"/>
              </w:rPr>
            </w:pPr>
            <w:r>
              <w:rPr>
                <w:rFonts w:ascii="Arial" w:hAnsi="Arial" w:cs="Arial"/>
                <w:sz w:val="22"/>
                <w:szCs w:val="22"/>
                <w:lang w:val="en-GB"/>
              </w:rPr>
              <w:t>5</w:t>
            </w:r>
          </w:p>
        </w:tc>
      </w:tr>
    </w:tbl>
    <w:p w:rsidR="00F6584A" w:rsidRPr="000B3F7D" w:rsidRDefault="00F6584A" w:rsidP="007763C8">
      <w:pPr>
        <w:autoSpaceDE w:val="0"/>
        <w:autoSpaceDN w:val="0"/>
        <w:adjustRightInd w:val="0"/>
        <w:spacing w:line="240" w:lineRule="auto"/>
        <w:rPr>
          <w:rFonts w:ascii="Arial" w:hAnsi="Arial" w:cs="Arial"/>
          <w:sz w:val="22"/>
          <w:szCs w:val="22"/>
          <w:lang w:val="en-AU"/>
        </w:rPr>
      </w:pPr>
    </w:p>
    <w:p w:rsidR="00F6584A" w:rsidRPr="000B3F7D" w:rsidRDefault="00F6584A" w:rsidP="007763C8">
      <w:pPr>
        <w:pStyle w:val="captiontable"/>
        <w:ind w:left="0" w:firstLine="0"/>
        <w:rPr>
          <w:rStyle w:val="hdgtitle"/>
          <w:rFonts w:cs="Arial"/>
          <w:szCs w:val="22"/>
        </w:rPr>
      </w:pPr>
      <w:r w:rsidRPr="000B3F7D">
        <w:rPr>
          <w:rFonts w:cs="Arial"/>
          <w:szCs w:val="22"/>
        </w:rPr>
        <w:t xml:space="preserve">Table </w:t>
      </w:r>
      <w:r w:rsidR="009A4CA4">
        <w:rPr>
          <w:rFonts w:cs="Arial"/>
          <w:szCs w:val="22"/>
        </w:rPr>
        <w:t>8</w:t>
      </w:r>
      <w:r w:rsidRPr="000B3F7D">
        <w:rPr>
          <w:rFonts w:cs="Arial"/>
          <w:szCs w:val="22"/>
        </w:rPr>
        <w:tab/>
      </w:r>
      <w:r w:rsidRPr="000B3F7D">
        <w:rPr>
          <w:rStyle w:val="hdgtitle"/>
          <w:rFonts w:cs="Arial"/>
          <w:szCs w:val="22"/>
        </w:rPr>
        <w:t>Selected hepatic laboratory abnormalities* observed during study EGF 100151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9"/>
        <w:gridCol w:w="1320"/>
        <w:gridCol w:w="1320"/>
        <w:gridCol w:w="1320"/>
        <w:gridCol w:w="1321"/>
        <w:gridCol w:w="1321"/>
        <w:gridCol w:w="1321"/>
      </w:tblGrid>
      <w:tr w:rsidR="00F6584A" w:rsidRPr="000B3F7D" w:rsidTr="00DD25FA">
        <w:tc>
          <w:tcPr>
            <w:tcW w:w="1320" w:type="dxa"/>
          </w:tcPr>
          <w:p w:rsidR="00F6584A" w:rsidRPr="000B3F7D" w:rsidRDefault="00F6584A" w:rsidP="00DD25FA">
            <w:pPr>
              <w:pStyle w:val="tabletext"/>
              <w:jc w:val="center"/>
              <w:rPr>
                <w:rFonts w:ascii="Arial" w:hAnsi="Arial" w:cs="Arial"/>
                <w:sz w:val="22"/>
                <w:szCs w:val="22"/>
              </w:rPr>
            </w:pPr>
          </w:p>
        </w:tc>
        <w:tc>
          <w:tcPr>
            <w:tcW w:w="3960" w:type="dxa"/>
            <w:gridSpan w:val="3"/>
          </w:tcPr>
          <w:p w:rsidR="00F6584A" w:rsidRPr="000B3F7D" w:rsidRDefault="00F6584A" w:rsidP="00DD25FA">
            <w:pPr>
              <w:pStyle w:val="tabletext"/>
              <w:jc w:val="center"/>
              <w:rPr>
                <w:rFonts w:ascii="Arial" w:hAnsi="Arial" w:cs="Arial"/>
                <w:b/>
                <w:sz w:val="22"/>
                <w:szCs w:val="22"/>
                <w:lang w:val="it-IT"/>
              </w:rPr>
            </w:pPr>
            <w:r w:rsidRPr="000B3F7D">
              <w:rPr>
                <w:rFonts w:ascii="Arial" w:hAnsi="Arial" w:cs="Arial"/>
                <w:b/>
                <w:sz w:val="22"/>
                <w:szCs w:val="22"/>
                <w:lang w:val="it-IT"/>
              </w:rPr>
              <w:t>Lapatinib 1250mg + Capecitabine 2000mg/m</w:t>
            </w:r>
            <w:r w:rsidRPr="000B3F7D">
              <w:rPr>
                <w:rFonts w:ascii="Arial" w:hAnsi="Arial" w:cs="Arial"/>
                <w:b/>
                <w:sz w:val="22"/>
                <w:szCs w:val="22"/>
                <w:vertAlign w:val="superscript"/>
                <w:lang w:val="it-IT"/>
              </w:rPr>
              <w:t>2</w:t>
            </w:r>
          </w:p>
        </w:tc>
        <w:tc>
          <w:tcPr>
            <w:tcW w:w="3963" w:type="dxa"/>
            <w:gridSpan w:val="3"/>
          </w:tcPr>
          <w:p w:rsidR="00F6584A" w:rsidRPr="000B3F7D" w:rsidRDefault="00F6584A" w:rsidP="00DD25FA">
            <w:pPr>
              <w:pStyle w:val="tabletext"/>
              <w:jc w:val="center"/>
              <w:rPr>
                <w:rFonts w:ascii="Arial" w:hAnsi="Arial" w:cs="Arial"/>
                <w:b/>
                <w:sz w:val="22"/>
                <w:szCs w:val="22"/>
                <w:lang w:val="it-IT"/>
              </w:rPr>
            </w:pPr>
            <w:r w:rsidRPr="000B3F7D">
              <w:rPr>
                <w:rFonts w:ascii="Arial" w:hAnsi="Arial" w:cs="Arial"/>
                <w:b/>
                <w:sz w:val="22"/>
                <w:szCs w:val="22"/>
              </w:rPr>
              <w:t>Capecitabine (2500 mg/m</w:t>
            </w:r>
            <w:r w:rsidRPr="000B3F7D">
              <w:rPr>
                <w:rFonts w:ascii="Arial" w:hAnsi="Arial" w:cs="Arial"/>
                <w:b/>
                <w:sz w:val="22"/>
                <w:szCs w:val="22"/>
                <w:vertAlign w:val="superscript"/>
              </w:rPr>
              <w:t>2</w:t>
            </w:r>
            <w:r w:rsidRPr="000B3F7D">
              <w:rPr>
                <w:rFonts w:ascii="Arial" w:hAnsi="Arial" w:cs="Arial"/>
                <w:b/>
                <w:sz w:val="22"/>
                <w:szCs w:val="22"/>
              </w:rPr>
              <w:t>)</w:t>
            </w:r>
          </w:p>
        </w:tc>
      </w:tr>
      <w:tr w:rsidR="00F6584A" w:rsidRPr="000B3F7D" w:rsidTr="00DD25FA">
        <w:tc>
          <w:tcPr>
            <w:tcW w:w="1320" w:type="dxa"/>
          </w:tcPr>
          <w:p w:rsidR="00F6584A" w:rsidRPr="000B3F7D" w:rsidRDefault="00F6584A" w:rsidP="00DD25FA">
            <w:pPr>
              <w:pStyle w:val="tabletext"/>
              <w:jc w:val="center"/>
              <w:rPr>
                <w:rFonts w:ascii="Arial" w:hAnsi="Arial" w:cs="Arial"/>
                <w:sz w:val="22"/>
                <w:szCs w:val="22"/>
                <w:lang w:val="it-IT"/>
              </w:rPr>
            </w:pPr>
          </w:p>
        </w:tc>
        <w:tc>
          <w:tcPr>
            <w:tcW w:w="1320" w:type="dxa"/>
          </w:tcPr>
          <w:p w:rsidR="00F6584A" w:rsidRPr="000B3F7D" w:rsidRDefault="00F6584A" w:rsidP="00DD25FA">
            <w:pPr>
              <w:pStyle w:val="tabletext"/>
              <w:jc w:val="center"/>
              <w:rPr>
                <w:rFonts w:ascii="Arial" w:hAnsi="Arial" w:cs="Arial"/>
                <w:b/>
                <w:sz w:val="22"/>
                <w:szCs w:val="22"/>
                <w:lang w:val="it-IT"/>
              </w:rPr>
            </w:pPr>
            <w:r w:rsidRPr="000B3F7D">
              <w:rPr>
                <w:rFonts w:ascii="Arial" w:hAnsi="Arial" w:cs="Arial"/>
                <w:b/>
                <w:sz w:val="22"/>
                <w:szCs w:val="22"/>
                <w:lang w:val="it-IT"/>
              </w:rPr>
              <w:t>All Grades</w:t>
            </w:r>
          </w:p>
        </w:tc>
        <w:tc>
          <w:tcPr>
            <w:tcW w:w="1320" w:type="dxa"/>
          </w:tcPr>
          <w:p w:rsidR="00F6584A" w:rsidRPr="000B3F7D" w:rsidRDefault="00F6584A" w:rsidP="00DD25FA">
            <w:pPr>
              <w:pStyle w:val="tabletext"/>
              <w:jc w:val="center"/>
              <w:rPr>
                <w:rFonts w:ascii="Arial" w:hAnsi="Arial" w:cs="Arial"/>
                <w:b/>
                <w:sz w:val="22"/>
                <w:szCs w:val="22"/>
                <w:lang w:val="it-IT"/>
              </w:rPr>
            </w:pPr>
            <w:r w:rsidRPr="000B3F7D">
              <w:rPr>
                <w:rFonts w:ascii="Arial" w:hAnsi="Arial" w:cs="Arial"/>
                <w:b/>
                <w:sz w:val="22"/>
                <w:szCs w:val="22"/>
                <w:lang w:val="it-IT"/>
              </w:rPr>
              <w:t>Grade 3 (%)</w:t>
            </w:r>
          </w:p>
        </w:tc>
        <w:tc>
          <w:tcPr>
            <w:tcW w:w="1320" w:type="dxa"/>
          </w:tcPr>
          <w:p w:rsidR="00F6584A" w:rsidRPr="000B3F7D" w:rsidRDefault="00F6584A" w:rsidP="00DD25FA">
            <w:pPr>
              <w:pStyle w:val="tabletext"/>
              <w:jc w:val="center"/>
              <w:rPr>
                <w:rFonts w:ascii="Arial" w:hAnsi="Arial" w:cs="Arial"/>
                <w:b/>
                <w:sz w:val="22"/>
                <w:szCs w:val="22"/>
                <w:lang w:val="it-IT"/>
              </w:rPr>
            </w:pPr>
            <w:r w:rsidRPr="000B3F7D">
              <w:rPr>
                <w:rFonts w:ascii="Arial" w:hAnsi="Arial" w:cs="Arial"/>
                <w:b/>
                <w:sz w:val="22"/>
                <w:szCs w:val="22"/>
                <w:lang w:val="it-IT"/>
              </w:rPr>
              <w:t>Grade 4 (%)</w:t>
            </w:r>
          </w:p>
        </w:tc>
        <w:tc>
          <w:tcPr>
            <w:tcW w:w="1321" w:type="dxa"/>
          </w:tcPr>
          <w:p w:rsidR="00F6584A" w:rsidRPr="000B3F7D" w:rsidRDefault="00F6584A" w:rsidP="00DD25FA">
            <w:pPr>
              <w:pStyle w:val="tabletext"/>
              <w:jc w:val="center"/>
              <w:rPr>
                <w:rFonts w:ascii="Arial" w:hAnsi="Arial" w:cs="Arial"/>
                <w:b/>
                <w:sz w:val="22"/>
                <w:szCs w:val="22"/>
                <w:lang w:val="it-IT"/>
              </w:rPr>
            </w:pPr>
            <w:r w:rsidRPr="000B3F7D">
              <w:rPr>
                <w:rFonts w:ascii="Arial" w:hAnsi="Arial" w:cs="Arial"/>
                <w:b/>
                <w:sz w:val="22"/>
                <w:szCs w:val="22"/>
                <w:lang w:val="it-IT"/>
              </w:rPr>
              <w:t>All Grades</w:t>
            </w:r>
          </w:p>
        </w:tc>
        <w:tc>
          <w:tcPr>
            <w:tcW w:w="1321" w:type="dxa"/>
          </w:tcPr>
          <w:p w:rsidR="00F6584A" w:rsidRPr="000B3F7D" w:rsidRDefault="00F6584A" w:rsidP="00DD25FA">
            <w:pPr>
              <w:pStyle w:val="tabletext"/>
              <w:jc w:val="center"/>
              <w:rPr>
                <w:rFonts w:ascii="Arial" w:hAnsi="Arial" w:cs="Arial"/>
                <w:b/>
                <w:sz w:val="22"/>
                <w:szCs w:val="22"/>
                <w:lang w:val="it-IT"/>
              </w:rPr>
            </w:pPr>
            <w:r w:rsidRPr="000B3F7D">
              <w:rPr>
                <w:rFonts w:ascii="Arial" w:hAnsi="Arial" w:cs="Arial"/>
                <w:b/>
                <w:sz w:val="22"/>
                <w:szCs w:val="22"/>
                <w:lang w:val="it-IT"/>
              </w:rPr>
              <w:t>G</w:t>
            </w:r>
            <w:r w:rsidR="008F0A42">
              <w:rPr>
                <w:rFonts w:ascii="Arial" w:hAnsi="Arial" w:cs="Arial"/>
                <w:b/>
                <w:sz w:val="22"/>
                <w:szCs w:val="22"/>
                <w:lang w:val="it-IT"/>
              </w:rPr>
              <w:t>r</w:t>
            </w:r>
            <w:r w:rsidRPr="000B3F7D">
              <w:rPr>
                <w:rFonts w:ascii="Arial" w:hAnsi="Arial" w:cs="Arial"/>
                <w:b/>
                <w:sz w:val="22"/>
                <w:szCs w:val="22"/>
                <w:lang w:val="it-IT"/>
              </w:rPr>
              <w:t>ade 3 (%)</w:t>
            </w:r>
          </w:p>
        </w:tc>
        <w:tc>
          <w:tcPr>
            <w:tcW w:w="1321" w:type="dxa"/>
          </w:tcPr>
          <w:p w:rsidR="00F6584A" w:rsidRPr="000B3F7D" w:rsidRDefault="00F6584A" w:rsidP="00DD25FA">
            <w:pPr>
              <w:pStyle w:val="tabletext"/>
              <w:jc w:val="center"/>
              <w:rPr>
                <w:rFonts w:ascii="Arial" w:hAnsi="Arial" w:cs="Arial"/>
                <w:b/>
                <w:sz w:val="22"/>
                <w:szCs w:val="22"/>
                <w:lang w:val="it-IT"/>
              </w:rPr>
            </w:pPr>
            <w:r w:rsidRPr="000B3F7D">
              <w:rPr>
                <w:rFonts w:ascii="Arial" w:hAnsi="Arial" w:cs="Arial"/>
                <w:b/>
                <w:sz w:val="22"/>
                <w:szCs w:val="22"/>
                <w:lang w:val="it-IT"/>
              </w:rPr>
              <w:t>Grade 4 (%)</w:t>
            </w:r>
          </w:p>
        </w:tc>
      </w:tr>
      <w:tr w:rsidR="00F6584A" w:rsidRPr="000B3F7D" w:rsidTr="00DD25FA">
        <w:tc>
          <w:tcPr>
            <w:tcW w:w="1320" w:type="dxa"/>
          </w:tcPr>
          <w:p w:rsidR="00F6584A" w:rsidRPr="000B3F7D" w:rsidRDefault="00F6584A" w:rsidP="00DD25FA">
            <w:pPr>
              <w:pStyle w:val="tabletext"/>
              <w:jc w:val="center"/>
              <w:rPr>
                <w:rFonts w:ascii="Arial" w:hAnsi="Arial" w:cs="Arial"/>
                <w:sz w:val="22"/>
                <w:szCs w:val="22"/>
                <w:lang w:val="it-IT"/>
              </w:rPr>
            </w:pPr>
            <w:r w:rsidRPr="000B3F7D">
              <w:rPr>
                <w:rFonts w:ascii="Arial" w:hAnsi="Arial" w:cs="Arial"/>
                <w:sz w:val="22"/>
                <w:szCs w:val="22"/>
                <w:lang w:val="it-IT"/>
              </w:rPr>
              <w:t>Total Bilirubin</w:t>
            </w:r>
          </w:p>
        </w:tc>
        <w:tc>
          <w:tcPr>
            <w:tcW w:w="1320" w:type="dxa"/>
          </w:tcPr>
          <w:p w:rsidR="00F6584A" w:rsidRPr="000B3F7D" w:rsidRDefault="00F6584A" w:rsidP="00DD25FA">
            <w:pPr>
              <w:pStyle w:val="tabletext"/>
              <w:jc w:val="center"/>
              <w:rPr>
                <w:rFonts w:ascii="Arial" w:hAnsi="Arial" w:cs="Arial"/>
                <w:sz w:val="22"/>
                <w:szCs w:val="22"/>
                <w:lang w:val="it-IT"/>
              </w:rPr>
            </w:pPr>
            <w:r w:rsidRPr="000B3F7D">
              <w:rPr>
                <w:rFonts w:ascii="Arial" w:hAnsi="Arial" w:cs="Arial"/>
                <w:sz w:val="22"/>
                <w:szCs w:val="22"/>
                <w:lang w:val="it-IT"/>
              </w:rPr>
              <w:t>45</w:t>
            </w:r>
          </w:p>
        </w:tc>
        <w:tc>
          <w:tcPr>
            <w:tcW w:w="1320" w:type="dxa"/>
          </w:tcPr>
          <w:p w:rsidR="00F6584A" w:rsidRPr="000B3F7D" w:rsidRDefault="003946BA" w:rsidP="00DD25FA">
            <w:pPr>
              <w:pStyle w:val="tabletext"/>
              <w:jc w:val="center"/>
              <w:rPr>
                <w:rFonts w:ascii="Arial" w:hAnsi="Arial" w:cs="Arial"/>
                <w:sz w:val="22"/>
                <w:szCs w:val="22"/>
                <w:lang w:val="it-IT"/>
              </w:rPr>
            </w:pPr>
            <w:r>
              <w:rPr>
                <w:rFonts w:ascii="Arial" w:hAnsi="Arial" w:cs="Arial"/>
                <w:sz w:val="22"/>
                <w:szCs w:val="22"/>
                <w:lang w:val="it-IT"/>
              </w:rPr>
              <w:t>4</w:t>
            </w:r>
          </w:p>
        </w:tc>
        <w:tc>
          <w:tcPr>
            <w:tcW w:w="1320" w:type="dxa"/>
          </w:tcPr>
          <w:p w:rsidR="00F6584A" w:rsidRPr="000B3F7D" w:rsidRDefault="00F6584A" w:rsidP="00DD25FA">
            <w:pPr>
              <w:pStyle w:val="tabletext"/>
              <w:jc w:val="center"/>
              <w:rPr>
                <w:rFonts w:ascii="Arial" w:hAnsi="Arial" w:cs="Arial"/>
                <w:sz w:val="22"/>
                <w:szCs w:val="22"/>
                <w:lang w:val="it-IT"/>
              </w:rPr>
            </w:pPr>
            <w:r w:rsidRPr="000B3F7D">
              <w:rPr>
                <w:rFonts w:ascii="Arial" w:hAnsi="Arial" w:cs="Arial"/>
                <w:sz w:val="22"/>
                <w:szCs w:val="22"/>
                <w:lang w:val="it-IT"/>
              </w:rPr>
              <w:t>0</w:t>
            </w:r>
          </w:p>
        </w:tc>
        <w:tc>
          <w:tcPr>
            <w:tcW w:w="1321" w:type="dxa"/>
          </w:tcPr>
          <w:p w:rsidR="00F6584A" w:rsidRPr="000B3F7D" w:rsidRDefault="00F6584A" w:rsidP="00DD25FA">
            <w:pPr>
              <w:pStyle w:val="tabletext"/>
              <w:jc w:val="center"/>
              <w:rPr>
                <w:rFonts w:ascii="Arial" w:hAnsi="Arial" w:cs="Arial"/>
                <w:sz w:val="22"/>
                <w:szCs w:val="22"/>
                <w:lang w:val="it-IT"/>
              </w:rPr>
            </w:pPr>
            <w:r w:rsidRPr="000B3F7D">
              <w:rPr>
                <w:rFonts w:ascii="Arial" w:hAnsi="Arial" w:cs="Arial"/>
                <w:sz w:val="22"/>
                <w:szCs w:val="22"/>
                <w:lang w:val="it-IT"/>
              </w:rPr>
              <w:t>30</w:t>
            </w:r>
          </w:p>
        </w:tc>
        <w:tc>
          <w:tcPr>
            <w:tcW w:w="1321" w:type="dxa"/>
          </w:tcPr>
          <w:p w:rsidR="00F6584A" w:rsidRPr="000B3F7D" w:rsidRDefault="003946BA" w:rsidP="00DD25FA">
            <w:pPr>
              <w:pStyle w:val="tabletext"/>
              <w:jc w:val="center"/>
              <w:rPr>
                <w:rFonts w:ascii="Arial" w:hAnsi="Arial" w:cs="Arial"/>
                <w:sz w:val="22"/>
                <w:szCs w:val="22"/>
                <w:lang w:val="it-IT"/>
              </w:rPr>
            </w:pPr>
            <w:r>
              <w:rPr>
                <w:rFonts w:ascii="Arial" w:hAnsi="Arial" w:cs="Arial"/>
                <w:sz w:val="22"/>
                <w:szCs w:val="22"/>
                <w:lang w:val="it-IT"/>
              </w:rPr>
              <w:t>3</w:t>
            </w:r>
          </w:p>
        </w:tc>
        <w:tc>
          <w:tcPr>
            <w:tcW w:w="1321" w:type="dxa"/>
          </w:tcPr>
          <w:p w:rsidR="00F6584A" w:rsidRPr="000B3F7D" w:rsidRDefault="00F6584A" w:rsidP="00DD25FA">
            <w:pPr>
              <w:pStyle w:val="tabletext"/>
              <w:jc w:val="center"/>
              <w:rPr>
                <w:rFonts w:ascii="Arial" w:hAnsi="Arial" w:cs="Arial"/>
                <w:sz w:val="22"/>
                <w:szCs w:val="22"/>
                <w:lang w:val="it-IT"/>
              </w:rPr>
            </w:pPr>
            <w:r w:rsidRPr="000B3F7D">
              <w:rPr>
                <w:rFonts w:ascii="Arial" w:hAnsi="Arial" w:cs="Arial"/>
                <w:sz w:val="22"/>
                <w:szCs w:val="22"/>
                <w:lang w:val="it-IT"/>
              </w:rPr>
              <w:t>0</w:t>
            </w:r>
          </w:p>
        </w:tc>
      </w:tr>
      <w:tr w:rsidR="00F6584A" w:rsidRPr="000B3F7D" w:rsidTr="00DD25FA">
        <w:tc>
          <w:tcPr>
            <w:tcW w:w="1320" w:type="dxa"/>
          </w:tcPr>
          <w:p w:rsidR="00F6584A" w:rsidRPr="000B3F7D" w:rsidRDefault="00F6584A" w:rsidP="00DD25FA">
            <w:pPr>
              <w:pStyle w:val="tabletext"/>
              <w:jc w:val="center"/>
              <w:rPr>
                <w:rFonts w:ascii="Arial" w:hAnsi="Arial" w:cs="Arial"/>
                <w:sz w:val="22"/>
                <w:szCs w:val="22"/>
                <w:lang w:val="it-IT"/>
              </w:rPr>
            </w:pPr>
            <w:r w:rsidRPr="000B3F7D">
              <w:rPr>
                <w:rFonts w:ascii="Arial" w:hAnsi="Arial" w:cs="Arial"/>
                <w:sz w:val="22"/>
                <w:szCs w:val="22"/>
                <w:lang w:val="it-IT"/>
              </w:rPr>
              <w:t>AST</w:t>
            </w:r>
          </w:p>
        </w:tc>
        <w:tc>
          <w:tcPr>
            <w:tcW w:w="1320" w:type="dxa"/>
          </w:tcPr>
          <w:p w:rsidR="00F6584A" w:rsidRPr="000B3F7D" w:rsidRDefault="003946BA" w:rsidP="00DD25FA">
            <w:pPr>
              <w:pStyle w:val="tabletext"/>
              <w:jc w:val="center"/>
              <w:rPr>
                <w:rFonts w:ascii="Arial" w:hAnsi="Arial" w:cs="Arial"/>
                <w:sz w:val="22"/>
                <w:szCs w:val="22"/>
                <w:lang w:val="it-IT"/>
              </w:rPr>
            </w:pPr>
            <w:r>
              <w:rPr>
                <w:rFonts w:ascii="Arial" w:hAnsi="Arial" w:cs="Arial"/>
                <w:sz w:val="22"/>
                <w:szCs w:val="22"/>
                <w:lang w:val="it-IT"/>
              </w:rPr>
              <w:t>49</w:t>
            </w:r>
          </w:p>
        </w:tc>
        <w:tc>
          <w:tcPr>
            <w:tcW w:w="1320" w:type="dxa"/>
          </w:tcPr>
          <w:p w:rsidR="00F6584A" w:rsidRPr="000B3F7D" w:rsidRDefault="003946BA" w:rsidP="00DD25FA">
            <w:pPr>
              <w:pStyle w:val="tabletext"/>
              <w:jc w:val="center"/>
              <w:rPr>
                <w:rFonts w:ascii="Arial" w:hAnsi="Arial" w:cs="Arial"/>
                <w:sz w:val="22"/>
                <w:szCs w:val="22"/>
                <w:lang w:val="it-IT"/>
              </w:rPr>
            </w:pPr>
            <w:r>
              <w:rPr>
                <w:rFonts w:ascii="Arial" w:hAnsi="Arial" w:cs="Arial"/>
                <w:sz w:val="22"/>
                <w:szCs w:val="22"/>
                <w:lang w:val="it-IT"/>
              </w:rPr>
              <w:t>2</w:t>
            </w:r>
          </w:p>
        </w:tc>
        <w:tc>
          <w:tcPr>
            <w:tcW w:w="1320" w:type="dxa"/>
          </w:tcPr>
          <w:p w:rsidR="00F6584A" w:rsidRPr="000B3F7D" w:rsidRDefault="00F6584A" w:rsidP="00DD25FA">
            <w:pPr>
              <w:pStyle w:val="tabletext"/>
              <w:jc w:val="center"/>
              <w:rPr>
                <w:rFonts w:ascii="Arial" w:hAnsi="Arial" w:cs="Arial"/>
                <w:sz w:val="22"/>
                <w:szCs w:val="22"/>
                <w:lang w:val="it-IT"/>
              </w:rPr>
            </w:pPr>
            <w:r w:rsidRPr="000B3F7D">
              <w:rPr>
                <w:rFonts w:ascii="Arial" w:hAnsi="Arial" w:cs="Arial"/>
                <w:sz w:val="22"/>
                <w:szCs w:val="22"/>
                <w:lang w:val="it-IT"/>
              </w:rPr>
              <w:t>&lt;1</w:t>
            </w:r>
          </w:p>
        </w:tc>
        <w:tc>
          <w:tcPr>
            <w:tcW w:w="1321" w:type="dxa"/>
          </w:tcPr>
          <w:p w:rsidR="00F6584A" w:rsidRPr="000B3F7D" w:rsidRDefault="003946BA" w:rsidP="00DD25FA">
            <w:pPr>
              <w:pStyle w:val="tabletext"/>
              <w:jc w:val="center"/>
              <w:rPr>
                <w:rFonts w:ascii="Arial" w:hAnsi="Arial" w:cs="Arial"/>
                <w:sz w:val="22"/>
                <w:szCs w:val="22"/>
                <w:lang w:val="it-IT"/>
              </w:rPr>
            </w:pPr>
            <w:r>
              <w:rPr>
                <w:rFonts w:ascii="Arial" w:hAnsi="Arial" w:cs="Arial"/>
                <w:sz w:val="22"/>
                <w:szCs w:val="22"/>
                <w:lang w:val="it-IT"/>
              </w:rPr>
              <w:t>43</w:t>
            </w:r>
          </w:p>
        </w:tc>
        <w:tc>
          <w:tcPr>
            <w:tcW w:w="1321" w:type="dxa"/>
          </w:tcPr>
          <w:p w:rsidR="00F6584A" w:rsidRPr="000B3F7D" w:rsidRDefault="00F6584A" w:rsidP="00DD25FA">
            <w:pPr>
              <w:pStyle w:val="tabletext"/>
              <w:jc w:val="center"/>
              <w:rPr>
                <w:rFonts w:ascii="Arial" w:hAnsi="Arial" w:cs="Arial"/>
                <w:sz w:val="22"/>
                <w:szCs w:val="22"/>
                <w:lang w:val="it-IT"/>
              </w:rPr>
            </w:pPr>
            <w:r w:rsidRPr="000B3F7D">
              <w:rPr>
                <w:rFonts w:ascii="Arial" w:hAnsi="Arial" w:cs="Arial"/>
                <w:sz w:val="22"/>
                <w:szCs w:val="22"/>
                <w:lang w:val="it-IT"/>
              </w:rPr>
              <w:t>2</w:t>
            </w:r>
          </w:p>
        </w:tc>
        <w:tc>
          <w:tcPr>
            <w:tcW w:w="1321" w:type="dxa"/>
          </w:tcPr>
          <w:p w:rsidR="00F6584A" w:rsidRPr="000B3F7D" w:rsidRDefault="00F6584A" w:rsidP="00DD25FA">
            <w:pPr>
              <w:pStyle w:val="tabletext"/>
              <w:jc w:val="center"/>
              <w:rPr>
                <w:rFonts w:ascii="Arial" w:hAnsi="Arial" w:cs="Arial"/>
                <w:sz w:val="22"/>
                <w:szCs w:val="22"/>
                <w:lang w:val="it-IT"/>
              </w:rPr>
            </w:pPr>
            <w:r w:rsidRPr="000B3F7D">
              <w:rPr>
                <w:rFonts w:ascii="Arial" w:hAnsi="Arial" w:cs="Arial"/>
                <w:sz w:val="22"/>
                <w:szCs w:val="22"/>
                <w:lang w:val="it-IT"/>
              </w:rPr>
              <w:t>0</w:t>
            </w:r>
          </w:p>
        </w:tc>
      </w:tr>
      <w:tr w:rsidR="00F6584A" w:rsidRPr="000B3F7D" w:rsidTr="00DD25FA">
        <w:tc>
          <w:tcPr>
            <w:tcW w:w="1320" w:type="dxa"/>
          </w:tcPr>
          <w:p w:rsidR="00F6584A" w:rsidRPr="000B3F7D" w:rsidRDefault="00F6584A" w:rsidP="00DD25FA">
            <w:pPr>
              <w:pStyle w:val="tabletext"/>
              <w:jc w:val="center"/>
              <w:rPr>
                <w:rFonts w:ascii="Arial" w:hAnsi="Arial" w:cs="Arial"/>
                <w:sz w:val="22"/>
                <w:szCs w:val="22"/>
                <w:lang w:val="it-IT"/>
              </w:rPr>
            </w:pPr>
            <w:r w:rsidRPr="000B3F7D">
              <w:rPr>
                <w:rFonts w:ascii="Arial" w:hAnsi="Arial" w:cs="Arial"/>
                <w:sz w:val="22"/>
                <w:szCs w:val="22"/>
                <w:lang w:val="it-IT"/>
              </w:rPr>
              <w:t>ALT</w:t>
            </w:r>
          </w:p>
        </w:tc>
        <w:tc>
          <w:tcPr>
            <w:tcW w:w="1320" w:type="dxa"/>
          </w:tcPr>
          <w:p w:rsidR="00F6584A" w:rsidRPr="000B3F7D" w:rsidRDefault="003946BA" w:rsidP="00DD25FA">
            <w:pPr>
              <w:pStyle w:val="tabletext"/>
              <w:jc w:val="center"/>
              <w:rPr>
                <w:rFonts w:ascii="Arial" w:hAnsi="Arial" w:cs="Arial"/>
                <w:sz w:val="22"/>
                <w:szCs w:val="22"/>
                <w:lang w:val="it-IT"/>
              </w:rPr>
            </w:pPr>
            <w:r>
              <w:rPr>
                <w:rFonts w:ascii="Arial" w:hAnsi="Arial" w:cs="Arial"/>
                <w:sz w:val="22"/>
                <w:szCs w:val="22"/>
                <w:lang w:val="it-IT"/>
              </w:rPr>
              <w:t>37</w:t>
            </w:r>
          </w:p>
        </w:tc>
        <w:tc>
          <w:tcPr>
            <w:tcW w:w="1320" w:type="dxa"/>
          </w:tcPr>
          <w:p w:rsidR="00F6584A" w:rsidRPr="000B3F7D" w:rsidRDefault="00F6584A" w:rsidP="00DD25FA">
            <w:pPr>
              <w:pStyle w:val="tabletext"/>
              <w:jc w:val="center"/>
              <w:rPr>
                <w:rFonts w:ascii="Arial" w:hAnsi="Arial" w:cs="Arial"/>
                <w:sz w:val="22"/>
                <w:szCs w:val="22"/>
                <w:lang w:val="it-IT"/>
              </w:rPr>
            </w:pPr>
            <w:r w:rsidRPr="000B3F7D">
              <w:rPr>
                <w:rFonts w:ascii="Arial" w:hAnsi="Arial" w:cs="Arial"/>
                <w:sz w:val="22"/>
                <w:szCs w:val="22"/>
                <w:lang w:val="it-IT"/>
              </w:rPr>
              <w:t>2</w:t>
            </w:r>
          </w:p>
        </w:tc>
        <w:tc>
          <w:tcPr>
            <w:tcW w:w="1320" w:type="dxa"/>
          </w:tcPr>
          <w:p w:rsidR="00F6584A" w:rsidRPr="000B3F7D" w:rsidRDefault="00F6584A" w:rsidP="00DD25FA">
            <w:pPr>
              <w:pStyle w:val="tabletext"/>
              <w:jc w:val="center"/>
              <w:rPr>
                <w:rFonts w:ascii="Arial" w:hAnsi="Arial" w:cs="Arial"/>
                <w:sz w:val="22"/>
                <w:szCs w:val="22"/>
                <w:lang w:val="it-IT"/>
              </w:rPr>
            </w:pPr>
            <w:r w:rsidRPr="000B3F7D">
              <w:rPr>
                <w:rFonts w:ascii="Arial" w:hAnsi="Arial" w:cs="Arial"/>
                <w:sz w:val="22"/>
                <w:szCs w:val="22"/>
                <w:lang w:val="it-IT"/>
              </w:rPr>
              <w:t>0</w:t>
            </w:r>
          </w:p>
        </w:tc>
        <w:tc>
          <w:tcPr>
            <w:tcW w:w="1321" w:type="dxa"/>
          </w:tcPr>
          <w:p w:rsidR="00F6584A" w:rsidRPr="000B3F7D" w:rsidRDefault="003946BA" w:rsidP="00DD25FA">
            <w:pPr>
              <w:pStyle w:val="tabletext"/>
              <w:jc w:val="center"/>
              <w:rPr>
                <w:rFonts w:ascii="Arial" w:hAnsi="Arial" w:cs="Arial"/>
                <w:sz w:val="22"/>
                <w:szCs w:val="22"/>
                <w:lang w:val="it-IT"/>
              </w:rPr>
            </w:pPr>
            <w:r>
              <w:rPr>
                <w:rFonts w:ascii="Arial" w:hAnsi="Arial" w:cs="Arial"/>
                <w:sz w:val="22"/>
                <w:szCs w:val="22"/>
                <w:lang w:val="it-IT"/>
              </w:rPr>
              <w:t>33</w:t>
            </w:r>
          </w:p>
        </w:tc>
        <w:tc>
          <w:tcPr>
            <w:tcW w:w="1321" w:type="dxa"/>
          </w:tcPr>
          <w:p w:rsidR="00F6584A" w:rsidRPr="000B3F7D" w:rsidRDefault="00F6584A" w:rsidP="00DD25FA">
            <w:pPr>
              <w:pStyle w:val="tabletext"/>
              <w:jc w:val="center"/>
              <w:rPr>
                <w:rFonts w:ascii="Arial" w:hAnsi="Arial" w:cs="Arial"/>
                <w:sz w:val="22"/>
                <w:szCs w:val="22"/>
                <w:lang w:val="it-IT"/>
              </w:rPr>
            </w:pPr>
            <w:r w:rsidRPr="000B3F7D">
              <w:rPr>
                <w:rFonts w:ascii="Arial" w:hAnsi="Arial" w:cs="Arial"/>
                <w:sz w:val="22"/>
                <w:szCs w:val="22"/>
                <w:lang w:val="it-IT"/>
              </w:rPr>
              <w:t>2</w:t>
            </w:r>
          </w:p>
        </w:tc>
        <w:tc>
          <w:tcPr>
            <w:tcW w:w="1321" w:type="dxa"/>
          </w:tcPr>
          <w:p w:rsidR="00F6584A" w:rsidRPr="000B3F7D" w:rsidRDefault="00F6584A" w:rsidP="00DD25FA">
            <w:pPr>
              <w:pStyle w:val="tabletext"/>
              <w:jc w:val="center"/>
              <w:rPr>
                <w:rFonts w:ascii="Arial" w:hAnsi="Arial" w:cs="Arial"/>
                <w:sz w:val="22"/>
                <w:szCs w:val="22"/>
                <w:lang w:val="it-IT"/>
              </w:rPr>
            </w:pPr>
            <w:r w:rsidRPr="000B3F7D">
              <w:rPr>
                <w:rFonts w:ascii="Arial" w:hAnsi="Arial" w:cs="Arial"/>
                <w:sz w:val="22"/>
                <w:szCs w:val="22"/>
                <w:lang w:val="it-IT"/>
              </w:rPr>
              <w:t>0</w:t>
            </w:r>
          </w:p>
        </w:tc>
      </w:tr>
    </w:tbl>
    <w:p w:rsidR="00F6584A" w:rsidRPr="000B3F7D" w:rsidRDefault="00F6584A" w:rsidP="007763C8">
      <w:pPr>
        <w:pStyle w:val="tabletext"/>
        <w:rPr>
          <w:rFonts w:ascii="Arial" w:hAnsi="Arial" w:cs="Arial"/>
          <w:sz w:val="22"/>
          <w:szCs w:val="22"/>
          <w:lang w:val="en-AU"/>
        </w:rPr>
      </w:pPr>
      <w:r w:rsidRPr="000B3F7D">
        <w:rPr>
          <w:rFonts w:ascii="Arial" w:hAnsi="Arial" w:cs="Arial"/>
          <w:sz w:val="22"/>
          <w:szCs w:val="22"/>
          <w:lang w:val="en-AU"/>
        </w:rPr>
        <w:t>*National Cancer Institute Common Terminology Criteria for Adverse Events, version 3</w:t>
      </w:r>
      <w:r w:rsidR="0005438A" w:rsidRPr="000B3F7D">
        <w:rPr>
          <w:rFonts w:ascii="Arial" w:hAnsi="Arial" w:cs="Arial"/>
          <w:sz w:val="22"/>
          <w:szCs w:val="22"/>
          <w:lang w:val="en-AU"/>
        </w:rPr>
        <w:t>.</w:t>
      </w:r>
    </w:p>
    <w:p w:rsidR="00F471CC" w:rsidRDefault="00F471CC">
      <w:pPr>
        <w:spacing w:line="240" w:lineRule="auto"/>
        <w:rPr>
          <w:rFonts w:ascii="Arial" w:hAnsi="Arial" w:cs="Arial"/>
          <w:sz w:val="22"/>
          <w:szCs w:val="22"/>
        </w:rPr>
      </w:pPr>
      <w:r>
        <w:rPr>
          <w:rFonts w:ascii="Arial" w:hAnsi="Arial" w:cs="Arial"/>
          <w:sz w:val="22"/>
          <w:szCs w:val="22"/>
        </w:rPr>
        <w:br w:type="page"/>
      </w:r>
    </w:p>
    <w:p w:rsidR="000A32B2" w:rsidRPr="000B3F7D" w:rsidRDefault="000A32B2" w:rsidP="000A32B2">
      <w:pPr>
        <w:rPr>
          <w:rFonts w:ascii="Arial" w:hAnsi="Arial" w:cs="Arial"/>
          <w:b/>
          <w:bCs/>
          <w:i/>
          <w:iCs/>
          <w:sz w:val="22"/>
          <w:szCs w:val="22"/>
        </w:rPr>
      </w:pPr>
      <w:r w:rsidRPr="000B3F7D">
        <w:rPr>
          <w:rFonts w:ascii="Arial" w:hAnsi="Arial" w:cs="Arial"/>
          <w:b/>
          <w:i/>
          <w:sz w:val="22"/>
          <w:szCs w:val="22"/>
        </w:rPr>
        <w:t>TYKERB</w:t>
      </w:r>
      <w:r w:rsidRPr="000B3F7D">
        <w:rPr>
          <w:rFonts w:ascii="Arial" w:hAnsi="Arial" w:cs="Arial"/>
          <w:b/>
          <w:bCs/>
          <w:i/>
          <w:iCs/>
          <w:sz w:val="22"/>
          <w:szCs w:val="22"/>
        </w:rPr>
        <w:t xml:space="preserve"> in combination with </w:t>
      </w:r>
      <w:r>
        <w:rPr>
          <w:rFonts w:ascii="Arial" w:hAnsi="Arial" w:cs="Arial"/>
          <w:b/>
          <w:bCs/>
          <w:i/>
          <w:iCs/>
          <w:sz w:val="22"/>
          <w:szCs w:val="22"/>
        </w:rPr>
        <w:t>paclitaxel</w:t>
      </w:r>
    </w:p>
    <w:p w:rsidR="000A32B2" w:rsidRDefault="000A32B2" w:rsidP="000A32B2">
      <w:pPr>
        <w:jc w:val="both"/>
        <w:rPr>
          <w:rFonts w:ascii="Arial" w:hAnsi="Arial" w:cs="Arial"/>
          <w:bCs/>
          <w:iCs/>
          <w:sz w:val="22"/>
          <w:szCs w:val="22"/>
        </w:rPr>
      </w:pPr>
      <w:r w:rsidRPr="000B3F7D">
        <w:rPr>
          <w:rFonts w:ascii="Arial" w:hAnsi="Arial" w:cs="Arial"/>
          <w:bCs/>
          <w:iCs/>
          <w:sz w:val="22"/>
          <w:szCs w:val="22"/>
        </w:rPr>
        <w:t>The following additional adverse reactions</w:t>
      </w:r>
      <w:r>
        <w:rPr>
          <w:rFonts w:ascii="Arial" w:hAnsi="Arial" w:cs="Arial"/>
          <w:bCs/>
          <w:iCs/>
          <w:sz w:val="22"/>
          <w:szCs w:val="22"/>
        </w:rPr>
        <w:t xml:space="preserve"> have been reported to be associated with TYKERB in combination with paclitaxel (80 mg/m</w:t>
      </w:r>
      <w:r w:rsidRPr="000A32B2">
        <w:rPr>
          <w:rFonts w:ascii="Arial" w:hAnsi="Arial" w:cs="Arial"/>
          <w:bCs/>
          <w:iCs/>
          <w:sz w:val="22"/>
          <w:szCs w:val="22"/>
          <w:vertAlign w:val="superscript"/>
        </w:rPr>
        <w:t>2</w:t>
      </w:r>
      <w:r>
        <w:rPr>
          <w:rFonts w:ascii="Arial" w:hAnsi="Arial" w:cs="Arial"/>
          <w:bCs/>
          <w:iCs/>
          <w:sz w:val="22"/>
          <w:szCs w:val="22"/>
        </w:rPr>
        <w:t xml:space="preserve"> weekly) with a frequency of greater than 5% compared to paclitaxel alone.  These data are based on exposure to this combination in 222 patients.</w:t>
      </w:r>
    </w:p>
    <w:p w:rsidR="000A32B2" w:rsidRDefault="000A32B2" w:rsidP="000A32B2">
      <w:pPr>
        <w:jc w:val="both"/>
        <w:rPr>
          <w:rFonts w:ascii="Arial" w:hAnsi="Arial" w:cs="Arial"/>
          <w:bCs/>
          <w:iCs/>
          <w:sz w:val="22"/>
          <w:szCs w:val="22"/>
        </w:rPr>
      </w:pPr>
    </w:p>
    <w:tbl>
      <w:tblPr>
        <w:tblW w:w="0" w:type="auto"/>
        <w:tblInd w:w="108" w:type="dxa"/>
        <w:tblLayout w:type="fixed"/>
        <w:tblLook w:val="0000"/>
      </w:tblPr>
      <w:tblGrid>
        <w:gridCol w:w="1791"/>
        <w:gridCol w:w="6128"/>
      </w:tblGrid>
      <w:tr w:rsidR="000A32B2" w:rsidRPr="000B3F7D" w:rsidTr="00D03E32">
        <w:tc>
          <w:tcPr>
            <w:tcW w:w="7919" w:type="dxa"/>
            <w:gridSpan w:val="2"/>
            <w:tcBorders>
              <w:top w:val="single" w:sz="4" w:space="0" w:color="auto"/>
              <w:left w:val="single" w:sz="4" w:space="0" w:color="auto"/>
              <w:bottom w:val="single" w:sz="4" w:space="0" w:color="auto"/>
              <w:right w:val="single" w:sz="4" w:space="0" w:color="auto"/>
            </w:tcBorders>
          </w:tcPr>
          <w:p w:rsidR="000A32B2" w:rsidRPr="000B3F7D" w:rsidRDefault="000A32B2" w:rsidP="00D03E32">
            <w:pPr>
              <w:rPr>
                <w:rFonts w:ascii="Arial" w:hAnsi="Arial" w:cs="Arial"/>
                <w:b/>
                <w:bCs/>
                <w:sz w:val="22"/>
                <w:szCs w:val="22"/>
              </w:rPr>
            </w:pPr>
            <w:r>
              <w:rPr>
                <w:rFonts w:ascii="Arial" w:hAnsi="Arial" w:cs="Arial"/>
                <w:b/>
                <w:bCs/>
                <w:sz w:val="22"/>
                <w:szCs w:val="22"/>
              </w:rPr>
              <w:t>Blood and lymphatic system</w:t>
            </w:r>
            <w:r w:rsidRPr="000B3F7D">
              <w:rPr>
                <w:rFonts w:ascii="Arial" w:hAnsi="Arial" w:cs="Arial"/>
                <w:b/>
                <w:bCs/>
                <w:sz w:val="22"/>
                <w:szCs w:val="22"/>
              </w:rPr>
              <w:t xml:space="preserve"> disorders</w:t>
            </w:r>
          </w:p>
        </w:tc>
      </w:tr>
      <w:tr w:rsidR="000A32B2" w:rsidRPr="000B3F7D" w:rsidTr="00D03E32">
        <w:tc>
          <w:tcPr>
            <w:tcW w:w="1791" w:type="dxa"/>
            <w:tcBorders>
              <w:top w:val="single" w:sz="4" w:space="0" w:color="auto"/>
              <w:left w:val="single" w:sz="4" w:space="0" w:color="auto"/>
              <w:bottom w:val="single" w:sz="4" w:space="0" w:color="auto"/>
              <w:right w:val="single" w:sz="4" w:space="0" w:color="auto"/>
            </w:tcBorders>
          </w:tcPr>
          <w:p w:rsidR="000A32B2" w:rsidRPr="000B3F7D" w:rsidRDefault="000A32B2" w:rsidP="00D03E32">
            <w:pPr>
              <w:rPr>
                <w:rFonts w:ascii="Arial" w:hAnsi="Arial" w:cs="Arial"/>
                <w:sz w:val="22"/>
                <w:szCs w:val="22"/>
              </w:rPr>
            </w:pPr>
            <w:r w:rsidRPr="000B3F7D">
              <w:rPr>
                <w:rFonts w:ascii="Arial" w:hAnsi="Arial" w:cs="Arial"/>
                <w:sz w:val="22"/>
                <w:szCs w:val="22"/>
              </w:rPr>
              <w:t>Very common</w:t>
            </w:r>
          </w:p>
        </w:tc>
        <w:tc>
          <w:tcPr>
            <w:tcW w:w="6128" w:type="dxa"/>
            <w:tcBorders>
              <w:top w:val="single" w:sz="4" w:space="0" w:color="auto"/>
              <w:left w:val="single" w:sz="4" w:space="0" w:color="auto"/>
              <w:bottom w:val="single" w:sz="4" w:space="0" w:color="auto"/>
              <w:right w:val="single" w:sz="4" w:space="0" w:color="auto"/>
            </w:tcBorders>
          </w:tcPr>
          <w:p w:rsidR="000A32B2" w:rsidRDefault="000A32B2" w:rsidP="00D03E32">
            <w:pPr>
              <w:rPr>
                <w:rStyle w:val="CSIchar"/>
                <w:rFonts w:ascii="Arial" w:hAnsi="Arial" w:cs="Arial"/>
                <w:sz w:val="22"/>
                <w:szCs w:val="22"/>
                <w:shd w:val="clear" w:color="auto" w:fill="auto"/>
              </w:rPr>
            </w:pPr>
            <w:r>
              <w:rPr>
                <w:rStyle w:val="CSIchar"/>
                <w:rFonts w:ascii="Arial" w:hAnsi="Arial" w:cs="Arial"/>
                <w:sz w:val="22"/>
                <w:szCs w:val="22"/>
                <w:shd w:val="clear" w:color="auto" w:fill="auto"/>
              </w:rPr>
              <w:t>Neutropenia</w:t>
            </w:r>
            <w:r w:rsidR="007639C1">
              <w:rPr>
                <w:rStyle w:val="CSIchar"/>
                <w:rFonts w:ascii="Arial" w:hAnsi="Arial" w:cs="Arial"/>
                <w:sz w:val="22"/>
                <w:szCs w:val="22"/>
                <w:shd w:val="clear" w:color="auto" w:fill="auto"/>
              </w:rPr>
              <w:t xml:space="preserve"> (</w:t>
            </w:r>
            <w:r w:rsidR="007639C1" w:rsidRPr="007639C1">
              <w:rPr>
                <w:rStyle w:val="CSIchar"/>
                <w:rFonts w:ascii="Arial" w:hAnsi="Arial" w:cs="Arial"/>
                <w:i/>
                <w:sz w:val="22"/>
                <w:szCs w:val="22"/>
                <w:shd w:val="clear" w:color="auto" w:fill="auto"/>
              </w:rPr>
              <w:t>see Precautions</w:t>
            </w:r>
            <w:r w:rsidR="007639C1">
              <w:rPr>
                <w:rStyle w:val="CSIchar"/>
                <w:rFonts w:ascii="Arial" w:hAnsi="Arial" w:cs="Arial"/>
                <w:sz w:val="22"/>
                <w:szCs w:val="22"/>
                <w:shd w:val="clear" w:color="auto" w:fill="auto"/>
              </w:rPr>
              <w:t>)</w:t>
            </w:r>
            <w:r w:rsidRPr="000B3F7D">
              <w:rPr>
                <w:rStyle w:val="CSIchar"/>
                <w:rFonts w:ascii="Arial" w:hAnsi="Arial" w:cs="Arial"/>
                <w:sz w:val="22"/>
                <w:szCs w:val="22"/>
                <w:shd w:val="clear" w:color="auto" w:fill="auto"/>
              </w:rPr>
              <w:t>.</w:t>
            </w:r>
          </w:p>
          <w:p w:rsidR="000A32B2" w:rsidRDefault="000A32B2" w:rsidP="00D03E32">
            <w:pPr>
              <w:rPr>
                <w:rStyle w:val="CSIchar"/>
                <w:rFonts w:ascii="Arial" w:hAnsi="Arial" w:cs="Arial"/>
                <w:sz w:val="22"/>
                <w:szCs w:val="22"/>
                <w:shd w:val="clear" w:color="auto" w:fill="auto"/>
              </w:rPr>
            </w:pPr>
            <w:r>
              <w:rPr>
                <w:rStyle w:val="CSIchar"/>
                <w:rFonts w:ascii="Arial" w:hAnsi="Arial" w:cs="Arial"/>
                <w:sz w:val="22"/>
                <w:szCs w:val="22"/>
                <w:shd w:val="clear" w:color="auto" w:fill="auto"/>
              </w:rPr>
              <w:t>Leukopenia.</w:t>
            </w:r>
          </w:p>
          <w:p w:rsidR="000A32B2" w:rsidRPr="000B3F7D" w:rsidRDefault="000A32B2" w:rsidP="00D03E32">
            <w:pPr>
              <w:rPr>
                <w:rFonts w:ascii="Arial" w:hAnsi="Arial" w:cs="Arial"/>
                <w:sz w:val="22"/>
                <w:szCs w:val="22"/>
              </w:rPr>
            </w:pPr>
            <w:r>
              <w:rPr>
                <w:rStyle w:val="CSIchar"/>
                <w:rFonts w:ascii="Arial" w:hAnsi="Arial" w:cs="Arial"/>
                <w:sz w:val="22"/>
                <w:szCs w:val="22"/>
                <w:shd w:val="clear" w:color="auto" w:fill="auto"/>
              </w:rPr>
              <w:t>Anaemia.</w:t>
            </w:r>
          </w:p>
        </w:tc>
      </w:tr>
      <w:tr w:rsidR="000A32B2" w:rsidRPr="000B3F7D" w:rsidTr="00D03E32">
        <w:tc>
          <w:tcPr>
            <w:tcW w:w="7919" w:type="dxa"/>
            <w:gridSpan w:val="2"/>
            <w:tcBorders>
              <w:top w:val="single" w:sz="4" w:space="0" w:color="auto"/>
              <w:left w:val="single" w:sz="4" w:space="0" w:color="auto"/>
              <w:bottom w:val="single" w:sz="4" w:space="0" w:color="auto"/>
              <w:right w:val="single" w:sz="4" w:space="0" w:color="auto"/>
            </w:tcBorders>
          </w:tcPr>
          <w:p w:rsidR="000A32B2" w:rsidRPr="000B3F7D" w:rsidRDefault="000A32B2" w:rsidP="00D03E32">
            <w:pPr>
              <w:rPr>
                <w:rFonts w:ascii="Arial" w:hAnsi="Arial" w:cs="Arial"/>
                <w:b/>
                <w:bCs/>
                <w:sz w:val="22"/>
                <w:szCs w:val="22"/>
              </w:rPr>
            </w:pPr>
            <w:r>
              <w:rPr>
                <w:rFonts w:ascii="Arial" w:hAnsi="Arial" w:cs="Arial"/>
                <w:b/>
                <w:bCs/>
                <w:sz w:val="22"/>
                <w:szCs w:val="22"/>
              </w:rPr>
              <w:t>Nervous system</w:t>
            </w:r>
            <w:r w:rsidRPr="000B3F7D">
              <w:rPr>
                <w:rFonts w:ascii="Arial" w:hAnsi="Arial" w:cs="Arial"/>
                <w:b/>
                <w:bCs/>
                <w:sz w:val="22"/>
                <w:szCs w:val="22"/>
              </w:rPr>
              <w:t xml:space="preserve"> disorders</w:t>
            </w:r>
          </w:p>
        </w:tc>
      </w:tr>
      <w:tr w:rsidR="000A32B2" w:rsidRPr="000B3F7D" w:rsidTr="00D03E32">
        <w:tc>
          <w:tcPr>
            <w:tcW w:w="1791" w:type="dxa"/>
            <w:tcBorders>
              <w:top w:val="single" w:sz="4" w:space="0" w:color="auto"/>
              <w:left w:val="single" w:sz="4" w:space="0" w:color="auto"/>
              <w:bottom w:val="single" w:sz="4" w:space="0" w:color="auto"/>
              <w:right w:val="single" w:sz="4" w:space="0" w:color="auto"/>
            </w:tcBorders>
          </w:tcPr>
          <w:p w:rsidR="000A32B2" w:rsidRPr="000B3F7D" w:rsidRDefault="000A32B2" w:rsidP="00D03E32">
            <w:pPr>
              <w:rPr>
                <w:rFonts w:ascii="Arial" w:hAnsi="Arial" w:cs="Arial"/>
                <w:sz w:val="22"/>
                <w:szCs w:val="22"/>
              </w:rPr>
            </w:pPr>
            <w:r w:rsidRPr="000B3F7D">
              <w:rPr>
                <w:rFonts w:ascii="Arial" w:hAnsi="Arial" w:cs="Arial"/>
                <w:sz w:val="22"/>
                <w:szCs w:val="22"/>
              </w:rPr>
              <w:t>Very common</w:t>
            </w:r>
          </w:p>
        </w:tc>
        <w:tc>
          <w:tcPr>
            <w:tcW w:w="6128" w:type="dxa"/>
            <w:tcBorders>
              <w:top w:val="single" w:sz="4" w:space="0" w:color="auto"/>
              <w:left w:val="single" w:sz="4" w:space="0" w:color="auto"/>
              <w:bottom w:val="single" w:sz="4" w:space="0" w:color="auto"/>
              <w:right w:val="single" w:sz="4" w:space="0" w:color="auto"/>
            </w:tcBorders>
          </w:tcPr>
          <w:p w:rsidR="000A32B2" w:rsidRPr="000B3F7D" w:rsidRDefault="000A32B2" w:rsidP="00D03E32">
            <w:pPr>
              <w:rPr>
                <w:rFonts w:ascii="Arial" w:hAnsi="Arial" w:cs="Arial"/>
                <w:sz w:val="22"/>
                <w:szCs w:val="22"/>
              </w:rPr>
            </w:pPr>
            <w:r>
              <w:rPr>
                <w:rStyle w:val="CSIchar"/>
                <w:rFonts w:ascii="Arial" w:hAnsi="Arial" w:cs="Arial"/>
                <w:sz w:val="22"/>
                <w:szCs w:val="22"/>
                <w:shd w:val="clear" w:color="auto" w:fill="auto"/>
              </w:rPr>
              <w:t>Neuropathy peripheral</w:t>
            </w:r>
            <w:r w:rsidRPr="000B3F7D">
              <w:rPr>
                <w:rStyle w:val="CSIchar"/>
                <w:rFonts w:ascii="Arial" w:hAnsi="Arial" w:cs="Arial"/>
                <w:sz w:val="22"/>
                <w:szCs w:val="22"/>
                <w:shd w:val="clear" w:color="auto" w:fill="auto"/>
              </w:rPr>
              <w:t>.</w:t>
            </w:r>
            <w:r>
              <w:rPr>
                <w:rStyle w:val="CSIchar"/>
                <w:rFonts w:ascii="Arial" w:hAnsi="Arial" w:cs="Arial"/>
                <w:sz w:val="22"/>
                <w:szCs w:val="22"/>
                <w:shd w:val="clear" w:color="auto" w:fill="auto"/>
              </w:rPr>
              <w:t>*</w:t>
            </w:r>
          </w:p>
        </w:tc>
      </w:tr>
      <w:tr w:rsidR="000A32B2" w:rsidRPr="000B3F7D" w:rsidTr="00D03E32">
        <w:tc>
          <w:tcPr>
            <w:tcW w:w="7919" w:type="dxa"/>
            <w:gridSpan w:val="2"/>
            <w:tcBorders>
              <w:top w:val="single" w:sz="4" w:space="0" w:color="auto"/>
              <w:left w:val="single" w:sz="4" w:space="0" w:color="auto"/>
              <w:bottom w:val="single" w:sz="4" w:space="0" w:color="auto"/>
              <w:right w:val="single" w:sz="4" w:space="0" w:color="auto"/>
            </w:tcBorders>
          </w:tcPr>
          <w:p w:rsidR="000A32B2" w:rsidRPr="000A32B2" w:rsidRDefault="000A32B2" w:rsidP="00D03E32">
            <w:pPr>
              <w:rPr>
                <w:rStyle w:val="CSIchar"/>
                <w:rFonts w:ascii="Arial" w:hAnsi="Arial" w:cs="Arial"/>
                <w:b/>
                <w:sz w:val="22"/>
                <w:szCs w:val="22"/>
                <w:shd w:val="clear" w:color="auto" w:fill="auto"/>
              </w:rPr>
            </w:pPr>
            <w:r>
              <w:rPr>
                <w:rStyle w:val="CSIchar"/>
                <w:rFonts w:ascii="Arial" w:hAnsi="Arial" w:cs="Arial"/>
                <w:b/>
                <w:sz w:val="22"/>
                <w:szCs w:val="22"/>
                <w:shd w:val="clear" w:color="auto" w:fill="auto"/>
              </w:rPr>
              <w:t>Musculoskeletal and connective tissue disorders</w:t>
            </w:r>
          </w:p>
        </w:tc>
      </w:tr>
      <w:tr w:rsidR="000A32B2" w:rsidRPr="000B3F7D" w:rsidTr="00D03E32">
        <w:tc>
          <w:tcPr>
            <w:tcW w:w="1791" w:type="dxa"/>
            <w:tcBorders>
              <w:top w:val="single" w:sz="4" w:space="0" w:color="auto"/>
              <w:left w:val="single" w:sz="4" w:space="0" w:color="auto"/>
              <w:bottom w:val="single" w:sz="4" w:space="0" w:color="auto"/>
              <w:right w:val="single" w:sz="4" w:space="0" w:color="auto"/>
            </w:tcBorders>
          </w:tcPr>
          <w:p w:rsidR="000A32B2" w:rsidRPr="000B3F7D" w:rsidRDefault="000A32B2" w:rsidP="00D03E32">
            <w:pPr>
              <w:rPr>
                <w:rFonts w:ascii="Arial" w:hAnsi="Arial" w:cs="Arial"/>
                <w:sz w:val="22"/>
                <w:szCs w:val="22"/>
              </w:rPr>
            </w:pPr>
            <w:r>
              <w:rPr>
                <w:rFonts w:ascii="Arial" w:hAnsi="Arial" w:cs="Arial"/>
                <w:sz w:val="22"/>
                <w:szCs w:val="22"/>
              </w:rPr>
              <w:t>Very common</w:t>
            </w:r>
          </w:p>
        </w:tc>
        <w:tc>
          <w:tcPr>
            <w:tcW w:w="6128" w:type="dxa"/>
            <w:tcBorders>
              <w:top w:val="single" w:sz="4" w:space="0" w:color="auto"/>
              <w:left w:val="single" w:sz="4" w:space="0" w:color="auto"/>
              <w:bottom w:val="single" w:sz="4" w:space="0" w:color="auto"/>
              <w:right w:val="single" w:sz="4" w:space="0" w:color="auto"/>
            </w:tcBorders>
          </w:tcPr>
          <w:p w:rsidR="000A32B2" w:rsidRDefault="000A32B2" w:rsidP="00D03E32">
            <w:pPr>
              <w:rPr>
                <w:rStyle w:val="CSIchar"/>
                <w:rFonts w:ascii="Arial" w:hAnsi="Arial" w:cs="Arial"/>
                <w:sz w:val="22"/>
                <w:szCs w:val="22"/>
                <w:shd w:val="clear" w:color="auto" w:fill="auto"/>
              </w:rPr>
            </w:pPr>
            <w:r>
              <w:rPr>
                <w:rStyle w:val="CSIchar"/>
                <w:rFonts w:ascii="Arial" w:hAnsi="Arial" w:cs="Arial"/>
                <w:sz w:val="22"/>
                <w:szCs w:val="22"/>
                <w:shd w:val="clear" w:color="auto" w:fill="auto"/>
              </w:rPr>
              <w:t>Myalgia.*</w:t>
            </w:r>
          </w:p>
        </w:tc>
      </w:tr>
    </w:tbl>
    <w:p w:rsidR="000A32B2" w:rsidRDefault="000A32B2" w:rsidP="007763C8">
      <w:pPr>
        <w:jc w:val="both"/>
        <w:rPr>
          <w:rFonts w:ascii="Arial" w:hAnsi="Arial" w:cs="Arial"/>
          <w:sz w:val="22"/>
          <w:szCs w:val="22"/>
        </w:rPr>
      </w:pPr>
      <w:r>
        <w:rPr>
          <w:rFonts w:ascii="Arial" w:hAnsi="Arial" w:cs="Arial"/>
          <w:sz w:val="22"/>
          <w:szCs w:val="22"/>
        </w:rPr>
        <w:t>*additional adverse reactions report in 293 patients on TYKERB in combination with paclitaxel (175mg/m</w:t>
      </w:r>
      <w:r w:rsidRPr="000A32B2">
        <w:rPr>
          <w:rFonts w:ascii="Arial" w:hAnsi="Arial" w:cs="Arial"/>
          <w:sz w:val="22"/>
          <w:szCs w:val="22"/>
          <w:vertAlign w:val="superscript"/>
        </w:rPr>
        <w:t>2</w:t>
      </w:r>
      <w:r>
        <w:rPr>
          <w:rFonts w:ascii="Arial" w:hAnsi="Arial" w:cs="Arial"/>
          <w:sz w:val="22"/>
          <w:szCs w:val="22"/>
        </w:rPr>
        <w:t xml:space="preserve"> every 3 weeks) with a frequency difference of greater than 5% compared to paclitaxel alone.</w:t>
      </w:r>
    </w:p>
    <w:p w:rsidR="002C4A14" w:rsidRDefault="002C4A14" w:rsidP="007763C8">
      <w:pPr>
        <w:jc w:val="both"/>
        <w:rPr>
          <w:rFonts w:ascii="Arial" w:hAnsi="Arial" w:cs="Arial"/>
          <w:sz w:val="22"/>
          <w:szCs w:val="22"/>
        </w:rPr>
      </w:pPr>
    </w:p>
    <w:p w:rsidR="002C4A14" w:rsidRPr="002C4A14" w:rsidRDefault="00850858" w:rsidP="002C4A14">
      <w:pPr>
        <w:pStyle w:val="Caption"/>
        <w:jc w:val="left"/>
        <w:rPr>
          <w:rFonts w:ascii="Arial" w:hAnsi="Arial" w:cs="Arial"/>
          <w:b/>
          <w:i w:val="0"/>
          <w:color w:val="000000"/>
          <w:sz w:val="22"/>
          <w:szCs w:val="22"/>
        </w:rPr>
      </w:pPr>
      <w:r>
        <w:rPr>
          <w:rFonts w:ascii="Arial" w:hAnsi="Arial" w:cs="Arial"/>
          <w:b/>
          <w:i w:val="0"/>
          <w:color w:val="000000"/>
          <w:sz w:val="22"/>
          <w:szCs w:val="22"/>
        </w:rPr>
        <w:br w:type="page"/>
      </w:r>
      <w:r w:rsidR="002C4A14" w:rsidRPr="002C4A14">
        <w:rPr>
          <w:rFonts w:ascii="Arial" w:hAnsi="Arial" w:cs="Arial"/>
          <w:b/>
          <w:i w:val="0"/>
          <w:color w:val="000000"/>
          <w:sz w:val="22"/>
          <w:szCs w:val="22"/>
        </w:rPr>
        <w:t xml:space="preserve">Table </w:t>
      </w:r>
      <w:r w:rsidR="009A4CA4">
        <w:rPr>
          <w:rFonts w:ascii="Arial" w:hAnsi="Arial" w:cs="Arial"/>
          <w:b/>
          <w:i w:val="0"/>
          <w:color w:val="000000"/>
          <w:sz w:val="22"/>
          <w:szCs w:val="22"/>
        </w:rPr>
        <w:t>9</w:t>
      </w:r>
      <w:r w:rsidR="002C4A14" w:rsidRPr="002C4A14">
        <w:rPr>
          <w:rFonts w:ascii="Arial" w:hAnsi="Arial" w:cs="Arial"/>
          <w:b/>
          <w:i w:val="0"/>
          <w:color w:val="000000"/>
          <w:sz w:val="22"/>
          <w:szCs w:val="22"/>
        </w:rPr>
        <w:t xml:space="preserve">. Adverse Reactions Occurring in </w:t>
      </w:r>
      <w:r w:rsidR="002C4A14" w:rsidRPr="002C4A14">
        <w:rPr>
          <w:rFonts w:ascii="Arial" w:hAnsi="Arial" w:cs="Arial"/>
          <w:b/>
          <w:i w:val="0"/>
          <w:color w:val="000000"/>
          <w:sz w:val="22"/>
          <w:szCs w:val="22"/>
        </w:rPr>
        <w:sym w:font="Symbol" w:char="F0B3"/>
      </w:r>
      <w:r w:rsidR="002C4A14" w:rsidRPr="002C4A14">
        <w:rPr>
          <w:rFonts w:ascii="Arial" w:hAnsi="Arial" w:cs="Arial"/>
          <w:b/>
          <w:i w:val="0"/>
          <w:color w:val="000000"/>
          <w:sz w:val="22"/>
          <w:szCs w:val="22"/>
        </w:rPr>
        <w:t xml:space="preserve">10% of Patients </w:t>
      </w:r>
      <w:r>
        <w:rPr>
          <w:rFonts w:ascii="Arial" w:hAnsi="Arial" w:cs="Arial"/>
          <w:b/>
          <w:i w:val="0"/>
          <w:color w:val="000000"/>
          <w:sz w:val="22"/>
          <w:szCs w:val="22"/>
        </w:rPr>
        <w:t>in a study of TYKERB in combination with paclitaxel (EGF 104535)</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98"/>
        <w:gridCol w:w="1170"/>
        <w:gridCol w:w="900"/>
        <w:gridCol w:w="900"/>
        <w:gridCol w:w="1080"/>
        <w:gridCol w:w="900"/>
        <w:gridCol w:w="900"/>
      </w:tblGrid>
      <w:tr w:rsidR="002C4A14" w:rsidRPr="00C77E73" w:rsidTr="00D03E32">
        <w:tc>
          <w:tcPr>
            <w:tcW w:w="3798" w:type="dxa"/>
            <w:tcBorders>
              <w:bottom w:val="nil"/>
            </w:tcBorders>
          </w:tcPr>
          <w:p w:rsidR="002C4A14" w:rsidRPr="00850858" w:rsidRDefault="002C4A14" w:rsidP="00D03E32">
            <w:pPr>
              <w:keepNext/>
              <w:keepLines/>
              <w:tabs>
                <w:tab w:val="left" w:pos="240"/>
              </w:tabs>
              <w:spacing w:line="240" w:lineRule="atLeast"/>
              <w:rPr>
                <w:rFonts w:ascii="Arial" w:hAnsi="Arial" w:cs="Arial"/>
                <w:b/>
                <w:color w:val="000000"/>
                <w:sz w:val="22"/>
                <w:szCs w:val="22"/>
              </w:rPr>
            </w:pPr>
          </w:p>
        </w:tc>
        <w:tc>
          <w:tcPr>
            <w:tcW w:w="2970" w:type="dxa"/>
            <w:gridSpan w:val="3"/>
            <w:tcBorders>
              <w:bottom w:val="nil"/>
            </w:tcBorders>
            <w:vAlign w:val="bottom"/>
          </w:tcPr>
          <w:p w:rsidR="002C4A14" w:rsidRPr="00850858" w:rsidRDefault="002C4A14" w:rsidP="00D03E32">
            <w:pPr>
              <w:keepNext/>
              <w:keepLines/>
              <w:spacing w:line="240" w:lineRule="atLeast"/>
              <w:jc w:val="center"/>
              <w:rPr>
                <w:rFonts w:ascii="Arial" w:hAnsi="Arial" w:cs="Arial"/>
                <w:b/>
                <w:color w:val="000000"/>
                <w:sz w:val="22"/>
                <w:szCs w:val="22"/>
              </w:rPr>
            </w:pPr>
            <w:r w:rsidRPr="00850858">
              <w:rPr>
                <w:rFonts w:ascii="Arial" w:hAnsi="Arial" w:cs="Arial"/>
                <w:b/>
                <w:color w:val="000000"/>
                <w:sz w:val="22"/>
                <w:szCs w:val="22"/>
              </w:rPr>
              <w:t xml:space="preserve">TYKERB 1,500 mg/day + Paclitaxel </w:t>
            </w:r>
            <w:r w:rsidRPr="00850858">
              <w:rPr>
                <w:rFonts w:ascii="Arial" w:hAnsi="Arial" w:cs="Arial"/>
                <w:b/>
                <w:sz w:val="22"/>
                <w:szCs w:val="22"/>
              </w:rPr>
              <w:t>80 mg/m</w:t>
            </w:r>
            <w:r w:rsidRPr="00850858">
              <w:rPr>
                <w:rFonts w:ascii="Arial" w:hAnsi="Arial" w:cs="Arial"/>
                <w:b/>
                <w:sz w:val="22"/>
                <w:szCs w:val="22"/>
                <w:vertAlign w:val="superscript"/>
              </w:rPr>
              <w:t>2</w:t>
            </w:r>
            <w:r w:rsidRPr="00850858">
              <w:rPr>
                <w:rFonts w:ascii="Arial" w:hAnsi="Arial" w:cs="Arial"/>
                <w:b/>
                <w:sz w:val="22"/>
                <w:szCs w:val="22"/>
              </w:rPr>
              <w:t xml:space="preserve"> IV weekly</w:t>
            </w:r>
            <w:r w:rsidRPr="00850858">
              <w:rPr>
                <w:rFonts w:ascii="Arial" w:hAnsi="Arial" w:cs="Arial"/>
                <w:b/>
                <w:color w:val="000000"/>
                <w:sz w:val="22"/>
                <w:szCs w:val="22"/>
              </w:rPr>
              <w:t xml:space="preserve"> </w:t>
            </w:r>
          </w:p>
        </w:tc>
        <w:tc>
          <w:tcPr>
            <w:tcW w:w="2880" w:type="dxa"/>
            <w:gridSpan w:val="3"/>
            <w:tcBorders>
              <w:bottom w:val="nil"/>
            </w:tcBorders>
            <w:vAlign w:val="bottom"/>
          </w:tcPr>
          <w:p w:rsidR="002C4A14" w:rsidRPr="00850858" w:rsidRDefault="002C4A14" w:rsidP="00D03E32">
            <w:pPr>
              <w:keepNext/>
              <w:keepLines/>
              <w:spacing w:line="240" w:lineRule="atLeast"/>
              <w:jc w:val="center"/>
              <w:rPr>
                <w:rFonts w:ascii="Arial" w:hAnsi="Arial" w:cs="Arial"/>
                <w:b/>
                <w:color w:val="000000"/>
                <w:sz w:val="22"/>
                <w:szCs w:val="22"/>
              </w:rPr>
            </w:pPr>
            <w:r w:rsidRPr="00850858">
              <w:rPr>
                <w:rFonts w:ascii="Arial" w:hAnsi="Arial" w:cs="Arial"/>
                <w:b/>
                <w:color w:val="000000"/>
                <w:sz w:val="22"/>
                <w:szCs w:val="22"/>
              </w:rPr>
              <w:t xml:space="preserve">Paclitaxel </w:t>
            </w:r>
            <w:r w:rsidRPr="00850858">
              <w:rPr>
                <w:rFonts w:ascii="Arial" w:hAnsi="Arial" w:cs="Arial"/>
                <w:b/>
                <w:sz w:val="22"/>
                <w:szCs w:val="22"/>
              </w:rPr>
              <w:t>80 mg/m</w:t>
            </w:r>
            <w:r w:rsidRPr="00850858">
              <w:rPr>
                <w:rFonts w:ascii="Arial" w:hAnsi="Arial" w:cs="Arial"/>
                <w:b/>
                <w:sz w:val="22"/>
                <w:szCs w:val="22"/>
                <w:vertAlign w:val="superscript"/>
              </w:rPr>
              <w:t>2</w:t>
            </w:r>
            <w:r w:rsidRPr="00850858">
              <w:rPr>
                <w:rFonts w:ascii="Arial" w:hAnsi="Arial" w:cs="Arial"/>
                <w:b/>
                <w:sz w:val="22"/>
                <w:szCs w:val="22"/>
              </w:rPr>
              <w:t xml:space="preserve"> IV weekly</w:t>
            </w:r>
          </w:p>
        </w:tc>
      </w:tr>
      <w:tr w:rsidR="002C4A14" w:rsidRPr="00C77E73" w:rsidTr="00D03E32">
        <w:tc>
          <w:tcPr>
            <w:tcW w:w="3798" w:type="dxa"/>
            <w:tcBorders>
              <w:top w:val="nil"/>
              <w:bottom w:val="single" w:sz="4" w:space="0" w:color="auto"/>
            </w:tcBorders>
          </w:tcPr>
          <w:p w:rsidR="002C4A14" w:rsidRPr="00850858" w:rsidRDefault="002C4A14" w:rsidP="00D03E32">
            <w:pPr>
              <w:keepNext/>
              <w:keepLines/>
              <w:tabs>
                <w:tab w:val="left" w:pos="240"/>
              </w:tabs>
              <w:spacing w:line="240" w:lineRule="atLeast"/>
              <w:rPr>
                <w:rFonts w:ascii="Arial" w:hAnsi="Arial" w:cs="Arial"/>
                <w:b/>
                <w:color w:val="000000"/>
                <w:sz w:val="22"/>
                <w:szCs w:val="22"/>
              </w:rPr>
            </w:pPr>
          </w:p>
        </w:tc>
        <w:tc>
          <w:tcPr>
            <w:tcW w:w="2970" w:type="dxa"/>
            <w:gridSpan w:val="3"/>
            <w:tcBorders>
              <w:top w:val="nil"/>
            </w:tcBorders>
          </w:tcPr>
          <w:p w:rsidR="002C4A14" w:rsidRPr="00850858" w:rsidRDefault="002C4A14" w:rsidP="00D03E32">
            <w:pPr>
              <w:keepNext/>
              <w:keepLines/>
              <w:spacing w:line="240" w:lineRule="atLeast"/>
              <w:jc w:val="center"/>
              <w:rPr>
                <w:rFonts w:ascii="Arial" w:hAnsi="Arial" w:cs="Arial"/>
                <w:b/>
                <w:color w:val="000000"/>
                <w:sz w:val="22"/>
                <w:szCs w:val="22"/>
              </w:rPr>
            </w:pPr>
            <w:r w:rsidRPr="00850858">
              <w:rPr>
                <w:rFonts w:ascii="Arial" w:hAnsi="Arial" w:cs="Arial"/>
                <w:b/>
                <w:color w:val="000000"/>
                <w:sz w:val="22"/>
                <w:szCs w:val="22"/>
              </w:rPr>
              <w:t>(N = 222)</w:t>
            </w:r>
          </w:p>
        </w:tc>
        <w:tc>
          <w:tcPr>
            <w:tcW w:w="2880" w:type="dxa"/>
            <w:gridSpan w:val="3"/>
            <w:tcBorders>
              <w:top w:val="nil"/>
            </w:tcBorders>
          </w:tcPr>
          <w:p w:rsidR="002C4A14" w:rsidRPr="00850858" w:rsidRDefault="002C4A14" w:rsidP="00D03E32">
            <w:pPr>
              <w:keepNext/>
              <w:keepLines/>
              <w:spacing w:line="240" w:lineRule="atLeast"/>
              <w:jc w:val="center"/>
              <w:rPr>
                <w:rFonts w:ascii="Arial" w:hAnsi="Arial" w:cs="Arial"/>
                <w:b/>
                <w:color w:val="000000"/>
                <w:sz w:val="22"/>
                <w:szCs w:val="22"/>
              </w:rPr>
            </w:pPr>
            <w:r w:rsidRPr="00850858">
              <w:rPr>
                <w:rFonts w:ascii="Arial" w:hAnsi="Arial" w:cs="Arial"/>
                <w:b/>
                <w:color w:val="000000"/>
                <w:sz w:val="22"/>
                <w:szCs w:val="22"/>
              </w:rPr>
              <w:t>(N</w:t>
            </w:r>
            <w:r w:rsidRPr="00850858">
              <w:rPr>
                <w:rFonts w:ascii="Arial" w:hAnsi="Arial" w:cs="Arial"/>
                <w:color w:val="000000"/>
                <w:sz w:val="22"/>
                <w:szCs w:val="22"/>
              </w:rPr>
              <w:t> </w:t>
            </w:r>
            <w:r w:rsidRPr="00850858">
              <w:rPr>
                <w:rFonts w:ascii="Arial" w:hAnsi="Arial" w:cs="Arial"/>
                <w:b/>
                <w:color w:val="000000"/>
                <w:sz w:val="22"/>
                <w:szCs w:val="22"/>
              </w:rPr>
              <w:t>=</w:t>
            </w:r>
            <w:r w:rsidRPr="00850858">
              <w:rPr>
                <w:rFonts w:ascii="Arial" w:hAnsi="Arial" w:cs="Arial"/>
                <w:color w:val="000000"/>
                <w:sz w:val="22"/>
                <w:szCs w:val="22"/>
              </w:rPr>
              <w:t> </w:t>
            </w:r>
            <w:r w:rsidRPr="00850858">
              <w:rPr>
                <w:rFonts w:ascii="Arial" w:hAnsi="Arial" w:cs="Arial"/>
                <w:b/>
                <w:color w:val="000000"/>
                <w:sz w:val="22"/>
                <w:szCs w:val="22"/>
              </w:rPr>
              <w:t>221)</w:t>
            </w:r>
          </w:p>
        </w:tc>
      </w:tr>
      <w:tr w:rsidR="002C4A14" w:rsidRPr="00C77E73" w:rsidTr="00D03E32">
        <w:tc>
          <w:tcPr>
            <w:tcW w:w="3798" w:type="dxa"/>
            <w:tcBorders>
              <w:bottom w:val="nil"/>
            </w:tcBorders>
          </w:tcPr>
          <w:p w:rsidR="002C4A14" w:rsidRPr="00850858" w:rsidRDefault="002C4A14" w:rsidP="00D03E32">
            <w:pPr>
              <w:keepNext/>
              <w:keepLines/>
              <w:tabs>
                <w:tab w:val="left" w:pos="240"/>
              </w:tabs>
              <w:spacing w:line="240" w:lineRule="atLeast"/>
              <w:rPr>
                <w:rFonts w:ascii="Arial" w:hAnsi="Arial" w:cs="Arial"/>
                <w:color w:val="000000"/>
                <w:sz w:val="22"/>
                <w:szCs w:val="22"/>
              </w:rPr>
            </w:pPr>
          </w:p>
        </w:tc>
        <w:tc>
          <w:tcPr>
            <w:tcW w:w="1170" w:type="dxa"/>
          </w:tcPr>
          <w:p w:rsidR="002C4A14" w:rsidRPr="00850858" w:rsidRDefault="002C4A14" w:rsidP="00D03E32">
            <w:pPr>
              <w:keepNext/>
              <w:keepLines/>
              <w:spacing w:line="240" w:lineRule="atLeast"/>
              <w:jc w:val="center"/>
              <w:rPr>
                <w:rFonts w:ascii="Arial" w:hAnsi="Arial" w:cs="Arial"/>
                <w:b/>
                <w:color w:val="000000"/>
                <w:sz w:val="22"/>
                <w:szCs w:val="22"/>
              </w:rPr>
            </w:pPr>
            <w:r w:rsidRPr="00850858">
              <w:rPr>
                <w:rFonts w:ascii="Arial" w:hAnsi="Arial" w:cs="Arial"/>
                <w:b/>
                <w:color w:val="000000"/>
                <w:sz w:val="22"/>
                <w:szCs w:val="22"/>
              </w:rPr>
              <w:t>All Grades</w:t>
            </w:r>
          </w:p>
        </w:tc>
        <w:tc>
          <w:tcPr>
            <w:tcW w:w="900" w:type="dxa"/>
          </w:tcPr>
          <w:p w:rsidR="002C4A14" w:rsidRPr="00850858" w:rsidRDefault="002C4A14" w:rsidP="00D03E32">
            <w:pPr>
              <w:keepNext/>
              <w:keepLines/>
              <w:spacing w:line="240" w:lineRule="atLeast"/>
              <w:jc w:val="center"/>
              <w:rPr>
                <w:rFonts w:ascii="Arial" w:hAnsi="Arial" w:cs="Arial"/>
                <w:b/>
                <w:color w:val="000000"/>
                <w:sz w:val="22"/>
                <w:szCs w:val="22"/>
              </w:rPr>
            </w:pPr>
            <w:r w:rsidRPr="00850858">
              <w:rPr>
                <w:rFonts w:ascii="Arial" w:hAnsi="Arial" w:cs="Arial"/>
                <w:b/>
                <w:color w:val="000000"/>
                <w:sz w:val="22"/>
                <w:szCs w:val="22"/>
              </w:rPr>
              <w:t>Grade 3</w:t>
            </w:r>
          </w:p>
        </w:tc>
        <w:tc>
          <w:tcPr>
            <w:tcW w:w="900" w:type="dxa"/>
          </w:tcPr>
          <w:p w:rsidR="002C4A14" w:rsidRPr="00850858" w:rsidRDefault="002C4A14" w:rsidP="00D03E32">
            <w:pPr>
              <w:keepNext/>
              <w:keepLines/>
              <w:spacing w:line="240" w:lineRule="atLeast"/>
              <w:jc w:val="center"/>
              <w:rPr>
                <w:rFonts w:ascii="Arial" w:hAnsi="Arial" w:cs="Arial"/>
                <w:b/>
                <w:color w:val="000000"/>
                <w:sz w:val="22"/>
                <w:szCs w:val="22"/>
              </w:rPr>
            </w:pPr>
            <w:r w:rsidRPr="00850858">
              <w:rPr>
                <w:rFonts w:ascii="Arial" w:hAnsi="Arial" w:cs="Arial"/>
                <w:b/>
                <w:color w:val="000000"/>
                <w:sz w:val="22"/>
                <w:szCs w:val="22"/>
              </w:rPr>
              <w:t xml:space="preserve">Grade 4 </w:t>
            </w:r>
          </w:p>
        </w:tc>
        <w:tc>
          <w:tcPr>
            <w:tcW w:w="1080" w:type="dxa"/>
          </w:tcPr>
          <w:p w:rsidR="002C4A14" w:rsidRPr="00850858" w:rsidRDefault="002C4A14" w:rsidP="00D03E32">
            <w:pPr>
              <w:keepNext/>
              <w:keepLines/>
              <w:spacing w:line="240" w:lineRule="atLeast"/>
              <w:jc w:val="center"/>
              <w:rPr>
                <w:rFonts w:ascii="Arial" w:hAnsi="Arial" w:cs="Arial"/>
                <w:b/>
                <w:color w:val="000000"/>
                <w:sz w:val="22"/>
                <w:szCs w:val="22"/>
              </w:rPr>
            </w:pPr>
            <w:r w:rsidRPr="00850858">
              <w:rPr>
                <w:rFonts w:ascii="Arial" w:hAnsi="Arial" w:cs="Arial"/>
                <w:b/>
                <w:color w:val="000000"/>
                <w:sz w:val="22"/>
                <w:szCs w:val="22"/>
              </w:rPr>
              <w:t>All Grades</w:t>
            </w:r>
          </w:p>
        </w:tc>
        <w:tc>
          <w:tcPr>
            <w:tcW w:w="900" w:type="dxa"/>
          </w:tcPr>
          <w:p w:rsidR="002C4A14" w:rsidRPr="00850858" w:rsidRDefault="002C4A14" w:rsidP="00D03E32">
            <w:pPr>
              <w:keepNext/>
              <w:keepLines/>
              <w:spacing w:line="240" w:lineRule="atLeast"/>
              <w:jc w:val="center"/>
              <w:rPr>
                <w:rFonts w:ascii="Arial" w:hAnsi="Arial" w:cs="Arial"/>
                <w:b/>
                <w:color w:val="000000"/>
                <w:sz w:val="22"/>
                <w:szCs w:val="22"/>
              </w:rPr>
            </w:pPr>
            <w:r w:rsidRPr="00850858">
              <w:rPr>
                <w:rFonts w:ascii="Arial" w:hAnsi="Arial" w:cs="Arial"/>
                <w:b/>
                <w:color w:val="000000"/>
                <w:sz w:val="22"/>
                <w:szCs w:val="22"/>
              </w:rPr>
              <w:t xml:space="preserve">Grade 3 </w:t>
            </w:r>
          </w:p>
        </w:tc>
        <w:tc>
          <w:tcPr>
            <w:tcW w:w="900" w:type="dxa"/>
          </w:tcPr>
          <w:p w:rsidR="002C4A14" w:rsidRPr="00850858" w:rsidRDefault="002C4A14" w:rsidP="00D03E32">
            <w:pPr>
              <w:keepNext/>
              <w:keepLines/>
              <w:spacing w:line="240" w:lineRule="atLeast"/>
              <w:jc w:val="center"/>
              <w:rPr>
                <w:rFonts w:ascii="Arial" w:hAnsi="Arial" w:cs="Arial"/>
                <w:b/>
                <w:color w:val="000000"/>
                <w:sz w:val="22"/>
                <w:szCs w:val="22"/>
              </w:rPr>
            </w:pPr>
            <w:r w:rsidRPr="00850858">
              <w:rPr>
                <w:rFonts w:ascii="Arial" w:hAnsi="Arial" w:cs="Arial"/>
                <w:b/>
                <w:color w:val="000000"/>
                <w:sz w:val="22"/>
                <w:szCs w:val="22"/>
              </w:rPr>
              <w:t>Grade 4</w:t>
            </w:r>
          </w:p>
        </w:tc>
      </w:tr>
      <w:tr w:rsidR="002C4A14" w:rsidRPr="00C77E73" w:rsidTr="00D03E32">
        <w:tc>
          <w:tcPr>
            <w:tcW w:w="3798" w:type="dxa"/>
            <w:tcBorders>
              <w:top w:val="nil"/>
            </w:tcBorders>
          </w:tcPr>
          <w:p w:rsidR="002C4A14" w:rsidRPr="00850858" w:rsidRDefault="00850858" w:rsidP="00D03E32">
            <w:pPr>
              <w:keepNext/>
              <w:keepLines/>
              <w:tabs>
                <w:tab w:val="left" w:pos="240"/>
              </w:tabs>
              <w:spacing w:line="240" w:lineRule="atLeast"/>
              <w:rPr>
                <w:rFonts w:ascii="Arial" w:hAnsi="Arial" w:cs="Arial"/>
                <w:b/>
                <w:color w:val="000000"/>
                <w:sz w:val="22"/>
                <w:szCs w:val="22"/>
              </w:rPr>
            </w:pPr>
            <w:r>
              <w:rPr>
                <w:rFonts w:ascii="Arial" w:hAnsi="Arial" w:cs="Arial"/>
                <w:b/>
                <w:color w:val="000000"/>
                <w:sz w:val="22"/>
                <w:szCs w:val="22"/>
              </w:rPr>
              <w:t xml:space="preserve">Adverse </w:t>
            </w:r>
            <w:r w:rsidR="002C4A14" w:rsidRPr="00850858">
              <w:rPr>
                <w:rFonts w:ascii="Arial" w:hAnsi="Arial" w:cs="Arial"/>
                <w:b/>
                <w:color w:val="000000"/>
                <w:sz w:val="22"/>
                <w:szCs w:val="22"/>
              </w:rPr>
              <w:t>Reactions</w:t>
            </w:r>
          </w:p>
        </w:tc>
        <w:tc>
          <w:tcPr>
            <w:tcW w:w="1170" w:type="dxa"/>
          </w:tcPr>
          <w:p w:rsidR="002C4A14" w:rsidRPr="00850858" w:rsidRDefault="002C4A14" w:rsidP="00D03E32">
            <w:pPr>
              <w:keepNext/>
              <w:keepLines/>
              <w:spacing w:line="240" w:lineRule="atLeast"/>
              <w:jc w:val="center"/>
              <w:rPr>
                <w:rFonts w:ascii="Arial" w:hAnsi="Arial" w:cs="Arial"/>
                <w:b/>
                <w:color w:val="000000"/>
                <w:sz w:val="22"/>
                <w:szCs w:val="22"/>
              </w:rPr>
            </w:pPr>
            <w:r w:rsidRPr="00850858">
              <w:rPr>
                <w:rFonts w:ascii="Arial" w:hAnsi="Arial" w:cs="Arial"/>
                <w:b/>
                <w:color w:val="000000"/>
                <w:sz w:val="22"/>
                <w:szCs w:val="22"/>
              </w:rPr>
              <w:t>%</w:t>
            </w:r>
          </w:p>
        </w:tc>
        <w:tc>
          <w:tcPr>
            <w:tcW w:w="900" w:type="dxa"/>
          </w:tcPr>
          <w:p w:rsidR="002C4A14" w:rsidRPr="00850858" w:rsidRDefault="002C4A14" w:rsidP="00D03E32">
            <w:pPr>
              <w:keepNext/>
              <w:keepLines/>
              <w:spacing w:line="240" w:lineRule="atLeast"/>
              <w:jc w:val="center"/>
              <w:rPr>
                <w:rFonts w:ascii="Arial" w:hAnsi="Arial" w:cs="Arial"/>
                <w:b/>
                <w:color w:val="000000"/>
                <w:sz w:val="22"/>
                <w:szCs w:val="22"/>
              </w:rPr>
            </w:pPr>
            <w:r w:rsidRPr="00850858">
              <w:rPr>
                <w:rFonts w:ascii="Arial" w:hAnsi="Arial" w:cs="Arial"/>
                <w:b/>
                <w:color w:val="000000"/>
                <w:sz w:val="22"/>
                <w:szCs w:val="22"/>
              </w:rPr>
              <w:t>%</w:t>
            </w:r>
          </w:p>
        </w:tc>
        <w:tc>
          <w:tcPr>
            <w:tcW w:w="900" w:type="dxa"/>
          </w:tcPr>
          <w:p w:rsidR="002C4A14" w:rsidRPr="00850858" w:rsidRDefault="002C4A14" w:rsidP="00D03E32">
            <w:pPr>
              <w:keepNext/>
              <w:keepLines/>
              <w:spacing w:line="240" w:lineRule="atLeast"/>
              <w:jc w:val="center"/>
              <w:rPr>
                <w:rFonts w:ascii="Arial" w:hAnsi="Arial" w:cs="Arial"/>
                <w:b/>
                <w:color w:val="000000"/>
                <w:sz w:val="22"/>
                <w:szCs w:val="22"/>
              </w:rPr>
            </w:pPr>
            <w:r w:rsidRPr="00850858">
              <w:rPr>
                <w:rFonts w:ascii="Arial" w:hAnsi="Arial" w:cs="Arial"/>
                <w:b/>
                <w:color w:val="000000"/>
                <w:sz w:val="22"/>
                <w:szCs w:val="22"/>
              </w:rPr>
              <w:t>%</w:t>
            </w:r>
          </w:p>
        </w:tc>
        <w:tc>
          <w:tcPr>
            <w:tcW w:w="1080" w:type="dxa"/>
          </w:tcPr>
          <w:p w:rsidR="002C4A14" w:rsidRPr="00850858" w:rsidRDefault="002C4A14" w:rsidP="00D03E32">
            <w:pPr>
              <w:keepNext/>
              <w:keepLines/>
              <w:spacing w:line="240" w:lineRule="atLeast"/>
              <w:jc w:val="center"/>
              <w:rPr>
                <w:rFonts w:ascii="Arial" w:hAnsi="Arial" w:cs="Arial"/>
                <w:b/>
                <w:color w:val="000000"/>
                <w:sz w:val="22"/>
                <w:szCs w:val="22"/>
              </w:rPr>
            </w:pPr>
            <w:r w:rsidRPr="00850858">
              <w:rPr>
                <w:rFonts w:ascii="Arial" w:hAnsi="Arial" w:cs="Arial"/>
                <w:b/>
                <w:color w:val="000000"/>
                <w:sz w:val="22"/>
                <w:szCs w:val="22"/>
              </w:rPr>
              <w:t>%</w:t>
            </w:r>
          </w:p>
        </w:tc>
        <w:tc>
          <w:tcPr>
            <w:tcW w:w="900" w:type="dxa"/>
          </w:tcPr>
          <w:p w:rsidR="002C4A14" w:rsidRPr="00850858" w:rsidRDefault="002C4A14" w:rsidP="00D03E32">
            <w:pPr>
              <w:keepNext/>
              <w:keepLines/>
              <w:spacing w:line="240" w:lineRule="atLeast"/>
              <w:jc w:val="center"/>
              <w:rPr>
                <w:rFonts w:ascii="Arial" w:hAnsi="Arial" w:cs="Arial"/>
                <w:b/>
                <w:color w:val="000000"/>
                <w:sz w:val="22"/>
                <w:szCs w:val="22"/>
              </w:rPr>
            </w:pPr>
            <w:r w:rsidRPr="00850858">
              <w:rPr>
                <w:rFonts w:ascii="Arial" w:hAnsi="Arial" w:cs="Arial"/>
                <w:b/>
                <w:color w:val="000000"/>
                <w:sz w:val="22"/>
                <w:szCs w:val="22"/>
              </w:rPr>
              <w:t>%</w:t>
            </w:r>
          </w:p>
        </w:tc>
        <w:tc>
          <w:tcPr>
            <w:tcW w:w="900" w:type="dxa"/>
          </w:tcPr>
          <w:p w:rsidR="002C4A14" w:rsidRPr="00850858" w:rsidRDefault="002C4A14" w:rsidP="00D03E32">
            <w:pPr>
              <w:keepNext/>
              <w:keepLines/>
              <w:spacing w:line="240" w:lineRule="atLeast"/>
              <w:jc w:val="center"/>
              <w:rPr>
                <w:rFonts w:ascii="Arial" w:hAnsi="Arial" w:cs="Arial"/>
                <w:b/>
                <w:color w:val="000000"/>
                <w:sz w:val="22"/>
                <w:szCs w:val="22"/>
              </w:rPr>
            </w:pPr>
            <w:r w:rsidRPr="00850858">
              <w:rPr>
                <w:rFonts w:ascii="Arial" w:hAnsi="Arial" w:cs="Arial"/>
                <w:b/>
                <w:color w:val="000000"/>
                <w:sz w:val="22"/>
                <w:szCs w:val="22"/>
              </w:rPr>
              <w:t>%</w:t>
            </w:r>
          </w:p>
        </w:tc>
      </w:tr>
      <w:tr w:rsidR="002C4A14" w:rsidRPr="00C77E73" w:rsidTr="00D03E32">
        <w:tc>
          <w:tcPr>
            <w:tcW w:w="3798" w:type="dxa"/>
          </w:tcPr>
          <w:p w:rsidR="002C4A14" w:rsidRPr="00850858" w:rsidRDefault="002C4A14" w:rsidP="00D03E32">
            <w:pPr>
              <w:keepNext/>
              <w:keepLines/>
              <w:tabs>
                <w:tab w:val="left" w:pos="240"/>
              </w:tabs>
              <w:spacing w:line="240" w:lineRule="atLeast"/>
              <w:rPr>
                <w:rFonts w:ascii="Arial" w:hAnsi="Arial" w:cs="Arial"/>
                <w:color w:val="000000"/>
                <w:sz w:val="22"/>
                <w:szCs w:val="22"/>
              </w:rPr>
            </w:pPr>
            <w:r w:rsidRPr="00850858">
              <w:rPr>
                <w:rFonts w:ascii="Arial" w:hAnsi="Arial" w:cs="Arial"/>
                <w:b/>
                <w:color w:val="000000"/>
                <w:sz w:val="22"/>
                <w:szCs w:val="22"/>
              </w:rPr>
              <w:t>Blood and Lymphatic System Disorder</w:t>
            </w:r>
          </w:p>
        </w:tc>
        <w:tc>
          <w:tcPr>
            <w:tcW w:w="1170" w:type="dxa"/>
          </w:tcPr>
          <w:p w:rsidR="002C4A14" w:rsidRPr="00850858" w:rsidRDefault="002C4A14" w:rsidP="00D03E32">
            <w:pPr>
              <w:keepNext/>
              <w:keepLines/>
              <w:spacing w:line="240" w:lineRule="atLeast"/>
              <w:jc w:val="center"/>
              <w:rPr>
                <w:rFonts w:ascii="Arial" w:hAnsi="Arial" w:cs="Arial"/>
                <w:color w:val="000000"/>
                <w:sz w:val="22"/>
                <w:szCs w:val="22"/>
              </w:rPr>
            </w:pPr>
          </w:p>
        </w:tc>
        <w:tc>
          <w:tcPr>
            <w:tcW w:w="900" w:type="dxa"/>
          </w:tcPr>
          <w:p w:rsidR="002C4A14" w:rsidRPr="00850858" w:rsidRDefault="002C4A14" w:rsidP="00D03E32">
            <w:pPr>
              <w:keepNext/>
              <w:keepLines/>
              <w:spacing w:line="240" w:lineRule="atLeast"/>
              <w:jc w:val="center"/>
              <w:rPr>
                <w:rFonts w:ascii="Arial" w:hAnsi="Arial" w:cs="Arial"/>
                <w:color w:val="000000"/>
                <w:sz w:val="22"/>
                <w:szCs w:val="22"/>
              </w:rPr>
            </w:pPr>
          </w:p>
        </w:tc>
        <w:tc>
          <w:tcPr>
            <w:tcW w:w="900" w:type="dxa"/>
          </w:tcPr>
          <w:p w:rsidR="002C4A14" w:rsidRPr="00850858" w:rsidRDefault="002C4A14" w:rsidP="00D03E32">
            <w:pPr>
              <w:keepNext/>
              <w:keepLines/>
              <w:spacing w:line="240" w:lineRule="atLeast"/>
              <w:jc w:val="center"/>
              <w:rPr>
                <w:rFonts w:ascii="Arial" w:hAnsi="Arial" w:cs="Arial"/>
                <w:color w:val="000000"/>
                <w:sz w:val="22"/>
                <w:szCs w:val="22"/>
              </w:rPr>
            </w:pPr>
          </w:p>
        </w:tc>
        <w:tc>
          <w:tcPr>
            <w:tcW w:w="1080" w:type="dxa"/>
          </w:tcPr>
          <w:p w:rsidR="002C4A14" w:rsidRPr="00850858" w:rsidRDefault="002C4A14" w:rsidP="00D03E32">
            <w:pPr>
              <w:keepNext/>
              <w:keepLines/>
              <w:spacing w:line="240" w:lineRule="atLeast"/>
              <w:jc w:val="center"/>
              <w:rPr>
                <w:rFonts w:ascii="Arial" w:hAnsi="Arial" w:cs="Arial"/>
                <w:color w:val="000000"/>
                <w:sz w:val="22"/>
                <w:szCs w:val="22"/>
              </w:rPr>
            </w:pPr>
          </w:p>
        </w:tc>
        <w:tc>
          <w:tcPr>
            <w:tcW w:w="900" w:type="dxa"/>
          </w:tcPr>
          <w:p w:rsidR="002C4A14" w:rsidRPr="00850858" w:rsidRDefault="002C4A14" w:rsidP="00D03E32">
            <w:pPr>
              <w:keepNext/>
              <w:keepLines/>
              <w:spacing w:line="240" w:lineRule="atLeast"/>
              <w:jc w:val="center"/>
              <w:rPr>
                <w:rFonts w:ascii="Arial" w:hAnsi="Arial" w:cs="Arial"/>
                <w:color w:val="000000"/>
                <w:sz w:val="22"/>
                <w:szCs w:val="22"/>
              </w:rPr>
            </w:pPr>
          </w:p>
        </w:tc>
        <w:tc>
          <w:tcPr>
            <w:tcW w:w="900" w:type="dxa"/>
          </w:tcPr>
          <w:p w:rsidR="002C4A14" w:rsidRPr="00850858" w:rsidRDefault="002C4A14" w:rsidP="00D03E32">
            <w:pPr>
              <w:keepNext/>
              <w:keepLines/>
              <w:spacing w:line="240" w:lineRule="atLeast"/>
              <w:jc w:val="center"/>
              <w:rPr>
                <w:rFonts w:ascii="Arial" w:hAnsi="Arial" w:cs="Arial"/>
                <w:color w:val="000000"/>
                <w:sz w:val="22"/>
                <w:szCs w:val="22"/>
              </w:rPr>
            </w:pPr>
          </w:p>
        </w:tc>
      </w:tr>
      <w:tr w:rsidR="002C4A14" w:rsidRPr="00C77E73" w:rsidTr="00D03E32">
        <w:tc>
          <w:tcPr>
            <w:tcW w:w="3798" w:type="dxa"/>
          </w:tcPr>
          <w:p w:rsidR="002C4A14" w:rsidRPr="00850858" w:rsidRDefault="002C4A14" w:rsidP="00D03E32">
            <w:pPr>
              <w:keepNext/>
              <w:keepLines/>
              <w:tabs>
                <w:tab w:val="left" w:pos="240"/>
              </w:tabs>
              <w:rPr>
                <w:rFonts w:ascii="Arial" w:hAnsi="Arial" w:cs="Arial"/>
                <w:color w:val="000000"/>
                <w:sz w:val="22"/>
                <w:szCs w:val="22"/>
              </w:rPr>
            </w:pPr>
            <w:r w:rsidRPr="00850858">
              <w:rPr>
                <w:rFonts w:ascii="Arial" w:hAnsi="Arial" w:cs="Arial"/>
                <w:color w:val="000000"/>
                <w:sz w:val="22"/>
                <w:szCs w:val="22"/>
              </w:rPr>
              <w:tab/>
              <w:t>Neutropenia</w:t>
            </w:r>
          </w:p>
        </w:tc>
        <w:tc>
          <w:tcPr>
            <w:tcW w:w="117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77</w:t>
            </w:r>
          </w:p>
        </w:tc>
        <w:tc>
          <w:tcPr>
            <w:tcW w:w="90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35</w:t>
            </w:r>
          </w:p>
        </w:tc>
        <w:tc>
          <w:tcPr>
            <w:tcW w:w="90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16</w:t>
            </w:r>
          </w:p>
        </w:tc>
        <w:tc>
          <w:tcPr>
            <w:tcW w:w="108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47</w:t>
            </w:r>
          </w:p>
        </w:tc>
        <w:tc>
          <w:tcPr>
            <w:tcW w:w="90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15</w:t>
            </w:r>
          </w:p>
        </w:tc>
        <w:tc>
          <w:tcPr>
            <w:tcW w:w="90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5</w:t>
            </w:r>
          </w:p>
        </w:tc>
      </w:tr>
      <w:tr w:rsidR="002C4A14" w:rsidRPr="00C77E73" w:rsidTr="00D03E32">
        <w:tc>
          <w:tcPr>
            <w:tcW w:w="3798" w:type="dxa"/>
          </w:tcPr>
          <w:p w:rsidR="002C4A14" w:rsidRPr="00850858" w:rsidRDefault="002C4A14" w:rsidP="00D03E32">
            <w:pPr>
              <w:keepNext/>
              <w:keepLines/>
              <w:tabs>
                <w:tab w:val="left" w:pos="240"/>
              </w:tabs>
              <w:rPr>
                <w:rFonts w:ascii="Arial" w:hAnsi="Arial" w:cs="Arial"/>
                <w:color w:val="000000"/>
                <w:sz w:val="22"/>
                <w:szCs w:val="22"/>
              </w:rPr>
            </w:pPr>
            <w:r w:rsidRPr="00850858">
              <w:rPr>
                <w:rFonts w:ascii="Arial" w:hAnsi="Arial" w:cs="Arial"/>
                <w:color w:val="000000"/>
                <w:sz w:val="22"/>
                <w:szCs w:val="22"/>
              </w:rPr>
              <w:tab/>
              <w:t>Leukopenia</w:t>
            </w:r>
          </w:p>
        </w:tc>
        <w:tc>
          <w:tcPr>
            <w:tcW w:w="117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53</w:t>
            </w:r>
          </w:p>
        </w:tc>
        <w:tc>
          <w:tcPr>
            <w:tcW w:w="90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23</w:t>
            </w:r>
          </w:p>
        </w:tc>
        <w:tc>
          <w:tcPr>
            <w:tcW w:w="90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3</w:t>
            </w:r>
          </w:p>
        </w:tc>
        <w:tc>
          <w:tcPr>
            <w:tcW w:w="108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33</w:t>
            </w:r>
          </w:p>
        </w:tc>
        <w:tc>
          <w:tcPr>
            <w:tcW w:w="90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8</w:t>
            </w:r>
          </w:p>
        </w:tc>
        <w:tc>
          <w:tcPr>
            <w:tcW w:w="90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&lt;1</w:t>
            </w:r>
          </w:p>
        </w:tc>
      </w:tr>
      <w:tr w:rsidR="002C4A14" w:rsidRPr="00C77E73" w:rsidTr="00D03E32">
        <w:tc>
          <w:tcPr>
            <w:tcW w:w="3798" w:type="dxa"/>
          </w:tcPr>
          <w:p w:rsidR="002C4A14" w:rsidRPr="00850858" w:rsidRDefault="002C4A14" w:rsidP="00D03E32">
            <w:pPr>
              <w:keepNext/>
              <w:keepLines/>
              <w:tabs>
                <w:tab w:val="left" w:pos="240"/>
              </w:tabs>
              <w:rPr>
                <w:rFonts w:ascii="Arial" w:hAnsi="Arial" w:cs="Arial"/>
                <w:color w:val="000000"/>
                <w:sz w:val="22"/>
                <w:szCs w:val="22"/>
              </w:rPr>
            </w:pPr>
            <w:r w:rsidRPr="00850858">
              <w:rPr>
                <w:rFonts w:ascii="Arial" w:hAnsi="Arial" w:cs="Arial"/>
                <w:color w:val="000000"/>
                <w:sz w:val="22"/>
                <w:szCs w:val="22"/>
              </w:rPr>
              <w:tab/>
              <w:t>An</w:t>
            </w:r>
            <w:r w:rsidR="00885773">
              <w:rPr>
                <w:rFonts w:ascii="Arial" w:hAnsi="Arial" w:cs="Arial"/>
                <w:color w:val="000000"/>
                <w:sz w:val="22"/>
                <w:szCs w:val="22"/>
              </w:rPr>
              <w:t>a</w:t>
            </w:r>
            <w:r w:rsidRPr="00850858">
              <w:rPr>
                <w:rFonts w:ascii="Arial" w:hAnsi="Arial" w:cs="Arial"/>
                <w:color w:val="000000"/>
                <w:sz w:val="22"/>
                <w:szCs w:val="22"/>
              </w:rPr>
              <w:t>emia</w:t>
            </w:r>
          </w:p>
        </w:tc>
        <w:tc>
          <w:tcPr>
            <w:tcW w:w="117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23</w:t>
            </w:r>
          </w:p>
        </w:tc>
        <w:tc>
          <w:tcPr>
            <w:tcW w:w="90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4</w:t>
            </w:r>
          </w:p>
        </w:tc>
        <w:tc>
          <w:tcPr>
            <w:tcW w:w="90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0</w:t>
            </w:r>
          </w:p>
        </w:tc>
        <w:tc>
          <w:tcPr>
            <w:tcW w:w="108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10</w:t>
            </w:r>
          </w:p>
        </w:tc>
        <w:tc>
          <w:tcPr>
            <w:tcW w:w="90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1</w:t>
            </w:r>
          </w:p>
        </w:tc>
        <w:tc>
          <w:tcPr>
            <w:tcW w:w="90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0</w:t>
            </w:r>
          </w:p>
        </w:tc>
      </w:tr>
      <w:tr w:rsidR="002C4A14" w:rsidRPr="00C77E73" w:rsidTr="00D03E32">
        <w:tc>
          <w:tcPr>
            <w:tcW w:w="3798" w:type="dxa"/>
          </w:tcPr>
          <w:p w:rsidR="002C4A14" w:rsidRPr="00850858" w:rsidRDefault="002C4A14" w:rsidP="00D03E32">
            <w:pPr>
              <w:keepNext/>
              <w:keepLines/>
              <w:tabs>
                <w:tab w:val="left" w:pos="240"/>
              </w:tabs>
              <w:spacing w:line="240" w:lineRule="atLeast"/>
              <w:rPr>
                <w:rFonts w:ascii="Arial" w:hAnsi="Arial" w:cs="Arial"/>
                <w:color w:val="000000"/>
                <w:sz w:val="22"/>
                <w:szCs w:val="22"/>
              </w:rPr>
            </w:pPr>
            <w:r w:rsidRPr="00850858">
              <w:rPr>
                <w:rFonts w:ascii="Arial" w:hAnsi="Arial" w:cs="Arial"/>
                <w:b/>
                <w:color w:val="000000"/>
                <w:sz w:val="22"/>
                <w:szCs w:val="22"/>
              </w:rPr>
              <w:t>Skin and subcutaneous tissue disorders</w:t>
            </w:r>
          </w:p>
        </w:tc>
        <w:tc>
          <w:tcPr>
            <w:tcW w:w="1170" w:type="dxa"/>
          </w:tcPr>
          <w:p w:rsidR="002C4A14" w:rsidRPr="00850858" w:rsidRDefault="002C4A14" w:rsidP="00D03E32">
            <w:pPr>
              <w:keepNext/>
              <w:keepLines/>
              <w:spacing w:line="240" w:lineRule="atLeast"/>
              <w:jc w:val="center"/>
              <w:rPr>
                <w:rFonts w:ascii="Arial" w:hAnsi="Arial" w:cs="Arial"/>
                <w:color w:val="000000"/>
                <w:sz w:val="22"/>
                <w:szCs w:val="22"/>
              </w:rPr>
            </w:pPr>
          </w:p>
        </w:tc>
        <w:tc>
          <w:tcPr>
            <w:tcW w:w="900" w:type="dxa"/>
          </w:tcPr>
          <w:p w:rsidR="002C4A14" w:rsidRPr="00850858" w:rsidRDefault="002C4A14" w:rsidP="00D03E32">
            <w:pPr>
              <w:keepNext/>
              <w:keepLines/>
              <w:spacing w:line="240" w:lineRule="atLeast"/>
              <w:jc w:val="center"/>
              <w:rPr>
                <w:rFonts w:ascii="Arial" w:hAnsi="Arial" w:cs="Arial"/>
                <w:color w:val="000000"/>
                <w:sz w:val="22"/>
                <w:szCs w:val="22"/>
              </w:rPr>
            </w:pPr>
          </w:p>
        </w:tc>
        <w:tc>
          <w:tcPr>
            <w:tcW w:w="900" w:type="dxa"/>
          </w:tcPr>
          <w:p w:rsidR="002C4A14" w:rsidRPr="00850858" w:rsidDel="00E703B9" w:rsidRDefault="002C4A14" w:rsidP="00D03E32">
            <w:pPr>
              <w:keepNext/>
              <w:keepLines/>
              <w:spacing w:line="240" w:lineRule="atLeast"/>
              <w:jc w:val="center"/>
              <w:rPr>
                <w:rFonts w:ascii="Arial" w:hAnsi="Arial" w:cs="Arial"/>
                <w:color w:val="000000"/>
                <w:sz w:val="22"/>
                <w:szCs w:val="22"/>
              </w:rPr>
            </w:pPr>
          </w:p>
        </w:tc>
        <w:tc>
          <w:tcPr>
            <w:tcW w:w="1080" w:type="dxa"/>
          </w:tcPr>
          <w:p w:rsidR="002C4A14" w:rsidRPr="00850858" w:rsidRDefault="002C4A14" w:rsidP="00D03E32">
            <w:pPr>
              <w:keepNext/>
              <w:keepLines/>
              <w:spacing w:line="240" w:lineRule="atLeast"/>
              <w:jc w:val="center"/>
              <w:rPr>
                <w:rFonts w:ascii="Arial" w:hAnsi="Arial" w:cs="Arial"/>
                <w:color w:val="000000"/>
                <w:sz w:val="22"/>
                <w:szCs w:val="22"/>
              </w:rPr>
            </w:pPr>
          </w:p>
        </w:tc>
        <w:tc>
          <w:tcPr>
            <w:tcW w:w="900" w:type="dxa"/>
          </w:tcPr>
          <w:p w:rsidR="002C4A14" w:rsidRPr="00850858" w:rsidRDefault="002C4A14" w:rsidP="00D03E32">
            <w:pPr>
              <w:keepNext/>
              <w:keepLines/>
              <w:spacing w:line="240" w:lineRule="atLeast"/>
              <w:jc w:val="center"/>
              <w:rPr>
                <w:rFonts w:ascii="Arial" w:hAnsi="Arial" w:cs="Arial"/>
                <w:color w:val="000000"/>
                <w:sz w:val="22"/>
                <w:szCs w:val="22"/>
              </w:rPr>
            </w:pPr>
          </w:p>
        </w:tc>
        <w:tc>
          <w:tcPr>
            <w:tcW w:w="900" w:type="dxa"/>
          </w:tcPr>
          <w:p w:rsidR="002C4A14" w:rsidRPr="00850858" w:rsidRDefault="002C4A14" w:rsidP="00D03E32">
            <w:pPr>
              <w:keepNext/>
              <w:keepLines/>
              <w:spacing w:line="240" w:lineRule="atLeast"/>
              <w:jc w:val="center"/>
              <w:rPr>
                <w:rFonts w:ascii="Arial" w:hAnsi="Arial" w:cs="Arial"/>
                <w:color w:val="000000"/>
                <w:sz w:val="22"/>
                <w:szCs w:val="22"/>
              </w:rPr>
            </w:pPr>
          </w:p>
        </w:tc>
      </w:tr>
      <w:tr w:rsidR="002C4A14" w:rsidRPr="00C77E73" w:rsidTr="00D03E32">
        <w:tc>
          <w:tcPr>
            <w:tcW w:w="3798" w:type="dxa"/>
          </w:tcPr>
          <w:p w:rsidR="002C4A14" w:rsidRPr="00850858" w:rsidRDefault="002C4A14" w:rsidP="00D03E32">
            <w:pPr>
              <w:keepNext/>
              <w:keepLines/>
              <w:tabs>
                <w:tab w:val="left" w:pos="240"/>
              </w:tabs>
              <w:rPr>
                <w:rFonts w:ascii="Arial" w:hAnsi="Arial" w:cs="Arial"/>
                <w:color w:val="000000"/>
                <w:sz w:val="22"/>
                <w:szCs w:val="22"/>
              </w:rPr>
            </w:pPr>
            <w:r w:rsidRPr="00850858">
              <w:rPr>
                <w:rFonts w:ascii="Arial" w:hAnsi="Arial" w:cs="Arial"/>
                <w:color w:val="000000"/>
                <w:sz w:val="22"/>
                <w:szCs w:val="22"/>
              </w:rPr>
              <w:tab/>
              <w:t>Rash</w:t>
            </w:r>
          </w:p>
        </w:tc>
        <w:tc>
          <w:tcPr>
            <w:tcW w:w="117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59</w:t>
            </w:r>
          </w:p>
        </w:tc>
        <w:tc>
          <w:tcPr>
            <w:tcW w:w="90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4</w:t>
            </w:r>
          </w:p>
        </w:tc>
        <w:tc>
          <w:tcPr>
            <w:tcW w:w="90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&lt;1</w:t>
            </w:r>
          </w:p>
        </w:tc>
        <w:tc>
          <w:tcPr>
            <w:tcW w:w="108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24</w:t>
            </w:r>
          </w:p>
        </w:tc>
        <w:tc>
          <w:tcPr>
            <w:tcW w:w="90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0</w:t>
            </w:r>
          </w:p>
        </w:tc>
        <w:tc>
          <w:tcPr>
            <w:tcW w:w="90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0</w:t>
            </w:r>
          </w:p>
        </w:tc>
      </w:tr>
      <w:tr w:rsidR="002C4A14" w:rsidRPr="00C77E73" w:rsidTr="00D03E32">
        <w:tc>
          <w:tcPr>
            <w:tcW w:w="3798" w:type="dxa"/>
          </w:tcPr>
          <w:p w:rsidR="002C4A14" w:rsidRPr="00850858" w:rsidRDefault="002C4A14" w:rsidP="00D03E32">
            <w:pPr>
              <w:keepNext/>
              <w:keepLines/>
              <w:tabs>
                <w:tab w:val="left" w:pos="240"/>
              </w:tabs>
              <w:rPr>
                <w:rFonts w:ascii="Arial" w:hAnsi="Arial" w:cs="Arial"/>
                <w:color w:val="000000"/>
                <w:sz w:val="22"/>
                <w:szCs w:val="22"/>
              </w:rPr>
            </w:pPr>
            <w:r w:rsidRPr="00850858">
              <w:rPr>
                <w:rFonts w:ascii="Arial" w:hAnsi="Arial" w:cs="Arial"/>
                <w:color w:val="000000"/>
                <w:sz w:val="22"/>
                <w:szCs w:val="22"/>
              </w:rPr>
              <w:tab/>
              <w:t>Nail disorder</w:t>
            </w:r>
          </w:p>
        </w:tc>
        <w:tc>
          <w:tcPr>
            <w:tcW w:w="117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11</w:t>
            </w:r>
          </w:p>
        </w:tc>
        <w:tc>
          <w:tcPr>
            <w:tcW w:w="90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0</w:t>
            </w:r>
          </w:p>
        </w:tc>
        <w:tc>
          <w:tcPr>
            <w:tcW w:w="90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0</w:t>
            </w:r>
          </w:p>
        </w:tc>
        <w:tc>
          <w:tcPr>
            <w:tcW w:w="108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1</w:t>
            </w:r>
          </w:p>
        </w:tc>
        <w:tc>
          <w:tcPr>
            <w:tcW w:w="90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0</w:t>
            </w:r>
          </w:p>
        </w:tc>
        <w:tc>
          <w:tcPr>
            <w:tcW w:w="90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0</w:t>
            </w:r>
          </w:p>
        </w:tc>
      </w:tr>
      <w:tr w:rsidR="002C4A14" w:rsidRPr="00C77E73" w:rsidTr="00D03E32">
        <w:tc>
          <w:tcPr>
            <w:tcW w:w="3798" w:type="dxa"/>
          </w:tcPr>
          <w:p w:rsidR="002C4A14" w:rsidRPr="00850858" w:rsidRDefault="002C4A14" w:rsidP="00D03E32">
            <w:pPr>
              <w:keepNext/>
              <w:keepLines/>
              <w:tabs>
                <w:tab w:val="left" w:pos="240"/>
              </w:tabs>
              <w:rPr>
                <w:rFonts w:ascii="Arial" w:hAnsi="Arial" w:cs="Arial"/>
                <w:color w:val="000000"/>
                <w:sz w:val="22"/>
                <w:szCs w:val="22"/>
              </w:rPr>
            </w:pPr>
            <w:r w:rsidRPr="00850858">
              <w:rPr>
                <w:rFonts w:ascii="Arial" w:hAnsi="Arial" w:cs="Arial"/>
                <w:b/>
                <w:color w:val="000000"/>
                <w:sz w:val="22"/>
                <w:szCs w:val="22"/>
              </w:rPr>
              <w:t>Gastrointestinal disorders</w:t>
            </w:r>
          </w:p>
        </w:tc>
        <w:tc>
          <w:tcPr>
            <w:tcW w:w="1170" w:type="dxa"/>
          </w:tcPr>
          <w:p w:rsidR="002C4A14" w:rsidRPr="00850858" w:rsidRDefault="002C4A14" w:rsidP="00D03E32">
            <w:pPr>
              <w:keepNext/>
              <w:keepLines/>
              <w:jc w:val="center"/>
              <w:rPr>
                <w:rFonts w:ascii="Arial" w:hAnsi="Arial" w:cs="Arial"/>
                <w:color w:val="000000"/>
                <w:sz w:val="22"/>
                <w:szCs w:val="22"/>
              </w:rPr>
            </w:pPr>
          </w:p>
        </w:tc>
        <w:tc>
          <w:tcPr>
            <w:tcW w:w="900" w:type="dxa"/>
          </w:tcPr>
          <w:p w:rsidR="002C4A14" w:rsidRPr="00850858" w:rsidRDefault="002C4A14" w:rsidP="00D03E32">
            <w:pPr>
              <w:keepNext/>
              <w:keepLines/>
              <w:jc w:val="center"/>
              <w:rPr>
                <w:rFonts w:ascii="Arial" w:hAnsi="Arial" w:cs="Arial"/>
                <w:color w:val="000000"/>
                <w:sz w:val="22"/>
                <w:szCs w:val="22"/>
              </w:rPr>
            </w:pPr>
          </w:p>
        </w:tc>
        <w:tc>
          <w:tcPr>
            <w:tcW w:w="900" w:type="dxa"/>
          </w:tcPr>
          <w:p w:rsidR="002C4A14" w:rsidRPr="00850858" w:rsidRDefault="002C4A14" w:rsidP="00D03E32">
            <w:pPr>
              <w:keepNext/>
              <w:keepLines/>
              <w:jc w:val="center"/>
              <w:rPr>
                <w:rFonts w:ascii="Arial" w:hAnsi="Arial" w:cs="Arial"/>
                <w:color w:val="000000"/>
                <w:sz w:val="22"/>
                <w:szCs w:val="22"/>
              </w:rPr>
            </w:pPr>
          </w:p>
        </w:tc>
        <w:tc>
          <w:tcPr>
            <w:tcW w:w="1080" w:type="dxa"/>
          </w:tcPr>
          <w:p w:rsidR="002C4A14" w:rsidRPr="00850858" w:rsidRDefault="002C4A14" w:rsidP="00D03E32">
            <w:pPr>
              <w:keepNext/>
              <w:keepLines/>
              <w:jc w:val="center"/>
              <w:rPr>
                <w:rFonts w:ascii="Arial" w:hAnsi="Arial" w:cs="Arial"/>
                <w:color w:val="000000"/>
                <w:sz w:val="22"/>
                <w:szCs w:val="22"/>
              </w:rPr>
            </w:pPr>
          </w:p>
        </w:tc>
        <w:tc>
          <w:tcPr>
            <w:tcW w:w="900" w:type="dxa"/>
          </w:tcPr>
          <w:p w:rsidR="002C4A14" w:rsidRPr="00850858" w:rsidRDefault="002C4A14" w:rsidP="00D03E32">
            <w:pPr>
              <w:keepNext/>
              <w:keepLines/>
              <w:jc w:val="center"/>
              <w:rPr>
                <w:rFonts w:ascii="Arial" w:hAnsi="Arial" w:cs="Arial"/>
                <w:color w:val="000000"/>
                <w:sz w:val="22"/>
                <w:szCs w:val="22"/>
              </w:rPr>
            </w:pPr>
          </w:p>
        </w:tc>
        <w:tc>
          <w:tcPr>
            <w:tcW w:w="900" w:type="dxa"/>
          </w:tcPr>
          <w:p w:rsidR="002C4A14" w:rsidRPr="00850858" w:rsidRDefault="002C4A14" w:rsidP="00D03E32">
            <w:pPr>
              <w:keepNext/>
              <w:keepLines/>
              <w:jc w:val="center"/>
              <w:rPr>
                <w:rFonts w:ascii="Arial" w:hAnsi="Arial" w:cs="Arial"/>
                <w:color w:val="000000"/>
                <w:sz w:val="22"/>
                <w:szCs w:val="22"/>
              </w:rPr>
            </w:pPr>
          </w:p>
        </w:tc>
      </w:tr>
      <w:tr w:rsidR="002C4A14" w:rsidRPr="00C77E73" w:rsidTr="00D03E32">
        <w:tc>
          <w:tcPr>
            <w:tcW w:w="3798" w:type="dxa"/>
          </w:tcPr>
          <w:p w:rsidR="002C4A14" w:rsidRPr="00850858" w:rsidRDefault="002C4A14" w:rsidP="00D03E32">
            <w:pPr>
              <w:keepNext/>
              <w:keepLines/>
              <w:tabs>
                <w:tab w:val="left" w:pos="240"/>
              </w:tabs>
              <w:rPr>
                <w:rFonts w:ascii="Arial" w:hAnsi="Arial" w:cs="Arial"/>
                <w:color w:val="000000"/>
                <w:sz w:val="22"/>
                <w:szCs w:val="22"/>
              </w:rPr>
            </w:pPr>
            <w:r w:rsidRPr="00850858">
              <w:rPr>
                <w:rFonts w:ascii="Arial" w:hAnsi="Arial" w:cs="Arial"/>
                <w:color w:val="000000"/>
                <w:sz w:val="22"/>
                <w:szCs w:val="22"/>
              </w:rPr>
              <w:tab/>
              <w:t>Diarrh</w:t>
            </w:r>
            <w:r w:rsidR="00885773">
              <w:rPr>
                <w:rFonts w:ascii="Arial" w:hAnsi="Arial" w:cs="Arial"/>
                <w:color w:val="000000"/>
                <w:sz w:val="22"/>
                <w:szCs w:val="22"/>
              </w:rPr>
              <w:t>o</w:t>
            </w:r>
            <w:r w:rsidRPr="00850858">
              <w:rPr>
                <w:rFonts w:ascii="Arial" w:hAnsi="Arial" w:cs="Arial"/>
                <w:color w:val="000000"/>
                <w:sz w:val="22"/>
                <w:szCs w:val="22"/>
              </w:rPr>
              <w:t>ea</w:t>
            </w:r>
          </w:p>
        </w:tc>
        <w:tc>
          <w:tcPr>
            <w:tcW w:w="117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77</w:t>
            </w:r>
          </w:p>
        </w:tc>
        <w:tc>
          <w:tcPr>
            <w:tcW w:w="90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20</w:t>
            </w:r>
          </w:p>
        </w:tc>
        <w:tc>
          <w:tcPr>
            <w:tcW w:w="90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0</w:t>
            </w:r>
          </w:p>
        </w:tc>
        <w:tc>
          <w:tcPr>
            <w:tcW w:w="108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29</w:t>
            </w:r>
          </w:p>
        </w:tc>
        <w:tc>
          <w:tcPr>
            <w:tcW w:w="90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&lt;1</w:t>
            </w:r>
          </w:p>
        </w:tc>
        <w:tc>
          <w:tcPr>
            <w:tcW w:w="90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&lt;1</w:t>
            </w:r>
          </w:p>
        </w:tc>
      </w:tr>
      <w:tr w:rsidR="002C4A14" w:rsidRPr="00C77E73" w:rsidTr="00D03E32">
        <w:tc>
          <w:tcPr>
            <w:tcW w:w="3798" w:type="dxa"/>
          </w:tcPr>
          <w:p w:rsidR="002C4A14" w:rsidRPr="00850858" w:rsidRDefault="002C4A14" w:rsidP="00D03E32">
            <w:pPr>
              <w:keepNext/>
              <w:keepLines/>
              <w:tabs>
                <w:tab w:val="left" w:pos="240"/>
              </w:tabs>
              <w:rPr>
                <w:rFonts w:ascii="Arial" w:hAnsi="Arial" w:cs="Arial"/>
                <w:color w:val="000000"/>
                <w:sz w:val="22"/>
                <w:szCs w:val="22"/>
              </w:rPr>
            </w:pPr>
            <w:r w:rsidRPr="00850858">
              <w:rPr>
                <w:rFonts w:ascii="Arial" w:hAnsi="Arial" w:cs="Arial"/>
                <w:color w:val="000000"/>
                <w:sz w:val="22"/>
                <w:szCs w:val="22"/>
              </w:rPr>
              <w:tab/>
              <w:t>Nausea</w:t>
            </w:r>
          </w:p>
        </w:tc>
        <w:tc>
          <w:tcPr>
            <w:tcW w:w="117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30</w:t>
            </w:r>
          </w:p>
        </w:tc>
        <w:tc>
          <w:tcPr>
            <w:tcW w:w="90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&lt;1</w:t>
            </w:r>
          </w:p>
        </w:tc>
        <w:tc>
          <w:tcPr>
            <w:tcW w:w="90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0</w:t>
            </w:r>
          </w:p>
        </w:tc>
        <w:tc>
          <w:tcPr>
            <w:tcW w:w="108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19</w:t>
            </w:r>
          </w:p>
        </w:tc>
        <w:tc>
          <w:tcPr>
            <w:tcW w:w="90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0</w:t>
            </w:r>
          </w:p>
        </w:tc>
        <w:tc>
          <w:tcPr>
            <w:tcW w:w="90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0</w:t>
            </w:r>
          </w:p>
        </w:tc>
      </w:tr>
      <w:tr w:rsidR="002C4A14" w:rsidRPr="00C77E73" w:rsidTr="00D03E32">
        <w:tc>
          <w:tcPr>
            <w:tcW w:w="3798" w:type="dxa"/>
          </w:tcPr>
          <w:p w:rsidR="002C4A14" w:rsidRPr="00850858" w:rsidRDefault="002C4A14" w:rsidP="00D03E32">
            <w:pPr>
              <w:keepNext/>
              <w:keepLines/>
              <w:tabs>
                <w:tab w:val="left" w:pos="240"/>
              </w:tabs>
              <w:rPr>
                <w:rFonts w:ascii="Arial" w:hAnsi="Arial" w:cs="Arial"/>
                <w:color w:val="000000"/>
                <w:sz w:val="22"/>
                <w:szCs w:val="22"/>
              </w:rPr>
            </w:pPr>
            <w:r w:rsidRPr="00850858">
              <w:rPr>
                <w:rFonts w:ascii="Arial" w:hAnsi="Arial" w:cs="Arial"/>
                <w:color w:val="000000"/>
                <w:sz w:val="22"/>
                <w:szCs w:val="22"/>
              </w:rPr>
              <w:tab/>
              <w:t>Vomiting</w:t>
            </w:r>
          </w:p>
        </w:tc>
        <w:tc>
          <w:tcPr>
            <w:tcW w:w="117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22</w:t>
            </w:r>
          </w:p>
        </w:tc>
        <w:tc>
          <w:tcPr>
            <w:tcW w:w="90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2</w:t>
            </w:r>
          </w:p>
        </w:tc>
        <w:tc>
          <w:tcPr>
            <w:tcW w:w="90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0</w:t>
            </w:r>
          </w:p>
        </w:tc>
        <w:tc>
          <w:tcPr>
            <w:tcW w:w="108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12</w:t>
            </w:r>
          </w:p>
        </w:tc>
        <w:tc>
          <w:tcPr>
            <w:tcW w:w="90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1</w:t>
            </w:r>
          </w:p>
        </w:tc>
        <w:tc>
          <w:tcPr>
            <w:tcW w:w="90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0</w:t>
            </w:r>
          </w:p>
        </w:tc>
      </w:tr>
      <w:tr w:rsidR="002C4A14" w:rsidRPr="00C77E73" w:rsidTr="00D03E32">
        <w:tc>
          <w:tcPr>
            <w:tcW w:w="3798" w:type="dxa"/>
          </w:tcPr>
          <w:p w:rsidR="002C4A14" w:rsidRPr="00850858" w:rsidRDefault="002C4A14" w:rsidP="00D03E32">
            <w:pPr>
              <w:keepNext/>
              <w:keepLines/>
              <w:tabs>
                <w:tab w:val="left" w:pos="240"/>
              </w:tabs>
              <w:spacing w:line="240" w:lineRule="atLeast"/>
              <w:rPr>
                <w:rFonts w:ascii="Arial" w:hAnsi="Arial" w:cs="Arial"/>
                <w:color w:val="000000"/>
                <w:sz w:val="22"/>
                <w:szCs w:val="22"/>
              </w:rPr>
            </w:pPr>
            <w:r w:rsidRPr="00850858">
              <w:rPr>
                <w:rFonts w:ascii="Arial" w:hAnsi="Arial" w:cs="Arial"/>
                <w:b/>
                <w:color w:val="000000"/>
                <w:sz w:val="22"/>
                <w:szCs w:val="22"/>
              </w:rPr>
              <w:t>General disorders and administrative site conditions</w:t>
            </w:r>
          </w:p>
        </w:tc>
        <w:tc>
          <w:tcPr>
            <w:tcW w:w="1170" w:type="dxa"/>
          </w:tcPr>
          <w:p w:rsidR="002C4A14" w:rsidRPr="00850858" w:rsidRDefault="002C4A14" w:rsidP="00D03E32">
            <w:pPr>
              <w:keepNext/>
              <w:keepLines/>
              <w:spacing w:line="240" w:lineRule="atLeast"/>
              <w:jc w:val="center"/>
              <w:rPr>
                <w:rFonts w:ascii="Arial" w:hAnsi="Arial" w:cs="Arial"/>
                <w:color w:val="000000"/>
                <w:sz w:val="22"/>
                <w:szCs w:val="22"/>
              </w:rPr>
            </w:pPr>
          </w:p>
        </w:tc>
        <w:tc>
          <w:tcPr>
            <w:tcW w:w="900" w:type="dxa"/>
          </w:tcPr>
          <w:p w:rsidR="002C4A14" w:rsidRPr="00850858" w:rsidRDefault="002C4A14" w:rsidP="00D03E32">
            <w:pPr>
              <w:keepNext/>
              <w:keepLines/>
              <w:spacing w:line="240" w:lineRule="atLeast"/>
              <w:jc w:val="center"/>
              <w:rPr>
                <w:rFonts w:ascii="Arial" w:hAnsi="Arial" w:cs="Arial"/>
                <w:color w:val="000000"/>
                <w:sz w:val="22"/>
                <w:szCs w:val="22"/>
              </w:rPr>
            </w:pPr>
          </w:p>
        </w:tc>
        <w:tc>
          <w:tcPr>
            <w:tcW w:w="900" w:type="dxa"/>
          </w:tcPr>
          <w:p w:rsidR="002C4A14" w:rsidRPr="00850858" w:rsidRDefault="002C4A14" w:rsidP="00D03E32">
            <w:pPr>
              <w:keepNext/>
              <w:keepLines/>
              <w:spacing w:line="240" w:lineRule="atLeast"/>
              <w:jc w:val="center"/>
              <w:rPr>
                <w:rFonts w:ascii="Arial" w:hAnsi="Arial" w:cs="Arial"/>
                <w:color w:val="000000"/>
                <w:sz w:val="22"/>
                <w:szCs w:val="22"/>
              </w:rPr>
            </w:pPr>
          </w:p>
        </w:tc>
        <w:tc>
          <w:tcPr>
            <w:tcW w:w="1080" w:type="dxa"/>
          </w:tcPr>
          <w:p w:rsidR="002C4A14" w:rsidRPr="00850858" w:rsidRDefault="002C4A14" w:rsidP="00D03E32">
            <w:pPr>
              <w:keepNext/>
              <w:keepLines/>
              <w:spacing w:line="240" w:lineRule="atLeast"/>
              <w:jc w:val="center"/>
              <w:rPr>
                <w:rFonts w:ascii="Arial" w:hAnsi="Arial" w:cs="Arial"/>
                <w:color w:val="000000"/>
                <w:sz w:val="22"/>
                <w:szCs w:val="22"/>
              </w:rPr>
            </w:pPr>
          </w:p>
        </w:tc>
        <w:tc>
          <w:tcPr>
            <w:tcW w:w="900" w:type="dxa"/>
          </w:tcPr>
          <w:p w:rsidR="002C4A14" w:rsidRPr="00850858" w:rsidRDefault="002C4A14" w:rsidP="00D03E32">
            <w:pPr>
              <w:keepNext/>
              <w:keepLines/>
              <w:spacing w:line="240" w:lineRule="atLeast"/>
              <w:jc w:val="center"/>
              <w:rPr>
                <w:rFonts w:ascii="Arial" w:hAnsi="Arial" w:cs="Arial"/>
                <w:color w:val="000000"/>
                <w:sz w:val="22"/>
                <w:szCs w:val="22"/>
              </w:rPr>
            </w:pPr>
          </w:p>
        </w:tc>
        <w:tc>
          <w:tcPr>
            <w:tcW w:w="900" w:type="dxa"/>
          </w:tcPr>
          <w:p w:rsidR="002C4A14" w:rsidRPr="00850858" w:rsidRDefault="002C4A14" w:rsidP="00D03E32">
            <w:pPr>
              <w:keepNext/>
              <w:keepLines/>
              <w:spacing w:line="240" w:lineRule="atLeast"/>
              <w:jc w:val="center"/>
              <w:rPr>
                <w:rFonts w:ascii="Arial" w:hAnsi="Arial" w:cs="Arial"/>
                <w:color w:val="000000"/>
                <w:sz w:val="22"/>
                <w:szCs w:val="22"/>
              </w:rPr>
            </w:pPr>
          </w:p>
        </w:tc>
      </w:tr>
      <w:tr w:rsidR="002C4A14" w:rsidRPr="00C77E73" w:rsidTr="00D03E32">
        <w:tc>
          <w:tcPr>
            <w:tcW w:w="3798" w:type="dxa"/>
          </w:tcPr>
          <w:p w:rsidR="002C4A14" w:rsidRPr="00850858" w:rsidRDefault="002C4A14" w:rsidP="00D03E32">
            <w:pPr>
              <w:keepNext/>
              <w:keepLines/>
              <w:tabs>
                <w:tab w:val="left" w:pos="240"/>
              </w:tabs>
              <w:rPr>
                <w:rFonts w:ascii="Arial" w:hAnsi="Arial" w:cs="Arial"/>
                <w:color w:val="000000"/>
                <w:sz w:val="22"/>
                <w:szCs w:val="22"/>
              </w:rPr>
            </w:pPr>
            <w:r w:rsidRPr="00850858">
              <w:rPr>
                <w:rFonts w:ascii="Arial" w:hAnsi="Arial" w:cs="Arial"/>
                <w:color w:val="000000"/>
                <w:sz w:val="22"/>
                <w:szCs w:val="22"/>
              </w:rPr>
              <w:tab/>
              <w:t>Fatigue</w:t>
            </w:r>
          </w:p>
        </w:tc>
        <w:tc>
          <w:tcPr>
            <w:tcW w:w="117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22</w:t>
            </w:r>
          </w:p>
        </w:tc>
        <w:tc>
          <w:tcPr>
            <w:tcW w:w="90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2</w:t>
            </w:r>
          </w:p>
        </w:tc>
        <w:tc>
          <w:tcPr>
            <w:tcW w:w="90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0</w:t>
            </w:r>
          </w:p>
        </w:tc>
        <w:tc>
          <w:tcPr>
            <w:tcW w:w="108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16</w:t>
            </w:r>
          </w:p>
        </w:tc>
        <w:tc>
          <w:tcPr>
            <w:tcW w:w="90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&lt;1</w:t>
            </w:r>
          </w:p>
        </w:tc>
        <w:tc>
          <w:tcPr>
            <w:tcW w:w="90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0</w:t>
            </w:r>
          </w:p>
        </w:tc>
      </w:tr>
      <w:tr w:rsidR="002C4A14" w:rsidRPr="00C77E73" w:rsidTr="00D03E32">
        <w:tc>
          <w:tcPr>
            <w:tcW w:w="3798" w:type="dxa"/>
          </w:tcPr>
          <w:p w:rsidR="002C4A14" w:rsidRPr="00850858" w:rsidRDefault="002C4A14" w:rsidP="00D03E32">
            <w:pPr>
              <w:keepNext/>
              <w:keepLines/>
              <w:tabs>
                <w:tab w:val="left" w:pos="240"/>
              </w:tabs>
              <w:spacing w:line="240" w:lineRule="atLeast"/>
              <w:rPr>
                <w:rFonts w:ascii="Arial" w:hAnsi="Arial" w:cs="Arial"/>
                <w:b/>
                <w:bCs/>
                <w:color w:val="000000"/>
                <w:sz w:val="22"/>
                <w:szCs w:val="22"/>
              </w:rPr>
            </w:pPr>
            <w:r w:rsidRPr="00850858">
              <w:rPr>
                <w:rFonts w:ascii="Arial" w:hAnsi="Arial" w:cs="Arial"/>
                <w:b/>
                <w:bCs/>
                <w:color w:val="000000"/>
                <w:sz w:val="22"/>
                <w:szCs w:val="22"/>
              </w:rPr>
              <w:t>Investigations</w:t>
            </w:r>
          </w:p>
        </w:tc>
        <w:tc>
          <w:tcPr>
            <w:tcW w:w="1170" w:type="dxa"/>
          </w:tcPr>
          <w:p w:rsidR="002C4A14" w:rsidRPr="00850858" w:rsidRDefault="002C4A14" w:rsidP="00D03E32">
            <w:pPr>
              <w:keepNext/>
              <w:keepLines/>
              <w:spacing w:line="240" w:lineRule="atLeast"/>
              <w:jc w:val="center"/>
              <w:rPr>
                <w:rFonts w:ascii="Arial" w:hAnsi="Arial" w:cs="Arial"/>
                <w:color w:val="000000"/>
                <w:sz w:val="22"/>
                <w:szCs w:val="22"/>
              </w:rPr>
            </w:pPr>
          </w:p>
        </w:tc>
        <w:tc>
          <w:tcPr>
            <w:tcW w:w="900" w:type="dxa"/>
          </w:tcPr>
          <w:p w:rsidR="002C4A14" w:rsidRPr="00850858" w:rsidRDefault="002C4A14" w:rsidP="00D03E32">
            <w:pPr>
              <w:keepNext/>
              <w:keepLines/>
              <w:spacing w:line="240" w:lineRule="atLeast"/>
              <w:jc w:val="center"/>
              <w:rPr>
                <w:rFonts w:ascii="Arial" w:hAnsi="Arial" w:cs="Arial"/>
                <w:color w:val="000000"/>
                <w:sz w:val="22"/>
                <w:szCs w:val="22"/>
              </w:rPr>
            </w:pPr>
          </w:p>
        </w:tc>
        <w:tc>
          <w:tcPr>
            <w:tcW w:w="900" w:type="dxa"/>
          </w:tcPr>
          <w:p w:rsidR="002C4A14" w:rsidRPr="00850858" w:rsidRDefault="002C4A14" w:rsidP="00D03E32">
            <w:pPr>
              <w:keepNext/>
              <w:keepLines/>
              <w:spacing w:line="240" w:lineRule="atLeast"/>
              <w:jc w:val="center"/>
              <w:rPr>
                <w:rFonts w:ascii="Arial" w:hAnsi="Arial" w:cs="Arial"/>
                <w:color w:val="000000"/>
                <w:sz w:val="22"/>
                <w:szCs w:val="22"/>
              </w:rPr>
            </w:pPr>
          </w:p>
        </w:tc>
        <w:tc>
          <w:tcPr>
            <w:tcW w:w="1080" w:type="dxa"/>
          </w:tcPr>
          <w:p w:rsidR="002C4A14" w:rsidRPr="00850858" w:rsidRDefault="002C4A14" w:rsidP="00D03E32">
            <w:pPr>
              <w:keepNext/>
              <w:keepLines/>
              <w:spacing w:line="240" w:lineRule="atLeast"/>
              <w:jc w:val="center"/>
              <w:rPr>
                <w:rFonts w:ascii="Arial" w:hAnsi="Arial" w:cs="Arial"/>
                <w:color w:val="000000"/>
                <w:sz w:val="22"/>
                <w:szCs w:val="22"/>
              </w:rPr>
            </w:pPr>
          </w:p>
        </w:tc>
        <w:tc>
          <w:tcPr>
            <w:tcW w:w="900" w:type="dxa"/>
          </w:tcPr>
          <w:p w:rsidR="002C4A14" w:rsidRPr="00850858" w:rsidRDefault="002C4A14" w:rsidP="00D03E32">
            <w:pPr>
              <w:keepNext/>
              <w:keepLines/>
              <w:spacing w:line="240" w:lineRule="atLeast"/>
              <w:jc w:val="center"/>
              <w:rPr>
                <w:rFonts w:ascii="Arial" w:hAnsi="Arial" w:cs="Arial"/>
                <w:color w:val="000000"/>
                <w:sz w:val="22"/>
                <w:szCs w:val="22"/>
              </w:rPr>
            </w:pPr>
          </w:p>
        </w:tc>
        <w:tc>
          <w:tcPr>
            <w:tcW w:w="900" w:type="dxa"/>
          </w:tcPr>
          <w:p w:rsidR="002C4A14" w:rsidRPr="00850858" w:rsidRDefault="002C4A14" w:rsidP="00D03E32">
            <w:pPr>
              <w:keepNext/>
              <w:keepLines/>
              <w:spacing w:line="240" w:lineRule="atLeast"/>
              <w:jc w:val="center"/>
              <w:rPr>
                <w:rFonts w:ascii="Arial" w:hAnsi="Arial" w:cs="Arial"/>
                <w:color w:val="000000"/>
                <w:sz w:val="22"/>
                <w:szCs w:val="22"/>
              </w:rPr>
            </w:pPr>
          </w:p>
        </w:tc>
      </w:tr>
      <w:tr w:rsidR="002C4A14" w:rsidRPr="00C77E73" w:rsidTr="00D03E32">
        <w:tc>
          <w:tcPr>
            <w:tcW w:w="3798" w:type="dxa"/>
          </w:tcPr>
          <w:p w:rsidR="002C4A14" w:rsidRPr="00850858" w:rsidRDefault="002C4A14" w:rsidP="00D03E32">
            <w:pPr>
              <w:keepNext/>
              <w:keepLines/>
              <w:tabs>
                <w:tab w:val="left" w:pos="240"/>
              </w:tabs>
              <w:rPr>
                <w:rFonts w:ascii="Arial" w:hAnsi="Arial" w:cs="Arial"/>
                <w:color w:val="000000"/>
                <w:sz w:val="22"/>
                <w:szCs w:val="22"/>
              </w:rPr>
            </w:pPr>
            <w:r w:rsidRPr="00850858">
              <w:rPr>
                <w:rFonts w:ascii="Arial" w:hAnsi="Arial" w:cs="Arial"/>
                <w:color w:val="000000"/>
                <w:sz w:val="22"/>
                <w:szCs w:val="22"/>
              </w:rPr>
              <w:tab/>
              <w:t>ALT increased</w:t>
            </w:r>
          </w:p>
        </w:tc>
        <w:tc>
          <w:tcPr>
            <w:tcW w:w="117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11</w:t>
            </w:r>
          </w:p>
        </w:tc>
        <w:tc>
          <w:tcPr>
            <w:tcW w:w="90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2</w:t>
            </w:r>
          </w:p>
        </w:tc>
        <w:tc>
          <w:tcPr>
            <w:tcW w:w="90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0</w:t>
            </w:r>
          </w:p>
        </w:tc>
        <w:tc>
          <w:tcPr>
            <w:tcW w:w="108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8</w:t>
            </w:r>
          </w:p>
        </w:tc>
        <w:tc>
          <w:tcPr>
            <w:tcW w:w="90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&lt;1</w:t>
            </w:r>
          </w:p>
        </w:tc>
        <w:tc>
          <w:tcPr>
            <w:tcW w:w="90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0</w:t>
            </w:r>
          </w:p>
        </w:tc>
      </w:tr>
      <w:tr w:rsidR="002C4A14" w:rsidRPr="00C77E73" w:rsidTr="00D03E32">
        <w:tc>
          <w:tcPr>
            <w:tcW w:w="3798" w:type="dxa"/>
          </w:tcPr>
          <w:p w:rsidR="002C4A14" w:rsidRPr="00850858" w:rsidRDefault="002C4A14" w:rsidP="00D03E32">
            <w:pPr>
              <w:keepNext/>
              <w:keepLines/>
              <w:tabs>
                <w:tab w:val="left" w:pos="240"/>
              </w:tabs>
              <w:rPr>
                <w:rFonts w:ascii="Arial" w:hAnsi="Arial" w:cs="Arial"/>
                <w:color w:val="000000"/>
                <w:sz w:val="22"/>
                <w:szCs w:val="22"/>
              </w:rPr>
            </w:pPr>
            <w:r w:rsidRPr="00850858">
              <w:rPr>
                <w:rFonts w:ascii="Arial" w:hAnsi="Arial" w:cs="Arial"/>
                <w:color w:val="000000"/>
                <w:sz w:val="22"/>
                <w:szCs w:val="22"/>
              </w:rPr>
              <w:tab/>
              <w:t>H</w:t>
            </w:r>
            <w:r w:rsidR="00885773">
              <w:rPr>
                <w:rFonts w:ascii="Arial" w:hAnsi="Arial" w:cs="Arial"/>
                <w:color w:val="000000"/>
                <w:sz w:val="22"/>
                <w:szCs w:val="22"/>
              </w:rPr>
              <w:t>a</w:t>
            </w:r>
            <w:r w:rsidRPr="00850858">
              <w:rPr>
                <w:rFonts w:ascii="Arial" w:hAnsi="Arial" w:cs="Arial"/>
                <w:color w:val="000000"/>
                <w:sz w:val="22"/>
                <w:szCs w:val="22"/>
              </w:rPr>
              <w:t>emoglobin decreased</w:t>
            </w:r>
          </w:p>
        </w:tc>
        <w:tc>
          <w:tcPr>
            <w:tcW w:w="117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10</w:t>
            </w:r>
          </w:p>
        </w:tc>
        <w:tc>
          <w:tcPr>
            <w:tcW w:w="90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3</w:t>
            </w:r>
          </w:p>
        </w:tc>
        <w:tc>
          <w:tcPr>
            <w:tcW w:w="90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0</w:t>
            </w:r>
          </w:p>
        </w:tc>
        <w:tc>
          <w:tcPr>
            <w:tcW w:w="108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2</w:t>
            </w:r>
          </w:p>
        </w:tc>
        <w:tc>
          <w:tcPr>
            <w:tcW w:w="90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&lt;1</w:t>
            </w:r>
          </w:p>
        </w:tc>
        <w:tc>
          <w:tcPr>
            <w:tcW w:w="90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0</w:t>
            </w:r>
          </w:p>
        </w:tc>
      </w:tr>
      <w:tr w:rsidR="002C4A14" w:rsidRPr="00C77E73" w:rsidTr="00D03E32">
        <w:tc>
          <w:tcPr>
            <w:tcW w:w="3798" w:type="dxa"/>
          </w:tcPr>
          <w:p w:rsidR="002C4A14" w:rsidRPr="00850858" w:rsidRDefault="002C4A14" w:rsidP="00D03E32">
            <w:pPr>
              <w:keepNext/>
              <w:keepLines/>
              <w:tabs>
                <w:tab w:val="left" w:pos="240"/>
              </w:tabs>
              <w:spacing w:line="240" w:lineRule="atLeast"/>
              <w:rPr>
                <w:rFonts w:ascii="Arial" w:hAnsi="Arial" w:cs="Arial"/>
                <w:color w:val="000000"/>
                <w:sz w:val="22"/>
                <w:szCs w:val="22"/>
              </w:rPr>
            </w:pPr>
            <w:r w:rsidRPr="00850858">
              <w:rPr>
                <w:rFonts w:ascii="Arial" w:hAnsi="Arial" w:cs="Arial"/>
                <w:b/>
                <w:color w:val="000000"/>
                <w:sz w:val="22"/>
                <w:szCs w:val="22"/>
              </w:rPr>
              <w:t>Metabolism and nutrition disorders</w:t>
            </w:r>
          </w:p>
        </w:tc>
        <w:tc>
          <w:tcPr>
            <w:tcW w:w="1170" w:type="dxa"/>
          </w:tcPr>
          <w:p w:rsidR="002C4A14" w:rsidRPr="00850858" w:rsidRDefault="002C4A14" w:rsidP="00D03E32">
            <w:pPr>
              <w:keepNext/>
              <w:keepLines/>
              <w:spacing w:line="240" w:lineRule="atLeast"/>
              <w:jc w:val="center"/>
              <w:rPr>
                <w:rFonts w:ascii="Arial" w:hAnsi="Arial" w:cs="Arial"/>
                <w:color w:val="000000"/>
                <w:sz w:val="22"/>
                <w:szCs w:val="22"/>
              </w:rPr>
            </w:pPr>
          </w:p>
        </w:tc>
        <w:tc>
          <w:tcPr>
            <w:tcW w:w="900" w:type="dxa"/>
          </w:tcPr>
          <w:p w:rsidR="002C4A14" w:rsidRPr="00850858" w:rsidRDefault="002C4A14" w:rsidP="00D03E32">
            <w:pPr>
              <w:keepNext/>
              <w:keepLines/>
              <w:spacing w:line="240" w:lineRule="atLeast"/>
              <w:jc w:val="center"/>
              <w:rPr>
                <w:rFonts w:ascii="Arial" w:hAnsi="Arial" w:cs="Arial"/>
                <w:color w:val="000000"/>
                <w:sz w:val="22"/>
                <w:szCs w:val="22"/>
              </w:rPr>
            </w:pPr>
          </w:p>
        </w:tc>
        <w:tc>
          <w:tcPr>
            <w:tcW w:w="900" w:type="dxa"/>
          </w:tcPr>
          <w:p w:rsidR="002C4A14" w:rsidRPr="00850858" w:rsidRDefault="002C4A14" w:rsidP="00D03E32">
            <w:pPr>
              <w:keepNext/>
              <w:keepLines/>
              <w:spacing w:line="240" w:lineRule="atLeast"/>
              <w:jc w:val="center"/>
              <w:rPr>
                <w:rFonts w:ascii="Arial" w:hAnsi="Arial" w:cs="Arial"/>
                <w:color w:val="000000"/>
                <w:sz w:val="22"/>
                <w:szCs w:val="22"/>
              </w:rPr>
            </w:pPr>
          </w:p>
        </w:tc>
        <w:tc>
          <w:tcPr>
            <w:tcW w:w="1080" w:type="dxa"/>
          </w:tcPr>
          <w:p w:rsidR="002C4A14" w:rsidRPr="00850858" w:rsidRDefault="002C4A14" w:rsidP="00D03E32">
            <w:pPr>
              <w:keepNext/>
              <w:keepLines/>
              <w:spacing w:line="240" w:lineRule="atLeast"/>
              <w:jc w:val="center"/>
              <w:rPr>
                <w:rFonts w:ascii="Arial" w:hAnsi="Arial" w:cs="Arial"/>
                <w:color w:val="000000"/>
                <w:sz w:val="22"/>
                <w:szCs w:val="22"/>
              </w:rPr>
            </w:pPr>
          </w:p>
        </w:tc>
        <w:tc>
          <w:tcPr>
            <w:tcW w:w="900" w:type="dxa"/>
          </w:tcPr>
          <w:p w:rsidR="002C4A14" w:rsidRPr="00850858" w:rsidRDefault="002C4A14" w:rsidP="00D03E32">
            <w:pPr>
              <w:keepNext/>
              <w:keepLines/>
              <w:spacing w:line="240" w:lineRule="atLeast"/>
              <w:jc w:val="center"/>
              <w:rPr>
                <w:rFonts w:ascii="Arial" w:hAnsi="Arial" w:cs="Arial"/>
                <w:color w:val="000000"/>
                <w:sz w:val="22"/>
                <w:szCs w:val="22"/>
              </w:rPr>
            </w:pPr>
          </w:p>
        </w:tc>
        <w:tc>
          <w:tcPr>
            <w:tcW w:w="900" w:type="dxa"/>
          </w:tcPr>
          <w:p w:rsidR="002C4A14" w:rsidRPr="00850858" w:rsidRDefault="002C4A14" w:rsidP="00D03E32">
            <w:pPr>
              <w:keepNext/>
              <w:keepLines/>
              <w:spacing w:line="240" w:lineRule="atLeast"/>
              <w:jc w:val="center"/>
              <w:rPr>
                <w:rFonts w:ascii="Arial" w:hAnsi="Arial" w:cs="Arial"/>
                <w:color w:val="000000"/>
                <w:sz w:val="22"/>
                <w:szCs w:val="22"/>
              </w:rPr>
            </w:pPr>
          </w:p>
        </w:tc>
      </w:tr>
      <w:tr w:rsidR="002C4A14" w:rsidRPr="00C77E73" w:rsidTr="00D03E32">
        <w:tc>
          <w:tcPr>
            <w:tcW w:w="3798" w:type="dxa"/>
          </w:tcPr>
          <w:p w:rsidR="002C4A14" w:rsidRPr="00850858" w:rsidRDefault="002C4A14" w:rsidP="00D03E32">
            <w:pPr>
              <w:keepNext/>
              <w:keepLines/>
              <w:tabs>
                <w:tab w:val="left" w:pos="240"/>
              </w:tabs>
              <w:rPr>
                <w:rFonts w:ascii="Arial" w:hAnsi="Arial" w:cs="Arial"/>
                <w:color w:val="000000"/>
                <w:sz w:val="22"/>
                <w:szCs w:val="22"/>
              </w:rPr>
            </w:pPr>
            <w:r w:rsidRPr="00850858">
              <w:rPr>
                <w:rFonts w:ascii="Arial" w:hAnsi="Arial" w:cs="Arial"/>
                <w:color w:val="000000"/>
                <w:sz w:val="22"/>
                <w:szCs w:val="22"/>
              </w:rPr>
              <w:tab/>
              <w:t>Decreased appetite</w:t>
            </w:r>
          </w:p>
        </w:tc>
        <w:tc>
          <w:tcPr>
            <w:tcW w:w="117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32</w:t>
            </w:r>
          </w:p>
        </w:tc>
        <w:tc>
          <w:tcPr>
            <w:tcW w:w="90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&lt;1</w:t>
            </w:r>
          </w:p>
        </w:tc>
        <w:tc>
          <w:tcPr>
            <w:tcW w:w="90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0</w:t>
            </w:r>
          </w:p>
        </w:tc>
        <w:tc>
          <w:tcPr>
            <w:tcW w:w="108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19</w:t>
            </w:r>
          </w:p>
        </w:tc>
        <w:tc>
          <w:tcPr>
            <w:tcW w:w="90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0</w:t>
            </w:r>
          </w:p>
        </w:tc>
        <w:tc>
          <w:tcPr>
            <w:tcW w:w="90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0</w:t>
            </w:r>
          </w:p>
        </w:tc>
      </w:tr>
      <w:tr w:rsidR="002C4A14" w:rsidRPr="00C77E73" w:rsidTr="00D03E32">
        <w:tc>
          <w:tcPr>
            <w:tcW w:w="3798" w:type="dxa"/>
          </w:tcPr>
          <w:p w:rsidR="002C4A14" w:rsidRPr="00850858" w:rsidRDefault="002C4A14" w:rsidP="00D03E32">
            <w:pPr>
              <w:keepNext/>
              <w:keepLines/>
              <w:tabs>
                <w:tab w:val="left" w:pos="240"/>
              </w:tabs>
              <w:rPr>
                <w:rFonts w:ascii="Arial" w:hAnsi="Arial" w:cs="Arial"/>
                <w:color w:val="000000"/>
                <w:sz w:val="22"/>
                <w:szCs w:val="22"/>
              </w:rPr>
            </w:pPr>
            <w:r w:rsidRPr="00850858">
              <w:rPr>
                <w:rFonts w:ascii="Arial" w:hAnsi="Arial" w:cs="Arial"/>
                <w:b/>
                <w:bCs/>
                <w:color w:val="000000"/>
                <w:sz w:val="22"/>
                <w:szCs w:val="22"/>
              </w:rPr>
              <w:t>Musculoskeletal and connective tissue disorders</w:t>
            </w:r>
          </w:p>
        </w:tc>
        <w:tc>
          <w:tcPr>
            <w:tcW w:w="1170" w:type="dxa"/>
          </w:tcPr>
          <w:p w:rsidR="002C4A14" w:rsidRPr="00850858" w:rsidRDefault="002C4A14" w:rsidP="00D03E32">
            <w:pPr>
              <w:keepNext/>
              <w:keepLines/>
              <w:jc w:val="center"/>
              <w:rPr>
                <w:rFonts w:ascii="Arial" w:hAnsi="Arial" w:cs="Arial"/>
                <w:color w:val="000000"/>
                <w:sz w:val="22"/>
                <w:szCs w:val="22"/>
              </w:rPr>
            </w:pPr>
          </w:p>
        </w:tc>
        <w:tc>
          <w:tcPr>
            <w:tcW w:w="900" w:type="dxa"/>
          </w:tcPr>
          <w:p w:rsidR="002C4A14" w:rsidRPr="00850858" w:rsidRDefault="002C4A14" w:rsidP="00D03E32">
            <w:pPr>
              <w:keepNext/>
              <w:keepLines/>
              <w:jc w:val="center"/>
              <w:rPr>
                <w:rFonts w:ascii="Arial" w:hAnsi="Arial" w:cs="Arial"/>
                <w:color w:val="000000"/>
                <w:sz w:val="22"/>
                <w:szCs w:val="22"/>
              </w:rPr>
            </w:pPr>
          </w:p>
        </w:tc>
        <w:tc>
          <w:tcPr>
            <w:tcW w:w="900" w:type="dxa"/>
          </w:tcPr>
          <w:p w:rsidR="002C4A14" w:rsidRPr="00850858" w:rsidRDefault="002C4A14" w:rsidP="00D03E32">
            <w:pPr>
              <w:keepNext/>
              <w:keepLines/>
              <w:jc w:val="center"/>
              <w:rPr>
                <w:rFonts w:ascii="Arial" w:hAnsi="Arial" w:cs="Arial"/>
                <w:color w:val="000000"/>
                <w:sz w:val="22"/>
                <w:szCs w:val="22"/>
              </w:rPr>
            </w:pPr>
          </w:p>
        </w:tc>
        <w:tc>
          <w:tcPr>
            <w:tcW w:w="1080" w:type="dxa"/>
          </w:tcPr>
          <w:p w:rsidR="002C4A14" w:rsidRPr="00850858" w:rsidRDefault="002C4A14" w:rsidP="00D03E32">
            <w:pPr>
              <w:keepNext/>
              <w:keepLines/>
              <w:jc w:val="center"/>
              <w:rPr>
                <w:rFonts w:ascii="Arial" w:hAnsi="Arial" w:cs="Arial"/>
                <w:color w:val="000000"/>
                <w:sz w:val="22"/>
                <w:szCs w:val="22"/>
              </w:rPr>
            </w:pPr>
          </w:p>
        </w:tc>
        <w:tc>
          <w:tcPr>
            <w:tcW w:w="900" w:type="dxa"/>
          </w:tcPr>
          <w:p w:rsidR="002C4A14" w:rsidRPr="00850858" w:rsidRDefault="002C4A14" w:rsidP="00D03E32">
            <w:pPr>
              <w:keepNext/>
              <w:keepLines/>
              <w:jc w:val="center"/>
              <w:rPr>
                <w:rFonts w:ascii="Arial" w:hAnsi="Arial" w:cs="Arial"/>
                <w:color w:val="000000"/>
                <w:sz w:val="22"/>
                <w:szCs w:val="22"/>
              </w:rPr>
            </w:pPr>
          </w:p>
        </w:tc>
        <w:tc>
          <w:tcPr>
            <w:tcW w:w="900" w:type="dxa"/>
          </w:tcPr>
          <w:p w:rsidR="002C4A14" w:rsidRPr="00850858" w:rsidRDefault="002C4A14" w:rsidP="00D03E32">
            <w:pPr>
              <w:keepNext/>
              <w:keepLines/>
              <w:jc w:val="center"/>
              <w:rPr>
                <w:rFonts w:ascii="Arial" w:hAnsi="Arial" w:cs="Arial"/>
                <w:color w:val="000000"/>
                <w:sz w:val="22"/>
                <w:szCs w:val="22"/>
              </w:rPr>
            </w:pPr>
          </w:p>
        </w:tc>
      </w:tr>
      <w:tr w:rsidR="002C4A14" w:rsidRPr="00C77E73" w:rsidTr="00D03E32">
        <w:tc>
          <w:tcPr>
            <w:tcW w:w="3798" w:type="dxa"/>
          </w:tcPr>
          <w:p w:rsidR="002C4A14" w:rsidRPr="00850858" w:rsidRDefault="002C4A14" w:rsidP="00D03E32">
            <w:pPr>
              <w:keepNext/>
              <w:keepLines/>
              <w:tabs>
                <w:tab w:val="left" w:pos="240"/>
              </w:tabs>
              <w:rPr>
                <w:rFonts w:ascii="Arial" w:hAnsi="Arial" w:cs="Arial"/>
                <w:color w:val="000000"/>
                <w:sz w:val="22"/>
                <w:szCs w:val="22"/>
              </w:rPr>
            </w:pPr>
            <w:r w:rsidRPr="00850858">
              <w:rPr>
                <w:rFonts w:ascii="Arial" w:hAnsi="Arial" w:cs="Arial"/>
                <w:color w:val="000000"/>
                <w:sz w:val="22"/>
                <w:szCs w:val="22"/>
              </w:rPr>
              <w:tab/>
              <w:t>Myalgia</w:t>
            </w:r>
          </w:p>
        </w:tc>
        <w:tc>
          <w:tcPr>
            <w:tcW w:w="117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14</w:t>
            </w:r>
          </w:p>
        </w:tc>
        <w:tc>
          <w:tcPr>
            <w:tcW w:w="90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&lt;1</w:t>
            </w:r>
          </w:p>
        </w:tc>
        <w:tc>
          <w:tcPr>
            <w:tcW w:w="90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0</w:t>
            </w:r>
          </w:p>
        </w:tc>
        <w:tc>
          <w:tcPr>
            <w:tcW w:w="108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10</w:t>
            </w:r>
          </w:p>
        </w:tc>
        <w:tc>
          <w:tcPr>
            <w:tcW w:w="90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0</w:t>
            </w:r>
          </w:p>
        </w:tc>
        <w:tc>
          <w:tcPr>
            <w:tcW w:w="90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0</w:t>
            </w:r>
          </w:p>
        </w:tc>
      </w:tr>
      <w:tr w:rsidR="002C4A14" w:rsidRPr="00C77E73" w:rsidTr="00D03E32">
        <w:tc>
          <w:tcPr>
            <w:tcW w:w="3798" w:type="dxa"/>
          </w:tcPr>
          <w:p w:rsidR="002C4A14" w:rsidRPr="00850858" w:rsidRDefault="002C4A14" w:rsidP="00D03E32">
            <w:pPr>
              <w:keepNext/>
              <w:keepLines/>
              <w:tabs>
                <w:tab w:val="left" w:pos="240"/>
              </w:tabs>
              <w:spacing w:line="240" w:lineRule="atLeast"/>
              <w:rPr>
                <w:rFonts w:ascii="Arial" w:hAnsi="Arial" w:cs="Arial"/>
                <w:b/>
                <w:bCs/>
                <w:color w:val="000000"/>
                <w:sz w:val="22"/>
                <w:szCs w:val="22"/>
              </w:rPr>
            </w:pPr>
            <w:r w:rsidRPr="00850858">
              <w:rPr>
                <w:rFonts w:ascii="Arial" w:hAnsi="Arial" w:cs="Arial"/>
                <w:b/>
                <w:color w:val="000000"/>
                <w:sz w:val="22"/>
                <w:szCs w:val="22"/>
              </w:rPr>
              <w:t>Respiratory, thoracic, and mediastinal disorders</w:t>
            </w:r>
          </w:p>
        </w:tc>
        <w:tc>
          <w:tcPr>
            <w:tcW w:w="1170" w:type="dxa"/>
          </w:tcPr>
          <w:p w:rsidR="002C4A14" w:rsidRPr="00850858" w:rsidRDefault="002C4A14" w:rsidP="00D03E32">
            <w:pPr>
              <w:keepNext/>
              <w:keepLines/>
              <w:spacing w:line="240" w:lineRule="atLeast"/>
              <w:jc w:val="center"/>
              <w:rPr>
                <w:rFonts w:ascii="Arial" w:hAnsi="Arial" w:cs="Arial"/>
                <w:color w:val="000000"/>
                <w:sz w:val="22"/>
                <w:szCs w:val="22"/>
              </w:rPr>
            </w:pPr>
          </w:p>
        </w:tc>
        <w:tc>
          <w:tcPr>
            <w:tcW w:w="900" w:type="dxa"/>
          </w:tcPr>
          <w:p w:rsidR="002C4A14" w:rsidRPr="00850858" w:rsidRDefault="002C4A14" w:rsidP="00D03E32">
            <w:pPr>
              <w:keepNext/>
              <w:keepLines/>
              <w:spacing w:line="240" w:lineRule="atLeast"/>
              <w:jc w:val="center"/>
              <w:rPr>
                <w:rFonts w:ascii="Arial" w:hAnsi="Arial" w:cs="Arial"/>
                <w:color w:val="000000"/>
                <w:sz w:val="22"/>
                <w:szCs w:val="22"/>
              </w:rPr>
            </w:pPr>
          </w:p>
        </w:tc>
        <w:tc>
          <w:tcPr>
            <w:tcW w:w="900" w:type="dxa"/>
          </w:tcPr>
          <w:p w:rsidR="002C4A14" w:rsidRPr="00850858" w:rsidRDefault="002C4A14" w:rsidP="00D03E32">
            <w:pPr>
              <w:keepNext/>
              <w:keepLines/>
              <w:spacing w:line="240" w:lineRule="atLeast"/>
              <w:jc w:val="center"/>
              <w:rPr>
                <w:rFonts w:ascii="Arial" w:hAnsi="Arial" w:cs="Arial"/>
                <w:color w:val="000000"/>
                <w:sz w:val="22"/>
                <w:szCs w:val="22"/>
              </w:rPr>
            </w:pPr>
          </w:p>
        </w:tc>
        <w:tc>
          <w:tcPr>
            <w:tcW w:w="1080" w:type="dxa"/>
          </w:tcPr>
          <w:p w:rsidR="002C4A14" w:rsidRPr="00850858" w:rsidRDefault="002C4A14" w:rsidP="00D03E32">
            <w:pPr>
              <w:keepNext/>
              <w:keepLines/>
              <w:spacing w:line="240" w:lineRule="atLeast"/>
              <w:jc w:val="center"/>
              <w:rPr>
                <w:rFonts w:ascii="Arial" w:hAnsi="Arial" w:cs="Arial"/>
                <w:color w:val="000000"/>
                <w:sz w:val="22"/>
                <w:szCs w:val="22"/>
              </w:rPr>
            </w:pPr>
          </w:p>
        </w:tc>
        <w:tc>
          <w:tcPr>
            <w:tcW w:w="900" w:type="dxa"/>
          </w:tcPr>
          <w:p w:rsidR="002C4A14" w:rsidRPr="00850858" w:rsidRDefault="002C4A14" w:rsidP="00D03E32">
            <w:pPr>
              <w:keepNext/>
              <w:keepLines/>
              <w:spacing w:line="240" w:lineRule="atLeast"/>
              <w:jc w:val="center"/>
              <w:rPr>
                <w:rFonts w:ascii="Arial" w:hAnsi="Arial" w:cs="Arial"/>
                <w:color w:val="000000"/>
                <w:sz w:val="22"/>
                <w:szCs w:val="22"/>
              </w:rPr>
            </w:pPr>
          </w:p>
        </w:tc>
        <w:tc>
          <w:tcPr>
            <w:tcW w:w="900" w:type="dxa"/>
          </w:tcPr>
          <w:p w:rsidR="002C4A14" w:rsidRPr="00850858" w:rsidRDefault="002C4A14" w:rsidP="00D03E32">
            <w:pPr>
              <w:keepNext/>
              <w:keepLines/>
              <w:spacing w:line="240" w:lineRule="atLeast"/>
              <w:jc w:val="center"/>
              <w:rPr>
                <w:rFonts w:ascii="Arial" w:hAnsi="Arial" w:cs="Arial"/>
                <w:color w:val="000000"/>
                <w:sz w:val="22"/>
                <w:szCs w:val="22"/>
              </w:rPr>
            </w:pPr>
          </w:p>
        </w:tc>
      </w:tr>
      <w:tr w:rsidR="002C4A14" w:rsidRPr="00C77E73" w:rsidTr="00D03E32">
        <w:tc>
          <w:tcPr>
            <w:tcW w:w="3798" w:type="dxa"/>
          </w:tcPr>
          <w:p w:rsidR="002C4A14" w:rsidRPr="00850858" w:rsidRDefault="002C4A14" w:rsidP="00D03E32">
            <w:pPr>
              <w:keepNext/>
              <w:keepLines/>
              <w:tabs>
                <w:tab w:val="left" w:pos="240"/>
              </w:tabs>
              <w:rPr>
                <w:rFonts w:ascii="Arial" w:hAnsi="Arial" w:cs="Arial"/>
                <w:color w:val="000000"/>
                <w:sz w:val="22"/>
                <w:szCs w:val="22"/>
              </w:rPr>
            </w:pPr>
            <w:r w:rsidRPr="00850858">
              <w:rPr>
                <w:rFonts w:ascii="Arial" w:hAnsi="Arial" w:cs="Arial"/>
                <w:color w:val="000000"/>
                <w:sz w:val="22"/>
                <w:szCs w:val="22"/>
              </w:rPr>
              <w:tab/>
              <w:t>Cough</w:t>
            </w:r>
          </w:p>
        </w:tc>
        <w:tc>
          <w:tcPr>
            <w:tcW w:w="117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10</w:t>
            </w:r>
          </w:p>
        </w:tc>
        <w:tc>
          <w:tcPr>
            <w:tcW w:w="900" w:type="dxa"/>
          </w:tcPr>
          <w:p w:rsidR="002C4A14" w:rsidRPr="00850858" w:rsidDel="003852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0</w:t>
            </w:r>
          </w:p>
        </w:tc>
        <w:tc>
          <w:tcPr>
            <w:tcW w:w="90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0</w:t>
            </w:r>
          </w:p>
        </w:tc>
        <w:tc>
          <w:tcPr>
            <w:tcW w:w="108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9</w:t>
            </w:r>
          </w:p>
        </w:tc>
        <w:tc>
          <w:tcPr>
            <w:tcW w:w="90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&lt;1</w:t>
            </w:r>
          </w:p>
        </w:tc>
        <w:tc>
          <w:tcPr>
            <w:tcW w:w="900" w:type="dxa"/>
          </w:tcPr>
          <w:p w:rsidR="002C4A14" w:rsidRPr="00850858" w:rsidRDefault="002C4A14" w:rsidP="00D03E32">
            <w:pPr>
              <w:keepNext/>
              <w:keepLines/>
              <w:jc w:val="center"/>
              <w:rPr>
                <w:rFonts w:ascii="Arial" w:hAnsi="Arial" w:cs="Arial"/>
                <w:color w:val="000000"/>
                <w:sz w:val="22"/>
                <w:szCs w:val="22"/>
              </w:rPr>
            </w:pPr>
            <w:r w:rsidRPr="00850858">
              <w:rPr>
                <w:rFonts w:ascii="Arial" w:hAnsi="Arial" w:cs="Arial"/>
                <w:color w:val="000000"/>
                <w:sz w:val="22"/>
                <w:szCs w:val="22"/>
              </w:rPr>
              <w:t>0</w:t>
            </w:r>
          </w:p>
        </w:tc>
      </w:tr>
    </w:tbl>
    <w:p w:rsidR="002C4A14" w:rsidRDefault="002C4A14" w:rsidP="007763C8">
      <w:pPr>
        <w:jc w:val="both"/>
        <w:rPr>
          <w:rFonts w:ascii="Arial" w:hAnsi="Arial" w:cs="Arial"/>
          <w:sz w:val="22"/>
          <w:szCs w:val="22"/>
        </w:rPr>
      </w:pPr>
    </w:p>
    <w:p w:rsidR="00CE20CF" w:rsidRDefault="00CE20CF">
      <w:pPr>
        <w:spacing w:line="240" w:lineRule="auto"/>
        <w:rPr>
          <w:rFonts w:ascii="Arial" w:hAnsi="Arial" w:cs="Arial"/>
          <w:sz w:val="22"/>
          <w:szCs w:val="22"/>
        </w:rPr>
      </w:pPr>
      <w:r>
        <w:rPr>
          <w:rFonts w:ascii="Arial" w:hAnsi="Arial" w:cs="Arial"/>
          <w:sz w:val="22"/>
          <w:szCs w:val="22"/>
        </w:rPr>
        <w:br w:type="page"/>
      </w:r>
    </w:p>
    <w:p w:rsidR="000A32B2" w:rsidRPr="000B3F7D" w:rsidRDefault="000A32B2" w:rsidP="007763C8">
      <w:pPr>
        <w:jc w:val="both"/>
        <w:rPr>
          <w:rFonts w:ascii="Arial" w:hAnsi="Arial" w:cs="Arial"/>
          <w:sz w:val="22"/>
          <w:szCs w:val="22"/>
        </w:rPr>
      </w:pPr>
    </w:p>
    <w:p w:rsidR="00AC25F8" w:rsidRPr="000B3F7D" w:rsidRDefault="00AC25F8" w:rsidP="007763C8">
      <w:pPr>
        <w:rPr>
          <w:rFonts w:ascii="Arial" w:hAnsi="Arial" w:cs="Arial"/>
          <w:b/>
          <w:bCs/>
          <w:i/>
          <w:iCs/>
          <w:sz w:val="22"/>
          <w:szCs w:val="22"/>
        </w:rPr>
      </w:pPr>
      <w:r w:rsidRPr="000B3F7D">
        <w:rPr>
          <w:rFonts w:ascii="Arial" w:hAnsi="Arial" w:cs="Arial"/>
          <w:b/>
          <w:i/>
          <w:sz w:val="22"/>
          <w:szCs w:val="22"/>
        </w:rPr>
        <w:t>TYKERB</w:t>
      </w:r>
      <w:r w:rsidRPr="000B3F7D">
        <w:rPr>
          <w:rFonts w:ascii="Arial" w:hAnsi="Arial" w:cs="Arial"/>
          <w:b/>
          <w:bCs/>
          <w:i/>
          <w:iCs/>
          <w:sz w:val="22"/>
          <w:szCs w:val="22"/>
        </w:rPr>
        <w:t xml:space="preserve"> in combination with letrozole</w:t>
      </w:r>
    </w:p>
    <w:p w:rsidR="00AC25F8" w:rsidRPr="000B3F7D" w:rsidRDefault="003946BA" w:rsidP="00AC25F8">
      <w:pPr>
        <w:jc w:val="both"/>
        <w:rPr>
          <w:rFonts w:ascii="Arial" w:hAnsi="Arial" w:cs="Arial"/>
          <w:bCs/>
          <w:iCs/>
          <w:sz w:val="22"/>
          <w:szCs w:val="22"/>
        </w:rPr>
      </w:pPr>
      <w:r>
        <w:rPr>
          <w:rFonts w:ascii="Arial" w:hAnsi="Arial" w:cs="Arial"/>
          <w:sz w:val="22"/>
          <w:szCs w:val="22"/>
        </w:rPr>
        <w:t>In addition to the adverse reactions observed with TYKERB monotherapy, t</w:t>
      </w:r>
      <w:r w:rsidR="00AC25F8" w:rsidRPr="000B3F7D">
        <w:rPr>
          <w:rFonts w:ascii="Arial" w:hAnsi="Arial" w:cs="Arial"/>
          <w:bCs/>
          <w:iCs/>
          <w:sz w:val="22"/>
          <w:szCs w:val="22"/>
        </w:rPr>
        <w:t>he following adverse reactions have been reported to be associated with TYKERB in combination with letrozole with a frequency difference of greater than 5% compared to letrozole alone.  These data are based on exposure to this combination in 654 patients.</w:t>
      </w:r>
    </w:p>
    <w:p w:rsidR="00AC25F8" w:rsidRPr="000B3F7D" w:rsidRDefault="00AC25F8" w:rsidP="00AC25F8">
      <w:pPr>
        <w:jc w:val="both"/>
        <w:rPr>
          <w:rFonts w:ascii="Arial" w:hAnsi="Arial" w:cs="Arial"/>
          <w:b/>
          <w:bCs/>
          <w:iCs/>
          <w:sz w:val="22"/>
          <w:szCs w:val="22"/>
        </w:rPr>
      </w:pPr>
    </w:p>
    <w:tbl>
      <w:tblPr>
        <w:tblW w:w="0" w:type="auto"/>
        <w:tblInd w:w="108" w:type="dxa"/>
        <w:tblLayout w:type="fixed"/>
        <w:tblLook w:val="0000"/>
      </w:tblPr>
      <w:tblGrid>
        <w:gridCol w:w="1791"/>
        <w:gridCol w:w="6128"/>
      </w:tblGrid>
      <w:tr w:rsidR="00AC25F8" w:rsidRPr="000B3F7D">
        <w:tc>
          <w:tcPr>
            <w:tcW w:w="7919" w:type="dxa"/>
            <w:gridSpan w:val="2"/>
            <w:tcBorders>
              <w:top w:val="single" w:sz="4" w:space="0" w:color="auto"/>
              <w:left w:val="single" w:sz="4" w:space="0" w:color="auto"/>
              <w:bottom w:val="single" w:sz="4" w:space="0" w:color="auto"/>
              <w:right w:val="single" w:sz="4" w:space="0" w:color="auto"/>
            </w:tcBorders>
          </w:tcPr>
          <w:p w:rsidR="00AC25F8" w:rsidRPr="000B3F7D" w:rsidRDefault="00AC25F8" w:rsidP="00AB0FD7">
            <w:pPr>
              <w:rPr>
                <w:rFonts w:ascii="Arial" w:hAnsi="Arial" w:cs="Arial"/>
                <w:b/>
                <w:bCs/>
                <w:sz w:val="22"/>
                <w:szCs w:val="22"/>
              </w:rPr>
            </w:pPr>
            <w:r w:rsidRPr="000B3F7D">
              <w:rPr>
                <w:rFonts w:ascii="Arial" w:hAnsi="Arial" w:cs="Arial"/>
                <w:b/>
                <w:bCs/>
                <w:sz w:val="22"/>
                <w:szCs w:val="22"/>
              </w:rPr>
              <w:t>Respiratory, thoracic and mediastinal disorders</w:t>
            </w:r>
          </w:p>
        </w:tc>
      </w:tr>
      <w:tr w:rsidR="00AC25F8" w:rsidRPr="000B3F7D">
        <w:tc>
          <w:tcPr>
            <w:tcW w:w="1791" w:type="dxa"/>
            <w:tcBorders>
              <w:top w:val="single" w:sz="4" w:space="0" w:color="auto"/>
              <w:left w:val="single" w:sz="4" w:space="0" w:color="auto"/>
              <w:bottom w:val="single" w:sz="4" w:space="0" w:color="auto"/>
              <w:right w:val="single" w:sz="4" w:space="0" w:color="auto"/>
            </w:tcBorders>
          </w:tcPr>
          <w:p w:rsidR="00AC25F8" w:rsidRPr="000B3F7D" w:rsidRDefault="00AC25F8" w:rsidP="00AB0FD7">
            <w:pPr>
              <w:rPr>
                <w:rFonts w:ascii="Arial" w:hAnsi="Arial" w:cs="Arial"/>
                <w:sz w:val="22"/>
                <w:szCs w:val="22"/>
              </w:rPr>
            </w:pPr>
            <w:r w:rsidRPr="000B3F7D">
              <w:rPr>
                <w:rFonts w:ascii="Arial" w:hAnsi="Arial" w:cs="Arial"/>
                <w:sz w:val="22"/>
                <w:szCs w:val="22"/>
              </w:rPr>
              <w:t>Very common</w:t>
            </w:r>
          </w:p>
        </w:tc>
        <w:tc>
          <w:tcPr>
            <w:tcW w:w="6128" w:type="dxa"/>
            <w:tcBorders>
              <w:top w:val="single" w:sz="4" w:space="0" w:color="auto"/>
              <w:left w:val="single" w:sz="4" w:space="0" w:color="auto"/>
              <w:bottom w:val="single" w:sz="4" w:space="0" w:color="auto"/>
              <w:right w:val="single" w:sz="4" w:space="0" w:color="auto"/>
            </w:tcBorders>
          </w:tcPr>
          <w:p w:rsidR="00AC25F8" w:rsidRPr="000B3F7D" w:rsidRDefault="00AC25F8" w:rsidP="00AB0FD7">
            <w:pPr>
              <w:rPr>
                <w:rFonts w:ascii="Arial" w:hAnsi="Arial" w:cs="Arial"/>
                <w:sz w:val="22"/>
                <w:szCs w:val="22"/>
              </w:rPr>
            </w:pPr>
            <w:r w:rsidRPr="000B3F7D">
              <w:rPr>
                <w:rFonts w:ascii="Arial" w:hAnsi="Arial" w:cs="Arial"/>
                <w:sz w:val="22"/>
                <w:szCs w:val="22"/>
              </w:rPr>
              <w:t xml:space="preserve"> </w:t>
            </w:r>
            <w:r w:rsidRPr="000B3F7D">
              <w:rPr>
                <w:rStyle w:val="CSIchar"/>
                <w:rFonts w:ascii="Arial" w:hAnsi="Arial" w:cs="Arial"/>
                <w:sz w:val="22"/>
                <w:szCs w:val="22"/>
                <w:shd w:val="clear" w:color="auto" w:fill="auto"/>
              </w:rPr>
              <w:t>Epistaxis.</w:t>
            </w:r>
          </w:p>
        </w:tc>
      </w:tr>
      <w:tr w:rsidR="00AC25F8" w:rsidRPr="000B3F7D">
        <w:tc>
          <w:tcPr>
            <w:tcW w:w="7919" w:type="dxa"/>
            <w:gridSpan w:val="2"/>
            <w:tcBorders>
              <w:top w:val="single" w:sz="4" w:space="0" w:color="auto"/>
              <w:left w:val="single" w:sz="4" w:space="0" w:color="auto"/>
              <w:bottom w:val="single" w:sz="4" w:space="0" w:color="auto"/>
              <w:right w:val="single" w:sz="4" w:space="0" w:color="auto"/>
            </w:tcBorders>
          </w:tcPr>
          <w:p w:rsidR="00AC25F8" w:rsidRPr="000B3F7D" w:rsidRDefault="00AC25F8" w:rsidP="00AB0FD7">
            <w:pPr>
              <w:rPr>
                <w:rFonts w:ascii="Arial" w:hAnsi="Arial" w:cs="Arial"/>
                <w:b/>
                <w:bCs/>
                <w:sz w:val="22"/>
                <w:szCs w:val="22"/>
              </w:rPr>
            </w:pPr>
            <w:r w:rsidRPr="000B3F7D">
              <w:rPr>
                <w:rFonts w:ascii="Arial" w:hAnsi="Arial" w:cs="Arial"/>
                <w:b/>
                <w:bCs/>
                <w:sz w:val="22"/>
                <w:szCs w:val="22"/>
              </w:rPr>
              <w:t>Skin and subcutaneous tissue disorders</w:t>
            </w:r>
          </w:p>
        </w:tc>
      </w:tr>
      <w:tr w:rsidR="00AC25F8" w:rsidRPr="000B3F7D">
        <w:tc>
          <w:tcPr>
            <w:tcW w:w="1791" w:type="dxa"/>
            <w:tcBorders>
              <w:top w:val="single" w:sz="4" w:space="0" w:color="auto"/>
              <w:left w:val="single" w:sz="4" w:space="0" w:color="auto"/>
              <w:bottom w:val="single" w:sz="4" w:space="0" w:color="auto"/>
              <w:right w:val="single" w:sz="4" w:space="0" w:color="auto"/>
            </w:tcBorders>
          </w:tcPr>
          <w:p w:rsidR="00AC25F8" w:rsidRPr="000B3F7D" w:rsidRDefault="00AC25F8" w:rsidP="00AB0FD7">
            <w:pPr>
              <w:rPr>
                <w:rFonts w:ascii="Arial" w:hAnsi="Arial" w:cs="Arial"/>
                <w:sz w:val="22"/>
                <w:szCs w:val="22"/>
              </w:rPr>
            </w:pPr>
            <w:r w:rsidRPr="000B3F7D">
              <w:rPr>
                <w:rFonts w:ascii="Arial" w:hAnsi="Arial" w:cs="Arial"/>
                <w:sz w:val="22"/>
                <w:szCs w:val="22"/>
              </w:rPr>
              <w:t>Very common</w:t>
            </w:r>
          </w:p>
        </w:tc>
        <w:tc>
          <w:tcPr>
            <w:tcW w:w="6128" w:type="dxa"/>
            <w:tcBorders>
              <w:top w:val="single" w:sz="4" w:space="0" w:color="auto"/>
              <w:left w:val="single" w:sz="4" w:space="0" w:color="auto"/>
              <w:bottom w:val="single" w:sz="4" w:space="0" w:color="auto"/>
              <w:right w:val="single" w:sz="4" w:space="0" w:color="auto"/>
            </w:tcBorders>
          </w:tcPr>
          <w:p w:rsidR="00AC25F8" w:rsidRPr="000B3F7D" w:rsidRDefault="00AC25F8" w:rsidP="00AB0FD7">
            <w:pPr>
              <w:rPr>
                <w:rFonts w:ascii="Arial" w:hAnsi="Arial" w:cs="Arial"/>
                <w:sz w:val="22"/>
                <w:szCs w:val="22"/>
              </w:rPr>
            </w:pPr>
            <w:r w:rsidRPr="000B3F7D">
              <w:rPr>
                <w:rFonts w:ascii="Arial" w:hAnsi="Arial" w:cs="Arial"/>
                <w:sz w:val="22"/>
                <w:szCs w:val="22"/>
              </w:rPr>
              <w:t xml:space="preserve"> </w:t>
            </w:r>
            <w:r w:rsidRPr="000B3F7D">
              <w:rPr>
                <w:rStyle w:val="CSIchar"/>
                <w:rFonts w:ascii="Arial" w:hAnsi="Arial" w:cs="Arial"/>
                <w:sz w:val="22"/>
                <w:szCs w:val="22"/>
                <w:shd w:val="clear" w:color="auto" w:fill="auto"/>
              </w:rPr>
              <w:t>Alopecia, dry skin.</w:t>
            </w:r>
          </w:p>
        </w:tc>
      </w:tr>
    </w:tbl>
    <w:p w:rsidR="00AC25F8" w:rsidRPr="000B3F7D" w:rsidRDefault="00AC25F8" w:rsidP="00AC25F8">
      <w:pPr>
        <w:jc w:val="both"/>
        <w:rPr>
          <w:rFonts w:ascii="Arial" w:hAnsi="Arial" w:cs="Arial"/>
          <w:sz w:val="22"/>
          <w:szCs w:val="22"/>
        </w:rPr>
      </w:pPr>
    </w:p>
    <w:p w:rsidR="00FA10BF" w:rsidRPr="000B3F7D" w:rsidRDefault="00FA10BF" w:rsidP="00FA10BF">
      <w:pPr>
        <w:pStyle w:val="captiontable"/>
        <w:ind w:left="0" w:firstLine="0"/>
        <w:rPr>
          <w:rStyle w:val="hdgtitle"/>
          <w:rFonts w:cs="Arial"/>
          <w:b w:val="0"/>
          <w:szCs w:val="22"/>
        </w:rPr>
      </w:pPr>
      <w:r w:rsidRPr="000B3F7D">
        <w:rPr>
          <w:rFonts w:cs="Arial"/>
          <w:szCs w:val="22"/>
        </w:rPr>
        <w:t xml:space="preserve">Table </w:t>
      </w:r>
      <w:r w:rsidR="009A4CA4">
        <w:rPr>
          <w:rFonts w:cs="Arial"/>
          <w:szCs w:val="22"/>
        </w:rPr>
        <w:t>10</w:t>
      </w:r>
      <w:r w:rsidRPr="000B3F7D">
        <w:rPr>
          <w:rFonts w:cs="Arial"/>
          <w:szCs w:val="22"/>
        </w:rPr>
        <w:tab/>
      </w:r>
      <w:r w:rsidRPr="000B3F7D">
        <w:rPr>
          <w:rStyle w:val="hdgtitle"/>
          <w:rFonts w:cs="Arial"/>
          <w:szCs w:val="22"/>
        </w:rPr>
        <w:t>Most common study medication related adverse reactions (</w:t>
      </w:r>
      <w:r w:rsidRPr="000B3F7D">
        <w:rPr>
          <w:rStyle w:val="hdgtitle"/>
          <w:rFonts w:cs="Arial"/>
          <w:szCs w:val="22"/>
        </w:rPr>
        <w:sym w:font="Symbol" w:char="F0B3"/>
      </w:r>
      <w:r w:rsidRPr="000B3F7D">
        <w:rPr>
          <w:rStyle w:val="hdgtitle"/>
          <w:rFonts w:cs="Arial"/>
          <w:szCs w:val="22"/>
        </w:rPr>
        <w:t>10%) in for TYKERB in combination with Letrozole (EGF30008)</w:t>
      </w:r>
    </w:p>
    <w:tbl>
      <w:tblPr>
        <w:tblW w:w="0" w:type="auto"/>
        <w:jc w:val="center"/>
        <w:tblLayout w:type="fixed"/>
        <w:tblLook w:val="0000"/>
      </w:tblPr>
      <w:tblGrid>
        <w:gridCol w:w="4653"/>
        <w:gridCol w:w="2077"/>
        <w:gridCol w:w="2008"/>
      </w:tblGrid>
      <w:tr w:rsidR="00FA10BF" w:rsidRPr="000B3F7D">
        <w:trPr>
          <w:jc w:val="center"/>
        </w:trPr>
        <w:tc>
          <w:tcPr>
            <w:tcW w:w="4653" w:type="dxa"/>
            <w:tcBorders>
              <w:top w:val="single" w:sz="4" w:space="0" w:color="auto"/>
              <w:left w:val="single" w:sz="4" w:space="0" w:color="auto"/>
              <w:bottom w:val="single" w:sz="4" w:space="0" w:color="auto"/>
              <w:right w:val="single" w:sz="4" w:space="0" w:color="auto"/>
            </w:tcBorders>
          </w:tcPr>
          <w:p w:rsidR="00FA10BF" w:rsidRPr="000B3F7D" w:rsidRDefault="00FA10BF" w:rsidP="00AB0FD7">
            <w:pPr>
              <w:pStyle w:val="TBLPara8N"/>
              <w:keepNext/>
              <w:rPr>
                <w:rFonts w:ascii="Arial" w:hAnsi="Arial" w:cs="Arial"/>
                <w:sz w:val="22"/>
                <w:szCs w:val="22"/>
                <w:lang w:val="en-GB"/>
              </w:rPr>
            </w:pPr>
            <w:r w:rsidRPr="000B3F7D">
              <w:rPr>
                <w:rFonts w:ascii="Arial" w:hAnsi="Arial" w:cs="Arial"/>
                <w:sz w:val="22"/>
                <w:szCs w:val="22"/>
                <w:lang w:val="en-GB"/>
              </w:rPr>
              <w:t>Preferred term</w:t>
            </w:r>
          </w:p>
        </w:tc>
        <w:tc>
          <w:tcPr>
            <w:tcW w:w="2077" w:type="dxa"/>
            <w:tcBorders>
              <w:top w:val="single" w:sz="4" w:space="0" w:color="auto"/>
              <w:left w:val="single" w:sz="4" w:space="0" w:color="auto"/>
              <w:bottom w:val="single" w:sz="4" w:space="0" w:color="auto"/>
              <w:right w:val="single" w:sz="4" w:space="0" w:color="auto"/>
            </w:tcBorders>
          </w:tcPr>
          <w:p w:rsidR="00FA10BF" w:rsidRPr="000B3F7D" w:rsidRDefault="00FA10BF" w:rsidP="00AB0FD7">
            <w:pPr>
              <w:pStyle w:val="TBLPara8N"/>
              <w:keepNext/>
              <w:jc w:val="center"/>
              <w:rPr>
                <w:rFonts w:ascii="Arial" w:hAnsi="Arial" w:cs="Arial"/>
                <w:sz w:val="22"/>
                <w:szCs w:val="22"/>
                <w:lang w:val="it-IT"/>
              </w:rPr>
            </w:pPr>
            <w:r w:rsidRPr="000B3F7D">
              <w:rPr>
                <w:rFonts w:ascii="Arial" w:hAnsi="Arial" w:cs="Arial"/>
                <w:sz w:val="22"/>
                <w:szCs w:val="22"/>
                <w:lang w:val="it-IT"/>
              </w:rPr>
              <w:t>Letrozole 2.5 mg + TYKERB 1500 mg</w:t>
            </w:r>
          </w:p>
        </w:tc>
        <w:tc>
          <w:tcPr>
            <w:tcW w:w="2008" w:type="dxa"/>
            <w:tcBorders>
              <w:top w:val="single" w:sz="4" w:space="0" w:color="auto"/>
              <w:left w:val="single" w:sz="4" w:space="0" w:color="auto"/>
              <w:bottom w:val="single" w:sz="4" w:space="0" w:color="auto"/>
              <w:right w:val="single" w:sz="4" w:space="0" w:color="auto"/>
            </w:tcBorders>
          </w:tcPr>
          <w:p w:rsidR="00FA10BF" w:rsidRPr="000B3F7D" w:rsidRDefault="00FA10BF" w:rsidP="00AB0FD7">
            <w:pPr>
              <w:pStyle w:val="TBLPara8N"/>
              <w:keepNext/>
              <w:jc w:val="center"/>
              <w:rPr>
                <w:rFonts w:ascii="Arial" w:hAnsi="Arial" w:cs="Arial"/>
                <w:sz w:val="22"/>
                <w:szCs w:val="22"/>
                <w:lang w:val="en-GB"/>
              </w:rPr>
            </w:pPr>
            <w:r w:rsidRPr="000B3F7D">
              <w:rPr>
                <w:rFonts w:ascii="Arial" w:hAnsi="Arial" w:cs="Arial"/>
                <w:sz w:val="22"/>
                <w:szCs w:val="22"/>
                <w:lang w:val="en-GB"/>
              </w:rPr>
              <w:t>Letrozole 2.5 mg + Placebo</w:t>
            </w:r>
          </w:p>
        </w:tc>
      </w:tr>
      <w:tr w:rsidR="00FA10BF" w:rsidRPr="000B3F7D">
        <w:trPr>
          <w:jc w:val="center"/>
        </w:trPr>
        <w:tc>
          <w:tcPr>
            <w:tcW w:w="4653" w:type="dxa"/>
            <w:tcBorders>
              <w:top w:val="single" w:sz="4" w:space="0" w:color="auto"/>
              <w:left w:val="single" w:sz="4" w:space="0" w:color="auto"/>
              <w:bottom w:val="single" w:sz="4" w:space="0" w:color="auto"/>
              <w:right w:val="single" w:sz="4" w:space="0" w:color="auto"/>
            </w:tcBorders>
          </w:tcPr>
          <w:p w:rsidR="00FA10BF" w:rsidRPr="000B3F7D" w:rsidRDefault="00FA10BF" w:rsidP="00AB0FD7">
            <w:pPr>
              <w:pStyle w:val="TBLPara8N"/>
              <w:keepNext/>
              <w:rPr>
                <w:rFonts w:ascii="Arial" w:hAnsi="Arial" w:cs="Arial"/>
                <w:sz w:val="22"/>
                <w:szCs w:val="22"/>
                <w:lang w:val="en-GB"/>
              </w:rPr>
            </w:pPr>
          </w:p>
        </w:tc>
        <w:tc>
          <w:tcPr>
            <w:tcW w:w="2077" w:type="dxa"/>
            <w:tcBorders>
              <w:top w:val="single" w:sz="4" w:space="0" w:color="auto"/>
              <w:left w:val="single" w:sz="4" w:space="0" w:color="auto"/>
              <w:bottom w:val="single" w:sz="4" w:space="0" w:color="auto"/>
              <w:right w:val="single" w:sz="4" w:space="0" w:color="auto"/>
            </w:tcBorders>
          </w:tcPr>
          <w:p w:rsidR="00FA10BF" w:rsidRPr="000B3F7D" w:rsidRDefault="00FA10BF" w:rsidP="00AB0FD7">
            <w:pPr>
              <w:pStyle w:val="TBLPara8N"/>
              <w:keepNext/>
              <w:jc w:val="center"/>
              <w:rPr>
                <w:rFonts w:ascii="Arial" w:hAnsi="Arial" w:cs="Arial"/>
                <w:sz w:val="22"/>
                <w:szCs w:val="22"/>
                <w:lang w:val="en-GB"/>
              </w:rPr>
            </w:pPr>
            <w:r w:rsidRPr="000B3F7D">
              <w:rPr>
                <w:rFonts w:ascii="Arial" w:hAnsi="Arial" w:cs="Arial"/>
                <w:sz w:val="22"/>
                <w:szCs w:val="22"/>
                <w:lang w:val="en-GB"/>
              </w:rPr>
              <w:t>(N = 654)</w:t>
            </w:r>
          </w:p>
        </w:tc>
        <w:tc>
          <w:tcPr>
            <w:tcW w:w="2008" w:type="dxa"/>
            <w:tcBorders>
              <w:top w:val="single" w:sz="4" w:space="0" w:color="auto"/>
              <w:left w:val="single" w:sz="4" w:space="0" w:color="auto"/>
              <w:bottom w:val="single" w:sz="4" w:space="0" w:color="auto"/>
              <w:right w:val="single" w:sz="4" w:space="0" w:color="auto"/>
            </w:tcBorders>
          </w:tcPr>
          <w:p w:rsidR="00FA10BF" w:rsidRPr="000B3F7D" w:rsidRDefault="00FA10BF" w:rsidP="00AB0FD7">
            <w:pPr>
              <w:pStyle w:val="TBLPara8N"/>
              <w:keepNext/>
              <w:jc w:val="center"/>
              <w:rPr>
                <w:rFonts w:ascii="Arial" w:hAnsi="Arial" w:cs="Arial"/>
                <w:sz w:val="22"/>
                <w:szCs w:val="22"/>
                <w:lang w:val="en-GB"/>
              </w:rPr>
            </w:pPr>
            <w:r w:rsidRPr="000B3F7D">
              <w:rPr>
                <w:rFonts w:ascii="Arial" w:hAnsi="Arial" w:cs="Arial"/>
                <w:sz w:val="22"/>
                <w:szCs w:val="22"/>
                <w:lang w:val="en-GB"/>
              </w:rPr>
              <w:t>(N=624)</w:t>
            </w:r>
          </w:p>
        </w:tc>
      </w:tr>
      <w:tr w:rsidR="00FA10BF" w:rsidRPr="000B3F7D">
        <w:tblPrEx>
          <w:tblBorders>
            <w:top w:val="single" w:sz="12" w:space="0" w:color="808080"/>
            <w:left w:val="nil"/>
            <w:bottom w:val="single" w:sz="12" w:space="0" w:color="808080"/>
            <w:right w:val="nil"/>
            <w:insideH w:val="nil"/>
            <w:insideV w:val="nil"/>
          </w:tblBorders>
          <w:tblLook w:val="0033"/>
        </w:tblPrEx>
        <w:trPr>
          <w:jc w:val="center"/>
        </w:trPr>
        <w:tc>
          <w:tcPr>
            <w:tcW w:w="4653" w:type="dxa"/>
            <w:tcBorders>
              <w:top w:val="single" w:sz="4" w:space="0" w:color="auto"/>
              <w:left w:val="single" w:sz="4" w:space="0" w:color="auto"/>
              <w:bottom w:val="single" w:sz="4" w:space="0" w:color="auto"/>
              <w:right w:val="single" w:sz="4" w:space="0" w:color="auto"/>
            </w:tcBorders>
          </w:tcPr>
          <w:p w:rsidR="00FA10BF" w:rsidRPr="000B3F7D" w:rsidRDefault="00FA10BF" w:rsidP="00AB0FD7">
            <w:pPr>
              <w:pStyle w:val="TBLPara8N"/>
              <w:keepNext/>
              <w:rPr>
                <w:rFonts w:ascii="Arial" w:hAnsi="Arial" w:cs="Arial"/>
                <w:sz w:val="22"/>
                <w:szCs w:val="22"/>
                <w:lang w:val="en-GB"/>
              </w:rPr>
            </w:pPr>
          </w:p>
        </w:tc>
        <w:tc>
          <w:tcPr>
            <w:tcW w:w="2077" w:type="dxa"/>
            <w:tcBorders>
              <w:top w:val="single" w:sz="4" w:space="0" w:color="auto"/>
              <w:left w:val="single" w:sz="4" w:space="0" w:color="auto"/>
              <w:bottom w:val="single" w:sz="4" w:space="0" w:color="auto"/>
              <w:right w:val="single" w:sz="4" w:space="0" w:color="auto"/>
            </w:tcBorders>
          </w:tcPr>
          <w:p w:rsidR="00FA10BF" w:rsidRPr="000B3F7D" w:rsidRDefault="00FA10BF" w:rsidP="00AB0FD7">
            <w:pPr>
              <w:pStyle w:val="TBLPara8N"/>
              <w:keepNext/>
              <w:jc w:val="center"/>
              <w:rPr>
                <w:rFonts w:ascii="Arial" w:hAnsi="Arial" w:cs="Arial"/>
                <w:sz w:val="22"/>
                <w:szCs w:val="22"/>
                <w:lang w:val="en-GB"/>
              </w:rPr>
            </w:pPr>
            <w:r w:rsidRPr="000B3F7D">
              <w:rPr>
                <w:rFonts w:ascii="Arial" w:hAnsi="Arial" w:cs="Arial"/>
                <w:sz w:val="22"/>
                <w:szCs w:val="22"/>
                <w:lang w:val="en-GB"/>
              </w:rPr>
              <w:t>%</w:t>
            </w:r>
          </w:p>
        </w:tc>
        <w:tc>
          <w:tcPr>
            <w:tcW w:w="2008" w:type="dxa"/>
            <w:tcBorders>
              <w:top w:val="single" w:sz="4" w:space="0" w:color="auto"/>
              <w:left w:val="single" w:sz="4" w:space="0" w:color="auto"/>
              <w:bottom w:val="single" w:sz="4" w:space="0" w:color="auto"/>
              <w:right w:val="single" w:sz="4" w:space="0" w:color="auto"/>
            </w:tcBorders>
          </w:tcPr>
          <w:p w:rsidR="00FA10BF" w:rsidRPr="000B3F7D" w:rsidRDefault="00FA10BF" w:rsidP="00AB0FD7">
            <w:pPr>
              <w:pStyle w:val="TBLPara8N"/>
              <w:keepNext/>
              <w:jc w:val="center"/>
              <w:rPr>
                <w:rFonts w:ascii="Arial" w:hAnsi="Arial" w:cs="Arial"/>
                <w:sz w:val="22"/>
                <w:szCs w:val="22"/>
                <w:lang w:val="en-GB"/>
              </w:rPr>
            </w:pPr>
            <w:r w:rsidRPr="000B3F7D">
              <w:rPr>
                <w:rFonts w:ascii="Arial" w:hAnsi="Arial" w:cs="Arial"/>
                <w:sz w:val="22"/>
                <w:szCs w:val="22"/>
                <w:lang w:val="en-GB"/>
              </w:rPr>
              <w:t>%</w:t>
            </w:r>
          </w:p>
        </w:tc>
      </w:tr>
      <w:tr w:rsidR="00FA10BF" w:rsidRPr="000B3F7D">
        <w:tblPrEx>
          <w:tblBorders>
            <w:top w:val="single" w:sz="12" w:space="0" w:color="808080"/>
            <w:left w:val="nil"/>
            <w:bottom w:val="single" w:sz="12" w:space="0" w:color="808080"/>
            <w:right w:val="nil"/>
            <w:insideH w:val="nil"/>
            <w:insideV w:val="nil"/>
          </w:tblBorders>
          <w:tblLook w:val="0033"/>
        </w:tblPrEx>
        <w:trPr>
          <w:jc w:val="center"/>
        </w:trPr>
        <w:tc>
          <w:tcPr>
            <w:tcW w:w="4653" w:type="dxa"/>
            <w:tcBorders>
              <w:top w:val="single" w:sz="4" w:space="0" w:color="auto"/>
              <w:left w:val="single" w:sz="4" w:space="0" w:color="auto"/>
              <w:bottom w:val="single" w:sz="4" w:space="0" w:color="auto"/>
              <w:right w:val="single" w:sz="4" w:space="0" w:color="auto"/>
            </w:tcBorders>
          </w:tcPr>
          <w:p w:rsidR="00FA10BF" w:rsidRPr="000B3F7D" w:rsidRDefault="00FA10BF" w:rsidP="00AB0FD7">
            <w:pPr>
              <w:pStyle w:val="TBLPara8N"/>
              <w:keepNext/>
              <w:rPr>
                <w:rFonts w:ascii="Arial" w:hAnsi="Arial" w:cs="Arial"/>
                <w:sz w:val="22"/>
                <w:szCs w:val="22"/>
                <w:lang w:val="en-GB"/>
              </w:rPr>
            </w:pPr>
            <w:r w:rsidRPr="000B3F7D">
              <w:rPr>
                <w:rFonts w:ascii="Arial" w:hAnsi="Arial" w:cs="Arial"/>
                <w:sz w:val="22"/>
                <w:szCs w:val="22"/>
                <w:lang w:val="en-GB"/>
              </w:rPr>
              <w:t>Any related AEs</w:t>
            </w:r>
          </w:p>
        </w:tc>
        <w:tc>
          <w:tcPr>
            <w:tcW w:w="2077" w:type="dxa"/>
            <w:tcBorders>
              <w:top w:val="single" w:sz="4" w:space="0" w:color="auto"/>
              <w:left w:val="single" w:sz="4" w:space="0" w:color="auto"/>
              <w:bottom w:val="single" w:sz="4" w:space="0" w:color="auto"/>
              <w:right w:val="single" w:sz="4" w:space="0" w:color="auto"/>
            </w:tcBorders>
          </w:tcPr>
          <w:p w:rsidR="00FA10BF" w:rsidRPr="000B3F7D" w:rsidRDefault="00FA10BF" w:rsidP="00AB0FD7">
            <w:pPr>
              <w:pStyle w:val="TBLPara8N"/>
              <w:keepNext/>
              <w:jc w:val="center"/>
              <w:rPr>
                <w:rFonts w:ascii="Arial" w:hAnsi="Arial" w:cs="Arial"/>
                <w:sz w:val="22"/>
                <w:szCs w:val="22"/>
                <w:lang w:val="en-GB"/>
              </w:rPr>
            </w:pPr>
            <w:r w:rsidRPr="000B3F7D">
              <w:rPr>
                <w:rFonts w:ascii="Arial" w:hAnsi="Arial" w:cs="Arial"/>
                <w:sz w:val="22"/>
                <w:szCs w:val="22"/>
                <w:lang w:val="en-GB"/>
              </w:rPr>
              <w:t>84</w:t>
            </w:r>
          </w:p>
        </w:tc>
        <w:tc>
          <w:tcPr>
            <w:tcW w:w="2008" w:type="dxa"/>
            <w:tcBorders>
              <w:top w:val="single" w:sz="4" w:space="0" w:color="auto"/>
              <w:left w:val="single" w:sz="4" w:space="0" w:color="auto"/>
              <w:bottom w:val="single" w:sz="4" w:space="0" w:color="auto"/>
              <w:right w:val="single" w:sz="4" w:space="0" w:color="auto"/>
            </w:tcBorders>
          </w:tcPr>
          <w:p w:rsidR="00FA10BF" w:rsidRPr="000B3F7D" w:rsidRDefault="00FA10BF" w:rsidP="00AB0FD7">
            <w:pPr>
              <w:pStyle w:val="TBLPara8N"/>
              <w:keepNext/>
              <w:jc w:val="center"/>
              <w:rPr>
                <w:rFonts w:ascii="Arial" w:hAnsi="Arial" w:cs="Arial"/>
                <w:sz w:val="22"/>
                <w:szCs w:val="22"/>
                <w:lang w:val="en-GB"/>
              </w:rPr>
            </w:pPr>
            <w:r w:rsidRPr="000B3F7D">
              <w:rPr>
                <w:rFonts w:ascii="Arial" w:hAnsi="Arial" w:cs="Arial"/>
                <w:sz w:val="22"/>
                <w:szCs w:val="22"/>
                <w:lang w:val="en-GB"/>
              </w:rPr>
              <w:t>55</w:t>
            </w:r>
          </w:p>
        </w:tc>
      </w:tr>
      <w:tr w:rsidR="00FA10BF" w:rsidRPr="000B3F7D">
        <w:tblPrEx>
          <w:tblBorders>
            <w:top w:val="single" w:sz="12" w:space="0" w:color="808080"/>
            <w:left w:val="nil"/>
            <w:bottom w:val="single" w:sz="12" w:space="0" w:color="808080"/>
            <w:right w:val="nil"/>
            <w:insideH w:val="nil"/>
            <w:insideV w:val="nil"/>
          </w:tblBorders>
          <w:tblLook w:val="0033"/>
        </w:tblPrEx>
        <w:trPr>
          <w:jc w:val="center"/>
        </w:trPr>
        <w:tc>
          <w:tcPr>
            <w:tcW w:w="4653" w:type="dxa"/>
            <w:tcBorders>
              <w:top w:val="single" w:sz="4" w:space="0" w:color="auto"/>
              <w:left w:val="single" w:sz="4" w:space="0" w:color="auto"/>
              <w:bottom w:val="single" w:sz="4" w:space="0" w:color="auto"/>
              <w:right w:val="single" w:sz="4" w:space="0" w:color="auto"/>
            </w:tcBorders>
          </w:tcPr>
          <w:p w:rsidR="00FA10BF" w:rsidRPr="000B3F7D" w:rsidRDefault="00FA10BF" w:rsidP="00AB0FD7">
            <w:pPr>
              <w:pStyle w:val="TBLPara8N"/>
              <w:keepNext/>
              <w:rPr>
                <w:rFonts w:ascii="Arial" w:hAnsi="Arial" w:cs="Arial"/>
                <w:sz w:val="22"/>
                <w:szCs w:val="22"/>
                <w:lang w:val="en-GB"/>
              </w:rPr>
            </w:pPr>
            <w:r w:rsidRPr="000B3F7D">
              <w:rPr>
                <w:rFonts w:ascii="Arial" w:hAnsi="Arial" w:cs="Arial"/>
                <w:sz w:val="22"/>
                <w:szCs w:val="22"/>
                <w:lang w:val="en-GB"/>
              </w:rPr>
              <w:t>Diarrhoea</w:t>
            </w:r>
          </w:p>
        </w:tc>
        <w:tc>
          <w:tcPr>
            <w:tcW w:w="2077" w:type="dxa"/>
            <w:tcBorders>
              <w:top w:val="single" w:sz="4" w:space="0" w:color="auto"/>
              <w:left w:val="single" w:sz="4" w:space="0" w:color="auto"/>
              <w:bottom w:val="single" w:sz="4" w:space="0" w:color="auto"/>
              <w:right w:val="single" w:sz="4" w:space="0" w:color="auto"/>
            </w:tcBorders>
          </w:tcPr>
          <w:p w:rsidR="00FA10BF" w:rsidRPr="000B3F7D" w:rsidRDefault="00FA10BF" w:rsidP="00AB0FD7">
            <w:pPr>
              <w:pStyle w:val="TBLPara8N"/>
              <w:keepNext/>
              <w:jc w:val="center"/>
              <w:rPr>
                <w:rFonts w:ascii="Arial" w:hAnsi="Arial" w:cs="Arial"/>
                <w:sz w:val="22"/>
                <w:szCs w:val="22"/>
                <w:lang w:val="en-GB"/>
              </w:rPr>
            </w:pPr>
            <w:r w:rsidRPr="000B3F7D">
              <w:rPr>
                <w:rFonts w:ascii="Arial" w:hAnsi="Arial" w:cs="Arial"/>
                <w:sz w:val="22"/>
                <w:szCs w:val="22"/>
                <w:lang w:val="en-GB"/>
              </w:rPr>
              <w:t>53</w:t>
            </w:r>
          </w:p>
        </w:tc>
        <w:tc>
          <w:tcPr>
            <w:tcW w:w="2008" w:type="dxa"/>
            <w:tcBorders>
              <w:top w:val="single" w:sz="4" w:space="0" w:color="auto"/>
              <w:left w:val="single" w:sz="4" w:space="0" w:color="auto"/>
              <w:bottom w:val="single" w:sz="4" w:space="0" w:color="auto"/>
              <w:right w:val="single" w:sz="4" w:space="0" w:color="auto"/>
            </w:tcBorders>
          </w:tcPr>
          <w:p w:rsidR="00FA10BF" w:rsidRPr="000B3F7D" w:rsidRDefault="00FA10BF" w:rsidP="00AB0FD7">
            <w:pPr>
              <w:pStyle w:val="TBLPara8N"/>
              <w:keepNext/>
              <w:jc w:val="center"/>
              <w:rPr>
                <w:rFonts w:ascii="Arial" w:hAnsi="Arial" w:cs="Arial"/>
                <w:sz w:val="22"/>
                <w:szCs w:val="22"/>
                <w:lang w:val="en-GB"/>
              </w:rPr>
            </w:pPr>
            <w:r w:rsidRPr="000B3F7D">
              <w:rPr>
                <w:rFonts w:ascii="Arial" w:hAnsi="Arial" w:cs="Arial"/>
                <w:sz w:val="22"/>
                <w:szCs w:val="22"/>
                <w:lang w:val="en-GB"/>
              </w:rPr>
              <w:t>13</w:t>
            </w:r>
          </w:p>
        </w:tc>
      </w:tr>
      <w:tr w:rsidR="00FA10BF" w:rsidRPr="000B3F7D">
        <w:tblPrEx>
          <w:tblBorders>
            <w:top w:val="single" w:sz="12" w:space="0" w:color="808080"/>
            <w:left w:val="nil"/>
            <w:bottom w:val="single" w:sz="12" w:space="0" w:color="808080"/>
            <w:right w:val="nil"/>
            <w:insideH w:val="nil"/>
            <w:insideV w:val="nil"/>
          </w:tblBorders>
          <w:tblLook w:val="0033"/>
        </w:tblPrEx>
        <w:trPr>
          <w:jc w:val="center"/>
        </w:trPr>
        <w:tc>
          <w:tcPr>
            <w:tcW w:w="4653" w:type="dxa"/>
            <w:tcBorders>
              <w:top w:val="single" w:sz="4" w:space="0" w:color="auto"/>
              <w:left w:val="single" w:sz="4" w:space="0" w:color="auto"/>
              <w:bottom w:val="single" w:sz="4" w:space="0" w:color="auto"/>
              <w:right w:val="single" w:sz="4" w:space="0" w:color="auto"/>
            </w:tcBorders>
          </w:tcPr>
          <w:p w:rsidR="00FA10BF" w:rsidRPr="000B3F7D" w:rsidRDefault="00FA10BF" w:rsidP="00AB0FD7">
            <w:pPr>
              <w:pStyle w:val="TBLPara8N"/>
              <w:keepNext/>
              <w:rPr>
                <w:rFonts w:ascii="Arial" w:hAnsi="Arial" w:cs="Arial"/>
                <w:sz w:val="22"/>
                <w:szCs w:val="22"/>
                <w:lang w:val="en-GB"/>
              </w:rPr>
            </w:pPr>
            <w:r w:rsidRPr="000B3F7D">
              <w:rPr>
                <w:rFonts w:ascii="Arial" w:hAnsi="Arial" w:cs="Arial"/>
                <w:sz w:val="22"/>
                <w:szCs w:val="22"/>
                <w:lang w:val="en-GB"/>
              </w:rPr>
              <w:t>Rash</w:t>
            </w:r>
          </w:p>
        </w:tc>
        <w:tc>
          <w:tcPr>
            <w:tcW w:w="2077" w:type="dxa"/>
            <w:tcBorders>
              <w:top w:val="single" w:sz="4" w:space="0" w:color="auto"/>
              <w:left w:val="single" w:sz="4" w:space="0" w:color="auto"/>
              <w:bottom w:val="single" w:sz="4" w:space="0" w:color="auto"/>
              <w:right w:val="single" w:sz="4" w:space="0" w:color="auto"/>
            </w:tcBorders>
          </w:tcPr>
          <w:p w:rsidR="00FA10BF" w:rsidRPr="000B3F7D" w:rsidRDefault="00FA10BF" w:rsidP="00AB0FD7">
            <w:pPr>
              <w:pStyle w:val="TBLPara8N"/>
              <w:keepNext/>
              <w:jc w:val="center"/>
              <w:rPr>
                <w:rFonts w:ascii="Arial" w:hAnsi="Arial" w:cs="Arial"/>
                <w:sz w:val="22"/>
                <w:szCs w:val="22"/>
                <w:lang w:val="en-GB"/>
              </w:rPr>
            </w:pPr>
            <w:r w:rsidRPr="000B3F7D">
              <w:rPr>
                <w:rFonts w:ascii="Arial" w:hAnsi="Arial" w:cs="Arial"/>
                <w:sz w:val="22"/>
                <w:szCs w:val="22"/>
                <w:lang w:val="en-GB"/>
              </w:rPr>
              <w:t>38</w:t>
            </w:r>
          </w:p>
        </w:tc>
        <w:tc>
          <w:tcPr>
            <w:tcW w:w="2008" w:type="dxa"/>
            <w:tcBorders>
              <w:top w:val="single" w:sz="4" w:space="0" w:color="auto"/>
              <w:left w:val="single" w:sz="4" w:space="0" w:color="auto"/>
              <w:bottom w:val="single" w:sz="4" w:space="0" w:color="auto"/>
              <w:right w:val="single" w:sz="4" w:space="0" w:color="auto"/>
            </w:tcBorders>
          </w:tcPr>
          <w:p w:rsidR="00FA10BF" w:rsidRPr="000B3F7D" w:rsidRDefault="00FA10BF" w:rsidP="00AB0FD7">
            <w:pPr>
              <w:pStyle w:val="TBLPara8N"/>
              <w:keepNext/>
              <w:jc w:val="center"/>
              <w:rPr>
                <w:rFonts w:ascii="Arial" w:hAnsi="Arial" w:cs="Arial"/>
                <w:sz w:val="22"/>
                <w:szCs w:val="22"/>
                <w:lang w:val="en-GB"/>
              </w:rPr>
            </w:pPr>
            <w:r w:rsidRPr="000B3F7D">
              <w:rPr>
                <w:rFonts w:ascii="Arial" w:hAnsi="Arial" w:cs="Arial"/>
                <w:sz w:val="22"/>
                <w:szCs w:val="22"/>
                <w:lang w:val="en-GB"/>
              </w:rPr>
              <w:t>9</w:t>
            </w:r>
          </w:p>
        </w:tc>
      </w:tr>
      <w:tr w:rsidR="00FA10BF" w:rsidRPr="000B3F7D">
        <w:tblPrEx>
          <w:tblBorders>
            <w:top w:val="single" w:sz="12" w:space="0" w:color="808080"/>
            <w:left w:val="nil"/>
            <w:bottom w:val="single" w:sz="12" w:space="0" w:color="808080"/>
            <w:right w:val="nil"/>
            <w:insideH w:val="nil"/>
            <w:insideV w:val="nil"/>
          </w:tblBorders>
          <w:tblLook w:val="0033"/>
        </w:tblPrEx>
        <w:trPr>
          <w:jc w:val="center"/>
        </w:trPr>
        <w:tc>
          <w:tcPr>
            <w:tcW w:w="4653" w:type="dxa"/>
            <w:tcBorders>
              <w:top w:val="single" w:sz="4" w:space="0" w:color="auto"/>
              <w:left w:val="single" w:sz="4" w:space="0" w:color="auto"/>
              <w:bottom w:val="single" w:sz="4" w:space="0" w:color="auto"/>
              <w:right w:val="single" w:sz="4" w:space="0" w:color="auto"/>
            </w:tcBorders>
          </w:tcPr>
          <w:p w:rsidR="00FA10BF" w:rsidRPr="000B3F7D" w:rsidRDefault="00FA10BF" w:rsidP="00AB0FD7">
            <w:pPr>
              <w:pStyle w:val="TBLPara8N"/>
              <w:keepNext/>
              <w:rPr>
                <w:rFonts w:ascii="Arial" w:hAnsi="Arial" w:cs="Arial"/>
                <w:sz w:val="22"/>
                <w:szCs w:val="22"/>
                <w:lang w:val="en-GB"/>
              </w:rPr>
            </w:pPr>
            <w:r w:rsidRPr="000B3F7D">
              <w:rPr>
                <w:rFonts w:ascii="Arial" w:hAnsi="Arial" w:cs="Arial"/>
                <w:sz w:val="22"/>
                <w:szCs w:val="22"/>
                <w:lang w:val="en-GB"/>
              </w:rPr>
              <w:t>Nausea</w:t>
            </w:r>
          </w:p>
        </w:tc>
        <w:tc>
          <w:tcPr>
            <w:tcW w:w="2077" w:type="dxa"/>
            <w:tcBorders>
              <w:top w:val="single" w:sz="4" w:space="0" w:color="auto"/>
              <w:left w:val="single" w:sz="4" w:space="0" w:color="auto"/>
              <w:bottom w:val="single" w:sz="4" w:space="0" w:color="auto"/>
              <w:right w:val="single" w:sz="4" w:space="0" w:color="auto"/>
            </w:tcBorders>
          </w:tcPr>
          <w:p w:rsidR="00FA10BF" w:rsidRPr="000B3F7D" w:rsidRDefault="00FA10BF" w:rsidP="00AB0FD7">
            <w:pPr>
              <w:pStyle w:val="TBLPara8N"/>
              <w:keepNext/>
              <w:jc w:val="center"/>
              <w:rPr>
                <w:rFonts w:ascii="Arial" w:hAnsi="Arial" w:cs="Arial"/>
                <w:sz w:val="22"/>
                <w:szCs w:val="22"/>
                <w:lang w:val="en-GB"/>
              </w:rPr>
            </w:pPr>
            <w:r w:rsidRPr="000B3F7D">
              <w:rPr>
                <w:rFonts w:ascii="Arial" w:hAnsi="Arial" w:cs="Arial"/>
                <w:sz w:val="22"/>
                <w:szCs w:val="22"/>
                <w:lang w:val="en-GB"/>
              </w:rPr>
              <w:t>20</w:t>
            </w:r>
          </w:p>
        </w:tc>
        <w:tc>
          <w:tcPr>
            <w:tcW w:w="2008" w:type="dxa"/>
            <w:tcBorders>
              <w:top w:val="single" w:sz="4" w:space="0" w:color="auto"/>
              <w:left w:val="single" w:sz="4" w:space="0" w:color="auto"/>
              <w:bottom w:val="single" w:sz="4" w:space="0" w:color="auto"/>
              <w:right w:val="single" w:sz="4" w:space="0" w:color="auto"/>
            </w:tcBorders>
          </w:tcPr>
          <w:p w:rsidR="00FA10BF" w:rsidRPr="000B3F7D" w:rsidRDefault="00FA10BF" w:rsidP="00AB0FD7">
            <w:pPr>
              <w:pStyle w:val="TBLPara8N"/>
              <w:keepNext/>
              <w:jc w:val="center"/>
              <w:rPr>
                <w:rFonts w:ascii="Arial" w:hAnsi="Arial" w:cs="Arial"/>
                <w:sz w:val="22"/>
                <w:szCs w:val="22"/>
                <w:lang w:val="en-GB"/>
              </w:rPr>
            </w:pPr>
            <w:r w:rsidRPr="000B3F7D">
              <w:rPr>
                <w:rFonts w:ascii="Arial" w:hAnsi="Arial" w:cs="Arial"/>
                <w:sz w:val="22"/>
                <w:szCs w:val="22"/>
                <w:lang w:val="en-GB"/>
              </w:rPr>
              <w:t>11</w:t>
            </w:r>
          </w:p>
        </w:tc>
      </w:tr>
      <w:tr w:rsidR="00FA10BF" w:rsidRPr="000B3F7D">
        <w:tblPrEx>
          <w:tblBorders>
            <w:top w:val="single" w:sz="12" w:space="0" w:color="808080"/>
            <w:left w:val="nil"/>
            <w:bottom w:val="single" w:sz="12" w:space="0" w:color="808080"/>
            <w:right w:val="nil"/>
            <w:insideH w:val="nil"/>
            <w:insideV w:val="nil"/>
          </w:tblBorders>
          <w:tblLook w:val="0033"/>
        </w:tblPrEx>
        <w:trPr>
          <w:jc w:val="center"/>
        </w:trPr>
        <w:tc>
          <w:tcPr>
            <w:tcW w:w="4653" w:type="dxa"/>
            <w:tcBorders>
              <w:top w:val="single" w:sz="4" w:space="0" w:color="auto"/>
              <w:left w:val="single" w:sz="4" w:space="0" w:color="auto"/>
              <w:bottom w:val="single" w:sz="4" w:space="0" w:color="auto"/>
              <w:right w:val="single" w:sz="4" w:space="0" w:color="auto"/>
            </w:tcBorders>
          </w:tcPr>
          <w:p w:rsidR="00FA10BF" w:rsidRPr="000B3F7D" w:rsidRDefault="00FA10BF" w:rsidP="00AB0FD7">
            <w:pPr>
              <w:pStyle w:val="TBLPara8N"/>
              <w:keepNext/>
              <w:rPr>
                <w:rFonts w:ascii="Arial" w:hAnsi="Arial" w:cs="Arial"/>
                <w:sz w:val="22"/>
                <w:szCs w:val="22"/>
                <w:lang w:val="en-GB"/>
              </w:rPr>
            </w:pPr>
            <w:r w:rsidRPr="000B3F7D">
              <w:rPr>
                <w:rFonts w:ascii="Arial" w:hAnsi="Arial" w:cs="Arial"/>
                <w:sz w:val="22"/>
                <w:szCs w:val="22"/>
                <w:lang w:val="en-GB"/>
              </w:rPr>
              <w:t>Dry skin</w:t>
            </w:r>
          </w:p>
        </w:tc>
        <w:tc>
          <w:tcPr>
            <w:tcW w:w="2077" w:type="dxa"/>
            <w:tcBorders>
              <w:top w:val="single" w:sz="4" w:space="0" w:color="auto"/>
              <w:left w:val="single" w:sz="4" w:space="0" w:color="auto"/>
              <w:bottom w:val="single" w:sz="4" w:space="0" w:color="auto"/>
              <w:right w:val="single" w:sz="4" w:space="0" w:color="auto"/>
            </w:tcBorders>
          </w:tcPr>
          <w:p w:rsidR="00FA10BF" w:rsidRPr="000B3F7D" w:rsidRDefault="00FA10BF" w:rsidP="00AB0FD7">
            <w:pPr>
              <w:pStyle w:val="TBLPara8N"/>
              <w:keepNext/>
              <w:jc w:val="center"/>
              <w:rPr>
                <w:rFonts w:ascii="Arial" w:hAnsi="Arial" w:cs="Arial"/>
                <w:sz w:val="22"/>
                <w:szCs w:val="22"/>
                <w:lang w:val="en-GB"/>
              </w:rPr>
            </w:pPr>
            <w:r w:rsidRPr="000B3F7D">
              <w:rPr>
                <w:rFonts w:ascii="Arial" w:hAnsi="Arial" w:cs="Arial"/>
                <w:sz w:val="22"/>
                <w:szCs w:val="22"/>
                <w:lang w:val="en-GB"/>
              </w:rPr>
              <w:t>11</w:t>
            </w:r>
          </w:p>
        </w:tc>
        <w:tc>
          <w:tcPr>
            <w:tcW w:w="2008" w:type="dxa"/>
            <w:tcBorders>
              <w:top w:val="single" w:sz="4" w:space="0" w:color="auto"/>
              <w:left w:val="single" w:sz="4" w:space="0" w:color="auto"/>
              <w:bottom w:val="single" w:sz="4" w:space="0" w:color="auto"/>
              <w:right w:val="single" w:sz="4" w:space="0" w:color="auto"/>
            </w:tcBorders>
          </w:tcPr>
          <w:p w:rsidR="00FA10BF" w:rsidRPr="000B3F7D" w:rsidRDefault="00FA10BF" w:rsidP="00AB0FD7">
            <w:pPr>
              <w:pStyle w:val="TBLPara8N"/>
              <w:keepNext/>
              <w:jc w:val="center"/>
              <w:rPr>
                <w:rFonts w:ascii="Arial" w:hAnsi="Arial" w:cs="Arial"/>
                <w:sz w:val="22"/>
                <w:szCs w:val="22"/>
                <w:lang w:val="en-GB"/>
              </w:rPr>
            </w:pPr>
            <w:r w:rsidRPr="000B3F7D">
              <w:rPr>
                <w:rFonts w:ascii="Arial" w:hAnsi="Arial" w:cs="Arial"/>
                <w:sz w:val="22"/>
                <w:szCs w:val="22"/>
                <w:lang w:val="en-GB"/>
              </w:rPr>
              <w:t>3</w:t>
            </w:r>
          </w:p>
        </w:tc>
      </w:tr>
      <w:tr w:rsidR="00FA10BF" w:rsidRPr="000B3F7D">
        <w:tblPrEx>
          <w:tblBorders>
            <w:top w:val="single" w:sz="12" w:space="0" w:color="808080"/>
            <w:left w:val="nil"/>
            <w:bottom w:val="single" w:sz="12" w:space="0" w:color="808080"/>
            <w:right w:val="nil"/>
            <w:insideH w:val="nil"/>
            <w:insideV w:val="nil"/>
          </w:tblBorders>
          <w:tblLook w:val="0033"/>
        </w:tblPrEx>
        <w:trPr>
          <w:jc w:val="center"/>
        </w:trPr>
        <w:tc>
          <w:tcPr>
            <w:tcW w:w="4653" w:type="dxa"/>
            <w:tcBorders>
              <w:top w:val="single" w:sz="4" w:space="0" w:color="auto"/>
              <w:left w:val="single" w:sz="4" w:space="0" w:color="auto"/>
              <w:bottom w:val="single" w:sz="4" w:space="0" w:color="auto"/>
              <w:right w:val="single" w:sz="4" w:space="0" w:color="auto"/>
            </w:tcBorders>
          </w:tcPr>
          <w:p w:rsidR="00FA10BF" w:rsidRPr="000B3F7D" w:rsidRDefault="00FA10BF" w:rsidP="00AB0FD7">
            <w:pPr>
              <w:pStyle w:val="TBLPara8N"/>
              <w:keepNext/>
              <w:rPr>
                <w:rFonts w:ascii="Arial" w:hAnsi="Arial" w:cs="Arial"/>
                <w:sz w:val="22"/>
                <w:szCs w:val="22"/>
                <w:lang w:val="en-GB"/>
              </w:rPr>
            </w:pPr>
            <w:r w:rsidRPr="000B3F7D">
              <w:rPr>
                <w:rFonts w:ascii="Arial" w:hAnsi="Arial" w:cs="Arial"/>
                <w:sz w:val="22"/>
                <w:szCs w:val="22"/>
                <w:lang w:val="en-GB"/>
              </w:rPr>
              <w:t>Fatigue</w:t>
            </w:r>
          </w:p>
        </w:tc>
        <w:tc>
          <w:tcPr>
            <w:tcW w:w="2077" w:type="dxa"/>
            <w:tcBorders>
              <w:top w:val="single" w:sz="4" w:space="0" w:color="auto"/>
              <w:left w:val="single" w:sz="4" w:space="0" w:color="auto"/>
              <w:bottom w:val="single" w:sz="4" w:space="0" w:color="auto"/>
              <w:right w:val="single" w:sz="4" w:space="0" w:color="auto"/>
            </w:tcBorders>
          </w:tcPr>
          <w:p w:rsidR="00FA10BF" w:rsidRPr="000B3F7D" w:rsidRDefault="00FA10BF" w:rsidP="00AB0FD7">
            <w:pPr>
              <w:pStyle w:val="TBLPara8N"/>
              <w:keepNext/>
              <w:jc w:val="center"/>
              <w:rPr>
                <w:rFonts w:ascii="Arial" w:hAnsi="Arial" w:cs="Arial"/>
                <w:sz w:val="22"/>
                <w:szCs w:val="22"/>
                <w:lang w:val="en-GB"/>
              </w:rPr>
            </w:pPr>
            <w:r w:rsidRPr="000B3F7D">
              <w:rPr>
                <w:rFonts w:ascii="Arial" w:hAnsi="Arial" w:cs="Arial"/>
                <w:sz w:val="22"/>
                <w:szCs w:val="22"/>
                <w:lang w:val="en-GB"/>
              </w:rPr>
              <w:t>11</w:t>
            </w:r>
          </w:p>
        </w:tc>
        <w:tc>
          <w:tcPr>
            <w:tcW w:w="2008" w:type="dxa"/>
            <w:tcBorders>
              <w:top w:val="single" w:sz="4" w:space="0" w:color="auto"/>
              <w:left w:val="single" w:sz="4" w:space="0" w:color="auto"/>
              <w:bottom w:val="single" w:sz="4" w:space="0" w:color="auto"/>
              <w:right w:val="single" w:sz="4" w:space="0" w:color="auto"/>
            </w:tcBorders>
          </w:tcPr>
          <w:p w:rsidR="00FA10BF" w:rsidRPr="000B3F7D" w:rsidRDefault="00FA10BF" w:rsidP="00AB0FD7">
            <w:pPr>
              <w:pStyle w:val="TBLPara8N"/>
              <w:keepNext/>
              <w:jc w:val="center"/>
              <w:rPr>
                <w:rFonts w:ascii="Arial" w:hAnsi="Arial" w:cs="Arial"/>
                <w:sz w:val="22"/>
                <w:szCs w:val="22"/>
                <w:lang w:val="en-GB"/>
              </w:rPr>
            </w:pPr>
            <w:r w:rsidRPr="000B3F7D">
              <w:rPr>
                <w:rFonts w:ascii="Arial" w:hAnsi="Arial" w:cs="Arial"/>
                <w:sz w:val="22"/>
                <w:szCs w:val="22"/>
                <w:lang w:val="en-GB"/>
              </w:rPr>
              <w:t>7</w:t>
            </w:r>
          </w:p>
        </w:tc>
      </w:tr>
      <w:tr w:rsidR="00FA10BF" w:rsidRPr="000B3F7D">
        <w:tblPrEx>
          <w:tblBorders>
            <w:top w:val="single" w:sz="12" w:space="0" w:color="808080"/>
            <w:left w:val="nil"/>
            <w:bottom w:val="single" w:sz="12" w:space="0" w:color="808080"/>
            <w:right w:val="nil"/>
            <w:insideH w:val="nil"/>
            <w:insideV w:val="nil"/>
          </w:tblBorders>
          <w:tblLook w:val="0033"/>
        </w:tblPrEx>
        <w:trPr>
          <w:jc w:val="center"/>
        </w:trPr>
        <w:tc>
          <w:tcPr>
            <w:tcW w:w="4653" w:type="dxa"/>
            <w:tcBorders>
              <w:top w:val="single" w:sz="4" w:space="0" w:color="auto"/>
              <w:left w:val="single" w:sz="4" w:space="0" w:color="auto"/>
              <w:bottom w:val="single" w:sz="4" w:space="0" w:color="auto"/>
              <w:right w:val="single" w:sz="4" w:space="0" w:color="auto"/>
            </w:tcBorders>
          </w:tcPr>
          <w:p w:rsidR="00FA10BF" w:rsidRPr="000B3F7D" w:rsidRDefault="00FA10BF" w:rsidP="00AB0FD7">
            <w:pPr>
              <w:pStyle w:val="TBLPara8N"/>
              <w:keepNext/>
              <w:rPr>
                <w:rFonts w:ascii="Arial" w:hAnsi="Arial" w:cs="Arial"/>
                <w:sz w:val="22"/>
                <w:szCs w:val="22"/>
                <w:lang w:val="en-GB"/>
              </w:rPr>
            </w:pPr>
            <w:r w:rsidRPr="000B3F7D">
              <w:rPr>
                <w:rFonts w:ascii="Arial" w:hAnsi="Arial" w:cs="Arial"/>
                <w:sz w:val="22"/>
                <w:szCs w:val="22"/>
                <w:lang w:val="en-GB"/>
              </w:rPr>
              <w:t>Alopecia</w:t>
            </w:r>
          </w:p>
        </w:tc>
        <w:tc>
          <w:tcPr>
            <w:tcW w:w="2077" w:type="dxa"/>
            <w:tcBorders>
              <w:top w:val="single" w:sz="4" w:space="0" w:color="auto"/>
              <w:left w:val="single" w:sz="4" w:space="0" w:color="auto"/>
              <w:bottom w:val="single" w:sz="4" w:space="0" w:color="auto"/>
              <w:right w:val="single" w:sz="4" w:space="0" w:color="auto"/>
            </w:tcBorders>
          </w:tcPr>
          <w:p w:rsidR="00FA10BF" w:rsidRPr="000B3F7D" w:rsidRDefault="00FA10BF" w:rsidP="00AB0FD7">
            <w:pPr>
              <w:pStyle w:val="TBLPara8N"/>
              <w:keepNext/>
              <w:jc w:val="center"/>
              <w:rPr>
                <w:rFonts w:ascii="Arial" w:hAnsi="Arial" w:cs="Arial"/>
                <w:sz w:val="22"/>
                <w:szCs w:val="22"/>
                <w:lang w:val="en-GB"/>
              </w:rPr>
            </w:pPr>
            <w:r w:rsidRPr="000B3F7D">
              <w:rPr>
                <w:rFonts w:ascii="Arial" w:hAnsi="Arial" w:cs="Arial"/>
                <w:sz w:val="22"/>
                <w:szCs w:val="22"/>
                <w:lang w:val="en-GB"/>
              </w:rPr>
              <w:t>10</w:t>
            </w:r>
          </w:p>
        </w:tc>
        <w:tc>
          <w:tcPr>
            <w:tcW w:w="2008" w:type="dxa"/>
            <w:tcBorders>
              <w:top w:val="single" w:sz="4" w:space="0" w:color="auto"/>
              <w:left w:val="single" w:sz="4" w:space="0" w:color="auto"/>
              <w:bottom w:val="single" w:sz="4" w:space="0" w:color="auto"/>
              <w:right w:val="single" w:sz="4" w:space="0" w:color="auto"/>
            </w:tcBorders>
          </w:tcPr>
          <w:p w:rsidR="00FA10BF" w:rsidRPr="000B3F7D" w:rsidRDefault="00FA10BF" w:rsidP="00AB0FD7">
            <w:pPr>
              <w:pStyle w:val="TBLPara8N"/>
              <w:keepNext/>
              <w:jc w:val="center"/>
              <w:rPr>
                <w:rFonts w:ascii="Arial" w:hAnsi="Arial" w:cs="Arial"/>
                <w:sz w:val="22"/>
                <w:szCs w:val="22"/>
                <w:lang w:val="en-GB"/>
              </w:rPr>
            </w:pPr>
            <w:r w:rsidRPr="000B3F7D">
              <w:rPr>
                <w:rFonts w:ascii="Arial" w:hAnsi="Arial" w:cs="Arial"/>
                <w:sz w:val="22"/>
                <w:szCs w:val="22"/>
                <w:lang w:val="en-GB"/>
              </w:rPr>
              <w:t>5</w:t>
            </w:r>
          </w:p>
        </w:tc>
      </w:tr>
      <w:tr w:rsidR="00FA10BF" w:rsidRPr="000B3F7D">
        <w:tblPrEx>
          <w:tblBorders>
            <w:top w:val="single" w:sz="12" w:space="0" w:color="808080"/>
            <w:left w:val="nil"/>
            <w:bottom w:val="single" w:sz="12" w:space="0" w:color="808080"/>
            <w:right w:val="nil"/>
            <w:insideH w:val="nil"/>
            <w:insideV w:val="nil"/>
          </w:tblBorders>
          <w:tblLook w:val="0033"/>
        </w:tblPrEx>
        <w:trPr>
          <w:jc w:val="center"/>
        </w:trPr>
        <w:tc>
          <w:tcPr>
            <w:tcW w:w="4653" w:type="dxa"/>
            <w:tcBorders>
              <w:top w:val="single" w:sz="4" w:space="0" w:color="auto"/>
              <w:left w:val="single" w:sz="4" w:space="0" w:color="auto"/>
              <w:bottom w:val="single" w:sz="4" w:space="0" w:color="auto"/>
              <w:right w:val="single" w:sz="4" w:space="0" w:color="auto"/>
            </w:tcBorders>
          </w:tcPr>
          <w:p w:rsidR="00FA10BF" w:rsidRPr="000B3F7D" w:rsidRDefault="00FA10BF" w:rsidP="00AB0FD7">
            <w:pPr>
              <w:pStyle w:val="TBLPara8N"/>
              <w:keepNext/>
              <w:rPr>
                <w:rFonts w:ascii="Arial" w:hAnsi="Arial" w:cs="Arial"/>
                <w:sz w:val="22"/>
                <w:szCs w:val="22"/>
                <w:lang w:val="en-GB"/>
              </w:rPr>
            </w:pPr>
            <w:r w:rsidRPr="000B3F7D">
              <w:rPr>
                <w:rFonts w:ascii="Arial" w:hAnsi="Arial" w:cs="Arial"/>
                <w:sz w:val="22"/>
                <w:szCs w:val="22"/>
                <w:lang w:val="en-GB"/>
              </w:rPr>
              <w:t>Nail disorder</w:t>
            </w:r>
          </w:p>
        </w:tc>
        <w:tc>
          <w:tcPr>
            <w:tcW w:w="2077" w:type="dxa"/>
            <w:tcBorders>
              <w:top w:val="single" w:sz="4" w:space="0" w:color="auto"/>
              <w:left w:val="single" w:sz="4" w:space="0" w:color="auto"/>
              <w:bottom w:val="single" w:sz="4" w:space="0" w:color="auto"/>
              <w:right w:val="single" w:sz="4" w:space="0" w:color="auto"/>
            </w:tcBorders>
          </w:tcPr>
          <w:p w:rsidR="00FA10BF" w:rsidRPr="000B3F7D" w:rsidRDefault="00FA10BF" w:rsidP="00AB0FD7">
            <w:pPr>
              <w:pStyle w:val="TBLPara8N"/>
              <w:keepNext/>
              <w:jc w:val="center"/>
              <w:rPr>
                <w:rFonts w:ascii="Arial" w:hAnsi="Arial" w:cs="Arial"/>
                <w:sz w:val="22"/>
                <w:szCs w:val="22"/>
                <w:lang w:val="en-GB"/>
              </w:rPr>
            </w:pPr>
            <w:r w:rsidRPr="000B3F7D">
              <w:rPr>
                <w:rFonts w:ascii="Arial" w:hAnsi="Arial" w:cs="Arial"/>
                <w:sz w:val="22"/>
                <w:szCs w:val="22"/>
                <w:lang w:val="en-GB"/>
              </w:rPr>
              <w:t>10</w:t>
            </w:r>
          </w:p>
        </w:tc>
        <w:tc>
          <w:tcPr>
            <w:tcW w:w="2008" w:type="dxa"/>
            <w:tcBorders>
              <w:top w:val="single" w:sz="4" w:space="0" w:color="auto"/>
              <w:left w:val="single" w:sz="4" w:space="0" w:color="auto"/>
              <w:bottom w:val="single" w:sz="4" w:space="0" w:color="auto"/>
              <w:right w:val="single" w:sz="4" w:space="0" w:color="auto"/>
            </w:tcBorders>
          </w:tcPr>
          <w:p w:rsidR="00FA10BF" w:rsidRPr="000B3F7D" w:rsidRDefault="00FA10BF" w:rsidP="00AB0FD7">
            <w:pPr>
              <w:pStyle w:val="TBLPara8N"/>
              <w:keepNext/>
              <w:jc w:val="center"/>
              <w:rPr>
                <w:rFonts w:ascii="Arial" w:hAnsi="Arial" w:cs="Arial"/>
                <w:sz w:val="22"/>
                <w:szCs w:val="22"/>
                <w:lang w:val="en-GB"/>
              </w:rPr>
            </w:pPr>
            <w:r w:rsidRPr="000B3F7D">
              <w:rPr>
                <w:rFonts w:ascii="Arial" w:hAnsi="Arial" w:cs="Arial"/>
                <w:sz w:val="22"/>
                <w:szCs w:val="22"/>
                <w:lang w:val="en-GB"/>
              </w:rPr>
              <w:t>&lt;1</w:t>
            </w:r>
          </w:p>
        </w:tc>
      </w:tr>
      <w:tr w:rsidR="00FA10BF" w:rsidRPr="000B3F7D">
        <w:tblPrEx>
          <w:tblBorders>
            <w:top w:val="single" w:sz="12" w:space="0" w:color="808080"/>
            <w:left w:val="nil"/>
            <w:bottom w:val="single" w:sz="12" w:space="0" w:color="808080"/>
            <w:right w:val="nil"/>
            <w:insideH w:val="nil"/>
            <w:insideV w:val="nil"/>
          </w:tblBorders>
          <w:tblLook w:val="0033"/>
        </w:tblPrEx>
        <w:trPr>
          <w:jc w:val="center"/>
        </w:trPr>
        <w:tc>
          <w:tcPr>
            <w:tcW w:w="4653" w:type="dxa"/>
            <w:tcBorders>
              <w:top w:val="single" w:sz="4" w:space="0" w:color="auto"/>
              <w:left w:val="single" w:sz="4" w:space="0" w:color="auto"/>
              <w:bottom w:val="single" w:sz="4" w:space="0" w:color="auto"/>
              <w:right w:val="single" w:sz="4" w:space="0" w:color="auto"/>
            </w:tcBorders>
          </w:tcPr>
          <w:p w:rsidR="00FA10BF" w:rsidRPr="000B3F7D" w:rsidRDefault="00FA10BF" w:rsidP="00AB0FD7">
            <w:pPr>
              <w:pStyle w:val="TBLPara8N"/>
              <w:keepNext/>
              <w:rPr>
                <w:rFonts w:ascii="Arial" w:hAnsi="Arial" w:cs="Arial"/>
                <w:sz w:val="22"/>
                <w:szCs w:val="22"/>
                <w:lang w:val="en-GB"/>
              </w:rPr>
            </w:pPr>
            <w:r w:rsidRPr="000B3F7D">
              <w:rPr>
                <w:rFonts w:ascii="Arial" w:hAnsi="Arial" w:cs="Arial"/>
                <w:sz w:val="22"/>
                <w:szCs w:val="22"/>
                <w:lang w:val="en-GB"/>
              </w:rPr>
              <w:t>Pruritus</w:t>
            </w:r>
          </w:p>
        </w:tc>
        <w:tc>
          <w:tcPr>
            <w:tcW w:w="2077" w:type="dxa"/>
            <w:tcBorders>
              <w:top w:val="single" w:sz="4" w:space="0" w:color="auto"/>
              <w:left w:val="single" w:sz="4" w:space="0" w:color="auto"/>
              <w:bottom w:val="single" w:sz="4" w:space="0" w:color="auto"/>
              <w:right w:val="single" w:sz="4" w:space="0" w:color="auto"/>
            </w:tcBorders>
          </w:tcPr>
          <w:p w:rsidR="00FA10BF" w:rsidRPr="000B3F7D" w:rsidRDefault="00FA10BF" w:rsidP="00AB0FD7">
            <w:pPr>
              <w:pStyle w:val="TBLPara8N"/>
              <w:keepNext/>
              <w:jc w:val="center"/>
              <w:rPr>
                <w:rFonts w:ascii="Arial" w:hAnsi="Arial" w:cs="Arial"/>
                <w:sz w:val="22"/>
                <w:szCs w:val="22"/>
                <w:lang w:val="en-GB"/>
              </w:rPr>
            </w:pPr>
            <w:r w:rsidRPr="000B3F7D">
              <w:rPr>
                <w:rFonts w:ascii="Arial" w:hAnsi="Arial" w:cs="Arial"/>
                <w:sz w:val="22"/>
                <w:szCs w:val="22"/>
                <w:lang w:val="en-GB"/>
              </w:rPr>
              <w:t>10</w:t>
            </w:r>
          </w:p>
        </w:tc>
        <w:tc>
          <w:tcPr>
            <w:tcW w:w="2008" w:type="dxa"/>
            <w:tcBorders>
              <w:top w:val="single" w:sz="4" w:space="0" w:color="auto"/>
              <w:left w:val="single" w:sz="4" w:space="0" w:color="auto"/>
              <w:bottom w:val="single" w:sz="4" w:space="0" w:color="auto"/>
              <w:right w:val="single" w:sz="4" w:space="0" w:color="auto"/>
            </w:tcBorders>
          </w:tcPr>
          <w:p w:rsidR="00FA10BF" w:rsidRPr="000B3F7D" w:rsidRDefault="00FA10BF" w:rsidP="00AB0FD7">
            <w:pPr>
              <w:pStyle w:val="TBLPara8N"/>
              <w:keepNext/>
              <w:jc w:val="center"/>
              <w:rPr>
                <w:rFonts w:ascii="Arial" w:hAnsi="Arial" w:cs="Arial"/>
                <w:sz w:val="22"/>
                <w:szCs w:val="22"/>
                <w:lang w:val="en-GB"/>
              </w:rPr>
            </w:pPr>
            <w:r w:rsidRPr="000B3F7D">
              <w:rPr>
                <w:rFonts w:ascii="Arial" w:hAnsi="Arial" w:cs="Arial"/>
                <w:sz w:val="22"/>
                <w:szCs w:val="22"/>
                <w:lang w:val="en-GB"/>
              </w:rPr>
              <w:t>6</w:t>
            </w:r>
          </w:p>
        </w:tc>
      </w:tr>
    </w:tbl>
    <w:p w:rsidR="007763C8" w:rsidRPr="000B3F7D" w:rsidRDefault="007763C8" w:rsidP="007763C8">
      <w:pPr>
        <w:rPr>
          <w:rFonts w:ascii="Arial" w:hAnsi="Arial" w:cs="Arial"/>
          <w:sz w:val="22"/>
          <w:szCs w:val="22"/>
        </w:rPr>
      </w:pPr>
    </w:p>
    <w:p w:rsidR="00DF2D9B" w:rsidRPr="000B3F7D" w:rsidRDefault="00DF2D9B" w:rsidP="00DF2D9B">
      <w:pPr>
        <w:autoSpaceDE w:val="0"/>
        <w:autoSpaceDN w:val="0"/>
        <w:adjustRightInd w:val="0"/>
        <w:spacing w:line="300" w:lineRule="atLeast"/>
        <w:jc w:val="both"/>
        <w:rPr>
          <w:rFonts w:ascii="Arial" w:hAnsi="Arial" w:cs="Arial"/>
          <w:iCs/>
          <w:sz w:val="22"/>
          <w:szCs w:val="22"/>
          <w:lang w:val="en-AU"/>
        </w:rPr>
      </w:pPr>
      <w:r w:rsidRPr="000B3F7D">
        <w:rPr>
          <w:rFonts w:ascii="Arial" w:hAnsi="Arial" w:cs="Arial"/>
          <w:iCs/>
          <w:sz w:val="22"/>
          <w:szCs w:val="22"/>
          <w:lang w:val="en-AU"/>
        </w:rPr>
        <w:t>In the TYKERB plus letrozole treatment group, the most commonly observed study medication related serious adverse events were decreased left ventricular ejection fraction (LVEF) (2% of patients, compared to 1% for letrozole plus placebo) and diarrhoea (2% of patients, compared to &lt;1% for letrozole plus placebo).  Other study medication related serious adverse events, including skin rash, hepatotoxicity and pneumonitis, were observed in &lt;1% of patients. The most common adverse events leading to discontinuation of treatment in the TYKERB plus letrozole treatment group were diarrhoea (4%) and vomiting (2%).</w:t>
      </w:r>
    </w:p>
    <w:p w:rsidR="00F15174" w:rsidRPr="000B3F7D" w:rsidRDefault="00F15174" w:rsidP="007763C8">
      <w:pPr>
        <w:rPr>
          <w:rFonts w:ascii="Arial" w:hAnsi="Arial" w:cs="Arial"/>
          <w:sz w:val="22"/>
          <w:szCs w:val="22"/>
        </w:rPr>
      </w:pPr>
    </w:p>
    <w:p w:rsidR="00C856D0" w:rsidRPr="000B3F7D" w:rsidRDefault="00C856D0" w:rsidP="00C856D0">
      <w:pPr>
        <w:jc w:val="both"/>
        <w:rPr>
          <w:rFonts w:ascii="Arial" w:hAnsi="Arial" w:cs="Arial"/>
          <w:sz w:val="22"/>
          <w:szCs w:val="22"/>
        </w:rPr>
      </w:pPr>
    </w:p>
    <w:p w:rsidR="00D01DBB" w:rsidRPr="000B3F7D" w:rsidRDefault="00D01DBB" w:rsidP="007763C8">
      <w:pPr>
        <w:spacing w:line="240" w:lineRule="atLeast"/>
        <w:rPr>
          <w:rFonts w:ascii="Arial" w:hAnsi="Arial" w:cs="Arial"/>
          <w:b/>
          <w:sz w:val="22"/>
          <w:szCs w:val="22"/>
          <w:lang w:val="en-US"/>
        </w:rPr>
      </w:pPr>
      <w:r w:rsidRPr="000B3F7D">
        <w:rPr>
          <w:rFonts w:ascii="Arial" w:hAnsi="Arial" w:cs="Arial"/>
          <w:b/>
          <w:sz w:val="22"/>
          <w:szCs w:val="22"/>
          <w:lang w:val="en-US"/>
        </w:rPr>
        <w:t>DOSAGE AND ADMINISTRATION</w:t>
      </w:r>
    </w:p>
    <w:p w:rsidR="00D01DBB" w:rsidRPr="000B3F7D" w:rsidRDefault="00D01DBB" w:rsidP="007763C8">
      <w:pPr>
        <w:jc w:val="both"/>
        <w:rPr>
          <w:rFonts w:ascii="Arial" w:hAnsi="Arial" w:cs="Arial"/>
          <w:sz w:val="22"/>
          <w:szCs w:val="22"/>
        </w:rPr>
      </w:pPr>
      <w:r w:rsidRPr="000B3F7D">
        <w:rPr>
          <w:rFonts w:ascii="Arial" w:hAnsi="Arial" w:cs="Arial"/>
          <w:sz w:val="22"/>
          <w:szCs w:val="22"/>
        </w:rPr>
        <w:t>TYKERB</w:t>
      </w:r>
      <w:r w:rsidRPr="000B3F7D">
        <w:rPr>
          <w:rStyle w:val="CSIchar"/>
          <w:rFonts w:ascii="Arial" w:hAnsi="Arial" w:cs="Arial"/>
          <w:sz w:val="22"/>
          <w:szCs w:val="22"/>
          <w:shd w:val="clear" w:color="auto" w:fill="auto"/>
        </w:rPr>
        <w:t xml:space="preserve"> treatment should only be initiated by a physician experienced in the administration of anti-cancer agents. </w:t>
      </w:r>
    </w:p>
    <w:p w:rsidR="00D01DBB" w:rsidRPr="000B3F7D" w:rsidRDefault="00D01DBB" w:rsidP="007763C8">
      <w:pPr>
        <w:rPr>
          <w:rStyle w:val="CSIchar"/>
          <w:rFonts w:ascii="Arial" w:hAnsi="Arial" w:cs="Arial"/>
          <w:sz w:val="22"/>
          <w:szCs w:val="22"/>
          <w:shd w:val="clear" w:color="auto" w:fill="auto"/>
        </w:rPr>
      </w:pPr>
    </w:p>
    <w:p w:rsidR="00D01DBB" w:rsidRPr="000B3F7D" w:rsidRDefault="00D01DBB" w:rsidP="007763C8">
      <w:pPr>
        <w:jc w:val="both"/>
        <w:rPr>
          <w:rStyle w:val="CSIchar"/>
          <w:rFonts w:ascii="Arial" w:hAnsi="Arial" w:cs="Arial"/>
          <w:sz w:val="22"/>
          <w:szCs w:val="22"/>
          <w:shd w:val="clear" w:color="auto" w:fill="auto"/>
        </w:rPr>
      </w:pPr>
      <w:r w:rsidRPr="000B3F7D">
        <w:rPr>
          <w:rStyle w:val="CSIchar"/>
          <w:rFonts w:ascii="Arial" w:hAnsi="Arial" w:cs="Arial"/>
          <w:sz w:val="22"/>
          <w:szCs w:val="22"/>
          <w:shd w:val="clear" w:color="auto" w:fill="auto"/>
        </w:rPr>
        <w:t>Prior to the initiation of treatment, left ventricular ejection fraction (LVEF) must be evaluated to ensure that baseline LVEF is within the institutional limits of normal (</w:t>
      </w:r>
      <w:r w:rsidRPr="000B3F7D">
        <w:rPr>
          <w:rStyle w:val="CSIchar"/>
          <w:rFonts w:ascii="Arial" w:hAnsi="Arial" w:cs="Arial"/>
          <w:i/>
          <w:sz w:val="22"/>
          <w:szCs w:val="22"/>
          <w:shd w:val="clear" w:color="auto" w:fill="auto"/>
        </w:rPr>
        <w:t>see Precautions</w:t>
      </w:r>
      <w:r w:rsidRPr="000B3F7D">
        <w:rPr>
          <w:rStyle w:val="CSIchar"/>
          <w:rFonts w:ascii="Arial" w:hAnsi="Arial" w:cs="Arial"/>
          <w:sz w:val="22"/>
          <w:szCs w:val="22"/>
          <w:shd w:val="clear" w:color="auto" w:fill="auto"/>
        </w:rPr>
        <w:t xml:space="preserve">). </w:t>
      </w:r>
      <w:r w:rsidR="0093006E" w:rsidRPr="000B3F7D">
        <w:rPr>
          <w:rStyle w:val="CSIchar"/>
          <w:rFonts w:ascii="Arial" w:hAnsi="Arial" w:cs="Arial"/>
          <w:sz w:val="22"/>
          <w:szCs w:val="22"/>
          <w:shd w:val="clear" w:color="auto" w:fill="auto"/>
        </w:rPr>
        <w:t xml:space="preserve"> </w:t>
      </w:r>
      <w:r w:rsidRPr="000B3F7D">
        <w:rPr>
          <w:rStyle w:val="CSIchar"/>
          <w:rFonts w:ascii="Arial" w:hAnsi="Arial" w:cs="Arial"/>
          <w:sz w:val="22"/>
          <w:szCs w:val="22"/>
          <w:shd w:val="clear" w:color="auto" w:fill="auto"/>
        </w:rPr>
        <w:t xml:space="preserve">LVEF must continue to be monitored during treatment with </w:t>
      </w:r>
      <w:r w:rsidRPr="000B3F7D">
        <w:rPr>
          <w:rFonts w:ascii="Arial" w:hAnsi="Arial" w:cs="Arial"/>
          <w:sz w:val="22"/>
          <w:szCs w:val="22"/>
        </w:rPr>
        <w:t>TYKERB</w:t>
      </w:r>
      <w:r w:rsidRPr="000B3F7D">
        <w:rPr>
          <w:rStyle w:val="CSIchar"/>
          <w:rFonts w:ascii="Arial" w:hAnsi="Arial" w:cs="Arial"/>
          <w:sz w:val="22"/>
          <w:szCs w:val="22"/>
          <w:shd w:val="clear" w:color="auto" w:fill="auto"/>
        </w:rPr>
        <w:t xml:space="preserve"> to ensure that LVEF does not decline below the institutional lower limit of normal (</w:t>
      </w:r>
      <w:r w:rsidRPr="000B3F7D">
        <w:rPr>
          <w:rStyle w:val="CSIchar"/>
          <w:rFonts w:ascii="Arial" w:hAnsi="Arial" w:cs="Arial"/>
          <w:i/>
          <w:sz w:val="22"/>
          <w:szCs w:val="22"/>
          <w:shd w:val="clear" w:color="auto" w:fill="auto"/>
        </w:rPr>
        <w:t xml:space="preserve">see </w:t>
      </w:r>
      <w:r w:rsidR="005E246B" w:rsidRPr="000B3F7D">
        <w:rPr>
          <w:rStyle w:val="CSIchar"/>
          <w:rFonts w:ascii="Arial" w:hAnsi="Arial" w:cs="Arial"/>
          <w:i/>
          <w:sz w:val="22"/>
          <w:szCs w:val="22"/>
          <w:shd w:val="clear" w:color="auto" w:fill="auto"/>
        </w:rPr>
        <w:t>D</w:t>
      </w:r>
      <w:r w:rsidRPr="000B3F7D">
        <w:rPr>
          <w:rStyle w:val="CSIchar"/>
          <w:rFonts w:ascii="Arial" w:hAnsi="Arial" w:cs="Arial"/>
          <w:i/>
          <w:sz w:val="22"/>
          <w:szCs w:val="22"/>
          <w:shd w:val="clear" w:color="auto" w:fill="auto"/>
        </w:rPr>
        <w:t xml:space="preserve">ose delay and dose reduction — </w:t>
      </w:r>
      <w:r w:rsidR="005E246B" w:rsidRPr="000B3F7D">
        <w:rPr>
          <w:rStyle w:val="CSIchar"/>
          <w:rFonts w:ascii="Arial" w:hAnsi="Arial" w:cs="Arial"/>
          <w:i/>
          <w:sz w:val="22"/>
          <w:szCs w:val="22"/>
          <w:shd w:val="clear" w:color="auto" w:fill="auto"/>
        </w:rPr>
        <w:t>C</w:t>
      </w:r>
      <w:r w:rsidRPr="000B3F7D">
        <w:rPr>
          <w:rStyle w:val="CSIchar"/>
          <w:rFonts w:ascii="Arial" w:hAnsi="Arial" w:cs="Arial"/>
          <w:i/>
          <w:sz w:val="22"/>
          <w:szCs w:val="22"/>
          <w:shd w:val="clear" w:color="auto" w:fill="auto"/>
        </w:rPr>
        <w:t>ardiac events</w:t>
      </w:r>
      <w:r w:rsidRPr="000B3F7D">
        <w:rPr>
          <w:rStyle w:val="CSIchar"/>
          <w:rFonts w:ascii="Arial" w:hAnsi="Arial" w:cs="Arial"/>
          <w:sz w:val="22"/>
          <w:szCs w:val="22"/>
          <w:shd w:val="clear" w:color="auto" w:fill="auto"/>
        </w:rPr>
        <w:t>).</w:t>
      </w:r>
    </w:p>
    <w:p w:rsidR="00D01DBB" w:rsidRPr="000B3F7D" w:rsidRDefault="00D01DBB" w:rsidP="007763C8">
      <w:pPr>
        <w:rPr>
          <w:rFonts w:ascii="Arial" w:hAnsi="Arial" w:cs="Arial"/>
          <w:sz w:val="22"/>
          <w:szCs w:val="22"/>
        </w:rPr>
      </w:pPr>
    </w:p>
    <w:p w:rsidR="00EC01C4" w:rsidRPr="000B3F7D" w:rsidRDefault="00EC01C4" w:rsidP="00EC01C4">
      <w:pPr>
        <w:autoSpaceDE w:val="0"/>
        <w:autoSpaceDN w:val="0"/>
        <w:adjustRightInd w:val="0"/>
        <w:ind w:right="-52"/>
        <w:jc w:val="both"/>
        <w:rPr>
          <w:rFonts w:ascii="Arial" w:hAnsi="Arial" w:cs="Arial"/>
          <w:sz w:val="22"/>
          <w:szCs w:val="22"/>
        </w:rPr>
      </w:pPr>
      <w:r w:rsidRPr="000B3F7D">
        <w:rPr>
          <w:rFonts w:ascii="Arial" w:hAnsi="Arial" w:cs="Arial"/>
          <w:sz w:val="22"/>
          <w:szCs w:val="22"/>
        </w:rPr>
        <w:t xml:space="preserve">HER2 protein overexpression or gene amplification is necessary for the selection of patients for whom TYKERB therapy is appropriate.  Evidence of a previous positive test result for HER2 overexpression or gene amplification should be confirmed before initiating therapy with TYKERB.  If historical results are not available, repeat HER2 testing should be considered. </w:t>
      </w:r>
    </w:p>
    <w:p w:rsidR="00EC01C4" w:rsidRPr="000B3F7D" w:rsidRDefault="00EC01C4" w:rsidP="00EC01C4">
      <w:pPr>
        <w:autoSpaceDE w:val="0"/>
        <w:autoSpaceDN w:val="0"/>
        <w:adjustRightInd w:val="0"/>
        <w:ind w:right="253"/>
        <w:rPr>
          <w:rFonts w:ascii="Arial" w:hAnsi="Arial" w:cs="Arial"/>
          <w:sz w:val="22"/>
          <w:szCs w:val="22"/>
        </w:rPr>
      </w:pPr>
    </w:p>
    <w:p w:rsidR="00EC01C4" w:rsidRPr="000B3F7D" w:rsidRDefault="00EC01C4" w:rsidP="00EC01C4">
      <w:pPr>
        <w:jc w:val="both"/>
        <w:rPr>
          <w:rFonts w:ascii="Arial" w:hAnsi="Arial" w:cs="Arial"/>
          <w:sz w:val="22"/>
          <w:szCs w:val="22"/>
        </w:rPr>
      </w:pPr>
      <w:r w:rsidRPr="000B3F7D">
        <w:rPr>
          <w:rFonts w:ascii="Arial" w:hAnsi="Arial" w:cs="Arial"/>
          <w:sz w:val="22"/>
          <w:szCs w:val="22"/>
        </w:rPr>
        <w:t>Assessment of HER2 overexpression and/or of HER2 gene amplification should be performed by laboratories with accreditation or demonstrated proficiency.  HER2 overexpressing tumours are defined by a score of 3+ using an immunohistochemistry (IHC)-based assessment, or IHC2+ and gene amplification or gene amplification alone.</w:t>
      </w:r>
    </w:p>
    <w:p w:rsidR="00EC01C4" w:rsidRPr="000B3F7D" w:rsidRDefault="00EC01C4" w:rsidP="00EC01C4">
      <w:pPr>
        <w:rPr>
          <w:rStyle w:val="CSIchar"/>
          <w:rFonts w:ascii="Arial" w:hAnsi="Arial" w:cs="Arial"/>
          <w:sz w:val="22"/>
          <w:szCs w:val="22"/>
          <w:shd w:val="clear" w:color="auto" w:fill="auto"/>
        </w:rPr>
      </w:pPr>
    </w:p>
    <w:p w:rsidR="00EC01C4" w:rsidRPr="000B3F7D" w:rsidRDefault="00EC01C4" w:rsidP="00EC01C4">
      <w:pPr>
        <w:jc w:val="both"/>
        <w:rPr>
          <w:rFonts w:ascii="Arial" w:hAnsi="Arial" w:cs="Arial"/>
          <w:sz w:val="22"/>
          <w:szCs w:val="22"/>
        </w:rPr>
      </w:pPr>
      <w:r w:rsidRPr="000B3F7D">
        <w:rPr>
          <w:rStyle w:val="CSIchar"/>
          <w:rFonts w:ascii="Arial" w:hAnsi="Arial" w:cs="Arial"/>
          <w:sz w:val="22"/>
          <w:szCs w:val="22"/>
          <w:shd w:val="clear" w:color="auto" w:fill="auto"/>
        </w:rPr>
        <w:t xml:space="preserve">Treatment with </w:t>
      </w:r>
      <w:r w:rsidRPr="000B3F7D">
        <w:rPr>
          <w:rFonts w:ascii="Arial" w:hAnsi="Arial" w:cs="Arial"/>
          <w:sz w:val="22"/>
          <w:szCs w:val="22"/>
        </w:rPr>
        <w:t>TYKERB should be continued until disease progression or unacceptable toxicity occurs.</w:t>
      </w:r>
    </w:p>
    <w:p w:rsidR="00EC01C4" w:rsidRPr="000B3F7D" w:rsidRDefault="00EC01C4" w:rsidP="00EC01C4">
      <w:pPr>
        <w:jc w:val="both"/>
        <w:rPr>
          <w:rFonts w:ascii="Arial" w:hAnsi="Arial" w:cs="Arial"/>
          <w:sz w:val="22"/>
          <w:szCs w:val="22"/>
        </w:rPr>
      </w:pPr>
    </w:p>
    <w:p w:rsidR="00D01DBB" w:rsidRPr="000B3F7D" w:rsidRDefault="00D01DBB" w:rsidP="007763C8">
      <w:pPr>
        <w:jc w:val="both"/>
        <w:rPr>
          <w:rFonts w:ascii="Arial" w:hAnsi="Arial" w:cs="Arial"/>
          <w:sz w:val="22"/>
          <w:szCs w:val="22"/>
        </w:rPr>
      </w:pPr>
      <w:r w:rsidRPr="000B3F7D">
        <w:rPr>
          <w:rFonts w:ascii="Arial" w:hAnsi="Arial" w:cs="Arial"/>
          <w:sz w:val="22"/>
          <w:szCs w:val="22"/>
        </w:rPr>
        <w:t>TYKERB</w:t>
      </w:r>
      <w:r w:rsidRPr="000B3F7D">
        <w:rPr>
          <w:rStyle w:val="CSIchar"/>
          <w:rFonts w:ascii="Arial" w:hAnsi="Arial" w:cs="Arial"/>
          <w:sz w:val="22"/>
          <w:szCs w:val="22"/>
          <w:shd w:val="clear" w:color="auto" w:fill="auto"/>
        </w:rPr>
        <w:t xml:space="preserve"> should be taken at least one hour before, or at least one hour after food (</w:t>
      </w:r>
      <w:r w:rsidRPr="000B3F7D">
        <w:rPr>
          <w:rStyle w:val="CSIchar"/>
          <w:rFonts w:ascii="Arial" w:hAnsi="Arial" w:cs="Arial"/>
          <w:i/>
          <w:sz w:val="22"/>
          <w:szCs w:val="22"/>
          <w:shd w:val="clear" w:color="auto" w:fill="auto"/>
        </w:rPr>
        <w:t>see Interactions and Pharmacokinetics — Absorption</w:t>
      </w:r>
      <w:r w:rsidRPr="000B3F7D">
        <w:rPr>
          <w:rStyle w:val="CSIchar"/>
          <w:rFonts w:ascii="Arial" w:hAnsi="Arial" w:cs="Arial"/>
          <w:sz w:val="22"/>
          <w:szCs w:val="22"/>
          <w:shd w:val="clear" w:color="auto" w:fill="auto"/>
        </w:rPr>
        <w:t>).</w:t>
      </w:r>
      <w:r w:rsidR="00431D1A" w:rsidRPr="000B3F7D">
        <w:rPr>
          <w:rStyle w:val="CSIchar"/>
          <w:rFonts w:ascii="Arial" w:hAnsi="Arial" w:cs="Arial"/>
          <w:sz w:val="22"/>
          <w:szCs w:val="22"/>
          <w:shd w:val="clear" w:color="auto" w:fill="auto"/>
        </w:rPr>
        <w:t xml:space="preserve">  The recommended daily TYKERB dose should not be divided.</w:t>
      </w:r>
    </w:p>
    <w:p w:rsidR="00D01DBB" w:rsidRPr="000B3F7D" w:rsidRDefault="00D01DBB" w:rsidP="007763C8">
      <w:pPr>
        <w:rPr>
          <w:rFonts w:ascii="Arial" w:hAnsi="Arial" w:cs="Arial"/>
          <w:sz w:val="22"/>
          <w:szCs w:val="22"/>
        </w:rPr>
      </w:pPr>
    </w:p>
    <w:p w:rsidR="00D01DBB" w:rsidRPr="000B3F7D" w:rsidRDefault="00D01DBB" w:rsidP="007763C8">
      <w:pPr>
        <w:jc w:val="both"/>
        <w:rPr>
          <w:rStyle w:val="CSIchar"/>
          <w:rFonts w:ascii="Arial" w:hAnsi="Arial" w:cs="Arial"/>
          <w:sz w:val="22"/>
          <w:szCs w:val="22"/>
          <w:shd w:val="clear" w:color="auto" w:fill="auto"/>
        </w:rPr>
      </w:pPr>
      <w:r w:rsidRPr="000B3F7D">
        <w:rPr>
          <w:rStyle w:val="CSIchar"/>
          <w:rFonts w:ascii="Arial" w:hAnsi="Arial" w:cs="Arial"/>
          <w:sz w:val="22"/>
          <w:szCs w:val="22"/>
          <w:shd w:val="clear" w:color="auto" w:fill="auto"/>
        </w:rPr>
        <w:t>Missed doses should not be replaced and the dosing should resume with the next scheduled daily dose (</w:t>
      </w:r>
      <w:r w:rsidRPr="000B3F7D">
        <w:rPr>
          <w:rStyle w:val="CSIchar"/>
          <w:rFonts w:ascii="Arial" w:hAnsi="Arial" w:cs="Arial"/>
          <w:i/>
          <w:sz w:val="22"/>
          <w:szCs w:val="22"/>
          <w:shd w:val="clear" w:color="auto" w:fill="auto"/>
        </w:rPr>
        <w:t>see Overdosage</w:t>
      </w:r>
      <w:r w:rsidRPr="000B3F7D">
        <w:rPr>
          <w:rStyle w:val="CSIchar"/>
          <w:rFonts w:ascii="Arial" w:hAnsi="Arial" w:cs="Arial"/>
          <w:sz w:val="22"/>
          <w:szCs w:val="22"/>
          <w:shd w:val="clear" w:color="auto" w:fill="auto"/>
        </w:rPr>
        <w:t>).</w:t>
      </w:r>
    </w:p>
    <w:p w:rsidR="00D01DBB" w:rsidRPr="000B3F7D" w:rsidRDefault="00D01DBB" w:rsidP="007763C8">
      <w:pPr>
        <w:rPr>
          <w:rFonts w:ascii="Arial" w:hAnsi="Arial" w:cs="Arial"/>
          <w:sz w:val="22"/>
          <w:szCs w:val="22"/>
        </w:rPr>
      </w:pPr>
    </w:p>
    <w:p w:rsidR="00431D1A" w:rsidRPr="000B3F7D" w:rsidRDefault="00431D1A" w:rsidP="007763C8">
      <w:pPr>
        <w:jc w:val="both"/>
        <w:rPr>
          <w:rStyle w:val="CSIchar"/>
          <w:rFonts w:ascii="Arial" w:hAnsi="Arial" w:cs="Arial"/>
          <w:sz w:val="22"/>
          <w:szCs w:val="22"/>
          <w:shd w:val="clear" w:color="auto" w:fill="auto"/>
        </w:rPr>
      </w:pPr>
      <w:r w:rsidRPr="000B3F7D">
        <w:rPr>
          <w:rStyle w:val="CSIchar"/>
          <w:rFonts w:ascii="Arial" w:hAnsi="Arial" w:cs="Arial"/>
          <w:sz w:val="22"/>
          <w:szCs w:val="22"/>
          <w:shd w:val="clear" w:color="auto" w:fill="auto"/>
        </w:rPr>
        <w:t>Consult the product information of the co-administered medicinal product for relevant details of their dosage, contraindications and safety information.</w:t>
      </w:r>
    </w:p>
    <w:p w:rsidR="00431D1A" w:rsidRPr="000B3F7D" w:rsidRDefault="00431D1A" w:rsidP="007763C8">
      <w:pPr>
        <w:jc w:val="both"/>
        <w:rPr>
          <w:rStyle w:val="CSIchar"/>
          <w:rFonts w:ascii="Arial" w:hAnsi="Arial" w:cs="Arial"/>
          <w:b/>
          <w:sz w:val="22"/>
          <w:szCs w:val="22"/>
          <w:shd w:val="clear" w:color="auto" w:fill="auto"/>
        </w:rPr>
      </w:pPr>
    </w:p>
    <w:p w:rsidR="00431D1A" w:rsidRPr="000B3F7D" w:rsidRDefault="00431D1A" w:rsidP="007763C8">
      <w:pPr>
        <w:jc w:val="both"/>
        <w:rPr>
          <w:rStyle w:val="CSIchar"/>
          <w:rFonts w:ascii="Arial" w:hAnsi="Arial" w:cs="Arial"/>
          <w:b/>
          <w:sz w:val="22"/>
          <w:szCs w:val="22"/>
          <w:shd w:val="clear" w:color="auto" w:fill="auto"/>
        </w:rPr>
      </w:pPr>
      <w:r w:rsidRPr="000B3F7D">
        <w:rPr>
          <w:rStyle w:val="CSIchar"/>
          <w:rFonts w:ascii="Arial" w:hAnsi="Arial" w:cs="Arial"/>
          <w:b/>
          <w:sz w:val="22"/>
          <w:szCs w:val="22"/>
          <w:shd w:val="clear" w:color="auto" w:fill="auto"/>
        </w:rPr>
        <w:t>HER2+ over expressing metastatic breast cancer</w:t>
      </w:r>
    </w:p>
    <w:p w:rsidR="00A07C63" w:rsidRDefault="00A07C63" w:rsidP="00C24EDF">
      <w:pPr>
        <w:spacing w:before="120"/>
        <w:jc w:val="both"/>
        <w:rPr>
          <w:rStyle w:val="CSIchar"/>
          <w:rFonts w:ascii="Arial" w:hAnsi="Arial" w:cs="Arial"/>
          <w:b/>
          <w:i/>
          <w:sz w:val="22"/>
          <w:szCs w:val="22"/>
          <w:shd w:val="clear" w:color="auto" w:fill="auto"/>
        </w:rPr>
      </w:pPr>
      <w:r>
        <w:rPr>
          <w:rStyle w:val="CSIchar"/>
          <w:rFonts w:ascii="Arial" w:hAnsi="Arial" w:cs="Arial"/>
          <w:b/>
          <w:i/>
          <w:sz w:val="22"/>
          <w:szCs w:val="22"/>
          <w:shd w:val="clear" w:color="auto" w:fill="auto"/>
        </w:rPr>
        <w:t>TYKERB in combination with capecitabine</w:t>
      </w:r>
    </w:p>
    <w:p w:rsidR="00431D1A" w:rsidRPr="000B3F7D" w:rsidRDefault="00431D1A" w:rsidP="00A07C63">
      <w:pPr>
        <w:spacing w:before="120"/>
        <w:jc w:val="both"/>
        <w:rPr>
          <w:rStyle w:val="CSIchar"/>
          <w:rFonts w:ascii="Arial" w:hAnsi="Arial" w:cs="Arial"/>
          <w:sz w:val="22"/>
          <w:szCs w:val="22"/>
          <w:shd w:val="clear" w:color="auto" w:fill="auto"/>
        </w:rPr>
      </w:pPr>
      <w:r w:rsidRPr="000B3F7D">
        <w:rPr>
          <w:rStyle w:val="CSIchar"/>
          <w:rFonts w:ascii="Arial" w:hAnsi="Arial" w:cs="Arial"/>
          <w:sz w:val="22"/>
          <w:szCs w:val="22"/>
          <w:shd w:val="clear" w:color="auto" w:fill="auto"/>
        </w:rPr>
        <w:t>The recommended dose of TYKERB is 1250 mg (i.e. five tablets) once daily continuously when taken in combination with capecitabine.</w:t>
      </w:r>
    </w:p>
    <w:p w:rsidR="00431D1A" w:rsidRPr="000B3F7D" w:rsidRDefault="00431D1A" w:rsidP="007763C8">
      <w:pPr>
        <w:jc w:val="both"/>
        <w:rPr>
          <w:rStyle w:val="CSIchar"/>
          <w:rFonts w:ascii="Arial" w:hAnsi="Arial" w:cs="Arial"/>
          <w:b/>
          <w:sz w:val="22"/>
          <w:szCs w:val="22"/>
          <w:shd w:val="clear" w:color="auto" w:fill="auto"/>
        </w:rPr>
      </w:pPr>
    </w:p>
    <w:p w:rsidR="00D01DBB" w:rsidRDefault="00D01DBB" w:rsidP="007763C8">
      <w:pPr>
        <w:jc w:val="both"/>
        <w:rPr>
          <w:rStyle w:val="CSIchar"/>
          <w:rFonts w:ascii="Arial" w:hAnsi="Arial" w:cs="Arial"/>
          <w:sz w:val="22"/>
          <w:szCs w:val="22"/>
          <w:shd w:val="clear" w:color="auto" w:fill="auto"/>
        </w:rPr>
      </w:pPr>
      <w:r w:rsidRPr="000B3F7D">
        <w:rPr>
          <w:rStyle w:val="CSIchar"/>
          <w:rFonts w:ascii="Arial" w:hAnsi="Arial" w:cs="Arial"/>
          <w:sz w:val="22"/>
          <w:szCs w:val="22"/>
          <w:shd w:val="clear" w:color="auto" w:fill="auto"/>
        </w:rPr>
        <w:t>The recommended dose of capecitabine is 2000 mg/m</w:t>
      </w:r>
      <w:r w:rsidRPr="000B3F7D">
        <w:rPr>
          <w:rStyle w:val="CSIchar"/>
          <w:rFonts w:ascii="Arial" w:hAnsi="Arial" w:cs="Arial"/>
          <w:sz w:val="22"/>
          <w:szCs w:val="22"/>
          <w:shd w:val="clear" w:color="auto" w:fill="auto"/>
          <w:vertAlign w:val="superscript"/>
        </w:rPr>
        <w:t>2</w:t>
      </w:r>
      <w:r w:rsidRPr="000B3F7D">
        <w:rPr>
          <w:rStyle w:val="CSIchar"/>
          <w:rFonts w:ascii="Arial" w:hAnsi="Arial" w:cs="Arial"/>
          <w:sz w:val="22"/>
          <w:szCs w:val="22"/>
          <w:shd w:val="clear" w:color="auto" w:fill="auto"/>
        </w:rPr>
        <w:t>/day taken in 2 doses 12 hours apart on days 1-14 in a 21 day cycle (</w:t>
      </w:r>
      <w:r w:rsidRPr="000B3F7D">
        <w:rPr>
          <w:rStyle w:val="CSIchar"/>
          <w:rFonts w:ascii="Arial" w:hAnsi="Arial" w:cs="Arial"/>
          <w:i/>
          <w:sz w:val="22"/>
          <w:szCs w:val="22"/>
          <w:shd w:val="clear" w:color="auto" w:fill="auto"/>
        </w:rPr>
        <w:t xml:space="preserve">see Clinical </w:t>
      </w:r>
      <w:r w:rsidR="00C557BD" w:rsidRPr="000B3F7D">
        <w:rPr>
          <w:rStyle w:val="CSIchar"/>
          <w:rFonts w:ascii="Arial" w:hAnsi="Arial" w:cs="Arial"/>
          <w:i/>
          <w:sz w:val="22"/>
          <w:szCs w:val="22"/>
          <w:shd w:val="clear" w:color="auto" w:fill="auto"/>
        </w:rPr>
        <w:t>Trials</w:t>
      </w:r>
      <w:r w:rsidRPr="000B3F7D">
        <w:rPr>
          <w:rStyle w:val="CSIchar"/>
          <w:rFonts w:ascii="Arial" w:hAnsi="Arial" w:cs="Arial"/>
          <w:sz w:val="22"/>
          <w:szCs w:val="22"/>
          <w:shd w:val="clear" w:color="auto" w:fill="auto"/>
        </w:rPr>
        <w:t xml:space="preserve">). </w:t>
      </w:r>
      <w:r w:rsidR="0093006E" w:rsidRPr="000B3F7D">
        <w:rPr>
          <w:rStyle w:val="CSIchar"/>
          <w:rFonts w:ascii="Arial" w:hAnsi="Arial" w:cs="Arial"/>
          <w:sz w:val="22"/>
          <w:szCs w:val="22"/>
          <w:shd w:val="clear" w:color="auto" w:fill="auto"/>
        </w:rPr>
        <w:t xml:space="preserve"> </w:t>
      </w:r>
      <w:r w:rsidRPr="000B3F7D">
        <w:rPr>
          <w:rStyle w:val="CSIchar"/>
          <w:rFonts w:ascii="Arial" w:hAnsi="Arial" w:cs="Arial"/>
          <w:sz w:val="22"/>
          <w:szCs w:val="22"/>
          <w:shd w:val="clear" w:color="auto" w:fill="auto"/>
        </w:rPr>
        <w:t>Capecitabine should be taken with food or within 30 minutes after food.</w:t>
      </w:r>
    </w:p>
    <w:p w:rsidR="00973119" w:rsidRDefault="00973119" w:rsidP="007763C8">
      <w:pPr>
        <w:jc w:val="both"/>
        <w:rPr>
          <w:rStyle w:val="CSIchar"/>
          <w:rFonts w:ascii="Arial" w:hAnsi="Arial" w:cs="Arial"/>
          <w:sz w:val="22"/>
          <w:szCs w:val="22"/>
          <w:shd w:val="clear" w:color="auto" w:fill="auto"/>
        </w:rPr>
      </w:pPr>
    </w:p>
    <w:p w:rsidR="00973119" w:rsidRDefault="00A07C63" w:rsidP="007763C8">
      <w:pPr>
        <w:jc w:val="both"/>
        <w:rPr>
          <w:rStyle w:val="CSIchar"/>
          <w:rFonts w:ascii="Arial" w:hAnsi="Arial" w:cs="Arial"/>
          <w:b/>
          <w:i/>
          <w:sz w:val="22"/>
          <w:szCs w:val="22"/>
          <w:shd w:val="clear" w:color="auto" w:fill="auto"/>
        </w:rPr>
      </w:pPr>
      <w:r>
        <w:rPr>
          <w:rStyle w:val="CSIchar"/>
          <w:rFonts w:ascii="Arial" w:hAnsi="Arial" w:cs="Arial"/>
          <w:b/>
          <w:i/>
          <w:sz w:val="22"/>
          <w:szCs w:val="22"/>
          <w:shd w:val="clear" w:color="auto" w:fill="auto"/>
        </w:rPr>
        <w:t>TYKERB</w:t>
      </w:r>
      <w:r w:rsidR="00973119">
        <w:rPr>
          <w:rStyle w:val="CSIchar"/>
          <w:rFonts w:ascii="Arial" w:hAnsi="Arial" w:cs="Arial"/>
          <w:b/>
          <w:i/>
          <w:sz w:val="22"/>
          <w:szCs w:val="22"/>
          <w:shd w:val="clear" w:color="auto" w:fill="auto"/>
        </w:rPr>
        <w:t xml:space="preserve"> in combination with paclitaxel</w:t>
      </w:r>
    </w:p>
    <w:p w:rsidR="00973119" w:rsidRPr="00A07C63" w:rsidRDefault="00973119" w:rsidP="00A07C63">
      <w:pPr>
        <w:spacing w:before="120"/>
        <w:jc w:val="both"/>
        <w:rPr>
          <w:rStyle w:val="CSIchar"/>
          <w:rFonts w:ascii="Arial" w:hAnsi="Arial" w:cs="Arial"/>
          <w:sz w:val="22"/>
          <w:szCs w:val="22"/>
          <w:shd w:val="clear" w:color="auto" w:fill="auto"/>
        </w:rPr>
      </w:pPr>
      <w:r>
        <w:rPr>
          <w:rStyle w:val="CSIchar"/>
          <w:rFonts w:ascii="Arial" w:hAnsi="Arial" w:cs="Arial"/>
          <w:sz w:val="22"/>
          <w:szCs w:val="22"/>
          <w:shd w:val="clear" w:color="auto" w:fill="auto"/>
        </w:rPr>
        <w:t>The recommended dose of TYKERB is 1500 mg (i.e. six tablets) once daily</w:t>
      </w:r>
      <w:r w:rsidR="00A07C63">
        <w:rPr>
          <w:rStyle w:val="CSIchar"/>
          <w:rFonts w:ascii="Arial" w:hAnsi="Arial" w:cs="Arial"/>
          <w:sz w:val="22"/>
          <w:szCs w:val="22"/>
          <w:shd w:val="clear" w:color="auto" w:fill="auto"/>
        </w:rPr>
        <w:t xml:space="preserve"> continuously in combination with paclitaxel.  When coadministered with TYKERB, the recommended dose of paclitaxel is 80 mg/m</w:t>
      </w:r>
      <w:r w:rsidR="00A07C63" w:rsidRPr="00A07C63">
        <w:rPr>
          <w:rStyle w:val="CSIchar"/>
          <w:rFonts w:ascii="Arial" w:hAnsi="Arial" w:cs="Arial"/>
          <w:sz w:val="22"/>
          <w:szCs w:val="22"/>
          <w:shd w:val="clear" w:color="auto" w:fill="auto"/>
          <w:vertAlign w:val="superscript"/>
        </w:rPr>
        <w:t>2</w:t>
      </w:r>
      <w:r w:rsidR="00A07C63">
        <w:rPr>
          <w:rStyle w:val="CSIchar"/>
          <w:rFonts w:ascii="Arial" w:hAnsi="Arial" w:cs="Arial"/>
          <w:sz w:val="22"/>
          <w:szCs w:val="22"/>
          <w:shd w:val="clear" w:color="auto" w:fill="auto"/>
          <w:vertAlign w:val="superscript"/>
        </w:rPr>
        <w:t xml:space="preserve"> </w:t>
      </w:r>
      <w:r w:rsidR="00A07C63">
        <w:rPr>
          <w:rStyle w:val="CSIchar"/>
          <w:rFonts w:ascii="Arial" w:hAnsi="Arial" w:cs="Arial"/>
          <w:sz w:val="22"/>
          <w:szCs w:val="22"/>
          <w:shd w:val="clear" w:color="auto" w:fill="auto"/>
        </w:rPr>
        <w:t>on days 1, 8, and 15 of a 28 day schedule.  Alternatively, paclitaxel may be given at a dose of 175 mg/m</w:t>
      </w:r>
      <w:r w:rsidR="00A07C63" w:rsidRPr="00A07C63">
        <w:rPr>
          <w:rStyle w:val="CSIchar"/>
          <w:rFonts w:ascii="Arial" w:hAnsi="Arial" w:cs="Arial"/>
          <w:sz w:val="22"/>
          <w:szCs w:val="22"/>
          <w:shd w:val="clear" w:color="auto" w:fill="auto"/>
          <w:vertAlign w:val="superscript"/>
        </w:rPr>
        <w:t>2</w:t>
      </w:r>
      <w:r w:rsidR="00A07C63">
        <w:rPr>
          <w:rStyle w:val="CSIchar"/>
          <w:rFonts w:ascii="Arial" w:hAnsi="Arial" w:cs="Arial"/>
          <w:sz w:val="22"/>
          <w:szCs w:val="22"/>
          <w:shd w:val="clear" w:color="auto" w:fill="auto"/>
          <w:vertAlign w:val="superscript"/>
        </w:rPr>
        <w:t xml:space="preserve"> </w:t>
      </w:r>
      <w:r w:rsidR="00A07C63">
        <w:rPr>
          <w:rStyle w:val="CSIchar"/>
          <w:rFonts w:ascii="Arial" w:hAnsi="Arial" w:cs="Arial"/>
          <w:sz w:val="22"/>
          <w:szCs w:val="22"/>
          <w:shd w:val="clear" w:color="auto" w:fill="auto"/>
        </w:rPr>
        <w:t>every 21 days (</w:t>
      </w:r>
      <w:r w:rsidR="00A07C63">
        <w:rPr>
          <w:rStyle w:val="CSIchar"/>
          <w:rFonts w:ascii="Arial" w:hAnsi="Arial" w:cs="Arial"/>
          <w:i/>
          <w:sz w:val="22"/>
          <w:szCs w:val="22"/>
          <w:shd w:val="clear" w:color="auto" w:fill="auto"/>
        </w:rPr>
        <w:t>see Clinical Trials</w:t>
      </w:r>
      <w:r w:rsidR="00A07C63">
        <w:rPr>
          <w:rStyle w:val="CSIchar"/>
          <w:rFonts w:ascii="Arial" w:hAnsi="Arial" w:cs="Arial"/>
          <w:sz w:val="22"/>
          <w:szCs w:val="22"/>
          <w:shd w:val="clear" w:color="auto" w:fill="auto"/>
        </w:rPr>
        <w:t>).</w:t>
      </w:r>
    </w:p>
    <w:p w:rsidR="00973119" w:rsidRPr="000B3F7D" w:rsidRDefault="00973119" w:rsidP="007763C8">
      <w:pPr>
        <w:jc w:val="both"/>
        <w:rPr>
          <w:rStyle w:val="CSIchar"/>
          <w:rFonts w:ascii="Arial" w:hAnsi="Arial" w:cs="Arial"/>
          <w:sz w:val="22"/>
          <w:szCs w:val="22"/>
          <w:shd w:val="clear" w:color="auto" w:fill="auto"/>
        </w:rPr>
      </w:pPr>
    </w:p>
    <w:p w:rsidR="007B0DF6" w:rsidRPr="000B3F7D" w:rsidRDefault="007B0DF6" w:rsidP="007763C8">
      <w:pPr>
        <w:rPr>
          <w:rStyle w:val="CSIchar"/>
          <w:rFonts w:ascii="Arial" w:hAnsi="Arial" w:cs="Arial"/>
          <w:b/>
          <w:i/>
          <w:sz w:val="22"/>
          <w:szCs w:val="22"/>
          <w:shd w:val="clear" w:color="auto" w:fill="auto"/>
        </w:rPr>
      </w:pPr>
    </w:p>
    <w:p w:rsidR="008E19FB" w:rsidRPr="000B3F7D" w:rsidRDefault="00A07C63" w:rsidP="007763C8">
      <w:pPr>
        <w:rPr>
          <w:rStyle w:val="CSIchar"/>
          <w:rFonts w:ascii="Arial" w:hAnsi="Arial" w:cs="Arial"/>
          <w:b/>
          <w:sz w:val="22"/>
          <w:szCs w:val="22"/>
          <w:shd w:val="clear" w:color="auto" w:fill="auto"/>
        </w:rPr>
      </w:pPr>
      <w:r>
        <w:rPr>
          <w:rStyle w:val="CSIchar"/>
          <w:rFonts w:ascii="Arial" w:hAnsi="Arial" w:cs="Arial"/>
          <w:b/>
          <w:sz w:val="22"/>
          <w:szCs w:val="22"/>
          <w:shd w:val="clear" w:color="auto" w:fill="auto"/>
        </w:rPr>
        <w:br w:type="page"/>
      </w:r>
      <w:r w:rsidR="008E19FB" w:rsidRPr="000B3F7D">
        <w:rPr>
          <w:rStyle w:val="CSIchar"/>
          <w:rFonts w:ascii="Arial" w:hAnsi="Arial" w:cs="Arial"/>
          <w:b/>
          <w:sz w:val="22"/>
          <w:szCs w:val="22"/>
          <w:shd w:val="clear" w:color="auto" w:fill="auto"/>
        </w:rPr>
        <w:t xml:space="preserve">Hormone </w:t>
      </w:r>
      <w:r w:rsidR="0053711D" w:rsidRPr="000B3F7D">
        <w:rPr>
          <w:rStyle w:val="CSIchar"/>
          <w:rFonts w:ascii="Arial" w:hAnsi="Arial" w:cs="Arial"/>
          <w:b/>
          <w:sz w:val="22"/>
          <w:szCs w:val="22"/>
          <w:shd w:val="clear" w:color="auto" w:fill="auto"/>
        </w:rPr>
        <w:t xml:space="preserve">receptor + and HER2+ </w:t>
      </w:r>
      <w:r w:rsidR="008E19FB" w:rsidRPr="000B3F7D">
        <w:rPr>
          <w:rStyle w:val="CSIchar"/>
          <w:rFonts w:ascii="Arial" w:hAnsi="Arial" w:cs="Arial"/>
          <w:b/>
          <w:sz w:val="22"/>
          <w:szCs w:val="22"/>
          <w:shd w:val="clear" w:color="auto" w:fill="auto"/>
        </w:rPr>
        <w:t>metastatic breast cancer</w:t>
      </w:r>
    </w:p>
    <w:p w:rsidR="008E19FB" w:rsidRPr="000B3F7D" w:rsidRDefault="008E19FB" w:rsidP="00C24EDF">
      <w:pPr>
        <w:spacing w:before="120"/>
        <w:jc w:val="both"/>
        <w:rPr>
          <w:rStyle w:val="CSIchar"/>
          <w:rFonts w:ascii="Arial" w:hAnsi="Arial" w:cs="Arial"/>
          <w:sz w:val="22"/>
          <w:szCs w:val="22"/>
          <w:shd w:val="clear" w:color="auto" w:fill="auto"/>
        </w:rPr>
      </w:pPr>
      <w:r w:rsidRPr="000B3F7D">
        <w:rPr>
          <w:rStyle w:val="CSIchar"/>
          <w:rFonts w:ascii="Arial" w:hAnsi="Arial" w:cs="Arial"/>
          <w:sz w:val="22"/>
          <w:szCs w:val="22"/>
          <w:shd w:val="clear" w:color="auto" w:fill="auto"/>
        </w:rPr>
        <w:t>The recommended dose of TYKERB is 1500 mg (i.e. six tablets) once daily continuously when taken in combination with an aromatase inhibitor.</w:t>
      </w:r>
    </w:p>
    <w:p w:rsidR="008E19FB" w:rsidRPr="000B3F7D" w:rsidRDefault="008E19FB" w:rsidP="008E19FB">
      <w:pPr>
        <w:jc w:val="both"/>
        <w:rPr>
          <w:rStyle w:val="CSIchar"/>
          <w:rFonts w:ascii="Arial" w:hAnsi="Arial" w:cs="Arial"/>
          <w:sz w:val="22"/>
          <w:szCs w:val="22"/>
          <w:shd w:val="clear" w:color="auto" w:fill="auto"/>
        </w:rPr>
      </w:pPr>
    </w:p>
    <w:p w:rsidR="008E19FB" w:rsidRPr="000B3F7D" w:rsidRDefault="008E19FB" w:rsidP="008E19FB">
      <w:pPr>
        <w:jc w:val="both"/>
        <w:rPr>
          <w:rStyle w:val="CSIchar"/>
          <w:rFonts w:ascii="Arial" w:hAnsi="Arial" w:cs="Arial"/>
          <w:sz w:val="22"/>
          <w:szCs w:val="22"/>
          <w:shd w:val="clear" w:color="auto" w:fill="auto"/>
        </w:rPr>
      </w:pPr>
      <w:r w:rsidRPr="000B3F7D">
        <w:rPr>
          <w:rStyle w:val="CSIchar"/>
          <w:rFonts w:ascii="Arial" w:hAnsi="Arial" w:cs="Arial"/>
          <w:sz w:val="22"/>
          <w:szCs w:val="22"/>
          <w:shd w:val="clear" w:color="auto" w:fill="auto"/>
        </w:rPr>
        <w:t>When TYKERB is co-administered with the aromatase inhibitor letrozole, the recommended dose of letrozole is 2.5 mg once daily.  If TYKERB is co-administered with an alternative aromatase inhibitor, please refer to the product information of the medicinal product for dosing details.</w:t>
      </w:r>
    </w:p>
    <w:p w:rsidR="008E19FB" w:rsidRPr="000B3F7D" w:rsidRDefault="008E19FB" w:rsidP="008E19FB">
      <w:pPr>
        <w:jc w:val="both"/>
        <w:rPr>
          <w:rStyle w:val="CSIchar"/>
          <w:rFonts w:ascii="Arial" w:hAnsi="Arial" w:cs="Arial"/>
          <w:b/>
          <w:sz w:val="22"/>
          <w:szCs w:val="22"/>
          <w:shd w:val="clear" w:color="auto" w:fill="auto"/>
        </w:rPr>
      </w:pPr>
    </w:p>
    <w:p w:rsidR="00D01DBB" w:rsidRPr="000B3F7D" w:rsidRDefault="00D01DBB" w:rsidP="007763C8">
      <w:pPr>
        <w:rPr>
          <w:rStyle w:val="CSIchar"/>
          <w:rFonts w:ascii="Arial" w:hAnsi="Arial" w:cs="Arial"/>
          <w:b/>
          <w:i/>
          <w:sz w:val="22"/>
          <w:szCs w:val="22"/>
          <w:shd w:val="clear" w:color="auto" w:fill="auto"/>
        </w:rPr>
      </w:pPr>
      <w:r w:rsidRPr="000B3F7D">
        <w:rPr>
          <w:rStyle w:val="CSIchar"/>
          <w:rFonts w:ascii="Arial" w:hAnsi="Arial" w:cs="Arial"/>
          <w:b/>
          <w:i/>
          <w:sz w:val="22"/>
          <w:szCs w:val="22"/>
          <w:shd w:val="clear" w:color="auto" w:fill="auto"/>
        </w:rPr>
        <w:t>Dose delay and dose reduction</w:t>
      </w:r>
      <w:r w:rsidR="008E19FB" w:rsidRPr="000B3F7D">
        <w:rPr>
          <w:rStyle w:val="CSIchar"/>
          <w:rFonts w:ascii="Arial" w:hAnsi="Arial" w:cs="Arial"/>
          <w:b/>
          <w:i/>
          <w:sz w:val="22"/>
          <w:szCs w:val="22"/>
          <w:shd w:val="clear" w:color="auto" w:fill="auto"/>
        </w:rPr>
        <w:t xml:space="preserve"> (</w:t>
      </w:r>
      <w:r w:rsidR="00CD392B" w:rsidRPr="000B3F7D">
        <w:rPr>
          <w:rStyle w:val="CSIchar"/>
          <w:rFonts w:ascii="Arial" w:hAnsi="Arial" w:cs="Arial"/>
          <w:b/>
          <w:i/>
          <w:sz w:val="22"/>
          <w:szCs w:val="22"/>
          <w:shd w:val="clear" w:color="auto" w:fill="auto"/>
        </w:rPr>
        <w:t>all indications</w:t>
      </w:r>
      <w:r w:rsidR="008E19FB" w:rsidRPr="000B3F7D">
        <w:rPr>
          <w:rStyle w:val="CSIchar"/>
          <w:rFonts w:ascii="Arial" w:hAnsi="Arial" w:cs="Arial"/>
          <w:b/>
          <w:i/>
          <w:sz w:val="22"/>
          <w:szCs w:val="22"/>
          <w:shd w:val="clear" w:color="auto" w:fill="auto"/>
        </w:rPr>
        <w:t>)</w:t>
      </w:r>
    </w:p>
    <w:p w:rsidR="00D01DBB" w:rsidRPr="000B3F7D" w:rsidRDefault="00D01DBB" w:rsidP="000B3F7D">
      <w:pPr>
        <w:spacing w:before="120"/>
        <w:rPr>
          <w:rFonts w:ascii="Arial" w:hAnsi="Arial" w:cs="Arial"/>
          <w:sz w:val="22"/>
          <w:szCs w:val="22"/>
        </w:rPr>
      </w:pPr>
      <w:r w:rsidRPr="000B3F7D">
        <w:rPr>
          <w:rStyle w:val="CSIchar"/>
          <w:rFonts w:ascii="Arial" w:hAnsi="Arial" w:cs="Arial"/>
          <w:i/>
          <w:sz w:val="22"/>
          <w:szCs w:val="22"/>
          <w:shd w:val="clear" w:color="auto" w:fill="auto"/>
        </w:rPr>
        <w:t>Cardiac events (see Precautions)</w:t>
      </w:r>
    </w:p>
    <w:p w:rsidR="00D01DBB" w:rsidRPr="000B3F7D" w:rsidRDefault="00D01DBB" w:rsidP="007763C8">
      <w:pPr>
        <w:jc w:val="both"/>
        <w:rPr>
          <w:rStyle w:val="CSIchar"/>
          <w:rFonts w:ascii="Arial" w:hAnsi="Arial" w:cs="Arial"/>
          <w:sz w:val="22"/>
          <w:szCs w:val="22"/>
          <w:shd w:val="clear" w:color="auto" w:fill="auto"/>
        </w:rPr>
      </w:pPr>
      <w:r w:rsidRPr="000B3F7D">
        <w:rPr>
          <w:rFonts w:ascii="Arial" w:hAnsi="Arial" w:cs="Arial"/>
          <w:sz w:val="22"/>
          <w:szCs w:val="22"/>
        </w:rPr>
        <w:t>TYKERB</w:t>
      </w:r>
      <w:r w:rsidRPr="000B3F7D">
        <w:rPr>
          <w:rStyle w:val="CSIchar"/>
          <w:rFonts w:ascii="Arial" w:hAnsi="Arial" w:cs="Arial"/>
          <w:sz w:val="22"/>
          <w:szCs w:val="22"/>
          <w:shd w:val="clear" w:color="auto" w:fill="auto"/>
        </w:rPr>
        <w:t xml:space="preserve"> should be discontinued in patients with symptoms associated with decreased LVEF that are </w:t>
      </w:r>
      <w:r w:rsidR="00804BF6" w:rsidRPr="000B3F7D">
        <w:rPr>
          <w:rStyle w:val="CSIchar"/>
          <w:rFonts w:ascii="Arial" w:hAnsi="Arial" w:cs="Arial"/>
          <w:sz w:val="22"/>
          <w:szCs w:val="22"/>
          <w:shd w:val="clear" w:color="auto" w:fill="auto"/>
        </w:rPr>
        <w:t>National Cancer I</w:t>
      </w:r>
      <w:r w:rsidRPr="000B3F7D">
        <w:rPr>
          <w:rStyle w:val="CSIchar"/>
          <w:rFonts w:ascii="Arial" w:hAnsi="Arial" w:cs="Arial"/>
          <w:sz w:val="22"/>
          <w:szCs w:val="22"/>
          <w:shd w:val="clear" w:color="auto" w:fill="auto"/>
        </w:rPr>
        <w:t>nstitute Common Terminology Criteria for Adverse Events (NCI C</w:t>
      </w:r>
      <w:smartTag w:uri="schemas-GSKSiteLocations-com/fourthcoffee" w:element="flavor">
        <w:r w:rsidRPr="000B3F7D">
          <w:rPr>
            <w:rStyle w:val="CSIchar"/>
            <w:rFonts w:ascii="Arial" w:hAnsi="Arial" w:cs="Arial"/>
            <w:sz w:val="22"/>
            <w:szCs w:val="22"/>
            <w:shd w:val="clear" w:color="auto" w:fill="auto"/>
          </w:rPr>
          <w:t>TCA</w:t>
        </w:r>
      </w:smartTag>
      <w:r w:rsidRPr="000B3F7D">
        <w:rPr>
          <w:rStyle w:val="CSIchar"/>
          <w:rFonts w:ascii="Arial" w:hAnsi="Arial" w:cs="Arial"/>
          <w:sz w:val="22"/>
          <w:szCs w:val="22"/>
          <w:shd w:val="clear" w:color="auto" w:fill="auto"/>
        </w:rPr>
        <w:t xml:space="preserve">E) grade 3 or greater or if their LVEF drops below the institution’s lower limit of normal. </w:t>
      </w:r>
      <w:r w:rsidR="0093006E" w:rsidRPr="000B3F7D">
        <w:rPr>
          <w:rStyle w:val="CSIchar"/>
          <w:rFonts w:ascii="Arial" w:hAnsi="Arial" w:cs="Arial"/>
          <w:sz w:val="22"/>
          <w:szCs w:val="22"/>
          <w:shd w:val="clear" w:color="auto" w:fill="auto"/>
        </w:rPr>
        <w:t xml:space="preserve"> </w:t>
      </w:r>
      <w:r w:rsidRPr="000B3F7D">
        <w:rPr>
          <w:rFonts w:ascii="Arial" w:hAnsi="Arial" w:cs="Arial"/>
          <w:sz w:val="22"/>
          <w:szCs w:val="22"/>
        </w:rPr>
        <w:t>TYKERB</w:t>
      </w:r>
      <w:r w:rsidRPr="000B3F7D">
        <w:rPr>
          <w:rStyle w:val="CSIchar"/>
          <w:rFonts w:ascii="Arial" w:hAnsi="Arial" w:cs="Arial"/>
          <w:sz w:val="22"/>
          <w:szCs w:val="22"/>
          <w:shd w:val="clear" w:color="auto" w:fill="auto"/>
        </w:rPr>
        <w:t xml:space="preserve"> may be restarted at a reduced dose (1000 mg/day</w:t>
      </w:r>
      <w:r w:rsidR="001A7311" w:rsidRPr="000B3F7D">
        <w:rPr>
          <w:rStyle w:val="CSIchar"/>
          <w:rFonts w:ascii="Arial" w:hAnsi="Arial" w:cs="Arial"/>
          <w:sz w:val="22"/>
          <w:szCs w:val="22"/>
          <w:shd w:val="clear" w:color="auto" w:fill="auto"/>
        </w:rPr>
        <w:t xml:space="preserve"> when administered with capecitabine and 1250 mg/day when administered with </w:t>
      </w:r>
      <w:r w:rsidR="00285240">
        <w:rPr>
          <w:rStyle w:val="CSIchar"/>
          <w:rFonts w:ascii="Arial" w:hAnsi="Arial" w:cs="Arial"/>
          <w:sz w:val="22"/>
          <w:szCs w:val="22"/>
          <w:shd w:val="clear" w:color="auto" w:fill="auto"/>
        </w:rPr>
        <w:t xml:space="preserve">paclitaxel or an </w:t>
      </w:r>
      <w:r w:rsidR="001A7311" w:rsidRPr="000B3F7D">
        <w:rPr>
          <w:rStyle w:val="CSIchar"/>
          <w:rFonts w:ascii="Arial" w:hAnsi="Arial" w:cs="Arial"/>
          <w:sz w:val="22"/>
          <w:szCs w:val="22"/>
          <w:shd w:val="clear" w:color="auto" w:fill="auto"/>
        </w:rPr>
        <w:t>aromatase inhibitor</w:t>
      </w:r>
      <w:r w:rsidRPr="000B3F7D">
        <w:rPr>
          <w:rStyle w:val="CSIchar"/>
          <w:rFonts w:ascii="Arial" w:hAnsi="Arial" w:cs="Arial"/>
          <w:sz w:val="22"/>
          <w:szCs w:val="22"/>
          <w:shd w:val="clear" w:color="auto" w:fill="auto"/>
        </w:rPr>
        <w:t xml:space="preserve">) after a minimum of 2 weeks and if the LVEF recovers to normal and the patient is asymptomatic. </w:t>
      </w:r>
      <w:r w:rsidR="0093006E" w:rsidRPr="000B3F7D">
        <w:rPr>
          <w:rStyle w:val="CSIchar"/>
          <w:rFonts w:ascii="Arial" w:hAnsi="Arial" w:cs="Arial"/>
          <w:sz w:val="22"/>
          <w:szCs w:val="22"/>
          <w:shd w:val="clear" w:color="auto" w:fill="auto"/>
        </w:rPr>
        <w:t xml:space="preserve"> </w:t>
      </w:r>
      <w:r w:rsidRPr="000B3F7D">
        <w:rPr>
          <w:rStyle w:val="CSIchar"/>
          <w:rFonts w:ascii="Arial" w:hAnsi="Arial" w:cs="Arial"/>
          <w:sz w:val="22"/>
          <w:szCs w:val="22"/>
          <w:shd w:val="clear" w:color="auto" w:fill="auto"/>
        </w:rPr>
        <w:t xml:space="preserve">Based on current data, the majority of LVEF decreases occur within the first </w:t>
      </w:r>
      <w:r w:rsidR="00A043D3">
        <w:rPr>
          <w:rStyle w:val="CSIchar"/>
          <w:rFonts w:ascii="Arial" w:hAnsi="Arial" w:cs="Arial"/>
          <w:sz w:val="22"/>
          <w:szCs w:val="22"/>
          <w:shd w:val="clear" w:color="auto" w:fill="auto"/>
        </w:rPr>
        <w:t>12</w:t>
      </w:r>
      <w:r w:rsidR="00A043D3" w:rsidRPr="000B3F7D">
        <w:rPr>
          <w:rStyle w:val="CSIchar"/>
          <w:rFonts w:ascii="Arial" w:hAnsi="Arial" w:cs="Arial"/>
          <w:sz w:val="22"/>
          <w:szCs w:val="22"/>
          <w:shd w:val="clear" w:color="auto" w:fill="auto"/>
        </w:rPr>
        <w:t xml:space="preserve"> </w:t>
      </w:r>
      <w:r w:rsidRPr="000B3F7D">
        <w:rPr>
          <w:rStyle w:val="CSIchar"/>
          <w:rFonts w:ascii="Arial" w:hAnsi="Arial" w:cs="Arial"/>
          <w:sz w:val="22"/>
          <w:szCs w:val="22"/>
          <w:shd w:val="clear" w:color="auto" w:fill="auto"/>
        </w:rPr>
        <w:t>weeks of treatment, however, there is limited data on long term exposure.</w:t>
      </w:r>
    </w:p>
    <w:p w:rsidR="00D01DBB" w:rsidRPr="000B3F7D" w:rsidRDefault="00D01DBB" w:rsidP="007763C8">
      <w:pPr>
        <w:rPr>
          <w:rStyle w:val="CSIchar"/>
          <w:rFonts w:ascii="Arial" w:hAnsi="Arial" w:cs="Arial"/>
          <w:sz w:val="22"/>
          <w:szCs w:val="22"/>
          <w:shd w:val="clear" w:color="auto" w:fill="auto"/>
        </w:rPr>
      </w:pPr>
    </w:p>
    <w:p w:rsidR="00D01DBB" w:rsidRPr="000B3F7D" w:rsidRDefault="00D01DBB" w:rsidP="007763C8">
      <w:pPr>
        <w:jc w:val="both"/>
        <w:rPr>
          <w:rStyle w:val="CSIchar"/>
          <w:rFonts w:ascii="Arial" w:hAnsi="Arial" w:cs="Arial"/>
          <w:sz w:val="22"/>
          <w:szCs w:val="22"/>
          <w:shd w:val="clear" w:color="auto" w:fill="auto"/>
        </w:rPr>
      </w:pPr>
      <w:r w:rsidRPr="000B3F7D">
        <w:rPr>
          <w:rStyle w:val="CSIchar"/>
          <w:rFonts w:ascii="Arial" w:hAnsi="Arial" w:cs="Arial"/>
          <w:sz w:val="22"/>
          <w:szCs w:val="22"/>
          <w:shd w:val="clear" w:color="auto" w:fill="auto"/>
        </w:rPr>
        <w:t xml:space="preserve">Interstitial lung disease/pneumonitis </w:t>
      </w:r>
      <w:r w:rsidRPr="000B3F7D">
        <w:rPr>
          <w:rStyle w:val="CSIchar"/>
          <w:rFonts w:ascii="Arial" w:hAnsi="Arial" w:cs="Arial"/>
          <w:i/>
          <w:sz w:val="22"/>
          <w:szCs w:val="22"/>
          <w:shd w:val="clear" w:color="auto" w:fill="auto"/>
        </w:rPr>
        <w:t>(see Precautions and Adverse Events)</w:t>
      </w:r>
      <w:r w:rsidR="00B81837" w:rsidRPr="000B3F7D">
        <w:rPr>
          <w:rStyle w:val="CSIchar"/>
          <w:rFonts w:ascii="Arial" w:hAnsi="Arial" w:cs="Arial"/>
          <w:i/>
          <w:sz w:val="22"/>
          <w:szCs w:val="22"/>
          <w:shd w:val="clear" w:color="auto" w:fill="auto"/>
        </w:rPr>
        <w:t>.</w:t>
      </w:r>
    </w:p>
    <w:p w:rsidR="00D01DBB" w:rsidRPr="000B3F7D" w:rsidRDefault="00D01DBB" w:rsidP="007763C8">
      <w:pPr>
        <w:jc w:val="both"/>
        <w:rPr>
          <w:rStyle w:val="CSIchar"/>
          <w:rFonts w:ascii="Arial" w:hAnsi="Arial" w:cs="Arial"/>
          <w:sz w:val="22"/>
          <w:szCs w:val="22"/>
          <w:shd w:val="clear" w:color="auto" w:fill="auto"/>
        </w:rPr>
      </w:pPr>
      <w:r w:rsidRPr="000B3F7D">
        <w:rPr>
          <w:rStyle w:val="CSIchar"/>
          <w:rFonts w:ascii="Arial" w:hAnsi="Arial" w:cs="Arial"/>
          <w:sz w:val="22"/>
          <w:szCs w:val="22"/>
          <w:shd w:val="clear" w:color="auto" w:fill="auto"/>
        </w:rPr>
        <w:t>TYKERB should be discontinued in patients who experience pulmonary symptoms indicative of interstitial lung disease/pneumonitis which are NCI C</w:t>
      </w:r>
      <w:smartTag w:uri="schemas-GSKSiteLocations-com/fourthcoffee" w:element="flavor">
        <w:r w:rsidRPr="000B3F7D">
          <w:rPr>
            <w:rStyle w:val="CSIchar"/>
            <w:rFonts w:ascii="Arial" w:hAnsi="Arial" w:cs="Arial"/>
            <w:sz w:val="22"/>
            <w:szCs w:val="22"/>
            <w:shd w:val="clear" w:color="auto" w:fill="auto"/>
          </w:rPr>
          <w:t>TCA</w:t>
        </w:r>
      </w:smartTag>
      <w:r w:rsidRPr="000B3F7D">
        <w:rPr>
          <w:rStyle w:val="CSIchar"/>
          <w:rFonts w:ascii="Arial" w:hAnsi="Arial" w:cs="Arial"/>
          <w:sz w:val="22"/>
          <w:szCs w:val="22"/>
          <w:shd w:val="clear" w:color="auto" w:fill="auto"/>
        </w:rPr>
        <w:t>E grade 3 or greater.</w:t>
      </w:r>
    </w:p>
    <w:p w:rsidR="00D01DBB" w:rsidRPr="000B3F7D" w:rsidRDefault="00D01DBB" w:rsidP="007763C8">
      <w:pPr>
        <w:rPr>
          <w:rFonts w:ascii="Arial" w:hAnsi="Arial" w:cs="Arial"/>
          <w:sz w:val="22"/>
          <w:szCs w:val="22"/>
        </w:rPr>
      </w:pPr>
    </w:p>
    <w:p w:rsidR="00D01DBB" w:rsidRPr="000B3F7D" w:rsidRDefault="00D01DBB" w:rsidP="007763C8">
      <w:pPr>
        <w:rPr>
          <w:rFonts w:ascii="Arial" w:hAnsi="Arial" w:cs="Arial"/>
          <w:sz w:val="22"/>
          <w:szCs w:val="22"/>
        </w:rPr>
      </w:pPr>
      <w:r w:rsidRPr="000B3F7D">
        <w:rPr>
          <w:rStyle w:val="CSIchar"/>
          <w:rFonts w:ascii="Arial" w:hAnsi="Arial" w:cs="Arial"/>
          <w:i/>
          <w:sz w:val="22"/>
          <w:szCs w:val="22"/>
          <w:shd w:val="clear" w:color="auto" w:fill="auto"/>
        </w:rPr>
        <w:t>Other toxicities</w:t>
      </w:r>
    </w:p>
    <w:p w:rsidR="00D01DBB" w:rsidRPr="000B3F7D" w:rsidRDefault="00D01DBB" w:rsidP="007763C8">
      <w:pPr>
        <w:jc w:val="both"/>
        <w:rPr>
          <w:rStyle w:val="CSIchar"/>
          <w:rFonts w:ascii="Arial" w:hAnsi="Arial" w:cs="Arial"/>
          <w:sz w:val="22"/>
          <w:szCs w:val="22"/>
          <w:shd w:val="clear" w:color="auto" w:fill="auto"/>
        </w:rPr>
      </w:pPr>
      <w:r w:rsidRPr="000B3F7D">
        <w:rPr>
          <w:rStyle w:val="CSIchar"/>
          <w:rFonts w:ascii="Arial" w:hAnsi="Arial" w:cs="Arial"/>
          <w:sz w:val="22"/>
          <w:szCs w:val="22"/>
          <w:shd w:val="clear" w:color="auto" w:fill="auto"/>
        </w:rPr>
        <w:t xml:space="preserve">Discontinuation or interruption of dosing with </w:t>
      </w:r>
      <w:r w:rsidRPr="000B3F7D">
        <w:rPr>
          <w:rFonts w:ascii="Arial" w:hAnsi="Arial" w:cs="Arial"/>
          <w:sz w:val="22"/>
          <w:szCs w:val="22"/>
        </w:rPr>
        <w:t>TYKERB</w:t>
      </w:r>
      <w:r w:rsidRPr="000B3F7D">
        <w:rPr>
          <w:rStyle w:val="CSIchar"/>
          <w:rFonts w:ascii="Arial" w:hAnsi="Arial" w:cs="Arial"/>
          <w:sz w:val="22"/>
          <w:szCs w:val="22"/>
          <w:shd w:val="clear" w:color="auto" w:fill="auto"/>
        </w:rPr>
        <w:t xml:space="preserve"> may be considered when a patient develops toxicity greater than or equal to grade 2 on the </w:t>
      </w:r>
      <w:smartTag w:uri="urn:schemas-microsoft-com:office:smarttags" w:element="stockticker">
        <w:r w:rsidRPr="000B3F7D">
          <w:rPr>
            <w:rStyle w:val="CSIchar"/>
            <w:rFonts w:ascii="Arial" w:hAnsi="Arial" w:cs="Arial"/>
            <w:sz w:val="22"/>
            <w:szCs w:val="22"/>
            <w:shd w:val="clear" w:color="auto" w:fill="auto"/>
          </w:rPr>
          <w:t>NCI</w:t>
        </w:r>
      </w:smartTag>
      <w:r w:rsidRPr="000B3F7D">
        <w:rPr>
          <w:rStyle w:val="CSIchar"/>
          <w:rFonts w:ascii="Arial" w:hAnsi="Arial" w:cs="Arial"/>
          <w:sz w:val="22"/>
          <w:szCs w:val="22"/>
          <w:shd w:val="clear" w:color="auto" w:fill="auto"/>
        </w:rPr>
        <w:t xml:space="preserve"> C</w:t>
      </w:r>
      <w:smartTag w:uri="schemas-GSKSiteLocations-com/fourthcoffee" w:element="flavor">
        <w:r w:rsidRPr="000B3F7D">
          <w:rPr>
            <w:rStyle w:val="CSIchar"/>
            <w:rFonts w:ascii="Arial" w:hAnsi="Arial" w:cs="Arial"/>
            <w:sz w:val="22"/>
            <w:szCs w:val="22"/>
            <w:shd w:val="clear" w:color="auto" w:fill="auto"/>
          </w:rPr>
          <w:t>TCA</w:t>
        </w:r>
      </w:smartTag>
      <w:r w:rsidRPr="000B3F7D">
        <w:rPr>
          <w:rStyle w:val="CSIchar"/>
          <w:rFonts w:ascii="Arial" w:hAnsi="Arial" w:cs="Arial"/>
          <w:sz w:val="22"/>
          <w:szCs w:val="22"/>
          <w:shd w:val="clear" w:color="auto" w:fill="auto"/>
        </w:rPr>
        <w:t>E.</w:t>
      </w:r>
      <w:r w:rsidR="0093006E" w:rsidRPr="000B3F7D">
        <w:rPr>
          <w:rStyle w:val="CSIchar"/>
          <w:rFonts w:ascii="Arial" w:hAnsi="Arial" w:cs="Arial"/>
          <w:sz w:val="22"/>
          <w:szCs w:val="22"/>
          <w:shd w:val="clear" w:color="auto" w:fill="auto"/>
        </w:rPr>
        <w:t xml:space="preserve"> </w:t>
      </w:r>
      <w:r w:rsidRPr="000B3F7D">
        <w:rPr>
          <w:rStyle w:val="CSIchar"/>
          <w:rFonts w:ascii="Arial" w:hAnsi="Arial" w:cs="Arial"/>
          <w:sz w:val="22"/>
          <w:szCs w:val="22"/>
          <w:shd w:val="clear" w:color="auto" w:fill="auto"/>
        </w:rPr>
        <w:t xml:space="preserve"> Dosing can be restarted at </w:t>
      </w:r>
      <w:r w:rsidR="00DA45F8" w:rsidRPr="000B3F7D">
        <w:rPr>
          <w:rStyle w:val="CSIchar"/>
          <w:rFonts w:ascii="Arial" w:hAnsi="Arial" w:cs="Arial"/>
          <w:sz w:val="22"/>
          <w:szCs w:val="22"/>
          <w:shd w:val="clear" w:color="auto" w:fill="auto"/>
        </w:rPr>
        <w:t>either,</w:t>
      </w:r>
      <w:r w:rsidR="00DA45F8" w:rsidRPr="000B3F7D">
        <w:rPr>
          <w:rStyle w:val="CSIchar"/>
          <w:rFonts w:ascii="Arial" w:hAnsi="Arial" w:cs="Arial"/>
          <w:b/>
          <w:sz w:val="22"/>
          <w:szCs w:val="22"/>
          <w:shd w:val="clear" w:color="auto" w:fill="auto"/>
        </w:rPr>
        <w:t xml:space="preserve"> </w:t>
      </w:r>
      <w:r w:rsidRPr="000B3F7D">
        <w:rPr>
          <w:rStyle w:val="CSIchar"/>
          <w:rFonts w:ascii="Arial" w:hAnsi="Arial" w:cs="Arial"/>
          <w:sz w:val="22"/>
          <w:szCs w:val="22"/>
          <w:shd w:val="clear" w:color="auto" w:fill="auto"/>
        </w:rPr>
        <w:t xml:space="preserve">1250 mg/day when </w:t>
      </w:r>
      <w:r w:rsidR="00DA45F8" w:rsidRPr="000B3F7D">
        <w:rPr>
          <w:rStyle w:val="CSIchar"/>
          <w:rFonts w:ascii="Arial" w:hAnsi="Arial" w:cs="Arial"/>
          <w:sz w:val="22"/>
          <w:szCs w:val="22"/>
          <w:shd w:val="clear" w:color="auto" w:fill="auto"/>
        </w:rPr>
        <w:t xml:space="preserve">administered with capecitabine or 1500 mg/day when administered with </w:t>
      </w:r>
      <w:r w:rsidR="00297C6B">
        <w:rPr>
          <w:rStyle w:val="CSIchar"/>
          <w:rFonts w:ascii="Arial" w:hAnsi="Arial" w:cs="Arial"/>
          <w:sz w:val="22"/>
          <w:szCs w:val="22"/>
          <w:shd w:val="clear" w:color="auto" w:fill="auto"/>
        </w:rPr>
        <w:t xml:space="preserve">paclitaxel or </w:t>
      </w:r>
      <w:r w:rsidR="00DA45F8" w:rsidRPr="000B3F7D">
        <w:rPr>
          <w:rStyle w:val="CSIchar"/>
          <w:rFonts w:ascii="Arial" w:hAnsi="Arial" w:cs="Arial"/>
          <w:sz w:val="22"/>
          <w:szCs w:val="22"/>
          <w:shd w:val="clear" w:color="auto" w:fill="auto"/>
        </w:rPr>
        <w:t xml:space="preserve">an aromatase inhibitor, when </w:t>
      </w:r>
      <w:r w:rsidRPr="000B3F7D">
        <w:rPr>
          <w:rStyle w:val="CSIchar"/>
          <w:rFonts w:ascii="Arial" w:hAnsi="Arial" w:cs="Arial"/>
          <w:sz w:val="22"/>
          <w:szCs w:val="22"/>
          <w:shd w:val="clear" w:color="auto" w:fill="auto"/>
        </w:rPr>
        <w:t xml:space="preserve">the toxicity improves to grade 1 or less. </w:t>
      </w:r>
      <w:r w:rsidR="0093006E" w:rsidRPr="000B3F7D">
        <w:rPr>
          <w:rStyle w:val="CSIchar"/>
          <w:rFonts w:ascii="Arial" w:hAnsi="Arial" w:cs="Arial"/>
          <w:sz w:val="22"/>
          <w:szCs w:val="22"/>
          <w:shd w:val="clear" w:color="auto" w:fill="auto"/>
        </w:rPr>
        <w:t xml:space="preserve"> </w:t>
      </w:r>
      <w:r w:rsidRPr="000B3F7D">
        <w:rPr>
          <w:rStyle w:val="CSIchar"/>
          <w:rFonts w:ascii="Arial" w:hAnsi="Arial" w:cs="Arial"/>
          <w:sz w:val="22"/>
          <w:szCs w:val="22"/>
          <w:shd w:val="clear" w:color="auto" w:fill="auto"/>
        </w:rPr>
        <w:t>If the toxicity recurs, then TYKERB should be restarted at a lower dose (1000 mg/day</w:t>
      </w:r>
      <w:r w:rsidR="00B152DD" w:rsidRPr="000B3F7D">
        <w:rPr>
          <w:rStyle w:val="CSIchar"/>
          <w:rFonts w:ascii="Arial" w:hAnsi="Arial" w:cs="Arial"/>
          <w:sz w:val="22"/>
          <w:szCs w:val="22"/>
          <w:shd w:val="clear" w:color="auto" w:fill="auto"/>
        </w:rPr>
        <w:t xml:space="preserve"> when administered with capecitabine and 1250 mg/day when administered with </w:t>
      </w:r>
      <w:r w:rsidR="00297C6B">
        <w:rPr>
          <w:rStyle w:val="CSIchar"/>
          <w:rFonts w:ascii="Arial" w:hAnsi="Arial" w:cs="Arial"/>
          <w:sz w:val="22"/>
          <w:szCs w:val="22"/>
          <w:shd w:val="clear" w:color="auto" w:fill="auto"/>
        </w:rPr>
        <w:t xml:space="preserve">paclitaxel or </w:t>
      </w:r>
      <w:r w:rsidR="00B152DD" w:rsidRPr="000B3F7D">
        <w:rPr>
          <w:rStyle w:val="CSIchar"/>
          <w:rFonts w:ascii="Arial" w:hAnsi="Arial" w:cs="Arial"/>
          <w:sz w:val="22"/>
          <w:szCs w:val="22"/>
          <w:shd w:val="clear" w:color="auto" w:fill="auto"/>
        </w:rPr>
        <w:t>an aromatase inhibitor</w:t>
      </w:r>
      <w:r w:rsidRPr="000B3F7D">
        <w:rPr>
          <w:rStyle w:val="CSIchar"/>
          <w:rFonts w:ascii="Arial" w:hAnsi="Arial" w:cs="Arial"/>
          <w:sz w:val="22"/>
          <w:szCs w:val="22"/>
          <w:shd w:val="clear" w:color="auto" w:fill="auto"/>
        </w:rPr>
        <w:t>).</w:t>
      </w:r>
    </w:p>
    <w:p w:rsidR="00D01DBB" w:rsidRDefault="00D01DBB" w:rsidP="007763C8">
      <w:pPr>
        <w:rPr>
          <w:rFonts w:ascii="Arial" w:hAnsi="Arial" w:cs="Arial"/>
          <w:sz w:val="22"/>
          <w:szCs w:val="22"/>
        </w:rPr>
      </w:pPr>
    </w:p>
    <w:p w:rsidR="00A9649C" w:rsidRPr="00A9649C" w:rsidRDefault="00A9649C" w:rsidP="00A9649C">
      <w:pPr>
        <w:rPr>
          <w:rStyle w:val="CSIchar"/>
          <w:rFonts w:ascii="Arial" w:hAnsi="Arial" w:cs="Arial"/>
          <w:b/>
          <w:i/>
          <w:sz w:val="22"/>
          <w:szCs w:val="22"/>
          <w:shd w:val="clear" w:color="auto" w:fill="auto"/>
        </w:rPr>
      </w:pPr>
      <w:r w:rsidRPr="00A9649C">
        <w:rPr>
          <w:rStyle w:val="CSIchar"/>
          <w:rFonts w:ascii="Arial" w:hAnsi="Arial" w:cs="Arial"/>
          <w:b/>
          <w:i/>
          <w:sz w:val="22"/>
          <w:szCs w:val="22"/>
          <w:shd w:val="clear" w:color="auto" w:fill="auto"/>
        </w:rPr>
        <w:t>Dose delay and dose reduction (administration with paclitaxel)</w:t>
      </w:r>
    </w:p>
    <w:p w:rsidR="00A9649C" w:rsidRDefault="00A9649C" w:rsidP="007763C8">
      <w:pPr>
        <w:rPr>
          <w:rFonts w:ascii="Arial" w:hAnsi="Arial" w:cs="Arial"/>
          <w:sz w:val="22"/>
          <w:szCs w:val="22"/>
        </w:rPr>
      </w:pPr>
    </w:p>
    <w:p w:rsidR="00A9649C" w:rsidRPr="004C1C75" w:rsidRDefault="00A9649C" w:rsidP="00285240">
      <w:pPr>
        <w:jc w:val="both"/>
        <w:rPr>
          <w:rStyle w:val="CSIchar"/>
          <w:rFonts w:ascii="Arial" w:hAnsi="Arial" w:cs="Arial"/>
          <w:sz w:val="22"/>
          <w:szCs w:val="22"/>
          <w:shd w:val="clear" w:color="auto" w:fill="auto"/>
        </w:rPr>
      </w:pPr>
      <w:r w:rsidRPr="000B3F7D">
        <w:rPr>
          <w:rStyle w:val="CSIchar"/>
          <w:rFonts w:ascii="Arial" w:hAnsi="Arial" w:cs="Arial"/>
          <w:sz w:val="22"/>
          <w:szCs w:val="22"/>
          <w:shd w:val="clear" w:color="auto" w:fill="auto"/>
        </w:rPr>
        <w:t xml:space="preserve">Discontinuation or interruption of dosing with </w:t>
      </w:r>
      <w:r w:rsidRPr="000B3F7D">
        <w:rPr>
          <w:rFonts w:ascii="Arial" w:hAnsi="Arial" w:cs="Arial"/>
          <w:sz w:val="22"/>
          <w:szCs w:val="22"/>
        </w:rPr>
        <w:t>TYKERB</w:t>
      </w:r>
      <w:r w:rsidRPr="000B3F7D">
        <w:rPr>
          <w:rStyle w:val="CSIchar"/>
          <w:rFonts w:ascii="Arial" w:hAnsi="Arial" w:cs="Arial"/>
          <w:sz w:val="22"/>
          <w:szCs w:val="22"/>
          <w:shd w:val="clear" w:color="auto" w:fill="auto"/>
        </w:rPr>
        <w:t xml:space="preserve"> may be considered when a patient develops toxicity greater than or equal to grade 2 on the </w:t>
      </w:r>
      <w:smartTag w:uri="urn:schemas-microsoft-com:office:smarttags" w:element="stockticker">
        <w:r w:rsidRPr="000B3F7D">
          <w:rPr>
            <w:rStyle w:val="CSIchar"/>
            <w:rFonts w:ascii="Arial" w:hAnsi="Arial" w:cs="Arial"/>
            <w:sz w:val="22"/>
            <w:szCs w:val="22"/>
            <w:shd w:val="clear" w:color="auto" w:fill="auto"/>
          </w:rPr>
          <w:t>NCI</w:t>
        </w:r>
      </w:smartTag>
      <w:r w:rsidRPr="000B3F7D">
        <w:rPr>
          <w:rStyle w:val="CSIchar"/>
          <w:rFonts w:ascii="Arial" w:hAnsi="Arial" w:cs="Arial"/>
          <w:sz w:val="22"/>
          <w:szCs w:val="22"/>
          <w:shd w:val="clear" w:color="auto" w:fill="auto"/>
        </w:rPr>
        <w:t xml:space="preserve"> C</w:t>
      </w:r>
      <w:smartTag w:uri="schemas-GSKSiteLocations-com/fourthcoffee" w:element="flavor">
        <w:r w:rsidRPr="000B3F7D">
          <w:rPr>
            <w:rStyle w:val="CSIchar"/>
            <w:rFonts w:ascii="Arial" w:hAnsi="Arial" w:cs="Arial"/>
            <w:sz w:val="22"/>
            <w:szCs w:val="22"/>
            <w:shd w:val="clear" w:color="auto" w:fill="auto"/>
          </w:rPr>
          <w:t>TCA</w:t>
        </w:r>
      </w:smartTag>
      <w:r w:rsidRPr="000B3F7D">
        <w:rPr>
          <w:rStyle w:val="CSIchar"/>
          <w:rFonts w:ascii="Arial" w:hAnsi="Arial" w:cs="Arial"/>
          <w:sz w:val="22"/>
          <w:szCs w:val="22"/>
          <w:shd w:val="clear" w:color="auto" w:fill="auto"/>
        </w:rPr>
        <w:t xml:space="preserve">E.  Dosing can be </w:t>
      </w:r>
      <w:r w:rsidRPr="004C1C75">
        <w:rPr>
          <w:rStyle w:val="CSIchar"/>
          <w:rFonts w:ascii="Arial" w:hAnsi="Arial" w:cs="Arial"/>
          <w:sz w:val="22"/>
          <w:szCs w:val="22"/>
          <w:shd w:val="clear" w:color="auto" w:fill="auto"/>
        </w:rPr>
        <w:t>restarted at 1500 mg/day when toxicity improves to grade 1 or less. If the toxicity recurs, then Tykerb should be restarted at 1250 mg/kg.</w:t>
      </w:r>
    </w:p>
    <w:p w:rsidR="00A9649C" w:rsidRPr="004C1C75" w:rsidRDefault="00A9649C" w:rsidP="00285240">
      <w:pPr>
        <w:jc w:val="both"/>
        <w:rPr>
          <w:rStyle w:val="CSIchar"/>
          <w:rFonts w:ascii="Arial" w:hAnsi="Arial" w:cs="Arial"/>
          <w:sz w:val="22"/>
          <w:szCs w:val="22"/>
          <w:shd w:val="clear" w:color="auto" w:fill="auto"/>
        </w:rPr>
      </w:pPr>
    </w:p>
    <w:p w:rsidR="004C1C75" w:rsidRPr="004C1C75" w:rsidRDefault="004C1C75" w:rsidP="004C1C75">
      <w:pPr>
        <w:jc w:val="both"/>
        <w:rPr>
          <w:rFonts w:ascii="Arial" w:hAnsi="Arial" w:cs="Arial"/>
          <w:sz w:val="22"/>
          <w:szCs w:val="22"/>
        </w:rPr>
      </w:pPr>
      <w:r w:rsidRPr="004C1C75">
        <w:rPr>
          <w:rFonts w:ascii="Arial" w:hAnsi="Arial" w:cs="Arial"/>
          <w:iCs/>
          <w:color w:val="000000"/>
          <w:sz w:val="22"/>
          <w:szCs w:val="22"/>
        </w:rPr>
        <w:t>Taxanes are also associated with bone marrow suppression and other toxicities.</w:t>
      </w:r>
      <w:r w:rsidRPr="004C1C75">
        <w:rPr>
          <w:rFonts w:ascii="Arial" w:hAnsi="Arial" w:cs="Arial"/>
          <w:color w:val="000000"/>
          <w:sz w:val="22"/>
          <w:szCs w:val="22"/>
        </w:rPr>
        <w:t xml:space="preserve"> </w:t>
      </w:r>
      <w:r w:rsidRPr="004C1C75">
        <w:rPr>
          <w:rFonts w:ascii="Arial" w:hAnsi="Arial" w:cs="Arial"/>
          <w:iCs/>
          <w:color w:val="000000"/>
          <w:sz w:val="22"/>
          <w:szCs w:val="22"/>
        </w:rPr>
        <w:t>The full prescribing information for paclitaxel should be referred to for advice on dose delay and dose reduction of paclitaxel.</w:t>
      </w:r>
    </w:p>
    <w:p w:rsidR="004C1C75" w:rsidRPr="004C1C75" w:rsidRDefault="004C1C75" w:rsidP="00285240">
      <w:pPr>
        <w:jc w:val="both"/>
        <w:rPr>
          <w:rStyle w:val="CSIchar"/>
          <w:rFonts w:ascii="Arial" w:hAnsi="Arial" w:cs="Arial"/>
          <w:sz w:val="22"/>
          <w:szCs w:val="22"/>
          <w:shd w:val="clear" w:color="auto" w:fill="auto"/>
        </w:rPr>
      </w:pPr>
    </w:p>
    <w:p w:rsidR="00A9649C" w:rsidRPr="0051392C" w:rsidRDefault="00A9649C" w:rsidP="00285240">
      <w:pPr>
        <w:jc w:val="both"/>
        <w:rPr>
          <w:rFonts w:ascii="Arial" w:hAnsi="Arial" w:cs="Arial"/>
          <w:sz w:val="22"/>
          <w:szCs w:val="22"/>
        </w:rPr>
      </w:pPr>
    </w:p>
    <w:p w:rsidR="00F6584A" w:rsidRPr="0051392C" w:rsidRDefault="00D01DBB" w:rsidP="00285240">
      <w:pPr>
        <w:jc w:val="both"/>
        <w:rPr>
          <w:rFonts w:ascii="Arial" w:hAnsi="Arial" w:cs="Arial"/>
          <w:sz w:val="22"/>
          <w:szCs w:val="22"/>
        </w:rPr>
      </w:pPr>
      <w:r w:rsidRPr="0051392C">
        <w:rPr>
          <w:rFonts w:ascii="Arial" w:hAnsi="Arial" w:cs="Arial"/>
          <w:b/>
          <w:sz w:val="22"/>
          <w:szCs w:val="22"/>
        </w:rPr>
        <w:t>Children</w:t>
      </w:r>
      <w:r w:rsidRPr="0051392C">
        <w:rPr>
          <w:rFonts w:ascii="Arial" w:hAnsi="Arial" w:cs="Arial"/>
          <w:sz w:val="22"/>
          <w:szCs w:val="22"/>
        </w:rPr>
        <w:t>:</w:t>
      </w:r>
    </w:p>
    <w:p w:rsidR="00D01DBB" w:rsidRPr="000B3F7D" w:rsidRDefault="00D01DBB" w:rsidP="007763C8">
      <w:pPr>
        <w:rPr>
          <w:rFonts w:ascii="Arial" w:hAnsi="Arial" w:cs="Arial"/>
          <w:sz w:val="22"/>
          <w:szCs w:val="22"/>
        </w:rPr>
      </w:pPr>
      <w:r w:rsidRPr="0051392C">
        <w:rPr>
          <w:rFonts w:ascii="Arial" w:hAnsi="Arial" w:cs="Arial"/>
          <w:sz w:val="22"/>
          <w:szCs w:val="22"/>
        </w:rPr>
        <w:t>The safety</w:t>
      </w:r>
      <w:r w:rsidRPr="000B3F7D">
        <w:rPr>
          <w:rFonts w:ascii="Arial" w:hAnsi="Arial" w:cs="Arial"/>
          <w:sz w:val="22"/>
          <w:szCs w:val="22"/>
        </w:rPr>
        <w:t xml:space="preserve"> and efficacy of TYKERB in paediatric patients has not been established.</w:t>
      </w:r>
    </w:p>
    <w:p w:rsidR="00D01DBB" w:rsidRPr="000B3F7D" w:rsidRDefault="00D01DBB" w:rsidP="007763C8">
      <w:pPr>
        <w:rPr>
          <w:rFonts w:ascii="Arial" w:hAnsi="Arial" w:cs="Arial"/>
          <w:sz w:val="22"/>
          <w:szCs w:val="22"/>
        </w:rPr>
      </w:pPr>
    </w:p>
    <w:p w:rsidR="00D01DBB" w:rsidRPr="004C1C75" w:rsidRDefault="00D01DBB" w:rsidP="007763C8">
      <w:pPr>
        <w:rPr>
          <w:rFonts w:ascii="Arial" w:hAnsi="Arial" w:cs="Arial"/>
          <w:b/>
          <w:color w:val="000000" w:themeColor="text1"/>
          <w:sz w:val="22"/>
          <w:szCs w:val="22"/>
        </w:rPr>
      </w:pPr>
      <w:r w:rsidRPr="004C1C75">
        <w:rPr>
          <w:rFonts w:ascii="Arial" w:hAnsi="Arial" w:cs="Arial"/>
          <w:b/>
          <w:color w:val="000000" w:themeColor="text1"/>
          <w:sz w:val="22"/>
          <w:szCs w:val="22"/>
        </w:rPr>
        <w:t>Elderly:</w:t>
      </w:r>
    </w:p>
    <w:p w:rsidR="00D01DBB" w:rsidRPr="004C1C75" w:rsidRDefault="00D01DBB" w:rsidP="007763C8">
      <w:pPr>
        <w:rPr>
          <w:rFonts w:ascii="Arial" w:hAnsi="Arial" w:cs="Arial"/>
          <w:color w:val="000000" w:themeColor="text1"/>
          <w:sz w:val="22"/>
          <w:szCs w:val="22"/>
        </w:rPr>
      </w:pPr>
    </w:p>
    <w:p w:rsidR="003946BA" w:rsidRPr="004C1C75" w:rsidRDefault="003946BA" w:rsidP="003946BA">
      <w:pPr>
        <w:rPr>
          <w:rFonts w:ascii="Arial" w:hAnsi="Arial" w:cs="Arial"/>
          <w:color w:val="000000" w:themeColor="text1"/>
          <w:sz w:val="22"/>
          <w:szCs w:val="22"/>
        </w:rPr>
      </w:pPr>
      <w:r w:rsidRPr="004C1C75">
        <w:rPr>
          <w:rFonts w:ascii="Arial" w:hAnsi="Arial" w:cs="Arial"/>
          <w:color w:val="000000" w:themeColor="text1"/>
          <w:sz w:val="22"/>
          <w:szCs w:val="22"/>
        </w:rPr>
        <w:t>There are limited data on the use of lapatinib in patients aged 65 years and older.  See Table11.</w:t>
      </w:r>
    </w:p>
    <w:p w:rsidR="003946BA" w:rsidRPr="004C1C75" w:rsidRDefault="003946BA" w:rsidP="003946BA">
      <w:pPr>
        <w:rPr>
          <w:rFonts w:ascii="Arial" w:hAnsi="Arial" w:cs="Arial"/>
          <w:b/>
          <w:color w:val="000000" w:themeColor="text1"/>
          <w:sz w:val="22"/>
          <w:szCs w:val="22"/>
        </w:rPr>
      </w:pPr>
    </w:p>
    <w:p w:rsidR="003946BA" w:rsidRPr="004C1C75" w:rsidRDefault="003946BA" w:rsidP="003946BA">
      <w:pPr>
        <w:rPr>
          <w:rFonts w:ascii="Arial" w:hAnsi="Arial" w:cs="Arial"/>
          <w:b/>
          <w:color w:val="000000" w:themeColor="text1"/>
          <w:sz w:val="22"/>
          <w:szCs w:val="22"/>
        </w:rPr>
      </w:pPr>
      <w:r w:rsidRPr="004C1C75">
        <w:rPr>
          <w:rFonts w:ascii="Arial" w:hAnsi="Arial" w:cs="Arial"/>
          <w:b/>
          <w:color w:val="000000" w:themeColor="text1"/>
          <w:sz w:val="22"/>
          <w:szCs w:val="22"/>
        </w:rPr>
        <w:t>Table 11 Exposure in Elderly Patients</w:t>
      </w:r>
    </w:p>
    <w:p w:rsidR="003946BA" w:rsidRPr="004C1C75" w:rsidRDefault="003946BA" w:rsidP="003946BA">
      <w:pPr>
        <w:rPr>
          <w:rFonts w:ascii="Arial" w:hAnsi="Arial" w:cs="Arial"/>
          <w:b/>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57"/>
        <w:gridCol w:w="1683"/>
        <w:gridCol w:w="1870"/>
      </w:tblGrid>
      <w:tr w:rsidR="003946BA" w:rsidRPr="004C1C75" w:rsidTr="00DE7F03">
        <w:tc>
          <w:tcPr>
            <w:tcW w:w="5157" w:type="dxa"/>
          </w:tcPr>
          <w:p w:rsidR="003946BA" w:rsidRPr="004C1C75" w:rsidRDefault="003946BA" w:rsidP="00DE7F03">
            <w:pPr>
              <w:rPr>
                <w:rFonts w:ascii="Arial" w:eastAsia="MS Mincho" w:hAnsi="Arial" w:cs="Arial"/>
                <w:color w:val="000000" w:themeColor="text1"/>
                <w:sz w:val="22"/>
                <w:szCs w:val="22"/>
              </w:rPr>
            </w:pPr>
            <w:r w:rsidRPr="004C1C75">
              <w:rPr>
                <w:rFonts w:ascii="Arial" w:eastAsia="MS Mincho" w:hAnsi="Arial" w:cs="Arial"/>
                <w:color w:val="000000" w:themeColor="text1"/>
                <w:sz w:val="22"/>
                <w:szCs w:val="22"/>
              </w:rPr>
              <w:t>Patient age (years)</w:t>
            </w:r>
          </w:p>
        </w:tc>
        <w:tc>
          <w:tcPr>
            <w:tcW w:w="1683" w:type="dxa"/>
          </w:tcPr>
          <w:p w:rsidR="003946BA" w:rsidRPr="004C1C75" w:rsidRDefault="003946BA" w:rsidP="00DE7F03">
            <w:pPr>
              <w:rPr>
                <w:rFonts w:ascii="Arial" w:eastAsia="MS Mincho" w:hAnsi="Arial" w:cs="Arial"/>
                <w:color w:val="000000" w:themeColor="text1"/>
                <w:sz w:val="22"/>
                <w:szCs w:val="22"/>
              </w:rPr>
            </w:pPr>
            <w:r w:rsidRPr="004C1C75">
              <w:rPr>
                <w:rFonts w:ascii="Arial" w:eastAsia="MS Mincho" w:hAnsi="Arial" w:cs="Arial"/>
                <w:color w:val="000000" w:themeColor="text1"/>
                <w:sz w:val="22"/>
                <w:szCs w:val="22"/>
              </w:rPr>
              <w:sym w:font="Symbol" w:char="F0B3"/>
            </w:r>
            <w:r w:rsidRPr="004C1C75">
              <w:rPr>
                <w:rFonts w:ascii="Arial" w:eastAsia="MS Mincho" w:hAnsi="Arial" w:cs="Arial"/>
                <w:color w:val="000000" w:themeColor="text1"/>
                <w:sz w:val="22"/>
                <w:szCs w:val="22"/>
              </w:rPr>
              <w:t>65 years</w:t>
            </w:r>
          </w:p>
        </w:tc>
        <w:tc>
          <w:tcPr>
            <w:tcW w:w="1870" w:type="dxa"/>
          </w:tcPr>
          <w:p w:rsidR="003946BA" w:rsidRPr="004C1C75" w:rsidRDefault="003946BA" w:rsidP="00DE7F03">
            <w:pPr>
              <w:rPr>
                <w:rFonts w:ascii="Arial" w:eastAsia="MS Mincho" w:hAnsi="Arial" w:cs="Arial"/>
                <w:color w:val="000000" w:themeColor="text1"/>
                <w:sz w:val="22"/>
                <w:szCs w:val="22"/>
              </w:rPr>
            </w:pPr>
            <w:r w:rsidRPr="004C1C75">
              <w:rPr>
                <w:rFonts w:ascii="Arial" w:eastAsia="MS Mincho" w:hAnsi="Arial" w:cs="Arial"/>
                <w:color w:val="000000" w:themeColor="text1"/>
                <w:sz w:val="22"/>
                <w:szCs w:val="22"/>
              </w:rPr>
              <w:sym w:font="Symbol" w:char="F0B3"/>
            </w:r>
            <w:r w:rsidRPr="004C1C75">
              <w:rPr>
                <w:rFonts w:ascii="Arial" w:eastAsia="MS Mincho" w:hAnsi="Arial" w:cs="Arial"/>
                <w:color w:val="000000" w:themeColor="text1"/>
                <w:sz w:val="22"/>
                <w:szCs w:val="22"/>
              </w:rPr>
              <w:t>75 years</w:t>
            </w:r>
          </w:p>
        </w:tc>
      </w:tr>
      <w:tr w:rsidR="003946BA" w:rsidRPr="004C1C75" w:rsidTr="00DE7F03">
        <w:tc>
          <w:tcPr>
            <w:tcW w:w="5157" w:type="dxa"/>
          </w:tcPr>
          <w:p w:rsidR="003946BA" w:rsidRPr="004C1C75" w:rsidRDefault="003946BA" w:rsidP="00DE7F03">
            <w:pPr>
              <w:rPr>
                <w:rFonts w:ascii="Arial" w:eastAsia="MS Mincho" w:hAnsi="Arial" w:cs="Arial"/>
                <w:color w:val="000000" w:themeColor="text1"/>
                <w:sz w:val="22"/>
                <w:szCs w:val="22"/>
              </w:rPr>
            </w:pPr>
            <w:r w:rsidRPr="004C1C75">
              <w:rPr>
                <w:rFonts w:ascii="Arial" w:eastAsia="MS Mincho" w:hAnsi="Arial" w:cs="Arial"/>
                <w:color w:val="000000" w:themeColor="text1"/>
                <w:sz w:val="22"/>
                <w:szCs w:val="22"/>
              </w:rPr>
              <w:t>Lapatinib + capecitabine (N=198)</w:t>
            </w:r>
          </w:p>
          <w:p w:rsidR="003946BA" w:rsidRPr="004C1C75" w:rsidRDefault="003946BA" w:rsidP="00DE7F03">
            <w:pPr>
              <w:rPr>
                <w:rFonts w:ascii="Arial" w:eastAsia="MS Mincho" w:hAnsi="Arial" w:cs="Arial"/>
                <w:color w:val="000000" w:themeColor="text1"/>
                <w:sz w:val="22"/>
                <w:szCs w:val="22"/>
              </w:rPr>
            </w:pPr>
            <w:r w:rsidRPr="004C1C75">
              <w:rPr>
                <w:rFonts w:ascii="Arial" w:eastAsia="MS Mincho" w:hAnsi="Arial" w:cs="Arial"/>
                <w:color w:val="000000" w:themeColor="text1"/>
                <w:sz w:val="22"/>
                <w:szCs w:val="22"/>
              </w:rPr>
              <w:t>(EGF100151)</w:t>
            </w:r>
          </w:p>
        </w:tc>
        <w:tc>
          <w:tcPr>
            <w:tcW w:w="1683" w:type="dxa"/>
          </w:tcPr>
          <w:p w:rsidR="003946BA" w:rsidRPr="004C1C75" w:rsidRDefault="003946BA" w:rsidP="00DE7F03">
            <w:pPr>
              <w:rPr>
                <w:rFonts w:ascii="Arial" w:eastAsia="MS Mincho" w:hAnsi="Arial" w:cs="Arial"/>
                <w:color w:val="000000" w:themeColor="text1"/>
                <w:sz w:val="22"/>
                <w:szCs w:val="22"/>
              </w:rPr>
            </w:pPr>
            <w:r w:rsidRPr="004C1C75">
              <w:rPr>
                <w:rFonts w:ascii="Arial" w:eastAsia="MS Mincho" w:hAnsi="Arial" w:cs="Arial"/>
                <w:color w:val="000000" w:themeColor="text1"/>
                <w:sz w:val="22"/>
                <w:szCs w:val="22"/>
              </w:rPr>
              <w:t>33 (17%)</w:t>
            </w:r>
          </w:p>
        </w:tc>
        <w:tc>
          <w:tcPr>
            <w:tcW w:w="1870" w:type="dxa"/>
          </w:tcPr>
          <w:p w:rsidR="003946BA" w:rsidRPr="004C1C75" w:rsidRDefault="003946BA" w:rsidP="00DE7F03">
            <w:pPr>
              <w:rPr>
                <w:rFonts w:ascii="Arial" w:eastAsia="MS Mincho" w:hAnsi="Arial" w:cs="Arial"/>
                <w:color w:val="000000" w:themeColor="text1"/>
                <w:sz w:val="22"/>
                <w:szCs w:val="22"/>
              </w:rPr>
            </w:pPr>
            <w:r w:rsidRPr="004C1C75">
              <w:rPr>
                <w:rFonts w:ascii="Arial" w:eastAsia="MS Mincho" w:hAnsi="Arial" w:cs="Arial"/>
                <w:color w:val="000000" w:themeColor="text1"/>
                <w:sz w:val="22"/>
                <w:szCs w:val="22"/>
              </w:rPr>
              <w:t>2 (1%)</w:t>
            </w:r>
          </w:p>
        </w:tc>
      </w:tr>
      <w:tr w:rsidR="00B17936" w:rsidRPr="004C1C75" w:rsidTr="00DE7F03">
        <w:tc>
          <w:tcPr>
            <w:tcW w:w="5157" w:type="dxa"/>
          </w:tcPr>
          <w:p w:rsidR="00B17936" w:rsidRPr="004C1C75" w:rsidRDefault="00B17936" w:rsidP="00B17936">
            <w:pPr>
              <w:rPr>
                <w:rFonts w:ascii="Arial" w:eastAsia="MS Mincho" w:hAnsi="Arial" w:cs="Arial"/>
                <w:color w:val="000000" w:themeColor="text1"/>
                <w:sz w:val="22"/>
                <w:szCs w:val="22"/>
              </w:rPr>
            </w:pPr>
            <w:r w:rsidRPr="004C1C75">
              <w:rPr>
                <w:rFonts w:ascii="Arial" w:eastAsia="MS Mincho" w:hAnsi="Arial" w:cs="Arial"/>
                <w:color w:val="000000" w:themeColor="text1"/>
                <w:sz w:val="22"/>
                <w:szCs w:val="22"/>
              </w:rPr>
              <w:t>Lapatinib + paclitaxel (N=222)</w:t>
            </w:r>
          </w:p>
          <w:p w:rsidR="00B17936" w:rsidRPr="004C1C75" w:rsidRDefault="00B17936" w:rsidP="00B17936">
            <w:pPr>
              <w:rPr>
                <w:rFonts w:ascii="Arial" w:eastAsia="MS Mincho" w:hAnsi="Arial" w:cs="Arial"/>
                <w:color w:val="000000" w:themeColor="text1"/>
                <w:sz w:val="22"/>
                <w:szCs w:val="22"/>
              </w:rPr>
            </w:pPr>
            <w:r w:rsidRPr="004C1C75">
              <w:rPr>
                <w:rFonts w:ascii="Arial" w:eastAsia="MS Mincho" w:hAnsi="Arial" w:cs="Arial"/>
                <w:color w:val="000000" w:themeColor="text1"/>
                <w:sz w:val="22"/>
                <w:szCs w:val="22"/>
              </w:rPr>
              <w:t>(EGF104353)</w:t>
            </w:r>
          </w:p>
        </w:tc>
        <w:tc>
          <w:tcPr>
            <w:tcW w:w="1683" w:type="dxa"/>
          </w:tcPr>
          <w:p w:rsidR="00B17936" w:rsidRPr="004C1C75" w:rsidRDefault="00B17936" w:rsidP="00DE7F03">
            <w:pPr>
              <w:rPr>
                <w:rFonts w:ascii="Arial" w:eastAsia="MS Mincho" w:hAnsi="Arial" w:cs="Arial"/>
                <w:color w:val="000000" w:themeColor="text1"/>
                <w:sz w:val="22"/>
                <w:szCs w:val="22"/>
              </w:rPr>
            </w:pPr>
            <w:r w:rsidRPr="004C1C75">
              <w:rPr>
                <w:rFonts w:ascii="Arial" w:eastAsia="MS Mincho" w:hAnsi="Arial" w:cs="Arial"/>
                <w:color w:val="000000" w:themeColor="text1"/>
                <w:sz w:val="22"/>
                <w:szCs w:val="22"/>
              </w:rPr>
              <w:t>16 (7%)</w:t>
            </w:r>
          </w:p>
        </w:tc>
        <w:tc>
          <w:tcPr>
            <w:tcW w:w="1870" w:type="dxa"/>
          </w:tcPr>
          <w:p w:rsidR="00B17936" w:rsidRPr="004C1C75" w:rsidRDefault="00B17936" w:rsidP="00DE7F03">
            <w:pPr>
              <w:rPr>
                <w:rFonts w:ascii="Arial" w:eastAsia="MS Mincho" w:hAnsi="Arial" w:cs="Arial"/>
                <w:color w:val="000000" w:themeColor="text1"/>
                <w:sz w:val="22"/>
                <w:szCs w:val="22"/>
              </w:rPr>
            </w:pPr>
            <w:r w:rsidRPr="004C1C75">
              <w:rPr>
                <w:rFonts w:ascii="Arial" w:eastAsia="MS Mincho" w:hAnsi="Arial" w:cs="Arial"/>
                <w:color w:val="000000" w:themeColor="text1"/>
                <w:sz w:val="22"/>
                <w:szCs w:val="22"/>
              </w:rPr>
              <w:t>0</w:t>
            </w:r>
          </w:p>
        </w:tc>
      </w:tr>
      <w:tr w:rsidR="003946BA" w:rsidRPr="004C1C75" w:rsidTr="00DE7F03">
        <w:tc>
          <w:tcPr>
            <w:tcW w:w="5157" w:type="dxa"/>
          </w:tcPr>
          <w:p w:rsidR="003946BA" w:rsidRPr="004C1C75" w:rsidRDefault="003946BA" w:rsidP="00DE7F03">
            <w:pPr>
              <w:rPr>
                <w:rFonts w:ascii="Arial" w:eastAsia="MS Mincho" w:hAnsi="Arial" w:cs="Arial"/>
                <w:color w:val="000000" w:themeColor="text1"/>
                <w:sz w:val="22"/>
                <w:szCs w:val="22"/>
              </w:rPr>
            </w:pPr>
            <w:r w:rsidRPr="004C1C75">
              <w:rPr>
                <w:rFonts w:ascii="Arial" w:eastAsia="MS Mincho" w:hAnsi="Arial" w:cs="Arial"/>
                <w:color w:val="000000" w:themeColor="text1"/>
                <w:sz w:val="22"/>
                <w:szCs w:val="22"/>
              </w:rPr>
              <w:t>Lapatinib + letrozole (N=642)</w:t>
            </w:r>
          </w:p>
          <w:p w:rsidR="003946BA" w:rsidRPr="004C1C75" w:rsidRDefault="003946BA" w:rsidP="00DE7F03">
            <w:pPr>
              <w:rPr>
                <w:rFonts w:ascii="Arial" w:eastAsia="MS Mincho" w:hAnsi="Arial" w:cs="Arial"/>
                <w:color w:val="000000" w:themeColor="text1"/>
                <w:sz w:val="22"/>
                <w:szCs w:val="22"/>
              </w:rPr>
            </w:pPr>
            <w:r w:rsidRPr="004C1C75">
              <w:rPr>
                <w:rFonts w:ascii="Arial" w:eastAsia="MS Mincho" w:hAnsi="Arial" w:cs="Arial"/>
                <w:color w:val="000000" w:themeColor="text1"/>
                <w:sz w:val="22"/>
                <w:szCs w:val="22"/>
              </w:rPr>
              <w:t>(EGF30008)</w:t>
            </w:r>
          </w:p>
        </w:tc>
        <w:tc>
          <w:tcPr>
            <w:tcW w:w="1683" w:type="dxa"/>
          </w:tcPr>
          <w:p w:rsidR="003946BA" w:rsidRPr="004C1C75" w:rsidRDefault="003946BA" w:rsidP="00DE7F03">
            <w:pPr>
              <w:rPr>
                <w:rFonts w:ascii="Arial" w:eastAsia="MS Mincho" w:hAnsi="Arial" w:cs="Arial"/>
                <w:color w:val="000000" w:themeColor="text1"/>
                <w:sz w:val="22"/>
                <w:szCs w:val="22"/>
              </w:rPr>
            </w:pPr>
            <w:r w:rsidRPr="004C1C75">
              <w:rPr>
                <w:rFonts w:ascii="Arial" w:eastAsia="MS Mincho" w:hAnsi="Arial" w:cs="Arial"/>
                <w:color w:val="000000" w:themeColor="text1"/>
                <w:sz w:val="22"/>
                <w:szCs w:val="22"/>
              </w:rPr>
              <w:t>285 (44%)</w:t>
            </w:r>
          </w:p>
        </w:tc>
        <w:tc>
          <w:tcPr>
            <w:tcW w:w="1870" w:type="dxa"/>
          </w:tcPr>
          <w:p w:rsidR="003946BA" w:rsidRPr="004C1C75" w:rsidRDefault="003946BA" w:rsidP="00DE7F03">
            <w:pPr>
              <w:rPr>
                <w:rFonts w:ascii="Arial" w:eastAsia="MS Mincho" w:hAnsi="Arial" w:cs="Arial"/>
                <w:color w:val="000000" w:themeColor="text1"/>
                <w:sz w:val="22"/>
                <w:szCs w:val="22"/>
              </w:rPr>
            </w:pPr>
            <w:r w:rsidRPr="004C1C75">
              <w:rPr>
                <w:rFonts w:ascii="Arial" w:eastAsia="MS Mincho" w:hAnsi="Arial" w:cs="Arial"/>
                <w:color w:val="000000" w:themeColor="text1"/>
                <w:sz w:val="22"/>
                <w:szCs w:val="22"/>
              </w:rPr>
              <w:t>77 (12%)</w:t>
            </w:r>
          </w:p>
        </w:tc>
      </w:tr>
      <w:tr w:rsidR="003946BA" w:rsidRPr="004C1C75" w:rsidTr="00DE7F03">
        <w:tc>
          <w:tcPr>
            <w:tcW w:w="5157" w:type="dxa"/>
          </w:tcPr>
          <w:p w:rsidR="003946BA" w:rsidRPr="004C1C75" w:rsidRDefault="003946BA" w:rsidP="00DE7F03">
            <w:pPr>
              <w:rPr>
                <w:rFonts w:ascii="Arial" w:eastAsia="MS Mincho" w:hAnsi="Arial" w:cs="Arial"/>
                <w:color w:val="000000" w:themeColor="text1"/>
                <w:sz w:val="22"/>
                <w:szCs w:val="22"/>
              </w:rPr>
            </w:pPr>
            <w:r w:rsidRPr="004C1C75">
              <w:rPr>
                <w:rFonts w:ascii="Arial" w:eastAsia="MS Mincho" w:hAnsi="Arial" w:cs="Arial"/>
                <w:color w:val="000000" w:themeColor="text1"/>
                <w:sz w:val="22"/>
                <w:szCs w:val="22"/>
              </w:rPr>
              <w:t>Single agent lapatinib (N=599)</w:t>
            </w:r>
          </w:p>
          <w:p w:rsidR="003946BA" w:rsidRPr="004C1C75" w:rsidRDefault="003946BA" w:rsidP="00DE7F03">
            <w:pPr>
              <w:rPr>
                <w:rFonts w:ascii="Arial" w:eastAsia="MS Mincho" w:hAnsi="Arial" w:cs="Arial"/>
                <w:color w:val="000000" w:themeColor="text1"/>
                <w:sz w:val="22"/>
                <w:szCs w:val="22"/>
              </w:rPr>
            </w:pPr>
            <w:r w:rsidRPr="004C1C75">
              <w:rPr>
                <w:rFonts w:ascii="Arial" w:eastAsia="MS Mincho" w:hAnsi="Arial" w:cs="Arial"/>
                <w:color w:val="000000" w:themeColor="text1"/>
                <w:sz w:val="22"/>
                <w:szCs w:val="22"/>
              </w:rPr>
              <w:t>(EGF20002, EGF20008, EGF20009, EGF103009)</w:t>
            </w:r>
          </w:p>
        </w:tc>
        <w:tc>
          <w:tcPr>
            <w:tcW w:w="1683" w:type="dxa"/>
          </w:tcPr>
          <w:p w:rsidR="003946BA" w:rsidRPr="004C1C75" w:rsidRDefault="003946BA" w:rsidP="00DE7F03">
            <w:pPr>
              <w:rPr>
                <w:rFonts w:ascii="Arial" w:eastAsia="MS Mincho" w:hAnsi="Arial" w:cs="Arial"/>
                <w:color w:val="000000" w:themeColor="text1"/>
                <w:sz w:val="22"/>
                <w:szCs w:val="22"/>
              </w:rPr>
            </w:pPr>
            <w:r w:rsidRPr="004C1C75">
              <w:rPr>
                <w:rFonts w:ascii="Arial" w:eastAsia="MS Mincho" w:hAnsi="Arial" w:cs="Arial"/>
                <w:color w:val="000000" w:themeColor="text1"/>
                <w:sz w:val="22"/>
                <w:szCs w:val="22"/>
              </w:rPr>
              <w:t>101 (17%)</w:t>
            </w:r>
          </w:p>
        </w:tc>
        <w:tc>
          <w:tcPr>
            <w:tcW w:w="1870" w:type="dxa"/>
          </w:tcPr>
          <w:p w:rsidR="003946BA" w:rsidRPr="004C1C75" w:rsidRDefault="003946BA" w:rsidP="00DE7F03">
            <w:pPr>
              <w:rPr>
                <w:rFonts w:ascii="Arial" w:eastAsia="MS Mincho" w:hAnsi="Arial" w:cs="Arial"/>
                <w:color w:val="000000" w:themeColor="text1"/>
                <w:sz w:val="22"/>
                <w:szCs w:val="22"/>
              </w:rPr>
            </w:pPr>
            <w:r w:rsidRPr="004C1C75">
              <w:rPr>
                <w:rFonts w:ascii="Arial" w:eastAsia="MS Mincho" w:hAnsi="Arial" w:cs="Arial"/>
                <w:color w:val="000000" w:themeColor="text1"/>
                <w:sz w:val="22"/>
                <w:szCs w:val="22"/>
              </w:rPr>
              <w:t>24 (4%)</w:t>
            </w:r>
          </w:p>
        </w:tc>
      </w:tr>
    </w:tbl>
    <w:p w:rsidR="003946BA" w:rsidRPr="004C1C75" w:rsidRDefault="003946BA" w:rsidP="007763C8">
      <w:pPr>
        <w:rPr>
          <w:rFonts w:ascii="Arial" w:hAnsi="Arial" w:cs="Arial"/>
          <w:color w:val="000000" w:themeColor="text1"/>
          <w:sz w:val="22"/>
          <w:szCs w:val="22"/>
        </w:rPr>
      </w:pPr>
    </w:p>
    <w:p w:rsidR="003946BA" w:rsidRPr="004C1C75" w:rsidRDefault="003946BA" w:rsidP="007763C8">
      <w:pPr>
        <w:rPr>
          <w:rFonts w:ascii="Arial" w:hAnsi="Arial" w:cs="Arial"/>
          <w:color w:val="000000" w:themeColor="text1"/>
          <w:sz w:val="22"/>
          <w:szCs w:val="22"/>
        </w:rPr>
      </w:pPr>
      <w:r w:rsidRPr="004C1C75">
        <w:rPr>
          <w:rFonts w:ascii="Arial" w:hAnsi="Arial" w:cs="Arial"/>
          <w:color w:val="000000" w:themeColor="text1"/>
          <w:sz w:val="22"/>
          <w:szCs w:val="22"/>
        </w:rPr>
        <w:t>No overall differences in the safety or efficacy of these regimens on the basis of age were observed. Other reported clinical experience has not identified differences in responses between the elderly and younger patients. Greater sensitivity of elderly individuals cannot be ruled out.</w:t>
      </w:r>
    </w:p>
    <w:p w:rsidR="003946BA" w:rsidRPr="000B3F7D" w:rsidRDefault="003946BA" w:rsidP="007763C8">
      <w:pPr>
        <w:rPr>
          <w:rFonts w:ascii="Arial" w:hAnsi="Arial" w:cs="Arial"/>
          <w:sz w:val="22"/>
          <w:szCs w:val="22"/>
        </w:rPr>
      </w:pPr>
    </w:p>
    <w:p w:rsidR="007763C8" w:rsidRPr="000B3F7D" w:rsidRDefault="0071575F" w:rsidP="007763C8">
      <w:pPr>
        <w:rPr>
          <w:rFonts w:ascii="Arial Bold" w:hAnsi="Arial Bold" w:cs="Arial"/>
          <w:b/>
          <w:sz w:val="22"/>
          <w:szCs w:val="22"/>
          <w:highlight w:val="yellow"/>
        </w:rPr>
      </w:pPr>
      <w:r w:rsidRPr="000B3F7D">
        <w:rPr>
          <w:rFonts w:ascii="Arial Bold" w:hAnsi="Arial Bold" w:cs="Arial"/>
          <w:b/>
          <w:sz w:val="22"/>
          <w:szCs w:val="22"/>
        </w:rPr>
        <w:t>Hepatic Impairment:</w:t>
      </w:r>
    </w:p>
    <w:p w:rsidR="0071575F" w:rsidRPr="000B3F7D" w:rsidRDefault="0071575F" w:rsidP="0071575F">
      <w:pPr>
        <w:jc w:val="both"/>
        <w:rPr>
          <w:rStyle w:val="CSIchar"/>
          <w:rFonts w:ascii="Arial" w:hAnsi="Arial" w:cs="Arial"/>
          <w:sz w:val="22"/>
          <w:szCs w:val="22"/>
        </w:rPr>
      </w:pPr>
      <w:r w:rsidRPr="000B3F7D">
        <w:rPr>
          <w:rStyle w:val="CSIchar"/>
          <w:rFonts w:ascii="Arial" w:hAnsi="Arial" w:cs="Arial"/>
          <w:sz w:val="22"/>
          <w:szCs w:val="22"/>
          <w:shd w:val="clear" w:color="auto" w:fill="auto"/>
        </w:rPr>
        <w:t xml:space="preserve">Patients with severe hepatic impairment (Child-Pugh Class C) should have their dose of </w:t>
      </w:r>
      <w:r w:rsidR="007D7E51" w:rsidRPr="000B3F7D">
        <w:rPr>
          <w:rStyle w:val="CSIchar"/>
          <w:rFonts w:ascii="Arial" w:hAnsi="Arial" w:cs="Arial"/>
          <w:sz w:val="22"/>
          <w:szCs w:val="22"/>
          <w:shd w:val="clear" w:color="auto" w:fill="auto"/>
        </w:rPr>
        <w:t>TYKERB</w:t>
      </w:r>
      <w:r w:rsidRPr="000B3F7D">
        <w:rPr>
          <w:rStyle w:val="CSIchar"/>
          <w:rFonts w:ascii="Arial" w:hAnsi="Arial" w:cs="Arial"/>
          <w:sz w:val="22"/>
          <w:szCs w:val="22"/>
          <w:shd w:val="clear" w:color="auto" w:fill="auto"/>
        </w:rPr>
        <w:t xml:space="preserve"> reduced. </w:t>
      </w:r>
      <w:r w:rsidR="007D7E51" w:rsidRPr="000B3F7D">
        <w:rPr>
          <w:rStyle w:val="CSIchar"/>
          <w:rFonts w:ascii="Arial" w:hAnsi="Arial" w:cs="Arial"/>
          <w:sz w:val="22"/>
          <w:szCs w:val="22"/>
          <w:shd w:val="clear" w:color="auto" w:fill="auto"/>
        </w:rPr>
        <w:t xml:space="preserve"> A dose reduction </w:t>
      </w:r>
      <w:r w:rsidR="00E57FAC" w:rsidRPr="000B3F7D">
        <w:rPr>
          <w:rStyle w:val="CSIchar"/>
          <w:rFonts w:ascii="Arial" w:hAnsi="Arial" w:cs="Arial"/>
          <w:sz w:val="22"/>
          <w:szCs w:val="22"/>
          <w:shd w:val="clear" w:color="auto" w:fill="auto"/>
        </w:rPr>
        <w:t xml:space="preserve">from 1250 mg/day </w:t>
      </w:r>
      <w:r w:rsidR="007D7E51" w:rsidRPr="000B3F7D">
        <w:rPr>
          <w:rStyle w:val="CSIchar"/>
          <w:rFonts w:ascii="Arial" w:hAnsi="Arial" w:cs="Arial"/>
          <w:sz w:val="22"/>
          <w:szCs w:val="22"/>
          <w:shd w:val="clear" w:color="auto" w:fill="auto"/>
        </w:rPr>
        <w:t xml:space="preserve">to 750 </w:t>
      </w:r>
      <w:r w:rsidRPr="000B3F7D">
        <w:rPr>
          <w:rStyle w:val="CSIchar"/>
          <w:rFonts w:ascii="Arial" w:hAnsi="Arial" w:cs="Arial"/>
          <w:sz w:val="22"/>
          <w:szCs w:val="22"/>
          <w:shd w:val="clear" w:color="auto" w:fill="auto"/>
        </w:rPr>
        <w:t xml:space="preserve">mg/day </w:t>
      </w:r>
      <w:r w:rsidR="00E57FAC" w:rsidRPr="000B3F7D">
        <w:rPr>
          <w:rStyle w:val="CSIchar"/>
          <w:rFonts w:ascii="Arial" w:hAnsi="Arial" w:cs="Arial"/>
          <w:sz w:val="22"/>
          <w:szCs w:val="22"/>
          <w:shd w:val="clear" w:color="auto" w:fill="auto"/>
        </w:rPr>
        <w:t xml:space="preserve">or from 1500 mg/day to 1000 mg/day </w:t>
      </w:r>
      <w:r w:rsidRPr="000B3F7D">
        <w:rPr>
          <w:rStyle w:val="CSIchar"/>
          <w:rFonts w:ascii="Arial" w:hAnsi="Arial" w:cs="Arial"/>
          <w:sz w:val="22"/>
          <w:szCs w:val="22"/>
          <w:shd w:val="clear" w:color="auto" w:fill="auto"/>
        </w:rPr>
        <w:t xml:space="preserve">in patients with severe hepatic impairment is predicted to adjust the area under the curve (AUC) to the normal range. </w:t>
      </w:r>
      <w:r w:rsidR="007D7E51" w:rsidRPr="000B3F7D">
        <w:rPr>
          <w:rStyle w:val="CSIchar"/>
          <w:rFonts w:ascii="Arial" w:hAnsi="Arial" w:cs="Arial"/>
          <w:sz w:val="22"/>
          <w:szCs w:val="22"/>
          <w:shd w:val="clear" w:color="auto" w:fill="auto"/>
        </w:rPr>
        <w:t xml:space="preserve"> </w:t>
      </w:r>
      <w:r w:rsidRPr="000B3F7D">
        <w:rPr>
          <w:rStyle w:val="CSIchar"/>
          <w:rFonts w:ascii="Arial" w:eastAsia="Batang" w:hAnsi="Arial" w:cs="Arial"/>
          <w:sz w:val="22"/>
          <w:szCs w:val="22"/>
          <w:shd w:val="clear" w:color="auto" w:fill="auto"/>
        </w:rPr>
        <w:t xml:space="preserve">However, there are no clinical data with this dose adjustment in patients with severe hepatic impairment (see Precautions and Pharmacokinetics – </w:t>
      </w:r>
      <w:r w:rsidR="007D7E51" w:rsidRPr="000B3F7D">
        <w:rPr>
          <w:rStyle w:val="CSIchar"/>
          <w:rFonts w:ascii="Arial" w:eastAsia="Batang" w:hAnsi="Arial" w:cs="Arial"/>
          <w:sz w:val="22"/>
          <w:szCs w:val="22"/>
          <w:shd w:val="clear" w:color="auto" w:fill="auto"/>
        </w:rPr>
        <w:t>Hepatic Impairment</w:t>
      </w:r>
      <w:r w:rsidRPr="000B3F7D">
        <w:rPr>
          <w:rStyle w:val="CSIchar"/>
          <w:rFonts w:ascii="Arial" w:eastAsia="Batang" w:hAnsi="Arial" w:cs="Arial"/>
          <w:sz w:val="22"/>
          <w:szCs w:val="22"/>
          <w:shd w:val="clear" w:color="auto" w:fill="auto"/>
        </w:rPr>
        <w:t>).</w:t>
      </w:r>
    </w:p>
    <w:p w:rsidR="00131BD8" w:rsidRPr="000B3F7D" w:rsidRDefault="00131BD8" w:rsidP="007763C8">
      <w:pPr>
        <w:rPr>
          <w:rFonts w:ascii="Arial" w:hAnsi="Arial" w:cs="Arial"/>
          <w:sz w:val="22"/>
          <w:szCs w:val="22"/>
        </w:rPr>
      </w:pPr>
    </w:p>
    <w:p w:rsidR="00131BD8" w:rsidRPr="000B3F7D" w:rsidRDefault="00131BD8" w:rsidP="007763C8">
      <w:pPr>
        <w:rPr>
          <w:rFonts w:ascii="Arial" w:hAnsi="Arial" w:cs="Arial"/>
          <w:sz w:val="22"/>
          <w:szCs w:val="22"/>
        </w:rPr>
      </w:pPr>
    </w:p>
    <w:p w:rsidR="00D01DBB" w:rsidRPr="000B3F7D" w:rsidRDefault="00D01DBB" w:rsidP="007763C8">
      <w:pPr>
        <w:rPr>
          <w:rFonts w:ascii="Arial" w:hAnsi="Arial" w:cs="Arial"/>
          <w:b/>
          <w:sz w:val="22"/>
          <w:szCs w:val="22"/>
        </w:rPr>
      </w:pPr>
      <w:r w:rsidRPr="000B3F7D">
        <w:rPr>
          <w:rFonts w:ascii="Arial" w:hAnsi="Arial" w:cs="Arial"/>
          <w:b/>
          <w:sz w:val="22"/>
          <w:szCs w:val="22"/>
        </w:rPr>
        <w:t>O</w:t>
      </w:r>
      <w:smartTag w:uri="schemas-GSKSiteLocations-com/fourthcoffee" w:element="flavor">
        <w:r w:rsidRPr="000B3F7D">
          <w:rPr>
            <w:rFonts w:ascii="Arial" w:hAnsi="Arial" w:cs="Arial"/>
            <w:b/>
            <w:sz w:val="22"/>
            <w:szCs w:val="22"/>
          </w:rPr>
          <w:t>VER</w:t>
        </w:r>
      </w:smartTag>
      <w:r w:rsidRPr="000B3F7D">
        <w:rPr>
          <w:rFonts w:ascii="Arial" w:hAnsi="Arial" w:cs="Arial"/>
          <w:b/>
          <w:sz w:val="22"/>
          <w:szCs w:val="22"/>
        </w:rPr>
        <w:t>DOSAGE</w:t>
      </w:r>
    </w:p>
    <w:p w:rsidR="003740FE" w:rsidRPr="000B3F7D" w:rsidRDefault="00D01DBB" w:rsidP="003740FE">
      <w:pPr>
        <w:jc w:val="both"/>
        <w:rPr>
          <w:rStyle w:val="CSIchar"/>
          <w:rFonts w:ascii="Arial" w:hAnsi="Arial" w:cs="Arial"/>
          <w:sz w:val="22"/>
          <w:szCs w:val="22"/>
        </w:rPr>
      </w:pPr>
      <w:r w:rsidRPr="000B3F7D">
        <w:rPr>
          <w:rStyle w:val="CSIchar"/>
          <w:rFonts w:ascii="Arial" w:hAnsi="Arial" w:cs="Arial"/>
          <w:sz w:val="22"/>
          <w:szCs w:val="22"/>
          <w:shd w:val="clear" w:color="auto" w:fill="auto"/>
        </w:rPr>
        <w:t xml:space="preserve">There is no specific antidote for the inhibition of ErbB1 (EGFR) and/or HER2 tyrosine phosphorylation. </w:t>
      </w:r>
      <w:r w:rsidR="0093006E" w:rsidRPr="000B3F7D">
        <w:rPr>
          <w:rStyle w:val="CSIchar"/>
          <w:rFonts w:ascii="Arial" w:hAnsi="Arial" w:cs="Arial"/>
          <w:sz w:val="22"/>
          <w:szCs w:val="22"/>
          <w:shd w:val="clear" w:color="auto" w:fill="auto"/>
        </w:rPr>
        <w:t xml:space="preserve"> </w:t>
      </w:r>
      <w:r w:rsidRPr="000B3F7D">
        <w:rPr>
          <w:rStyle w:val="CSIchar"/>
          <w:rFonts w:ascii="Arial" w:hAnsi="Arial" w:cs="Arial"/>
          <w:sz w:val="22"/>
          <w:szCs w:val="22"/>
          <w:shd w:val="clear" w:color="auto" w:fill="auto"/>
        </w:rPr>
        <w:t xml:space="preserve">The maximum oral dose of </w:t>
      </w:r>
      <w:r w:rsidRPr="000B3F7D">
        <w:rPr>
          <w:rFonts w:ascii="Arial" w:hAnsi="Arial" w:cs="Arial"/>
          <w:sz w:val="22"/>
          <w:szCs w:val="22"/>
        </w:rPr>
        <w:t>TYKERB</w:t>
      </w:r>
      <w:r w:rsidRPr="000B3F7D">
        <w:rPr>
          <w:rStyle w:val="CSIchar"/>
          <w:rFonts w:ascii="Arial" w:hAnsi="Arial" w:cs="Arial"/>
          <w:sz w:val="22"/>
          <w:szCs w:val="22"/>
          <w:shd w:val="clear" w:color="auto" w:fill="auto"/>
        </w:rPr>
        <w:t xml:space="preserve"> that has been administered in clinical trials is 1800 mg once daily.</w:t>
      </w:r>
      <w:r w:rsidR="003740FE" w:rsidRPr="000B3F7D">
        <w:rPr>
          <w:rStyle w:val="CSIchar"/>
          <w:rFonts w:ascii="Arial" w:eastAsia="Batang" w:hAnsi="Arial" w:cs="Arial"/>
          <w:sz w:val="22"/>
          <w:szCs w:val="22"/>
          <w:shd w:val="clear" w:color="auto" w:fill="auto"/>
        </w:rPr>
        <w:t xml:space="preserve">  </w:t>
      </w:r>
    </w:p>
    <w:p w:rsidR="00E01FCC" w:rsidRPr="000B3F7D" w:rsidRDefault="00E01FCC" w:rsidP="007763C8">
      <w:pPr>
        <w:rPr>
          <w:rStyle w:val="CSIchar"/>
          <w:rFonts w:ascii="Arial" w:hAnsi="Arial" w:cs="Arial"/>
          <w:sz w:val="22"/>
          <w:szCs w:val="22"/>
          <w:shd w:val="clear" w:color="auto" w:fill="auto"/>
        </w:rPr>
      </w:pPr>
    </w:p>
    <w:p w:rsidR="00D01DBB" w:rsidRPr="000B3F7D" w:rsidRDefault="00D01DBB" w:rsidP="007763C8">
      <w:pPr>
        <w:jc w:val="both"/>
        <w:rPr>
          <w:rFonts w:ascii="Arial" w:hAnsi="Arial" w:cs="Arial"/>
          <w:sz w:val="22"/>
          <w:szCs w:val="22"/>
        </w:rPr>
      </w:pPr>
      <w:r w:rsidRPr="000B3F7D">
        <w:rPr>
          <w:rStyle w:val="CSIchar"/>
          <w:rFonts w:ascii="Arial" w:hAnsi="Arial" w:cs="Arial"/>
          <w:sz w:val="22"/>
          <w:szCs w:val="22"/>
          <w:shd w:val="clear" w:color="auto" w:fill="auto"/>
        </w:rPr>
        <w:t xml:space="preserve">More frequent ingestion of </w:t>
      </w:r>
      <w:r w:rsidRPr="000B3F7D">
        <w:rPr>
          <w:rFonts w:ascii="Arial" w:hAnsi="Arial" w:cs="Arial"/>
          <w:sz w:val="22"/>
          <w:szCs w:val="22"/>
        </w:rPr>
        <w:t>TYKERB</w:t>
      </w:r>
      <w:r w:rsidRPr="000B3F7D">
        <w:rPr>
          <w:rStyle w:val="CSIchar"/>
          <w:rFonts w:ascii="Arial" w:hAnsi="Arial" w:cs="Arial"/>
          <w:sz w:val="22"/>
          <w:szCs w:val="22"/>
          <w:shd w:val="clear" w:color="auto" w:fill="auto"/>
        </w:rPr>
        <w:t xml:space="preserve"> could result in serum concentrations exceeding those observed in clinical trials, therefore missed doses should not be replaced, and dosing should resume with the next scheduled daily dose (</w:t>
      </w:r>
      <w:r w:rsidRPr="000B3F7D">
        <w:rPr>
          <w:rStyle w:val="CSIchar"/>
          <w:rFonts w:ascii="Arial" w:hAnsi="Arial" w:cs="Arial"/>
          <w:i/>
          <w:sz w:val="22"/>
          <w:szCs w:val="22"/>
          <w:shd w:val="clear" w:color="auto" w:fill="auto"/>
        </w:rPr>
        <w:t>see Dosage and Administration</w:t>
      </w:r>
      <w:r w:rsidRPr="000B3F7D">
        <w:rPr>
          <w:rStyle w:val="CSIchar"/>
          <w:rFonts w:ascii="Arial" w:hAnsi="Arial" w:cs="Arial"/>
          <w:sz w:val="22"/>
          <w:szCs w:val="22"/>
          <w:shd w:val="clear" w:color="auto" w:fill="auto"/>
        </w:rPr>
        <w:t>).</w:t>
      </w:r>
    </w:p>
    <w:p w:rsidR="00D01DBB" w:rsidRPr="000B3F7D" w:rsidRDefault="00D01DBB" w:rsidP="007763C8">
      <w:pPr>
        <w:rPr>
          <w:rFonts w:ascii="Arial" w:hAnsi="Arial" w:cs="Arial"/>
          <w:sz w:val="22"/>
          <w:szCs w:val="22"/>
        </w:rPr>
      </w:pPr>
    </w:p>
    <w:p w:rsidR="00A043D3" w:rsidRPr="004C1C75" w:rsidRDefault="00A043D3" w:rsidP="00A043D3">
      <w:pPr>
        <w:rPr>
          <w:b/>
          <w:i/>
          <w:color w:val="000000" w:themeColor="text1"/>
          <w:szCs w:val="24"/>
          <w:lang w:eastAsia="en-GB"/>
        </w:rPr>
      </w:pPr>
      <w:r w:rsidRPr="00145525">
        <w:rPr>
          <w:rStyle w:val="CSIchar"/>
          <w:rFonts w:ascii="Arial" w:hAnsi="Arial" w:cs="Arial"/>
          <w:color w:val="000000"/>
          <w:sz w:val="22"/>
          <w:szCs w:val="22"/>
          <w:shd w:val="clear" w:color="auto" w:fill="FFFFFF"/>
        </w:rPr>
        <w:t xml:space="preserve">Asymptomatic and symptomatic cases of overdose have been reported in patients being treated with lapatinib.  Symptoms observed include known lapatinib associated events (see Adverse Reactions) and in </w:t>
      </w:r>
      <w:r w:rsidRPr="004C1C75">
        <w:rPr>
          <w:rStyle w:val="CSIchar"/>
          <w:rFonts w:ascii="Arial" w:hAnsi="Arial" w:cs="Arial"/>
          <w:color w:val="000000" w:themeColor="text1"/>
          <w:sz w:val="22"/>
          <w:szCs w:val="22"/>
          <w:shd w:val="clear" w:color="auto" w:fill="FFFFFF"/>
        </w:rPr>
        <w:t xml:space="preserve">some cases </w:t>
      </w:r>
      <w:r w:rsidRPr="004C1C75">
        <w:rPr>
          <w:rFonts w:ascii="Arial" w:hAnsi="Arial" w:cs="Arial"/>
          <w:color w:val="000000" w:themeColor="text1"/>
          <w:sz w:val="22"/>
          <w:szCs w:val="22"/>
          <w:shd w:val="clear" w:color="auto" w:fill="FFFFFF"/>
          <w:lang w:eastAsia="en-GB"/>
        </w:rPr>
        <w:t>sore scalp, sinus tachycardia (with otherwise normal ECG) and/or mucosal inflammation</w:t>
      </w:r>
      <w:r w:rsidRPr="004C1C75">
        <w:rPr>
          <w:b/>
          <w:i/>
          <w:color w:val="000000" w:themeColor="text1"/>
          <w:szCs w:val="24"/>
          <w:lang w:eastAsia="en-GB"/>
        </w:rPr>
        <w:t>.</w:t>
      </w:r>
    </w:p>
    <w:p w:rsidR="00D01DBB" w:rsidRPr="004C1C75" w:rsidRDefault="00D01DBB" w:rsidP="007763C8">
      <w:pPr>
        <w:rPr>
          <w:rFonts w:ascii="Arial" w:hAnsi="Arial" w:cs="Arial"/>
          <w:color w:val="000000" w:themeColor="text1"/>
          <w:sz w:val="22"/>
          <w:szCs w:val="22"/>
        </w:rPr>
      </w:pPr>
    </w:p>
    <w:p w:rsidR="00D01DBB" w:rsidRPr="000B3F7D" w:rsidRDefault="00D01DBB" w:rsidP="007763C8">
      <w:pPr>
        <w:jc w:val="both"/>
        <w:rPr>
          <w:rStyle w:val="CSIchar"/>
          <w:rFonts w:ascii="Arial" w:hAnsi="Arial" w:cs="Arial"/>
          <w:sz w:val="22"/>
          <w:szCs w:val="22"/>
          <w:shd w:val="clear" w:color="auto" w:fill="auto"/>
        </w:rPr>
      </w:pPr>
      <w:r w:rsidRPr="000B3F7D">
        <w:rPr>
          <w:rFonts w:ascii="Arial" w:hAnsi="Arial" w:cs="Arial"/>
          <w:sz w:val="22"/>
          <w:szCs w:val="22"/>
        </w:rPr>
        <w:t>TYKERB</w:t>
      </w:r>
      <w:r w:rsidRPr="000B3F7D">
        <w:rPr>
          <w:rStyle w:val="CSIchar"/>
          <w:rFonts w:ascii="Arial" w:hAnsi="Arial" w:cs="Arial"/>
          <w:sz w:val="22"/>
          <w:szCs w:val="22"/>
          <w:shd w:val="clear" w:color="auto" w:fill="auto"/>
        </w:rPr>
        <w:t xml:space="preserve"> is not significantly renally excreted and is highly bound to plasma proteins, therefore haemodialysis would not be expected to be an effective method to enhance the elimination of lapatinib.</w:t>
      </w:r>
    </w:p>
    <w:p w:rsidR="00A043D3" w:rsidRDefault="00A043D3" w:rsidP="00A043D3">
      <w:pPr>
        <w:rPr>
          <w:rStyle w:val="CSIchar"/>
          <w:rFonts w:ascii="Arial" w:hAnsi="Arial" w:cs="Arial"/>
          <w:sz w:val="22"/>
          <w:szCs w:val="22"/>
          <w:shd w:val="clear" w:color="auto" w:fill="auto"/>
        </w:rPr>
      </w:pPr>
    </w:p>
    <w:p w:rsidR="00A043D3" w:rsidRDefault="00A043D3" w:rsidP="00A043D3">
      <w:pPr>
        <w:rPr>
          <w:rStyle w:val="CSIchar"/>
          <w:rFonts w:ascii="Arial" w:hAnsi="Arial" w:cs="Arial"/>
          <w:sz w:val="22"/>
          <w:szCs w:val="22"/>
          <w:shd w:val="clear" w:color="auto" w:fill="auto"/>
        </w:rPr>
      </w:pPr>
      <w:r>
        <w:rPr>
          <w:rStyle w:val="CSIchar"/>
          <w:rFonts w:ascii="Arial" w:hAnsi="Arial" w:cs="Arial"/>
          <w:sz w:val="22"/>
          <w:szCs w:val="22"/>
          <w:shd w:val="clear" w:color="auto" w:fill="auto"/>
        </w:rPr>
        <w:t>Further management should be as clinically indicated or as recommended by the Poisons Information Centre (131126).</w:t>
      </w:r>
    </w:p>
    <w:p w:rsidR="00D01DBB" w:rsidRPr="000B3F7D" w:rsidRDefault="00D01DBB" w:rsidP="007763C8">
      <w:pPr>
        <w:rPr>
          <w:rStyle w:val="CSIchar"/>
          <w:rFonts w:ascii="Arial" w:hAnsi="Arial" w:cs="Arial"/>
          <w:sz w:val="22"/>
          <w:szCs w:val="22"/>
          <w:shd w:val="clear" w:color="auto" w:fill="auto"/>
        </w:rPr>
      </w:pPr>
    </w:p>
    <w:p w:rsidR="007763C8" w:rsidRPr="000B3F7D" w:rsidRDefault="007763C8" w:rsidP="007763C8">
      <w:pPr>
        <w:rPr>
          <w:rStyle w:val="CSIchar"/>
          <w:rFonts w:ascii="Arial" w:hAnsi="Arial" w:cs="Arial"/>
          <w:sz w:val="22"/>
          <w:szCs w:val="22"/>
          <w:shd w:val="clear" w:color="auto" w:fill="auto"/>
        </w:rPr>
      </w:pPr>
    </w:p>
    <w:p w:rsidR="00D01DBB" w:rsidRPr="009021CB" w:rsidRDefault="00D01DBB" w:rsidP="007763C8">
      <w:pPr>
        <w:rPr>
          <w:rFonts w:ascii="Arial" w:hAnsi="Arial" w:cs="Arial"/>
          <w:sz w:val="22"/>
          <w:szCs w:val="22"/>
        </w:rPr>
      </w:pPr>
      <w:r w:rsidRPr="009021CB">
        <w:rPr>
          <w:rFonts w:ascii="Arial" w:hAnsi="Arial" w:cs="Arial"/>
          <w:b/>
          <w:sz w:val="22"/>
          <w:szCs w:val="22"/>
          <w:lang w:val="en-US"/>
        </w:rPr>
        <w:t>PRESENTATION</w:t>
      </w:r>
      <w:r w:rsidR="009021CB" w:rsidRPr="009021CB">
        <w:rPr>
          <w:rFonts w:ascii="Arial" w:hAnsi="Arial" w:cs="Arial"/>
          <w:b/>
          <w:sz w:val="22"/>
          <w:szCs w:val="22"/>
          <w:lang w:val="en-US"/>
        </w:rPr>
        <w:t xml:space="preserve"> AND STORAGE CONDITIONS</w:t>
      </w:r>
    </w:p>
    <w:p w:rsidR="00D01DBB" w:rsidRPr="009021CB" w:rsidRDefault="00D01DBB" w:rsidP="007763C8">
      <w:pPr>
        <w:jc w:val="both"/>
        <w:rPr>
          <w:rFonts w:ascii="Arial" w:hAnsi="Arial" w:cs="Arial"/>
          <w:sz w:val="22"/>
          <w:szCs w:val="22"/>
        </w:rPr>
      </w:pPr>
      <w:r w:rsidRPr="009021CB">
        <w:rPr>
          <w:rFonts w:ascii="Arial" w:hAnsi="Arial" w:cs="Arial"/>
          <w:sz w:val="22"/>
          <w:szCs w:val="22"/>
        </w:rPr>
        <w:t>TYKERB</w:t>
      </w:r>
      <w:r w:rsidRPr="009021CB">
        <w:rPr>
          <w:rFonts w:ascii="Arial" w:hAnsi="Arial" w:cs="Arial"/>
          <w:sz w:val="22"/>
          <w:szCs w:val="22"/>
          <w:vertAlign w:val="superscript"/>
        </w:rPr>
        <w:t xml:space="preserve"> </w:t>
      </w:r>
      <w:r w:rsidRPr="009021CB">
        <w:rPr>
          <w:rFonts w:ascii="Arial" w:hAnsi="Arial" w:cs="Arial"/>
          <w:sz w:val="22"/>
          <w:szCs w:val="22"/>
        </w:rPr>
        <w:t>(Lapatinib ditosylate monohydrate) tablets</w:t>
      </w:r>
      <w:r w:rsidR="009021CB" w:rsidRPr="009021CB">
        <w:rPr>
          <w:rFonts w:ascii="Arial" w:hAnsi="Arial" w:cs="Arial"/>
          <w:sz w:val="22"/>
          <w:szCs w:val="22"/>
        </w:rPr>
        <w:t xml:space="preserve"> contain</w:t>
      </w:r>
      <w:r w:rsidRPr="009021CB">
        <w:rPr>
          <w:rFonts w:ascii="Arial" w:hAnsi="Arial" w:cs="Arial"/>
          <w:sz w:val="22"/>
          <w:szCs w:val="22"/>
        </w:rPr>
        <w:t xml:space="preserve"> 250 mg</w:t>
      </w:r>
      <w:r w:rsidR="009021CB" w:rsidRPr="009021CB">
        <w:rPr>
          <w:rFonts w:ascii="Arial" w:hAnsi="Arial" w:cs="Arial"/>
          <w:sz w:val="22"/>
          <w:szCs w:val="22"/>
        </w:rPr>
        <w:t xml:space="preserve"> mg of lapatinib as ditosylate monohydrate per tablet. The 250 mg tablets</w:t>
      </w:r>
      <w:r w:rsidRPr="009021CB">
        <w:rPr>
          <w:rFonts w:ascii="Arial" w:hAnsi="Arial" w:cs="Arial"/>
          <w:sz w:val="22"/>
          <w:szCs w:val="22"/>
        </w:rPr>
        <w:t xml:space="preserve"> are oval, biconvex, yellow film-coated tablets, with one side plain and the opposite side debossed with GS XJG.  </w:t>
      </w:r>
    </w:p>
    <w:p w:rsidR="00D01DBB" w:rsidRPr="009021CB" w:rsidRDefault="00D01DBB" w:rsidP="007763C8">
      <w:pPr>
        <w:rPr>
          <w:rFonts w:ascii="Arial" w:hAnsi="Arial" w:cs="Arial"/>
          <w:sz w:val="22"/>
          <w:szCs w:val="22"/>
        </w:rPr>
      </w:pPr>
    </w:p>
    <w:p w:rsidR="00D01DBB" w:rsidRPr="009021CB" w:rsidRDefault="00D01DBB" w:rsidP="007763C8">
      <w:pPr>
        <w:rPr>
          <w:rFonts w:ascii="Arial" w:hAnsi="Arial" w:cs="Arial"/>
          <w:sz w:val="22"/>
          <w:szCs w:val="22"/>
        </w:rPr>
      </w:pPr>
      <w:r w:rsidRPr="009021CB">
        <w:rPr>
          <w:rFonts w:ascii="Arial" w:hAnsi="Arial" w:cs="Arial"/>
          <w:sz w:val="22"/>
          <w:szCs w:val="22"/>
        </w:rPr>
        <w:t xml:space="preserve">TYKERB film-coated tablets are supplied in </w:t>
      </w:r>
      <w:r w:rsidR="009021CB" w:rsidRPr="009021CB">
        <w:rPr>
          <w:rFonts w:ascii="Arial" w:hAnsi="Arial" w:cs="Arial"/>
          <w:sz w:val="22"/>
          <w:szCs w:val="22"/>
        </w:rPr>
        <w:t xml:space="preserve">PA/Al/PVC/Al blister </w:t>
      </w:r>
      <w:r w:rsidRPr="009021CB">
        <w:rPr>
          <w:rFonts w:ascii="Arial" w:hAnsi="Arial" w:cs="Arial"/>
          <w:sz w:val="22"/>
          <w:szCs w:val="22"/>
        </w:rPr>
        <w:t xml:space="preserve">packs of </w:t>
      </w:r>
      <w:r w:rsidR="007F6979" w:rsidRPr="009021CB">
        <w:rPr>
          <w:rFonts w:ascii="Arial" w:hAnsi="Arial" w:cs="Arial"/>
          <w:sz w:val="22"/>
          <w:szCs w:val="22"/>
        </w:rPr>
        <w:t>40</w:t>
      </w:r>
      <w:r w:rsidR="00786BFE" w:rsidRPr="009021CB">
        <w:rPr>
          <w:rFonts w:ascii="Arial" w:hAnsi="Arial" w:cs="Arial"/>
          <w:sz w:val="22"/>
          <w:szCs w:val="22"/>
        </w:rPr>
        <w:t xml:space="preserve"> (sample pack)</w:t>
      </w:r>
      <w:r w:rsidR="007F6979" w:rsidRPr="009021CB">
        <w:rPr>
          <w:rFonts w:ascii="Arial" w:hAnsi="Arial" w:cs="Arial"/>
          <w:sz w:val="22"/>
          <w:szCs w:val="22"/>
        </w:rPr>
        <w:t>,</w:t>
      </w:r>
      <w:r w:rsidR="00304E88" w:rsidRPr="009021CB">
        <w:rPr>
          <w:rFonts w:ascii="Arial" w:hAnsi="Arial" w:cs="Arial"/>
          <w:sz w:val="22"/>
          <w:szCs w:val="22"/>
        </w:rPr>
        <w:t xml:space="preserve"> </w:t>
      </w:r>
      <w:r w:rsidRPr="009021CB">
        <w:rPr>
          <w:rFonts w:ascii="Arial" w:hAnsi="Arial" w:cs="Arial"/>
          <w:sz w:val="22"/>
          <w:szCs w:val="22"/>
        </w:rPr>
        <w:t>70</w:t>
      </w:r>
      <w:r w:rsidR="001D4C59" w:rsidRPr="009021CB">
        <w:rPr>
          <w:rFonts w:ascii="Arial" w:hAnsi="Arial" w:cs="Arial"/>
          <w:sz w:val="22"/>
          <w:szCs w:val="22"/>
        </w:rPr>
        <w:t>, 84 and 168</w:t>
      </w:r>
      <w:r w:rsidR="00AB2023" w:rsidRPr="009021CB">
        <w:rPr>
          <w:rFonts w:ascii="Arial" w:hAnsi="Arial" w:cs="Arial"/>
          <w:sz w:val="22"/>
          <w:szCs w:val="22"/>
        </w:rPr>
        <w:t>*</w:t>
      </w:r>
      <w:r w:rsidR="009021CB" w:rsidRPr="009021CB">
        <w:rPr>
          <w:rFonts w:ascii="Arial" w:hAnsi="Arial" w:cs="Arial"/>
          <w:sz w:val="22"/>
          <w:szCs w:val="22"/>
        </w:rPr>
        <w:t xml:space="preserve"> (2 packs of 84 tablets) and HDPE bottles with child resistant closure packs of 70 and 84 tablets</w:t>
      </w:r>
      <w:r w:rsidRPr="009021CB">
        <w:rPr>
          <w:rFonts w:ascii="Arial" w:hAnsi="Arial" w:cs="Arial"/>
          <w:sz w:val="22"/>
          <w:szCs w:val="22"/>
        </w:rPr>
        <w:t>.</w:t>
      </w:r>
    </w:p>
    <w:p w:rsidR="00D01DBB" w:rsidRPr="009021CB" w:rsidRDefault="00AB2023" w:rsidP="007763C8">
      <w:pPr>
        <w:rPr>
          <w:rStyle w:val="LBLLevel2"/>
          <w:rFonts w:cs="Arial"/>
          <w:b w:val="0"/>
          <w:sz w:val="22"/>
          <w:szCs w:val="22"/>
        </w:rPr>
      </w:pPr>
      <w:r w:rsidRPr="009021CB">
        <w:rPr>
          <w:rStyle w:val="LBLLevel2"/>
          <w:rFonts w:cs="Arial"/>
          <w:b w:val="0"/>
          <w:sz w:val="22"/>
          <w:szCs w:val="22"/>
        </w:rPr>
        <w:t>*not all pack sizes may be marketed.</w:t>
      </w:r>
    </w:p>
    <w:p w:rsidR="007763C8" w:rsidRPr="009021CB" w:rsidRDefault="007763C8" w:rsidP="007763C8">
      <w:pPr>
        <w:rPr>
          <w:rStyle w:val="LBLLevel2"/>
          <w:rFonts w:cs="Arial"/>
          <w:b w:val="0"/>
          <w:sz w:val="22"/>
          <w:szCs w:val="22"/>
        </w:rPr>
      </w:pPr>
    </w:p>
    <w:p w:rsidR="009021CB" w:rsidRDefault="009021CB" w:rsidP="007763C8">
      <w:pPr>
        <w:rPr>
          <w:rStyle w:val="LBLLevel2"/>
          <w:rFonts w:cs="Arial"/>
          <w:b w:val="0"/>
          <w:sz w:val="22"/>
          <w:szCs w:val="22"/>
        </w:rPr>
      </w:pPr>
      <w:r w:rsidRPr="009021CB">
        <w:rPr>
          <w:rFonts w:ascii="Arial" w:hAnsi="Arial" w:cs="Arial"/>
          <w:sz w:val="22"/>
          <w:szCs w:val="22"/>
        </w:rPr>
        <w:t>Do not store above 30</w:t>
      </w:r>
      <w:r w:rsidRPr="009021CB">
        <w:rPr>
          <w:rFonts w:ascii="Arial" w:hAnsi="Arial" w:cs="Arial"/>
          <w:sz w:val="22"/>
          <w:szCs w:val="22"/>
        </w:rPr>
        <w:sym w:font="Symbol" w:char="F0B0"/>
      </w:r>
      <w:r w:rsidRPr="009021CB">
        <w:rPr>
          <w:rFonts w:ascii="Arial" w:hAnsi="Arial" w:cs="Arial"/>
          <w:sz w:val="22"/>
          <w:szCs w:val="22"/>
        </w:rPr>
        <w:t>C.  Shelf life at this temperature is 2 years.</w:t>
      </w:r>
    </w:p>
    <w:p w:rsidR="009021CB" w:rsidRPr="000B3F7D" w:rsidRDefault="009021CB" w:rsidP="007763C8">
      <w:pPr>
        <w:rPr>
          <w:rStyle w:val="LBLLevel2"/>
          <w:rFonts w:cs="Arial"/>
          <w:b w:val="0"/>
          <w:sz w:val="22"/>
          <w:szCs w:val="22"/>
        </w:rPr>
      </w:pPr>
    </w:p>
    <w:p w:rsidR="00D01DBB" w:rsidRPr="000B3F7D" w:rsidRDefault="00D01DBB" w:rsidP="007763C8">
      <w:pPr>
        <w:rPr>
          <w:rFonts w:ascii="Arial" w:hAnsi="Arial" w:cs="Arial"/>
          <w:b/>
          <w:sz w:val="22"/>
          <w:szCs w:val="22"/>
        </w:rPr>
      </w:pPr>
      <w:r w:rsidRPr="000B3F7D">
        <w:rPr>
          <w:rFonts w:ascii="Arial" w:hAnsi="Arial" w:cs="Arial"/>
          <w:b/>
          <w:sz w:val="22"/>
          <w:szCs w:val="22"/>
        </w:rPr>
        <w:t>POISON SCHEDULE</w:t>
      </w:r>
    </w:p>
    <w:p w:rsidR="00D01DBB" w:rsidRPr="000B3F7D" w:rsidRDefault="00D01DBB" w:rsidP="007763C8">
      <w:pPr>
        <w:rPr>
          <w:rFonts w:ascii="Arial" w:hAnsi="Arial" w:cs="Arial"/>
          <w:sz w:val="22"/>
          <w:szCs w:val="22"/>
        </w:rPr>
      </w:pPr>
      <w:r w:rsidRPr="000B3F7D">
        <w:rPr>
          <w:rFonts w:ascii="Arial" w:hAnsi="Arial" w:cs="Arial"/>
          <w:sz w:val="22"/>
          <w:szCs w:val="22"/>
        </w:rPr>
        <w:t>Schedule 4 – Prescription only medicine</w:t>
      </w:r>
    </w:p>
    <w:p w:rsidR="00D01DBB" w:rsidRPr="000B3F7D" w:rsidRDefault="00D01DBB" w:rsidP="007763C8">
      <w:pPr>
        <w:rPr>
          <w:rFonts w:ascii="Arial" w:hAnsi="Arial" w:cs="Arial"/>
          <w:sz w:val="22"/>
          <w:szCs w:val="22"/>
        </w:rPr>
      </w:pPr>
    </w:p>
    <w:p w:rsidR="00D01DBB" w:rsidRPr="000B3F7D" w:rsidRDefault="00D01DBB" w:rsidP="007763C8">
      <w:pPr>
        <w:pStyle w:val="Text"/>
        <w:spacing w:after="0"/>
        <w:rPr>
          <w:rFonts w:ascii="Arial" w:hAnsi="Arial" w:cs="Arial"/>
          <w:b/>
          <w:sz w:val="22"/>
          <w:szCs w:val="22"/>
        </w:rPr>
      </w:pPr>
      <w:r w:rsidRPr="000B3F7D">
        <w:rPr>
          <w:rFonts w:ascii="Arial" w:hAnsi="Arial" w:cs="Arial"/>
          <w:b/>
          <w:sz w:val="22"/>
          <w:szCs w:val="22"/>
        </w:rPr>
        <w:t>NAME AND ADDRESS OF THE SPONSOR</w:t>
      </w:r>
    </w:p>
    <w:p w:rsidR="00D01DBB" w:rsidRPr="000B3F7D" w:rsidRDefault="00D01DBB" w:rsidP="007763C8">
      <w:pPr>
        <w:rPr>
          <w:rFonts w:ascii="Arial" w:hAnsi="Arial" w:cs="Arial"/>
          <w:sz w:val="22"/>
          <w:szCs w:val="22"/>
        </w:rPr>
      </w:pPr>
      <w:r w:rsidRPr="000B3F7D">
        <w:rPr>
          <w:rFonts w:ascii="Arial" w:hAnsi="Arial" w:cs="Arial"/>
          <w:sz w:val="22"/>
          <w:szCs w:val="22"/>
        </w:rPr>
        <w:t>GlaxoSmithKline Australia Pty Ltd</w:t>
      </w:r>
    </w:p>
    <w:p w:rsidR="009021CB" w:rsidRDefault="009021CB" w:rsidP="009021CB">
      <w:pPr>
        <w:rPr>
          <w:rFonts w:ascii="Arial" w:hAnsi="Arial" w:cs="Arial"/>
          <w:sz w:val="22"/>
          <w:szCs w:val="22"/>
        </w:rPr>
      </w:pPr>
      <w:r>
        <w:rPr>
          <w:rFonts w:ascii="Arial" w:hAnsi="Arial" w:cs="Arial"/>
          <w:sz w:val="22"/>
          <w:szCs w:val="22"/>
        </w:rPr>
        <w:t>Level 4, 436 Johnston Street</w:t>
      </w:r>
    </w:p>
    <w:p w:rsidR="009021CB" w:rsidRDefault="009021CB" w:rsidP="009021CB">
      <w:pPr>
        <w:rPr>
          <w:rFonts w:ascii="Arial" w:hAnsi="Arial" w:cs="Arial"/>
          <w:sz w:val="22"/>
          <w:szCs w:val="22"/>
        </w:rPr>
      </w:pPr>
      <w:r>
        <w:rPr>
          <w:rFonts w:ascii="Arial" w:hAnsi="Arial" w:cs="Arial"/>
          <w:sz w:val="22"/>
          <w:szCs w:val="22"/>
        </w:rPr>
        <w:t>Abbotsford, Victoria 3067</w:t>
      </w:r>
    </w:p>
    <w:p w:rsidR="00D01DBB" w:rsidRPr="000B3F7D" w:rsidRDefault="00D01DBB" w:rsidP="007763C8">
      <w:pPr>
        <w:rPr>
          <w:rFonts w:ascii="Arial" w:hAnsi="Arial" w:cs="Arial"/>
          <w:sz w:val="22"/>
          <w:szCs w:val="22"/>
        </w:rPr>
      </w:pPr>
    </w:p>
    <w:p w:rsidR="00D01DBB" w:rsidRPr="000B3F7D" w:rsidRDefault="00D01DBB" w:rsidP="007763C8">
      <w:pPr>
        <w:rPr>
          <w:rFonts w:ascii="Arial" w:hAnsi="Arial" w:cs="Arial"/>
          <w:sz w:val="22"/>
          <w:szCs w:val="22"/>
        </w:rPr>
      </w:pPr>
    </w:p>
    <w:p w:rsidR="00D01DBB" w:rsidRPr="009021CB" w:rsidRDefault="00D01DBB" w:rsidP="007763C8">
      <w:pPr>
        <w:rPr>
          <w:rFonts w:ascii="Arial" w:hAnsi="Arial" w:cs="Arial"/>
          <w:sz w:val="22"/>
          <w:szCs w:val="22"/>
        </w:rPr>
      </w:pPr>
      <w:r w:rsidRPr="000B3F7D">
        <w:rPr>
          <w:rFonts w:ascii="Arial" w:hAnsi="Arial" w:cs="Arial"/>
          <w:b/>
          <w:sz w:val="22"/>
          <w:szCs w:val="22"/>
        </w:rPr>
        <w:t>TYKERB</w:t>
      </w:r>
      <w:r w:rsidRPr="000B3F7D">
        <w:rPr>
          <w:rFonts w:ascii="Arial" w:hAnsi="Arial" w:cs="Arial"/>
          <w:b/>
          <w:sz w:val="22"/>
          <w:szCs w:val="22"/>
          <w:vertAlign w:val="superscript"/>
        </w:rPr>
        <w:t>®</w:t>
      </w:r>
      <w:r w:rsidRPr="000B3F7D">
        <w:rPr>
          <w:rFonts w:ascii="Arial" w:hAnsi="Arial" w:cs="Arial"/>
          <w:b/>
          <w:sz w:val="22"/>
          <w:szCs w:val="22"/>
        </w:rPr>
        <w:t xml:space="preserve"> </w:t>
      </w:r>
      <w:r w:rsidRPr="000B3F7D">
        <w:rPr>
          <w:rFonts w:ascii="Arial" w:hAnsi="Arial" w:cs="Arial"/>
          <w:sz w:val="22"/>
          <w:szCs w:val="22"/>
        </w:rPr>
        <w:t xml:space="preserve">is a </w:t>
      </w:r>
      <w:r w:rsidRPr="009021CB">
        <w:rPr>
          <w:rFonts w:ascii="Arial" w:hAnsi="Arial" w:cs="Arial"/>
          <w:sz w:val="22"/>
          <w:szCs w:val="22"/>
        </w:rPr>
        <w:t>registered</w:t>
      </w:r>
      <w:r w:rsidRPr="009021CB">
        <w:rPr>
          <w:rFonts w:ascii="Arial" w:hAnsi="Arial" w:cs="Arial"/>
          <w:i/>
          <w:sz w:val="22"/>
          <w:szCs w:val="22"/>
        </w:rPr>
        <w:t xml:space="preserve"> </w:t>
      </w:r>
      <w:r w:rsidRPr="009021CB">
        <w:rPr>
          <w:rFonts w:ascii="Arial" w:hAnsi="Arial" w:cs="Arial"/>
          <w:sz w:val="22"/>
          <w:szCs w:val="22"/>
        </w:rPr>
        <w:t>trade mark of the GlaxoSmithKline group of companies.</w:t>
      </w:r>
    </w:p>
    <w:p w:rsidR="00D01DBB" w:rsidRPr="009021CB" w:rsidRDefault="00D01DBB" w:rsidP="007763C8">
      <w:pPr>
        <w:rPr>
          <w:rFonts w:ascii="Arial" w:hAnsi="Arial" w:cs="Arial"/>
          <w:sz w:val="22"/>
          <w:szCs w:val="22"/>
        </w:rPr>
      </w:pPr>
    </w:p>
    <w:p w:rsidR="00615499" w:rsidRDefault="009021CB" w:rsidP="007763C8">
      <w:pPr>
        <w:rPr>
          <w:rFonts w:ascii="Arial" w:hAnsi="Arial" w:cs="Arial"/>
          <w:sz w:val="22"/>
          <w:szCs w:val="22"/>
        </w:rPr>
      </w:pPr>
      <w:r w:rsidRPr="009021CB">
        <w:rPr>
          <w:rFonts w:ascii="Arial" w:hAnsi="Arial" w:cs="Arial"/>
          <w:b/>
          <w:sz w:val="22"/>
          <w:szCs w:val="22"/>
        </w:rPr>
        <w:t>DATE OF FIRST INCLUSION IN THE AUSTRALIAN REGISTER OF THERAPEUTIC GOODS (THE ARTG):</w:t>
      </w:r>
      <w:r w:rsidRPr="009021CB">
        <w:rPr>
          <w:rFonts w:ascii="Arial" w:hAnsi="Arial" w:cs="Arial"/>
          <w:sz w:val="22"/>
          <w:szCs w:val="22"/>
        </w:rPr>
        <w:t xml:space="preserve"> 28 June 2007</w:t>
      </w:r>
    </w:p>
    <w:p w:rsidR="009021CB" w:rsidRDefault="009021CB" w:rsidP="007763C8">
      <w:pPr>
        <w:rPr>
          <w:rFonts w:ascii="Arial" w:hAnsi="Arial" w:cs="Arial"/>
          <w:sz w:val="22"/>
          <w:szCs w:val="22"/>
        </w:rPr>
      </w:pPr>
    </w:p>
    <w:p w:rsidR="009021CB" w:rsidRPr="00871186" w:rsidRDefault="009021CB" w:rsidP="009021CB">
      <w:pPr>
        <w:rPr>
          <w:rFonts w:ascii="Arial Bold" w:hAnsi="Arial Bold" w:cs="Arial"/>
          <w:sz w:val="22"/>
          <w:szCs w:val="22"/>
        </w:rPr>
      </w:pPr>
      <w:r w:rsidRPr="00871186">
        <w:rPr>
          <w:rFonts w:ascii="Arial Bold" w:hAnsi="Arial Bold" w:cs="Arial"/>
          <w:b/>
          <w:sz w:val="22"/>
          <w:szCs w:val="22"/>
        </w:rPr>
        <w:t>DATE OF MOST RECENT AMENDMENT</w:t>
      </w:r>
      <w:r>
        <w:rPr>
          <w:rFonts w:ascii="Arial Bold" w:hAnsi="Arial Bold" w:cs="Arial"/>
          <w:b/>
          <w:sz w:val="22"/>
          <w:szCs w:val="22"/>
        </w:rPr>
        <w:t xml:space="preserve">: </w:t>
      </w:r>
      <w:r w:rsidR="006524FA">
        <w:rPr>
          <w:rFonts w:ascii="Arial" w:hAnsi="Arial" w:cs="Arial"/>
          <w:sz w:val="22"/>
          <w:szCs w:val="22"/>
        </w:rPr>
        <w:t>13 June 2012</w:t>
      </w:r>
    </w:p>
    <w:p w:rsidR="009021CB" w:rsidRDefault="009021CB" w:rsidP="007763C8">
      <w:pPr>
        <w:rPr>
          <w:rFonts w:ascii="Arial" w:hAnsi="Arial" w:cs="Arial"/>
          <w:sz w:val="22"/>
          <w:szCs w:val="22"/>
        </w:rPr>
      </w:pPr>
    </w:p>
    <w:p w:rsidR="00A043D3" w:rsidRPr="000B3F7D" w:rsidRDefault="00A043D3" w:rsidP="007763C8">
      <w:pPr>
        <w:rPr>
          <w:rFonts w:ascii="Arial Bold" w:hAnsi="Arial Bold" w:cs="Arial"/>
          <w:b/>
          <w:strike/>
          <w:sz w:val="22"/>
          <w:szCs w:val="22"/>
        </w:rPr>
      </w:pPr>
    </w:p>
    <w:p w:rsidR="00F6584A" w:rsidRPr="000B3F7D" w:rsidRDefault="007F6979" w:rsidP="007763C8">
      <w:pPr>
        <w:rPr>
          <w:rFonts w:ascii="Arial Bold" w:hAnsi="Arial Bold" w:cs="Arial"/>
          <w:b/>
          <w:sz w:val="22"/>
          <w:szCs w:val="22"/>
          <w:u w:val="single"/>
        </w:rPr>
      </w:pPr>
      <w:r>
        <w:rPr>
          <w:rFonts w:ascii="Arial" w:hAnsi="Arial" w:cs="Arial"/>
          <w:sz w:val="22"/>
          <w:szCs w:val="22"/>
        </w:rPr>
        <w:t xml:space="preserve">Version </w:t>
      </w:r>
      <w:r w:rsidR="009A4CA4">
        <w:rPr>
          <w:rFonts w:ascii="Arial" w:hAnsi="Arial" w:cs="Arial"/>
          <w:sz w:val="22"/>
          <w:szCs w:val="22"/>
        </w:rPr>
        <w:t>7</w:t>
      </w:r>
      <w:r w:rsidR="009021CB">
        <w:rPr>
          <w:rFonts w:ascii="Arial" w:hAnsi="Arial" w:cs="Arial"/>
          <w:sz w:val="22"/>
          <w:szCs w:val="22"/>
        </w:rPr>
        <w:t>.0</w:t>
      </w:r>
    </w:p>
    <w:sectPr w:rsidR="00F6584A" w:rsidRPr="000B3F7D" w:rsidSect="00CE20CF">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720" w:gutter="0"/>
      <w:paperSrc w:first="4"/>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C69" w:rsidRDefault="00EA0C69" w:rsidP="00320E69">
      <w:pPr>
        <w:spacing w:line="240" w:lineRule="auto"/>
      </w:pPr>
      <w:r>
        <w:separator/>
      </w:r>
    </w:p>
  </w:endnote>
  <w:endnote w:type="continuationSeparator" w:id="0">
    <w:p w:rsidR="00EA0C69" w:rsidRDefault="00EA0C69" w:rsidP="00320E6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FNDANC+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Bold">
    <w:panose1 w:val="00000000000000000000"/>
    <w:charset w:val="00"/>
    <w:family w:val="roman"/>
    <w:notTrueType/>
    <w:pitch w:val="default"/>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275" w:rsidRDefault="00A452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F03" w:rsidRPr="00FF13A1" w:rsidRDefault="00DE7F03" w:rsidP="00413B32">
    <w:pPr>
      <w:pStyle w:val="Footer"/>
      <w:jc w:val="center"/>
      <w:rPr>
        <w:rFonts w:ascii="Arial" w:hAnsi="Arial" w:cs="Arial"/>
        <w:sz w:val="18"/>
        <w:szCs w:val="18"/>
        <w:lang w:val="en-AU"/>
      </w:rPr>
    </w:pPr>
    <w:r w:rsidRPr="00D82806">
      <w:rPr>
        <w:rFonts w:ascii="Arial" w:hAnsi="Arial" w:cs="Arial"/>
        <w:snapToGrid w:val="0"/>
        <w:sz w:val="18"/>
        <w:szCs w:val="18"/>
        <w:lang w:val="en-AU" w:eastAsia="en-US"/>
      </w:rPr>
      <w:t xml:space="preserve">- </w:t>
    </w:r>
    <w:r w:rsidR="00A8139A" w:rsidRPr="00D82806">
      <w:rPr>
        <w:rFonts w:ascii="Arial" w:hAnsi="Arial" w:cs="Arial"/>
        <w:snapToGrid w:val="0"/>
        <w:sz w:val="18"/>
        <w:szCs w:val="18"/>
        <w:lang w:val="en-AU" w:eastAsia="en-US"/>
      </w:rPr>
      <w:fldChar w:fldCharType="begin"/>
    </w:r>
    <w:r w:rsidRPr="00D82806">
      <w:rPr>
        <w:rFonts w:ascii="Arial" w:hAnsi="Arial" w:cs="Arial"/>
        <w:snapToGrid w:val="0"/>
        <w:sz w:val="18"/>
        <w:szCs w:val="18"/>
        <w:lang w:val="en-AU" w:eastAsia="en-US"/>
      </w:rPr>
      <w:instrText xml:space="preserve"> PAGE </w:instrText>
    </w:r>
    <w:r w:rsidR="00A8139A" w:rsidRPr="00D82806">
      <w:rPr>
        <w:rFonts w:ascii="Arial" w:hAnsi="Arial" w:cs="Arial"/>
        <w:snapToGrid w:val="0"/>
        <w:sz w:val="18"/>
        <w:szCs w:val="18"/>
        <w:lang w:val="en-AU" w:eastAsia="en-US"/>
      </w:rPr>
      <w:fldChar w:fldCharType="separate"/>
    </w:r>
    <w:r w:rsidR="00DE5907">
      <w:rPr>
        <w:rFonts w:ascii="Arial" w:hAnsi="Arial" w:cs="Arial"/>
        <w:noProof/>
        <w:snapToGrid w:val="0"/>
        <w:sz w:val="18"/>
        <w:szCs w:val="18"/>
        <w:lang w:val="en-AU" w:eastAsia="en-US"/>
      </w:rPr>
      <w:t>31</w:t>
    </w:r>
    <w:r w:rsidR="00A8139A" w:rsidRPr="00D82806">
      <w:rPr>
        <w:rFonts w:ascii="Arial" w:hAnsi="Arial" w:cs="Arial"/>
        <w:snapToGrid w:val="0"/>
        <w:sz w:val="18"/>
        <w:szCs w:val="18"/>
        <w:lang w:val="en-AU" w:eastAsia="en-US"/>
      </w:rPr>
      <w:fldChar w:fldCharType="end"/>
    </w:r>
    <w:r w:rsidRPr="00D82806">
      <w:rPr>
        <w:rFonts w:ascii="Arial" w:hAnsi="Arial" w:cs="Arial"/>
        <w:snapToGrid w:val="0"/>
        <w:sz w:val="18"/>
        <w:szCs w:val="18"/>
        <w:lang w:val="en-AU" w:eastAsia="en-US"/>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F03" w:rsidRPr="00D82806" w:rsidRDefault="00DE7F03" w:rsidP="00440CA8">
    <w:pPr>
      <w:pStyle w:val="Footer"/>
      <w:rPr>
        <w:rFonts w:ascii="Arial" w:hAnsi="Arial" w:cs="Arial"/>
        <w:sz w:val="18"/>
        <w:szCs w:val="18"/>
        <w:lang w:val="en-AU"/>
      </w:rPr>
    </w:pPr>
    <w:r w:rsidRPr="00FF13A1">
      <w:rPr>
        <w:rFonts w:ascii="Arial" w:hAnsi="Arial" w:cs="Arial"/>
        <w:snapToGrid w:val="0"/>
        <w:sz w:val="18"/>
        <w:szCs w:val="18"/>
        <w:lang w:val="en-AU" w:eastAsia="en-US"/>
      </w:rPr>
      <w:t>Issue 1</w:t>
    </w:r>
    <w:r w:rsidRPr="00FF13A1">
      <w:rPr>
        <w:rFonts w:ascii="Arial" w:hAnsi="Arial" w:cs="Arial"/>
        <w:snapToGrid w:val="0"/>
        <w:sz w:val="18"/>
        <w:szCs w:val="18"/>
        <w:lang w:val="en-AU" w:eastAsia="en-US"/>
      </w:rPr>
      <w:tab/>
    </w:r>
    <w:r w:rsidRPr="00D82806">
      <w:rPr>
        <w:rFonts w:ascii="Arial" w:hAnsi="Arial" w:cs="Arial"/>
        <w:snapToGrid w:val="0"/>
        <w:sz w:val="18"/>
        <w:szCs w:val="18"/>
        <w:lang w:val="en-AU" w:eastAsia="en-US"/>
      </w:rPr>
      <w:t xml:space="preserve">- </w:t>
    </w:r>
    <w:r w:rsidR="00A8139A" w:rsidRPr="00D82806">
      <w:rPr>
        <w:rFonts w:ascii="Arial" w:hAnsi="Arial" w:cs="Arial"/>
        <w:snapToGrid w:val="0"/>
        <w:sz w:val="18"/>
        <w:szCs w:val="18"/>
        <w:lang w:val="en-AU" w:eastAsia="en-US"/>
      </w:rPr>
      <w:fldChar w:fldCharType="begin"/>
    </w:r>
    <w:r w:rsidRPr="00D82806">
      <w:rPr>
        <w:rFonts w:ascii="Arial" w:hAnsi="Arial" w:cs="Arial"/>
        <w:snapToGrid w:val="0"/>
        <w:sz w:val="18"/>
        <w:szCs w:val="18"/>
        <w:lang w:val="en-AU" w:eastAsia="en-US"/>
      </w:rPr>
      <w:instrText xml:space="preserve"> PAGE </w:instrText>
    </w:r>
    <w:r w:rsidR="00A8139A" w:rsidRPr="00D82806">
      <w:rPr>
        <w:rFonts w:ascii="Arial" w:hAnsi="Arial" w:cs="Arial"/>
        <w:snapToGrid w:val="0"/>
        <w:sz w:val="18"/>
        <w:szCs w:val="18"/>
        <w:lang w:val="en-AU" w:eastAsia="en-US"/>
      </w:rPr>
      <w:fldChar w:fldCharType="separate"/>
    </w:r>
    <w:r>
      <w:rPr>
        <w:rFonts w:ascii="Arial" w:hAnsi="Arial" w:cs="Arial"/>
        <w:noProof/>
        <w:snapToGrid w:val="0"/>
        <w:sz w:val="18"/>
        <w:szCs w:val="18"/>
        <w:lang w:val="en-AU" w:eastAsia="en-US"/>
      </w:rPr>
      <w:t>1</w:t>
    </w:r>
    <w:r w:rsidR="00A8139A" w:rsidRPr="00D82806">
      <w:rPr>
        <w:rFonts w:ascii="Arial" w:hAnsi="Arial" w:cs="Arial"/>
        <w:snapToGrid w:val="0"/>
        <w:sz w:val="18"/>
        <w:szCs w:val="18"/>
        <w:lang w:val="en-AU" w:eastAsia="en-US"/>
      </w:rPr>
      <w:fldChar w:fldCharType="end"/>
    </w:r>
    <w:r w:rsidRPr="00D82806">
      <w:rPr>
        <w:rFonts w:ascii="Arial" w:hAnsi="Arial" w:cs="Arial"/>
        <w:snapToGrid w:val="0"/>
        <w:sz w:val="18"/>
        <w:szCs w:val="18"/>
        <w:lang w:val="en-AU" w:eastAsia="en-US"/>
      </w:rPr>
      <w:t xml:space="preserve"> -</w:t>
    </w:r>
    <w:r>
      <w:rPr>
        <w:rFonts w:ascii="Arial" w:hAnsi="Arial" w:cs="Arial"/>
        <w:snapToGrid w:val="0"/>
        <w:sz w:val="18"/>
        <w:szCs w:val="18"/>
        <w:lang w:val="en-AU" w:eastAsia="en-US"/>
      </w:rPr>
      <w:tab/>
    </w:r>
    <w:r w:rsidRPr="00FF13A1">
      <w:rPr>
        <w:rFonts w:ascii="Arial" w:hAnsi="Arial" w:cs="Arial"/>
        <w:sz w:val="18"/>
        <w:szCs w:val="18"/>
        <w:lang w:val="en-AU"/>
      </w:rPr>
      <w:t xml:space="preserve"> </w:t>
    </w:r>
    <w:r>
      <w:rPr>
        <w:rFonts w:ascii="Arial" w:hAnsi="Arial" w:cs="Arial"/>
        <w:sz w:val="18"/>
        <w:szCs w:val="18"/>
        <w:lang w:val="en-AU"/>
      </w:rPr>
      <w:t xml:space="preserve">       </w:t>
    </w:r>
    <w:r w:rsidRPr="00FF13A1">
      <w:rPr>
        <w:rFonts w:ascii="Arial" w:hAnsi="Arial" w:cs="Arial"/>
        <w:sz w:val="18"/>
        <w:szCs w:val="18"/>
        <w:lang w:val="en-AU"/>
      </w:rPr>
      <w:t>Last saved by Shane Patella on</w:t>
    </w:r>
    <w:r>
      <w:rPr>
        <w:rFonts w:ascii="Arial" w:hAnsi="Arial" w:cs="Arial"/>
        <w:sz w:val="18"/>
        <w:szCs w:val="18"/>
        <w:lang w:val="en-AU"/>
      </w:rPr>
      <w:t xml:space="preserve"> </w:t>
    </w:r>
    <w:smartTag w:uri="urn:schemas-microsoft-com:office:smarttags" w:element="date">
      <w:smartTagPr>
        <w:attr w:name="Year" w:val="2007"/>
        <w:attr w:name="Day" w:val="3"/>
        <w:attr w:name="Month" w:val="5"/>
      </w:smartTagPr>
      <w:r>
        <w:rPr>
          <w:rFonts w:ascii="Arial" w:hAnsi="Arial" w:cs="Arial"/>
          <w:sz w:val="18"/>
          <w:szCs w:val="18"/>
          <w:lang w:val="en-AU"/>
        </w:rPr>
        <w:t xml:space="preserve">3 May </w:t>
      </w:r>
      <w:r w:rsidRPr="00FF13A1">
        <w:rPr>
          <w:rFonts w:ascii="Arial" w:hAnsi="Arial" w:cs="Arial"/>
          <w:sz w:val="18"/>
          <w:szCs w:val="18"/>
          <w:lang w:val="en-AU"/>
        </w:rPr>
        <w:t>200</w:t>
      </w:r>
      <w:r>
        <w:rPr>
          <w:rFonts w:ascii="Arial" w:hAnsi="Arial" w:cs="Arial"/>
          <w:sz w:val="18"/>
          <w:szCs w:val="18"/>
          <w:lang w:val="en-AU"/>
        </w:rPr>
        <w:t>7</w:t>
      </w:r>
    </w:smartTag>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C69" w:rsidRDefault="00EA0C69" w:rsidP="00320E69">
      <w:pPr>
        <w:spacing w:line="240" w:lineRule="auto"/>
      </w:pPr>
      <w:r>
        <w:separator/>
      </w:r>
    </w:p>
  </w:footnote>
  <w:footnote w:type="continuationSeparator" w:id="0">
    <w:p w:rsidR="00EA0C69" w:rsidRDefault="00EA0C69" w:rsidP="00320E6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275" w:rsidRDefault="00A452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2E0"/>
      <w:tblLook w:val="04A0"/>
    </w:tblPr>
    <w:tblGrid>
      <w:gridCol w:w="8720"/>
    </w:tblGrid>
    <w:tr w:rsidR="00A45275" w:rsidTr="00EE15B5">
      <w:tc>
        <w:tcPr>
          <w:tcW w:w="8720" w:type="dxa"/>
          <w:shd w:val="clear" w:color="auto" w:fill="E4F2E0"/>
        </w:tcPr>
        <w:p w:rsidR="00A45275" w:rsidRPr="004503E0" w:rsidRDefault="00A45275" w:rsidP="00A45275">
          <w:pPr>
            <w:spacing w:before="40" w:after="40"/>
            <w:rPr>
              <w:rFonts w:ascii="Cambria" w:hAnsi="Cambria"/>
              <w:b/>
              <w:sz w:val="20"/>
            </w:rPr>
          </w:pPr>
          <w:r w:rsidRPr="004503E0">
            <w:rPr>
              <w:rFonts w:ascii="Cambria" w:hAnsi="Cambria"/>
              <w:b/>
              <w:sz w:val="20"/>
            </w:rPr>
            <w:t xml:space="preserve">Attachment 1: Product information for </w:t>
          </w:r>
          <w:r w:rsidRPr="00A45275">
            <w:rPr>
              <w:rFonts w:ascii="Cambria" w:hAnsi="Cambria"/>
              <w:b/>
              <w:sz w:val="20"/>
            </w:rPr>
            <w:t>AusPAR Tykerb GlaxoSmithKline Australia Pty Ltd PM-2011-00908-3-4 Final 12 November 2012</w:t>
          </w:r>
          <w:r w:rsidRPr="004503E0">
            <w:rPr>
              <w:rFonts w:ascii="Cambria" w:hAnsi="Cambria"/>
              <w:b/>
              <w:sz w:val="20"/>
            </w:rPr>
            <w:t>. This Product Information was approved at the time this AusPAR was published.</w:t>
          </w:r>
        </w:p>
      </w:tc>
    </w:tr>
  </w:tbl>
  <w:p w:rsidR="00DE7F03" w:rsidRDefault="00DE7F03" w:rsidP="00A45275">
    <w:pPr>
      <w:pStyle w:val="Header"/>
      <w:tabs>
        <w:tab w:val="clear" w:pos="8309"/>
        <w:tab w:val="right" w:pos="8789"/>
        <w:tab w:val="right" w:pos="9026"/>
      </w:tabs>
      <w:jc w:val="left"/>
      <w:rPr>
        <w:b/>
        <w:i w:val="0"/>
      </w:rPr>
    </w:pPr>
    <w:r>
      <w:rPr>
        <w:b/>
        <w:i w:val="0"/>
      </w:rPr>
      <w:tab/>
    </w:r>
    <w:r w:rsidR="00A45275">
      <w:rPr>
        <w:b/>
        <w:i w:val="0"/>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F03" w:rsidRDefault="00DE7F03" w:rsidP="00440CA8">
    <w:pPr>
      <w:pStyle w:val="Text"/>
      <w:spacing w:after="0"/>
      <w:jc w:val="center"/>
      <w:rPr>
        <w:b/>
      </w:rPr>
    </w:pPr>
    <w:r>
      <w:rPr>
        <w:b/>
      </w:rPr>
      <w:t>AVANDAMET</w:t>
    </w:r>
    <w:r w:rsidRPr="00277DE7">
      <w:rPr>
        <w:rFonts w:ascii="Times New Roman Bold" w:hAnsi="Times New Roman Bold"/>
        <w:b/>
        <w:szCs w:val="24"/>
        <w:vertAlign w:val="superscript"/>
      </w:rPr>
      <w:t>®</w:t>
    </w:r>
    <w:r>
      <w:rPr>
        <w:b/>
      </w:rPr>
      <w:t xml:space="preserve"> PRODUCT INFORMATION </w:t>
    </w:r>
    <w:r>
      <w:rPr>
        <w:b/>
      </w:rPr>
      <w:br/>
      <w:t>(rosiglitazone &amp; metformin hydrochloride)</w:t>
    </w:r>
  </w:p>
  <w:p w:rsidR="00DE7F03" w:rsidRDefault="00DE7F03">
    <w:pPr>
      <w:pStyle w:val="Text"/>
      <w:jc w:val="center"/>
      <w:rPr>
        <w:b/>
      </w:rPr>
    </w:pPr>
    <w:r>
      <w:rPr>
        <w:b/>
      </w:rPr>
      <w:t>1/500, 2/500, 4/500, 2/1000 &amp; 4/1000</w:t>
    </w:r>
  </w:p>
  <w:p w:rsidR="00DE7F03" w:rsidRDefault="00DE7F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F5728"/>
    <w:multiLevelType w:val="hybridMultilevel"/>
    <w:tmpl w:val="B4489EE4"/>
    <w:lvl w:ilvl="0" w:tplc="0C090005">
      <w:start w:val="1"/>
      <w:numFmt w:val="bullet"/>
      <w:lvlText w:val=""/>
      <w:lvlJc w:val="left"/>
      <w:pPr>
        <w:tabs>
          <w:tab w:val="num" w:pos="2880"/>
        </w:tabs>
        <w:ind w:left="2880" w:hanging="360"/>
      </w:pPr>
      <w:rPr>
        <w:rFonts w:ascii="Wingdings" w:hAnsi="Wingdings" w:hint="default"/>
        <w:color w:val="000000"/>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
    <w:nsid w:val="0F770008"/>
    <w:multiLevelType w:val="hybridMultilevel"/>
    <w:tmpl w:val="DA5225B4"/>
    <w:lvl w:ilvl="0" w:tplc="0C090005">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13171EC4"/>
    <w:multiLevelType w:val="multilevel"/>
    <w:tmpl w:val="FD52DFEA"/>
    <w:lvl w:ilvl="0">
      <w:start w:val="1"/>
      <w:numFmt w:val="decimal"/>
      <w:pStyle w:val="listdashnospac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55100EE"/>
    <w:multiLevelType w:val="multilevel"/>
    <w:tmpl w:val="BDB20034"/>
    <w:lvl w:ilvl="0">
      <w:start w:val="1"/>
      <w:numFmt w:val="lowerRoman"/>
      <w:lvlText w:val="(%1)."/>
      <w:lvlJc w:val="left"/>
      <w:pPr>
        <w:tabs>
          <w:tab w:val="num" w:pos="1860"/>
        </w:tabs>
        <w:ind w:left="18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5F9285C"/>
    <w:multiLevelType w:val="multilevel"/>
    <w:tmpl w:val="A8289AAE"/>
    <w:lvl w:ilvl="0">
      <w:start w:val="1"/>
      <w:numFmt w:val="lowerRoman"/>
      <w:lvlText w:val="(%1)."/>
      <w:lvlJc w:val="left"/>
      <w:pPr>
        <w:tabs>
          <w:tab w:val="num" w:pos="1860"/>
        </w:tabs>
        <w:ind w:left="1860" w:hanging="360"/>
      </w:pPr>
      <w:rPr>
        <w:rFonts w:hint="default"/>
        <w:b w:val="0"/>
        <w:i w:val="0"/>
      </w:rPr>
    </w:lvl>
    <w:lvl w:ilvl="1">
      <w:start w:val="1"/>
      <w:numFmt w:val="lowerRoman"/>
      <w:lvlText w:val="(%2)."/>
      <w:lvlJc w:val="left"/>
      <w:pPr>
        <w:tabs>
          <w:tab w:val="num" w:pos="1440"/>
        </w:tabs>
        <w:ind w:left="1440" w:hanging="360"/>
      </w:pPr>
      <w:rPr>
        <w:rFonts w:hint="default"/>
        <w:b w:val="0"/>
        <w:i w:val="0"/>
        <w:color w:val="FF000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5AA136E"/>
    <w:multiLevelType w:val="singleLevel"/>
    <w:tmpl w:val="2CE48A68"/>
    <w:lvl w:ilvl="0">
      <w:start w:val="1"/>
      <w:numFmt w:val="decimal"/>
      <w:lvlText w:val="%1."/>
      <w:legacy w:legacy="1" w:legacySpace="0" w:legacyIndent="0"/>
      <w:lvlJc w:val="left"/>
      <w:rPr>
        <w:rFonts w:ascii="Helv" w:hAnsi="Helv" w:hint="default"/>
        <w:b w:val="0"/>
      </w:rPr>
    </w:lvl>
  </w:abstractNum>
  <w:abstractNum w:abstractNumId="6">
    <w:nsid w:val="2C71388D"/>
    <w:multiLevelType w:val="multilevel"/>
    <w:tmpl w:val="697650E6"/>
    <w:lvl w:ilvl="0">
      <w:start w:val="1"/>
      <w:numFmt w:val="lowerLetter"/>
      <w:lvlText w:val="(%1)."/>
      <w:lvlJc w:val="left"/>
      <w:pPr>
        <w:tabs>
          <w:tab w:val="num" w:pos="1080"/>
        </w:tabs>
        <w:ind w:left="1080" w:hanging="360"/>
      </w:pPr>
      <w:rPr>
        <w:rFonts w:hint="default"/>
        <w:b w:val="0"/>
        <w:i/>
      </w:rPr>
    </w:lvl>
    <w:lvl w:ilvl="1">
      <w:start w:val="1"/>
      <w:numFmt w:val="bullet"/>
      <w:lvlText w:val=""/>
      <w:lvlJc w:val="left"/>
      <w:pPr>
        <w:tabs>
          <w:tab w:val="num" w:pos="2160"/>
        </w:tabs>
        <w:ind w:left="2160" w:hanging="360"/>
      </w:pPr>
      <w:rPr>
        <w:rFonts w:ascii="Symbol" w:hAnsi="Symbol" w:hint="default"/>
        <w:b w:val="0"/>
        <w:i/>
        <w:color w:val="000000"/>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7">
    <w:nsid w:val="2D8926D9"/>
    <w:multiLevelType w:val="hybridMultilevel"/>
    <w:tmpl w:val="0ECE3E36"/>
    <w:lvl w:ilvl="0" w:tplc="33AA539C">
      <w:start w:val="1"/>
      <w:numFmt w:val="lowerLetter"/>
      <w:lvlText w:val="(%1)."/>
      <w:lvlJc w:val="left"/>
      <w:pPr>
        <w:tabs>
          <w:tab w:val="num" w:pos="1080"/>
        </w:tabs>
        <w:ind w:left="1080" w:hanging="360"/>
      </w:pPr>
      <w:rPr>
        <w:rFonts w:hint="default"/>
        <w:b w:val="0"/>
        <w:i/>
      </w:rPr>
    </w:lvl>
    <w:lvl w:ilvl="1" w:tplc="EB8AA69E">
      <w:start w:val="1"/>
      <w:numFmt w:val="bullet"/>
      <w:lvlText w:val=""/>
      <w:lvlJc w:val="left"/>
      <w:pPr>
        <w:tabs>
          <w:tab w:val="num" w:pos="2160"/>
        </w:tabs>
        <w:ind w:left="2160" w:hanging="360"/>
      </w:pPr>
      <w:rPr>
        <w:rFonts w:ascii="Symbol" w:hAnsi="Symbol" w:hint="default"/>
        <w:b w:val="0"/>
        <w:i/>
        <w:color w:val="auto"/>
      </w:rPr>
    </w:lvl>
    <w:lvl w:ilvl="2" w:tplc="7DF4603C" w:tentative="1">
      <w:start w:val="1"/>
      <w:numFmt w:val="lowerRoman"/>
      <w:lvlText w:val="%3."/>
      <w:lvlJc w:val="right"/>
      <w:pPr>
        <w:tabs>
          <w:tab w:val="num" w:pos="2880"/>
        </w:tabs>
        <w:ind w:left="2880" w:hanging="180"/>
      </w:pPr>
    </w:lvl>
    <w:lvl w:ilvl="3" w:tplc="5B62119C" w:tentative="1">
      <w:start w:val="1"/>
      <w:numFmt w:val="decimal"/>
      <w:lvlText w:val="%4."/>
      <w:lvlJc w:val="left"/>
      <w:pPr>
        <w:tabs>
          <w:tab w:val="num" w:pos="3600"/>
        </w:tabs>
        <w:ind w:left="3600" w:hanging="360"/>
      </w:pPr>
    </w:lvl>
    <w:lvl w:ilvl="4" w:tplc="05666962" w:tentative="1">
      <w:start w:val="1"/>
      <w:numFmt w:val="lowerLetter"/>
      <w:lvlText w:val="%5."/>
      <w:lvlJc w:val="left"/>
      <w:pPr>
        <w:tabs>
          <w:tab w:val="num" w:pos="4320"/>
        </w:tabs>
        <w:ind w:left="4320" w:hanging="360"/>
      </w:pPr>
    </w:lvl>
    <w:lvl w:ilvl="5" w:tplc="65968476" w:tentative="1">
      <w:start w:val="1"/>
      <w:numFmt w:val="lowerRoman"/>
      <w:lvlText w:val="%6."/>
      <w:lvlJc w:val="right"/>
      <w:pPr>
        <w:tabs>
          <w:tab w:val="num" w:pos="5040"/>
        </w:tabs>
        <w:ind w:left="5040" w:hanging="180"/>
      </w:pPr>
    </w:lvl>
    <w:lvl w:ilvl="6" w:tplc="0BF8A048" w:tentative="1">
      <w:start w:val="1"/>
      <w:numFmt w:val="decimal"/>
      <w:lvlText w:val="%7."/>
      <w:lvlJc w:val="left"/>
      <w:pPr>
        <w:tabs>
          <w:tab w:val="num" w:pos="5760"/>
        </w:tabs>
        <w:ind w:left="5760" w:hanging="360"/>
      </w:pPr>
    </w:lvl>
    <w:lvl w:ilvl="7" w:tplc="6B260CCE" w:tentative="1">
      <w:start w:val="1"/>
      <w:numFmt w:val="lowerLetter"/>
      <w:lvlText w:val="%8."/>
      <w:lvlJc w:val="left"/>
      <w:pPr>
        <w:tabs>
          <w:tab w:val="num" w:pos="6480"/>
        </w:tabs>
        <w:ind w:left="6480" w:hanging="360"/>
      </w:pPr>
    </w:lvl>
    <w:lvl w:ilvl="8" w:tplc="992827D6" w:tentative="1">
      <w:start w:val="1"/>
      <w:numFmt w:val="lowerRoman"/>
      <w:lvlText w:val="%9."/>
      <w:lvlJc w:val="right"/>
      <w:pPr>
        <w:tabs>
          <w:tab w:val="num" w:pos="7200"/>
        </w:tabs>
        <w:ind w:left="7200" w:hanging="180"/>
      </w:pPr>
    </w:lvl>
  </w:abstractNum>
  <w:abstractNum w:abstractNumId="8">
    <w:nsid w:val="3035190D"/>
    <w:multiLevelType w:val="singleLevel"/>
    <w:tmpl w:val="6EA66680"/>
    <w:lvl w:ilvl="0">
      <w:start w:val="1"/>
      <w:numFmt w:val="bullet"/>
      <w:pStyle w:val="listbull"/>
      <w:lvlText w:val=""/>
      <w:lvlJc w:val="left"/>
      <w:pPr>
        <w:tabs>
          <w:tab w:val="num" w:pos="432"/>
        </w:tabs>
        <w:ind w:left="432" w:hanging="432"/>
      </w:pPr>
      <w:rPr>
        <w:rFonts w:ascii="Symbol" w:hAnsi="Symbol" w:hint="default"/>
      </w:rPr>
    </w:lvl>
  </w:abstractNum>
  <w:abstractNum w:abstractNumId="9">
    <w:nsid w:val="30671BCA"/>
    <w:multiLevelType w:val="multilevel"/>
    <w:tmpl w:val="84F4F412"/>
    <w:lvl w:ilvl="0">
      <w:start w:val="1"/>
      <w:numFmt w:val="lowerLetter"/>
      <w:lvlText w:val="(%1)."/>
      <w:lvlJc w:val="left"/>
      <w:pPr>
        <w:tabs>
          <w:tab w:val="num" w:pos="1080"/>
        </w:tabs>
        <w:ind w:left="1080" w:hanging="360"/>
      </w:pPr>
      <w:rPr>
        <w:rFonts w:hint="default"/>
        <w:b w:val="0"/>
        <w:i/>
      </w:rPr>
    </w:lvl>
    <w:lvl w:ilvl="1">
      <w:start w:val="1"/>
      <w:numFmt w:val="bullet"/>
      <w:lvlText w:val=""/>
      <w:lvlJc w:val="left"/>
      <w:pPr>
        <w:tabs>
          <w:tab w:val="num" w:pos="2160"/>
        </w:tabs>
        <w:ind w:left="2160" w:hanging="360"/>
      </w:pPr>
      <w:rPr>
        <w:rFonts w:ascii="Symbol" w:hAnsi="Symbol" w:hint="default"/>
        <w:b w:val="0"/>
        <w:i/>
        <w:color w:val="FF0000"/>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0">
    <w:nsid w:val="3EA04A41"/>
    <w:multiLevelType w:val="hybridMultilevel"/>
    <w:tmpl w:val="AF94555E"/>
    <w:lvl w:ilvl="0" w:tplc="AACCCA32">
      <w:start w:val="1"/>
      <w:numFmt w:val="bullet"/>
      <w:lvlText w:val=""/>
      <w:lvlJc w:val="left"/>
      <w:pPr>
        <w:tabs>
          <w:tab w:val="num" w:pos="2880"/>
        </w:tabs>
        <w:ind w:left="2880" w:hanging="360"/>
      </w:pPr>
      <w:rPr>
        <w:rFonts w:ascii="Symbol" w:hAnsi="Symbol" w:hint="default"/>
        <w:color w:val="000000"/>
      </w:rPr>
    </w:lvl>
    <w:lvl w:ilvl="1" w:tplc="7BA026A6" w:tentative="1">
      <w:start w:val="1"/>
      <w:numFmt w:val="bullet"/>
      <w:lvlText w:val="o"/>
      <w:lvlJc w:val="left"/>
      <w:pPr>
        <w:tabs>
          <w:tab w:val="num" w:pos="2160"/>
        </w:tabs>
        <w:ind w:left="2160" w:hanging="360"/>
      </w:pPr>
      <w:rPr>
        <w:rFonts w:ascii="Courier New" w:hAnsi="Courier New" w:cs="Courier New" w:hint="default"/>
      </w:rPr>
    </w:lvl>
    <w:lvl w:ilvl="2" w:tplc="3654B516" w:tentative="1">
      <w:start w:val="1"/>
      <w:numFmt w:val="bullet"/>
      <w:lvlText w:val=""/>
      <w:lvlJc w:val="left"/>
      <w:pPr>
        <w:tabs>
          <w:tab w:val="num" w:pos="2880"/>
        </w:tabs>
        <w:ind w:left="2880" w:hanging="360"/>
      </w:pPr>
      <w:rPr>
        <w:rFonts w:ascii="Wingdings" w:hAnsi="Wingdings" w:hint="default"/>
      </w:rPr>
    </w:lvl>
    <w:lvl w:ilvl="3" w:tplc="91C80E08" w:tentative="1">
      <w:start w:val="1"/>
      <w:numFmt w:val="bullet"/>
      <w:lvlText w:val=""/>
      <w:lvlJc w:val="left"/>
      <w:pPr>
        <w:tabs>
          <w:tab w:val="num" w:pos="3600"/>
        </w:tabs>
        <w:ind w:left="3600" w:hanging="360"/>
      </w:pPr>
      <w:rPr>
        <w:rFonts w:ascii="Symbol" w:hAnsi="Symbol" w:hint="default"/>
      </w:rPr>
    </w:lvl>
    <w:lvl w:ilvl="4" w:tplc="C2ACC7F6" w:tentative="1">
      <w:start w:val="1"/>
      <w:numFmt w:val="bullet"/>
      <w:lvlText w:val="o"/>
      <w:lvlJc w:val="left"/>
      <w:pPr>
        <w:tabs>
          <w:tab w:val="num" w:pos="4320"/>
        </w:tabs>
        <w:ind w:left="4320" w:hanging="360"/>
      </w:pPr>
      <w:rPr>
        <w:rFonts w:ascii="Courier New" w:hAnsi="Courier New" w:cs="Courier New" w:hint="default"/>
      </w:rPr>
    </w:lvl>
    <w:lvl w:ilvl="5" w:tplc="C31A3632" w:tentative="1">
      <w:start w:val="1"/>
      <w:numFmt w:val="bullet"/>
      <w:lvlText w:val=""/>
      <w:lvlJc w:val="left"/>
      <w:pPr>
        <w:tabs>
          <w:tab w:val="num" w:pos="5040"/>
        </w:tabs>
        <w:ind w:left="5040" w:hanging="360"/>
      </w:pPr>
      <w:rPr>
        <w:rFonts w:ascii="Wingdings" w:hAnsi="Wingdings" w:hint="default"/>
      </w:rPr>
    </w:lvl>
    <w:lvl w:ilvl="6" w:tplc="85B04BBC" w:tentative="1">
      <w:start w:val="1"/>
      <w:numFmt w:val="bullet"/>
      <w:lvlText w:val=""/>
      <w:lvlJc w:val="left"/>
      <w:pPr>
        <w:tabs>
          <w:tab w:val="num" w:pos="5760"/>
        </w:tabs>
        <w:ind w:left="5760" w:hanging="360"/>
      </w:pPr>
      <w:rPr>
        <w:rFonts w:ascii="Symbol" w:hAnsi="Symbol" w:hint="default"/>
      </w:rPr>
    </w:lvl>
    <w:lvl w:ilvl="7" w:tplc="D8BE74EE" w:tentative="1">
      <w:start w:val="1"/>
      <w:numFmt w:val="bullet"/>
      <w:lvlText w:val="o"/>
      <w:lvlJc w:val="left"/>
      <w:pPr>
        <w:tabs>
          <w:tab w:val="num" w:pos="6480"/>
        </w:tabs>
        <w:ind w:left="6480" w:hanging="360"/>
      </w:pPr>
      <w:rPr>
        <w:rFonts w:ascii="Courier New" w:hAnsi="Courier New" w:cs="Courier New" w:hint="default"/>
      </w:rPr>
    </w:lvl>
    <w:lvl w:ilvl="8" w:tplc="2DBE1B42" w:tentative="1">
      <w:start w:val="1"/>
      <w:numFmt w:val="bullet"/>
      <w:lvlText w:val=""/>
      <w:lvlJc w:val="left"/>
      <w:pPr>
        <w:tabs>
          <w:tab w:val="num" w:pos="7200"/>
        </w:tabs>
        <w:ind w:left="7200" w:hanging="360"/>
      </w:pPr>
      <w:rPr>
        <w:rFonts w:ascii="Wingdings" w:hAnsi="Wingdings" w:hint="default"/>
      </w:rPr>
    </w:lvl>
  </w:abstractNum>
  <w:abstractNum w:abstractNumId="11">
    <w:nsid w:val="43401EC0"/>
    <w:multiLevelType w:val="singleLevel"/>
    <w:tmpl w:val="2C62F932"/>
    <w:lvl w:ilvl="0">
      <w:start w:val="1"/>
      <w:numFmt w:val="bullet"/>
      <w:pStyle w:val="listindentbull"/>
      <w:lvlText w:val=""/>
      <w:lvlJc w:val="left"/>
      <w:pPr>
        <w:tabs>
          <w:tab w:val="num" w:pos="864"/>
        </w:tabs>
        <w:ind w:left="864" w:hanging="432"/>
      </w:pPr>
      <w:rPr>
        <w:rFonts w:ascii="Symbol" w:hAnsi="Symbol" w:hint="default"/>
      </w:rPr>
    </w:lvl>
  </w:abstractNum>
  <w:abstractNum w:abstractNumId="12">
    <w:nsid w:val="443E2E39"/>
    <w:multiLevelType w:val="multilevel"/>
    <w:tmpl w:val="30DE1AA2"/>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3">
    <w:nsid w:val="4BA53CD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4">
    <w:nsid w:val="4C92467F"/>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5">
    <w:nsid w:val="4DE63837"/>
    <w:multiLevelType w:val="hybridMultilevel"/>
    <w:tmpl w:val="9386E262"/>
    <w:lvl w:ilvl="0" w:tplc="2F04F43A">
      <w:start w:val="1"/>
      <w:numFmt w:val="bullet"/>
      <w:lvlText w:val=""/>
      <w:lvlJc w:val="left"/>
      <w:pPr>
        <w:tabs>
          <w:tab w:val="num" w:pos="2160"/>
        </w:tabs>
        <w:ind w:left="2160" w:hanging="360"/>
      </w:pPr>
      <w:rPr>
        <w:rFonts w:ascii="Symbol" w:hAnsi="Symbol" w:hint="default"/>
        <w:color w:val="000000"/>
      </w:rPr>
    </w:lvl>
    <w:lvl w:ilvl="1" w:tplc="F16C645A" w:tentative="1">
      <w:start w:val="1"/>
      <w:numFmt w:val="bullet"/>
      <w:lvlText w:val="o"/>
      <w:lvlJc w:val="left"/>
      <w:pPr>
        <w:tabs>
          <w:tab w:val="num" w:pos="1440"/>
        </w:tabs>
        <w:ind w:left="1440" w:hanging="360"/>
      </w:pPr>
      <w:rPr>
        <w:rFonts w:ascii="Courier New" w:hAnsi="Courier New" w:cs="Courier New" w:hint="default"/>
      </w:rPr>
    </w:lvl>
    <w:lvl w:ilvl="2" w:tplc="3E26C95E" w:tentative="1">
      <w:start w:val="1"/>
      <w:numFmt w:val="bullet"/>
      <w:lvlText w:val=""/>
      <w:lvlJc w:val="left"/>
      <w:pPr>
        <w:tabs>
          <w:tab w:val="num" w:pos="2160"/>
        </w:tabs>
        <w:ind w:left="2160" w:hanging="360"/>
      </w:pPr>
      <w:rPr>
        <w:rFonts w:ascii="Wingdings" w:hAnsi="Wingdings" w:hint="default"/>
      </w:rPr>
    </w:lvl>
    <w:lvl w:ilvl="3" w:tplc="BB007BEC" w:tentative="1">
      <w:start w:val="1"/>
      <w:numFmt w:val="bullet"/>
      <w:lvlText w:val=""/>
      <w:lvlJc w:val="left"/>
      <w:pPr>
        <w:tabs>
          <w:tab w:val="num" w:pos="2880"/>
        </w:tabs>
        <w:ind w:left="2880" w:hanging="360"/>
      </w:pPr>
      <w:rPr>
        <w:rFonts w:ascii="Symbol" w:hAnsi="Symbol" w:hint="default"/>
      </w:rPr>
    </w:lvl>
    <w:lvl w:ilvl="4" w:tplc="830E374A" w:tentative="1">
      <w:start w:val="1"/>
      <w:numFmt w:val="bullet"/>
      <w:lvlText w:val="o"/>
      <w:lvlJc w:val="left"/>
      <w:pPr>
        <w:tabs>
          <w:tab w:val="num" w:pos="3600"/>
        </w:tabs>
        <w:ind w:left="3600" w:hanging="360"/>
      </w:pPr>
      <w:rPr>
        <w:rFonts w:ascii="Courier New" w:hAnsi="Courier New" w:cs="Courier New" w:hint="default"/>
      </w:rPr>
    </w:lvl>
    <w:lvl w:ilvl="5" w:tplc="9CE694BE" w:tentative="1">
      <w:start w:val="1"/>
      <w:numFmt w:val="bullet"/>
      <w:lvlText w:val=""/>
      <w:lvlJc w:val="left"/>
      <w:pPr>
        <w:tabs>
          <w:tab w:val="num" w:pos="4320"/>
        </w:tabs>
        <w:ind w:left="4320" w:hanging="360"/>
      </w:pPr>
      <w:rPr>
        <w:rFonts w:ascii="Wingdings" w:hAnsi="Wingdings" w:hint="default"/>
      </w:rPr>
    </w:lvl>
    <w:lvl w:ilvl="6" w:tplc="CE74CCA8" w:tentative="1">
      <w:start w:val="1"/>
      <w:numFmt w:val="bullet"/>
      <w:lvlText w:val=""/>
      <w:lvlJc w:val="left"/>
      <w:pPr>
        <w:tabs>
          <w:tab w:val="num" w:pos="5040"/>
        </w:tabs>
        <w:ind w:left="5040" w:hanging="360"/>
      </w:pPr>
      <w:rPr>
        <w:rFonts w:ascii="Symbol" w:hAnsi="Symbol" w:hint="default"/>
      </w:rPr>
    </w:lvl>
    <w:lvl w:ilvl="7" w:tplc="D3CCC9B8" w:tentative="1">
      <w:start w:val="1"/>
      <w:numFmt w:val="bullet"/>
      <w:lvlText w:val="o"/>
      <w:lvlJc w:val="left"/>
      <w:pPr>
        <w:tabs>
          <w:tab w:val="num" w:pos="5760"/>
        </w:tabs>
        <w:ind w:left="5760" w:hanging="360"/>
      </w:pPr>
      <w:rPr>
        <w:rFonts w:ascii="Courier New" w:hAnsi="Courier New" w:cs="Courier New" w:hint="default"/>
      </w:rPr>
    </w:lvl>
    <w:lvl w:ilvl="8" w:tplc="2B328B9A" w:tentative="1">
      <w:start w:val="1"/>
      <w:numFmt w:val="bullet"/>
      <w:lvlText w:val=""/>
      <w:lvlJc w:val="left"/>
      <w:pPr>
        <w:tabs>
          <w:tab w:val="num" w:pos="6480"/>
        </w:tabs>
        <w:ind w:left="6480" w:hanging="360"/>
      </w:pPr>
      <w:rPr>
        <w:rFonts w:ascii="Wingdings" w:hAnsi="Wingdings" w:hint="default"/>
      </w:rPr>
    </w:lvl>
  </w:abstractNum>
  <w:abstractNum w:abstractNumId="16">
    <w:nsid w:val="4E11300B"/>
    <w:multiLevelType w:val="multilevel"/>
    <w:tmpl w:val="8F8A044C"/>
    <w:lvl w:ilvl="0">
      <w:start w:val="1"/>
      <w:numFmt w:val="lowerRoman"/>
      <w:lvlText w:val="(%1)."/>
      <w:lvlJc w:val="left"/>
      <w:pPr>
        <w:tabs>
          <w:tab w:val="num" w:pos="1860"/>
        </w:tabs>
        <w:ind w:left="1860" w:hanging="360"/>
      </w:pPr>
      <w:rPr>
        <w:rFonts w:hint="default"/>
        <w:b w:val="0"/>
        <w:i w:val="0"/>
      </w:rPr>
    </w:lvl>
    <w:lvl w:ilvl="1">
      <w:start w:val="1"/>
      <w:numFmt w:val="lowerRoman"/>
      <w:lvlText w:val="%2."/>
      <w:lvlJc w:val="left"/>
      <w:pPr>
        <w:tabs>
          <w:tab w:val="num" w:pos="1440"/>
        </w:tabs>
        <w:ind w:left="1440" w:hanging="360"/>
      </w:pPr>
      <w:rPr>
        <w:rFonts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70D62A4"/>
    <w:multiLevelType w:val="multilevel"/>
    <w:tmpl w:val="AF94555E"/>
    <w:lvl w:ilvl="0">
      <w:start w:val="1"/>
      <w:numFmt w:val="bullet"/>
      <w:lvlText w:val=""/>
      <w:lvlJc w:val="left"/>
      <w:pPr>
        <w:tabs>
          <w:tab w:val="num" w:pos="2880"/>
        </w:tabs>
        <w:ind w:left="2880" w:hanging="360"/>
      </w:pPr>
      <w:rPr>
        <w:rFonts w:ascii="Symbol" w:hAnsi="Symbol" w:hint="default"/>
        <w:color w:val="000000"/>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8">
    <w:nsid w:val="5A041001"/>
    <w:multiLevelType w:val="hybridMultilevel"/>
    <w:tmpl w:val="697650E6"/>
    <w:lvl w:ilvl="0" w:tplc="33DE3E5C">
      <w:start w:val="1"/>
      <w:numFmt w:val="lowerLetter"/>
      <w:lvlText w:val="(%1)."/>
      <w:lvlJc w:val="left"/>
      <w:pPr>
        <w:tabs>
          <w:tab w:val="num" w:pos="1080"/>
        </w:tabs>
        <w:ind w:left="1080" w:hanging="360"/>
      </w:pPr>
      <w:rPr>
        <w:rFonts w:hint="default"/>
        <w:b w:val="0"/>
        <w:i/>
      </w:rPr>
    </w:lvl>
    <w:lvl w:ilvl="1" w:tplc="BE62274E">
      <w:start w:val="1"/>
      <w:numFmt w:val="bullet"/>
      <w:lvlText w:val=""/>
      <w:lvlJc w:val="left"/>
      <w:pPr>
        <w:tabs>
          <w:tab w:val="num" w:pos="2160"/>
        </w:tabs>
        <w:ind w:left="2160" w:hanging="360"/>
      </w:pPr>
      <w:rPr>
        <w:rFonts w:ascii="Symbol" w:hAnsi="Symbol" w:hint="default"/>
        <w:b w:val="0"/>
        <w:i/>
        <w:color w:val="000000"/>
      </w:rPr>
    </w:lvl>
    <w:lvl w:ilvl="2" w:tplc="52E22CA2" w:tentative="1">
      <w:start w:val="1"/>
      <w:numFmt w:val="lowerRoman"/>
      <w:lvlText w:val="%3."/>
      <w:lvlJc w:val="right"/>
      <w:pPr>
        <w:tabs>
          <w:tab w:val="num" w:pos="2880"/>
        </w:tabs>
        <w:ind w:left="2880" w:hanging="180"/>
      </w:pPr>
    </w:lvl>
    <w:lvl w:ilvl="3" w:tplc="90CA1CC6" w:tentative="1">
      <w:start w:val="1"/>
      <w:numFmt w:val="decimal"/>
      <w:lvlText w:val="%4."/>
      <w:lvlJc w:val="left"/>
      <w:pPr>
        <w:tabs>
          <w:tab w:val="num" w:pos="3600"/>
        </w:tabs>
        <w:ind w:left="3600" w:hanging="360"/>
      </w:pPr>
    </w:lvl>
    <w:lvl w:ilvl="4" w:tplc="3FB439F0" w:tentative="1">
      <w:start w:val="1"/>
      <w:numFmt w:val="lowerLetter"/>
      <w:lvlText w:val="%5."/>
      <w:lvlJc w:val="left"/>
      <w:pPr>
        <w:tabs>
          <w:tab w:val="num" w:pos="4320"/>
        </w:tabs>
        <w:ind w:left="4320" w:hanging="360"/>
      </w:pPr>
    </w:lvl>
    <w:lvl w:ilvl="5" w:tplc="06847894" w:tentative="1">
      <w:start w:val="1"/>
      <w:numFmt w:val="lowerRoman"/>
      <w:lvlText w:val="%6."/>
      <w:lvlJc w:val="right"/>
      <w:pPr>
        <w:tabs>
          <w:tab w:val="num" w:pos="5040"/>
        </w:tabs>
        <w:ind w:left="5040" w:hanging="180"/>
      </w:pPr>
    </w:lvl>
    <w:lvl w:ilvl="6" w:tplc="3B3E1AD2" w:tentative="1">
      <w:start w:val="1"/>
      <w:numFmt w:val="decimal"/>
      <w:lvlText w:val="%7."/>
      <w:lvlJc w:val="left"/>
      <w:pPr>
        <w:tabs>
          <w:tab w:val="num" w:pos="5760"/>
        </w:tabs>
        <w:ind w:left="5760" w:hanging="360"/>
      </w:pPr>
    </w:lvl>
    <w:lvl w:ilvl="7" w:tplc="4D0AD1A8" w:tentative="1">
      <w:start w:val="1"/>
      <w:numFmt w:val="lowerLetter"/>
      <w:lvlText w:val="%8."/>
      <w:lvlJc w:val="left"/>
      <w:pPr>
        <w:tabs>
          <w:tab w:val="num" w:pos="6480"/>
        </w:tabs>
        <w:ind w:left="6480" w:hanging="360"/>
      </w:pPr>
    </w:lvl>
    <w:lvl w:ilvl="8" w:tplc="D774FF8A" w:tentative="1">
      <w:start w:val="1"/>
      <w:numFmt w:val="lowerRoman"/>
      <w:lvlText w:val="%9."/>
      <w:lvlJc w:val="right"/>
      <w:pPr>
        <w:tabs>
          <w:tab w:val="num" w:pos="7200"/>
        </w:tabs>
        <w:ind w:left="7200" w:hanging="180"/>
      </w:pPr>
    </w:lvl>
  </w:abstractNum>
  <w:abstractNum w:abstractNumId="19">
    <w:nsid w:val="5D2806D4"/>
    <w:multiLevelType w:val="hybridMultilevel"/>
    <w:tmpl w:val="84F4F412"/>
    <w:lvl w:ilvl="0" w:tplc="B1E8C300">
      <w:start w:val="1"/>
      <w:numFmt w:val="lowerLetter"/>
      <w:lvlText w:val="(%1)."/>
      <w:lvlJc w:val="left"/>
      <w:pPr>
        <w:tabs>
          <w:tab w:val="num" w:pos="1080"/>
        </w:tabs>
        <w:ind w:left="1080" w:hanging="360"/>
      </w:pPr>
      <w:rPr>
        <w:rFonts w:hint="default"/>
        <w:b w:val="0"/>
        <w:i/>
      </w:rPr>
    </w:lvl>
    <w:lvl w:ilvl="1" w:tplc="78C0F5CA">
      <w:start w:val="1"/>
      <w:numFmt w:val="bullet"/>
      <w:lvlText w:val=""/>
      <w:lvlJc w:val="left"/>
      <w:pPr>
        <w:tabs>
          <w:tab w:val="num" w:pos="2160"/>
        </w:tabs>
        <w:ind w:left="2160" w:hanging="360"/>
      </w:pPr>
      <w:rPr>
        <w:rFonts w:ascii="Symbol" w:hAnsi="Symbol" w:hint="default"/>
        <w:b w:val="0"/>
        <w:i/>
        <w:color w:val="FF0000"/>
      </w:r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20">
    <w:nsid w:val="63CF3D8C"/>
    <w:multiLevelType w:val="hybridMultilevel"/>
    <w:tmpl w:val="10364F6E"/>
    <w:lvl w:ilvl="0" w:tplc="B1E8C300">
      <w:start w:val="1"/>
      <w:numFmt w:val="lowerRoman"/>
      <w:lvlText w:val="(%1)."/>
      <w:lvlJc w:val="left"/>
      <w:pPr>
        <w:tabs>
          <w:tab w:val="num" w:pos="1860"/>
        </w:tabs>
        <w:ind w:left="1860" w:hanging="360"/>
      </w:pPr>
      <w:rPr>
        <w:rFonts w:hint="default"/>
        <w:b w:val="0"/>
        <w:i w:val="0"/>
      </w:rPr>
    </w:lvl>
    <w:lvl w:ilvl="1" w:tplc="B4F0FEE2">
      <w:start w:val="1"/>
      <w:numFmt w:val="lowerRoman"/>
      <w:lvlText w:val="(%2)."/>
      <w:lvlJc w:val="left"/>
      <w:pPr>
        <w:tabs>
          <w:tab w:val="num" w:pos="1440"/>
        </w:tabs>
        <w:ind w:left="1440" w:hanging="360"/>
      </w:pPr>
      <w:rPr>
        <w:rFonts w:hint="default"/>
        <w:b w:val="0"/>
        <w:i w:val="0"/>
        <w:color w:val="auto"/>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nsid w:val="66B20BCB"/>
    <w:multiLevelType w:val="singleLevel"/>
    <w:tmpl w:val="793A3A9E"/>
    <w:lvl w:ilvl="0">
      <w:numFmt w:val="bullet"/>
      <w:lvlText w:val="-"/>
      <w:lvlJc w:val="left"/>
      <w:pPr>
        <w:tabs>
          <w:tab w:val="num" w:pos="567"/>
        </w:tabs>
        <w:ind w:left="567" w:hanging="567"/>
      </w:pPr>
      <w:rPr>
        <w:rFonts w:hint="default"/>
      </w:rPr>
    </w:lvl>
  </w:abstractNum>
  <w:abstractNum w:abstractNumId="22">
    <w:nsid w:val="6A6610F1"/>
    <w:multiLevelType w:val="hybridMultilevel"/>
    <w:tmpl w:val="A314D8B8"/>
    <w:lvl w:ilvl="0" w:tplc="FD8232D8">
      <w:start w:val="1"/>
      <w:numFmt w:val="bullet"/>
      <w:lvlText w:val=""/>
      <w:lvlJc w:val="left"/>
      <w:pPr>
        <w:tabs>
          <w:tab w:val="num" w:pos="2160"/>
        </w:tabs>
        <w:ind w:left="2160" w:hanging="360"/>
      </w:pPr>
      <w:rPr>
        <w:rFonts w:ascii="Symbol" w:hAnsi="Symbol" w:hint="default"/>
        <w:color w:val="000000"/>
      </w:rPr>
    </w:lvl>
    <w:lvl w:ilvl="1" w:tplc="DD2A1A7A">
      <w:start w:val="1"/>
      <w:numFmt w:val="bullet"/>
      <w:lvlText w:val="o"/>
      <w:lvlJc w:val="left"/>
      <w:pPr>
        <w:tabs>
          <w:tab w:val="num" w:pos="1440"/>
        </w:tabs>
        <w:ind w:left="1440" w:hanging="360"/>
      </w:pPr>
      <w:rPr>
        <w:rFonts w:ascii="Courier New" w:hAnsi="Courier New" w:cs="Courier New" w:hint="default"/>
        <w:color w:val="000000"/>
      </w:rPr>
    </w:lvl>
    <w:lvl w:ilvl="2" w:tplc="086EA2FC" w:tentative="1">
      <w:start w:val="1"/>
      <w:numFmt w:val="bullet"/>
      <w:lvlText w:val=""/>
      <w:lvlJc w:val="left"/>
      <w:pPr>
        <w:tabs>
          <w:tab w:val="num" w:pos="2160"/>
        </w:tabs>
        <w:ind w:left="2160" w:hanging="360"/>
      </w:pPr>
      <w:rPr>
        <w:rFonts w:ascii="Wingdings" w:hAnsi="Wingdings" w:hint="default"/>
      </w:rPr>
    </w:lvl>
    <w:lvl w:ilvl="3" w:tplc="413C0586" w:tentative="1">
      <w:start w:val="1"/>
      <w:numFmt w:val="bullet"/>
      <w:lvlText w:val=""/>
      <w:lvlJc w:val="left"/>
      <w:pPr>
        <w:tabs>
          <w:tab w:val="num" w:pos="2880"/>
        </w:tabs>
        <w:ind w:left="2880" w:hanging="360"/>
      </w:pPr>
      <w:rPr>
        <w:rFonts w:ascii="Symbol" w:hAnsi="Symbol" w:hint="default"/>
      </w:rPr>
    </w:lvl>
    <w:lvl w:ilvl="4" w:tplc="4D16A724" w:tentative="1">
      <w:start w:val="1"/>
      <w:numFmt w:val="bullet"/>
      <w:lvlText w:val="o"/>
      <w:lvlJc w:val="left"/>
      <w:pPr>
        <w:tabs>
          <w:tab w:val="num" w:pos="3600"/>
        </w:tabs>
        <w:ind w:left="3600" w:hanging="360"/>
      </w:pPr>
      <w:rPr>
        <w:rFonts w:ascii="Courier New" w:hAnsi="Courier New" w:cs="Courier New" w:hint="default"/>
      </w:rPr>
    </w:lvl>
    <w:lvl w:ilvl="5" w:tplc="AEEE7B08" w:tentative="1">
      <w:start w:val="1"/>
      <w:numFmt w:val="bullet"/>
      <w:lvlText w:val=""/>
      <w:lvlJc w:val="left"/>
      <w:pPr>
        <w:tabs>
          <w:tab w:val="num" w:pos="4320"/>
        </w:tabs>
        <w:ind w:left="4320" w:hanging="360"/>
      </w:pPr>
      <w:rPr>
        <w:rFonts w:ascii="Wingdings" w:hAnsi="Wingdings" w:hint="default"/>
      </w:rPr>
    </w:lvl>
    <w:lvl w:ilvl="6" w:tplc="6B0E5050" w:tentative="1">
      <w:start w:val="1"/>
      <w:numFmt w:val="bullet"/>
      <w:lvlText w:val=""/>
      <w:lvlJc w:val="left"/>
      <w:pPr>
        <w:tabs>
          <w:tab w:val="num" w:pos="5040"/>
        </w:tabs>
        <w:ind w:left="5040" w:hanging="360"/>
      </w:pPr>
      <w:rPr>
        <w:rFonts w:ascii="Symbol" w:hAnsi="Symbol" w:hint="default"/>
      </w:rPr>
    </w:lvl>
    <w:lvl w:ilvl="7" w:tplc="9A9CE884" w:tentative="1">
      <w:start w:val="1"/>
      <w:numFmt w:val="bullet"/>
      <w:lvlText w:val="o"/>
      <w:lvlJc w:val="left"/>
      <w:pPr>
        <w:tabs>
          <w:tab w:val="num" w:pos="5760"/>
        </w:tabs>
        <w:ind w:left="5760" w:hanging="360"/>
      </w:pPr>
      <w:rPr>
        <w:rFonts w:ascii="Courier New" w:hAnsi="Courier New" w:cs="Courier New" w:hint="default"/>
      </w:rPr>
    </w:lvl>
    <w:lvl w:ilvl="8" w:tplc="CDB88DC4" w:tentative="1">
      <w:start w:val="1"/>
      <w:numFmt w:val="bullet"/>
      <w:lvlText w:val=""/>
      <w:lvlJc w:val="left"/>
      <w:pPr>
        <w:tabs>
          <w:tab w:val="num" w:pos="6480"/>
        </w:tabs>
        <w:ind w:left="6480" w:hanging="360"/>
      </w:pPr>
      <w:rPr>
        <w:rFonts w:ascii="Wingdings" w:hAnsi="Wingdings" w:hint="default"/>
      </w:rPr>
    </w:lvl>
  </w:abstractNum>
  <w:abstractNum w:abstractNumId="23">
    <w:nsid w:val="6B95093B"/>
    <w:multiLevelType w:val="multilevel"/>
    <w:tmpl w:val="105E4368"/>
    <w:lvl w:ilvl="0">
      <w:start w:val="1"/>
      <w:numFmt w:val="lowerLetter"/>
      <w:lvlText w:val="(%1)."/>
      <w:lvlJc w:val="left"/>
      <w:pPr>
        <w:tabs>
          <w:tab w:val="num" w:pos="1080"/>
        </w:tabs>
        <w:ind w:left="1080" w:hanging="360"/>
      </w:pPr>
      <w:rPr>
        <w:rFonts w:hint="default"/>
        <w:b w:val="0"/>
        <w:i/>
      </w:rPr>
    </w:lvl>
    <w:lvl w:ilvl="1">
      <w:start w:val="1"/>
      <w:numFmt w:val="bullet"/>
      <w:lvlText w:val=""/>
      <w:lvlJc w:val="left"/>
      <w:pPr>
        <w:tabs>
          <w:tab w:val="num" w:pos="2160"/>
        </w:tabs>
        <w:ind w:left="2160" w:hanging="360"/>
      </w:pPr>
      <w:rPr>
        <w:rFonts w:ascii="Symbol" w:hAnsi="Symbol" w:hint="default"/>
        <w:b w:val="0"/>
        <w:i/>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4">
    <w:nsid w:val="75A57998"/>
    <w:multiLevelType w:val="multilevel"/>
    <w:tmpl w:val="23D61210"/>
    <w:lvl w:ilvl="0">
      <w:start w:val="1"/>
      <w:numFmt w:val="bullet"/>
      <w:lvlText w:val="-"/>
      <w:lvlJc w:val="left"/>
      <w:pPr>
        <w:tabs>
          <w:tab w:val="num" w:pos="567"/>
        </w:tabs>
        <w:ind w:left="567" w:hanging="567"/>
      </w:pPr>
      <w:rPr>
        <w:rFonts w:ascii="Times New Roman" w:hAnsi="Times New Roman" w:cs="Times New Roman" w:hint="default"/>
        <w:spacing w:val="0"/>
      </w:rPr>
    </w:lvl>
    <w:lvl w:ilvl="1">
      <w:start w:val="1"/>
      <w:numFmt w:val="bullet"/>
      <w:lvlText w:val="o"/>
      <w:lvlJc w:val="left"/>
      <w:pPr>
        <w:tabs>
          <w:tab w:val="num" w:pos="1440"/>
        </w:tabs>
        <w:ind w:left="1440" w:hanging="360"/>
      </w:pPr>
      <w:rPr>
        <w:rFonts w:ascii="Courier New" w:hAnsi="Courier New" w:cs="Courier New" w:hint="default"/>
        <w:spacing w:val="0"/>
      </w:rPr>
    </w:lvl>
    <w:lvl w:ilvl="2">
      <w:start w:val="1"/>
      <w:numFmt w:val="bullet"/>
      <w:lvlText w:val=""/>
      <w:lvlJc w:val="left"/>
      <w:pPr>
        <w:tabs>
          <w:tab w:val="num" w:pos="2160"/>
        </w:tabs>
        <w:ind w:left="2160" w:hanging="360"/>
      </w:pPr>
      <w:rPr>
        <w:rFonts w:ascii="Wingdings" w:hAnsi="Wingdings" w:cs="Wingdings" w:hint="default"/>
        <w:spacing w:val="0"/>
      </w:rPr>
    </w:lvl>
    <w:lvl w:ilvl="3">
      <w:start w:val="1"/>
      <w:numFmt w:val="bullet"/>
      <w:lvlText w:val=""/>
      <w:lvlJc w:val="left"/>
      <w:pPr>
        <w:tabs>
          <w:tab w:val="num" w:pos="2880"/>
        </w:tabs>
        <w:ind w:left="2880" w:hanging="360"/>
      </w:pPr>
      <w:rPr>
        <w:rFonts w:ascii="Symbol" w:hAnsi="Symbol" w:cs="Symbol" w:hint="default"/>
        <w:spacing w:val="0"/>
      </w:rPr>
    </w:lvl>
    <w:lvl w:ilvl="4">
      <w:start w:val="1"/>
      <w:numFmt w:val="bullet"/>
      <w:lvlText w:val="o"/>
      <w:lvlJc w:val="left"/>
      <w:pPr>
        <w:tabs>
          <w:tab w:val="num" w:pos="3600"/>
        </w:tabs>
        <w:ind w:left="3600" w:hanging="360"/>
      </w:pPr>
      <w:rPr>
        <w:rFonts w:ascii="Courier New" w:hAnsi="Courier New" w:cs="Courier New" w:hint="default"/>
        <w:spacing w:val="0"/>
      </w:rPr>
    </w:lvl>
    <w:lvl w:ilvl="5">
      <w:start w:val="1"/>
      <w:numFmt w:val="bullet"/>
      <w:lvlText w:val=""/>
      <w:lvlJc w:val="left"/>
      <w:pPr>
        <w:tabs>
          <w:tab w:val="num" w:pos="4320"/>
        </w:tabs>
        <w:ind w:left="4320" w:hanging="360"/>
      </w:pPr>
      <w:rPr>
        <w:rFonts w:ascii="Wingdings" w:hAnsi="Wingdings" w:cs="Wingdings" w:hint="default"/>
        <w:spacing w:val="0"/>
      </w:rPr>
    </w:lvl>
    <w:lvl w:ilvl="6">
      <w:start w:val="1"/>
      <w:numFmt w:val="bullet"/>
      <w:lvlText w:val=""/>
      <w:lvlJc w:val="left"/>
      <w:pPr>
        <w:tabs>
          <w:tab w:val="num" w:pos="5040"/>
        </w:tabs>
        <w:ind w:left="5040" w:hanging="360"/>
      </w:pPr>
      <w:rPr>
        <w:rFonts w:ascii="Symbol" w:hAnsi="Symbol" w:cs="Symbol" w:hint="default"/>
        <w:spacing w:val="0"/>
      </w:rPr>
    </w:lvl>
    <w:lvl w:ilvl="7">
      <w:start w:val="1"/>
      <w:numFmt w:val="bullet"/>
      <w:lvlText w:val="o"/>
      <w:lvlJc w:val="left"/>
      <w:pPr>
        <w:tabs>
          <w:tab w:val="num" w:pos="5760"/>
        </w:tabs>
        <w:ind w:left="5760" w:hanging="360"/>
      </w:pPr>
      <w:rPr>
        <w:rFonts w:ascii="Courier New" w:hAnsi="Courier New" w:cs="Courier New" w:hint="default"/>
        <w:spacing w:val="0"/>
      </w:rPr>
    </w:lvl>
    <w:lvl w:ilvl="8">
      <w:start w:val="1"/>
      <w:numFmt w:val="bullet"/>
      <w:lvlText w:val=""/>
      <w:lvlJc w:val="left"/>
      <w:pPr>
        <w:tabs>
          <w:tab w:val="num" w:pos="6480"/>
        </w:tabs>
        <w:ind w:left="6480" w:hanging="360"/>
      </w:pPr>
      <w:rPr>
        <w:rFonts w:ascii="Wingdings" w:hAnsi="Wingdings" w:cs="Wingdings" w:hint="default"/>
        <w:spacing w:val="0"/>
      </w:rPr>
    </w:lvl>
  </w:abstractNum>
  <w:num w:numId="1">
    <w:abstractNumId w:val="14"/>
  </w:num>
  <w:num w:numId="2">
    <w:abstractNumId w:val="13"/>
  </w:num>
  <w:num w:numId="3">
    <w:abstractNumId w:val="21"/>
  </w:num>
  <w:num w:numId="4">
    <w:abstractNumId w:val="8"/>
  </w:num>
  <w:num w:numId="5">
    <w:abstractNumId w:val="11"/>
  </w:num>
  <w:num w:numId="6">
    <w:abstractNumId w:val="19"/>
  </w:num>
  <w:num w:numId="7">
    <w:abstractNumId w:val="12"/>
  </w:num>
  <w:num w:numId="8">
    <w:abstractNumId w:val="20"/>
  </w:num>
  <w:num w:numId="9">
    <w:abstractNumId w:val="3"/>
  </w:num>
  <w:num w:numId="10">
    <w:abstractNumId w:val="16"/>
  </w:num>
  <w:num w:numId="11">
    <w:abstractNumId w:val="1"/>
  </w:num>
  <w:num w:numId="12">
    <w:abstractNumId w:val="4"/>
  </w:num>
  <w:num w:numId="13">
    <w:abstractNumId w:val="23"/>
  </w:num>
  <w:num w:numId="14">
    <w:abstractNumId w:val="9"/>
  </w:num>
  <w:num w:numId="15">
    <w:abstractNumId w:val="18"/>
  </w:num>
  <w:num w:numId="16">
    <w:abstractNumId w:val="6"/>
  </w:num>
  <w:num w:numId="17">
    <w:abstractNumId w:val="7"/>
  </w:num>
  <w:num w:numId="18">
    <w:abstractNumId w:val="10"/>
  </w:num>
  <w:num w:numId="19">
    <w:abstractNumId w:val="17"/>
  </w:num>
  <w:num w:numId="20">
    <w:abstractNumId w:val="0"/>
  </w:num>
  <w:num w:numId="21">
    <w:abstractNumId w:val="22"/>
  </w:num>
  <w:num w:numId="22">
    <w:abstractNumId w:val="15"/>
  </w:num>
  <w:num w:numId="23">
    <w:abstractNumId w:val="24"/>
  </w:num>
  <w:num w:numId="24">
    <w:abstractNumId w:val="5"/>
  </w:num>
  <w:num w:numId="2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oNotTrackFormatting/>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F6584A"/>
    <w:rsid w:val="00006B94"/>
    <w:rsid w:val="000106AB"/>
    <w:rsid w:val="00014FA0"/>
    <w:rsid w:val="00016757"/>
    <w:rsid w:val="00025F17"/>
    <w:rsid w:val="000402C9"/>
    <w:rsid w:val="000438D9"/>
    <w:rsid w:val="00046FD3"/>
    <w:rsid w:val="00051078"/>
    <w:rsid w:val="00053AC1"/>
    <w:rsid w:val="0005438A"/>
    <w:rsid w:val="00055890"/>
    <w:rsid w:val="00063698"/>
    <w:rsid w:val="00066E8E"/>
    <w:rsid w:val="00071C3E"/>
    <w:rsid w:val="000802FD"/>
    <w:rsid w:val="00081E96"/>
    <w:rsid w:val="00085488"/>
    <w:rsid w:val="00091DCC"/>
    <w:rsid w:val="00092928"/>
    <w:rsid w:val="00097C07"/>
    <w:rsid w:val="000A32B2"/>
    <w:rsid w:val="000B3F7D"/>
    <w:rsid w:val="000C068E"/>
    <w:rsid w:val="000C1256"/>
    <w:rsid w:val="000D3D10"/>
    <w:rsid w:val="000D62D5"/>
    <w:rsid w:val="000E09BD"/>
    <w:rsid w:val="000E13A7"/>
    <w:rsid w:val="000F0D06"/>
    <w:rsid w:val="000F2AB8"/>
    <w:rsid w:val="001100D5"/>
    <w:rsid w:val="001316C4"/>
    <w:rsid w:val="00131BD8"/>
    <w:rsid w:val="001376ED"/>
    <w:rsid w:val="00137E7B"/>
    <w:rsid w:val="00143B89"/>
    <w:rsid w:val="00174282"/>
    <w:rsid w:val="00180837"/>
    <w:rsid w:val="0018263F"/>
    <w:rsid w:val="00184B42"/>
    <w:rsid w:val="00184EC5"/>
    <w:rsid w:val="001A7311"/>
    <w:rsid w:val="001C60F4"/>
    <w:rsid w:val="001D4C59"/>
    <w:rsid w:val="001D72CC"/>
    <w:rsid w:val="001E4FD5"/>
    <w:rsid w:val="001F14F2"/>
    <w:rsid w:val="00201250"/>
    <w:rsid w:val="00204859"/>
    <w:rsid w:val="00213A3F"/>
    <w:rsid w:val="00220993"/>
    <w:rsid w:val="00220A0F"/>
    <w:rsid w:val="00225F0D"/>
    <w:rsid w:val="00241FB0"/>
    <w:rsid w:val="0025048F"/>
    <w:rsid w:val="00251523"/>
    <w:rsid w:val="002530FF"/>
    <w:rsid w:val="002766FC"/>
    <w:rsid w:val="00285240"/>
    <w:rsid w:val="00297C6B"/>
    <w:rsid w:val="002A345F"/>
    <w:rsid w:val="002B2F5A"/>
    <w:rsid w:val="002B44FD"/>
    <w:rsid w:val="002B6808"/>
    <w:rsid w:val="002B6A80"/>
    <w:rsid w:val="002B6ED5"/>
    <w:rsid w:val="002C4A14"/>
    <w:rsid w:val="002C669E"/>
    <w:rsid w:val="002D6C68"/>
    <w:rsid w:val="003026E8"/>
    <w:rsid w:val="00304E88"/>
    <w:rsid w:val="003131AC"/>
    <w:rsid w:val="00320E69"/>
    <w:rsid w:val="00326B62"/>
    <w:rsid w:val="0032726D"/>
    <w:rsid w:val="00350A73"/>
    <w:rsid w:val="003536DD"/>
    <w:rsid w:val="003548C7"/>
    <w:rsid w:val="003740FE"/>
    <w:rsid w:val="00375F6E"/>
    <w:rsid w:val="00390F0D"/>
    <w:rsid w:val="00391DA8"/>
    <w:rsid w:val="003946BA"/>
    <w:rsid w:val="003967AF"/>
    <w:rsid w:val="00397301"/>
    <w:rsid w:val="003A5C93"/>
    <w:rsid w:val="003A7FB7"/>
    <w:rsid w:val="003B6179"/>
    <w:rsid w:val="003B6E24"/>
    <w:rsid w:val="003C6E49"/>
    <w:rsid w:val="003D0A1F"/>
    <w:rsid w:val="003D427E"/>
    <w:rsid w:val="003E16C8"/>
    <w:rsid w:val="003E29C2"/>
    <w:rsid w:val="003F23A2"/>
    <w:rsid w:val="004006A9"/>
    <w:rsid w:val="00401839"/>
    <w:rsid w:val="0041149A"/>
    <w:rsid w:val="00413B32"/>
    <w:rsid w:val="00431D1A"/>
    <w:rsid w:val="00440CA8"/>
    <w:rsid w:val="004508FD"/>
    <w:rsid w:val="004531BD"/>
    <w:rsid w:val="00455982"/>
    <w:rsid w:val="004648D4"/>
    <w:rsid w:val="0046744F"/>
    <w:rsid w:val="004918F4"/>
    <w:rsid w:val="00491B6A"/>
    <w:rsid w:val="00491CAC"/>
    <w:rsid w:val="00492D80"/>
    <w:rsid w:val="0049306D"/>
    <w:rsid w:val="004958C2"/>
    <w:rsid w:val="004971D9"/>
    <w:rsid w:val="004971E2"/>
    <w:rsid w:val="004A4893"/>
    <w:rsid w:val="004A5389"/>
    <w:rsid w:val="004B2061"/>
    <w:rsid w:val="004B3D13"/>
    <w:rsid w:val="004B449A"/>
    <w:rsid w:val="004B710D"/>
    <w:rsid w:val="004B719D"/>
    <w:rsid w:val="004C1C75"/>
    <w:rsid w:val="004D345D"/>
    <w:rsid w:val="004D7499"/>
    <w:rsid w:val="004E0E32"/>
    <w:rsid w:val="004E0EA8"/>
    <w:rsid w:val="004E6509"/>
    <w:rsid w:val="004F292D"/>
    <w:rsid w:val="0051392C"/>
    <w:rsid w:val="0053711D"/>
    <w:rsid w:val="0053726B"/>
    <w:rsid w:val="0056255E"/>
    <w:rsid w:val="005771EE"/>
    <w:rsid w:val="0059272A"/>
    <w:rsid w:val="005A7D63"/>
    <w:rsid w:val="005C58BD"/>
    <w:rsid w:val="005E1545"/>
    <w:rsid w:val="005E246B"/>
    <w:rsid w:val="005E7A38"/>
    <w:rsid w:val="00606C95"/>
    <w:rsid w:val="00615499"/>
    <w:rsid w:val="00643228"/>
    <w:rsid w:val="00652478"/>
    <w:rsid w:val="006524FA"/>
    <w:rsid w:val="0065694F"/>
    <w:rsid w:val="00663451"/>
    <w:rsid w:val="006825A2"/>
    <w:rsid w:val="00685B6A"/>
    <w:rsid w:val="00691484"/>
    <w:rsid w:val="0069545B"/>
    <w:rsid w:val="006B3164"/>
    <w:rsid w:val="006B578B"/>
    <w:rsid w:val="006C2E9D"/>
    <w:rsid w:val="006E3F52"/>
    <w:rsid w:val="0071575F"/>
    <w:rsid w:val="00725DD8"/>
    <w:rsid w:val="0074321A"/>
    <w:rsid w:val="00744983"/>
    <w:rsid w:val="00746764"/>
    <w:rsid w:val="00760500"/>
    <w:rsid w:val="00761165"/>
    <w:rsid w:val="007639C1"/>
    <w:rsid w:val="007763C8"/>
    <w:rsid w:val="0077658E"/>
    <w:rsid w:val="00781C5C"/>
    <w:rsid w:val="00786BFE"/>
    <w:rsid w:val="007919FC"/>
    <w:rsid w:val="00791E86"/>
    <w:rsid w:val="00792117"/>
    <w:rsid w:val="00793106"/>
    <w:rsid w:val="007A19BF"/>
    <w:rsid w:val="007A5060"/>
    <w:rsid w:val="007A6AC2"/>
    <w:rsid w:val="007B0DF6"/>
    <w:rsid w:val="007B2B8E"/>
    <w:rsid w:val="007B43A0"/>
    <w:rsid w:val="007B5458"/>
    <w:rsid w:val="007D7E51"/>
    <w:rsid w:val="007F3493"/>
    <w:rsid w:val="007F6979"/>
    <w:rsid w:val="00802834"/>
    <w:rsid w:val="00803557"/>
    <w:rsid w:val="00804BF6"/>
    <w:rsid w:val="00806C60"/>
    <w:rsid w:val="0082524C"/>
    <w:rsid w:val="00841FD9"/>
    <w:rsid w:val="00843027"/>
    <w:rsid w:val="008452D7"/>
    <w:rsid w:val="0084684E"/>
    <w:rsid w:val="00847620"/>
    <w:rsid w:val="00847F29"/>
    <w:rsid w:val="00850858"/>
    <w:rsid w:val="00856C07"/>
    <w:rsid w:val="00866E05"/>
    <w:rsid w:val="0086710F"/>
    <w:rsid w:val="00877853"/>
    <w:rsid w:val="00885773"/>
    <w:rsid w:val="008A5434"/>
    <w:rsid w:val="008B1A97"/>
    <w:rsid w:val="008B1E2C"/>
    <w:rsid w:val="008B3080"/>
    <w:rsid w:val="008C0F99"/>
    <w:rsid w:val="008D1833"/>
    <w:rsid w:val="008E0E20"/>
    <w:rsid w:val="008E19FB"/>
    <w:rsid w:val="008E6831"/>
    <w:rsid w:val="008E7AE3"/>
    <w:rsid w:val="008F0A42"/>
    <w:rsid w:val="008F64A5"/>
    <w:rsid w:val="009021CB"/>
    <w:rsid w:val="00903304"/>
    <w:rsid w:val="00905F4C"/>
    <w:rsid w:val="009124C7"/>
    <w:rsid w:val="009155AD"/>
    <w:rsid w:val="00920AFE"/>
    <w:rsid w:val="00924D39"/>
    <w:rsid w:val="0093006E"/>
    <w:rsid w:val="0093163C"/>
    <w:rsid w:val="0093614C"/>
    <w:rsid w:val="00963C41"/>
    <w:rsid w:val="0096670A"/>
    <w:rsid w:val="00973119"/>
    <w:rsid w:val="00973194"/>
    <w:rsid w:val="00975149"/>
    <w:rsid w:val="009762C3"/>
    <w:rsid w:val="00982CC2"/>
    <w:rsid w:val="00986317"/>
    <w:rsid w:val="00990A44"/>
    <w:rsid w:val="009919A4"/>
    <w:rsid w:val="00993000"/>
    <w:rsid w:val="009A4CA4"/>
    <w:rsid w:val="009D19F0"/>
    <w:rsid w:val="009D4995"/>
    <w:rsid w:val="009D6B61"/>
    <w:rsid w:val="009D7394"/>
    <w:rsid w:val="009E325F"/>
    <w:rsid w:val="00A00D32"/>
    <w:rsid w:val="00A043D3"/>
    <w:rsid w:val="00A05FAE"/>
    <w:rsid w:val="00A07C63"/>
    <w:rsid w:val="00A168FC"/>
    <w:rsid w:val="00A17144"/>
    <w:rsid w:val="00A20485"/>
    <w:rsid w:val="00A26AE0"/>
    <w:rsid w:val="00A34AF8"/>
    <w:rsid w:val="00A40E12"/>
    <w:rsid w:val="00A42753"/>
    <w:rsid w:val="00A43DCB"/>
    <w:rsid w:val="00A45275"/>
    <w:rsid w:val="00A45754"/>
    <w:rsid w:val="00A516A7"/>
    <w:rsid w:val="00A57C78"/>
    <w:rsid w:val="00A63CD2"/>
    <w:rsid w:val="00A74736"/>
    <w:rsid w:val="00A80D27"/>
    <w:rsid w:val="00A8139A"/>
    <w:rsid w:val="00A86579"/>
    <w:rsid w:val="00A93192"/>
    <w:rsid w:val="00A9649C"/>
    <w:rsid w:val="00AB0FD7"/>
    <w:rsid w:val="00AB11C9"/>
    <w:rsid w:val="00AB2023"/>
    <w:rsid w:val="00AB6AF2"/>
    <w:rsid w:val="00AB7D44"/>
    <w:rsid w:val="00AC25F8"/>
    <w:rsid w:val="00AC3458"/>
    <w:rsid w:val="00AC3C09"/>
    <w:rsid w:val="00AC3DB5"/>
    <w:rsid w:val="00AC7C7D"/>
    <w:rsid w:val="00AD123E"/>
    <w:rsid w:val="00AD233B"/>
    <w:rsid w:val="00AD3147"/>
    <w:rsid w:val="00AE4D3D"/>
    <w:rsid w:val="00AE5694"/>
    <w:rsid w:val="00AE5746"/>
    <w:rsid w:val="00AE6D89"/>
    <w:rsid w:val="00B12BF4"/>
    <w:rsid w:val="00B152DD"/>
    <w:rsid w:val="00B17936"/>
    <w:rsid w:val="00B209C1"/>
    <w:rsid w:val="00B43353"/>
    <w:rsid w:val="00B457A9"/>
    <w:rsid w:val="00B526B5"/>
    <w:rsid w:val="00B7153F"/>
    <w:rsid w:val="00B74338"/>
    <w:rsid w:val="00B81837"/>
    <w:rsid w:val="00B83683"/>
    <w:rsid w:val="00B953AB"/>
    <w:rsid w:val="00BA3BD6"/>
    <w:rsid w:val="00BA5F7F"/>
    <w:rsid w:val="00BB2CC3"/>
    <w:rsid w:val="00BB2FAB"/>
    <w:rsid w:val="00BB6BA4"/>
    <w:rsid w:val="00BB6DE2"/>
    <w:rsid w:val="00BE06E4"/>
    <w:rsid w:val="00BE33A8"/>
    <w:rsid w:val="00C003E0"/>
    <w:rsid w:val="00C12C9C"/>
    <w:rsid w:val="00C130A9"/>
    <w:rsid w:val="00C24EDF"/>
    <w:rsid w:val="00C25F4D"/>
    <w:rsid w:val="00C27FDD"/>
    <w:rsid w:val="00C326F9"/>
    <w:rsid w:val="00C33A5C"/>
    <w:rsid w:val="00C43236"/>
    <w:rsid w:val="00C52430"/>
    <w:rsid w:val="00C557BD"/>
    <w:rsid w:val="00C71894"/>
    <w:rsid w:val="00C736B1"/>
    <w:rsid w:val="00C774B9"/>
    <w:rsid w:val="00C77599"/>
    <w:rsid w:val="00C856D0"/>
    <w:rsid w:val="00C9790B"/>
    <w:rsid w:val="00CC6ABA"/>
    <w:rsid w:val="00CD2663"/>
    <w:rsid w:val="00CD2C00"/>
    <w:rsid w:val="00CD392B"/>
    <w:rsid w:val="00CD48A9"/>
    <w:rsid w:val="00CD7008"/>
    <w:rsid w:val="00CE0C7A"/>
    <w:rsid w:val="00CE20CF"/>
    <w:rsid w:val="00CE4575"/>
    <w:rsid w:val="00CF1910"/>
    <w:rsid w:val="00CF429A"/>
    <w:rsid w:val="00D01DBB"/>
    <w:rsid w:val="00D03E32"/>
    <w:rsid w:val="00D056DD"/>
    <w:rsid w:val="00D16A9E"/>
    <w:rsid w:val="00D319BF"/>
    <w:rsid w:val="00D3334F"/>
    <w:rsid w:val="00D33677"/>
    <w:rsid w:val="00D370D8"/>
    <w:rsid w:val="00D5107C"/>
    <w:rsid w:val="00D55208"/>
    <w:rsid w:val="00D7019F"/>
    <w:rsid w:val="00D70D33"/>
    <w:rsid w:val="00D73996"/>
    <w:rsid w:val="00D73E9F"/>
    <w:rsid w:val="00D74111"/>
    <w:rsid w:val="00D759E9"/>
    <w:rsid w:val="00D85E96"/>
    <w:rsid w:val="00D86ED0"/>
    <w:rsid w:val="00D9135D"/>
    <w:rsid w:val="00D96392"/>
    <w:rsid w:val="00DA45F8"/>
    <w:rsid w:val="00DA5BE2"/>
    <w:rsid w:val="00DB0D3A"/>
    <w:rsid w:val="00DB2420"/>
    <w:rsid w:val="00DB33DD"/>
    <w:rsid w:val="00DC0E37"/>
    <w:rsid w:val="00DC5F16"/>
    <w:rsid w:val="00DD25FA"/>
    <w:rsid w:val="00DD3DC1"/>
    <w:rsid w:val="00DD51FE"/>
    <w:rsid w:val="00DD5E35"/>
    <w:rsid w:val="00DE5907"/>
    <w:rsid w:val="00DE7EBE"/>
    <w:rsid w:val="00DE7F03"/>
    <w:rsid w:val="00DF0F77"/>
    <w:rsid w:val="00DF1088"/>
    <w:rsid w:val="00DF164F"/>
    <w:rsid w:val="00DF2D9B"/>
    <w:rsid w:val="00E01FCC"/>
    <w:rsid w:val="00E1794C"/>
    <w:rsid w:val="00E23C33"/>
    <w:rsid w:val="00E329DE"/>
    <w:rsid w:val="00E370D2"/>
    <w:rsid w:val="00E53741"/>
    <w:rsid w:val="00E56E50"/>
    <w:rsid w:val="00E57FAC"/>
    <w:rsid w:val="00E60AC4"/>
    <w:rsid w:val="00E910A2"/>
    <w:rsid w:val="00E97F5D"/>
    <w:rsid w:val="00EA0C69"/>
    <w:rsid w:val="00EB0941"/>
    <w:rsid w:val="00EC01C4"/>
    <w:rsid w:val="00EC2346"/>
    <w:rsid w:val="00EF5499"/>
    <w:rsid w:val="00F108C0"/>
    <w:rsid w:val="00F15174"/>
    <w:rsid w:val="00F171EB"/>
    <w:rsid w:val="00F20FB8"/>
    <w:rsid w:val="00F347EE"/>
    <w:rsid w:val="00F368CF"/>
    <w:rsid w:val="00F37352"/>
    <w:rsid w:val="00F444AA"/>
    <w:rsid w:val="00F467F1"/>
    <w:rsid w:val="00F471CC"/>
    <w:rsid w:val="00F62947"/>
    <w:rsid w:val="00F6584A"/>
    <w:rsid w:val="00F72EE3"/>
    <w:rsid w:val="00F85FDB"/>
    <w:rsid w:val="00F924E8"/>
    <w:rsid w:val="00FA10BF"/>
    <w:rsid w:val="00FA3DCC"/>
    <w:rsid w:val="00FA5854"/>
    <w:rsid w:val="00FB70A5"/>
    <w:rsid w:val="00FC0246"/>
    <w:rsid w:val="00FC36E7"/>
    <w:rsid w:val="00FC7B67"/>
    <w:rsid w:val="00FD734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schemas-GSKSiteLocations-com/fourthcoffee" w:name="flavor"/>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84A"/>
    <w:pPr>
      <w:spacing w:line="312" w:lineRule="atLeast"/>
    </w:pPr>
    <w:rPr>
      <w:sz w:val="24"/>
      <w:lang w:val="en-GB"/>
    </w:rPr>
  </w:style>
  <w:style w:type="paragraph" w:styleId="Heading1">
    <w:name w:val="heading 1"/>
    <w:basedOn w:val="Text"/>
    <w:next w:val="Text"/>
    <w:qFormat/>
    <w:rsid w:val="00F6584A"/>
    <w:pPr>
      <w:keepNext/>
      <w:keepLines/>
      <w:spacing w:before="240"/>
      <w:jc w:val="center"/>
      <w:outlineLvl w:val="0"/>
    </w:pPr>
    <w:rPr>
      <w:b/>
      <w:sz w:val="32"/>
    </w:rPr>
  </w:style>
  <w:style w:type="paragraph" w:styleId="Heading2">
    <w:name w:val="heading 2"/>
    <w:basedOn w:val="Heading1"/>
    <w:next w:val="Normal"/>
    <w:qFormat/>
    <w:rsid w:val="00F6584A"/>
    <w:pPr>
      <w:jc w:val="left"/>
      <w:outlineLvl w:val="1"/>
    </w:pPr>
    <w:rPr>
      <w:sz w:val="28"/>
    </w:rPr>
  </w:style>
  <w:style w:type="paragraph" w:styleId="Heading3">
    <w:name w:val="heading 3"/>
    <w:basedOn w:val="Text"/>
    <w:next w:val="Text"/>
    <w:qFormat/>
    <w:rsid w:val="00F6584A"/>
    <w:pPr>
      <w:keepNext/>
      <w:keepLines/>
      <w:ind w:left="360"/>
      <w:outlineLvl w:val="2"/>
    </w:pPr>
    <w:rPr>
      <w:b/>
    </w:rPr>
  </w:style>
  <w:style w:type="paragraph" w:styleId="Heading4">
    <w:name w:val="heading 4"/>
    <w:basedOn w:val="Heading3"/>
    <w:next w:val="Normal"/>
    <w:qFormat/>
    <w:rsid w:val="00F6584A"/>
    <w:pPr>
      <w:outlineLvl w:val="3"/>
    </w:pPr>
    <w:rPr>
      <w:i/>
    </w:rPr>
  </w:style>
  <w:style w:type="paragraph" w:styleId="Heading5">
    <w:name w:val="heading 5"/>
    <w:aliases w:val=" DO NOT USE,DO NOT USE"/>
    <w:basedOn w:val="Heading3"/>
    <w:next w:val="Normal"/>
    <w:qFormat/>
    <w:rsid w:val="00F6584A"/>
    <w:pPr>
      <w:outlineLvl w:val="4"/>
    </w:pPr>
    <w:rPr>
      <w:i/>
    </w:rPr>
  </w:style>
  <w:style w:type="paragraph" w:styleId="Heading6">
    <w:name w:val="heading 6"/>
    <w:basedOn w:val="Heading3"/>
    <w:next w:val="Normal"/>
    <w:qFormat/>
    <w:rsid w:val="00F6584A"/>
    <w:pPr>
      <w:outlineLvl w:val="5"/>
    </w:pPr>
    <w:rPr>
      <w:i/>
    </w:rPr>
  </w:style>
  <w:style w:type="paragraph" w:styleId="Heading7">
    <w:name w:val="heading 7"/>
    <w:basedOn w:val="Heading3"/>
    <w:next w:val="Normal"/>
    <w:qFormat/>
    <w:rsid w:val="00F6584A"/>
    <w:pPr>
      <w:outlineLvl w:val="6"/>
    </w:pPr>
    <w:rPr>
      <w:i/>
    </w:rPr>
  </w:style>
  <w:style w:type="paragraph" w:styleId="Heading8">
    <w:name w:val="heading 8"/>
    <w:basedOn w:val="Heading3"/>
    <w:next w:val="Normal"/>
    <w:qFormat/>
    <w:rsid w:val="00F6584A"/>
    <w:pPr>
      <w:outlineLvl w:val="7"/>
    </w:pPr>
    <w:rPr>
      <w:i/>
    </w:rPr>
  </w:style>
  <w:style w:type="paragraph" w:styleId="Heading9">
    <w:name w:val="heading 9"/>
    <w:basedOn w:val="Heading3"/>
    <w:next w:val="Normal"/>
    <w:qFormat/>
    <w:rsid w:val="00F6584A"/>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aliases w:val="Graphic"/>
    <w:basedOn w:val="Normal"/>
    <w:rsid w:val="00F6584A"/>
    <w:pPr>
      <w:spacing w:after="240"/>
    </w:pPr>
  </w:style>
  <w:style w:type="paragraph" w:styleId="Caption">
    <w:name w:val="caption"/>
    <w:basedOn w:val="Text"/>
    <w:next w:val="Text"/>
    <w:link w:val="CaptionChar"/>
    <w:qFormat/>
    <w:rsid w:val="00F6584A"/>
    <w:pPr>
      <w:keepLines/>
      <w:jc w:val="center"/>
    </w:pPr>
    <w:rPr>
      <w:i/>
    </w:rPr>
  </w:style>
  <w:style w:type="paragraph" w:styleId="DocumentMap">
    <w:name w:val="Document Map"/>
    <w:basedOn w:val="Normal"/>
    <w:semiHidden/>
    <w:rsid w:val="00F6584A"/>
    <w:pPr>
      <w:shd w:val="clear" w:color="auto" w:fill="000080"/>
    </w:pPr>
  </w:style>
  <w:style w:type="character" w:styleId="EndnoteReference">
    <w:name w:val="endnote reference"/>
    <w:basedOn w:val="DefaultParagraphFont"/>
    <w:semiHidden/>
    <w:rsid w:val="00F6584A"/>
    <w:rPr>
      <w:position w:val="6"/>
      <w:vertAlign w:val="baseline"/>
    </w:rPr>
  </w:style>
  <w:style w:type="character" w:styleId="FootnoteReference">
    <w:name w:val="footnote reference"/>
    <w:basedOn w:val="DefaultParagraphFont"/>
    <w:semiHidden/>
    <w:rsid w:val="00F6584A"/>
    <w:rPr>
      <w:position w:val="6"/>
      <w:vertAlign w:val="baseline"/>
    </w:rPr>
  </w:style>
  <w:style w:type="paragraph" w:styleId="Header">
    <w:name w:val="header"/>
    <w:basedOn w:val="Normal"/>
    <w:rsid w:val="00F6584A"/>
    <w:pPr>
      <w:tabs>
        <w:tab w:val="right" w:pos="8309"/>
      </w:tabs>
      <w:jc w:val="center"/>
    </w:pPr>
    <w:rPr>
      <w:i/>
    </w:rPr>
  </w:style>
  <w:style w:type="paragraph" w:styleId="NormalIndent">
    <w:name w:val="Normal Indent"/>
    <w:basedOn w:val="Text"/>
    <w:rsid w:val="00F6584A"/>
    <w:pPr>
      <w:ind w:left="720" w:right="720"/>
    </w:pPr>
  </w:style>
  <w:style w:type="paragraph" w:styleId="TOC1">
    <w:name w:val="toc 1"/>
    <w:basedOn w:val="Normal"/>
    <w:next w:val="Normal"/>
    <w:autoRedefine/>
    <w:semiHidden/>
    <w:rsid w:val="00F6584A"/>
    <w:pPr>
      <w:tabs>
        <w:tab w:val="left" w:leader="dot" w:pos="7560"/>
        <w:tab w:val="right" w:pos="7920"/>
      </w:tabs>
      <w:ind w:right="720"/>
    </w:pPr>
  </w:style>
  <w:style w:type="paragraph" w:styleId="TOC2">
    <w:name w:val="toc 2"/>
    <w:basedOn w:val="Normal"/>
    <w:next w:val="Normal"/>
    <w:autoRedefine/>
    <w:semiHidden/>
    <w:rsid w:val="00F6584A"/>
    <w:pPr>
      <w:tabs>
        <w:tab w:val="left" w:leader="dot" w:pos="7560"/>
        <w:tab w:val="right" w:pos="7920"/>
      </w:tabs>
      <w:ind w:left="720" w:right="720"/>
    </w:pPr>
  </w:style>
  <w:style w:type="paragraph" w:styleId="TOC3">
    <w:name w:val="toc 3"/>
    <w:basedOn w:val="Normal"/>
    <w:next w:val="Normal"/>
    <w:autoRedefine/>
    <w:semiHidden/>
    <w:rsid w:val="00F6584A"/>
    <w:pPr>
      <w:tabs>
        <w:tab w:val="left" w:leader="dot" w:pos="7560"/>
        <w:tab w:val="right" w:pos="7920"/>
      </w:tabs>
      <w:ind w:left="1440" w:right="720"/>
    </w:pPr>
  </w:style>
  <w:style w:type="paragraph" w:styleId="TOC4">
    <w:name w:val="toc 4"/>
    <w:basedOn w:val="TOC3"/>
    <w:next w:val="Normal"/>
    <w:autoRedefine/>
    <w:semiHidden/>
    <w:rsid w:val="00F6584A"/>
  </w:style>
  <w:style w:type="paragraph" w:styleId="TOC5">
    <w:name w:val="toc 5"/>
    <w:basedOn w:val="TOC3"/>
    <w:next w:val="Normal"/>
    <w:autoRedefine/>
    <w:semiHidden/>
    <w:rsid w:val="00F6584A"/>
  </w:style>
  <w:style w:type="paragraph" w:styleId="TOC6">
    <w:name w:val="toc 6"/>
    <w:basedOn w:val="TOC3"/>
    <w:next w:val="Normal"/>
    <w:autoRedefine/>
    <w:semiHidden/>
    <w:rsid w:val="00F6584A"/>
  </w:style>
  <w:style w:type="paragraph" w:styleId="TOC7">
    <w:name w:val="toc 7"/>
    <w:basedOn w:val="TOC3"/>
    <w:next w:val="Normal"/>
    <w:autoRedefine/>
    <w:semiHidden/>
    <w:rsid w:val="00F6584A"/>
  </w:style>
  <w:style w:type="paragraph" w:styleId="TOC8">
    <w:name w:val="toc 8"/>
    <w:basedOn w:val="TOC3"/>
    <w:next w:val="Normal"/>
    <w:autoRedefine/>
    <w:semiHidden/>
    <w:rsid w:val="00F6584A"/>
  </w:style>
  <w:style w:type="paragraph" w:styleId="TOC9">
    <w:name w:val="toc 9"/>
    <w:basedOn w:val="TOC3"/>
    <w:next w:val="Normal"/>
    <w:autoRedefine/>
    <w:semiHidden/>
    <w:rsid w:val="00F6584A"/>
  </w:style>
  <w:style w:type="paragraph" w:customStyle="1" w:styleId="Para">
    <w:name w:val="Para"/>
    <w:basedOn w:val="Normal"/>
    <w:rsid w:val="00F6584A"/>
    <w:pPr>
      <w:spacing w:line="240" w:lineRule="auto"/>
    </w:pPr>
  </w:style>
  <w:style w:type="paragraph" w:customStyle="1" w:styleId="TBLPara10N">
    <w:name w:val="TBL_Para10N"/>
    <w:basedOn w:val="Para"/>
    <w:rsid w:val="00F6584A"/>
    <w:rPr>
      <w:sz w:val="20"/>
    </w:rPr>
  </w:style>
  <w:style w:type="character" w:customStyle="1" w:styleId="empbold">
    <w:name w:val="emp_bold"/>
    <w:basedOn w:val="DefaultParagraphFont"/>
    <w:rsid w:val="00F6584A"/>
    <w:rPr>
      <w:b/>
    </w:rPr>
  </w:style>
  <w:style w:type="character" w:customStyle="1" w:styleId="empitalic">
    <w:name w:val="emp_italic"/>
    <w:basedOn w:val="DefaultParagraphFont"/>
    <w:rsid w:val="00F6584A"/>
    <w:rPr>
      <w:i/>
    </w:rPr>
  </w:style>
  <w:style w:type="paragraph" w:customStyle="1" w:styleId="TableHeading">
    <w:name w:val="TableHeading"/>
    <w:basedOn w:val="Normal"/>
    <w:next w:val="Para"/>
    <w:rsid w:val="00F6584A"/>
    <w:pPr>
      <w:spacing w:before="240" w:after="240" w:line="312" w:lineRule="exact"/>
      <w:jc w:val="center"/>
    </w:pPr>
    <w:rPr>
      <w:rFonts w:ascii="Times" w:hAnsi="Times"/>
      <w:b/>
      <w:lang w:val="en-US"/>
    </w:rPr>
  </w:style>
  <w:style w:type="paragraph" w:styleId="BodyText">
    <w:name w:val="Body Text"/>
    <w:basedOn w:val="Normal"/>
    <w:rsid w:val="00F6584A"/>
    <w:rPr>
      <w:b/>
    </w:rPr>
  </w:style>
  <w:style w:type="character" w:customStyle="1" w:styleId="hdgtitle">
    <w:name w:val="hdg_title"/>
    <w:basedOn w:val="DefaultParagraphFont"/>
    <w:rsid w:val="00F6584A"/>
  </w:style>
  <w:style w:type="character" w:customStyle="1" w:styleId="hdgprefix">
    <w:name w:val="hdg_prefix"/>
    <w:basedOn w:val="DefaultParagraphFont"/>
    <w:rsid w:val="00F6584A"/>
  </w:style>
  <w:style w:type="paragraph" w:styleId="BodyText2">
    <w:name w:val="Body Text 2"/>
    <w:basedOn w:val="Normal"/>
    <w:rsid w:val="00F6584A"/>
    <w:pPr>
      <w:spacing w:line="240" w:lineRule="atLeast"/>
    </w:pPr>
    <w:rPr>
      <w:b/>
      <w:u w:val="double"/>
      <w:lang w:val="en-US"/>
    </w:rPr>
  </w:style>
  <w:style w:type="character" w:customStyle="1" w:styleId="empbolditalic">
    <w:name w:val="emp_bolditalic"/>
    <w:basedOn w:val="DefaultParagraphFont"/>
    <w:rsid w:val="00F6584A"/>
    <w:rPr>
      <w:b/>
      <w:i/>
    </w:rPr>
  </w:style>
  <w:style w:type="character" w:customStyle="1" w:styleId="LBLLevel2">
    <w:name w:val="LBLLevel 2"/>
    <w:basedOn w:val="DefaultParagraphFont"/>
    <w:rsid w:val="00F6584A"/>
    <w:rPr>
      <w:rFonts w:ascii="Arial" w:hAnsi="Arial"/>
      <w:b/>
      <w:sz w:val="24"/>
    </w:rPr>
  </w:style>
  <w:style w:type="character" w:customStyle="1" w:styleId="LBLLevel3">
    <w:name w:val="LBLLevel 3"/>
    <w:basedOn w:val="LBLLevel2"/>
    <w:rsid w:val="00F6584A"/>
    <w:rPr>
      <w:rFonts w:ascii="Times New Roman" w:hAnsi="Times New Roman"/>
    </w:rPr>
  </w:style>
  <w:style w:type="paragraph" w:customStyle="1" w:styleId="TPGtitle">
    <w:name w:val="TPG_title"/>
    <w:basedOn w:val="Para"/>
    <w:next w:val="Para"/>
    <w:rsid w:val="00F6584A"/>
    <w:pPr>
      <w:spacing w:after="240" w:line="312" w:lineRule="atLeast"/>
      <w:jc w:val="center"/>
    </w:pPr>
    <w:rPr>
      <w:b/>
      <w:lang w:val="en-US"/>
    </w:rPr>
  </w:style>
  <w:style w:type="paragraph" w:styleId="BodyTextIndent">
    <w:name w:val="Body Text Indent"/>
    <w:basedOn w:val="Normal"/>
    <w:rsid w:val="00F6584A"/>
    <w:pPr>
      <w:ind w:left="720"/>
    </w:pPr>
    <w:rPr>
      <w:lang w:val="en-US"/>
    </w:rPr>
  </w:style>
  <w:style w:type="character" w:styleId="PageNumber">
    <w:name w:val="page number"/>
    <w:basedOn w:val="DefaultParagraphFont"/>
    <w:rsid w:val="00F6584A"/>
  </w:style>
  <w:style w:type="paragraph" w:styleId="Footer">
    <w:name w:val="footer"/>
    <w:basedOn w:val="Normal"/>
    <w:rsid w:val="00F6584A"/>
    <w:pPr>
      <w:tabs>
        <w:tab w:val="center" w:pos="4153"/>
        <w:tab w:val="right" w:pos="8306"/>
      </w:tabs>
    </w:pPr>
  </w:style>
  <w:style w:type="paragraph" w:customStyle="1" w:styleId="captiontable">
    <w:name w:val="caption:table"/>
    <w:basedOn w:val="Normal"/>
    <w:next w:val="tabletext"/>
    <w:rsid w:val="00F6584A"/>
    <w:pPr>
      <w:keepNext/>
      <w:spacing w:after="240" w:line="240" w:lineRule="auto"/>
      <w:ind w:left="1440" w:hanging="1440"/>
    </w:pPr>
    <w:rPr>
      <w:rFonts w:ascii="Arial" w:hAnsi="Arial"/>
      <w:b/>
      <w:sz w:val="22"/>
      <w:lang w:eastAsia="en-US"/>
    </w:rPr>
  </w:style>
  <w:style w:type="paragraph" w:customStyle="1" w:styleId="tabletext">
    <w:name w:val="table:text"/>
    <w:basedOn w:val="Normal"/>
    <w:rsid w:val="00F6584A"/>
    <w:pPr>
      <w:spacing w:before="120" w:after="120" w:line="240" w:lineRule="auto"/>
    </w:pPr>
    <w:rPr>
      <w:rFonts w:ascii="Arial Narrow" w:hAnsi="Arial Narrow"/>
      <w:lang w:eastAsia="en-US"/>
    </w:rPr>
  </w:style>
  <w:style w:type="paragraph" w:customStyle="1" w:styleId="listbull">
    <w:name w:val="list:bull"/>
    <w:basedOn w:val="listalpha"/>
    <w:link w:val="listbullChar"/>
    <w:rsid w:val="00F6584A"/>
    <w:pPr>
      <w:numPr>
        <w:numId w:val="4"/>
      </w:numPr>
      <w:tabs>
        <w:tab w:val="clear" w:pos="432"/>
      </w:tabs>
    </w:pPr>
  </w:style>
  <w:style w:type="paragraph" w:customStyle="1" w:styleId="listalpha">
    <w:name w:val="list:alpha"/>
    <w:basedOn w:val="Normal"/>
    <w:rsid w:val="00F6584A"/>
    <w:pPr>
      <w:spacing w:after="120" w:line="240" w:lineRule="auto"/>
      <w:ind w:left="432" w:hanging="432"/>
    </w:pPr>
  </w:style>
  <w:style w:type="paragraph" w:customStyle="1" w:styleId="listindentbull">
    <w:name w:val="list:indent bull"/>
    <w:rsid w:val="00F6584A"/>
    <w:pPr>
      <w:numPr>
        <w:numId w:val="5"/>
      </w:numPr>
      <w:spacing w:after="120"/>
    </w:pPr>
    <w:rPr>
      <w:sz w:val="24"/>
      <w:lang w:val="en-GB"/>
    </w:rPr>
  </w:style>
  <w:style w:type="paragraph" w:customStyle="1" w:styleId="TBLPara8N">
    <w:name w:val="TBL_Para8N"/>
    <w:basedOn w:val="Normal"/>
    <w:rsid w:val="00F6584A"/>
    <w:pPr>
      <w:spacing w:line="240" w:lineRule="auto"/>
    </w:pPr>
    <w:rPr>
      <w:rFonts w:ascii="Times" w:hAnsi="Times"/>
      <w:sz w:val="16"/>
      <w:lang w:val="en-US"/>
    </w:rPr>
  </w:style>
  <w:style w:type="character" w:customStyle="1" w:styleId="hdgtccodes">
    <w:name w:val="hdg_tccodes"/>
    <w:basedOn w:val="DefaultParagraphFont"/>
    <w:rsid w:val="00F6584A"/>
  </w:style>
  <w:style w:type="character" w:customStyle="1" w:styleId="hdgautonum">
    <w:name w:val="hdg_autonum"/>
    <w:basedOn w:val="DefaultParagraphFont"/>
    <w:rsid w:val="00F6584A"/>
  </w:style>
  <w:style w:type="paragraph" w:customStyle="1" w:styleId="TBLPara8">
    <w:name w:val="TBL_Para8"/>
    <w:basedOn w:val="Normal"/>
    <w:rsid w:val="00F6584A"/>
    <w:pPr>
      <w:spacing w:after="160" w:line="208" w:lineRule="atLeast"/>
    </w:pPr>
    <w:rPr>
      <w:sz w:val="16"/>
      <w:lang w:val="en-US"/>
    </w:rPr>
  </w:style>
  <w:style w:type="character" w:customStyle="1" w:styleId="xrfxref">
    <w:name w:val="xrf_xref"/>
    <w:basedOn w:val="DefaultParagraphFont"/>
    <w:rsid w:val="00F6584A"/>
    <w:rPr>
      <w:color w:val="auto"/>
    </w:rPr>
  </w:style>
  <w:style w:type="paragraph" w:styleId="BalloonText">
    <w:name w:val="Balloon Text"/>
    <w:basedOn w:val="Normal"/>
    <w:semiHidden/>
    <w:rsid w:val="00F6584A"/>
    <w:rPr>
      <w:rFonts w:ascii="Tahoma" w:hAnsi="Tahoma" w:cs="Tahoma"/>
      <w:sz w:val="16"/>
      <w:szCs w:val="16"/>
    </w:rPr>
  </w:style>
  <w:style w:type="character" w:customStyle="1" w:styleId="CSIchar">
    <w:name w:val="CSIchar"/>
    <w:basedOn w:val="DefaultParagraphFont"/>
    <w:rsid w:val="00F6584A"/>
    <w:rPr>
      <w:bdr w:val="none" w:sz="0" w:space="0" w:color="auto"/>
      <w:shd w:val="clear" w:color="auto" w:fill="CCCCCC"/>
    </w:rPr>
  </w:style>
  <w:style w:type="character" w:customStyle="1" w:styleId="DeltaViewDeletion">
    <w:name w:val="DeltaView Deletion"/>
    <w:rsid w:val="00F6584A"/>
    <w:rPr>
      <w:b/>
      <w:bCs/>
      <w:strike/>
      <w:color w:val="0000FF"/>
      <w:spacing w:val="0"/>
    </w:rPr>
  </w:style>
  <w:style w:type="character" w:customStyle="1" w:styleId="DeltaViewInsertion">
    <w:name w:val="DeltaView Insertion"/>
    <w:rsid w:val="00F6584A"/>
    <w:rPr>
      <w:b/>
      <w:bCs/>
      <w:i/>
      <w:iCs/>
      <w:color w:val="FF0000"/>
      <w:spacing w:val="0"/>
    </w:rPr>
  </w:style>
  <w:style w:type="paragraph" w:customStyle="1" w:styleId="ListEnd">
    <w:name w:val="List End"/>
    <w:basedOn w:val="Normal"/>
    <w:autoRedefine/>
    <w:rsid w:val="00F6584A"/>
    <w:pPr>
      <w:shd w:val="clear" w:color="000000" w:fill="FFFFFF"/>
      <w:autoSpaceDE w:val="0"/>
      <w:autoSpaceDN w:val="0"/>
      <w:adjustRightInd w:val="0"/>
      <w:spacing w:line="240" w:lineRule="auto"/>
    </w:pPr>
    <w:rPr>
      <w:szCs w:val="24"/>
      <w:lang w:eastAsia="en-GB"/>
    </w:rPr>
  </w:style>
  <w:style w:type="paragraph" w:customStyle="1" w:styleId="listdashnospace">
    <w:name w:val="list:dashnospace"/>
    <w:basedOn w:val="listalpha"/>
    <w:rsid w:val="00F6584A"/>
    <w:pPr>
      <w:numPr>
        <w:numId w:val="25"/>
      </w:numPr>
      <w:autoSpaceDE w:val="0"/>
      <w:autoSpaceDN w:val="0"/>
      <w:adjustRightInd w:val="0"/>
      <w:spacing w:after="0"/>
    </w:pPr>
    <w:rPr>
      <w:szCs w:val="24"/>
      <w:lang w:eastAsia="en-GB"/>
    </w:rPr>
  </w:style>
  <w:style w:type="paragraph" w:customStyle="1" w:styleId="NoNumHead3">
    <w:name w:val="NoNum:Head3"/>
    <w:basedOn w:val="Normal"/>
    <w:next w:val="Normal"/>
    <w:autoRedefine/>
    <w:rsid w:val="00F6584A"/>
    <w:pPr>
      <w:keepNext/>
      <w:autoSpaceDE w:val="0"/>
      <w:autoSpaceDN w:val="0"/>
      <w:adjustRightInd w:val="0"/>
      <w:spacing w:before="120" w:after="240" w:line="240" w:lineRule="auto"/>
      <w:outlineLvl w:val="0"/>
    </w:pPr>
    <w:rPr>
      <w:rFonts w:ascii="Arial" w:hAnsi="Arial" w:cs="Arial"/>
      <w:b/>
      <w:bCs/>
      <w:sz w:val="22"/>
      <w:szCs w:val="22"/>
      <w:lang w:eastAsia="en-GB"/>
    </w:rPr>
  </w:style>
  <w:style w:type="paragraph" w:customStyle="1" w:styleId="Postspace">
    <w:name w:val="Postspace"/>
    <w:basedOn w:val="Normal"/>
    <w:autoRedefine/>
    <w:rsid w:val="00C9790B"/>
    <w:pPr>
      <w:autoSpaceDE w:val="0"/>
      <w:autoSpaceDN w:val="0"/>
      <w:adjustRightInd w:val="0"/>
      <w:jc w:val="both"/>
    </w:pPr>
    <w:rPr>
      <w:rFonts w:ascii="Arial" w:hAnsi="Arial" w:cs="Arial"/>
      <w:sz w:val="22"/>
      <w:szCs w:val="22"/>
      <w:lang w:eastAsia="en-GB"/>
    </w:rPr>
  </w:style>
  <w:style w:type="paragraph" w:customStyle="1" w:styleId="anchor">
    <w:name w:val="anchor"/>
    <w:basedOn w:val="Normal"/>
    <w:autoRedefine/>
    <w:rsid w:val="00F6584A"/>
    <w:pPr>
      <w:autoSpaceDE w:val="0"/>
      <w:autoSpaceDN w:val="0"/>
      <w:adjustRightInd w:val="0"/>
      <w:spacing w:line="240" w:lineRule="auto"/>
    </w:pPr>
    <w:rPr>
      <w:szCs w:val="24"/>
      <w:lang w:eastAsia="en-GB"/>
    </w:rPr>
  </w:style>
  <w:style w:type="character" w:styleId="CommentReference">
    <w:name w:val="annotation reference"/>
    <w:basedOn w:val="DefaultParagraphFont"/>
    <w:semiHidden/>
    <w:rsid w:val="00F6584A"/>
    <w:rPr>
      <w:sz w:val="16"/>
      <w:szCs w:val="16"/>
    </w:rPr>
  </w:style>
  <w:style w:type="paragraph" w:styleId="CommentText">
    <w:name w:val="annotation text"/>
    <w:basedOn w:val="Normal"/>
    <w:semiHidden/>
    <w:rsid w:val="00F6584A"/>
    <w:rPr>
      <w:sz w:val="20"/>
    </w:rPr>
  </w:style>
  <w:style w:type="paragraph" w:styleId="CommentSubject">
    <w:name w:val="annotation subject"/>
    <w:basedOn w:val="CommentText"/>
    <w:next w:val="CommentText"/>
    <w:semiHidden/>
    <w:rsid w:val="00F6584A"/>
    <w:rPr>
      <w:b/>
      <w:bCs/>
    </w:rPr>
  </w:style>
  <w:style w:type="paragraph" w:styleId="List">
    <w:name w:val="List"/>
    <w:basedOn w:val="Normal"/>
    <w:rsid w:val="00F6584A"/>
    <w:pPr>
      <w:shd w:val="clear" w:color="000000" w:fill="FFFFFF"/>
      <w:spacing w:line="240" w:lineRule="auto"/>
      <w:ind w:left="360" w:hanging="360"/>
    </w:pPr>
    <w:rPr>
      <w:color w:val="000000"/>
      <w:lang w:eastAsia="en-US"/>
    </w:rPr>
  </w:style>
  <w:style w:type="paragraph" w:customStyle="1" w:styleId="Default">
    <w:name w:val="Default"/>
    <w:rsid w:val="00F6584A"/>
    <w:pPr>
      <w:autoSpaceDE w:val="0"/>
      <w:autoSpaceDN w:val="0"/>
      <w:adjustRightInd w:val="0"/>
    </w:pPr>
    <w:rPr>
      <w:rFonts w:ascii="FNDANC+TimesNewRoman,Bold" w:hAnsi="FNDANC+TimesNewRoman,Bold" w:cs="FNDANC+TimesNewRoman,Bold"/>
      <w:color w:val="000000"/>
      <w:sz w:val="24"/>
      <w:szCs w:val="24"/>
    </w:rPr>
  </w:style>
  <w:style w:type="table" w:styleId="TableGrid">
    <w:name w:val="Table Grid"/>
    <w:basedOn w:val="TableNormal"/>
    <w:rsid w:val="00F6584A"/>
    <w:pPr>
      <w:spacing w:line="312"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AE5746"/>
    <w:rPr>
      <w:color w:val="606420"/>
      <w:u w:val="single"/>
    </w:rPr>
  </w:style>
  <w:style w:type="paragraph" w:styleId="Title">
    <w:name w:val="Title"/>
    <w:basedOn w:val="Normal"/>
    <w:qFormat/>
    <w:rsid w:val="009155AD"/>
    <w:pPr>
      <w:pBdr>
        <w:top w:val="single" w:sz="18" w:space="1" w:color="FF0000"/>
        <w:bottom w:val="single" w:sz="18" w:space="1" w:color="FF0000"/>
      </w:pBdr>
      <w:autoSpaceDE w:val="0"/>
      <w:autoSpaceDN w:val="0"/>
      <w:spacing w:line="240" w:lineRule="auto"/>
      <w:jc w:val="center"/>
    </w:pPr>
    <w:rPr>
      <w:rFonts w:ascii="Arial" w:hAnsi="Arial" w:cs="Arial"/>
      <w:b/>
      <w:bCs/>
      <w:i/>
      <w:iCs/>
      <w:color w:val="FF0000"/>
      <w:sz w:val="36"/>
      <w:szCs w:val="36"/>
    </w:rPr>
  </w:style>
  <w:style w:type="paragraph" w:styleId="BlockText">
    <w:name w:val="Block Text"/>
    <w:basedOn w:val="Normal"/>
    <w:rsid w:val="0071575F"/>
    <w:pPr>
      <w:shd w:val="clear" w:color="000000" w:fill="FFFFFF"/>
      <w:spacing w:after="120" w:line="240" w:lineRule="auto"/>
      <w:ind w:left="1440" w:right="1440"/>
    </w:pPr>
    <w:rPr>
      <w:color w:val="000000"/>
      <w:lang w:eastAsia="en-US"/>
    </w:rPr>
  </w:style>
  <w:style w:type="paragraph" w:customStyle="1" w:styleId="CharChar1">
    <w:name w:val="Char Char1"/>
    <w:basedOn w:val="Normal"/>
    <w:rsid w:val="008E6831"/>
    <w:pPr>
      <w:spacing w:after="160" w:line="240" w:lineRule="exact"/>
    </w:pPr>
    <w:rPr>
      <w:szCs w:val="24"/>
      <w:lang w:val="en-US" w:eastAsia="en-US"/>
    </w:rPr>
  </w:style>
  <w:style w:type="character" w:customStyle="1" w:styleId="listbullChar">
    <w:name w:val="list:bull Char"/>
    <w:basedOn w:val="DefaultParagraphFont"/>
    <w:link w:val="listbull"/>
    <w:rsid w:val="008E6831"/>
    <w:rPr>
      <w:sz w:val="24"/>
      <w:lang w:val="en-GB" w:eastAsia="en-AU" w:bidi="ar-SA"/>
    </w:rPr>
  </w:style>
  <w:style w:type="character" w:customStyle="1" w:styleId="CaptionChar">
    <w:name w:val="Caption Char"/>
    <w:basedOn w:val="DefaultParagraphFont"/>
    <w:link w:val="Caption"/>
    <w:rsid w:val="002C4A14"/>
    <w:rPr>
      <w:i/>
      <w:sz w:val="24"/>
      <w:lang w:val="en-GB"/>
    </w:rPr>
  </w:style>
  <w:style w:type="character" w:customStyle="1" w:styleId="LBLTableFootnotesChar">
    <w:name w:val="LBL Table Footnotes Char"/>
    <w:basedOn w:val="DefaultParagraphFont"/>
    <w:link w:val="LBLTableFootnotes"/>
    <w:rsid w:val="00AC3C09"/>
    <w:rPr>
      <w:sz w:val="24"/>
      <w:lang w:val="en-US" w:eastAsia="en-US"/>
    </w:rPr>
  </w:style>
  <w:style w:type="paragraph" w:customStyle="1" w:styleId="LBLTableFootnotes">
    <w:name w:val="LBL Table Footnotes"/>
    <w:basedOn w:val="Normal"/>
    <w:link w:val="LBLTableFootnotesChar"/>
    <w:rsid w:val="00AC3C09"/>
    <w:pPr>
      <w:widowControl w:val="0"/>
      <w:tabs>
        <w:tab w:val="left" w:pos="720"/>
        <w:tab w:val="left" w:pos="994"/>
      </w:tabs>
      <w:adjustRightInd w:val="0"/>
      <w:spacing w:line="320" w:lineRule="atLeast"/>
      <w:ind w:left="274" w:hanging="274"/>
      <w:textAlignment w:val="baseline"/>
    </w:pPr>
    <w:rPr>
      <w:lang w:val="en-US" w:eastAsia="en-US"/>
    </w:rPr>
  </w:style>
  <w:style w:type="paragraph" w:customStyle="1" w:styleId="captionfigure">
    <w:name w:val="caption:figure"/>
    <w:basedOn w:val="Normal"/>
    <w:next w:val="Normal"/>
    <w:rsid w:val="00081E96"/>
    <w:pPr>
      <w:keepNext/>
      <w:spacing w:after="240" w:line="240" w:lineRule="auto"/>
      <w:ind w:left="1440" w:hanging="1440"/>
    </w:pPr>
    <w:rPr>
      <w:rFonts w:ascii="Arial" w:hAnsi="Arial" w:cs="Arial"/>
      <w:b/>
      <w:bCs/>
      <w:sz w:val="22"/>
      <w:szCs w:val="22"/>
      <w:lang w:eastAsia="en-US"/>
    </w:rPr>
  </w:style>
</w:styles>
</file>

<file path=word/webSettings.xml><?xml version="1.0" encoding="utf-8"?>
<w:webSettings xmlns:r="http://schemas.openxmlformats.org/officeDocument/2006/relationships" xmlns:w="http://schemas.openxmlformats.org/wordprocessingml/2006/main">
  <w:divs>
    <w:div w:id="597952407">
      <w:bodyDiv w:val="1"/>
      <w:marLeft w:val="0"/>
      <w:marRight w:val="0"/>
      <w:marTop w:val="0"/>
      <w:marBottom w:val="0"/>
      <w:divBdr>
        <w:top w:val="none" w:sz="0" w:space="0" w:color="auto"/>
        <w:left w:val="none" w:sz="0" w:space="0" w:color="auto"/>
        <w:bottom w:val="none" w:sz="0" w:space="0" w:color="auto"/>
        <w:right w:val="none" w:sz="0" w:space="0" w:color="auto"/>
      </w:divBdr>
    </w:div>
    <w:div w:id="1143427520">
      <w:bodyDiv w:val="1"/>
      <w:marLeft w:val="0"/>
      <w:marRight w:val="0"/>
      <w:marTop w:val="0"/>
      <w:marBottom w:val="0"/>
      <w:divBdr>
        <w:top w:val="none" w:sz="0" w:space="0" w:color="auto"/>
        <w:left w:val="none" w:sz="0" w:space="0" w:color="auto"/>
        <w:bottom w:val="none" w:sz="0" w:space="0" w:color="auto"/>
        <w:right w:val="none" w:sz="0" w:space="0" w:color="auto"/>
      </w:divBdr>
    </w:div>
    <w:div w:id="1471435247">
      <w:bodyDiv w:val="1"/>
      <w:marLeft w:val="0"/>
      <w:marRight w:val="0"/>
      <w:marTop w:val="0"/>
      <w:marBottom w:val="0"/>
      <w:divBdr>
        <w:top w:val="none" w:sz="0" w:space="0" w:color="auto"/>
        <w:left w:val="none" w:sz="0" w:space="0" w:color="auto"/>
        <w:bottom w:val="none" w:sz="0" w:space="0" w:color="auto"/>
        <w:right w:val="none" w:sz="0" w:space="0" w:color="auto"/>
      </w:divBdr>
    </w:div>
    <w:div w:id="1748453411">
      <w:bodyDiv w:val="1"/>
      <w:marLeft w:val="0"/>
      <w:marRight w:val="0"/>
      <w:marTop w:val="0"/>
      <w:marBottom w:val="0"/>
      <w:divBdr>
        <w:top w:val="none" w:sz="0" w:space="0" w:color="auto"/>
        <w:left w:val="none" w:sz="0" w:space="0" w:color="auto"/>
        <w:bottom w:val="none" w:sz="0" w:space="0" w:color="auto"/>
        <w:right w:val="none" w:sz="0" w:space="0" w:color="auto"/>
      </w:divBdr>
    </w:div>
    <w:div w:id="203025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7848</Words>
  <Characters>44667</Characters>
  <Application>Microsoft Office Word</Application>
  <DocSecurity>0</DocSecurity>
  <Lines>1468</Lines>
  <Paragraphs>714</Paragraphs>
  <ScaleCrop>false</ScaleCrop>
  <HeadingPairs>
    <vt:vector size="2" baseType="variant">
      <vt:variant>
        <vt:lpstr>Title</vt:lpstr>
      </vt:variant>
      <vt:variant>
        <vt:i4>1</vt:i4>
      </vt:variant>
    </vt:vector>
  </HeadingPairs>
  <TitlesOfParts>
    <vt:vector size="1" baseType="lpstr">
      <vt:lpstr>Product Information - Tykerb</vt:lpstr>
    </vt:vector>
  </TitlesOfParts>
  <Company/>
  <LinksUpToDate>false</LinksUpToDate>
  <CharactersWithSpaces>52035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Information - Tykerb</dc:title>
  <dc:subject/>
  <dc:creator/>
  <cp:keywords/>
  <dc:description/>
  <cp:lastModifiedBy>Wrigley, Andrew</cp:lastModifiedBy>
  <cp:revision>6</cp:revision>
  <cp:lastPrinted>2011-03-29T00:30:00Z</cp:lastPrinted>
  <dcterms:created xsi:type="dcterms:W3CDTF">2012-11-07T04:14:00Z</dcterms:created>
  <dcterms:modified xsi:type="dcterms:W3CDTF">2012-12-06T01:21:00Z</dcterms:modified>
</cp:coreProperties>
</file>