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018E3" w14:textId="77777777" w:rsidR="00ED5EBF" w:rsidRPr="00A71ADC" w:rsidRDefault="00175878" w:rsidP="00A71ADC">
      <w:pPr>
        <w:jc w:val="center"/>
        <w:rPr>
          <w:rFonts w:ascii="Times New Roman" w:hAnsi="Times New Roman" w:cs="Times New Roman"/>
          <w:b/>
          <w:bCs/>
          <w:caps/>
          <w:sz w:val="28"/>
          <w:szCs w:val="28"/>
        </w:rPr>
      </w:pPr>
      <w:r w:rsidRPr="00A71ADC">
        <w:rPr>
          <w:rFonts w:ascii="Times New Roman" w:hAnsi="Times New Roman" w:cs="Times New Roman"/>
          <w:b/>
          <w:bCs/>
          <w:caps/>
          <w:sz w:val="28"/>
          <w:szCs w:val="28"/>
        </w:rPr>
        <w:t>Australian product information</w:t>
      </w:r>
    </w:p>
    <w:p w14:paraId="44B018E4" w14:textId="74826DE1" w:rsidR="00ED5EBF" w:rsidRPr="00A71ADC" w:rsidRDefault="00175878" w:rsidP="00A71ADC">
      <w:pPr>
        <w:jc w:val="center"/>
        <w:rPr>
          <w:rFonts w:ascii="Times New Roman" w:hAnsi="Times New Roman" w:cs="Times New Roman"/>
          <w:b/>
          <w:bCs/>
          <w:caps/>
          <w:sz w:val="28"/>
          <w:szCs w:val="28"/>
        </w:rPr>
      </w:pPr>
      <w:r w:rsidRPr="00A71ADC">
        <w:rPr>
          <w:rFonts w:ascii="Times New Roman" w:hAnsi="Times New Roman" w:cs="Times New Roman"/>
          <w:b/>
          <w:bCs/>
          <w:caps/>
          <w:sz w:val="28"/>
          <w:szCs w:val="28"/>
        </w:rPr>
        <w:t>Vimpat</w:t>
      </w:r>
      <w:r w:rsidR="00031BB3" w:rsidRPr="00A71ADC">
        <w:rPr>
          <w:rFonts w:ascii="Times New Roman" w:hAnsi="Times New Roman" w:cs="Times New Roman"/>
          <w:b/>
          <w:bCs/>
          <w:caps/>
          <w:sz w:val="28"/>
          <w:szCs w:val="28"/>
        </w:rPr>
        <w:t xml:space="preserve"> </w:t>
      </w:r>
      <w:r w:rsidRPr="00A71ADC">
        <w:rPr>
          <w:rFonts w:ascii="Times New Roman" w:hAnsi="Times New Roman" w:cs="Times New Roman"/>
          <w:b/>
          <w:bCs/>
          <w:caps/>
          <w:sz w:val="28"/>
          <w:szCs w:val="28"/>
        </w:rPr>
        <w:t>(lacosamide)</w:t>
      </w:r>
      <w:r w:rsidR="00B215EB" w:rsidRPr="00A71ADC">
        <w:rPr>
          <w:rFonts w:ascii="Times New Roman" w:hAnsi="Times New Roman" w:cs="Times New Roman"/>
          <w:b/>
          <w:bCs/>
          <w:caps/>
          <w:sz w:val="28"/>
          <w:szCs w:val="28"/>
        </w:rPr>
        <w:t xml:space="preserve"> FILM-COATED TABLETS</w:t>
      </w:r>
      <w:r w:rsidR="00C938D4" w:rsidRPr="00A71ADC">
        <w:rPr>
          <w:rFonts w:ascii="Times New Roman" w:hAnsi="Times New Roman" w:cs="Times New Roman"/>
          <w:b/>
          <w:bCs/>
          <w:caps/>
          <w:sz w:val="28"/>
          <w:szCs w:val="28"/>
        </w:rPr>
        <w:t xml:space="preserve"> AND oral solution</w:t>
      </w:r>
    </w:p>
    <w:p w14:paraId="44B018E5" w14:textId="77777777" w:rsidR="00ED5EBF" w:rsidRPr="00A66C41" w:rsidRDefault="00175878" w:rsidP="00A76E2B">
      <w:pPr>
        <w:pStyle w:val="Heading1"/>
        <w:rPr>
          <w:rFonts w:ascii="Times New Roman" w:hAnsi="Times New Roman" w:cs="Times New Roman"/>
        </w:rPr>
      </w:pPr>
      <w:r w:rsidRPr="00A66C41">
        <w:rPr>
          <w:rFonts w:ascii="Times New Roman" w:hAnsi="Times New Roman" w:cs="Times New Roman"/>
        </w:rPr>
        <w:t>Name of the medicine</w:t>
      </w:r>
    </w:p>
    <w:p w14:paraId="44B018E6" w14:textId="77777777" w:rsidR="00ED5EBF" w:rsidRPr="00A66C41" w:rsidRDefault="00B215EB" w:rsidP="00A76E2B">
      <w:pPr>
        <w:rPr>
          <w:rFonts w:ascii="Times New Roman" w:hAnsi="Times New Roman" w:cs="Times New Roman"/>
        </w:rPr>
      </w:pPr>
      <w:r w:rsidRPr="00A66C41">
        <w:rPr>
          <w:rFonts w:ascii="Times New Roman" w:hAnsi="Times New Roman" w:cs="Times New Roman"/>
        </w:rPr>
        <w:t>Lacosamide</w:t>
      </w:r>
    </w:p>
    <w:p w14:paraId="44B018E7" w14:textId="77777777" w:rsidR="00ED5EBF" w:rsidRPr="00A66C41" w:rsidRDefault="00175878" w:rsidP="00A76E2B">
      <w:pPr>
        <w:pStyle w:val="Heading1"/>
        <w:rPr>
          <w:rFonts w:ascii="Times New Roman" w:hAnsi="Times New Roman" w:cs="Times New Roman"/>
        </w:rPr>
      </w:pPr>
      <w:r w:rsidRPr="00A66C41">
        <w:rPr>
          <w:rFonts w:ascii="Times New Roman" w:hAnsi="Times New Roman" w:cs="Times New Roman"/>
        </w:rPr>
        <w:t>Qualitative and quantitative composition</w:t>
      </w:r>
    </w:p>
    <w:p w14:paraId="44B018E8" w14:textId="0F599BDF" w:rsidR="00ED5EBF" w:rsidRPr="00A66C41" w:rsidRDefault="00B215EB" w:rsidP="00A76E2B">
      <w:pPr>
        <w:rPr>
          <w:rFonts w:ascii="Times New Roman" w:hAnsi="Times New Roman" w:cs="Times New Roman"/>
        </w:rPr>
      </w:pPr>
      <w:r w:rsidRPr="00A66C41">
        <w:rPr>
          <w:rFonts w:ascii="Times New Roman" w:hAnsi="Times New Roman" w:cs="Times New Roman"/>
        </w:rPr>
        <w:t>Vimpat film-coated tablets are available in strengths of 50 mg, 100 mg, 150 mg and 200 mg lacosamide.</w:t>
      </w:r>
      <w:r w:rsidR="00C938D4" w:rsidRPr="00C938D4">
        <w:rPr>
          <w:rFonts w:ascii="Times New Roman" w:hAnsi="Times New Roman" w:cs="Times New Roman"/>
        </w:rPr>
        <w:t xml:space="preserve"> </w:t>
      </w:r>
      <w:r w:rsidR="00C938D4">
        <w:rPr>
          <w:rFonts w:ascii="Times New Roman" w:hAnsi="Times New Roman" w:cs="Times New Roman"/>
        </w:rPr>
        <w:t>Vimpat oral solution is available as 10 mg/mL strength.</w:t>
      </w:r>
      <w:r w:rsidRPr="00A66C41">
        <w:rPr>
          <w:rFonts w:ascii="Times New Roman" w:hAnsi="Times New Roman" w:cs="Times New Roman"/>
        </w:rPr>
        <w:br/>
      </w:r>
      <w:r w:rsidRPr="00A66C41">
        <w:rPr>
          <w:rFonts w:ascii="Times New Roman" w:hAnsi="Times New Roman" w:cs="Times New Roman"/>
        </w:rPr>
        <w:br/>
      </w:r>
      <w:r w:rsidR="00C938D4">
        <w:rPr>
          <w:rFonts w:ascii="Times New Roman" w:hAnsi="Times New Roman" w:cs="Times New Roman"/>
        </w:rPr>
        <w:t xml:space="preserve">Vimpat oral solution contains the following excipients: sorbitol and hydroxybenzoates. </w:t>
      </w:r>
      <w:r w:rsidR="004F53FF" w:rsidRPr="00A66C41">
        <w:rPr>
          <w:rFonts w:ascii="Times New Roman" w:hAnsi="Times New Roman" w:cs="Times New Roman"/>
        </w:rPr>
        <w:t>For the full list of excipients, see Section 6.1 List of Excipients.</w:t>
      </w:r>
    </w:p>
    <w:p w14:paraId="44B018E9" w14:textId="77777777" w:rsidR="00ED5EBF" w:rsidRPr="00A66C41" w:rsidRDefault="00175878" w:rsidP="00A76E2B">
      <w:pPr>
        <w:pStyle w:val="Heading1"/>
        <w:rPr>
          <w:rFonts w:ascii="Times New Roman" w:hAnsi="Times New Roman" w:cs="Times New Roman"/>
        </w:rPr>
      </w:pPr>
      <w:r w:rsidRPr="00A66C41">
        <w:rPr>
          <w:rFonts w:ascii="Times New Roman" w:hAnsi="Times New Roman" w:cs="Times New Roman"/>
        </w:rPr>
        <w:t>Pharmaceutical form</w:t>
      </w:r>
    </w:p>
    <w:p w14:paraId="32A3B10C" w14:textId="77777777" w:rsidR="00C938D4" w:rsidRDefault="00B215EB" w:rsidP="00C938D4">
      <w:pPr>
        <w:rPr>
          <w:rFonts w:ascii="Times New Roman" w:hAnsi="Times New Roman" w:cs="Times New Roman"/>
        </w:rPr>
      </w:pPr>
      <w:r w:rsidRPr="00A66C41">
        <w:rPr>
          <w:rFonts w:ascii="Times New Roman" w:hAnsi="Times New Roman" w:cs="Times New Roman"/>
        </w:rPr>
        <w:t>Film-coated tablets</w:t>
      </w:r>
      <w:r w:rsidRPr="00A66C41">
        <w:rPr>
          <w:rFonts w:ascii="Times New Roman" w:hAnsi="Times New Roman" w:cs="Times New Roman"/>
        </w:rPr>
        <w:br/>
      </w:r>
      <w:r w:rsidR="00175878" w:rsidRPr="00A66C41">
        <w:rPr>
          <w:rFonts w:ascii="Times New Roman" w:hAnsi="Times New Roman" w:cs="Times New Roman"/>
        </w:rPr>
        <w:br/>
      </w:r>
      <w:r w:rsidR="00175878" w:rsidRPr="00A66C41">
        <w:rPr>
          <w:rFonts w:ascii="Times New Roman" w:hAnsi="Times New Roman" w:cs="Times New Roman"/>
          <w:iCs/>
        </w:rPr>
        <w:t>50 mg</w:t>
      </w:r>
      <w:r w:rsidR="00BE5346" w:rsidRPr="00A66C41">
        <w:rPr>
          <w:rFonts w:ascii="Times New Roman" w:hAnsi="Times New Roman" w:cs="Times New Roman"/>
          <w:iCs/>
        </w:rPr>
        <w:t>:</w:t>
      </w:r>
      <w:r w:rsidR="00175878" w:rsidRPr="00A66C41">
        <w:rPr>
          <w:rFonts w:ascii="Times New Roman" w:hAnsi="Times New Roman" w:cs="Times New Roman"/>
        </w:rPr>
        <w:t xml:space="preserve"> Pinkish, oval debossed with ‘SP’ on one side and ‘50’ on the other side.</w:t>
      </w:r>
      <w:r w:rsidR="00175878" w:rsidRPr="00A66C41">
        <w:rPr>
          <w:rFonts w:ascii="Times New Roman" w:hAnsi="Times New Roman" w:cs="Times New Roman"/>
        </w:rPr>
        <w:br/>
      </w:r>
      <w:r w:rsidR="00175878" w:rsidRPr="00A66C41">
        <w:rPr>
          <w:rFonts w:ascii="Times New Roman" w:hAnsi="Times New Roman" w:cs="Times New Roman"/>
        </w:rPr>
        <w:br/>
      </w:r>
      <w:r w:rsidR="00175878" w:rsidRPr="00A66C41">
        <w:rPr>
          <w:rFonts w:ascii="Times New Roman" w:hAnsi="Times New Roman" w:cs="Times New Roman"/>
          <w:iCs/>
        </w:rPr>
        <w:t>100 mg</w:t>
      </w:r>
      <w:r w:rsidR="00BE5346" w:rsidRPr="00A66C41">
        <w:rPr>
          <w:rFonts w:ascii="Times New Roman" w:hAnsi="Times New Roman" w:cs="Times New Roman"/>
          <w:iCs/>
        </w:rPr>
        <w:t>:</w:t>
      </w:r>
      <w:r w:rsidR="00175878" w:rsidRPr="00A66C41">
        <w:rPr>
          <w:rFonts w:ascii="Times New Roman" w:hAnsi="Times New Roman" w:cs="Times New Roman"/>
        </w:rPr>
        <w:t xml:space="preserve"> Dark yellow, oval debossed with ‘SP’ on one side and ‘100’ on the other side.</w:t>
      </w:r>
      <w:r w:rsidR="00175878" w:rsidRPr="00A66C41">
        <w:rPr>
          <w:rFonts w:ascii="Times New Roman" w:hAnsi="Times New Roman" w:cs="Times New Roman"/>
        </w:rPr>
        <w:br/>
      </w:r>
      <w:r w:rsidR="00175878" w:rsidRPr="00A66C41">
        <w:rPr>
          <w:rFonts w:ascii="Times New Roman" w:hAnsi="Times New Roman" w:cs="Times New Roman"/>
        </w:rPr>
        <w:br/>
      </w:r>
      <w:r w:rsidR="00175878" w:rsidRPr="00A66C41">
        <w:rPr>
          <w:rFonts w:ascii="Times New Roman" w:hAnsi="Times New Roman" w:cs="Times New Roman"/>
          <w:iCs/>
        </w:rPr>
        <w:t>150 mg</w:t>
      </w:r>
      <w:r w:rsidR="00BE5346" w:rsidRPr="00A66C41">
        <w:rPr>
          <w:rFonts w:ascii="Times New Roman" w:hAnsi="Times New Roman" w:cs="Times New Roman"/>
          <w:iCs/>
        </w:rPr>
        <w:t>:</w:t>
      </w:r>
      <w:r w:rsidR="00175878" w:rsidRPr="00A66C41">
        <w:rPr>
          <w:rFonts w:ascii="Times New Roman" w:hAnsi="Times New Roman" w:cs="Times New Roman"/>
        </w:rPr>
        <w:t xml:space="preserve"> Salmon, oval debossed with ‘SP’ on one side and ‘150’ on the other side.</w:t>
      </w:r>
      <w:r w:rsidR="00175878" w:rsidRPr="00A66C41">
        <w:rPr>
          <w:rFonts w:ascii="Times New Roman" w:hAnsi="Times New Roman" w:cs="Times New Roman"/>
        </w:rPr>
        <w:br/>
      </w:r>
      <w:r w:rsidR="00175878" w:rsidRPr="00A66C41">
        <w:rPr>
          <w:rFonts w:ascii="Times New Roman" w:hAnsi="Times New Roman" w:cs="Times New Roman"/>
        </w:rPr>
        <w:br/>
      </w:r>
      <w:r w:rsidR="00175878" w:rsidRPr="00A66C41">
        <w:rPr>
          <w:rFonts w:ascii="Times New Roman" w:hAnsi="Times New Roman" w:cs="Times New Roman"/>
          <w:iCs/>
        </w:rPr>
        <w:t>200 mg</w:t>
      </w:r>
      <w:r w:rsidR="00BE5346" w:rsidRPr="00A66C41">
        <w:rPr>
          <w:rFonts w:ascii="Times New Roman" w:hAnsi="Times New Roman" w:cs="Times New Roman"/>
          <w:iCs/>
        </w:rPr>
        <w:t>:</w:t>
      </w:r>
      <w:r w:rsidR="00175878" w:rsidRPr="00A66C41">
        <w:rPr>
          <w:rFonts w:ascii="Times New Roman" w:hAnsi="Times New Roman" w:cs="Times New Roman"/>
        </w:rPr>
        <w:t xml:space="preserve"> Blue, oval debossed with ‘SP’ on one side and ‘200’ on the other side.</w:t>
      </w:r>
    </w:p>
    <w:p w14:paraId="6A130D47" w14:textId="0EF18A48" w:rsidR="00C938D4" w:rsidRDefault="00C938D4" w:rsidP="00C938D4">
      <w:pPr>
        <w:rPr>
          <w:rFonts w:ascii="Times New Roman" w:hAnsi="Times New Roman" w:cs="Times New Roman"/>
        </w:rPr>
      </w:pPr>
      <w:r>
        <w:rPr>
          <w:rFonts w:ascii="Times New Roman" w:hAnsi="Times New Roman" w:cs="Times New Roman"/>
        </w:rPr>
        <w:t>Oral Solution</w:t>
      </w:r>
    </w:p>
    <w:p w14:paraId="44B018EA" w14:textId="0B6B4FD5" w:rsidR="00ED5EBF" w:rsidRPr="00A66C41" w:rsidRDefault="00C938D4" w:rsidP="00A76E2B">
      <w:pPr>
        <w:rPr>
          <w:rFonts w:ascii="Times New Roman" w:hAnsi="Times New Roman" w:cs="Times New Roman"/>
        </w:rPr>
      </w:pPr>
      <w:r>
        <w:rPr>
          <w:rFonts w:ascii="Times New Roman" w:hAnsi="Times New Roman" w:cs="Times New Roman"/>
        </w:rPr>
        <w:t>Colourless to yellow or yellow brown liquid.</w:t>
      </w:r>
    </w:p>
    <w:p w14:paraId="44B018EB" w14:textId="77777777" w:rsidR="00ED5EBF" w:rsidRPr="00A66C41" w:rsidRDefault="00175878" w:rsidP="00A76E2B">
      <w:pPr>
        <w:pStyle w:val="Heading1"/>
        <w:rPr>
          <w:rFonts w:ascii="Times New Roman" w:hAnsi="Times New Roman" w:cs="Times New Roman"/>
        </w:rPr>
      </w:pPr>
      <w:r w:rsidRPr="00A66C41">
        <w:rPr>
          <w:rFonts w:ascii="Times New Roman" w:hAnsi="Times New Roman" w:cs="Times New Roman"/>
        </w:rPr>
        <w:t>Clinical particulars</w:t>
      </w:r>
    </w:p>
    <w:p w14:paraId="44B018EC" w14:textId="77777777" w:rsidR="00ED5EBF" w:rsidRPr="00A66C41" w:rsidRDefault="00175878" w:rsidP="00A76E2B">
      <w:pPr>
        <w:pStyle w:val="Heading2"/>
        <w:rPr>
          <w:rFonts w:ascii="Times New Roman" w:hAnsi="Times New Roman" w:cs="Times New Roman"/>
        </w:rPr>
      </w:pPr>
      <w:r w:rsidRPr="00A66C41">
        <w:rPr>
          <w:rFonts w:ascii="Times New Roman" w:hAnsi="Times New Roman" w:cs="Times New Roman"/>
        </w:rPr>
        <w:t xml:space="preserve">Therapeutic indications </w:t>
      </w:r>
    </w:p>
    <w:p w14:paraId="6440E4B8" w14:textId="4D70D902" w:rsidR="002C42C6" w:rsidRDefault="00175878" w:rsidP="00A76E2B">
      <w:pPr>
        <w:rPr>
          <w:rFonts w:ascii="Times New Roman" w:hAnsi="Times New Roman" w:cs="Times New Roman"/>
        </w:rPr>
      </w:pPr>
      <w:r w:rsidRPr="00A66C41">
        <w:rPr>
          <w:rFonts w:ascii="Times New Roman" w:hAnsi="Times New Roman" w:cs="Times New Roman"/>
        </w:rPr>
        <w:t xml:space="preserve">Vimpat (lacosamide) tablets </w:t>
      </w:r>
      <w:r w:rsidR="002C42C6">
        <w:rPr>
          <w:rFonts w:ascii="Times New Roman" w:hAnsi="Times New Roman" w:cs="Times New Roman"/>
        </w:rPr>
        <w:t xml:space="preserve">and oral solution </w:t>
      </w:r>
      <w:r w:rsidRPr="00A66C41">
        <w:rPr>
          <w:rFonts w:ascii="Times New Roman" w:hAnsi="Times New Roman" w:cs="Times New Roman"/>
        </w:rPr>
        <w:t>are indicated as</w:t>
      </w:r>
      <w:r w:rsidR="002C42C6">
        <w:rPr>
          <w:rFonts w:ascii="Times New Roman" w:hAnsi="Times New Roman" w:cs="Times New Roman"/>
        </w:rPr>
        <w:t>:</w:t>
      </w:r>
    </w:p>
    <w:p w14:paraId="40BC2BF7" w14:textId="77777777" w:rsidR="002C42C6" w:rsidRDefault="002C42C6" w:rsidP="002C42C6">
      <w:pPr>
        <w:pStyle w:val="ListParagraph"/>
        <w:numPr>
          <w:ilvl w:val="0"/>
          <w:numId w:val="15"/>
        </w:numPr>
        <w:rPr>
          <w:rFonts w:ascii="Times New Roman" w:hAnsi="Times New Roman" w:cs="Times New Roman"/>
        </w:rPr>
      </w:pPr>
      <w:r w:rsidRPr="006405A6">
        <w:rPr>
          <w:rFonts w:ascii="Times New Roman" w:hAnsi="Times New Roman" w:cs="Times New Roman"/>
        </w:rPr>
        <w:t xml:space="preserve">monotherapy in the treatment of partial seizures with or without secondary generalisation in patients with epilepsy aged 16 years and older. </w:t>
      </w:r>
    </w:p>
    <w:p w14:paraId="44B018ED" w14:textId="22417875" w:rsidR="00ED5EBF" w:rsidRPr="002C42C6" w:rsidRDefault="00175878" w:rsidP="002C42C6">
      <w:pPr>
        <w:pStyle w:val="ListParagraph"/>
        <w:numPr>
          <w:ilvl w:val="0"/>
          <w:numId w:val="15"/>
        </w:numPr>
        <w:rPr>
          <w:rFonts w:ascii="Times New Roman" w:hAnsi="Times New Roman" w:cs="Times New Roman"/>
        </w:rPr>
      </w:pPr>
      <w:r w:rsidRPr="002C42C6">
        <w:rPr>
          <w:rFonts w:ascii="Times New Roman" w:hAnsi="Times New Roman" w:cs="Times New Roman"/>
        </w:rPr>
        <w:t xml:space="preserve">add-on therapy in the treatment of partial seizures with or without secondary generalisation in patients with epilepsy aged </w:t>
      </w:r>
      <w:r w:rsidR="002C42C6">
        <w:rPr>
          <w:rFonts w:ascii="Times New Roman" w:hAnsi="Times New Roman" w:cs="Times New Roman"/>
        </w:rPr>
        <w:t>4</w:t>
      </w:r>
      <w:r w:rsidR="002C42C6" w:rsidRPr="002C42C6">
        <w:rPr>
          <w:rFonts w:ascii="Times New Roman" w:hAnsi="Times New Roman" w:cs="Times New Roman"/>
        </w:rPr>
        <w:t xml:space="preserve"> </w:t>
      </w:r>
      <w:r w:rsidRPr="002C42C6">
        <w:rPr>
          <w:rFonts w:ascii="Times New Roman" w:hAnsi="Times New Roman" w:cs="Times New Roman"/>
        </w:rPr>
        <w:t>years and older.</w:t>
      </w:r>
    </w:p>
    <w:p w14:paraId="44B018EE" w14:textId="77777777" w:rsidR="00ED5EBF" w:rsidRPr="00A66C41" w:rsidRDefault="00175878" w:rsidP="00A76E2B">
      <w:pPr>
        <w:pStyle w:val="Heading2"/>
        <w:rPr>
          <w:rFonts w:ascii="Times New Roman" w:hAnsi="Times New Roman" w:cs="Times New Roman"/>
        </w:rPr>
      </w:pPr>
      <w:r w:rsidRPr="00A66C41">
        <w:rPr>
          <w:rFonts w:ascii="Times New Roman" w:hAnsi="Times New Roman" w:cs="Times New Roman"/>
        </w:rPr>
        <w:t xml:space="preserve">Dose and method of administration </w:t>
      </w:r>
    </w:p>
    <w:p w14:paraId="5C074B30" w14:textId="52415097" w:rsidR="002C42C6" w:rsidRDefault="00175878" w:rsidP="002C42C6">
      <w:r w:rsidRPr="00A66C41">
        <w:rPr>
          <w:rFonts w:ascii="Times New Roman" w:hAnsi="Times New Roman" w:cs="Times New Roman"/>
        </w:rPr>
        <w:t>Vimpat therapy can be initiated with either oral or IV administration.</w:t>
      </w:r>
      <w:r w:rsidR="002C42C6" w:rsidRPr="002C42C6">
        <w:rPr>
          <w:rFonts w:ascii="Times New Roman" w:hAnsi="Times New Roman" w:cs="Times New Roman"/>
        </w:rPr>
        <w:t xml:space="preserve"> </w:t>
      </w:r>
      <w:r w:rsidR="002C42C6" w:rsidRPr="00C35553">
        <w:rPr>
          <w:rFonts w:ascii="Times New Roman" w:hAnsi="Times New Roman" w:cs="Times New Roman"/>
        </w:rPr>
        <w:t>The oral solution may be diluted in a glass of water. Both the film-coated tablets and oral solution may be taken with or without food.</w:t>
      </w:r>
      <w:r w:rsidR="002C42C6" w:rsidRPr="0065541C">
        <w:t xml:space="preserve"> </w:t>
      </w:r>
    </w:p>
    <w:p w14:paraId="1EDC4DBA" w14:textId="77777777" w:rsidR="002C42C6" w:rsidRDefault="002C42C6" w:rsidP="002C42C6">
      <w:pPr>
        <w:spacing w:after="240"/>
        <w:rPr>
          <w:rFonts w:ascii="Times New Roman" w:hAnsi="Times New Roman" w:cs="Times New Roman"/>
        </w:rPr>
      </w:pPr>
      <w:r w:rsidRPr="0065541C">
        <w:rPr>
          <w:rFonts w:ascii="Times New Roman" w:hAnsi="Times New Roman" w:cs="Times New Roman"/>
        </w:rPr>
        <w:lastRenderedPageBreak/>
        <w:t>A nasogastric tube or gastrostomy tube may be used when administering the oral solution.</w:t>
      </w:r>
      <w:r>
        <w:rPr>
          <w:rFonts w:ascii="Times New Roman" w:hAnsi="Times New Roman" w:cs="Times New Roman"/>
        </w:rPr>
        <w:t xml:space="preserve"> </w:t>
      </w:r>
      <w:r w:rsidRPr="001373CC">
        <w:rPr>
          <w:rFonts w:ascii="Times New Roman" w:hAnsi="Times New Roman" w:cs="Times New Roman"/>
        </w:rPr>
        <w:t>The nasogastric tube or gastrostomy tube should be flushed (twice the volume of dead space) after the product delivery to ensure the correct the dose of lacosamide is administered.</w:t>
      </w:r>
    </w:p>
    <w:p w14:paraId="049E9185" w14:textId="77777777" w:rsidR="002C42C6" w:rsidRPr="00C35553" w:rsidRDefault="002C42C6" w:rsidP="002C42C6">
      <w:pPr>
        <w:spacing w:after="0"/>
        <w:rPr>
          <w:rFonts w:ascii="Times New Roman" w:hAnsi="Times New Roman" w:cs="Times New Roman"/>
        </w:rPr>
      </w:pPr>
      <w:r w:rsidRPr="00C35553">
        <w:rPr>
          <w:rFonts w:ascii="Times New Roman" w:hAnsi="Times New Roman" w:cs="Times New Roman"/>
        </w:rPr>
        <w:t>Conversion to or from oral and IV administration can be done directly without titration.  The total daily dose and twice daily administration should be maintained.</w:t>
      </w:r>
    </w:p>
    <w:p w14:paraId="4F849AA5" w14:textId="723D62A9" w:rsidR="002C42C6" w:rsidRDefault="00175878" w:rsidP="002C42C6">
      <w:pPr>
        <w:pStyle w:val="Date"/>
        <w:rPr>
          <w:lang w:val="en-US"/>
        </w:rPr>
      </w:pPr>
      <w:r w:rsidRPr="00A66C41">
        <w:br/>
        <w:t>In accordance with current clinical practice, if Vimpat has to be discontinued, it is recommended this be done gradually (e.g. taper the daily dose by 200 mg/week).</w:t>
      </w:r>
      <w:r w:rsidRPr="00A66C41">
        <w:br/>
      </w:r>
      <w:r w:rsidRPr="00A66C41">
        <w:br/>
      </w:r>
      <w:r w:rsidR="002C42C6" w:rsidRPr="00AC0989">
        <w:rPr>
          <w:lang w:val="en-US"/>
        </w:rPr>
        <w:t xml:space="preserve">The following table summarises the </w:t>
      </w:r>
      <w:r w:rsidR="002C42C6">
        <w:rPr>
          <w:lang w:val="en-US"/>
        </w:rPr>
        <w:t>r</w:t>
      </w:r>
      <w:r w:rsidR="002C42C6" w:rsidRPr="00AC0989">
        <w:rPr>
          <w:lang w:val="en-US"/>
        </w:rPr>
        <w:t xml:space="preserve">ecommended </w:t>
      </w:r>
      <w:r w:rsidR="002C42C6">
        <w:rPr>
          <w:lang w:val="en-US"/>
        </w:rPr>
        <w:t>dose</w:t>
      </w:r>
      <w:r w:rsidR="002C42C6" w:rsidRPr="00AC0989">
        <w:rPr>
          <w:lang w:val="en-US"/>
        </w:rPr>
        <w:t xml:space="preserve"> for </w:t>
      </w:r>
      <w:r w:rsidR="002C42C6">
        <w:rPr>
          <w:lang w:val="en-US"/>
        </w:rPr>
        <w:t>Vimpat tablets and oral solution. More</w:t>
      </w:r>
      <w:r w:rsidR="002C42C6" w:rsidRPr="00AC0989">
        <w:rPr>
          <w:lang w:val="en-US"/>
        </w:rPr>
        <w:t xml:space="preserve"> details are provided </w:t>
      </w:r>
      <w:r w:rsidR="002C42C6">
        <w:rPr>
          <w:lang w:val="en-US"/>
        </w:rPr>
        <w:t>below</w:t>
      </w:r>
      <w:r w:rsidR="002C42C6" w:rsidRPr="00AC0989">
        <w:rPr>
          <w:lang w:val="en-US"/>
        </w:rPr>
        <w:t>.</w:t>
      </w:r>
    </w:p>
    <w:p w14:paraId="2D2D7F30" w14:textId="77777777" w:rsidR="002C42C6" w:rsidRPr="00103774" w:rsidRDefault="002C42C6" w:rsidP="002C42C6">
      <w:pPr>
        <w:rPr>
          <w:lang w:val="en-US"/>
        </w:rPr>
      </w:pPr>
    </w:p>
    <w:tbl>
      <w:tblPr>
        <w:tblStyle w:val="TableGrid"/>
        <w:tblW w:w="9918" w:type="dxa"/>
        <w:tblLook w:val="04A0" w:firstRow="1" w:lastRow="0" w:firstColumn="1" w:lastColumn="0" w:noHBand="0" w:noVBand="1"/>
      </w:tblPr>
      <w:tblGrid>
        <w:gridCol w:w="1428"/>
        <w:gridCol w:w="2111"/>
        <w:gridCol w:w="1843"/>
        <w:gridCol w:w="2268"/>
        <w:gridCol w:w="2268"/>
      </w:tblGrid>
      <w:tr w:rsidR="002C42C6" w:rsidRPr="002B1E0D" w14:paraId="6907F681" w14:textId="77777777" w:rsidTr="009537BA">
        <w:tc>
          <w:tcPr>
            <w:tcW w:w="1428" w:type="dxa"/>
          </w:tcPr>
          <w:p w14:paraId="457526B5" w14:textId="77777777" w:rsidR="002C42C6" w:rsidRPr="002B1E0D" w:rsidRDefault="002C42C6" w:rsidP="009537BA">
            <w:pPr>
              <w:rPr>
                <w:rFonts w:ascii="Times New Roman" w:hAnsi="Times New Roman" w:cs="Times New Roman"/>
                <w:b/>
                <w:sz w:val="20"/>
                <w:lang w:val="en-US"/>
              </w:rPr>
            </w:pPr>
            <w:bookmarkStart w:id="0" w:name="_Hlk515629056"/>
          </w:p>
        </w:tc>
        <w:tc>
          <w:tcPr>
            <w:tcW w:w="3954" w:type="dxa"/>
            <w:gridSpan w:val="2"/>
          </w:tcPr>
          <w:p w14:paraId="3A5AD887" w14:textId="77777777" w:rsidR="002C42C6" w:rsidRPr="002B1E0D" w:rsidRDefault="002C42C6" w:rsidP="009537BA">
            <w:pPr>
              <w:jc w:val="center"/>
              <w:rPr>
                <w:rFonts w:ascii="Times New Roman" w:hAnsi="Times New Roman" w:cs="Times New Roman"/>
                <w:b/>
                <w:sz w:val="20"/>
                <w:lang w:val="en-US"/>
              </w:rPr>
            </w:pPr>
            <w:r w:rsidRPr="002B1E0D">
              <w:rPr>
                <w:rFonts w:ascii="Times New Roman" w:hAnsi="Times New Roman" w:cs="Times New Roman"/>
                <w:b/>
                <w:sz w:val="20"/>
                <w:lang w:val="en-US"/>
              </w:rPr>
              <w:t>Monotherapy</w:t>
            </w:r>
          </w:p>
        </w:tc>
        <w:tc>
          <w:tcPr>
            <w:tcW w:w="4536" w:type="dxa"/>
            <w:gridSpan w:val="2"/>
          </w:tcPr>
          <w:p w14:paraId="4A3186AA" w14:textId="77777777" w:rsidR="002C42C6" w:rsidRPr="002B1E0D" w:rsidRDefault="002C42C6" w:rsidP="009537BA">
            <w:pPr>
              <w:jc w:val="center"/>
              <w:rPr>
                <w:rFonts w:ascii="Times New Roman" w:hAnsi="Times New Roman" w:cs="Times New Roman"/>
                <w:b/>
                <w:sz w:val="20"/>
                <w:lang w:val="en-US"/>
              </w:rPr>
            </w:pPr>
            <w:r w:rsidRPr="002B1E0D">
              <w:rPr>
                <w:rFonts w:ascii="Times New Roman" w:hAnsi="Times New Roman" w:cs="Times New Roman"/>
                <w:b/>
                <w:sz w:val="20"/>
                <w:lang w:val="en-US"/>
              </w:rPr>
              <w:t>Ad</w:t>
            </w:r>
            <w:r>
              <w:rPr>
                <w:rFonts w:ascii="Times New Roman" w:hAnsi="Times New Roman" w:cs="Times New Roman"/>
                <w:b/>
                <w:sz w:val="20"/>
                <w:lang w:val="en-US"/>
              </w:rPr>
              <w:t>d-on</w:t>
            </w:r>
            <w:r w:rsidRPr="002B1E0D">
              <w:rPr>
                <w:rFonts w:ascii="Times New Roman" w:hAnsi="Times New Roman" w:cs="Times New Roman"/>
                <w:b/>
                <w:sz w:val="20"/>
                <w:lang w:val="en-US"/>
              </w:rPr>
              <w:t xml:space="preserve"> therapy</w:t>
            </w:r>
          </w:p>
        </w:tc>
      </w:tr>
      <w:tr w:rsidR="002C42C6" w:rsidRPr="002B1E0D" w14:paraId="0AB1B989" w14:textId="77777777" w:rsidTr="009537BA">
        <w:tc>
          <w:tcPr>
            <w:tcW w:w="1428" w:type="dxa"/>
          </w:tcPr>
          <w:p w14:paraId="7188AF64" w14:textId="77777777" w:rsidR="002C42C6" w:rsidRPr="002B1E0D" w:rsidRDefault="002C42C6" w:rsidP="009537BA">
            <w:pPr>
              <w:rPr>
                <w:rFonts w:ascii="Times New Roman" w:hAnsi="Times New Roman" w:cs="Times New Roman"/>
                <w:sz w:val="20"/>
                <w:lang w:val="en-US"/>
              </w:rPr>
            </w:pPr>
          </w:p>
        </w:tc>
        <w:tc>
          <w:tcPr>
            <w:tcW w:w="2111" w:type="dxa"/>
          </w:tcPr>
          <w:p w14:paraId="23BD8B30" w14:textId="77777777" w:rsidR="002C42C6" w:rsidRPr="002B1E0D" w:rsidRDefault="002C42C6" w:rsidP="009537BA">
            <w:pPr>
              <w:rPr>
                <w:rFonts w:ascii="Times New Roman" w:hAnsi="Times New Roman" w:cs="Times New Roman"/>
                <w:b/>
                <w:sz w:val="20"/>
                <w:lang w:val="en-US"/>
              </w:rPr>
            </w:pPr>
            <w:r w:rsidRPr="002B1E0D">
              <w:rPr>
                <w:rFonts w:ascii="Times New Roman" w:hAnsi="Times New Roman" w:cs="Times New Roman"/>
                <w:b/>
                <w:sz w:val="20"/>
                <w:lang w:val="en-US"/>
              </w:rPr>
              <w:t>Adults</w:t>
            </w:r>
          </w:p>
        </w:tc>
        <w:tc>
          <w:tcPr>
            <w:tcW w:w="1843" w:type="dxa"/>
          </w:tcPr>
          <w:p w14:paraId="39916DA8" w14:textId="77777777" w:rsidR="002C42C6" w:rsidRPr="002B1E0D" w:rsidRDefault="002C42C6" w:rsidP="009537BA">
            <w:pPr>
              <w:rPr>
                <w:rFonts w:ascii="Times New Roman" w:hAnsi="Times New Roman" w:cs="Times New Roman"/>
                <w:b/>
                <w:sz w:val="20"/>
                <w:lang w:val="en-US"/>
              </w:rPr>
            </w:pPr>
            <w:r w:rsidRPr="002B1E0D">
              <w:rPr>
                <w:rFonts w:ascii="Times New Roman" w:hAnsi="Times New Roman" w:cs="Times New Roman"/>
                <w:b/>
                <w:sz w:val="20"/>
                <w:lang w:val="en-US"/>
              </w:rPr>
              <w:t>Adolescents and children</w:t>
            </w:r>
          </w:p>
        </w:tc>
        <w:tc>
          <w:tcPr>
            <w:tcW w:w="2268" w:type="dxa"/>
          </w:tcPr>
          <w:p w14:paraId="1B2888DF" w14:textId="77777777" w:rsidR="002C42C6" w:rsidRPr="002B1E0D" w:rsidRDefault="002C42C6" w:rsidP="009537BA">
            <w:pPr>
              <w:rPr>
                <w:rFonts w:ascii="Times New Roman" w:hAnsi="Times New Roman" w:cs="Times New Roman"/>
                <w:b/>
                <w:sz w:val="20"/>
                <w:lang w:val="en-US"/>
              </w:rPr>
            </w:pPr>
            <w:r w:rsidRPr="002B1E0D">
              <w:rPr>
                <w:rFonts w:ascii="Times New Roman" w:hAnsi="Times New Roman" w:cs="Times New Roman"/>
                <w:b/>
                <w:sz w:val="20"/>
                <w:lang w:val="en-US"/>
              </w:rPr>
              <w:t>Adolescents and children weighing 50 kg or more, and adults</w:t>
            </w:r>
          </w:p>
        </w:tc>
        <w:tc>
          <w:tcPr>
            <w:tcW w:w="2268" w:type="dxa"/>
          </w:tcPr>
          <w:p w14:paraId="7D178762" w14:textId="77777777" w:rsidR="002C42C6" w:rsidRPr="002B1E0D" w:rsidRDefault="002C42C6" w:rsidP="009537BA">
            <w:pPr>
              <w:rPr>
                <w:rFonts w:ascii="Times New Roman" w:hAnsi="Times New Roman" w:cs="Times New Roman"/>
                <w:b/>
                <w:sz w:val="20"/>
                <w:lang w:val="en-US"/>
              </w:rPr>
            </w:pPr>
            <w:r w:rsidRPr="002B1E0D">
              <w:rPr>
                <w:rFonts w:ascii="Times New Roman" w:hAnsi="Times New Roman" w:cs="Times New Roman"/>
                <w:b/>
                <w:sz w:val="20"/>
                <w:lang w:val="en-US"/>
              </w:rPr>
              <w:t>children (from 4 years of age or adolescents weighing less than 50kg</w:t>
            </w:r>
          </w:p>
        </w:tc>
      </w:tr>
      <w:tr w:rsidR="002C42C6" w:rsidRPr="002B1E0D" w14:paraId="724916EB" w14:textId="77777777" w:rsidTr="009537BA">
        <w:tc>
          <w:tcPr>
            <w:tcW w:w="1428" w:type="dxa"/>
          </w:tcPr>
          <w:p w14:paraId="5F2764DB" w14:textId="77777777" w:rsidR="002C42C6" w:rsidRPr="00C470B2" w:rsidRDefault="002C42C6" w:rsidP="009537BA">
            <w:pPr>
              <w:pStyle w:val="Date"/>
              <w:rPr>
                <w:b/>
                <w:sz w:val="20"/>
                <w:lang w:val="en-US"/>
              </w:rPr>
            </w:pPr>
            <w:r w:rsidRPr="00C470B2">
              <w:rPr>
                <w:b/>
                <w:sz w:val="20"/>
                <w:lang w:val="en-US"/>
              </w:rPr>
              <w:t>Starting dose</w:t>
            </w:r>
          </w:p>
          <w:p w14:paraId="05550638" w14:textId="77777777" w:rsidR="002C42C6" w:rsidRPr="00C470B2" w:rsidRDefault="002C42C6" w:rsidP="009537BA">
            <w:pPr>
              <w:rPr>
                <w:rFonts w:ascii="Times New Roman" w:hAnsi="Times New Roman" w:cs="Times New Roman"/>
                <w:b/>
                <w:sz w:val="20"/>
                <w:lang w:val="en-US"/>
              </w:rPr>
            </w:pPr>
          </w:p>
        </w:tc>
        <w:tc>
          <w:tcPr>
            <w:tcW w:w="2111" w:type="dxa"/>
          </w:tcPr>
          <w:p w14:paraId="29DC51F6" w14:textId="3BCE6CA4" w:rsidR="002C42C6" w:rsidRPr="002B1E0D" w:rsidRDefault="00463C7D" w:rsidP="009537BA">
            <w:pPr>
              <w:rPr>
                <w:rFonts w:ascii="Times New Roman" w:hAnsi="Times New Roman" w:cs="Times New Roman"/>
                <w:sz w:val="20"/>
                <w:lang w:val="en-US"/>
              </w:rPr>
            </w:pPr>
            <w:r>
              <w:rPr>
                <w:rFonts w:ascii="Times New Roman" w:hAnsi="Times New Roman" w:cs="Times New Roman"/>
                <w:sz w:val="20"/>
                <w:lang w:val="en-US"/>
              </w:rPr>
              <w:t>2</w:t>
            </w:r>
            <w:r w:rsidR="002C42C6" w:rsidRPr="002B1E0D">
              <w:rPr>
                <w:rFonts w:ascii="Times New Roman" w:hAnsi="Times New Roman" w:cs="Times New Roman"/>
                <w:sz w:val="20"/>
                <w:lang w:val="en-US"/>
              </w:rPr>
              <w:t>00 mg/day</w:t>
            </w:r>
          </w:p>
        </w:tc>
        <w:tc>
          <w:tcPr>
            <w:tcW w:w="1843" w:type="dxa"/>
            <w:vMerge w:val="restart"/>
          </w:tcPr>
          <w:p w14:paraId="04410604" w14:textId="77777777" w:rsidR="002C42C6" w:rsidRPr="002B1E0D" w:rsidRDefault="002C42C6" w:rsidP="009537BA">
            <w:pPr>
              <w:rPr>
                <w:rFonts w:ascii="Times New Roman" w:hAnsi="Times New Roman" w:cs="Times New Roman"/>
                <w:sz w:val="20"/>
                <w:lang w:val="en-US"/>
              </w:rPr>
            </w:pPr>
            <w:r>
              <w:rPr>
                <w:rFonts w:ascii="Times New Roman" w:hAnsi="Times New Roman" w:cs="Times New Roman"/>
                <w:sz w:val="20"/>
                <w:lang w:val="en-US"/>
              </w:rPr>
              <w:t>NOT INDICATED</w:t>
            </w:r>
          </w:p>
        </w:tc>
        <w:tc>
          <w:tcPr>
            <w:tcW w:w="2268" w:type="dxa"/>
          </w:tcPr>
          <w:p w14:paraId="4D906B0B" w14:textId="77777777" w:rsidR="002C42C6" w:rsidRPr="002B1E0D" w:rsidRDefault="002C42C6" w:rsidP="009537BA">
            <w:pPr>
              <w:rPr>
                <w:rFonts w:ascii="Times New Roman" w:hAnsi="Times New Roman" w:cs="Times New Roman"/>
                <w:sz w:val="20"/>
                <w:lang w:val="en-US"/>
              </w:rPr>
            </w:pPr>
            <w:r w:rsidRPr="002B1E0D">
              <w:rPr>
                <w:rFonts w:ascii="Times New Roman" w:hAnsi="Times New Roman" w:cs="Times New Roman"/>
                <w:sz w:val="20"/>
                <w:lang w:val="en-US"/>
              </w:rPr>
              <w:t>100 mg/day</w:t>
            </w:r>
          </w:p>
        </w:tc>
        <w:tc>
          <w:tcPr>
            <w:tcW w:w="2268" w:type="dxa"/>
          </w:tcPr>
          <w:p w14:paraId="3867698D" w14:textId="77777777" w:rsidR="002C42C6" w:rsidRPr="002B1E0D" w:rsidRDefault="002C42C6" w:rsidP="009537BA">
            <w:pPr>
              <w:rPr>
                <w:rFonts w:ascii="Times New Roman" w:hAnsi="Times New Roman" w:cs="Times New Roman"/>
                <w:sz w:val="20"/>
                <w:lang w:val="en-US"/>
              </w:rPr>
            </w:pPr>
            <w:r w:rsidRPr="002B1E0D">
              <w:rPr>
                <w:rFonts w:ascii="Times New Roman" w:hAnsi="Times New Roman" w:cs="Times New Roman"/>
                <w:sz w:val="20"/>
                <w:lang w:val="en-US"/>
              </w:rPr>
              <w:t>2 mg/kg/day</w:t>
            </w:r>
          </w:p>
        </w:tc>
      </w:tr>
      <w:tr w:rsidR="002C42C6" w:rsidRPr="002B1E0D" w14:paraId="23FD2D79" w14:textId="77777777" w:rsidTr="009537BA">
        <w:tc>
          <w:tcPr>
            <w:tcW w:w="1428" w:type="dxa"/>
          </w:tcPr>
          <w:p w14:paraId="79012742" w14:textId="77777777" w:rsidR="002C42C6" w:rsidRPr="00C470B2" w:rsidRDefault="002C42C6" w:rsidP="009537BA">
            <w:pPr>
              <w:pStyle w:val="Date"/>
              <w:rPr>
                <w:b/>
                <w:sz w:val="20"/>
                <w:lang w:val="en-US"/>
              </w:rPr>
            </w:pPr>
            <w:r w:rsidRPr="00C470B2">
              <w:rPr>
                <w:b/>
                <w:sz w:val="20"/>
                <w:lang w:val="en-US"/>
              </w:rPr>
              <w:t xml:space="preserve">Single loading dose </w:t>
            </w:r>
          </w:p>
          <w:p w14:paraId="3C4C12C7" w14:textId="77777777" w:rsidR="002C42C6" w:rsidRPr="00C470B2" w:rsidRDefault="002C42C6" w:rsidP="009537BA">
            <w:pPr>
              <w:rPr>
                <w:rFonts w:ascii="Times New Roman" w:hAnsi="Times New Roman" w:cs="Times New Roman"/>
                <w:b/>
                <w:sz w:val="20"/>
                <w:lang w:val="en-US"/>
              </w:rPr>
            </w:pPr>
            <w:r w:rsidRPr="00C470B2">
              <w:rPr>
                <w:rFonts w:ascii="Times New Roman" w:hAnsi="Times New Roman" w:cs="Times New Roman"/>
                <w:b/>
                <w:sz w:val="20"/>
                <w:lang w:val="en-US"/>
              </w:rPr>
              <w:t>(if applicable)</w:t>
            </w:r>
          </w:p>
        </w:tc>
        <w:tc>
          <w:tcPr>
            <w:tcW w:w="2111" w:type="dxa"/>
          </w:tcPr>
          <w:p w14:paraId="4D792340" w14:textId="77777777" w:rsidR="002C42C6" w:rsidRPr="002B1E0D" w:rsidRDefault="002C42C6" w:rsidP="009537BA">
            <w:pPr>
              <w:rPr>
                <w:rFonts w:ascii="Times New Roman" w:hAnsi="Times New Roman" w:cs="Times New Roman"/>
                <w:sz w:val="20"/>
                <w:lang w:val="en-US"/>
              </w:rPr>
            </w:pPr>
            <w:r w:rsidRPr="002B1E0D">
              <w:rPr>
                <w:rFonts w:ascii="Times New Roman" w:hAnsi="Times New Roman" w:cs="Times New Roman"/>
                <w:sz w:val="20"/>
                <w:lang w:val="en-US"/>
              </w:rPr>
              <w:t>200 mg</w:t>
            </w:r>
          </w:p>
        </w:tc>
        <w:tc>
          <w:tcPr>
            <w:tcW w:w="1843" w:type="dxa"/>
            <w:vMerge/>
          </w:tcPr>
          <w:p w14:paraId="3B4A289D" w14:textId="77777777" w:rsidR="002C42C6" w:rsidRPr="002B1E0D" w:rsidRDefault="002C42C6" w:rsidP="009537BA">
            <w:pPr>
              <w:rPr>
                <w:rFonts w:ascii="Times New Roman" w:hAnsi="Times New Roman" w:cs="Times New Roman"/>
                <w:sz w:val="20"/>
                <w:lang w:val="en-US"/>
              </w:rPr>
            </w:pPr>
          </w:p>
        </w:tc>
        <w:tc>
          <w:tcPr>
            <w:tcW w:w="2268" w:type="dxa"/>
          </w:tcPr>
          <w:p w14:paraId="2704EB20" w14:textId="77777777" w:rsidR="002C42C6" w:rsidRPr="002B1E0D" w:rsidRDefault="002C42C6" w:rsidP="009537BA">
            <w:pPr>
              <w:rPr>
                <w:rFonts w:ascii="Times New Roman" w:hAnsi="Times New Roman" w:cs="Times New Roman"/>
                <w:sz w:val="20"/>
                <w:lang w:val="en-US"/>
              </w:rPr>
            </w:pPr>
            <w:r w:rsidRPr="002B1E0D">
              <w:rPr>
                <w:rFonts w:ascii="Times New Roman" w:hAnsi="Times New Roman" w:cs="Times New Roman"/>
                <w:sz w:val="20"/>
                <w:lang w:val="en-US"/>
              </w:rPr>
              <w:t>200 mg</w:t>
            </w:r>
          </w:p>
        </w:tc>
        <w:tc>
          <w:tcPr>
            <w:tcW w:w="2268" w:type="dxa"/>
          </w:tcPr>
          <w:p w14:paraId="02BCE72C" w14:textId="77777777" w:rsidR="002C42C6" w:rsidRPr="002B1E0D" w:rsidRDefault="002C42C6" w:rsidP="009537BA">
            <w:pPr>
              <w:rPr>
                <w:rFonts w:ascii="Times New Roman" w:hAnsi="Times New Roman" w:cs="Times New Roman"/>
                <w:sz w:val="20"/>
                <w:lang w:val="en-US"/>
              </w:rPr>
            </w:pPr>
            <w:r>
              <w:rPr>
                <w:rFonts w:ascii="Times New Roman" w:hAnsi="Times New Roman" w:cs="Times New Roman"/>
                <w:sz w:val="20"/>
                <w:lang w:val="en-US"/>
              </w:rPr>
              <w:t>NOT RECOMMENDED</w:t>
            </w:r>
          </w:p>
        </w:tc>
      </w:tr>
      <w:tr w:rsidR="002C42C6" w:rsidRPr="002B1E0D" w14:paraId="00436D85" w14:textId="77777777" w:rsidTr="009537BA">
        <w:tc>
          <w:tcPr>
            <w:tcW w:w="1428" w:type="dxa"/>
          </w:tcPr>
          <w:p w14:paraId="42C62E10" w14:textId="77777777" w:rsidR="002C42C6" w:rsidRPr="00C470B2" w:rsidRDefault="002C42C6" w:rsidP="009537BA">
            <w:pPr>
              <w:rPr>
                <w:rFonts w:ascii="Times New Roman" w:hAnsi="Times New Roman" w:cs="Times New Roman"/>
                <w:b/>
                <w:sz w:val="20"/>
                <w:lang w:val="en-US"/>
              </w:rPr>
            </w:pPr>
            <w:r w:rsidRPr="00C470B2">
              <w:rPr>
                <w:rFonts w:ascii="Times New Roman" w:hAnsi="Times New Roman" w:cs="Times New Roman"/>
                <w:b/>
                <w:sz w:val="20"/>
                <w:lang w:val="en-US"/>
              </w:rPr>
              <w:t>Titration (incremental steps)</w:t>
            </w:r>
          </w:p>
        </w:tc>
        <w:tc>
          <w:tcPr>
            <w:tcW w:w="2111" w:type="dxa"/>
          </w:tcPr>
          <w:p w14:paraId="47E1E1A5" w14:textId="77777777" w:rsidR="002C42C6" w:rsidRPr="002B1E0D" w:rsidRDefault="002C42C6" w:rsidP="009537BA">
            <w:pPr>
              <w:rPr>
                <w:rFonts w:ascii="Times New Roman" w:hAnsi="Times New Roman" w:cs="Times New Roman"/>
                <w:sz w:val="20"/>
                <w:lang w:val="en-US"/>
              </w:rPr>
            </w:pPr>
            <w:r w:rsidRPr="002B1E0D">
              <w:rPr>
                <w:rFonts w:ascii="Times New Roman" w:hAnsi="Times New Roman" w:cs="Times New Roman"/>
                <w:sz w:val="20"/>
                <w:lang w:val="en-US"/>
              </w:rPr>
              <w:t>50 mg twice a day (100 mg/day) at weekly intervals</w:t>
            </w:r>
          </w:p>
        </w:tc>
        <w:tc>
          <w:tcPr>
            <w:tcW w:w="1843" w:type="dxa"/>
            <w:vMerge/>
          </w:tcPr>
          <w:p w14:paraId="3F9A5BDF" w14:textId="77777777" w:rsidR="002C42C6" w:rsidRPr="002B1E0D" w:rsidRDefault="002C42C6" w:rsidP="009537BA">
            <w:pPr>
              <w:rPr>
                <w:rFonts w:ascii="Times New Roman" w:hAnsi="Times New Roman" w:cs="Times New Roman"/>
                <w:sz w:val="20"/>
                <w:lang w:val="en-US"/>
              </w:rPr>
            </w:pPr>
          </w:p>
        </w:tc>
        <w:tc>
          <w:tcPr>
            <w:tcW w:w="2268" w:type="dxa"/>
          </w:tcPr>
          <w:p w14:paraId="1FC34731" w14:textId="77777777" w:rsidR="002C42C6" w:rsidRPr="002B1E0D" w:rsidRDefault="002C42C6" w:rsidP="009537BA">
            <w:pPr>
              <w:rPr>
                <w:rFonts w:ascii="Times New Roman" w:hAnsi="Times New Roman" w:cs="Times New Roman"/>
                <w:sz w:val="20"/>
                <w:lang w:val="en-US"/>
              </w:rPr>
            </w:pPr>
            <w:r w:rsidRPr="002B1E0D">
              <w:rPr>
                <w:rFonts w:ascii="Times New Roman" w:hAnsi="Times New Roman" w:cs="Times New Roman"/>
                <w:sz w:val="20"/>
                <w:lang w:val="en-US"/>
              </w:rPr>
              <w:t>50 mg twice a day (100 mg/day) at weekly intervals</w:t>
            </w:r>
          </w:p>
        </w:tc>
        <w:tc>
          <w:tcPr>
            <w:tcW w:w="2268" w:type="dxa"/>
          </w:tcPr>
          <w:p w14:paraId="218ED9BA" w14:textId="77777777" w:rsidR="002C42C6" w:rsidRPr="002B1E0D" w:rsidRDefault="002C42C6" w:rsidP="009537BA">
            <w:pPr>
              <w:rPr>
                <w:rFonts w:ascii="Times New Roman" w:hAnsi="Times New Roman" w:cs="Times New Roman"/>
                <w:sz w:val="20"/>
                <w:lang w:val="en-US"/>
              </w:rPr>
            </w:pPr>
            <w:r w:rsidRPr="002B1E0D">
              <w:rPr>
                <w:rFonts w:ascii="Times New Roman" w:hAnsi="Times New Roman" w:cs="Times New Roman"/>
                <w:sz w:val="20"/>
                <w:lang w:val="en-US"/>
              </w:rPr>
              <w:t>2 mg/kg/day every week</w:t>
            </w:r>
          </w:p>
        </w:tc>
      </w:tr>
      <w:tr w:rsidR="002C42C6" w:rsidRPr="002B1E0D" w14:paraId="7EAD409F" w14:textId="77777777" w:rsidTr="009537BA">
        <w:tc>
          <w:tcPr>
            <w:tcW w:w="1428" w:type="dxa"/>
          </w:tcPr>
          <w:p w14:paraId="35CD3C97" w14:textId="77777777" w:rsidR="002C42C6" w:rsidRPr="00C470B2" w:rsidRDefault="002C42C6" w:rsidP="009537BA">
            <w:pPr>
              <w:rPr>
                <w:rFonts w:ascii="Times New Roman" w:hAnsi="Times New Roman" w:cs="Times New Roman"/>
                <w:b/>
                <w:sz w:val="20"/>
                <w:lang w:val="en-US"/>
              </w:rPr>
            </w:pPr>
            <w:r w:rsidRPr="00C470B2">
              <w:rPr>
                <w:rFonts w:ascii="Times New Roman" w:hAnsi="Times New Roman" w:cs="Times New Roman"/>
                <w:b/>
                <w:sz w:val="20"/>
                <w:lang w:val="en-US"/>
              </w:rPr>
              <w:t>Maximum recommended dose</w:t>
            </w:r>
          </w:p>
        </w:tc>
        <w:tc>
          <w:tcPr>
            <w:tcW w:w="2111" w:type="dxa"/>
          </w:tcPr>
          <w:p w14:paraId="1D9A4C51" w14:textId="77777777" w:rsidR="002C42C6" w:rsidRPr="002B1E0D" w:rsidRDefault="002C42C6" w:rsidP="009537BA">
            <w:pPr>
              <w:rPr>
                <w:rFonts w:ascii="Times New Roman" w:hAnsi="Times New Roman" w:cs="Times New Roman"/>
                <w:sz w:val="20"/>
                <w:lang w:val="en-US"/>
              </w:rPr>
            </w:pPr>
            <w:r w:rsidRPr="002B1E0D">
              <w:rPr>
                <w:rFonts w:ascii="Times New Roman" w:hAnsi="Times New Roman" w:cs="Times New Roman"/>
                <w:sz w:val="20"/>
                <w:lang w:val="en-US"/>
              </w:rPr>
              <w:t>up to 600 mg/day</w:t>
            </w:r>
          </w:p>
        </w:tc>
        <w:tc>
          <w:tcPr>
            <w:tcW w:w="1843" w:type="dxa"/>
            <w:vMerge/>
          </w:tcPr>
          <w:p w14:paraId="436E9106" w14:textId="77777777" w:rsidR="002C42C6" w:rsidRPr="002B1E0D" w:rsidRDefault="002C42C6" w:rsidP="009537BA">
            <w:pPr>
              <w:rPr>
                <w:rFonts w:ascii="Times New Roman" w:hAnsi="Times New Roman" w:cs="Times New Roman"/>
                <w:sz w:val="20"/>
                <w:lang w:val="en-US"/>
              </w:rPr>
            </w:pPr>
          </w:p>
        </w:tc>
        <w:tc>
          <w:tcPr>
            <w:tcW w:w="2268" w:type="dxa"/>
          </w:tcPr>
          <w:p w14:paraId="03BE659B" w14:textId="77777777" w:rsidR="002C42C6" w:rsidRPr="002B1E0D" w:rsidRDefault="002C42C6" w:rsidP="009537BA">
            <w:pPr>
              <w:rPr>
                <w:rFonts w:ascii="Times New Roman" w:hAnsi="Times New Roman" w:cs="Times New Roman"/>
                <w:sz w:val="20"/>
                <w:lang w:val="en-US"/>
              </w:rPr>
            </w:pPr>
            <w:r w:rsidRPr="002B1E0D">
              <w:rPr>
                <w:rFonts w:ascii="Times New Roman" w:hAnsi="Times New Roman" w:cs="Times New Roman"/>
                <w:sz w:val="20"/>
                <w:lang w:val="en-US"/>
              </w:rPr>
              <w:t>up to 400 mg/day</w:t>
            </w:r>
          </w:p>
        </w:tc>
        <w:tc>
          <w:tcPr>
            <w:tcW w:w="2268" w:type="dxa"/>
          </w:tcPr>
          <w:p w14:paraId="3A4C974B" w14:textId="77777777" w:rsidR="002C42C6" w:rsidRPr="002B1E0D" w:rsidRDefault="002C42C6" w:rsidP="002C42C6">
            <w:pPr>
              <w:pStyle w:val="ListParagraph"/>
              <w:numPr>
                <w:ilvl w:val="0"/>
                <w:numId w:val="16"/>
              </w:numPr>
              <w:ind w:left="357" w:hanging="357"/>
              <w:rPr>
                <w:rFonts w:ascii="Times New Roman" w:hAnsi="Times New Roman" w:cs="Times New Roman"/>
                <w:sz w:val="20"/>
                <w:lang w:val="en-US"/>
              </w:rPr>
            </w:pPr>
            <w:r w:rsidRPr="002B1E0D">
              <w:rPr>
                <w:rFonts w:ascii="Times New Roman" w:hAnsi="Times New Roman" w:cs="Times New Roman"/>
                <w:sz w:val="20"/>
              </w:rPr>
              <w:t>up to 12 mg/kg/day (in children weighing &lt; 30 kg)</w:t>
            </w:r>
          </w:p>
          <w:p w14:paraId="2754E3A0" w14:textId="77777777" w:rsidR="002C42C6" w:rsidRPr="002B1E0D" w:rsidRDefault="002C42C6" w:rsidP="002C42C6">
            <w:pPr>
              <w:pStyle w:val="ListParagraph"/>
              <w:numPr>
                <w:ilvl w:val="0"/>
                <w:numId w:val="16"/>
              </w:numPr>
              <w:ind w:left="357" w:hanging="357"/>
              <w:rPr>
                <w:rFonts w:ascii="Times New Roman" w:hAnsi="Times New Roman" w:cs="Times New Roman"/>
                <w:sz w:val="20"/>
                <w:lang w:val="en-US"/>
              </w:rPr>
            </w:pPr>
            <w:r w:rsidRPr="002B1E0D">
              <w:rPr>
                <w:rFonts w:ascii="Times New Roman" w:hAnsi="Times New Roman" w:cs="Times New Roman"/>
                <w:sz w:val="20"/>
              </w:rPr>
              <w:t>up to 8 mg/kg/day (in children weighing from 30 to under 50 kg)</w:t>
            </w:r>
          </w:p>
        </w:tc>
      </w:tr>
      <w:tr w:rsidR="002C42C6" w:rsidRPr="002B1E0D" w14:paraId="44CB750D" w14:textId="77777777" w:rsidTr="009537BA">
        <w:tc>
          <w:tcPr>
            <w:tcW w:w="1428" w:type="dxa"/>
          </w:tcPr>
          <w:p w14:paraId="57950940" w14:textId="77777777" w:rsidR="002C42C6" w:rsidRPr="00C470B2" w:rsidRDefault="002C42C6" w:rsidP="009537BA">
            <w:pPr>
              <w:rPr>
                <w:rFonts w:ascii="Times New Roman" w:hAnsi="Times New Roman" w:cs="Times New Roman"/>
                <w:b/>
                <w:sz w:val="20"/>
                <w:lang w:val="en-US"/>
              </w:rPr>
            </w:pPr>
            <w:r w:rsidRPr="00C470B2">
              <w:rPr>
                <w:rFonts w:ascii="Times New Roman" w:hAnsi="Times New Roman" w:cs="Times New Roman"/>
                <w:b/>
                <w:sz w:val="20"/>
                <w:lang w:val="en-US"/>
              </w:rPr>
              <w:t>Conversion to monotherapy</w:t>
            </w:r>
          </w:p>
        </w:tc>
        <w:tc>
          <w:tcPr>
            <w:tcW w:w="2111" w:type="dxa"/>
          </w:tcPr>
          <w:p w14:paraId="0B90AEE6" w14:textId="77777777" w:rsidR="002C42C6" w:rsidRPr="002B1E0D" w:rsidRDefault="002C42C6" w:rsidP="009537BA">
            <w:pPr>
              <w:rPr>
                <w:rFonts w:ascii="Times New Roman" w:hAnsi="Times New Roman" w:cs="Times New Roman"/>
                <w:sz w:val="20"/>
                <w:lang w:val="en-US"/>
              </w:rPr>
            </w:pPr>
            <w:r w:rsidRPr="002B1E0D">
              <w:rPr>
                <w:rFonts w:ascii="Times New Roman" w:hAnsi="Times New Roman" w:cs="Times New Roman"/>
                <w:sz w:val="20"/>
                <w:lang w:val="en-US"/>
              </w:rPr>
              <w:t>gradual withdrawal of the concomitant antiepileptic drugs over at least 6 weeks is recommended</w:t>
            </w:r>
          </w:p>
        </w:tc>
        <w:tc>
          <w:tcPr>
            <w:tcW w:w="1843" w:type="dxa"/>
            <w:vMerge/>
          </w:tcPr>
          <w:p w14:paraId="48926E71" w14:textId="77777777" w:rsidR="002C42C6" w:rsidRPr="002B1E0D" w:rsidRDefault="002C42C6" w:rsidP="009537BA">
            <w:pPr>
              <w:rPr>
                <w:rFonts w:ascii="Times New Roman" w:hAnsi="Times New Roman" w:cs="Times New Roman"/>
                <w:sz w:val="20"/>
                <w:lang w:val="en-US"/>
              </w:rPr>
            </w:pPr>
          </w:p>
        </w:tc>
        <w:tc>
          <w:tcPr>
            <w:tcW w:w="2268" w:type="dxa"/>
          </w:tcPr>
          <w:p w14:paraId="34A3CA6E" w14:textId="77777777" w:rsidR="002C42C6" w:rsidRPr="002B1E0D" w:rsidRDefault="002C42C6" w:rsidP="009537BA">
            <w:pPr>
              <w:rPr>
                <w:rFonts w:ascii="Times New Roman" w:hAnsi="Times New Roman" w:cs="Times New Roman"/>
                <w:sz w:val="20"/>
                <w:lang w:val="en-US"/>
              </w:rPr>
            </w:pPr>
            <w:r>
              <w:rPr>
                <w:rFonts w:ascii="Times New Roman" w:hAnsi="Times New Roman" w:cs="Times New Roman"/>
                <w:sz w:val="20"/>
                <w:lang w:val="en-US"/>
              </w:rPr>
              <w:t>NOT INDICATED (except for adults, see first column)</w:t>
            </w:r>
          </w:p>
        </w:tc>
        <w:tc>
          <w:tcPr>
            <w:tcW w:w="2268" w:type="dxa"/>
          </w:tcPr>
          <w:p w14:paraId="0A99AE96" w14:textId="77777777" w:rsidR="002C42C6" w:rsidRPr="002B1E0D" w:rsidRDefault="002C42C6" w:rsidP="009537BA">
            <w:pPr>
              <w:rPr>
                <w:rFonts w:ascii="Times New Roman" w:hAnsi="Times New Roman" w:cs="Times New Roman"/>
                <w:sz w:val="20"/>
                <w:lang w:val="en-US"/>
              </w:rPr>
            </w:pPr>
            <w:r>
              <w:rPr>
                <w:rFonts w:ascii="Times New Roman" w:hAnsi="Times New Roman" w:cs="Times New Roman"/>
                <w:sz w:val="20"/>
                <w:lang w:val="en-US"/>
              </w:rPr>
              <w:t>NOT INDICATED</w:t>
            </w:r>
          </w:p>
        </w:tc>
      </w:tr>
      <w:bookmarkEnd w:id="0"/>
    </w:tbl>
    <w:p w14:paraId="58163FD5" w14:textId="5CBC7110" w:rsidR="00622A88" w:rsidRDefault="00622A88" w:rsidP="00A76E2B">
      <w:pPr>
        <w:rPr>
          <w:rFonts w:ascii="Times New Roman" w:hAnsi="Times New Roman" w:cs="Times New Roman"/>
        </w:rPr>
      </w:pPr>
    </w:p>
    <w:p w14:paraId="68DD25E7" w14:textId="77777777" w:rsidR="00622A88" w:rsidRPr="00C35553" w:rsidRDefault="00622A88" w:rsidP="00622A88">
      <w:pPr>
        <w:spacing w:after="0"/>
        <w:rPr>
          <w:rFonts w:ascii="Times New Roman" w:hAnsi="Times New Roman" w:cs="Times New Roman"/>
          <w:b/>
        </w:rPr>
      </w:pPr>
      <w:r>
        <w:rPr>
          <w:rFonts w:ascii="Times New Roman" w:hAnsi="Times New Roman" w:cs="Times New Roman"/>
          <w:b/>
        </w:rPr>
        <w:t>A</w:t>
      </w:r>
      <w:r w:rsidRPr="00C35553">
        <w:rPr>
          <w:rFonts w:ascii="Times New Roman" w:hAnsi="Times New Roman" w:cs="Times New Roman"/>
          <w:b/>
        </w:rPr>
        <w:t xml:space="preserve">dults </w:t>
      </w:r>
    </w:p>
    <w:p w14:paraId="0703F1C1" w14:textId="77777777" w:rsidR="00622A88" w:rsidRPr="00C35553" w:rsidRDefault="00622A88" w:rsidP="00622A88">
      <w:pPr>
        <w:spacing w:after="0"/>
        <w:rPr>
          <w:rFonts w:ascii="Times New Roman" w:hAnsi="Times New Roman" w:cs="Times New Roman"/>
          <w:b/>
          <w:i/>
        </w:rPr>
      </w:pPr>
      <w:r w:rsidRPr="00C35553">
        <w:rPr>
          <w:rFonts w:ascii="Times New Roman" w:hAnsi="Times New Roman" w:cs="Times New Roman"/>
          <w:b/>
          <w:i/>
        </w:rPr>
        <w:t>Monotherapy</w:t>
      </w:r>
      <w:r>
        <w:rPr>
          <w:rFonts w:ascii="Times New Roman" w:hAnsi="Times New Roman" w:cs="Times New Roman"/>
          <w:b/>
          <w:i/>
        </w:rPr>
        <w:t xml:space="preserve"> (adults only)</w:t>
      </w:r>
    </w:p>
    <w:p w14:paraId="3D5E1CA1" w14:textId="77777777" w:rsidR="00622A88" w:rsidRPr="00C35553" w:rsidRDefault="00622A88" w:rsidP="00622A88">
      <w:pPr>
        <w:rPr>
          <w:rFonts w:ascii="Times New Roman" w:hAnsi="Times New Roman" w:cs="Times New Roman"/>
        </w:rPr>
      </w:pPr>
      <w:r w:rsidRPr="00C35553">
        <w:rPr>
          <w:rFonts w:ascii="Times New Roman" w:hAnsi="Times New Roman" w:cs="Times New Roman"/>
        </w:rPr>
        <w:t>V</w:t>
      </w:r>
      <w:r>
        <w:rPr>
          <w:rFonts w:ascii="Times New Roman" w:hAnsi="Times New Roman" w:cs="Times New Roman"/>
        </w:rPr>
        <w:t>impat</w:t>
      </w:r>
      <w:r w:rsidRPr="00C35553">
        <w:rPr>
          <w:rFonts w:ascii="Times New Roman" w:hAnsi="Times New Roman" w:cs="Times New Roman"/>
        </w:rPr>
        <w:t xml:space="preserve"> must be taken twice a day. The recommended starting dose is 100 mg twice a day. </w:t>
      </w:r>
    </w:p>
    <w:p w14:paraId="5E7D2A12" w14:textId="77777777" w:rsidR="00622A88" w:rsidRPr="00C35553" w:rsidRDefault="00622A88" w:rsidP="00622A88">
      <w:pPr>
        <w:rPr>
          <w:rFonts w:ascii="Times New Roman" w:hAnsi="Times New Roman" w:cs="Times New Roman"/>
        </w:rPr>
      </w:pPr>
      <w:r w:rsidRPr="00C35553">
        <w:rPr>
          <w:rFonts w:ascii="Times New Roman" w:hAnsi="Times New Roman" w:cs="Times New Roman"/>
        </w:rPr>
        <w:lastRenderedPageBreak/>
        <w:t xml:space="preserve">Depending on response and tolerability, the dose can be further increased by 50 mg twice a day every week, to a maximum recommended daily dose of 600 mg (300 mg twice a day). </w:t>
      </w:r>
    </w:p>
    <w:p w14:paraId="02C3EFBA" w14:textId="77777777" w:rsidR="00622A88" w:rsidRDefault="00622A88" w:rsidP="00622A88">
      <w:pPr>
        <w:spacing w:after="0"/>
        <w:rPr>
          <w:rFonts w:ascii="Times New Roman" w:hAnsi="Times New Roman" w:cs="Times New Roman"/>
        </w:rPr>
      </w:pPr>
      <w:r w:rsidRPr="00C35553">
        <w:rPr>
          <w:rFonts w:ascii="Times New Roman" w:hAnsi="Times New Roman" w:cs="Times New Roman"/>
        </w:rPr>
        <w:t>In patients having reached a dose greater than 400 mg/day and who need an additional antiepileptic drug, the dosage that is recommended for add-on therapy below should be followed.</w:t>
      </w:r>
      <w:r w:rsidRPr="00A66C41">
        <w:rPr>
          <w:rFonts w:ascii="Times New Roman" w:hAnsi="Times New Roman" w:cs="Times New Roman"/>
        </w:rPr>
        <w:br/>
      </w:r>
      <w:r w:rsidRPr="00A66C41">
        <w:rPr>
          <w:rFonts w:ascii="Times New Roman" w:hAnsi="Times New Roman" w:cs="Times New Roman"/>
        </w:rPr>
        <w:br/>
      </w:r>
      <w:r w:rsidRPr="001F1DEB">
        <w:rPr>
          <w:rFonts w:ascii="Times New Roman" w:hAnsi="Times New Roman" w:cs="Times New Roman"/>
          <w:b/>
          <w:i/>
        </w:rPr>
        <w:t>Add-on Therapy</w:t>
      </w:r>
      <w:r>
        <w:rPr>
          <w:rFonts w:ascii="Times New Roman" w:hAnsi="Times New Roman" w:cs="Times New Roman"/>
          <w:b/>
        </w:rPr>
        <w:t xml:space="preserve"> </w:t>
      </w:r>
    </w:p>
    <w:p w14:paraId="31D0575C" w14:textId="77777777" w:rsidR="00622A88" w:rsidRPr="001F1DEB" w:rsidRDefault="00622A88" w:rsidP="00622A88">
      <w:pPr>
        <w:spacing w:after="0"/>
        <w:rPr>
          <w:rFonts w:ascii="Times New Roman" w:hAnsi="Times New Roman" w:cs="Times New Roman"/>
          <w:i/>
        </w:rPr>
      </w:pPr>
      <w:r w:rsidRPr="00A66C41">
        <w:rPr>
          <w:rFonts w:ascii="Times New Roman" w:hAnsi="Times New Roman" w:cs="Times New Roman"/>
        </w:rPr>
        <w:t>Vimpat must be taken twice a day. The recommended starting dose is 50 mg twice a day which should be increased to an initial therapeutic dose of 100 mg twice a day after one week.</w:t>
      </w:r>
      <w:r w:rsidRPr="00A66C41">
        <w:rPr>
          <w:rFonts w:ascii="Times New Roman" w:hAnsi="Times New Roman" w:cs="Times New Roman"/>
        </w:rPr>
        <w:br/>
      </w:r>
      <w:r w:rsidRPr="00A66C41">
        <w:rPr>
          <w:rFonts w:ascii="Times New Roman" w:hAnsi="Times New Roman" w:cs="Times New Roman"/>
        </w:rPr>
        <w:br/>
        <w:t xml:space="preserve">Depending on response and tolerability, the maintenance dose can be further increased by 50 mg twice a day every week, to a maximum recommended daily dose of 400 mg (200 mg twice a day). </w:t>
      </w:r>
      <w:r w:rsidRPr="00A66C41">
        <w:rPr>
          <w:rFonts w:ascii="Times New Roman" w:hAnsi="Times New Roman" w:cs="Times New Roman"/>
        </w:rPr>
        <w:br/>
      </w:r>
      <w:r w:rsidRPr="00A66C41">
        <w:rPr>
          <w:rFonts w:ascii="Times New Roman" w:hAnsi="Times New Roman" w:cs="Times New Roman"/>
        </w:rPr>
        <w:br/>
      </w:r>
      <w:r w:rsidRPr="001F1DEB">
        <w:rPr>
          <w:rFonts w:ascii="Times New Roman" w:hAnsi="Times New Roman" w:cs="Times New Roman"/>
          <w:b/>
          <w:i/>
        </w:rPr>
        <w:t>Add-on Therapy converting to monotherapy</w:t>
      </w:r>
    </w:p>
    <w:p w14:paraId="20B44562" w14:textId="77777777" w:rsidR="00622A88" w:rsidRDefault="00622A88" w:rsidP="00622A88">
      <w:pPr>
        <w:spacing w:after="0"/>
        <w:rPr>
          <w:rFonts w:ascii="Times New Roman" w:hAnsi="Times New Roman" w:cs="Times New Roman"/>
        </w:rPr>
      </w:pPr>
      <w:r w:rsidRPr="00CB48CA">
        <w:rPr>
          <w:rFonts w:ascii="Times New Roman" w:hAnsi="Times New Roman" w:cs="Times New Roman"/>
        </w:rPr>
        <w:t>For patients on add-on therapy who will convert to lacosamide monotherapy, once the maintenance dose has been administered for at least 3 days, a gradual withdrawal of the concomitant antiepileptic drugs over at least 6 weeks is recommended. If the patient is on more than one antiepileptic drug, the antiepileptic drugs should be withdrawn sequentially. Safety and efficacy of lacosamide have not been established for simultaneous conversion to monotherapy from two or more concomitant antiepileptic drugs.</w:t>
      </w:r>
    </w:p>
    <w:p w14:paraId="3ED68CBB" w14:textId="77777777" w:rsidR="00622A88" w:rsidRPr="001F1DEB" w:rsidRDefault="00622A88" w:rsidP="00622A88">
      <w:pPr>
        <w:spacing w:after="0"/>
        <w:rPr>
          <w:rFonts w:ascii="Times New Roman" w:hAnsi="Times New Roman" w:cs="Times New Roman"/>
          <w:b/>
          <w:i/>
        </w:rPr>
      </w:pPr>
      <w:r w:rsidRPr="00A66C41">
        <w:rPr>
          <w:rFonts w:ascii="Times New Roman" w:hAnsi="Times New Roman" w:cs="Times New Roman"/>
        </w:rPr>
        <w:br/>
      </w:r>
      <w:r w:rsidRPr="001F1DEB">
        <w:rPr>
          <w:rFonts w:ascii="Times New Roman" w:hAnsi="Times New Roman" w:cs="Times New Roman"/>
          <w:b/>
          <w:i/>
        </w:rPr>
        <w:t>Initiation of lacosamide treatment with a loading dose</w:t>
      </w:r>
    </w:p>
    <w:p w14:paraId="47E1AA64" w14:textId="77777777" w:rsidR="00622A88" w:rsidRDefault="00622A88" w:rsidP="00622A88">
      <w:pPr>
        <w:rPr>
          <w:rFonts w:ascii="Times New Roman" w:hAnsi="Times New Roman" w:cs="Times New Roman"/>
        </w:rPr>
      </w:pPr>
      <w:r w:rsidRPr="00152560">
        <w:rPr>
          <w:rFonts w:ascii="Times New Roman" w:hAnsi="Times New Roman" w:cs="Times New Roman"/>
        </w:rPr>
        <w:t xml:space="preserve">Lacosamide treatment may also be initiated with a single loading dose of 200 mg, followed approximately 12 hours later by a 100 mg twice daily (200 mg/day) maintenance dose regimen. Subsequent dose adjustment should be performed according to individual response and tolerability as described above. A loading dose should be administered under medical supervision with consideration of the lacosamide pharmacokinetics (see </w:t>
      </w:r>
      <w:r>
        <w:rPr>
          <w:rFonts w:ascii="Times New Roman" w:hAnsi="Times New Roman" w:cs="Times New Roman"/>
        </w:rPr>
        <w:t xml:space="preserve">Section 5.2 </w:t>
      </w:r>
      <w:r w:rsidRPr="00152560">
        <w:rPr>
          <w:rFonts w:ascii="Times New Roman" w:hAnsi="Times New Roman" w:cs="Times New Roman"/>
        </w:rPr>
        <w:t>Pharmacokinetic</w:t>
      </w:r>
      <w:r>
        <w:rPr>
          <w:rFonts w:ascii="Times New Roman" w:hAnsi="Times New Roman" w:cs="Times New Roman"/>
        </w:rPr>
        <w:t xml:space="preserve"> properties</w:t>
      </w:r>
      <w:r w:rsidRPr="00152560">
        <w:rPr>
          <w:rFonts w:ascii="Times New Roman" w:hAnsi="Times New Roman" w:cs="Times New Roman"/>
        </w:rPr>
        <w:t xml:space="preserve">) and the potential for increased incidence of CNS adverse reactions (see </w:t>
      </w:r>
      <w:r>
        <w:rPr>
          <w:rFonts w:ascii="Times New Roman" w:hAnsi="Times New Roman" w:cs="Times New Roman"/>
        </w:rPr>
        <w:t xml:space="preserve">Section 4.8 </w:t>
      </w:r>
      <w:r w:rsidRPr="00152560">
        <w:rPr>
          <w:rFonts w:ascii="Times New Roman" w:hAnsi="Times New Roman" w:cs="Times New Roman"/>
        </w:rPr>
        <w:t>Adverse Effects</w:t>
      </w:r>
      <w:r>
        <w:rPr>
          <w:rFonts w:ascii="Times New Roman" w:hAnsi="Times New Roman" w:cs="Times New Roman"/>
        </w:rPr>
        <w:t xml:space="preserve"> (Undesirable effects)</w:t>
      </w:r>
      <w:r w:rsidRPr="00152560">
        <w:rPr>
          <w:rFonts w:ascii="Times New Roman" w:hAnsi="Times New Roman" w:cs="Times New Roman"/>
        </w:rPr>
        <w:t>). Administration of a loading dose has not been studied in acute conditions such as status epilepticus.</w:t>
      </w:r>
    </w:p>
    <w:p w14:paraId="37528A9B" w14:textId="77777777" w:rsidR="00622A88" w:rsidRPr="00152560" w:rsidRDefault="00622A88" w:rsidP="00622A88">
      <w:pPr>
        <w:spacing w:after="0"/>
        <w:rPr>
          <w:rFonts w:ascii="Times New Roman" w:hAnsi="Times New Roman" w:cs="Times New Roman"/>
          <w:b/>
        </w:rPr>
      </w:pPr>
      <w:r w:rsidRPr="00152560">
        <w:rPr>
          <w:rFonts w:ascii="Times New Roman" w:hAnsi="Times New Roman" w:cs="Times New Roman"/>
          <w:b/>
        </w:rPr>
        <w:t xml:space="preserve">Use in children </w:t>
      </w:r>
    </w:p>
    <w:p w14:paraId="749C32B3" w14:textId="77777777" w:rsidR="00622A88" w:rsidRDefault="00622A88" w:rsidP="00622A88">
      <w:pPr>
        <w:rPr>
          <w:rFonts w:ascii="Times New Roman" w:hAnsi="Times New Roman" w:cs="Times New Roman"/>
        </w:rPr>
      </w:pPr>
      <w:r w:rsidRPr="00152560" w:rsidDel="009D24A0">
        <w:rPr>
          <w:rFonts w:ascii="Times New Roman" w:hAnsi="Times New Roman" w:cs="Times New Roman"/>
        </w:rPr>
        <w:t xml:space="preserve">Lacosamide is </w:t>
      </w:r>
      <w:r w:rsidRPr="004514D2">
        <w:rPr>
          <w:rFonts w:ascii="Times New Roman" w:hAnsi="Times New Roman" w:cs="Times New Roman"/>
          <w:b/>
        </w:rPr>
        <w:t>not indicated</w:t>
      </w:r>
      <w:r>
        <w:rPr>
          <w:rFonts w:ascii="Times New Roman" w:hAnsi="Times New Roman" w:cs="Times New Roman"/>
        </w:rPr>
        <w:t xml:space="preserve"> for monotherapy in children and is </w:t>
      </w:r>
      <w:r w:rsidRPr="000D7F59" w:rsidDel="009D24A0">
        <w:rPr>
          <w:rFonts w:ascii="Times New Roman" w:hAnsi="Times New Roman" w:cs="Times New Roman"/>
          <w:b/>
        </w:rPr>
        <w:t>not recommended</w:t>
      </w:r>
      <w:r w:rsidRPr="00152560" w:rsidDel="009D24A0">
        <w:rPr>
          <w:rFonts w:ascii="Times New Roman" w:hAnsi="Times New Roman" w:cs="Times New Roman"/>
        </w:rPr>
        <w:t xml:space="preserve"> for use in children below the age of 4 as there is limited data on safety and efficacy in these age groups. The physician should prescribe the most appropriate formulation and strength according to weight and dose.</w:t>
      </w:r>
    </w:p>
    <w:p w14:paraId="2751E76D" w14:textId="77777777" w:rsidR="00622A88" w:rsidRPr="00152560" w:rsidRDefault="00622A88" w:rsidP="00622A88">
      <w:pPr>
        <w:rPr>
          <w:rFonts w:ascii="Times New Roman" w:hAnsi="Times New Roman" w:cs="Times New Roman"/>
        </w:rPr>
      </w:pPr>
      <w:r w:rsidRPr="00152560">
        <w:rPr>
          <w:rFonts w:ascii="Times New Roman" w:hAnsi="Times New Roman" w:cs="Times New Roman"/>
        </w:rPr>
        <w:t>The dosage in children and adolescents is based on PK modelling targeting plasma concentrations in the same range as in adults.</w:t>
      </w:r>
    </w:p>
    <w:p w14:paraId="0C2817BE" w14:textId="77777777" w:rsidR="00622A88" w:rsidRDefault="00622A88" w:rsidP="00622A88">
      <w:pPr>
        <w:spacing w:after="0"/>
        <w:rPr>
          <w:rFonts w:ascii="Times New Roman" w:hAnsi="Times New Roman" w:cs="Times New Roman"/>
          <w:b/>
          <w:i/>
        </w:rPr>
      </w:pPr>
      <w:r w:rsidRPr="00152560">
        <w:rPr>
          <w:rFonts w:ascii="Times New Roman" w:hAnsi="Times New Roman" w:cs="Times New Roman"/>
          <w:b/>
          <w:i/>
        </w:rPr>
        <w:t>Add-on therapy</w:t>
      </w:r>
    </w:p>
    <w:p w14:paraId="79239103" w14:textId="77777777" w:rsidR="00622A88" w:rsidRPr="00A816AB" w:rsidRDefault="00622A88" w:rsidP="00622A88">
      <w:pPr>
        <w:spacing w:after="0"/>
        <w:rPr>
          <w:rFonts w:ascii="Times New Roman" w:hAnsi="Times New Roman" w:cs="Times New Roman"/>
          <w:u w:val="single"/>
        </w:rPr>
      </w:pPr>
      <w:bookmarkStart w:id="1" w:name="_Hlk515629490"/>
      <w:r w:rsidRPr="00A816AB">
        <w:rPr>
          <w:rFonts w:ascii="Times New Roman" w:hAnsi="Times New Roman" w:cs="Times New Roman"/>
          <w:u w:val="single"/>
        </w:rPr>
        <w:t>Adolescents and children weighing 50 kg or more</w:t>
      </w:r>
    </w:p>
    <w:p w14:paraId="647F1ABF" w14:textId="77777777" w:rsidR="00622A88" w:rsidRDefault="00622A88" w:rsidP="00622A88">
      <w:pPr>
        <w:spacing w:after="0"/>
        <w:rPr>
          <w:rFonts w:ascii="Times New Roman" w:hAnsi="Times New Roman" w:cs="Times New Roman"/>
        </w:rPr>
      </w:pPr>
      <w:r>
        <w:rPr>
          <w:rFonts w:ascii="Times New Roman" w:hAnsi="Times New Roman" w:cs="Times New Roman"/>
        </w:rPr>
        <w:t xml:space="preserve">Dosage </w:t>
      </w:r>
      <w:r w:rsidRPr="004D6903">
        <w:rPr>
          <w:rFonts w:ascii="Times New Roman" w:hAnsi="Times New Roman" w:cs="Times New Roman"/>
        </w:rPr>
        <w:t>is the same as in adults</w:t>
      </w:r>
      <w:r>
        <w:rPr>
          <w:rFonts w:ascii="Times New Roman" w:hAnsi="Times New Roman" w:cs="Times New Roman"/>
        </w:rPr>
        <w:t xml:space="preserve"> (see above)</w:t>
      </w:r>
      <w:r w:rsidRPr="004D6903">
        <w:rPr>
          <w:rFonts w:ascii="Times New Roman" w:hAnsi="Times New Roman" w:cs="Times New Roman"/>
        </w:rPr>
        <w:t>.</w:t>
      </w:r>
    </w:p>
    <w:p w14:paraId="7B31F88F" w14:textId="77777777" w:rsidR="00622A88" w:rsidRDefault="00622A88" w:rsidP="00622A88">
      <w:pPr>
        <w:spacing w:after="0"/>
        <w:rPr>
          <w:rFonts w:ascii="Times New Roman" w:hAnsi="Times New Roman" w:cs="Times New Roman"/>
        </w:rPr>
      </w:pPr>
    </w:p>
    <w:p w14:paraId="47198AB9" w14:textId="77777777" w:rsidR="00622A88" w:rsidRPr="00A816AB" w:rsidRDefault="00622A88" w:rsidP="00622A88">
      <w:pPr>
        <w:spacing w:after="0"/>
        <w:rPr>
          <w:rFonts w:ascii="Times New Roman" w:hAnsi="Times New Roman" w:cs="Times New Roman"/>
          <w:u w:val="single"/>
        </w:rPr>
      </w:pPr>
      <w:r w:rsidRPr="00A816AB">
        <w:rPr>
          <w:rFonts w:ascii="Times New Roman" w:hAnsi="Times New Roman" w:cs="Times New Roman"/>
          <w:u w:val="single"/>
        </w:rPr>
        <w:t>Children from 4 years of age or adolescents weighing less than 50kg)</w:t>
      </w:r>
      <w:bookmarkEnd w:id="1"/>
    </w:p>
    <w:p w14:paraId="39EBAFF4" w14:textId="77777777" w:rsidR="00622A88" w:rsidRPr="00152560" w:rsidRDefault="00622A88" w:rsidP="00622A88">
      <w:pPr>
        <w:rPr>
          <w:rFonts w:ascii="Times New Roman" w:hAnsi="Times New Roman" w:cs="Times New Roman"/>
        </w:rPr>
      </w:pPr>
      <w:r w:rsidRPr="00152560">
        <w:rPr>
          <w:rFonts w:ascii="Times New Roman" w:hAnsi="Times New Roman" w:cs="Times New Roman"/>
        </w:rPr>
        <w:t>The recommended starting dose is 2 mg/kg/day which should be increased to an initial therapeutic dose of 4 mg/kg/day after one week.</w:t>
      </w:r>
    </w:p>
    <w:p w14:paraId="21C9E7D4" w14:textId="77777777" w:rsidR="00622A88" w:rsidRPr="00152560" w:rsidRDefault="00622A88" w:rsidP="00622A88">
      <w:pPr>
        <w:rPr>
          <w:rFonts w:ascii="Times New Roman" w:hAnsi="Times New Roman" w:cs="Times New Roman"/>
        </w:rPr>
      </w:pPr>
      <w:r w:rsidRPr="00152560">
        <w:rPr>
          <w:rFonts w:ascii="Times New Roman" w:hAnsi="Times New Roman" w:cs="Times New Roman"/>
        </w:rPr>
        <w:lastRenderedPageBreak/>
        <w:t xml:space="preserve">Depending on response and tolerability, the maintenance dose can be further increased by 2 mg/kg/day every week. In children weighing less than 30 kg, due to an increased clearance compared to adults, a maximum dose of up to 12 mg/kg/day is recommended. In children weighing from 30 to under 50 kg, a maximum dose of 8 mg/kg/day is recommended, although in open-label studies (see </w:t>
      </w:r>
      <w:r>
        <w:rPr>
          <w:rFonts w:ascii="Times New Roman" w:hAnsi="Times New Roman" w:cs="Times New Roman"/>
        </w:rPr>
        <w:t xml:space="preserve">Section 4.8 </w:t>
      </w:r>
      <w:r w:rsidRPr="00152560">
        <w:rPr>
          <w:rFonts w:ascii="Times New Roman" w:hAnsi="Times New Roman" w:cs="Times New Roman"/>
        </w:rPr>
        <w:t xml:space="preserve">Adverse effects </w:t>
      </w:r>
      <w:r>
        <w:rPr>
          <w:rFonts w:ascii="Times New Roman" w:hAnsi="Times New Roman" w:cs="Times New Roman"/>
        </w:rPr>
        <w:t xml:space="preserve">(Undesirable effects) </w:t>
      </w:r>
      <w:r w:rsidRPr="00152560">
        <w:rPr>
          <w:rFonts w:ascii="Times New Roman" w:hAnsi="Times New Roman" w:cs="Times New Roman"/>
        </w:rPr>
        <w:t xml:space="preserve">and </w:t>
      </w:r>
      <w:r>
        <w:rPr>
          <w:rFonts w:ascii="Times New Roman" w:hAnsi="Times New Roman" w:cs="Times New Roman"/>
        </w:rPr>
        <w:t>Section 5.2</w:t>
      </w:r>
      <w:r w:rsidRPr="00152560">
        <w:rPr>
          <w:rFonts w:ascii="Times New Roman" w:hAnsi="Times New Roman" w:cs="Times New Roman"/>
        </w:rPr>
        <w:t xml:space="preserve"> Pharmacokinetic properties) a dose up to 12 mg/kg/day has been used by a small number of these children. The maintenance dose should be gradually adjusted until the optimal response is obtained.</w:t>
      </w:r>
    </w:p>
    <w:p w14:paraId="59CF6EBB" w14:textId="77777777" w:rsidR="00622A88" w:rsidRPr="00152560" w:rsidRDefault="00622A88" w:rsidP="00622A88">
      <w:pPr>
        <w:rPr>
          <w:rFonts w:ascii="Times New Roman" w:hAnsi="Times New Roman" w:cs="Times New Roman"/>
        </w:rPr>
      </w:pPr>
      <w:r w:rsidRPr="00152560">
        <w:rPr>
          <w:rFonts w:ascii="Times New Roman" w:hAnsi="Times New Roman" w:cs="Times New Roman"/>
        </w:rPr>
        <w:t>Dosage in adolescents or children 50 kg or greater is the same as in adults (see above).</w:t>
      </w:r>
    </w:p>
    <w:p w14:paraId="05D7D70D" w14:textId="77777777" w:rsidR="00622A88" w:rsidRPr="00152560" w:rsidRDefault="00622A88" w:rsidP="00622A88">
      <w:pPr>
        <w:spacing w:after="0"/>
        <w:rPr>
          <w:rFonts w:ascii="Times New Roman" w:hAnsi="Times New Roman" w:cs="Times New Roman"/>
          <w:b/>
          <w:i/>
        </w:rPr>
      </w:pPr>
      <w:r w:rsidRPr="00152560">
        <w:rPr>
          <w:rFonts w:ascii="Times New Roman" w:hAnsi="Times New Roman" w:cs="Times New Roman"/>
          <w:b/>
          <w:i/>
        </w:rPr>
        <w:t>Loading dose</w:t>
      </w:r>
    </w:p>
    <w:p w14:paraId="4461BC67" w14:textId="77777777" w:rsidR="00622A88" w:rsidRPr="00152560" w:rsidRDefault="00622A88" w:rsidP="00622A88">
      <w:pPr>
        <w:rPr>
          <w:rFonts w:ascii="Times New Roman" w:hAnsi="Times New Roman" w:cs="Times New Roman"/>
        </w:rPr>
      </w:pPr>
      <w:r w:rsidRPr="00152560">
        <w:rPr>
          <w:rFonts w:ascii="Times New Roman" w:hAnsi="Times New Roman" w:cs="Times New Roman"/>
        </w:rPr>
        <w:t>Loading dose has not been studied in children.</w:t>
      </w:r>
    </w:p>
    <w:p w14:paraId="44B018EF" w14:textId="0A9FD9F0" w:rsidR="00ED5EBF" w:rsidRPr="00A66C41" w:rsidRDefault="00622A88" w:rsidP="00622A88">
      <w:pPr>
        <w:rPr>
          <w:rFonts w:ascii="Times New Roman" w:hAnsi="Times New Roman" w:cs="Times New Roman"/>
        </w:rPr>
      </w:pPr>
      <w:r w:rsidRPr="00152560">
        <w:rPr>
          <w:rFonts w:ascii="Times New Roman" w:hAnsi="Times New Roman" w:cs="Times New Roman"/>
        </w:rPr>
        <w:t xml:space="preserve">However, </w:t>
      </w:r>
      <w:r w:rsidRPr="000D7F59">
        <w:rPr>
          <w:rFonts w:ascii="Times New Roman" w:hAnsi="Times New Roman" w:cs="Times New Roman"/>
          <w:b/>
        </w:rPr>
        <w:t>for add-on therapy</w:t>
      </w:r>
      <w:r>
        <w:rPr>
          <w:rFonts w:ascii="Times New Roman" w:hAnsi="Times New Roman" w:cs="Times New Roman"/>
        </w:rPr>
        <w:t xml:space="preserve"> </w:t>
      </w:r>
      <w:r w:rsidRPr="00152560">
        <w:rPr>
          <w:rFonts w:ascii="Times New Roman" w:hAnsi="Times New Roman" w:cs="Times New Roman"/>
        </w:rPr>
        <w:t xml:space="preserve">in adolescents or children weighing 50 kg or greater, lacosamide treatment may also be initiated with a single loading dose. Dosage is the same as in adults (see above). A loading dose should be administered under medical supervision with consideration of the lacosamide pharmacokinetics (see </w:t>
      </w:r>
      <w:r>
        <w:rPr>
          <w:rFonts w:ascii="Times New Roman" w:hAnsi="Times New Roman" w:cs="Times New Roman"/>
        </w:rPr>
        <w:t>Section 5.2</w:t>
      </w:r>
      <w:r w:rsidRPr="00152560">
        <w:rPr>
          <w:rFonts w:ascii="Times New Roman" w:hAnsi="Times New Roman" w:cs="Times New Roman"/>
        </w:rPr>
        <w:t xml:space="preserve"> Pharmacokinetic properties) and the potential for increased incidence of CNS adverse reactions (see </w:t>
      </w:r>
      <w:r>
        <w:rPr>
          <w:rFonts w:ascii="Times New Roman" w:hAnsi="Times New Roman" w:cs="Times New Roman"/>
        </w:rPr>
        <w:t xml:space="preserve">Section 4.8 </w:t>
      </w:r>
      <w:r w:rsidRPr="00152560">
        <w:rPr>
          <w:rFonts w:ascii="Times New Roman" w:hAnsi="Times New Roman" w:cs="Times New Roman"/>
        </w:rPr>
        <w:t xml:space="preserve">Adverse </w:t>
      </w:r>
      <w:r>
        <w:rPr>
          <w:rFonts w:ascii="Times New Roman" w:hAnsi="Times New Roman" w:cs="Times New Roman"/>
        </w:rPr>
        <w:t>e</w:t>
      </w:r>
      <w:r w:rsidRPr="00152560">
        <w:rPr>
          <w:rFonts w:ascii="Times New Roman" w:hAnsi="Times New Roman" w:cs="Times New Roman"/>
        </w:rPr>
        <w:t>ffects</w:t>
      </w:r>
      <w:r>
        <w:rPr>
          <w:rFonts w:ascii="Times New Roman" w:hAnsi="Times New Roman" w:cs="Times New Roman"/>
        </w:rPr>
        <w:t xml:space="preserve"> (Undesirable effects)</w:t>
      </w:r>
      <w:r w:rsidRPr="00152560">
        <w:rPr>
          <w:rFonts w:ascii="Times New Roman" w:hAnsi="Times New Roman" w:cs="Times New Roman"/>
        </w:rPr>
        <w:t>). Administration of a loading dose has not been studied in acute conditions such as status epilepticus.</w:t>
      </w:r>
      <w:r w:rsidR="00175878" w:rsidRPr="00A66C41">
        <w:rPr>
          <w:rFonts w:ascii="Times New Roman" w:hAnsi="Times New Roman" w:cs="Times New Roman"/>
        </w:rPr>
        <w:br/>
      </w:r>
      <w:r w:rsidR="00175878" w:rsidRPr="00A66C41">
        <w:rPr>
          <w:rFonts w:ascii="Times New Roman" w:hAnsi="Times New Roman" w:cs="Times New Roman"/>
        </w:rPr>
        <w:br/>
      </w:r>
      <w:r w:rsidR="00175878" w:rsidRPr="00A66C41">
        <w:rPr>
          <w:rFonts w:ascii="Times New Roman" w:hAnsi="Times New Roman" w:cs="Times New Roman"/>
          <w:b/>
          <w:bCs/>
        </w:rPr>
        <w:t>Use in patients with impaired renal function</w:t>
      </w:r>
      <w:r w:rsidR="00175878" w:rsidRPr="00A66C41">
        <w:rPr>
          <w:rFonts w:ascii="Times New Roman" w:hAnsi="Times New Roman" w:cs="Times New Roman"/>
        </w:rPr>
        <w:br/>
        <w:t xml:space="preserve">No dose adjustment is necessary in mild </w:t>
      </w:r>
      <w:r>
        <w:rPr>
          <w:rFonts w:ascii="Times New Roman" w:hAnsi="Times New Roman" w:cs="Times New Roman"/>
        </w:rPr>
        <w:t>to</w:t>
      </w:r>
      <w:r w:rsidR="00175878" w:rsidRPr="00A66C41">
        <w:rPr>
          <w:rFonts w:ascii="Times New Roman" w:hAnsi="Times New Roman" w:cs="Times New Roman"/>
        </w:rPr>
        <w:t xml:space="preserve"> moderate renally impaired </w:t>
      </w:r>
      <w:r>
        <w:rPr>
          <w:rFonts w:ascii="Times New Roman" w:hAnsi="Times New Roman" w:cs="Times New Roman"/>
        </w:rPr>
        <w:t xml:space="preserve">adult </w:t>
      </w:r>
      <w:r w:rsidR="00175878" w:rsidRPr="00A66C41">
        <w:rPr>
          <w:rFonts w:ascii="Times New Roman" w:hAnsi="Times New Roman" w:cs="Times New Roman"/>
        </w:rPr>
        <w:t>patients (</w:t>
      </w:r>
      <w:proofErr w:type="spellStart"/>
      <w:r w:rsidR="00175878" w:rsidRPr="00A66C41">
        <w:rPr>
          <w:rFonts w:ascii="Times New Roman" w:hAnsi="Times New Roman" w:cs="Times New Roman"/>
        </w:rPr>
        <w:t>Cl</w:t>
      </w:r>
      <w:r w:rsidR="00175878" w:rsidRPr="00FB3A79">
        <w:rPr>
          <w:rFonts w:ascii="Times New Roman" w:hAnsi="Times New Roman" w:cs="Times New Roman"/>
          <w:vertAlign w:val="subscript"/>
        </w:rPr>
        <w:t>Cr</w:t>
      </w:r>
      <w:proofErr w:type="spellEnd"/>
      <w:r w:rsidR="00175878" w:rsidRPr="00A66C41">
        <w:rPr>
          <w:rFonts w:ascii="Times New Roman" w:hAnsi="Times New Roman" w:cs="Times New Roman"/>
        </w:rPr>
        <w:t xml:space="preserve"> &gt; 30 mL/min). </w:t>
      </w:r>
      <w:r w:rsidRPr="0018538C">
        <w:rPr>
          <w:rFonts w:ascii="Times New Roman" w:hAnsi="Times New Roman" w:cs="Times New Roman"/>
        </w:rPr>
        <w:t xml:space="preserve">Based on data in adults, no dose adjustment is necessary in paediatric patients with mild to moderate renal impairment (CLCR &gt;30 ml/min). </w:t>
      </w:r>
      <w:r w:rsidR="00175878" w:rsidRPr="00A66C41">
        <w:rPr>
          <w:rFonts w:ascii="Times New Roman" w:hAnsi="Times New Roman" w:cs="Times New Roman"/>
        </w:rPr>
        <w:t xml:space="preserve">A maximum dose of 250 mg/day is recommended for </w:t>
      </w:r>
      <w:r>
        <w:rPr>
          <w:rFonts w:ascii="Times New Roman" w:hAnsi="Times New Roman" w:cs="Times New Roman"/>
        </w:rPr>
        <w:t xml:space="preserve">adult </w:t>
      </w:r>
      <w:r w:rsidR="00175878" w:rsidRPr="00A66C41">
        <w:rPr>
          <w:rFonts w:ascii="Times New Roman" w:hAnsi="Times New Roman" w:cs="Times New Roman"/>
        </w:rPr>
        <w:t>patients with severe renal impairment (</w:t>
      </w:r>
      <w:proofErr w:type="spellStart"/>
      <w:r w:rsidR="00175878" w:rsidRPr="00A66C41">
        <w:rPr>
          <w:rFonts w:ascii="Times New Roman" w:hAnsi="Times New Roman" w:cs="Times New Roman"/>
        </w:rPr>
        <w:t>Cl</w:t>
      </w:r>
      <w:r w:rsidR="00175878" w:rsidRPr="00FB3A79">
        <w:rPr>
          <w:rFonts w:ascii="Times New Roman" w:hAnsi="Times New Roman" w:cs="Times New Roman"/>
          <w:vertAlign w:val="subscript"/>
        </w:rPr>
        <w:t>Cr</w:t>
      </w:r>
      <w:proofErr w:type="spellEnd"/>
      <w:r w:rsidR="00175878" w:rsidRPr="00A66C41">
        <w:rPr>
          <w:rFonts w:ascii="Times New Roman" w:hAnsi="Times New Roman" w:cs="Times New Roman"/>
        </w:rPr>
        <w:t xml:space="preserve"> ≤ 30 mL/min) and in </w:t>
      </w:r>
      <w:r>
        <w:rPr>
          <w:rFonts w:ascii="Times New Roman" w:hAnsi="Times New Roman" w:cs="Times New Roman"/>
        </w:rPr>
        <w:t xml:space="preserve">adult </w:t>
      </w:r>
      <w:r w:rsidR="00175878" w:rsidRPr="00A66C41">
        <w:rPr>
          <w:rFonts w:ascii="Times New Roman" w:hAnsi="Times New Roman" w:cs="Times New Roman"/>
        </w:rPr>
        <w:t xml:space="preserve">patients with </w:t>
      </w:r>
      <w:r w:rsidR="00CB3655">
        <w:rPr>
          <w:rFonts w:ascii="Times New Roman" w:hAnsi="Times New Roman" w:cs="Times New Roman"/>
        </w:rPr>
        <w:t>end-stage</w:t>
      </w:r>
      <w:r w:rsidR="00175878" w:rsidRPr="00A66C41">
        <w:rPr>
          <w:rFonts w:ascii="Times New Roman" w:hAnsi="Times New Roman" w:cs="Times New Roman"/>
        </w:rPr>
        <w:t xml:space="preserve"> renal disease. </w:t>
      </w:r>
      <w:r w:rsidRPr="0018538C">
        <w:rPr>
          <w:rFonts w:ascii="Times New Roman" w:hAnsi="Times New Roman" w:cs="Times New Roman"/>
        </w:rPr>
        <w:t xml:space="preserve">In paediatric patients with severe renal impairment (CLCR ≤30 ml/min) and in those with </w:t>
      </w:r>
      <w:proofErr w:type="spellStart"/>
      <w:r w:rsidRPr="0018538C">
        <w:rPr>
          <w:rFonts w:ascii="Times New Roman" w:hAnsi="Times New Roman" w:cs="Times New Roman"/>
        </w:rPr>
        <w:t>endstage</w:t>
      </w:r>
      <w:proofErr w:type="spellEnd"/>
      <w:r w:rsidRPr="0018538C">
        <w:rPr>
          <w:rFonts w:ascii="Times New Roman" w:hAnsi="Times New Roman" w:cs="Times New Roman"/>
        </w:rPr>
        <w:t xml:space="preserve"> renal disease, a reduction of 25% of the maximum dose is recommended.</w:t>
      </w:r>
      <w:r>
        <w:rPr>
          <w:rFonts w:ascii="Times New Roman" w:hAnsi="Times New Roman" w:cs="Times New Roman"/>
        </w:rPr>
        <w:t xml:space="preserve"> </w:t>
      </w:r>
      <w:r w:rsidR="00175878" w:rsidRPr="00A66C41">
        <w:rPr>
          <w:rFonts w:ascii="Times New Roman" w:hAnsi="Times New Roman" w:cs="Times New Roman"/>
        </w:rPr>
        <w:t xml:space="preserve">For patients requiring haemodialysis a supplement of up to 50% of the divided daily dose directly after the end of haemodialysis is recommended. Treatment of patients with </w:t>
      </w:r>
      <w:r w:rsidR="00CB3655">
        <w:rPr>
          <w:rFonts w:ascii="Times New Roman" w:hAnsi="Times New Roman" w:cs="Times New Roman"/>
        </w:rPr>
        <w:t>end-stage</w:t>
      </w:r>
      <w:r w:rsidR="00175878" w:rsidRPr="00A66C41">
        <w:rPr>
          <w:rFonts w:ascii="Times New Roman" w:hAnsi="Times New Roman" w:cs="Times New Roman"/>
        </w:rPr>
        <w:t xml:space="preserve"> renal disease should be made with caution as there is little clinical experience and accumulation of a metabolite (with no known pharmacological activity). In all patients with renal impairment, the dose titration should be performed with caution (see</w:t>
      </w:r>
      <w:r w:rsidR="004F53FF" w:rsidRPr="00A66C41">
        <w:rPr>
          <w:rFonts w:ascii="Times New Roman" w:hAnsi="Times New Roman" w:cs="Times New Roman"/>
        </w:rPr>
        <w:t xml:space="preserve"> Section 5.2 Pharmacokinetic Properties, Pharmacokinetics in special patient groups</w:t>
      </w:r>
      <w:r w:rsidR="00175878" w:rsidRPr="00A66C41">
        <w:rPr>
          <w:rFonts w:ascii="Times New Roman" w:hAnsi="Times New Roman" w:cs="Times New Roman"/>
        </w:rPr>
        <w:t>).</w:t>
      </w:r>
      <w:r w:rsidR="00175878" w:rsidRPr="00A66C41">
        <w:rPr>
          <w:rFonts w:ascii="Times New Roman" w:hAnsi="Times New Roman" w:cs="Times New Roman"/>
        </w:rPr>
        <w:br/>
      </w:r>
      <w:r w:rsidR="00175878" w:rsidRPr="00A66C41">
        <w:rPr>
          <w:rFonts w:ascii="Times New Roman" w:hAnsi="Times New Roman" w:cs="Times New Roman"/>
        </w:rPr>
        <w:br/>
      </w:r>
      <w:r w:rsidR="00175878" w:rsidRPr="00A66C41">
        <w:rPr>
          <w:rFonts w:ascii="Times New Roman" w:hAnsi="Times New Roman" w:cs="Times New Roman"/>
          <w:b/>
          <w:bCs/>
        </w:rPr>
        <w:t>Use in patients with impaired hepatic function</w:t>
      </w:r>
      <w:r w:rsidR="00175878" w:rsidRPr="00A66C41">
        <w:rPr>
          <w:rFonts w:ascii="Times New Roman" w:hAnsi="Times New Roman" w:cs="Times New Roman"/>
        </w:rPr>
        <w:br/>
        <w:t xml:space="preserve">A maximum dose of 300 mg/day is recommended for patients with mild to moderate hepatic impairment. The dose titration in these patients should be performed with caution considering coexisting renal impairment. </w:t>
      </w:r>
      <w:r w:rsidRPr="00325857">
        <w:rPr>
          <w:rFonts w:ascii="Times New Roman" w:hAnsi="Times New Roman" w:cs="Times New Roman"/>
        </w:rPr>
        <w:t xml:space="preserve">Based on data in adults, in paediatric patients with mild to moderate hepatic impairment a reduction of 25% of the maximum dose should be applied. </w:t>
      </w:r>
      <w:r w:rsidR="00175878" w:rsidRPr="00A66C41">
        <w:rPr>
          <w:rFonts w:ascii="Times New Roman" w:hAnsi="Times New Roman" w:cs="Times New Roman"/>
        </w:rPr>
        <w:t>The pharmacokinetics of lacosamide has not been evaluated in severely hepatic impaired patients (see</w:t>
      </w:r>
      <w:r w:rsidR="004F53FF" w:rsidRPr="00A66C41">
        <w:rPr>
          <w:rFonts w:ascii="Times New Roman" w:hAnsi="Times New Roman" w:cs="Times New Roman"/>
        </w:rPr>
        <w:t xml:space="preserve"> Section </w:t>
      </w:r>
      <w:bookmarkStart w:id="2" w:name="_Hlk514165209"/>
      <w:r w:rsidR="004F53FF" w:rsidRPr="00A66C41">
        <w:rPr>
          <w:rFonts w:ascii="Times New Roman" w:hAnsi="Times New Roman" w:cs="Times New Roman"/>
        </w:rPr>
        <w:t>5.2 Pharmacokinetic Properties</w:t>
      </w:r>
      <w:bookmarkEnd w:id="2"/>
      <w:r w:rsidR="004F53FF" w:rsidRPr="00A66C41">
        <w:rPr>
          <w:rFonts w:ascii="Times New Roman" w:hAnsi="Times New Roman" w:cs="Times New Roman"/>
        </w:rPr>
        <w:t>, Pharmacokinetics in special patient groups</w:t>
      </w:r>
      <w:r w:rsidR="00175878" w:rsidRPr="00A66C41">
        <w:rPr>
          <w:rFonts w:ascii="Times New Roman" w:hAnsi="Times New Roman" w:cs="Times New Roman"/>
        </w:rPr>
        <w:t>). Lacosamide should be administered to patients with severe hepatic impairment only when the expected therapeutic benefits outweigh the possible risks, and the dosage and administration need to be adjusted while carefully observing the symptoms of patient.</w:t>
      </w:r>
      <w:r w:rsidR="00175878" w:rsidRPr="00A66C41">
        <w:rPr>
          <w:rFonts w:ascii="Times New Roman" w:hAnsi="Times New Roman" w:cs="Times New Roman"/>
        </w:rPr>
        <w:br/>
      </w:r>
      <w:r w:rsidR="00175878" w:rsidRPr="00A66C41">
        <w:rPr>
          <w:rFonts w:ascii="Times New Roman" w:hAnsi="Times New Roman" w:cs="Times New Roman"/>
        </w:rPr>
        <w:br/>
      </w:r>
      <w:r w:rsidR="00175878" w:rsidRPr="00A66C41">
        <w:rPr>
          <w:rFonts w:ascii="Times New Roman" w:hAnsi="Times New Roman" w:cs="Times New Roman"/>
          <w:b/>
          <w:bCs/>
        </w:rPr>
        <w:t>Use in elderly (65 years and older)</w:t>
      </w:r>
      <w:r w:rsidR="00175878" w:rsidRPr="00A66C41">
        <w:rPr>
          <w:rFonts w:ascii="Times New Roman" w:hAnsi="Times New Roman" w:cs="Times New Roman"/>
        </w:rPr>
        <w:br/>
        <w:t xml:space="preserve">No dose reduction is necessary in elderly patients. Age associated decreased renal clearance should be </w:t>
      </w:r>
      <w:r w:rsidR="00175878" w:rsidRPr="00A66C41">
        <w:rPr>
          <w:rFonts w:ascii="Times New Roman" w:hAnsi="Times New Roman" w:cs="Times New Roman"/>
        </w:rPr>
        <w:lastRenderedPageBreak/>
        <w:t>considered in elderly patients (</w:t>
      </w:r>
      <w:r w:rsidR="00563D42" w:rsidRPr="00A66C41">
        <w:rPr>
          <w:rFonts w:ascii="Times New Roman" w:hAnsi="Times New Roman" w:cs="Times New Roman"/>
        </w:rPr>
        <w:t>s</w:t>
      </w:r>
      <w:r w:rsidR="00175878" w:rsidRPr="00A66C41">
        <w:rPr>
          <w:rFonts w:ascii="Times New Roman" w:hAnsi="Times New Roman" w:cs="Times New Roman"/>
        </w:rPr>
        <w:t>ee</w:t>
      </w:r>
      <w:r w:rsidR="004F53FF" w:rsidRPr="00A66C41">
        <w:rPr>
          <w:rFonts w:ascii="Times New Roman" w:hAnsi="Times New Roman" w:cs="Times New Roman"/>
        </w:rPr>
        <w:t xml:space="preserve"> </w:t>
      </w:r>
      <w:r w:rsidR="00DE0EDA">
        <w:rPr>
          <w:rFonts w:ascii="Times New Roman" w:hAnsi="Times New Roman" w:cs="Times New Roman"/>
        </w:rPr>
        <w:t>‘</w:t>
      </w:r>
      <w:r w:rsidR="004F53FF" w:rsidRPr="00A66C41">
        <w:rPr>
          <w:rFonts w:ascii="Times New Roman" w:hAnsi="Times New Roman" w:cs="Times New Roman"/>
        </w:rPr>
        <w:t>Use in patients with impaired renal function</w:t>
      </w:r>
      <w:r w:rsidR="00DE0EDA">
        <w:rPr>
          <w:rFonts w:ascii="Times New Roman" w:hAnsi="Times New Roman" w:cs="Times New Roman"/>
        </w:rPr>
        <w:t>’ above</w:t>
      </w:r>
      <w:r w:rsidR="004F53FF" w:rsidRPr="00A66C41">
        <w:rPr>
          <w:rFonts w:ascii="Times New Roman" w:hAnsi="Times New Roman" w:cs="Times New Roman"/>
        </w:rPr>
        <w:t xml:space="preserve"> and Section 5.2 Pharmacokinetic Properties, Pharmacokinetics in special patient groups</w:t>
      </w:r>
      <w:r w:rsidR="00175878" w:rsidRPr="00A66C41">
        <w:rPr>
          <w:rFonts w:ascii="Times New Roman" w:hAnsi="Times New Roman" w:cs="Times New Roman"/>
        </w:rPr>
        <w:t>).</w:t>
      </w:r>
    </w:p>
    <w:p w14:paraId="44B018F0" w14:textId="77777777" w:rsidR="00ED5EBF" w:rsidRPr="00A66C41" w:rsidRDefault="00175878" w:rsidP="00A76E2B">
      <w:pPr>
        <w:pStyle w:val="Heading2"/>
        <w:rPr>
          <w:rFonts w:ascii="Times New Roman" w:hAnsi="Times New Roman" w:cs="Times New Roman"/>
        </w:rPr>
      </w:pPr>
      <w:r w:rsidRPr="00A66C41">
        <w:rPr>
          <w:rFonts w:ascii="Times New Roman" w:hAnsi="Times New Roman" w:cs="Times New Roman"/>
        </w:rPr>
        <w:t>Contraindications</w:t>
      </w:r>
    </w:p>
    <w:p w14:paraId="44B018F1" w14:textId="5E280A1C" w:rsidR="00ED5EBF" w:rsidRPr="00A66C41" w:rsidRDefault="00175878" w:rsidP="00A76E2B">
      <w:pPr>
        <w:rPr>
          <w:rFonts w:ascii="Times New Roman" w:hAnsi="Times New Roman" w:cs="Times New Roman"/>
        </w:rPr>
      </w:pPr>
      <w:r w:rsidRPr="00A66C41">
        <w:rPr>
          <w:rFonts w:ascii="Times New Roman" w:hAnsi="Times New Roman" w:cs="Times New Roman"/>
        </w:rPr>
        <w:t>Hypersensitivity to the active substance or to any of the excipients.</w:t>
      </w:r>
      <w:r w:rsidRPr="00A66C41">
        <w:rPr>
          <w:rFonts w:ascii="Times New Roman" w:hAnsi="Times New Roman" w:cs="Times New Roman"/>
        </w:rPr>
        <w:br/>
      </w:r>
      <w:r w:rsidRPr="00A66C41">
        <w:rPr>
          <w:rFonts w:ascii="Times New Roman" w:hAnsi="Times New Roman" w:cs="Times New Roman"/>
        </w:rPr>
        <w:br/>
        <w:t>Known second or third deg</w:t>
      </w:r>
      <w:r w:rsidR="001416A8">
        <w:rPr>
          <w:rFonts w:ascii="Times New Roman" w:hAnsi="Times New Roman" w:cs="Times New Roman"/>
        </w:rPr>
        <w:t>ree atrioventricular (A</w:t>
      </w:r>
      <w:r w:rsidRPr="00A66C41">
        <w:rPr>
          <w:rFonts w:ascii="Times New Roman" w:hAnsi="Times New Roman" w:cs="Times New Roman"/>
        </w:rPr>
        <w:t>V) block.</w:t>
      </w:r>
    </w:p>
    <w:p w14:paraId="44B018F2" w14:textId="77777777" w:rsidR="00ED5EBF" w:rsidRPr="00A66C41" w:rsidRDefault="00175878" w:rsidP="00A76E2B">
      <w:pPr>
        <w:pStyle w:val="Heading2"/>
        <w:rPr>
          <w:rFonts w:ascii="Times New Roman" w:hAnsi="Times New Roman" w:cs="Times New Roman"/>
        </w:rPr>
      </w:pPr>
      <w:r w:rsidRPr="00A66C41">
        <w:rPr>
          <w:rFonts w:ascii="Times New Roman" w:hAnsi="Times New Roman" w:cs="Times New Roman"/>
        </w:rPr>
        <w:t>Special warnings and precautions for use</w:t>
      </w:r>
    </w:p>
    <w:p w14:paraId="0C76229C" w14:textId="6620C031" w:rsidR="00622A88" w:rsidRPr="00A71ADC" w:rsidRDefault="00622A88" w:rsidP="00A71ADC">
      <w:pPr>
        <w:rPr>
          <w:rFonts w:ascii="Times New Roman" w:hAnsi="Times New Roman" w:cs="Times New Roman"/>
        </w:rPr>
      </w:pPr>
      <w:r w:rsidRPr="00A71ADC">
        <w:rPr>
          <w:rFonts w:ascii="Times New Roman" w:hAnsi="Times New Roman" w:cs="Times New Roman"/>
        </w:rPr>
        <w:t>Vimpat (lacosamide) oral solution contains aspartame, a source of phenylalanine, which may be harmful for people with phenylketonuria.</w:t>
      </w:r>
    </w:p>
    <w:p w14:paraId="44B018F3" w14:textId="05579830"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Suicidal behaviour and ideation</w:t>
      </w:r>
    </w:p>
    <w:p w14:paraId="44B018F4" w14:textId="4624E082" w:rsidR="0001573B" w:rsidRPr="00A66C41" w:rsidRDefault="00175878" w:rsidP="00471703">
      <w:pPr>
        <w:spacing w:after="160"/>
        <w:rPr>
          <w:rFonts w:ascii="Times New Roman" w:hAnsi="Times New Roman" w:cs="Times New Roman"/>
        </w:rPr>
      </w:pPr>
      <w:r w:rsidRPr="00A66C41">
        <w:rPr>
          <w:rFonts w:ascii="Times New Roman" w:hAnsi="Times New Roman" w:cs="Times New Roman"/>
        </w:rPr>
        <w:t>Antiepileptic drugs, including lacosamide, increase the risk of suicidal thoughts or behaviour in patients taking these drugs for any indication. Patients treated with any AED for any indication should be monitored for the emergence or worsening of depression, suicidal thoughts or behaviour, and/or any unusual changes in mood or behaviour.</w:t>
      </w:r>
      <w:r w:rsidRPr="00A66C41">
        <w:rPr>
          <w:rFonts w:ascii="Times New Roman" w:hAnsi="Times New Roman" w:cs="Times New Roman"/>
        </w:rPr>
        <w:br/>
      </w:r>
      <w:r w:rsidRPr="00A66C41">
        <w:rPr>
          <w:rFonts w:ascii="Times New Roman" w:hAnsi="Times New Roman" w:cs="Times New Roman"/>
        </w:rPr>
        <w:br/>
        <w:t xml:space="preserve">Pooled analyses of 199 </w:t>
      </w:r>
      <w:r w:rsidR="00450A64">
        <w:rPr>
          <w:rFonts w:ascii="Times New Roman" w:hAnsi="Times New Roman" w:cs="Times New Roman"/>
        </w:rPr>
        <w:t>placebo-c</w:t>
      </w:r>
      <w:r w:rsidRPr="00A66C41">
        <w:rPr>
          <w:rFonts w:ascii="Times New Roman" w:hAnsi="Times New Roman" w:cs="Times New Roman"/>
        </w:rPr>
        <w:t>ontrolled clinical trials (mono- and adjunctive therapy) of 11 different AEDs showed that patients randomised to one of the AEDs had approxim</w:t>
      </w:r>
      <w:r w:rsidR="0010046E">
        <w:rPr>
          <w:rFonts w:ascii="Times New Roman" w:hAnsi="Times New Roman" w:cs="Times New Roman"/>
        </w:rPr>
        <w:t>ately twice the risk (adjusted R</w:t>
      </w:r>
      <w:r w:rsidRPr="00A66C41">
        <w:rPr>
          <w:rFonts w:ascii="Times New Roman" w:hAnsi="Times New Roman" w:cs="Times New Roman"/>
        </w:rPr>
        <w:t>elativ</w:t>
      </w:r>
      <w:r w:rsidR="0010046E">
        <w:rPr>
          <w:rFonts w:ascii="Times New Roman" w:hAnsi="Times New Roman" w:cs="Times New Roman"/>
        </w:rPr>
        <w:t>e R</w:t>
      </w:r>
      <w:r w:rsidRPr="00A66C41">
        <w:rPr>
          <w:rFonts w:ascii="Times New Roman" w:hAnsi="Times New Roman" w:cs="Times New Roman"/>
        </w:rPr>
        <w:t>isk 1.8, 95% CI:</w:t>
      </w:r>
      <w:r w:rsidR="0010046E">
        <w:rPr>
          <w:rFonts w:ascii="Times New Roman" w:hAnsi="Times New Roman" w:cs="Times New Roman"/>
        </w:rPr>
        <w:t xml:space="preserve"> </w:t>
      </w:r>
      <w:r w:rsidRPr="00A66C41">
        <w:rPr>
          <w:rFonts w:ascii="Times New Roman" w:hAnsi="Times New Roman" w:cs="Times New Roman"/>
        </w:rPr>
        <w:t>1.2, 2.7) of suicidal thinking or behaviour compared to patients randomised to placebo. In these trials, which had a median treatment duration of 12 weeks, the estimated incidence rate of suicidal behaviour or ideation among 27,863 AED treated patients was 0.43%, compared to 0.24% among 16,029 placebo treated patients, representing an increase of approximately one case of suicidal thinking or behaviour for every 530 patients treated. There were four suicides in drug treated patients in the trials and none in placebo treated patients, but the number is too small to allow any conclusion about drug effect on suicide.</w:t>
      </w:r>
      <w:r w:rsidRPr="00A66C41">
        <w:rPr>
          <w:rFonts w:ascii="Times New Roman" w:hAnsi="Times New Roman" w:cs="Times New Roman"/>
        </w:rPr>
        <w:br/>
      </w:r>
      <w:r w:rsidRPr="00A66C41">
        <w:rPr>
          <w:rFonts w:ascii="Times New Roman" w:hAnsi="Times New Roman" w:cs="Times New Roman"/>
        </w:rPr>
        <w:br/>
        <w:t>The increased risk of suicidal thoughts or behaviour with AEDs was observed as early as one week after starting drug treatment with AEDs and persisted for the duration of treatment assessed. Because most trials included in the analysis did not extend beyond 24 weeks, the risk of suicidal thoughts or behaviour beyond 24 weeks could not be assessed.</w:t>
      </w:r>
      <w:r w:rsidRPr="00A66C41">
        <w:rPr>
          <w:rFonts w:ascii="Times New Roman" w:hAnsi="Times New Roman" w:cs="Times New Roman"/>
        </w:rPr>
        <w:br/>
      </w:r>
      <w:r w:rsidRPr="00A66C41">
        <w:rPr>
          <w:rFonts w:ascii="Times New Roman" w:hAnsi="Times New Roman" w:cs="Times New Roman"/>
        </w:rPr>
        <w:br/>
        <w:t>The risk of suicidal thoughts or behaviour was generally consistent among drugs in the data analysed. The finding of increased risk with AEDs of varying mechanisms of action and across a range of indications suggests that the risk applies to all AEDs used for any indication. The risk did not vary substantially by age (5-100 years) in the clinical trials analysed. Table 1 shows absolute and relative risk by indication for all evaluated AEDs.</w:t>
      </w:r>
      <w:r w:rsidRPr="00A66C41">
        <w:rPr>
          <w:rFonts w:ascii="Times New Roman" w:hAnsi="Times New Roman" w:cs="Times New Roman"/>
        </w:rPr>
        <w:br/>
      </w:r>
      <w:r w:rsidRPr="00A66C41">
        <w:rPr>
          <w:rFonts w:ascii="Times New Roman" w:hAnsi="Times New Roman" w:cs="Times New Roman"/>
        </w:rPr>
        <w:br/>
      </w:r>
      <w:r w:rsidR="0001573B" w:rsidRPr="00A66C41">
        <w:rPr>
          <w:rFonts w:ascii="Times New Roman" w:hAnsi="Times New Roman" w:cs="Times New Roman"/>
          <w:b/>
        </w:rPr>
        <w:t>Table 1 - Risk by indication for antiepileptic drugs in the pooled analysis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635"/>
        <w:gridCol w:w="1636"/>
        <w:gridCol w:w="2081"/>
        <w:gridCol w:w="1784"/>
      </w:tblGrid>
      <w:tr w:rsidR="00471703" w:rsidRPr="00A66C41" w14:paraId="44B018FA" w14:textId="77777777" w:rsidTr="00924ED2">
        <w:tc>
          <w:tcPr>
            <w:tcW w:w="1369" w:type="dxa"/>
            <w:shd w:val="clear" w:color="auto" w:fill="auto"/>
          </w:tcPr>
          <w:p w14:paraId="44B018F5" w14:textId="77777777" w:rsidR="00471703" w:rsidRPr="00A66C41" w:rsidRDefault="00471703" w:rsidP="00924ED2">
            <w:pPr>
              <w:autoSpaceDE w:val="0"/>
              <w:autoSpaceDN w:val="0"/>
              <w:adjustRightInd w:val="0"/>
              <w:spacing w:after="0"/>
              <w:rPr>
                <w:rFonts w:ascii="Times New Roman" w:eastAsia="SimSun" w:hAnsi="Times New Roman" w:cs="Times New Roman"/>
                <w:b/>
                <w:bCs/>
                <w:sz w:val="20"/>
                <w:szCs w:val="26"/>
                <w:lang w:val="en-US" w:eastAsia="zh-CN"/>
              </w:rPr>
            </w:pPr>
            <w:r w:rsidRPr="00A66C41">
              <w:rPr>
                <w:rFonts w:ascii="Times New Roman" w:eastAsia="SimSun" w:hAnsi="Times New Roman" w:cs="Times New Roman"/>
                <w:b/>
                <w:bCs/>
                <w:sz w:val="20"/>
                <w:szCs w:val="26"/>
                <w:lang w:val="en-US" w:eastAsia="zh-CN"/>
              </w:rPr>
              <w:t>Indication</w:t>
            </w:r>
          </w:p>
        </w:tc>
        <w:tc>
          <w:tcPr>
            <w:tcW w:w="1635" w:type="dxa"/>
            <w:shd w:val="clear" w:color="auto" w:fill="auto"/>
          </w:tcPr>
          <w:p w14:paraId="44B018F6" w14:textId="77777777" w:rsidR="00471703" w:rsidRPr="00A66C41" w:rsidRDefault="00471703" w:rsidP="00924ED2">
            <w:pPr>
              <w:autoSpaceDE w:val="0"/>
              <w:autoSpaceDN w:val="0"/>
              <w:adjustRightInd w:val="0"/>
              <w:spacing w:after="0"/>
              <w:jc w:val="center"/>
              <w:rPr>
                <w:rFonts w:ascii="Times New Roman" w:eastAsia="SimSun" w:hAnsi="Times New Roman" w:cs="Times New Roman"/>
                <w:b/>
                <w:bCs/>
                <w:sz w:val="20"/>
                <w:szCs w:val="26"/>
                <w:lang w:val="en-US" w:eastAsia="zh-CN"/>
              </w:rPr>
            </w:pPr>
            <w:r w:rsidRPr="00A66C41">
              <w:rPr>
                <w:rFonts w:ascii="Times New Roman" w:eastAsia="SimSun" w:hAnsi="Times New Roman" w:cs="Times New Roman"/>
                <w:b/>
                <w:bCs/>
                <w:sz w:val="20"/>
                <w:szCs w:val="26"/>
                <w:lang w:val="en-US" w:eastAsia="zh-CN"/>
              </w:rPr>
              <w:t>Placebo patients with events/1000 patients</w:t>
            </w:r>
          </w:p>
        </w:tc>
        <w:tc>
          <w:tcPr>
            <w:tcW w:w="1636" w:type="dxa"/>
            <w:shd w:val="clear" w:color="auto" w:fill="auto"/>
          </w:tcPr>
          <w:p w14:paraId="44B018F7" w14:textId="77777777" w:rsidR="00471703" w:rsidRPr="00A66C41" w:rsidRDefault="00471703" w:rsidP="00924ED2">
            <w:pPr>
              <w:autoSpaceDE w:val="0"/>
              <w:autoSpaceDN w:val="0"/>
              <w:adjustRightInd w:val="0"/>
              <w:spacing w:after="0"/>
              <w:jc w:val="center"/>
              <w:rPr>
                <w:rFonts w:ascii="Times New Roman" w:eastAsia="SimSun" w:hAnsi="Times New Roman" w:cs="Times New Roman"/>
                <w:b/>
                <w:bCs/>
                <w:sz w:val="20"/>
                <w:szCs w:val="26"/>
                <w:lang w:val="en-US" w:eastAsia="zh-CN"/>
              </w:rPr>
            </w:pPr>
            <w:r w:rsidRPr="00A66C41">
              <w:rPr>
                <w:rFonts w:ascii="Times New Roman" w:eastAsia="SimSun" w:hAnsi="Times New Roman" w:cs="Times New Roman"/>
                <w:b/>
                <w:bCs/>
                <w:sz w:val="20"/>
                <w:szCs w:val="26"/>
                <w:lang w:val="en-US" w:eastAsia="zh-CN"/>
              </w:rPr>
              <w:t>Drug patients with events/1000 patients</w:t>
            </w:r>
          </w:p>
        </w:tc>
        <w:tc>
          <w:tcPr>
            <w:tcW w:w="2081" w:type="dxa"/>
            <w:shd w:val="clear" w:color="auto" w:fill="auto"/>
          </w:tcPr>
          <w:p w14:paraId="44B018F8" w14:textId="77777777" w:rsidR="00471703" w:rsidRPr="00A66C41" w:rsidRDefault="00471703" w:rsidP="00924ED2">
            <w:pPr>
              <w:autoSpaceDE w:val="0"/>
              <w:autoSpaceDN w:val="0"/>
              <w:adjustRightInd w:val="0"/>
              <w:spacing w:after="0"/>
              <w:jc w:val="center"/>
              <w:rPr>
                <w:rFonts w:ascii="Times New Roman" w:eastAsia="SimSun" w:hAnsi="Times New Roman" w:cs="Times New Roman"/>
                <w:b/>
                <w:bCs/>
                <w:sz w:val="20"/>
                <w:szCs w:val="26"/>
                <w:lang w:val="en-US" w:eastAsia="zh-CN"/>
              </w:rPr>
            </w:pPr>
            <w:r w:rsidRPr="00A66C41">
              <w:rPr>
                <w:rFonts w:ascii="Times New Roman" w:eastAsia="SimSun" w:hAnsi="Times New Roman" w:cs="Times New Roman"/>
                <w:b/>
                <w:bCs/>
                <w:sz w:val="20"/>
                <w:szCs w:val="26"/>
                <w:lang w:val="en-US" w:eastAsia="zh-CN"/>
              </w:rPr>
              <w:t>Relative Risk: Incidence of events in Drug patients/incidence in Placebo patients</w:t>
            </w:r>
          </w:p>
        </w:tc>
        <w:tc>
          <w:tcPr>
            <w:tcW w:w="1784" w:type="dxa"/>
            <w:shd w:val="clear" w:color="auto" w:fill="auto"/>
          </w:tcPr>
          <w:p w14:paraId="44B018F9" w14:textId="77777777" w:rsidR="00471703" w:rsidRPr="00A66C41" w:rsidRDefault="00471703" w:rsidP="00924ED2">
            <w:pPr>
              <w:autoSpaceDE w:val="0"/>
              <w:autoSpaceDN w:val="0"/>
              <w:adjustRightInd w:val="0"/>
              <w:spacing w:after="0"/>
              <w:jc w:val="center"/>
              <w:rPr>
                <w:rFonts w:ascii="Times New Roman" w:eastAsia="SimSun" w:hAnsi="Times New Roman" w:cs="Times New Roman"/>
                <w:b/>
                <w:bCs/>
                <w:sz w:val="20"/>
                <w:szCs w:val="26"/>
                <w:lang w:val="en-US" w:eastAsia="zh-CN"/>
              </w:rPr>
            </w:pPr>
            <w:r w:rsidRPr="00A66C41">
              <w:rPr>
                <w:rFonts w:ascii="Times New Roman" w:eastAsia="SimSun" w:hAnsi="Times New Roman" w:cs="Times New Roman"/>
                <w:b/>
                <w:bCs/>
                <w:sz w:val="20"/>
                <w:szCs w:val="26"/>
                <w:lang w:val="en-US" w:eastAsia="zh-CN"/>
              </w:rPr>
              <w:t>Risk Difference: Additional Drug patients with events per 1000 patients</w:t>
            </w:r>
          </w:p>
        </w:tc>
      </w:tr>
      <w:tr w:rsidR="00471703" w:rsidRPr="00A66C41" w14:paraId="44B0190F" w14:textId="77777777" w:rsidTr="00924ED2">
        <w:trPr>
          <w:trHeight w:val="1007"/>
        </w:trPr>
        <w:tc>
          <w:tcPr>
            <w:tcW w:w="1369" w:type="dxa"/>
            <w:shd w:val="clear" w:color="auto" w:fill="auto"/>
          </w:tcPr>
          <w:p w14:paraId="44B018FB" w14:textId="77777777" w:rsidR="00471703" w:rsidRPr="00A66C41" w:rsidRDefault="00471703" w:rsidP="00924ED2">
            <w:pPr>
              <w:autoSpaceDE w:val="0"/>
              <w:autoSpaceDN w:val="0"/>
              <w:adjustRightInd w:val="0"/>
              <w:spacing w:after="0"/>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lastRenderedPageBreak/>
              <w:t>Epilepsy</w:t>
            </w:r>
          </w:p>
          <w:p w14:paraId="44B018FC" w14:textId="77777777" w:rsidR="00471703" w:rsidRPr="00A66C41" w:rsidRDefault="00471703" w:rsidP="00924ED2">
            <w:pPr>
              <w:autoSpaceDE w:val="0"/>
              <w:autoSpaceDN w:val="0"/>
              <w:adjustRightInd w:val="0"/>
              <w:spacing w:after="0"/>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Psychiatric</w:t>
            </w:r>
          </w:p>
          <w:p w14:paraId="44B018FD" w14:textId="77777777" w:rsidR="00471703" w:rsidRPr="00A66C41" w:rsidRDefault="00471703" w:rsidP="00924ED2">
            <w:pPr>
              <w:autoSpaceDE w:val="0"/>
              <w:autoSpaceDN w:val="0"/>
              <w:adjustRightInd w:val="0"/>
              <w:spacing w:after="0"/>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Other</w:t>
            </w:r>
          </w:p>
          <w:p w14:paraId="44B018FE" w14:textId="77777777" w:rsidR="00471703" w:rsidRPr="00A66C41" w:rsidRDefault="00471703" w:rsidP="00924ED2">
            <w:pPr>
              <w:autoSpaceDE w:val="0"/>
              <w:autoSpaceDN w:val="0"/>
              <w:adjustRightInd w:val="0"/>
              <w:spacing w:after="0"/>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Total</w:t>
            </w:r>
          </w:p>
        </w:tc>
        <w:tc>
          <w:tcPr>
            <w:tcW w:w="1635" w:type="dxa"/>
            <w:shd w:val="clear" w:color="auto" w:fill="auto"/>
          </w:tcPr>
          <w:p w14:paraId="44B018FF"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1.0</w:t>
            </w:r>
          </w:p>
          <w:p w14:paraId="44B01900"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5.7</w:t>
            </w:r>
          </w:p>
          <w:p w14:paraId="44B01901"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1.0</w:t>
            </w:r>
          </w:p>
          <w:p w14:paraId="44B01902"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2.4</w:t>
            </w:r>
          </w:p>
        </w:tc>
        <w:tc>
          <w:tcPr>
            <w:tcW w:w="1636" w:type="dxa"/>
            <w:shd w:val="clear" w:color="auto" w:fill="auto"/>
          </w:tcPr>
          <w:p w14:paraId="44B01903"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3.4</w:t>
            </w:r>
          </w:p>
          <w:p w14:paraId="44B01904"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8.5</w:t>
            </w:r>
          </w:p>
          <w:p w14:paraId="44B01905"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1.8</w:t>
            </w:r>
          </w:p>
          <w:p w14:paraId="44B01906"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4.3</w:t>
            </w:r>
          </w:p>
        </w:tc>
        <w:tc>
          <w:tcPr>
            <w:tcW w:w="2081" w:type="dxa"/>
            <w:shd w:val="clear" w:color="auto" w:fill="auto"/>
          </w:tcPr>
          <w:p w14:paraId="44B01907"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3.5</w:t>
            </w:r>
          </w:p>
          <w:p w14:paraId="44B01908"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1.5</w:t>
            </w:r>
          </w:p>
          <w:p w14:paraId="44B01909"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1.9</w:t>
            </w:r>
          </w:p>
          <w:p w14:paraId="44B0190A"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1.8</w:t>
            </w:r>
          </w:p>
        </w:tc>
        <w:tc>
          <w:tcPr>
            <w:tcW w:w="1784" w:type="dxa"/>
            <w:shd w:val="clear" w:color="auto" w:fill="auto"/>
          </w:tcPr>
          <w:p w14:paraId="44B0190B"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2.4</w:t>
            </w:r>
          </w:p>
          <w:p w14:paraId="44B0190C"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2.9</w:t>
            </w:r>
          </w:p>
          <w:p w14:paraId="44B0190D"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0.9</w:t>
            </w:r>
          </w:p>
          <w:p w14:paraId="44B0190E" w14:textId="77777777" w:rsidR="00471703" w:rsidRPr="00A66C41" w:rsidRDefault="00471703" w:rsidP="00924ED2">
            <w:pPr>
              <w:autoSpaceDE w:val="0"/>
              <w:autoSpaceDN w:val="0"/>
              <w:adjustRightInd w:val="0"/>
              <w:spacing w:after="0"/>
              <w:jc w:val="center"/>
              <w:rPr>
                <w:rFonts w:ascii="Times New Roman" w:eastAsia="SimSun" w:hAnsi="Times New Roman" w:cs="Times New Roman"/>
                <w:sz w:val="20"/>
                <w:szCs w:val="26"/>
                <w:lang w:val="en-US" w:eastAsia="zh-CN"/>
              </w:rPr>
            </w:pPr>
            <w:r w:rsidRPr="00A66C41">
              <w:rPr>
                <w:rFonts w:ascii="Times New Roman" w:eastAsia="SimSun" w:hAnsi="Times New Roman" w:cs="Times New Roman"/>
                <w:sz w:val="20"/>
                <w:szCs w:val="26"/>
                <w:lang w:val="en-US" w:eastAsia="zh-CN"/>
              </w:rPr>
              <w:t>1.9</w:t>
            </w:r>
          </w:p>
        </w:tc>
      </w:tr>
    </w:tbl>
    <w:p w14:paraId="44B01910" w14:textId="77777777" w:rsidR="00ED5EBF" w:rsidRPr="00A66C41" w:rsidRDefault="00175878" w:rsidP="00A76E2B">
      <w:pPr>
        <w:rPr>
          <w:rFonts w:ascii="Times New Roman" w:hAnsi="Times New Roman" w:cs="Times New Roman"/>
        </w:rPr>
      </w:pPr>
      <w:r w:rsidRPr="00A66C41">
        <w:rPr>
          <w:rFonts w:ascii="Times New Roman" w:hAnsi="Times New Roman" w:cs="Times New Roman"/>
        </w:rPr>
        <w:br/>
        <w:t>The relative risk for suicidal thoughts or behaviour was higher in clinical trials for epilepsy than in clinical trials for psychiatric or other conditions, but the absolute risk differences were similar for the epilepsy and psychiatric indications.</w:t>
      </w:r>
      <w:r w:rsidRPr="00A66C41">
        <w:rPr>
          <w:rFonts w:ascii="Times New Roman" w:hAnsi="Times New Roman" w:cs="Times New Roman"/>
        </w:rPr>
        <w:br/>
      </w:r>
      <w:r w:rsidRPr="00A66C41">
        <w:rPr>
          <w:rFonts w:ascii="Times New Roman" w:hAnsi="Times New Roman" w:cs="Times New Roman"/>
        </w:rPr>
        <w:br/>
        <w:t>Anyone considering prescribing lacosamide or any other AED must balance this risk with the risk of untreated illness. Epilepsy and many other illnesses for which AEDs are prescribed are themselves associated with morbidity and mortality and an increased risk of suicidal thoughts and behaviour. Should suicidal thoughts and behaviour emerge during treatment, the prescriber needs to consider whether the emergence of these symptoms in any given patient may be related to the illness being treated.</w:t>
      </w:r>
      <w:r w:rsidRPr="00A66C41">
        <w:rPr>
          <w:rFonts w:ascii="Times New Roman" w:hAnsi="Times New Roman" w:cs="Times New Roman"/>
        </w:rPr>
        <w:br/>
      </w:r>
      <w:r w:rsidRPr="00A66C41">
        <w:rPr>
          <w:rFonts w:ascii="Times New Roman" w:hAnsi="Times New Roman" w:cs="Times New Roman"/>
        </w:rPr>
        <w:br/>
        <w:t xml:space="preserve">Patients, their caregivers, and families should be informed that AEDs increase the risk of suicidal thoughts and behaviour and should be advised of the need to be alert for the emergence of worsening of the signs and symptoms of depression, any unusual changes in mood or behaviour, or the emergence of suicidal thoughts, behaviour, or thoughts about </w:t>
      </w:r>
      <w:proofErr w:type="spellStart"/>
      <w:r w:rsidRPr="00A66C41">
        <w:rPr>
          <w:rFonts w:ascii="Times New Roman" w:hAnsi="Times New Roman" w:cs="Times New Roman"/>
        </w:rPr>
        <w:t>self harm</w:t>
      </w:r>
      <w:proofErr w:type="spellEnd"/>
      <w:r w:rsidRPr="00A66C41">
        <w:rPr>
          <w:rFonts w:ascii="Times New Roman" w:hAnsi="Times New Roman" w:cs="Times New Roman"/>
        </w:rPr>
        <w:t>. Behaviours of concern should be reported immediately to the treating doctor.</w:t>
      </w:r>
    </w:p>
    <w:p w14:paraId="44B01911"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Dizziness</w:t>
      </w:r>
    </w:p>
    <w:p w14:paraId="44B01912" w14:textId="77777777" w:rsidR="00ED5EBF" w:rsidRPr="00A66C41" w:rsidRDefault="00175878" w:rsidP="00A76E2B">
      <w:pPr>
        <w:rPr>
          <w:rFonts w:ascii="Times New Roman" w:hAnsi="Times New Roman" w:cs="Times New Roman"/>
        </w:rPr>
      </w:pPr>
      <w:r w:rsidRPr="00A66C41">
        <w:rPr>
          <w:rFonts w:ascii="Times New Roman" w:hAnsi="Times New Roman" w:cs="Times New Roman"/>
        </w:rPr>
        <w:t>Treatment with lacosamide has been associated with dizziness which could increase the occurrence of accidental injury or falls. Therefore, patients should be advised to exercise caution until they are familiar with the potential effects of the medication (see</w:t>
      </w:r>
      <w:r w:rsidR="00A9161C" w:rsidRPr="00A66C41">
        <w:rPr>
          <w:rFonts w:ascii="Times New Roman" w:hAnsi="Times New Roman" w:cs="Times New Roman"/>
        </w:rPr>
        <w:t xml:space="preserve"> Section 4.8 Adverse Effects (Undesirable Effects)</w:t>
      </w:r>
      <w:r w:rsidRPr="00A66C41">
        <w:rPr>
          <w:rFonts w:ascii="Times New Roman" w:hAnsi="Times New Roman" w:cs="Times New Roman"/>
        </w:rPr>
        <w:t>).</w:t>
      </w:r>
    </w:p>
    <w:p w14:paraId="44B01913"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Cardiac rhythm and conduction</w:t>
      </w:r>
    </w:p>
    <w:p w14:paraId="44B01914" w14:textId="1FC2017D" w:rsidR="00ED5EBF" w:rsidRDefault="00175878" w:rsidP="00A76E2B">
      <w:pPr>
        <w:rPr>
          <w:rFonts w:ascii="Times New Roman" w:hAnsi="Times New Roman" w:cs="Times New Roman"/>
        </w:rPr>
      </w:pPr>
      <w:r w:rsidRPr="00A66C41">
        <w:rPr>
          <w:rFonts w:ascii="Times New Roman" w:hAnsi="Times New Roman" w:cs="Times New Roman"/>
        </w:rPr>
        <w:t>Dose dependent prolongations in PR interval with Vimpat were observed in clinical studies. When Vimpat is given with other drugs that prolong the PR interval, further PR prolongation is possible.</w:t>
      </w:r>
      <w:r w:rsidRPr="00A66C41">
        <w:rPr>
          <w:rFonts w:ascii="Times New Roman" w:hAnsi="Times New Roman" w:cs="Times New Roman"/>
        </w:rPr>
        <w:br/>
      </w:r>
      <w:r w:rsidRPr="00A66C41">
        <w:rPr>
          <w:rFonts w:ascii="Times New Roman" w:hAnsi="Times New Roman" w:cs="Times New Roman"/>
        </w:rPr>
        <w:br/>
      </w:r>
      <w:r w:rsidR="00E90C44" w:rsidRPr="00A66C41">
        <w:rPr>
          <w:rFonts w:ascii="Times New Roman" w:hAnsi="Times New Roman" w:cs="Times New Roman"/>
        </w:rPr>
        <w:t xml:space="preserve">Vimpat should be used with caution in patients with </w:t>
      </w:r>
      <w:r w:rsidR="00E90C44" w:rsidRPr="006B75C6">
        <w:rPr>
          <w:rFonts w:ascii="Times New Roman" w:hAnsi="Times New Roman" w:cs="Times New Roman"/>
        </w:rPr>
        <w:t xml:space="preserve">underlying proarrhythmic conditions such as patients with known cardiac conduction problems or severe cardiac disease (e.g. myocardial ischemia/ infarction, heart failure, structural heart disease or cardiac sodium </w:t>
      </w:r>
      <w:proofErr w:type="spellStart"/>
      <w:r w:rsidR="00E90C44" w:rsidRPr="006B75C6">
        <w:rPr>
          <w:rFonts w:ascii="Times New Roman" w:hAnsi="Times New Roman" w:cs="Times New Roman"/>
        </w:rPr>
        <w:t>channelopathies</w:t>
      </w:r>
      <w:proofErr w:type="spellEnd"/>
      <w:r w:rsidR="00E90C44" w:rsidRPr="006B75C6">
        <w:rPr>
          <w:rFonts w:ascii="Times New Roman" w:hAnsi="Times New Roman" w:cs="Times New Roman"/>
        </w:rPr>
        <w:t xml:space="preserve">) or patients treated with medicinal products affecting cardiac conduction, including antiarrhythmics and sodium channel blockers (see Section 4.5 Interaction with Other Medicines). </w:t>
      </w:r>
      <w:r w:rsidRPr="00A66C41">
        <w:rPr>
          <w:rFonts w:ascii="Times New Roman" w:hAnsi="Times New Roman" w:cs="Times New Roman"/>
        </w:rPr>
        <w:t>In such patients, obtaining an ECG before beginning Vimpat, and after Vimpat is titrated to steady-state, is recommended.</w:t>
      </w:r>
      <w:r w:rsidRPr="00A66C41">
        <w:rPr>
          <w:rFonts w:ascii="Times New Roman" w:hAnsi="Times New Roman" w:cs="Times New Roman"/>
        </w:rPr>
        <w:br/>
      </w:r>
      <w:r w:rsidRPr="00A66C41">
        <w:rPr>
          <w:rFonts w:ascii="Times New Roman" w:hAnsi="Times New Roman" w:cs="Times New Roman"/>
        </w:rPr>
        <w:br/>
        <w:t>Vimpat may predispose patients with diabetic neuropathy and/or cardiovascular disease to atrial arrhythmias (atrial fibrillation or flutter).</w:t>
      </w:r>
      <w:r w:rsidRPr="00A66C41">
        <w:rPr>
          <w:rFonts w:ascii="Times New Roman" w:hAnsi="Times New Roman" w:cs="Times New Roman"/>
        </w:rPr>
        <w:br/>
      </w:r>
      <w:r w:rsidRPr="00A66C41">
        <w:rPr>
          <w:rFonts w:ascii="Times New Roman" w:hAnsi="Times New Roman" w:cs="Times New Roman"/>
        </w:rPr>
        <w:br/>
        <w:t xml:space="preserve">In the </w:t>
      </w:r>
      <w:r w:rsidR="00450A64">
        <w:rPr>
          <w:rFonts w:ascii="Times New Roman" w:hAnsi="Times New Roman" w:cs="Times New Roman"/>
        </w:rPr>
        <w:t>placebo-c</w:t>
      </w:r>
      <w:r w:rsidRPr="00A66C41">
        <w:rPr>
          <w:rFonts w:ascii="Times New Roman" w:hAnsi="Times New Roman" w:cs="Times New Roman"/>
        </w:rPr>
        <w:t xml:space="preserve">ontrolled trials of Vimpat in epilepsy patients, atrial fibrillation or flutter were not reported; however both have been reported in open label epilepsy trials and in </w:t>
      </w:r>
      <w:r w:rsidR="0010046E">
        <w:rPr>
          <w:rFonts w:ascii="Times New Roman" w:hAnsi="Times New Roman" w:cs="Times New Roman"/>
        </w:rPr>
        <w:t>post-market</w:t>
      </w:r>
      <w:r w:rsidRPr="00A66C41">
        <w:rPr>
          <w:rFonts w:ascii="Times New Roman" w:hAnsi="Times New Roman" w:cs="Times New Roman"/>
        </w:rPr>
        <w:t>ing experience (see</w:t>
      </w:r>
      <w:r w:rsidR="00A9161C" w:rsidRPr="00A66C41">
        <w:rPr>
          <w:rFonts w:ascii="Times New Roman" w:hAnsi="Times New Roman" w:cs="Times New Roman"/>
        </w:rPr>
        <w:t xml:space="preserve"> Section 4.8 Adverse Effects (Undesirable Effects), </w:t>
      </w:r>
      <w:r w:rsidR="0010046E">
        <w:rPr>
          <w:rFonts w:ascii="Times New Roman" w:hAnsi="Times New Roman" w:cs="Times New Roman"/>
        </w:rPr>
        <w:t>Post-market</w:t>
      </w:r>
      <w:r w:rsidR="00A9161C" w:rsidRPr="00A66C41">
        <w:rPr>
          <w:rFonts w:ascii="Times New Roman" w:hAnsi="Times New Roman" w:cs="Times New Roman"/>
        </w:rPr>
        <w:t>ing experience</w:t>
      </w:r>
      <w:r w:rsidRPr="00A66C41">
        <w:rPr>
          <w:rFonts w:ascii="Times New Roman" w:hAnsi="Times New Roman" w:cs="Times New Roman"/>
        </w:rPr>
        <w:t>).</w:t>
      </w:r>
      <w:r w:rsidR="00C82633" w:rsidRPr="00C82633">
        <w:rPr>
          <w:rFonts w:ascii="Times New Roman" w:hAnsi="Times New Roman" w:cs="Times New Roman"/>
        </w:rPr>
        <w:t xml:space="preserve"> </w:t>
      </w:r>
      <w:r w:rsidR="00C82633" w:rsidRPr="00E36FE3">
        <w:rPr>
          <w:rFonts w:ascii="Times New Roman" w:hAnsi="Times New Roman" w:cs="Times New Roman"/>
        </w:rPr>
        <w:t xml:space="preserve">In post-marketing experience, AV block (including second degree or higher AV block) has been reported. In patients with proarrhythmic conditions, ventricular tachyarrhythmia has been rarely </w:t>
      </w:r>
      <w:r w:rsidR="00C82633" w:rsidRPr="00E36FE3">
        <w:rPr>
          <w:rFonts w:ascii="Times New Roman" w:hAnsi="Times New Roman" w:cs="Times New Roman"/>
        </w:rPr>
        <w:lastRenderedPageBreak/>
        <w:t>reported. In rare cases, these events have led to asystole, cardiac arrest and death in patients with underlying proarrhythmic conditions.</w:t>
      </w:r>
      <w:r w:rsidRPr="00A66C41">
        <w:rPr>
          <w:rFonts w:ascii="Times New Roman" w:hAnsi="Times New Roman" w:cs="Times New Roman"/>
        </w:rPr>
        <w:br/>
      </w:r>
      <w:r w:rsidRPr="00A66C41">
        <w:rPr>
          <w:rFonts w:ascii="Times New Roman" w:hAnsi="Times New Roman" w:cs="Times New Roman"/>
        </w:rPr>
        <w:br/>
        <w:t xml:space="preserve">Patients should be made aware of the symptoms of </w:t>
      </w:r>
      <w:r w:rsidR="00C82633" w:rsidRPr="006B75C6">
        <w:rPr>
          <w:rFonts w:ascii="Times New Roman" w:hAnsi="Times New Roman" w:cs="Times New Roman"/>
        </w:rPr>
        <w:t xml:space="preserve">cardiac arrhythmia </w:t>
      </w:r>
      <w:r w:rsidR="00C82633" w:rsidRPr="00A66C41">
        <w:rPr>
          <w:rFonts w:ascii="Times New Roman" w:hAnsi="Times New Roman" w:cs="Times New Roman"/>
        </w:rPr>
        <w:t>(e.g. slow</w:t>
      </w:r>
      <w:r w:rsidR="00C82633">
        <w:rPr>
          <w:rFonts w:ascii="Times New Roman" w:hAnsi="Times New Roman" w:cs="Times New Roman"/>
        </w:rPr>
        <w:t>, rapid</w:t>
      </w:r>
      <w:r w:rsidR="00C82633" w:rsidRPr="00A66C41">
        <w:rPr>
          <w:rFonts w:ascii="Times New Roman" w:hAnsi="Times New Roman" w:cs="Times New Roman"/>
        </w:rPr>
        <w:t xml:space="preserve"> or irregular pulse, </w:t>
      </w:r>
      <w:bookmarkStart w:id="3" w:name="_Hlk514687347"/>
      <w:r w:rsidR="00C82633">
        <w:rPr>
          <w:rFonts w:ascii="Times New Roman" w:hAnsi="Times New Roman" w:cs="Times New Roman"/>
        </w:rPr>
        <w:t xml:space="preserve">palpitations, shortness of breath, </w:t>
      </w:r>
      <w:bookmarkEnd w:id="3"/>
      <w:r w:rsidR="00C82633" w:rsidRPr="00A66C41">
        <w:rPr>
          <w:rFonts w:ascii="Times New Roman" w:hAnsi="Times New Roman" w:cs="Times New Roman"/>
        </w:rPr>
        <w:t>feeling lightheaded</w:t>
      </w:r>
      <w:r w:rsidR="00C82633">
        <w:rPr>
          <w:rFonts w:ascii="Times New Roman" w:hAnsi="Times New Roman" w:cs="Times New Roman"/>
        </w:rPr>
        <w:t>,</w:t>
      </w:r>
      <w:r w:rsidR="00C82633" w:rsidRPr="00A66C41">
        <w:rPr>
          <w:rFonts w:ascii="Times New Roman" w:hAnsi="Times New Roman" w:cs="Times New Roman"/>
        </w:rPr>
        <w:t xml:space="preserve"> fainting). </w:t>
      </w:r>
      <w:r w:rsidRPr="00A66C41">
        <w:rPr>
          <w:rFonts w:ascii="Times New Roman" w:hAnsi="Times New Roman" w:cs="Times New Roman"/>
        </w:rPr>
        <w:t xml:space="preserve">Patients should be counselled to seek </w:t>
      </w:r>
      <w:r w:rsidR="00C82633">
        <w:rPr>
          <w:rFonts w:ascii="Times New Roman" w:hAnsi="Times New Roman" w:cs="Times New Roman"/>
        </w:rPr>
        <w:t xml:space="preserve">immediate </w:t>
      </w:r>
      <w:r w:rsidRPr="00A66C41">
        <w:rPr>
          <w:rFonts w:ascii="Times New Roman" w:hAnsi="Times New Roman" w:cs="Times New Roman"/>
        </w:rPr>
        <w:t xml:space="preserve">medical advice </w:t>
      </w:r>
      <w:r w:rsidR="00C82633">
        <w:rPr>
          <w:rFonts w:ascii="Times New Roman" w:hAnsi="Times New Roman" w:cs="Times New Roman"/>
        </w:rPr>
        <w:t>if</w:t>
      </w:r>
      <w:r w:rsidRPr="00A66C41">
        <w:rPr>
          <w:rFonts w:ascii="Times New Roman" w:hAnsi="Times New Roman" w:cs="Times New Roman"/>
        </w:rPr>
        <w:t xml:space="preserve"> these symptoms occur.</w:t>
      </w:r>
    </w:p>
    <w:p w14:paraId="04D5F26F" w14:textId="77777777" w:rsidR="009537BA" w:rsidRPr="00A66C41" w:rsidRDefault="009537BA" w:rsidP="009537BA">
      <w:pPr>
        <w:rPr>
          <w:rFonts w:ascii="Times New Roman" w:hAnsi="Times New Roman" w:cs="Times New Roman"/>
        </w:rPr>
      </w:pPr>
      <w:bookmarkStart w:id="4" w:name="_Hlk514687467"/>
      <w:r w:rsidRPr="006B75C6">
        <w:rPr>
          <w:rFonts w:ascii="Times New Roman" w:hAnsi="Times New Roman" w:cs="Times New Roman"/>
        </w:rPr>
        <w:t>In patients who develop serious cardiac arrhythmia, lacosamide should be discontinued and a thorough clinical benefit/risk assessment should be performed before possibly restarting therapy.</w:t>
      </w:r>
    </w:p>
    <w:bookmarkEnd w:id="4"/>
    <w:p w14:paraId="44B01915"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Discontinuation</w:t>
      </w:r>
    </w:p>
    <w:p w14:paraId="44B01916" w14:textId="62DB4E1F" w:rsidR="00ED5EBF" w:rsidRPr="00A66C41" w:rsidRDefault="00175878" w:rsidP="00A76E2B">
      <w:pPr>
        <w:rPr>
          <w:rFonts w:ascii="Times New Roman" w:hAnsi="Times New Roman" w:cs="Times New Roman"/>
        </w:rPr>
      </w:pPr>
      <w:r w:rsidRPr="00A66C41">
        <w:rPr>
          <w:rFonts w:ascii="Times New Roman" w:hAnsi="Times New Roman" w:cs="Times New Roman"/>
        </w:rPr>
        <w:t xml:space="preserve">In accordance with current clinical practice, if Vimpat has to be discontinued in patients with </w:t>
      </w:r>
      <w:r w:rsidR="00450A64">
        <w:rPr>
          <w:rFonts w:ascii="Times New Roman" w:hAnsi="Times New Roman" w:cs="Times New Roman"/>
        </w:rPr>
        <w:t>partial-onset</w:t>
      </w:r>
      <w:r w:rsidRPr="00A66C41">
        <w:rPr>
          <w:rFonts w:ascii="Times New Roman" w:hAnsi="Times New Roman" w:cs="Times New Roman"/>
        </w:rPr>
        <w:t xml:space="preserve"> seizures, it is recommended this be done gradually (e.g. taper the daily dose by 200 mg/week).</w:t>
      </w:r>
    </w:p>
    <w:p w14:paraId="44B01917"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Use with alcohol</w:t>
      </w:r>
    </w:p>
    <w:p w14:paraId="44B01918" w14:textId="77777777" w:rsidR="00ED5EBF" w:rsidRPr="00A66C41" w:rsidRDefault="00175878" w:rsidP="00A76E2B">
      <w:pPr>
        <w:rPr>
          <w:rFonts w:ascii="Times New Roman" w:hAnsi="Times New Roman" w:cs="Times New Roman"/>
        </w:rPr>
      </w:pPr>
      <w:r w:rsidRPr="00A66C41">
        <w:rPr>
          <w:rFonts w:ascii="Times New Roman" w:hAnsi="Times New Roman" w:cs="Times New Roman"/>
        </w:rPr>
        <w:t>No data on the interaction of lacosamide with alcohol are available.</w:t>
      </w:r>
    </w:p>
    <w:p w14:paraId="44B01919" w14:textId="1CB5AAE8"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Non</w:t>
      </w:r>
      <w:r w:rsidR="00825598">
        <w:rPr>
          <w:rFonts w:ascii="Times New Roman" w:hAnsi="Times New Roman" w:cs="Times New Roman"/>
        </w:rPr>
        <w:t>-</w:t>
      </w:r>
      <w:r w:rsidRPr="00A66C41">
        <w:rPr>
          <w:rFonts w:ascii="Times New Roman" w:hAnsi="Times New Roman" w:cs="Times New Roman"/>
        </w:rPr>
        <w:t>clinical cardiac safety</w:t>
      </w:r>
    </w:p>
    <w:p w14:paraId="44B0191A" w14:textId="6833D721" w:rsidR="00ED5EBF" w:rsidRDefault="00175878" w:rsidP="00A76E2B">
      <w:pPr>
        <w:rPr>
          <w:rFonts w:ascii="Times New Roman" w:hAnsi="Times New Roman" w:cs="Times New Roman"/>
        </w:rPr>
      </w:pPr>
      <w:r w:rsidRPr="00A66C41">
        <w:rPr>
          <w:rFonts w:ascii="Times New Roman" w:hAnsi="Times New Roman" w:cs="Times New Roman"/>
        </w:rPr>
        <w:t xml:space="preserve">A safety pharmacology study with intravenous administration of lacosamide in anesthetized dogs showed transient increases in PR interval and QRS complex duration and decreases in blood pressure most likely due to a </w:t>
      </w:r>
      <w:proofErr w:type="spellStart"/>
      <w:r w:rsidRPr="00A66C41">
        <w:rPr>
          <w:rFonts w:ascii="Times New Roman" w:hAnsi="Times New Roman" w:cs="Times New Roman"/>
        </w:rPr>
        <w:t>cardiodepressant</w:t>
      </w:r>
      <w:proofErr w:type="spellEnd"/>
      <w:r w:rsidRPr="00A66C41">
        <w:rPr>
          <w:rFonts w:ascii="Times New Roman" w:hAnsi="Times New Roman" w:cs="Times New Roman"/>
        </w:rPr>
        <w:t xml:space="preserve"> action. These transient changes started in the same concentration range as after maximum recommended clinical dosing. In anesthetized dogs and cynomolgus monkeys, at intravenous doses of 15-60 mg/kg, slowing of atrial and ventricular conductivity, atrioventricular block and atrioventricular dissociation were seen.</w:t>
      </w:r>
    </w:p>
    <w:p w14:paraId="00CF764D" w14:textId="77777777" w:rsidR="0093530F" w:rsidRPr="0093530F" w:rsidRDefault="0093530F" w:rsidP="0093530F">
      <w:pPr>
        <w:keepNext/>
        <w:keepLines/>
        <w:spacing w:before="200" w:after="0"/>
        <w:outlineLvl w:val="2"/>
        <w:rPr>
          <w:rFonts w:ascii="Times New Roman" w:hAnsi="Times New Roman" w:cs="Times New Roman"/>
          <w:b/>
          <w:bCs/>
        </w:rPr>
      </w:pPr>
      <w:r w:rsidRPr="0093530F">
        <w:rPr>
          <w:rFonts w:ascii="Times New Roman" w:hAnsi="Times New Roman" w:cs="Times New Roman"/>
          <w:b/>
          <w:bCs/>
        </w:rPr>
        <w:t>Use in hepatic impairment</w:t>
      </w:r>
    </w:p>
    <w:p w14:paraId="31FA099E" w14:textId="77777777" w:rsidR="0093530F" w:rsidRPr="0093530F" w:rsidRDefault="0093530F" w:rsidP="0093530F">
      <w:pPr>
        <w:rPr>
          <w:rFonts w:ascii="Times New Roman" w:hAnsi="Times New Roman" w:cs="Times New Roman"/>
        </w:rPr>
      </w:pPr>
      <w:r w:rsidRPr="0093530F">
        <w:rPr>
          <w:rFonts w:ascii="Times New Roman" w:hAnsi="Times New Roman" w:cs="Times New Roman"/>
        </w:rPr>
        <w:t>See Section 4.2 Dose and Method of Administration and Section 5.2 Pharmacokinetic Properties.</w:t>
      </w:r>
    </w:p>
    <w:p w14:paraId="604FBB3A" w14:textId="77777777" w:rsidR="0093530F" w:rsidRPr="0093530F" w:rsidRDefault="0093530F" w:rsidP="0093530F">
      <w:pPr>
        <w:keepNext/>
        <w:keepLines/>
        <w:spacing w:before="200" w:after="0"/>
        <w:outlineLvl w:val="2"/>
        <w:rPr>
          <w:rFonts w:ascii="Times New Roman" w:hAnsi="Times New Roman" w:cs="Times New Roman"/>
          <w:b/>
          <w:bCs/>
        </w:rPr>
      </w:pPr>
      <w:r w:rsidRPr="0093530F">
        <w:rPr>
          <w:rFonts w:ascii="Times New Roman" w:hAnsi="Times New Roman" w:cs="Times New Roman"/>
          <w:b/>
          <w:bCs/>
        </w:rPr>
        <w:t>Use in renal impairment</w:t>
      </w:r>
    </w:p>
    <w:p w14:paraId="27D0EF39" w14:textId="695FB65E" w:rsidR="0093530F" w:rsidRDefault="0093530F" w:rsidP="00A76E2B">
      <w:pPr>
        <w:rPr>
          <w:rFonts w:ascii="Times New Roman" w:hAnsi="Times New Roman" w:cs="Times New Roman"/>
        </w:rPr>
      </w:pPr>
      <w:r w:rsidRPr="0093530F">
        <w:rPr>
          <w:rFonts w:ascii="Times New Roman" w:hAnsi="Times New Roman" w:cs="Times New Roman"/>
        </w:rPr>
        <w:t>See Section 4.2 Dose and Method of Administration and Section 5.2 Pharmacokinetic Properties.</w:t>
      </w:r>
    </w:p>
    <w:p w14:paraId="0E68D73E" w14:textId="77777777" w:rsidR="00DE0EDA" w:rsidRPr="00DE0EDA" w:rsidRDefault="00DE0EDA" w:rsidP="00DE0EDA">
      <w:pPr>
        <w:keepNext/>
        <w:keepLines/>
        <w:spacing w:before="200" w:after="0"/>
        <w:outlineLvl w:val="2"/>
        <w:rPr>
          <w:rFonts w:ascii="Times New Roman" w:hAnsi="Times New Roman" w:cs="Times New Roman"/>
          <w:b/>
          <w:bCs/>
        </w:rPr>
      </w:pPr>
      <w:r w:rsidRPr="00DE0EDA">
        <w:rPr>
          <w:rFonts w:ascii="Times New Roman" w:hAnsi="Times New Roman" w:cs="Times New Roman"/>
          <w:b/>
          <w:bCs/>
        </w:rPr>
        <w:t>Use in the elderly</w:t>
      </w:r>
    </w:p>
    <w:p w14:paraId="67162210" w14:textId="77777777" w:rsidR="00DE0EDA" w:rsidRPr="00DE0EDA" w:rsidRDefault="00DE0EDA" w:rsidP="00DE0EDA">
      <w:pPr>
        <w:rPr>
          <w:rFonts w:ascii="Times New Roman" w:hAnsi="Times New Roman" w:cs="Times New Roman"/>
        </w:rPr>
      </w:pPr>
      <w:r w:rsidRPr="00DE0EDA">
        <w:rPr>
          <w:rFonts w:ascii="Times New Roman" w:hAnsi="Times New Roman" w:cs="Times New Roman"/>
        </w:rPr>
        <w:t>The experience with lacosamide in elderly patients with epilepsy is limited. Age associated decreased renal clearance with an increase in AUC levels should be considered in elderly patients (see Section 5.2 Pharmacokinetic Properties, Renal impairment).</w:t>
      </w:r>
    </w:p>
    <w:p w14:paraId="44B0191B" w14:textId="33695CE3" w:rsidR="00ED5EBF" w:rsidRPr="00A66C41" w:rsidRDefault="00471703" w:rsidP="00A76E2B">
      <w:pPr>
        <w:pStyle w:val="Heading3"/>
        <w:rPr>
          <w:rFonts w:ascii="Times New Roman" w:hAnsi="Times New Roman" w:cs="Times New Roman"/>
        </w:rPr>
      </w:pPr>
      <w:r w:rsidRPr="00A66C41">
        <w:rPr>
          <w:rFonts w:ascii="Times New Roman" w:hAnsi="Times New Roman" w:cs="Times New Roman"/>
        </w:rPr>
        <w:t>Paediatric use</w:t>
      </w:r>
    </w:p>
    <w:p w14:paraId="44B0191C" w14:textId="202B5FE3" w:rsidR="00ED5EBF" w:rsidRPr="00A66C41" w:rsidRDefault="00175878" w:rsidP="00A76E2B">
      <w:pPr>
        <w:rPr>
          <w:rFonts w:ascii="Times New Roman" w:hAnsi="Times New Roman" w:cs="Times New Roman"/>
        </w:rPr>
      </w:pPr>
      <w:r w:rsidRPr="00A66C41">
        <w:rPr>
          <w:rFonts w:ascii="Times New Roman" w:hAnsi="Times New Roman" w:cs="Times New Roman"/>
        </w:rPr>
        <w:t xml:space="preserve">Vimpat is not recommended for use in children under </w:t>
      </w:r>
      <w:r w:rsidR="008B3C5D">
        <w:rPr>
          <w:rFonts w:ascii="Times New Roman" w:hAnsi="Times New Roman" w:cs="Times New Roman"/>
        </w:rPr>
        <w:t>4</w:t>
      </w:r>
      <w:r w:rsidR="008B3C5D" w:rsidRPr="00A66C41">
        <w:rPr>
          <w:rFonts w:ascii="Times New Roman" w:hAnsi="Times New Roman" w:cs="Times New Roman"/>
        </w:rPr>
        <w:t xml:space="preserve"> </w:t>
      </w:r>
      <w:r w:rsidRPr="00A66C41">
        <w:rPr>
          <w:rFonts w:ascii="Times New Roman" w:hAnsi="Times New Roman" w:cs="Times New Roman"/>
        </w:rPr>
        <w:t>years of age.</w:t>
      </w:r>
      <w:r w:rsidRPr="00A66C41">
        <w:rPr>
          <w:rFonts w:ascii="Times New Roman" w:hAnsi="Times New Roman" w:cs="Times New Roman"/>
        </w:rPr>
        <w:br/>
      </w:r>
      <w:r w:rsidRPr="00A66C41">
        <w:rPr>
          <w:rFonts w:ascii="Times New Roman" w:hAnsi="Times New Roman" w:cs="Times New Roman"/>
        </w:rPr>
        <w:br/>
        <w:t xml:space="preserve">Administration of lacosamide to rats during the neonatal and juvenile periods of postnatal development resulted in decreased brain weights and long-term neurobehavioral changes (altered open field performance, deficits in learning and memory). </w:t>
      </w:r>
      <w:r w:rsidR="008B3C5D" w:rsidRPr="00A66C41">
        <w:rPr>
          <w:rFonts w:ascii="Times New Roman" w:hAnsi="Times New Roman" w:cs="Times New Roman"/>
        </w:rPr>
        <w:t>The early postnatal period in rats is generally thought to correspond to late pregnancy in humans in terms of brain development. The no effect dose for developmental neurotoxicity in rats was associated with a plasma lacosamide exposure (</w:t>
      </w:r>
      <w:r w:rsidR="008B3C5D">
        <w:rPr>
          <w:rFonts w:ascii="Times New Roman" w:hAnsi="Times New Roman" w:cs="Times New Roman"/>
        </w:rPr>
        <w:t xml:space="preserve">based on </w:t>
      </w:r>
      <w:r w:rsidR="008B3C5D" w:rsidRPr="00A66C41">
        <w:rPr>
          <w:rFonts w:ascii="Times New Roman" w:hAnsi="Times New Roman" w:cs="Times New Roman"/>
        </w:rPr>
        <w:t xml:space="preserve">AUC) </w:t>
      </w:r>
      <w:r w:rsidR="008B3C5D" w:rsidRPr="007D1BE2">
        <w:rPr>
          <w:rFonts w:ascii="Times New Roman" w:hAnsi="Times New Roman" w:cs="Times New Roman"/>
        </w:rPr>
        <w:t xml:space="preserve">below that in humans at the maximum recommended dose. In juvenile dogs, transient CNS clinical signs were similar to those observed in adult dogs. Non-adverse microscopic changes (commonly reported in juvenile dogs and of </w:t>
      </w:r>
      <w:proofErr w:type="spellStart"/>
      <w:r w:rsidR="008B3C5D" w:rsidRPr="007D1BE2">
        <w:rPr>
          <w:rFonts w:ascii="Times New Roman" w:hAnsi="Times New Roman" w:cs="Times New Roman"/>
        </w:rPr>
        <w:t>unkown</w:t>
      </w:r>
      <w:proofErr w:type="spellEnd"/>
      <w:r w:rsidR="008B3C5D" w:rsidRPr="007D1BE2">
        <w:rPr>
          <w:rFonts w:ascii="Times New Roman" w:hAnsi="Times New Roman" w:cs="Times New Roman"/>
        </w:rPr>
        <w:t xml:space="preserve"> clinical significance) were seen in the periventricular region. Both findings were associated with lacosamide exposures (based on AUC) </w:t>
      </w:r>
      <w:r w:rsidR="008B3C5D" w:rsidRPr="007D1BE2">
        <w:rPr>
          <w:rFonts w:ascii="Times New Roman" w:hAnsi="Times New Roman" w:cs="Times New Roman"/>
        </w:rPr>
        <w:lastRenderedPageBreak/>
        <w:t xml:space="preserve">below those anticipated clinically at the maximum recommended dose. </w:t>
      </w:r>
      <w:r w:rsidRPr="00A66C41">
        <w:rPr>
          <w:rFonts w:ascii="Times New Roman" w:hAnsi="Times New Roman" w:cs="Times New Roman"/>
        </w:rPr>
        <w:t>Thus, potential adverse effects on CNS development cannot be ruled out.</w:t>
      </w:r>
    </w:p>
    <w:p w14:paraId="44B0191F"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Effect</w:t>
      </w:r>
      <w:r w:rsidR="00471703" w:rsidRPr="00A66C41">
        <w:rPr>
          <w:rFonts w:ascii="Times New Roman" w:hAnsi="Times New Roman" w:cs="Times New Roman"/>
        </w:rPr>
        <w:t>s</w:t>
      </w:r>
      <w:r w:rsidRPr="00A66C41">
        <w:rPr>
          <w:rFonts w:ascii="Times New Roman" w:hAnsi="Times New Roman" w:cs="Times New Roman"/>
        </w:rPr>
        <w:t xml:space="preserve"> on laboratory tests</w:t>
      </w:r>
    </w:p>
    <w:p w14:paraId="44B01920" w14:textId="77905B4B" w:rsidR="00ED5EBF" w:rsidRPr="00A66C41" w:rsidRDefault="00252792" w:rsidP="00A76E2B">
      <w:pPr>
        <w:rPr>
          <w:rFonts w:ascii="Times New Roman" w:hAnsi="Times New Roman" w:cs="Times New Roman"/>
        </w:rPr>
      </w:pPr>
      <w:r>
        <w:rPr>
          <w:rFonts w:ascii="Times New Roman" w:hAnsi="Times New Roman" w:cs="Times New Roman"/>
        </w:rPr>
        <w:t>No data available.</w:t>
      </w:r>
    </w:p>
    <w:p w14:paraId="44B01921" w14:textId="77777777" w:rsidR="00ED5EBF" w:rsidRPr="00A66C41" w:rsidRDefault="00175878" w:rsidP="00471703">
      <w:pPr>
        <w:pStyle w:val="Heading2"/>
        <w:ind w:left="0" w:hanging="11"/>
        <w:rPr>
          <w:rFonts w:ascii="Times New Roman" w:hAnsi="Times New Roman" w:cs="Times New Roman"/>
        </w:rPr>
      </w:pPr>
      <w:r w:rsidRPr="00A66C41">
        <w:rPr>
          <w:rFonts w:ascii="Times New Roman" w:hAnsi="Times New Roman" w:cs="Times New Roman"/>
        </w:rPr>
        <w:t>Interactions with other medicines and other forms of interactions</w:t>
      </w:r>
    </w:p>
    <w:p w14:paraId="44B01922" w14:textId="2E739A6E" w:rsidR="00C64145" w:rsidRPr="00A66C41" w:rsidRDefault="00175878" w:rsidP="00A76E2B">
      <w:pPr>
        <w:rPr>
          <w:rFonts w:ascii="Times New Roman" w:hAnsi="Times New Roman" w:cs="Times New Roman"/>
        </w:rPr>
      </w:pPr>
      <w:r w:rsidRPr="00A66C41">
        <w:rPr>
          <w:rFonts w:ascii="Times New Roman" w:hAnsi="Times New Roman" w:cs="Times New Roman"/>
        </w:rPr>
        <w:t xml:space="preserve">Lacosamide should be used with caution in patients treated with medicinal products known to be associated with PR prolongation </w:t>
      </w:r>
      <w:r w:rsidR="008B3C5D" w:rsidRPr="006B75C6">
        <w:rPr>
          <w:rFonts w:ascii="Times New Roman" w:hAnsi="Times New Roman" w:cs="Times New Roman"/>
        </w:rPr>
        <w:t>(including sodium channel blocking antiepileptic drugs</w:t>
      </w:r>
      <w:r w:rsidR="008B3C5D">
        <w:rPr>
          <w:rFonts w:ascii="Times New Roman" w:hAnsi="Times New Roman" w:cs="Times New Roman"/>
        </w:rPr>
        <w:t xml:space="preserve"> such as carbamazepine, lamotrigine and pregabalin) </w:t>
      </w:r>
      <w:r w:rsidR="008B3C5D" w:rsidRPr="00A66C41">
        <w:rPr>
          <w:rFonts w:ascii="Times New Roman" w:hAnsi="Times New Roman" w:cs="Times New Roman"/>
        </w:rPr>
        <w:t>and</w:t>
      </w:r>
      <w:r w:rsidR="008B3C5D">
        <w:rPr>
          <w:rFonts w:ascii="Times New Roman" w:hAnsi="Times New Roman" w:cs="Times New Roman"/>
        </w:rPr>
        <w:t>,</w:t>
      </w:r>
      <w:r w:rsidR="008B3C5D" w:rsidRPr="00A66C41">
        <w:rPr>
          <w:rFonts w:ascii="Times New Roman" w:hAnsi="Times New Roman" w:cs="Times New Roman"/>
        </w:rPr>
        <w:t xml:space="preserve"> in patients treated with antiarrhythmic drugs. </w:t>
      </w:r>
      <w:r w:rsidRPr="00A66C41">
        <w:rPr>
          <w:rFonts w:ascii="Times New Roman" w:hAnsi="Times New Roman" w:cs="Times New Roman"/>
        </w:rPr>
        <w:t xml:space="preserve">However, subgroup analysis </w:t>
      </w:r>
      <w:r w:rsidR="008B3C5D">
        <w:rPr>
          <w:rFonts w:ascii="Times New Roman" w:hAnsi="Times New Roman" w:cs="Times New Roman"/>
        </w:rPr>
        <w:t xml:space="preserve">in clinical trials </w:t>
      </w:r>
      <w:r w:rsidRPr="00A66C41">
        <w:rPr>
          <w:rFonts w:ascii="Times New Roman" w:hAnsi="Times New Roman" w:cs="Times New Roman"/>
        </w:rPr>
        <w:t>did not identify an increased magnitude of PR prolongation in patients with concomitant administration of carbamazepine or lamotrigine.</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b/>
          <w:i/>
          <w:iCs/>
        </w:rPr>
        <w:t>In vitro data</w:t>
      </w:r>
      <w:r w:rsidR="00471703" w:rsidRPr="00A66C41">
        <w:rPr>
          <w:rFonts w:ascii="Times New Roman" w:hAnsi="Times New Roman" w:cs="Times New Roman"/>
          <w:i/>
          <w:iCs/>
        </w:rPr>
        <w:br/>
      </w:r>
      <w:r w:rsidRPr="00A66C41">
        <w:rPr>
          <w:rFonts w:ascii="Times New Roman" w:hAnsi="Times New Roman" w:cs="Times New Roman"/>
        </w:rPr>
        <w:t xml:space="preserve">Data generally suggest that lacosamide has a low interaction potential. </w:t>
      </w:r>
      <w:r w:rsidRPr="00A66C41">
        <w:rPr>
          <w:rFonts w:ascii="Times New Roman" w:hAnsi="Times New Roman" w:cs="Times New Roman"/>
          <w:i/>
          <w:iCs/>
        </w:rPr>
        <w:t>In vitro</w:t>
      </w:r>
      <w:r w:rsidRPr="00A66C41">
        <w:rPr>
          <w:rFonts w:ascii="Times New Roman" w:hAnsi="Times New Roman" w:cs="Times New Roman"/>
        </w:rPr>
        <w:t xml:space="preserve"> metabolism studies indicate that lacosamide does not induce the enzyme activity of drug metabolizing cytochrome P450 isoforms CYP1A2, 2B6, 2C9 and 3A4. Lacosamide did not inhibit CYP1A1, 1A2, 2A6, 2B6, 2C8, 2C9, 2D6, 2E1 and 3A4/5 at plasma concentrations observed in clinical trials. </w:t>
      </w:r>
      <w:r w:rsidRPr="00A66C41">
        <w:rPr>
          <w:rFonts w:ascii="Times New Roman" w:hAnsi="Times New Roman" w:cs="Times New Roman"/>
          <w:i/>
          <w:iCs/>
        </w:rPr>
        <w:t>In vitro</w:t>
      </w:r>
      <w:r w:rsidRPr="00A66C41">
        <w:rPr>
          <w:rFonts w:ascii="Times New Roman" w:hAnsi="Times New Roman" w:cs="Times New Roman"/>
        </w:rPr>
        <w:t xml:space="preserve"> data suggest that lacosamide has the potential to inhibit CYP2C19 at therapeutic concentrations.</w:t>
      </w:r>
      <w:r w:rsidRPr="00A66C41">
        <w:rPr>
          <w:rFonts w:ascii="Times New Roman" w:hAnsi="Times New Roman" w:cs="Times New Roman"/>
        </w:rPr>
        <w:br/>
      </w:r>
      <w:r w:rsidRPr="00A66C41">
        <w:rPr>
          <w:rFonts w:ascii="Times New Roman" w:hAnsi="Times New Roman" w:cs="Times New Roman"/>
        </w:rPr>
        <w:br/>
        <w:t>Lacosamide was not a substrate or inhibitor for P-glycoprotein.</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b/>
          <w:i/>
          <w:iCs/>
        </w:rPr>
        <w:t>In vivo data</w:t>
      </w:r>
      <w:r w:rsidR="00471703" w:rsidRPr="00A66C41">
        <w:rPr>
          <w:rFonts w:ascii="Times New Roman" w:hAnsi="Times New Roman" w:cs="Times New Roman"/>
          <w:i/>
          <w:iCs/>
        </w:rPr>
        <w:br/>
      </w:r>
      <w:r w:rsidRPr="00A66C41">
        <w:rPr>
          <w:rFonts w:ascii="Times New Roman" w:hAnsi="Times New Roman" w:cs="Times New Roman"/>
        </w:rPr>
        <w:t>Clinical data indicate that lacosamide does not inhibit or induce CYP2C19 and 3A4. Furthermore an interaction trial with omeprazole (CYP2C19 inhibitor) demonstrated no clinically relevant changes in lacosamide plasma concentrations and no inhibitory effect on omeprazole pharmacokinetics.</w:t>
      </w:r>
      <w:r w:rsidRPr="00A66C41">
        <w:rPr>
          <w:rFonts w:ascii="Times New Roman" w:hAnsi="Times New Roman" w:cs="Times New Roman"/>
        </w:rPr>
        <w:br/>
      </w:r>
      <w:r w:rsidRPr="00A66C41">
        <w:rPr>
          <w:rFonts w:ascii="Times New Roman" w:hAnsi="Times New Roman" w:cs="Times New Roman"/>
        </w:rPr>
        <w:br/>
        <w:t>Since &lt; 15% of lacosamide is bound to plasma proteins, a clinically relevant interaction with other drugs through competition for protein binding sites is unlikely.</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b/>
          <w:i/>
          <w:iCs/>
        </w:rPr>
        <w:t>Antiepileptic drugs</w:t>
      </w:r>
      <w:r w:rsidR="00471703" w:rsidRPr="00A66C41">
        <w:rPr>
          <w:rFonts w:ascii="Times New Roman" w:hAnsi="Times New Roman" w:cs="Times New Roman"/>
          <w:i/>
          <w:iCs/>
        </w:rPr>
        <w:br/>
      </w:r>
      <w:r w:rsidRPr="00A66C41">
        <w:rPr>
          <w:rFonts w:ascii="Times New Roman" w:hAnsi="Times New Roman" w:cs="Times New Roman"/>
        </w:rPr>
        <w:t>In interaction trials lacosamide did not significantly affect the plasma concentrations of carbamazepine and valproic acid. Lacosamide plasma concentrations were not affected by carbamazepine and by valproic acid.</w:t>
      </w:r>
      <w:r w:rsidRPr="00A66C41">
        <w:rPr>
          <w:rFonts w:ascii="Times New Roman" w:hAnsi="Times New Roman" w:cs="Times New Roman"/>
        </w:rPr>
        <w:br/>
      </w:r>
      <w:r w:rsidRPr="00A66C41">
        <w:rPr>
          <w:rFonts w:ascii="Times New Roman" w:hAnsi="Times New Roman" w:cs="Times New Roman"/>
        </w:rPr>
        <w:br/>
        <w:t xml:space="preserve">The </w:t>
      </w:r>
      <w:r w:rsidR="00450A64">
        <w:rPr>
          <w:rFonts w:ascii="Times New Roman" w:hAnsi="Times New Roman" w:cs="Times New Roman"/>
        </w:rPr>
        <w:t>placebo-c</w:t>
      </w:r>
      <w:r w:rsidRPr="00A66C41">
        <w:rPr>
          <w:rFonts w:ascii="Times New Roman" w:hAnsi="Times New Roman" w:cs="Times New Roman"/>
        </w:rPr>
        <w:t xml:space="preserve">ontrolled clinical studies in patients with </w:t>
      </w:r>
      <w:r w:rsidR="00450A64">
        <w:rPr>
          <w:rFonts w:ascii="Times New Roman" w:hAnsi="Times New Roman" w:cs="Times New Roman"/>
        </w:rPr>
        <w:t>partial-onset</w:t>
      </w:r>
      <w:r w:rsidRPr="00A66C41">
        <w:rPr>
          <w:rFonts w:ascii="Times New Roman" w:hAnsi="Times New Roman" w:cs="Times New Roman"/>
        </w:rPr>
        <w:t xml:space="preserve"> seizures showed that steady-state plasma concentrations of levetiracetam, carbamazepine, carbamazepine epoxide, lamotrigine, topiramate, oxcarbazepine monohydroxy derivative (MHD), phenytoin, valproic acid, phenobarbital, gabapentin, clonazepam and </w:t>
      </w:r>
      <w:proofErr w:type="spellStart"/>
      <w:r w:rsidRPr="00A66C41">
        <w:rPr>
          <w:rFonts w:ascii="Times New Roman" w:hAnsi="Times New Roman" w:cs="Times New Roman"/>
        </w:rPr>
        <w:t>zonisamide</w:t>
      </w:r>
      <w:proofErr w:type="spellEnd"/>
      <w:r w:rsidRPr="00A66C41">
        <w:rPr>
          <w:rFonts w:ascii="Times New Roman" w:hAnsi="Times New Roman" w:cs="Times New Roman"/>
        </w:rPr>
        <w:t xml:space="preserve"> were not affected by concomitant intake of lacosamide at any dose.</w:t>
      </w:r>
      <w:r w:rsidRPr="00A66C41">
        <w:rPr>
          <w:rFonts w:ascii="Times New Roman" w:hAnsi="Times New Roman" w:cs="Times New Roman"/>
        </w:rPr>
        <w:br/>
      </w:r>
      <w:r w:rsidRPr="00A66C41">
        <w:rPr>
          <w:rFonts w:ascii="Times New Roman" w:hAnsi="Times New Roman" w:cs="Times New Roman"/>
        </w:rPr>
        <w:br/>
      </w:r>
      <w:r w:rsidR="00756DFE">
        <w:rPr>
          <w:rFonts w:ascii="Times New Roman" w:hAnsi="Times New Roman" w:cs="Times New Roman"/>
        </w:rPr>
        <w:t>P</w:t>
      </w:r>
      <w:r w:rsidRPr="00A66C41">
        <w:rPr>
          <w:rFonts w:ascii="Times New Roman" w:hAnsi="Times New Roman" w:cs="Times New Roman"/>
        </w:rPr>
        <w:t>opulation PK analys</w:t>
      </w:r>
      <w:r w:rsidR="00756DFE">
        <w:rPr>
          <w:rFonts w:ascii="Times New Roman" w:hAnsi="Times New Roman" w:cs="Times New Roman"/>
        </w:rPr>
        <w:t>e</w:t>
      </w:r>
      <w:r w:rsidRPr="00A66C41">
        <w:rPr>
          <w:rFonts w:ascii="Times New Roman" w:hAnsi="Times New Roman" w:cs="Times New Roman"/>
        </w:rPr>
        <w:t xml:space="preserve">s </w:t>
      </w:r>
      <w:r w:rsidR="00756DFE">
        <w:rPr>
          <w:rFonts w:ascii="Times New Roman" w:hAnsi="Times New Roman" w:cs="Times New Roman"/>
        </w:rPr>
        <w:t xml:space="preserve">in different age groups </w:t>
      </w:r>
      <w:r w:rsidRPr="00A66C41">
        <w:rPr>
          <w:rFonts w:ascii="Times New Roman" w:hAnsi="Times New Roman" w:cs="Times New Roman"/>
        </w:rPr>
        <w:t>estimated that concomitant treatment with other antiepileptic drugs known to be enzyme inducers (carbamazepine, phenytoin, phenobarbital, in various doses) decreased the overall systemic exposure of lacosamide by 25%.</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b/>
          <w:i/>
          <w:iCs/>
        </w:rPr>
        <w:lastRenderedPageBreak/>
        <w:t>Oral contraceptives</w:t>
      </w:r>
      <w:r w:rsidR="00471703" w:rsidRPr="00A66C41">
        <w:rPr>
          <w:rFonts w:ascii="Times New Roman" w:hAnsi="Times New Roman" w:cs="Times New Roman"/>
          <w:i/>
          <w:iCs/>
        </w:rPr>
        <w:br/>
      </w:r>
      <w:r w:rsidRPr="00A66C41">
        <w:rPr>
          <w:rFonts w:ascii="Times New Roman" w:hAnsi="Times New Roman" w:cs="Times New Roman"/>
        </w:rPr>
        <w:t xml:space="preserve">In an interaction trial there was no interaction between lacosamide and the oral contraceptives </w:t>
      </w:r>
      <w:proofErr w:type="spellStart"/>
      <w:r w:rsidRPr="00A66C41">
        <w:rPr>
          <w:rFonts w:ascii="Times New Roman" w:hAnsi="Times New Roman" w:cs="Times New Roman"/>
        </w:rPr>
        <w:t>ethinylestradiol</w:t>
      </w:r>
      <w:proofErr w:type="spellEnd"/>
      <w:r w:rsidRPr="00A66C41">
        <w:rPr>
          <w:rFonts w:ascii="Times New Roman" w:hAnsi="Times New Roman" w:cs="Times New Roman"/>
        </w:rPr>
        <w:t xml:space="preserve"> and </w:t>
      </w:r>
      <w:proofErr w:type="spellStart"/>
      <w:r w:rsidRPr="00A66C41">
        <w:rPr>
          <w:rFonts w:ascii="Times New Roman" w:hAnsi="Times New Roman" w:cs="Times New Roman"/>
        </w:rPr>
        <w:t>levonorgestrel</w:t>
      </w:r>
      <w:proofErr w:type="spellEnd"/>
      <w:r w:rsidRPr="00A66C41">
        <w:rPr>
          <w:rFonts w:ascii="Times New Roman" w:hAnsi="Times New Roman" w:cs="Times New Roman"/>
        </w:rPr>
        <w:t xml:space="preserve">. Progesterone concentrations were not affected when the medicinal products were </w:t>
      </w:r>
      <w:proofErr w:type="spellStart"/>
      <w:r w:rsidRPr="00A66C41">
        <w:rPr>
          <w:rFonts w:ascii="Times New Roman" w:hAnsi="Times New Roman" w:cs="Times New Roman"/>
        </w:rPr>
        <w:t>coadministered</w:t>
      </w:r>
      <w:proofErr w:type="spellEnd"/>
      <w:r w:rsidRPr="00A66C41">
        <w:rPr>
          <w:rFonts w:ascii="Times New Roman" w:hAnsi="Times New Roman" w:cs="Times New Roman"/>
        </w:rPr>
        <w:t>.</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b/>
          <w:i/>
          <w:iCs/>
        </w:rPr>
        <w:t>Others</w:t>
      </w:r>
      <w:r w:rsidR="00471703" w:rsidRPr="00A66C41">
        <w:rPr>
          <w:rFonts w:ascii="Times New Roman" w:hAnsi="Times New Roman" w:cs="Times New Roman"/>
          <w:i/>
          <w:iCs/>
        </w:rPr>
        <w:br/>
      </w:r>
      <w:r w:rsidRPr="00A66C41">
        <w:rPr>
          <w:rFonts w:ascii="Times New Roman" w:hAnsi="Times New Roman" w:cs="Times New Roman"/>
        </w:rPr>
        <w:t>Interaction trials showed that lacosamide had no effect on the pharmacokinetics of digoxin. There was no clinically relevant interaction between lacosamide and metformin.</w:t>
      </w:r>
      <w:r w:rsidRPr="00A66C41">
        <w:rPr>
          <w:rFonts w:ascii="Times New Roman" w:hAnsi="Times New Roman" w:cs="Times New Roman"/>
        </w:rPr>
        <w:br/>
      </w:r>
      <w:r w:rsidRPr="00A66C41">
        <w:rPr>
          <w:rFonts w:ascii="Times New Roman" w:hAnsi="Times New Roman" w:cs="Times New Roman"/>
        </w:rPr>
        <w:br/>
        <w:t xml:space="preserve">Omeprazole 40 mg </w:t>
      </w:r>
      <w:proofErr w:type="spellStart"/>
      <w:r w:rsidRPr="00A66C41">
        <w:rPr>
          <w:rFonts w:ascii="Times New Roman" w:hAnsi="Times New Roman" w:cs="Times New Roman"/>
        </w:rPr>
        <w:t>q.d</w:t>
      </w:r>
      <w:proofErr w:type="spellEnd"/>
      <w:r w:rsidRPr="00A66C41">
        <w:rPr>
          <w:rFonts w:ascii="Times New Roman" w:hAnsi="Times New Roman" w:cs="Times New Roman"/>
        </w:rPr>
        <w:t>. increased the AUC of lacosamide by 19%. The effect probably lacks clinical relevance. Lacosamide did not affect the single dose pharmacokinetics of omeprazole.</w:t>
      </w:r>
      <w:r w:rsidRPr="00A66C41">
        <w:rPr>
          <w:rFonts w:ascii="Times New Roman" w:hAnsi="Times New Roman" w:cs="Times New Roman"/>
        </w:rPr>
        <w:br/>
      </w:r>
      <w:r w:rsidRPr="00A66C41">
        <w:rPr>
          <w:rFonts w:ascii="Times New Roman" w:hAnsi="Times New Roman" w:cs="Times New Roman"/>
        </w:rPr>
        <w:br/>
      </w:r>
      <w:proofErr w:type="spellStart"/>
      <w:r w:rsidRPr="00A66C41">
        <w:rPr>
          <w:rFonts w:ascii="Times New Roman" w:hAnsi="Times New Roman" w:cs="Times New Roman"/>
        </w:rPr>
        <w:t>Coadministration</w:t>
      </w:r>
      <w:proofErr w:type="spellEnd"/>
      <w:r w:rsidRPr="00A66C41">
        <w:rPr>
          <w:rFonts w:ascii="Times New Roman" w:hAnsi="Times New Roman" w:cs="Times New Roman"/>
        </w:rPr>
        <w:t xml:space="preserve"> of warfarin with lacosamide does not result in a clinically relevant change in the pharmacokinetics and pharmacodynamic effects of warfarin.</w:t>
      </w:r>
      <w:r w:rsidRPr="00A66C41">
        <w:rPr>
          <w:rFonts w:ascii="Times New Roman" w:hAnsi="Times New Roman" w:cs="Times New Roman"/>
        </w:rPr>
        <w:br/>
      </w:r>
      <w:r w:rsidRPr="00A66C41">
        <w:rPr>
          <w:rFonts w:ascii="Times New Roman" w:hAnsi="Times New Roman" w:cs="Times New Roman"/>
        </w:rPr>
        <w:br/>
        <w:t>Lacosamide has a low protein binding of less than 15%. Therefore, clinically relevant interactions with other drugs through competition for protein binding sites are considered unlikely.</w:t>
      </w:r>
    </w:p>
    <w:p w14:paraId="44B01923" w14:textId="77777777" w:rsidR="00ED5EBF" w:rsidRPr="00A66C41" w:rsidRDefault="00175878" w:rsidP="00A76E2B">
      <w:pPr>
        <w:pStyle w:val="Heading2"/>
        <w:rPr>
          <w:rFonts w:ascii="Times New Roman" w:hAnsi="Times New Roman" w:cs="Times New Roman"/>
        </w:rPr>
      </w:pPr>
      <w:r w:rsidRPr="00A66C41">
        <w:rPr>
          <w:rFonts w:ascii="Times New Roman" w:hAnsi="Times New Roman" w:cs="Times New Roman"/>
        </w:rPr>
        <w:t xml:space="preserve">Fertility, pregnancy and lactation </w:t>
      </w:r>
    </w:p>
    <w:p w14:paraId="44B01924"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Effects on fertility</w:t>
      </w:r>
    </w:p>
    <w:p w14:paraId="44B01925" w14:textId="77777777" w:rsidR="00ED5EBF" w:rsidRPr="00A66C41" w:rsidRDefault="00175878" w:rsidP="00A76E2B">
      <w:pPr>
        <w:rPr>
          <w:rFonts w:ascii="Times New Roman" w:hAnsi="Times New Roman" w:cs="Times New Roman"/>
        </w:rPr>
      </w:pPr>
      <w:r w:rsidRPr="00A66C41">
        <w:rPr>
          <w:rFonts w:ascii="Times New Roman" w:hAnsi="Times New Roman" w:cs="Times New Roman"/>
        </w:rPr>
        <w:t>There are no human data on the effects of lacosamide on male or female fertility. Male or female fertility in rats was unaffected by oral lacosamide doses resulting in an estimated drug exposure (based on plasma AUC</w:t>
      </w:r>
      <w:r w:rsidRPr="00A66C41">
        <w:rPr>
          <w:rFonts w:ascii="Times New Roman" w:hAnsi="Times New Roman" w:cs="Times New Roman"/>
          <w:vertAlign w:val="subscript"/>
        </w:rPr>
        <w:t>0-24 h</w:t>
      </w:r>
      <w:r w:rsidRPr="00A66C41">
        <w:rPr>
          <w:rFonts w:ascii="Times New Roman" w:hAnsi="Times New Roman" w:cs="Times New Roman"/>
        </w:rPr>
        <w:t>) that was one to two times that in humans with the maximum recommended dose. Test doses were limited by CNS adverse effects.</w:t>
      </w:r>
    </w:p>
    <w:p w14:paraId="44B01926"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Use in pregnancy</w:t>
      </w:r>
    </w:p>
    <w:p w14:paraId="44B01927" w14:textId="398FD964" w:rsidR="00ED5EBF" w:rsidRPr="00A66C41" w:rsidRDefault="00175878" w:rsidP="00A76E2B">
      <w:pPr>
        <w:rPr>
          <w:rFonts w:ascii="Times New Roman" w:hAnsi="Times New Roman" w:cs="Times New Roman"/>
        </w:rPr>
      </w:pPr>
      <w:r w:rsidRPr="00A66C41">
        <w:rPr>
          <w:rFonts w:ascii="Times New Roman" w:hAnsi="Times New Roman" w:cs="Times New Roman"/>
          <w:b/>
        </w:rPr>
        <w:t>(Category B3)</w:t>
      </w:r>
      <w:r w:rsidRPr="00A66C41">
        <w:rPr>
          <w:rFonts w:ascii="Times New Roman" w:hAnsi="Times New Roman" w:cs="Times New Roman"/>
        </w:rPr>
        <w:br/>
      </w:r>
      <w:r w:rsidRPr="00A66C41">
        <w:rPr>
          <w:rFonts w:ascii="Times New Roman" w:hAnsi="Times New Roman" w:cs="Times New Roman"/>
        </w:rPr>
        <w:br/>
        <w:t xml:space="preserve">There are no adequate data from the use of lacosamide in pregnant women. In reproductive and developmental toxicity studies in rodents and rabbits, no teratogenic effects but an increase in numbers of stillborn pups and pup deaths in the peripartum period, and slightly reduced live litter sizes and pup bodyweights were observed at maternal toxic doses in rats corresponding to systemic exposure levels </w:t>
      </w:r>
      <w:r w:rsidR="00756DFE">
        <w:rPr>
          <w:rFonts w:ascii="Times New Roman" w:hAnsi="Times New Roman" w:cs="Times New Roman"/>
        </w:rPr>
        <w:t>below</w:t>
      </w:r>
      <w:r w:rsidRPr="00A66C41">
        <w:rPr>
          <w:rFonts w:ascii="Times New Roman" w:hAnsi="Times New Roman" w:cs="Times New Roman"/>
        </w:rPr>
        <w:t xml:space="preserve"> the expected clinical exposure. Test doses were limited by CNS adverse effects.</w:t>
      </w:r>
      <w:r w:rsidRPr="00A66C41">
        <w:rPr>
          <w:rFonts w:ascii="Times New Roman" w:hAnsi="Times New Roman" w:cs="Times New Roman"/>
        </w:rPr>
        <w:br/>
      </w:r>
      <w:r w:rsidRPr="00A66C41">
        <w:rPr>
          <w:rFonts w:ascii="Times New Roman" w:hAnsi="Times New Roman" w:cs="Times New Roman"/>
        </w:rPr>
        <w:br/>
        <w:t>Lacosamide and/or its metabolites were shown to cross the placental barrier in rats after treatment of dams, and foetal tissue concentrations were similar to those for maternal tissue.</w:t>
      </w:r>
      <w:r w:rsidRPr="00A66C41">
        <w:rPr>
          <w:rFonts w:ascii="Times New Roman" w:hAnsi="Times New Roman" w:cs="Times New Roman"/>
        </w:rPr>
        <w:br/>
      </w:r>
      <w:r w:rsidRPr="00A66C41">
        <w:rPr>
          <w:rFonts w:ascii="Times New Roman" w:hAnsi="Times New Roman" w:cs="Times New Roman"/>
        </w:rPr>
        <w:br/>
        <w:t>Lacosamide should not be used during pregnancy unless clearly necessary (if the benefit to the mother clearly outweighs the potential risk to the foetus). If women decide to become pregnant, the use of this product should be carefully re-evaluated. To monitor outcome of pregnancy in women exposed to Vimpat, doctors are encouraged to register pregnant patients taking Vimpat on the Australian Pregnancy Register for Women on Antiepileptic Medication with Epilepsy and Allied Conditions by calling 1800 069 722.</w:t>
      </w:r>
    </w:p>
    <w:p w14:paraId="44B01928"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lastRenderedPageBreak/>
        <w:t>Use in lactation</w:t>
      </w:r>
    </w:p>
    <w:p w14:paraId="44B01929" w14:textId="4C0CF616" w:rsidR="00ED5EBF" w:rsidRPr="00A66C41" w:rsidRDefault="00175878" w:rsidP="00A76E2B">
      <w:pPr>
        <w:rPr>
          <w:rFonts w:ascii="Times New Roman" w:hAnsi="Times New Roman" w:cs="Times New Roman"/>
        </w:rPr>
      </w:pPr>
      <w:r w:rsidRPr="00A66C41">
        <w:rPr>
          <w:rFonts w:ascii="Times New Roman" w:hAnsi="Times New Roman" w:cs="Times New Roman"/>
        </w:rPr>
        <w:t>It is unknown whether lacosamide is excreted in human breast milk. Excretion of lacosamide and/or its metabolites in milk has been shown in an animal study</w:t>
      </w:r>
      <w:r w:rsidR="00756DFE">
        <w:rPr>
          <w:rFonts w:ascii="Times New Roman" w:hAnsi="Times New Roman" w:cs="Times New Roman"/>
        </w:rPr>
        <w:t xml:space="preserve"> </w:t>
      </w:r>
      <w:r w:rsidR="00756DFE" w:rsidRPr="00FD692B">
        <w:rPr>
          <w:rFonts w:ascii="Times New Roman" w:hAnsi="Times New Roman" w:cs="Times New Roman"/>
        </w:rPr>
        <w:t>(see ‘Use in pregnancy’ above for reproductive and de</w:t>
      </w:r>
      <w:r w:rsidR="00756DFE">
        <w:rPr>
          <w:rFonts w:ascii="Times New Roman" w:hAnsi="Times New Roman" w:cs="Times New Roman"/>
        </w:rPr>
        <w:t>velopmental toxicities studies)</w:t>
      </w:r>
      <w:r w:rsidRPr="00A66C41">
        <w:rPr>
          <w:rFonts w:ascii="Times New Roman" w:hAnsi="Times New Roman" w:cs="Times New Roman"/>
        </w:rPr>
        <w:t>. A decision on whether to continue/ discontinue breast</w:t>
      </w:r>
      <w:r w:rsidR="00EB55F0">
        <w:rPr>
          <w:rFonts w:ascii="Times New Roman" w:hAnsi="Times New Roman" w:cs="Times New Roman"/>
        </w:rPr>
        <w:t>-</w:t>
      </w:r>
      <w:r w:rsidRPr="00A66C41">
        <w:rPr>
          <w:rFonts w:ascii="Times New Roman" w:hAnsi="Times New Roman" w:cs="Times New Roman"/>
        </w:rPr>
        <w:t>feeding or to continue/ discontinue therapy with Vimpat should be made taking into account the benefit of breast</w:t>
      </w:r>
      <w:r w:rsidR="00EB55F0">
        <w:rPr>
          <w:rFonts w:ascii="Times New Roman" w:hAnsi="Times New Roman" w:cs="Times New Roman"/>
        </w:rPr>
        <w:t>-</w:t>
      </w:r>
      <w:r w:rsidRPr="00A66C41">
        <w:rPr>
          <w:rFonts w:ascii="Times New Roman" w:hAnsi="Times New Roman" w:cs="Times New Roman"/>
        </w:rPr>
        <w:t>feeding to the child and the benefit of Vimpat therapy to the woman.</w:t>
      </w:r>
    </w:p>
    <w:p w14:paraId="44B0192A" w14:textId="77777777" w:rsidR="00ED5EBF" w:rsidRPr="00A66C41" w:rsidRDefault="00175878" w:rsidP="00A76E2B">
      <w:pPr>
        <w:pStyle w:val="Heading2"/>
        <w:rPr>
          <w:rFonts w:ascii="Times New Roman" w:hAnsi="Times New Roman" w:cs="Times New Roman"/>
        </w:rPr>
      </w:pPr>
      <w:r w:rsidRPr="00A66C41">
        <w:rPr>
          <w:rFonts w:ascii="Times New Roman" w:hAnsi="Times New Roman" w:cs="Times New Roman"/>
        </w:rPr>
        <w:t xml:space="preserve">Effects on ability to drive and use machines </w:t>
      </w:r>
    </w:p>
    <w:p w14:paraId="44B0192B" w14:textId="77777777" w:rsidR="00ED5EBF" w:rsidRPr="00A66C41" w:rsidRDefault="00175878" w:rsidP="00A76E2B">
      <w:pPr>
        <w:rPr>
          <w:rFonts w:ascii="Times New Roman" w:hAnsi="Times New Roman" w:cs="Times New Roman"/>
        </w:rPr>
      </w:pPr>
      <w:r w:rsidRPr="00A66C41">
        <w:rPr>
          <w:rFonts w:ascii="Times New Roman" w:hAnsi="Times New Roman" w:cs="Times New Roman"/>
        </w:rPr>
        <w:t>Vimpat may have minor to moderate influence on the ability to drive and use machines. Vimpat treatment has been associated with dizziness or blurred vision. Accordingly, patients should be advised not to drive a car or to operate other potentially hazardous machinery until they are familiar with the effects of Vimpat on their ability to perform such activities.</w:t>
      </w:r>
    </w:p>
    <w:p w14:paraId="44B0192C" w14:textId="77777777" w:rsidR="00ED5EBF" w:rsidRPr="00A66C41" w:rsidRDefault="00175878" w:rsidP="00A76E2B">
      <w:pPr>
        <w:pStyle w:val="Heading2"/>
        <w:rPr>
          <w:rFonts w:ascii="Times New Roman" w:hAnsi="Times New Roman" w:cs="Times New Roman"/>
        </w:rPr>
      </w:pPr>
      <w:r w:rsidRPr="00A66C41">
        <w:rPr>
          <w:rFonts w:ascii="Times New Roman" w:hAnsi="Times New Roman" w:cs="Times New Roman"/>
        </w:rPr>
        <w:t>Adverse effects (Undesirable effects)</w:t>
      </w:r>
    </w:p>
    <w:p w14:paraId="4624C12E" w14:textId="77777777" w:rsidR="00756DFE" w:rsidRDefault="00175878" w:rsidP="00C10A5F">
      <w:pPr>
        <w:spacing w:after="0"/>
        <w:rPr>
          <w:rFonts w:ascii="Times New Roman" w:hAnsi="Times New Roman" w:cs="Times New Roman"/>
          <w:b/>
          <w:bCs/>
        </w:rPr>
      </w:pPr>
      <w:r w:rsidRPr="00A66C41">
        <w:rPr>
          <w:rFonts w:ascii="Times New Roman" w:hAnsi="Times New Roman" w:cs="Times New Roman"/>
          <w:b/>
          <w:bCs/>
        </w:rPr>
        <w:t>Clinical studies</w:t>
      </w:r>
    </w:p>
    <w:p w14:paraId="44B0192D" w14:textId="06C80939" w:rsidR="004A0E38" w:rsidRPr="00A66C41" w:rsidRDefault="00756DFE" w:rsidP="00A76E2B">
      <w:pPr>
        <w:rPr>
          <w:rFonts w:ascii="Times New Roman" w:hAnsi="Times New Roman" w:cs="Times New Roman"/>
        </w:rPr>
      </w:pPr>
      <w:r>
        <w:rPr>
          <w:rFonts w:ascii="Times New Roman" w:hAnsi="Times New Roman" w:cs="Times New Roman"/>
          <w:b/>
          <w:i/>
        </w:rPr>
        <w:t>Add-on therapy</w:t>
      </w:r>
      <w:r w:rsidR="00175878" w:rsidRPr="00A66C41">
        <w:rPr>
          <w:rFonts w:ascii="Times New Roman" w:hAnsi="Times New Roman" w:cs="Times New Roman"/>
        </w:rPr>
        <w:br/>
        <w:t xml:space="preserve">Based on the analysis of pooled </w:t>
      </w:r>
      <w:r w:rsidR="00450A64">
        <w:rPr>
          <w:rFonts w:ascii="Times New Roman" w:hAnsi="Times New Roman" w:cs="Times New Roman"/>
        </w:rPr>
        <w:t>placebo-c</w:t>
      </w:r>
      <w:r w:rsidR="00175878" w:rsidRPr="00A66C41">
        <w:rPr>
          <w:rFonts w:ascii="Times New Roman" w:hAnsi="Times New Roman" w:cs="Times New Roman"/>
        </w:rPr>
        <w:t xml:space="preserve">ontrolled clinical trials in 1,308 patients with </w:t>
      </w:r>
      <w:r w:rsidR="00450A64">
        <w:rPr>
          <w:rFonts w:ascii="Times New Roman" w:hAnsi="Times New Roman" w:cs="Times New Roman"/>
        </w:rPr>
        <w:t>partial-onset</w:t>
      </w:r>
      <w:r w:rsidR="00175878" w:rsidRPr="00A66C41">
        <w:rPr>
          <w:rFonts w:ascii="Times New Roman" w:hAnsi="Times New Roman" w:cs="Times New Roman"/>
        </w:rPr>
        <w:t xml:space="preserve"> seizures, a total of 61.9% of patients randomized to lacosamide and 35.2% of patients randomized to placebo reported at least 1 adverse reaction. The most frequently reported adverse reactions with lacosamide treatment were dizziness, headache, nausea and diplopia. They were usually mild to moderate in intensity. Some were dose related and could be alleviated by reducing the dose. Incidence and severity of CNS and gastrointestinal (GI) adverse reactions usually decreased over time. Overall in controlled studies the discontinuation rate due to adverse reactions was 12.2% for patients randomized to lacosamide and 1.6% for patients randomized to placebo. The most common adverse reaction resulting in discontinuation of lacosamide therapy was dizziness.</w:t>
      </w:r>
      <w:r w:rsidR="00175878" w:rsidRPr="00A66C41">
        <w:rPr>
          <w:rFonts w:ascii="Times New Roman" w:hAnsi="Times New Roman" w:cs="Times New Roman"/>
        </w:rPr>
        <w:br/>
      </w:r>
      <w:r w:rsidR="00175878" w:rsidRPr="00A66C41">
        <w:rPr>
          <w:rFonts w:ascii="Times New Roman" w:hAnsi="Times New Roman" w:cs="Times New Roman"/>
        </w:rPr>
        <w:br/>
      </w:r>
      <w:r w:rsidR="008D36FF">
        <w:rPr>
          <w:rFonts w:ascii="Times New Roman" w:hAnsi="Times New Roman" w:cs="Times New Roman"/>
        </w:rPr>
        <w:t>The table below</w:t>
      </w:r>
      <w:r w:rsidR="00175878" w:rsidRPr="00A66C41">
        <w:rPr>
          <w:rFonts w:ascii="Times New Roman" w:hAnsi="Times New Roman" w:cs="Times New Roman"/>
        </w:rPr>
        <w:t xml:space="preserve"> shows the incidence of very common (≥ 1/10) and common (≥ 1/100 to &lt; 1/10) adverse reactions by randomized treatment group which have been reported in pooled </w:t>
      </w:r>
      <w:r w:rsidR="00450A64">
        <w:rPr>
          <w:rFonts w:ascii="Times New Roman" w:hAnsi="Times New Roman" w:cs="Times New Roman"/>
        </w:rPr>
        <w:t>placebo-c</w:t>
      </w:r>
      <w:r w:rsidR="00175878" w:rsidRPr="00A66C41">
        <w:rPr>
          <w:rFonts w:ascii="Times New Roman" w:hAnsi="Times New Roman" w:cs="Times New Roman"/>
        </w:rPr>
        <w:t>ontrolled clinical trials.</w:t>
      </w:r>
    </w:p>
    <w:p w14:paraId="44B0192E" w14:textId="1B517D22" w:rsidR="00471703" w:rsidRPr="00A66C41" w:rsidRDefault="00471703" w:rsidP="00471703">
      <w:pPr>
        <w:pStyle w:val="Caption"/>
        <w:keepNext/>
        <w:spacing w:before="0" w:after="160"/>
        <w:rPr>
          <w:sz w:val="24"/>
          <w:szCs w:val="24"/>
        </w:rPr>
      </w:pPr>
      <w:r w:rsidRPr="00C10A5F">
        <w:rPr>
          <w:sz w:val="22"/>
          <w:szCs w:val="24"/>
        </w:rPr>
        <w:lastRenderedPageBreak/>
        <w:t xml:space="preserve">Table </w:t>
      </w:r>
      <w:r w:rsidR="008D36FF" w:rsidRPr="00C10A5F">
        <w:rPr>
          <w:sz w:val="22"/>
          <w:szCs w:val="24"/>
        </w:rPr>
        <w:t>2</w:t>
      </w:r>
      <w:r w:rsidRPr="00C10A5F">
        <w:rPr>
          <w:sz w:val="22"/>
          <w:szCs w:val="24"/>
        </w:rPr>
        <w:t xml:space="preserve"> - Incidence </w:t>
      </w:r>
      <w:r w:rsidR="00407779" w:rsidRPr="00592D8D">
        <w:rPr>
          <w:sz w:val="22"/>
          <w:szCs w:val="22"/>
        </w:rPr>
        <w:t xml:space="preserve">of </w:t>
      </w:r>
      <w:bookmarkStart w:id="5" w:name="_Hlk514683198"/>
      <w:r w:rsidR="00407779" w:rsidRPr="00592D8D">
        <w:rPr>
          <w:sz w:val="22"/>
          <w:szCs w:val="22"/>
        </w:rPr>
        <w:t xml:space="preserve">Treatment-Emergent Adverse Events regardless of causality </w:t>
      </w:r>
      <w:bookmarkEnd w:id="5"/>
      <w:r w:rsidR="00407779" w:rsidRPr="00592D8D">
        <w:rPr>
          <w:sz w:val="22"/>
          <w:szCs w:val="22"/>
        </w:rPr>
        <w:t>during the Treatment Phase</w:t>
      </w:r>
      <w:r w:rsidR="00407779" w:rsidRPr="00A66C41" w:rsidDel="00407779">
        <w:rPr>
          <w:sz w:val="24"/>
          <w:szCs w:val="24"/>
        </w:rPr>
        <w:t xml:space="preserve"> </w:t>
      </w:r>
    </w:p>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993"/>
        <w:gridCol w:w="1275"/>
        <w:gridCol w:w="1276"/>
        <w:gridCol w:w="1276"/>
        <w:gridCol w:w="1417"/>
      </w:tblGrid>
      <w:tr w:rsidR="00471703" w:rsidRPr="00A66C41" w14:paraId="44B0193B" w14:textId="77777777" w:rsidTr="00924ED2">
        <w:trPr>
          <w:tblHeader/>
        </w:trPr>
        <w:tc>
          <w:tcPr>
            <w:tcW w:w="1720" w:type="dxa"/>
            <w:vMerge w:val="restart"/>
            <w:tcBorders>
              <w:top w:val="single" w:sz="12" w:space="0" w:color="auto"/>
              <w:left w:val="single" w:sz="12" w:space="0" w:color="auto"/>
            </w:tcBorders>
            <w:shd w:val="clear" w:color="auto" w:fill="auto"/>
            <w:tcMar>
              <w:left w:w="57" w:type="dxa"/>
              <w:right w:w="57" w:type="dxa"/>
            </w:tcMar>
            <w:vAlign w:val="center"/>
          </w:tcPr>
          <w:p w14:paraId="44B0192F" w14:textId="77777777" w:rsidR="00471703" w:rsidRPr="00A66C41" w:rsidRDefault="00471703" w:rsidP="00924ED2">
            <w:pPr>
              <w:pStyle w:val="TableTextHeading"/>
              <w:spacing w:before="0" w:after="0"/>
              <w:rPr>
                <w:rFonts w:ascii="Times New Roman" w:hAnsi="Times New Roman"/>
                <w:sz w:val="20"/>
              </w:rPr>
            </w:pPr>
            <w:r w:rsidRPr="00A66C41">
              <w:rPr>
                <w:rFonts w:ascii="Times New Roman" w:hAnsi="Times New Roman"/>
                <w:sz w:val="20"/>
              </w:rPr>
              <w:t>MedDRA</w:t>
            </w:r>
            <w:r w:rsidRPr="00A66C41">
              <w:rPr>
                <w:rFonts w:ascii="Times New Roman" w:hAnsi="Times New Roman"/>
                <w:sz w:val="20"/>
                <w:vertAlign w:val="superscript"/>
              </w:rPr>
              <w:t>®</w:t>
            </w:r>
            <w:r w:rsidRPr="00A66C41">
              <w:rPr>
                <w:rFonts w:ascii="Times New Roman" w:hAnsi="Times New Roman"/>
                <w:sz w:val="20"/>
              </w:rPr>
              <w:t xml:space="preserve"> SOC/ preferred term</w:t>
            </w:r>
          </w:p>
        </w:tc>
        <w:tc>
          <w:tcPr>
            <w:tcW w:w="993" w:type="dxa"/>
            <w:tcBorders>
              <w:top w:val="single" w:sz="12" w:space="0" w:color="auto"/>
            </w:tcBorders>
            <w:shd w:val="clear" w:color="auto" w:fill="auto"/>
            <w:tcMar>
              <w:left w:w="57" w:type="dxa"/>
              <w:right w:w="57" w:type="dxa"/>
            </w:tcMar>
            <w:vAlign w:val="center"/>
          </w:tcPr>
          <w:p w14:paraId="44B01930" w14:textId="77777777" w:rsidR="00471703" w:rsidRPr="00A66C41" w:rsidRDefault="00471703" w:rsidP="00924ED2">
            <w:pPr>
              <w:pStyle w:val="TableTextHeading"/>
              <w:spacing w:before="0" w:after="0"/>
              <w:jc w:val="left"/>
              <w:rPr>
                <w:rFonts w:ascii="Times New Roman" w:hAnsi="Times New Roman"/>
                <w:sz w:val="20"/>
              </w:rPr>
            </w:pPr>
            <w:r w:rsidRPr="00A66C41">
              <w:rPr>
                <w:rFonts w:ascii="Times New Roman" w:hAnsi="Times New Roman"/>
                <w:sz w:val="20"/>
              </w:rPr>
              <w:t>Placebo</w:t>
            </w:r>
          </w:p>
          <w:p w14:paraId="44B01931" w14:textId="77777777" w:rsidR="00471703" w:rsidRPr="00A66C41" w:rsidRDefault="00471703" w:rsidP="00924ED2">
            <w:pPr>
              <w:pStyle w:val="TableTextHeading"/>
              <w:spacing w:before="0" w:after="0"/>
              <w:jc w:val="left"/>
              <w:rPr>
                <w:rFonts w:ascii="Times New Roman" w:hAnsi="Times New Roman"/>
                <w:sz w:val="20"/>
              </w:rPr>
            </w:pPr>
            <w:r w:rsidRPr="00A66C41">
              <w:rPr>
                <w:rFonts w:ascii="Times New Roman" w:hAnsi="Times New Roman"/>
                <w:sz w:val="20"/>
              </w:rPr>
              <w:t>N=364</w:t>
            </w:r>
          </w:p>
        </w:tc>
        <w:tc>
          <w:tcPr>
            <w:tcW w:w="1275" w:type="dxa"/>
            <w:tcBorders>
              <w:top w:val="single" w:sz="12" w:space="0" w:color="auto"/>
            </w:tcBorders>
            <w:shd w:val="clear" w:color="auto" w:fill="auto"/>
            <w:tcMar>
              <w:left w:w="57" w:type="dxa"/>
              <w:right w:w="57" w:type="dxa"/>
            </w:tcMar>
          </w:tcPr>
          <w:p w14:paraId="44B01932" w14:textId="77777777" w:rsidR="00471703" w:rsidRPr="00A66C41" w:rsidRDefault="00471703" w:rsidP="00924ED2">
            <w:pPr>
              <w:pStyle w:val="TableTextHeading"/>
              <w:spacing w:before="0" w:after="0"/>
              <w:rPr>
                <w:rFonts w:ascii="Times New Roman" w:hAnsi="Times New Roman"/>
                <w:sz w:val="20"/>
              </w:rPr>
            </w:pPr>
            <w:r w:rsidRPr="00A66C41">
              <w:rPr>
                <w:rFonts w:ascii="Times New Roman" w:hAnsi="Times New Roman"/>
                <w:sz w:val="20"/>
              </w:rPr>
              <w:t>LCM 200mg/day</w:t>
            </w:r>
          </w:p>
          <w:p w14:paraId="44B01933" w14:textId="77777777" w:rsidR="00471703" w:rsidRPr="00A66C41" w:rsidRDefault="00471703" w:rsidP="00924ED2">
            <w:pPr>
              <w:pStyle w:val="TableTextHeading"/>
              <w:spacing w:before="0" w:after="0"/>
              <w:rPr>
                <w:rFonts w:ascii="Times New Roman" w:hAnsi="Times New Roman"/>
                <w:sz w:val="20"/>
              </w:rPr>
            </w:pPr>
            <w:r w:rsidRPr="00A66C41">
              <w:rPr>
                <w:rFonts w:ascii="Times New Roman" w:hAnsi="Times New Roman"/>
                <w:sz w:val="20"/>
              </w:rPr>
              <w:t>N=270</w:t>
            </w:r>
          </w:p>
        </w:tc>
        <w:tc>
          <w:tcPr>
            <w:tcW w:w="1276" w:type="dxa"/>
            <w:tcBorders>
              <w:top w:val="single" w:sz="12" w:space="0" w:color="auto"/>
            </w:tcBorders>
            <w:shd w:val="clear" w:color="auto" w:fill="auto"/>
            <w:tcMar>
              <w:left w:w="57" w:type="dxa"/>
              <w:right w:w="57" w:type="dxa"/>
            </w:tcMar>
          </w:tcPr>
          <w:p w14:paraId="44B01934" w14:textId="77777777" w:rsidR="00471703" w:rsidRPr="00A66C41" w:rsidRDefault="00471703" w:rsidP="00924ED2">
            <w:pPr>
              <w:pStyle w:val="TableTextHeading"/>
              <w:spacing w:before="0" w:after="0"/>
              <w:rPr>
                <w:rFonts w:ascii="Times New Roman" w:hAnsi="Times New Roman"/>
                <w:sz w:val="20"/>
              </w:rPr>
            </w:pPr>
            <w:r w:rsidRPr="00A66C41">
              <w:rPr>
                <w:rFonts w:ascii="Times New Roman" w:hAnsi="Times New Roman"/>
                <w:sz w:val="20"/>
              </w:rPr>
              <w:t>LCM 400mg/day</w:t>
            </w:r>
          </w:p>
          <w:p w14:paraId="44B01935" w14:textId="77777777" w:rsidR="00471703" w:rsidRPr="00A66C41" w:rsidRDefault="00471703" w:rsidP="00924ED2">
            <w:pPr>
              <w:pStyle w:val="TableTextHeading"/>
              <w:spacing w:before="0" w:after="0"/>
              <w:rPr>
                <w:rFonts w:ascii="Times New Roman" w:hAnsi="Times New Roman"/>
                <w:sz w:val="20"/>
              </w:rPr>
            </w:pPr>
            <w:r w:rsidRPr="00A66C41">
              <w:rPr>
                <w:rFonts w:ascii="Times New Roman" w:hAnsi="Times New Roman"/>
                <w:sz w:val="20"/>
              </w:rPr>
              <w:t>N=471</w:t>
            </w:r>
          </w:p>
        </w:tc>
        <w:tc>
          <w:tcPr>
            <w:tcW w:w="1276" w:type="dxa"/>
            <w:tcBorders>
              <w:top w:val="single" w:sz="12" w:space="0" w:color="auto"/>
            </w:tcBorders>
            <w:shd w:val="clear" w:color="auto" w:fill="auto"/>
            <w:tcMar>
              <w:left w:w="57" w:type="dxa"/>
              <w:right w:w="57" w:type="dxa"/>
            </w:tcMar>
          </w:tcPr>
          <w:p w14:paraId="44B01936" w14:textId="77777777" w:rsidR="00471703" w:rsidRPr="00A66C41" w:rsidRDefault="00471703" w:rsidP="00924ED2">
            <w:pPr>
              <w:pStyle w:val="TableTextHeading"/>
              <w:spacing w:before="0" w:after="0"/>
              <w:rPr>
                <w:rFonts w:ascii="Times New Roman" w:hAnsi="Times New Roman"/>
                <w:sz w:val="20"/>
              </w:rPr>
            </w:pPr>
            <w:r w:rsidRPr="00A66C41">
              <w:rPr>
                <w:rFonts w:ascii="Times New Roman" w:hAnsi="Times New Roman"/>
                <w:sz w:val="20"/>
              </w:rPr>
              <w:t>LCM 600mg/day</w:t>
            </w:r>
          </w:p>
          <w:p w14:paraId="44B01937" w14:textId="77777777" w:rsidR="00471703" w:rsidRPr="00A66C41" w:rsidRDefault="00471703" w:rsidP="00924ED2">
            <w:pPr>
              <w:pStyle w:val="TableTextHeading"/>
              <w:spacing w:before="0" w:after="0"/>
              <w:rPr>
                <w:rFonts w:ascii="Times New Roman" w:hAnsi="Times New Roman"/>
                <w:sz w:val="20"/>
              </w:rPr>
            </w:pPr>
            <w:r w:rsidRPr="00A66C41">
              <w:rPr>
                <w:rFonts w:ascii="Times New Roman" w:hAnsi="Times New Roman"/>
                <w:sz w:val="20"/>
              </w:rPr>
              <w:t>N=203</w:t>
            </w:r>
          </w:p>
        </w:tc>
        <w:tc>
          <w:tcPr>
            <w:tcW w:w="1417" w:type="dxa"/>
            <w:tcBorders>
              <w:top w:val="single" w:sz="12" w:space="0" w:color="auto"/>
              <w:right w:val="single" w:sz="12" w:space="0" w:color="auto"/>
            </w:tcBorders>
            <w:shd w:val="clear" w:color="auto" w:fill="auto"/>
            <w:tcMar>
              <w:left w:w="57" w:type="dxa"/>
              <w:right w:w="57" w:type="dxa"/>
            </w:tcMar>
          </w:tcPr>
          <w:p w14:paraId="44B01938" w14:textId="77777777" w:rsidR="00471703" w:rsidRPr="00A66C41" w:rsidRDefault="00471703" w:rsidP="00924ED2">
            <w:pPr>
              <w:pStyle w:val="TableTextHeading"/>
              <w:spacing w:before="0" w:after="0"/>
              <w:rPr>
                <w:rFonts w:ascii="Times New Roman" w:hAnsi="Times New Roman"/>
                <w:sz w:val="20"/>
              </w:rPr>
            </w:pPr>
            <w:r w:rsidRPr="00A66C41">
              <w:rPr>
                <w:rFonts w:ascii="Times New Roman" w:hAnsi="Times New Roman"/>
                <w:sz w:val="20"/>
              </w:rPr>
              <w:t xml:space="preserve">LCM </w:t>
            </w:r>
          </w:p>
          <w:p w14:paraId="44B01939" w14:textId="77777777" w:rsidR="00471703" w:rsidRPr="00A66C41" w:rsidRDefault="00471703" w:rsidP="00924ED2">
            <w:pPr>
              <w:pStyle w:val="TableTextHeading"/>
              <w:spacing w:before="0" w:after="0"/>
              <w:rPr>
                <w:rFonts w:ascii="Times New Roman" w:hAnsi="Times New Roman"/>
                <w:sz w:val="20"/>
              </w:rPr>
            </w:pPr>
            <w:r w:rsidRPr="00A66C41">
              <w:rPr>
                <w:rFonts w:ascii="Times New Roman" w:hAnsi="Times New Roman"/>
                <w:sz w:val="20"/>
              </w:rPr>
              <w:t>Total</w:t>
            </w:r>
          </w:p>
          <w:p w14:paraId="44B0193A" w14:textId="77777777" w:rsidR="00471703" w:rsidRPr="00A66C41" w:rsidRDefault="00471703" w:rsidP="00924ED2">
            <w:pPr>
              <w:pStyle w:val="TableTextHeading"/>
              <w:spacing w:before="0" w:after="0"/>
              <w:rPr>
                <w:rFonts w:ascii="Times New Roman" w:hAnsi="Times New Roman"/>
                <w:sz w:val="20"/>
              </w:rPr>
            </w:pPr>
            <w:r w:rsidRPr="00A66C41">
              <w:rPr>
                <w:rFonts w:ascii="Times New Roman" w:hAnsi="Times New Roman"/>
                <w:sz w:val="20"/>
              </w:rPr>
              <w:t>N=944</w:t>
            </w:r>
          </w:p>
        </w:tc>
      </w:tr>
      <w:tr w:rsidR="00471703" w:rsidRPr="00A66C41" w14:paraId="44B0193E" w14:textId="77777777" w:rsidTr="00924ED2">
        <w:trPr>
          <w:cantSplit/>
        </w:trPr>
        <w:tc>
          <w:tcPr>
            <w:tcW w:w="1720" w:type="dxa"/>
            <w:vMerge/>
            <w:tcBorders>
              <w:left w:val="single" w:sz="12" w:space="0" w:color="auto"/>
              <w:bottom w:val="single" w:sz="12" w:space="0" w:color="auto"/>
            </w:tcBorders>
            <w:shd w:val="clear" w:color="auto" w:fill="auto"/>
            <w:tcMar>
              <w:left w:w="57" w:type="dxa"/>
              <w:right w:w="57" w:type="dxa"/>
            </w:tcMar>
          </w:tcPr>
          <w:p w14:paraId="44B0193C" w14:textId="77777777" w:rsidR="00471703" w:rsidRPr="00A66C41" w:rsidRDefault="00471703" w:rsidP="00924ED2">
            <w:pPr>
              <w:pStyle w:val="TableTextHeading"/>
              <w:spacing w:before="0" w:after="0"/>
              <w:rPr>
                <w:rFonts w:ascii="Times New Roman" w:hAnsi="Times New Roman"/>
                <w:sz w:val="20"/>
              </w:rPr>
            </w:pPr>
          </w:p>
        </w:tc>
        <w:tc>
          <w:tcPr>
            <w:tcW w:w="6237" w:type="dxa"/>
            <w:gridSpan w:val="5"/>
            <w:tcBorders>
              <w:bottom w:val="single" w:sz="12" w:space="0" w:color="auto"/>
              <w:right w:val="single" w:sz="12" w:space="0" w:color="auto"/>
            </w:tcBorders>
            <w:shd w:val="clear" w:color="auto" w:fill="auto"/>
            <w:tcMar>
              <w:left w:w="57" w:type="dxa"/>
              <w:right w:w="57" w:type="dxa"/>
            </w:tcMar>
            <w:vAlign w:val="bottom"/>
          </w:tcPr>
          <w:p w14:paraId="44B0193D" w14:textId="77777777" w:rsidR="00471703" w:rsidRPr="00A66C41" w:rsidRDefault="00471703" w:rsidP="00924ED2">
            <w:pPr>
              <w:pStyle w:val="TableTextHeading"/>
              <w:spacing w:before="0" w:after="0"/>
              <w:rPr>
                <w:rFonts w:ascii="Times New Roman" w:hAnsi="Times New Roman"/>
                <w:sz w:val="20"/>
              </w:rPr>
            </w:pPr>
            <w:r w:rsidRPr="00A66C41">
              <w:rPr>
                <w:rFonts w:ascii="Times New Roman" w:hAnsi="Times New Roman"/>
                <w:sz w:val="20"/>
              </w:rPr>
              <w:t>n (%)</w:t>
            </w:r>
          </w:p>
        </w:tc>
      </w:tr>
      <w:tr w:rsidR="00471703" w:rsidRPr="00A66C41" w14:paraId="44B01940" w14:textId="77777777" w:rsidTr="00924ED2">
        <w:trPr>
          <w:cantSplit/>
        </w:trPr>
        <w:tc>
          <w:tcPr>
            <w:tcW w:w="7957" w:type="dxa"/>
            <w:gridSpan w:val="6"/>
            <w:tcBorders>
              <w:top w:val="single" w:sz="12" w:space="0" w:color="auto"/>
              <w:left w:val="single" w:sz="12" w:space="0" w:color="auto"/>
              <w:right w:val="single" w:sz="12" w:space="0" w:color="auto"/>
            </w:tcBorders>
            <w:shd w:val="clear" w:color="auto" w:fill="auto"/>
            <w:tcMar>
              <w:left w:w="57" w:type="dxa"/>
              <w:right w:w="57" w:type="dxa"/>
            </w:tcMar>
          </w:tcPr>
          <w:p w14:paraId="44B0193F" w14:textId="77777777" w:rsidR="00471703" w:rsidRPr="00A66C41" w:rsidRDefault="00471703" w:rsidP="00924ED2">
            <w:pPr>
              <w:pStyle w:val="TableTextCharChar"/>
              <w:spacing w:before="20" w:after="20"/>
              <w:rPr>
                <w:sz w:val="20"/>
              </w:rPr>
            </w:pPr>
            <w:r w:rsidRPr="00A66C41">
              <w:rPr>
                <w:b/>
                <w:sz w:val="20"/>
              </w:rPr>
              <w:t>Ear and labyrinth disorder</w:t>
            </w:r>
          </w:p>
        </w:tc>
      </w:tr>
      <w:tr w:rsidR="00471703" w:rsidRPr="00A66C41" w14:paraId="44B01947" w14:textId="77777777" w:rsidTr="00924ED2">
        <w:trPr>
          <w:cantSplit/>
        </w:trPr>
        <w:tc>
          <w:tcPr>
            <w:tcW w:w="1720" w:type="dxa"/>
            <w:tcBorders>
              <w:left w:val="single" w:sz="12" w:space="0" w:color="auto"/>
            </w:tcBorders>
            <w:shd w:val="clear" w:color="auto" w:fill="auto"/>
            <w:tcMar>
              <w:left w:w="57" w:type="dxa"/>
              <w:right w:w="57" w:type="dxa"/>
            </w:tcMar>
          </w:tcPr>
          <w:p w14:paraId="44B01941" w14:textId="77777777" w:rsidR="00471703" w:rsidRPr="00A66C41" w:rsidRDefault="00471703" w:rsidP="00924ED2">
            <w:pPr>
              <w:pStyle w:val="TableTextCharChar"/>
              <w:spacing w:before="20" w:after="20"/>
              <w:rPr>
                <w:sz w:val="20"/>
              </w:rPr>
            </w:pPr>
            <w:r w:rsidRPr="00A66C41">
              <w:rPr>
                <w:sz w:val="20"/>
              </w:rPr>
              <w:t>Vertigo</w:t>
            </w:r>
          </w:p>
        </w:tc>
        <w:tc>
          <w:tcPr>
            <w:tcW w:w="993" w:type="dxa"/>
            <w:shd w:val="clear" w:color="auto" w:fill="auto"/>
            <w:tcMar>
              <w:left w:w="57" w:type="dxa"/>
              <w:right w:w="57" w:type="dxa"/>
            </w:tcMar>
          </w:tcPr>
          <w:p w14:paraId="44B01942" w14:textId="77777777" w:rsidR="00471703" w:rsidRPr="00A66C41" w:rsidRDefault="00471703" w:rsidP="00924ED2">
            <w:pPr>
              <w:pStyle w:val="TableTextCharChar"/>
              <w:spacing w:before="20" w:after="20"/>
              <w:jc w:val="center"/>
              <w:rPr>
                <w:sz w:val="20"/>
              </w:rPr>
            </w:pPr>
            <w:r w:rsidRPr="00A66C41">
              <w:rPr>
                <w:sz w:val="20"/>
              </w:rPr>
              <w:t>3 (0.8)</w:t>
            </w:r>
          </w:p>
        </w:tc>
        <w:tc>
          <w:tcPr>
            <w:tcW w:w="1275" w:type="dxa"/>
            <w:shd w:val="clear" w:color="auto" w:fill="auto"/>
            <w:tcMar>
              <w:left w:w="57" w:type="dxa"/>
              <w:right w:w="57" w:type="dxa"/>
            </w:tcMar>
          </w:tcPr>
          <w:p w14:paraId="44B01943" w14:textId="77777777" w:rsidR="00471703" w:rsidRPr="00A66C41" w:rsidRDefault="00471703" w:rsidP="00924ED2">
            <w:pPr>
              <w:pStyle w:val="TableTextCharChar"/>
              <w:spacing w:before="20" w:after="20"/>
              <w:jc w:val="center"/>
              <w:rPr>
                <w:sz w:val="20"/>
              </w:rPr>
            </w:pPr>
            <w:r w:rsidRPr="00A66C41">
              <w:rPr>
                <w:sz w:val="20"/>
              </w:rPr>
              <w:t>13 (4.8)</w:t>
            </w:r>
          </w:p>
        </w:tc>
        <w:tc>
          <w:tcPr>
            <w:tcW w:w="1276" w:type="dxa"/>
            <w:shd w:val="clear" w:color="auto" w:fill="auto"/>
            <w:tcMar>
              <w:left w:w="57" w:type="dxa"/>
              <w:right w:w="57" w:type="dxa"/>
            </w:tcMar>
          </w:tcPr>
          <w:p w14:paraId="44B01944" w14:textId="77777777" w:rsidR="00471703" w:rsidRPr="00A66C41" w:rsidRDefault="00471703" w:rsidP="00924ED2">
            <w:pPr>
              <w:pStyle w:val="TableTextCharChar"/>
              <w:spacing w:before="20" w:after="20"/>
              <w:jc w:val="center"/>
              <w:rPr>
                <w:sz w:val="20"/>
              </w:rPr>
            </w:pPr>
            <w:r w:rsidRPr="00A66C41">
              <w:rPr>
                <w:sz w:val="20"/>
              </w:rPr>
              <w:t>14 (3.0)</w:t>
            </w:r>
          </w:p>
        </w:tc>
        <w:tc>
          <w:tcPr>
            <w:tcW w:w="1276" w:type="dxa"/>
            <w:shd w:val="clear" w:color="auto" w:fill="auto"/>
            <w:tcMar>
              <w:left w:w="57" w:type="dxa"/>
              <w:right w:w="57" w:type="dxa"/>
            </w:tcMar>
          </w:tcPr>
          <w:p w14:paraId="44B01945" w14:textId="77777777" w:rsidR="00471703" w:rsidRPr="00A66C41" w:rsidRDefault="00471703" w:rsidP="00924ED2">
            <w:pPr>
              <w:pStyle w:val="TableTextCharChar"/>
              <w:spacing w:before="20" w:after="20"/>
              <w:jc w:val="center"/>
              <w:rPr>
                <w:sz w:val="20"/>
              </w:rPr>
            </w:pPr>
            <w:r w:rsidRPr="00A66C41">
              <w:rPr>
                <w:sz w:val="20"/>
              </w:rPr>
              <w:t>9 (4.4)</w:t>
            </w:r>
          </w:p>
        </w:tc>
        <w:tc>
          <w:tcPr>
            <w:tcW w:w="1417" w:type="dxa"/>
            <w:tcBorders>
              <w:right w:val="single" w:sz="12" w:space="0" w:color="auto"/>
            </w:tcBorders>
            <w:shd w:val="clear" w:color="auto" w:fill="auto"/>
            <w:tcMar>
              <w:left w:w="57" w:type="dxa"/>
              <w:right w:w="57" w:type="dxa"/>
            </w:tcMar>
          </w:tcPr>
          <w:p w14:paraId="44B01946" w14:textId="77777777" w:rsidR="00471703" w:rsidRPr="00A66C41" w:rsidRDefault="00471703" w:rsidP="00924ED2">
            <w:pPr>
              <w:pStyle w:val="TableTextCharChar"/>
              <w:spacing w:before="20" w:after="20"/>
              <w:jc w:val="center"/>
              <w:rPr>
                <w:sz w:val="20"/>
              </w:rPr>
            </w:pPr>
            <w:r w:rsidRPr="00A66C41">
              <w:rPr>
                <w:sz w:val="20"/>
              </w:rPr>
              <w:t>36 (3.8)</w:t>
            </w:r>
          </w:p>
        </w:tc>
      </w:tr>
      <w:tr w:rsidR="00471703" w:rsidRPr="00A66C41" w14:paraId="44B01949" w14:textId="77777777" w:rsidTr="00924ED2">
        <w:trPr>
          <w:cantSplit/>
        </w:trPr>
        <w:tc>
          <w:tcPr>
            <w:tcW w:w="7957" w:type="dxa"/>
            <w:gridSpan w:val="6"/>
            <w:tcBorders>
              <w:left w:val="single" w:sz="12" w:space="0" w:color="auto"/>
              <w:right w:val="single" w:sz="12" w:space="0" w:color="auto"/>
            </w:tcBorders>
            <w:shd w:val="clear" w:color="auto" w:fill="auto"/>
            <w:tcMar>
              <w:left w:w="57" w:type="dxa"/>
              <w:right w:w="57" w:type="dxa"/>
            </w:tcMar>
          </w:tcPr>
          <w:p w14:paraId="44B01948" w14:textId="77777777" w:rsidR="00471703" w:rsidRPr="00A66C41" w:rsidRDefault="00471703" w:rsidP="00924ED2">
            <w:pPr>
              <w:pStyle w:val="TableTextCharChar"/>
              <w:spacing w:before="20" w:after="20"/>
              <w:rPr>
                <w:sz w:val="20"/>
              </w:rPr>
            </w:pPr>
            <w:r w:rsidRPr="00A66C41">
              <w:rPr>
                <w:b/>
                <w:sz w:val="20"/>
              </w:rPr>
              <w:t>Eye disorders</w:t>
            </w:r>
          </w:p>
        </w:tc>
      </w:tr>
      <w:tr w:rsidR="00471703" w:rsidRPr="00A66C41" w14:paraId="44B01950" w14:textId="77777777" w:rsidTr="00924ED2">
        <w:trPr>
          <w:cantSplit/>
        </w:trPr>
        <w:tc>
          <w:tcPr>
            <w:tcW w:w="1720" w:type="dxa"/>
            <w:tcBorders>
              <w:left w:val="single" w:sz="12" w:space="0" w:color="auto"/>
            </w:tcBorders>
            <w:shd w:val="clear" w:color="auto" w:fill="auto"/>
            <w:tcMar>
              <w:left w:w="57" w:type="dxa"/>
              <w:right w:w="57" w:type="dxa"/>
            </w:tcMar>
          </w:tcPr>
          <w:p w14:paraId="44B0194A" w14:textId="77777777" w:rsidR="00471703" w:rsidRPr="00A66C41" w:rsidRDefault="00471703" w:rsidP="00924ED2">
            <w:pPr>
              <w:pStyle w:val="TableTextCharChar"/>
              <w:spacing w:before="20" w:after="20"/>
              <w:rPr>
                <w:sz w:val="20"/>
              </w:rPr>
            </w:pPr>
            <w:r w:rsidRPr="00A66C41">
              <w:rPr>
                <w:sz w:val="20"/>
              </w:rPr>
              <w:t>Diplopia</w:t>
            </w:r>
          </w:p>
        </w:tc>
        <w:tc>
          <w:tcPr>
            <w:tcW w:w="993" w:type="dxa"/>
            <w:shd w:val="clear" w:color="auto" w:fill="auto"/>
            <w:tcMar>
              <w:left w:w="57" w:type="dxa"/>
              <w:right w:w="57" w:type="dxa"/>
            </w:tcMar>
          </w:tcPr>
          <w:p w14:paraId="44B0194B" w14:textId="77777777" w:rsidR="00471703" w:rsidRPr="00A66C41" w:rsidRDefault="00471703" w:rsidP="00924ED2">
            <w:pPr>
              <w:pStyle w:val="TableTextCharChar"/>
              <w:spacing w:before="20" w:after="20"/>
              <w:jc w:val="center"/>
              <w:rPr>
                <w:sz w:val="20"/>
              </w:rPr>
            </w:pPr>
            <w:r w:rsidRPr="00A66C41">
              <w:rPr>
                <w:sz w:val="20"/>
              </w:rPr>
              <w:t>7 (1.9)</w:t>
            </w:r>
          </w:p>
        </w:tc>
        <w:tc>
          <w:tcPr>
            <w:tcW w:w="1275" w:type="dxa"/>
            <w:shd w:val="clear" w:color="auto" w:fill="auto"/>
            <w:tcMar>
              <w:left w:w="57" w:type="dxa"/>
              <w:right w:w="57" w:type="dxa"/>
            </w:tcMar>
          </w:tcPr>
          <w:p w14:paraId="44B0194C" w14:textId="77777777" w:rsidR="00471703" w:rsidRPr="00A66C41" w:rsidRDefault="00471703" w:rsidP="00924ED2">
            <w:pPr>
              <w:pStyle w:val="TableTextCharChar"/>
              <w:spacing w:before="20" w:after="20"/>
              <w:jc w:val="center"/>
              <w:rPr>
                <w:sz w:val="20"/>
              </w:rPr>
            </w:pPr>
            <w:r w:rsidRPr="00A66C41">
              <w:rPr>
                <w:sz w:val="20"/>
              </w:rPr>
              <w:t>17 (6.3)</w:t>
            </w:r>
          </w:p>
        </w:tc>
        <w:tc>
          <w:tcPr>
            <w:tcW w:w="1276" w:type="dxa"/>
            <w:shd w:val="clear" w:color="auto" w:fill="auto"/>
            <w:tcMar>
              <w:left w:w="57" w:type="dxa"/>
              <w:right w:w="57" w:type="dxa"/>
            </w:tcMar>
          </w:tcPr>
          <w:p w14:paraId="44B0194D" w14:textId="77777777" w:rsidR="00471703" w:rsidRPr="00A66C41" w:rsidRDefault="00471703" w:rsidP="00924ED2">
            <w:pPr>
              <w:pStyle w:val="TableTextCharChar"/>
              <w:spacing w:before="20" w:after="20"/>
              <w:jc w:val="center"/>
              <w:rPr>
                <w:sz w:val="20"/>
              </w:rPr>
            </w:pPr>
            <w:r w:rsidRPr="00A66C41">
              <w:rPr>
                <w:sz w:val="20"/>
              </w:rPr>
              <w:t>49 (10.4)</w:t>
            </w:r>
          </w:p>
        </w:tc>
        <w:tc>
          <w:tcPr>
            <w:tcW w:w="1276" w:type="dxa"/>
            <w:shd w:val="clear" w:color="auto" w:fill="auto"/>
            <w:tcMar>
              <w:left w:w="57" w:type="dxa"/>
              <w:right w:w="57" w:type="dxa"/>
            </w:tcMar>
          </w:tcPr>
          <w:p w14:paraId="44B0194E" w14:textId="77777777" w:rsidR="00471703" w:rsidRPr="00A66C41" w:rsidRDefault="00471703" w:rsidP="00924ED2">
            <w:pPr>
              <w:pStyle w:val="TableTextCharChar"/>
              <w:spacing w:before="20" w:after="20"/>
              <w:jc w:val="center"/>
              <w:rPr>
                <w:sz w:val="20"/>
              </w:rPr>
            </w:pPr>
            <w:r w:rsidRPr="00A66C41">
              <w:rPr>
                <w:sz w:val="20"/>
              </w:rPr>
              <w:t>33 (16.3)</w:t>
            </w:r>
          </w:p>
        </w:tc>
        <w:tc>
          <w:tcPr>
            <w:tcW w:w="1417" w:type="dxa"/>
            <w:tcBorders>
              <w:right w:val="single" w:sz="12" w:space="0" w:color="auto"/>
            </w:tcBorders>
            <w:shd w:val="clear" w:color="auto" w:fill="auto"/>
            <w:tcMar>
              <w:left w:w="57" w:type="dxa"/>
              <w:right w:w="57" w:type="dxa"/>
            </w:tcMar>
          </w:tcPr>
          <w:p w14:paraId="44B0194F" w14:textId="77777777" w:rsidR="00471703" w:rsidRPr="00A66C41" w:rsidRDefault="00471703" w:rsidP="00924ED2">
            <w:pPr>
              <w:pStyle w:val="TableTextCharChar"/>
              <w:spacing w:before="20" w:after="20"/>
              <w:jc w:val="center"/>
              <w:rPr>
                <w:sz w:val="20"/>
              </w:rPr>
            </w:pPr>
            <w:r w:rsidRPr="00A66C41">
              <w:rPr>
                <w:sz w:val="20"/>
              </w:rPr>
              <w:t>99 (10.5)</w:t>
            </w:r>
          </w:p>
        </w:tc>
      </w:tr>
      <w:tr w:rsidR="00471703" w:rsidRPr="00A66C41" w14:paraId="44B01957" w14:textId="77777777" w:rsidTr="00924ED2">
        <w:trPr>
          <w:cantSplit/>
        </w:trPr>
        <w:tc>
          <w:tcPr>
            <w:tcW w:w="1720" w:type="dxa"/>
            <w:tcBorders>
              <w:left w:val="single" w:sz="12" w:space="0" w:color="auto"/>
            </w:tcBorders>
            <w:shd w:val="clear" w:color="auto" w:fill="auto"/>
            <w:tcMar>
              <w:left w:w="57" w:type="dxa"/>
              <w:right w:w="57" w:type="dxa"/>
            </w:tcMar>
          </w:tcPr>
          <w:p w14:paraId="44B01951" w14:textId="77777777" w:rsidR="00471703" w:rsidRPr="00A66C41" w:rsidRDefault="00471703" w:rsidP="00924ED2">
            <w:pPr>
              <w:pStyle w:val="TableTextCharChar"/>
              <w:spacing w:before="20" w:after="20"/>
              <w:rPr>
                <w:sz w:val="20"/>
              </w:rPr>
            </w:pPr>
            <w:r w:rsidRPr="00A66C41">
              <w:rPr>
                <w:sz w:val="20"/>
              </w:rPr>
              <w:t>Vision blurred</w:t>
            </w:r>
          </w:p>
        </w:tc>
        <w:tc>
          <w:tcPr>
            <w:tcW w:w="993" w:type="dxa"/>
            <w:shd w:val="clear" w:color="auto" w:fill="auto"/>
            <w:tcMar>
              <w:left w:w="57" w:type="dxa"/>
              <w:right w:w="57" w:type="dxa"/>
            </w:tcMar>
          </w:tcPr>
          <w:p w14:paraId="44B01952" w14:textId="77777777" w:rsidR="00471703" w:rsidRPr="00A66C41" w:rsidRDefault="00471703" w:rsidP="00924ED2">
            <w:pPr>
              <w:pStyle w:val="TableTextCharChar"/>
              <w:spacing w:before="20" w:after="20"/>
              <w:jc w:val="center"/>
              <w:rPr>
                <w:sz w:val="20"/>
              </w:rPr>
            </w:pPr>
            <w:r w:rsidRPr="00A66C41">
              <w:rPr>
                <w:sz w:val="20"/>
              </w:rPr>
              <w:t>8 (2.2)</w:t>
            </w:r>
          </w:p>
        </w:tc>
        <w:tc>
          <w:tcPr>
            <w:tcW w:w="1275" w:type="dxa"/>
            <w:shd w:val="clear" w:color="auto" w:fill="auto"/>
            <w:tcMar>
              <w:left w:w="57" w:type="dxa"/>
              <w:right w:w="57" w:type="dxa"/>
            </w:tcMar>
          </w:tcPr>
          <w:p w14:paraId="44B01953" w14:textId="77777777" w:rsidR="00471703" w:rsidRPr="00A66C41" w:rsidRDefault="00471703" w:rsidP="00924ED2">
            <w:pPr>
              <w:pStyle w:val="TableTextCharChar"/>
              <w:spacing w:before="20" w:after="20"/>
              <w:jc w:val="center"/>
              <w:rPr>
                <w:sz w:val="20"/>
              </w:rPr>
            </w:pPr>
            <w:r w:rsidRPr="00A66C41">
              <w:rPr>
                <w:sz w:val="20"/>
              </w:rPr>
              <w:t>6 (2.2)</w:t>
            </w:r>
          </w:p>
        </w:tc>
        <w:tc>
          <w:tcPr>
            <w:tcW w:w="1276" w:type="dxa"/>
            <w:shd w:val="clear" w:color="auto" w:fill="auto"/>
            <w:tcMar>
              <w:left w:w="57" w:type="dxa"/>
              <w:right w:w="57" w:type="dxa"/>
            </w:tcMar>
          </w:tcPr>
          <w:p w14:paraId="44B01954" w14:textId="77777777" w:rsidR="00471703" w:rsidRPr="00A66C41" w:rsidRDefault="00471703" w:rsidP="00924ED2">
            <w:pPr>
              <w:pStyle w:val="TableTextCharChar"/>
              <w:spacing w:before="20" w:after="20"/>
              <w:jc w:val="center"/>
              <w:rPr>
                <w:sz w:val="20"/>
              </w:rPr>
            </w:pPr>
            <w:r w:rsidRPr="00A66C41">
              <w:rPr>
                <w:sz w:val="20"/>
              </w:rPr>
              <w:t>40 (8.5)</w:t>
            </w:r>
          </w:p>
        </w:tc>
        <w:tc>
          <w:tcPr>
            <w:tcW w:w="1276" w:type="dxa"/>
            <w:shd w:val="clear" w:color="auto" w:fill="auto"/>
            <w:tcMar>
              <w:left w:w="57" w:type="dxa"/>
              <w:right w:w="57" w:type="dxa"/>
            </w:tcMar>
          </w:tcPr>
          <w:p w14:paraId="44B01955" w14:textId="77777777" w:rsidR="00471703" w:rsidRPr="00A66C41" w:rsidRDefault="00471703" w:rsidP="00924ED2">
            <w:pPr>
              <w:pStyle w:val="TableTextCharChar"/>
              <w:spacing w:before="20" w:after="20"/>
              <w:jc w:val="center"/>
              <w:rPr>
                <w:sz w:val="20"/>
              </w:rPr>
            </w:pPr>
            <w:r w:rsidRPr="00A66C41">
              <w:rPr>
                <w:sz w:val="20"/>
              </w:rPr>
              <w:t>33 (16.3)</w:t>
            </w:r>
          </w:p>
        </w:tc>
        <w:tc>
          <w:tcPr>
            <w:tcW w:w="1417" w:type="dxa"/>
            <w:tcBorders>
              <w:right w:val="single" w:sz="12" w:space="0" w:color="auto"/>
            </w:tcBorders>
            <w:shd w:val="clear" w:color="auto" w:fill="auto"/>
            <w:tcMar>
              <w:left w:w="57" w:type="dxa"/>
              <w:right w:w="57" w:type="dxa"/>
            </w:tcMar>
          </w:tcPr>
          <w:p w14:paraId="44B01956" w14:textId="77777777" w:rsidR="00471703" w:rsidRPr="00A66C41" w:rsidRDefault="00471703" w:rsidP="00924ED2">
            <w:pPr>
              <w:pStyle w:val="TableTextCharChar"/>
              <w:spacing w:before="20" w:after="20"/>
              <w:jc w:val="center"/>
              <w:rPr>
                <w:sz w:val="20"/>
              </w:rPr>
            </w:pPr>
            <w:r w:rsidRPr="00A66C41">
              <w:rPr>
                <w:sz w:val="20"/>
              </w:rPr>
              <w:t>79 (8.4)</w:t>
            </w:r>
          </w:p>
        </w:tc>
      </w:tr>
      <w:tr w:rsidR="00471703" w:rsidRPr="00A66C41" w14:paraId="44B01959" w14:textId="77777777" w:rsidTr="00924ED2">
        <w:trPr>
          <w:cantSplit/>
        </w:trPr>
        <w:tc>
          <w:tcPr>
            <w:tcW w:w="7957" w:type="dxa"/>
            <w:gridSpan w:val="6"/>
            <w:tcBorders>
              <w:left w:val="single" w:sz="12" w:space="0" w:color="auto"/>
              <w:right w:val="single" w:sz="12" w:space="0" w:color="auto"/>
            </w:tcBorders>
            <w:shd w:val="clear" w:color="auto" w:fill="auto"/>
            <w:tcMar>
              <w:left w:w="57" w:type="dxa"/>
              <w:right w:w="57" w:type="dxa"/>
            </w:tcMar>
          </w:tcPr>
          <w:p w14:paraId="44B01958" w14:textId="77777777" w:rsidR="00471703" w:rsidRPr="00A66C41" w:rsidRDefault="00471703" w:rsidP="00924ED2">
            <w:pPr>
              <w:pStyle w:val="TableTextCharChar"/>
              <w:spacing w:before="20" w:after="20"/>
              <w:rPr>
                <w:sz w:val="20"/>
              </w:rPr>
            </w:pPr>
            <w:r w:rsidRPr="00A66C41">
              <w:rPr>
                <w:b/>
                <w:sz w:val="20"/>
              </w:rPr>
              <w:t>Gastrointestinal disorders</w:t>
            </w:r>
          </w:p>
        </w:tc>
      </w:tr>
      <w:tr w:rsidR="00471703" w:rsidRPr="00A66C41" w14:paraId="44B01960" w14:textId="77777777" w:rsidTr="00924ED2">
        <w:trPr>
          <w:cantSplit/>
        </w:trPr>
        <w:tc>
          <w:tcPr>
            <w:tcW w:w="1720" w:type="dxa"/>
            <w:tcBorders>
              <w:left w:val="single" w:sz="12" w:space="0" w:color="auto"/>
            </w:tcBorders>
            <w:shd w:val="clear" w:color="auto" w:fill="auto"/>
            <w:tcMar>
              <w:left w:w="57" w:type="dxa"/>
              <w:right w:w="57" w:type="dxa"/>
            </w:tcMar>
          </w:tcPr>
          <w:p w14:paraId="44B0195A" w14:textId="77777777" w:rsidR="00471703" w:rsidRPr="00A66C41" w:rsidRDefault="00471703" w:rsidP="00924ED2">
            <w:pPr>
              <w:pStyle w:val="TableTextCharChar"/>
              <w:spacing w:before="20" w:after="20"/>
              <w:rPr>
                <w:sz w:val="20"/>
              </w:rPr>
            </w:pPr>
            <w:r w:rsidRPr="00A66C41">
              <w:rPr>
                <w:sz w:val="20"/>
              </w:rPr>
              <w:t>Nausea</w:t>
            </w:r>
          </w:p>
        </w:tc>
        <w:tc>
          <w:tcPr>
            <w:tcW w:w="993" w:type="dxa"/>
            <w:shd w:val="clear" w:color="auto" w:fill="auto"/>
            <w:tcMar>
              <w:left w:w="57" w:type="dxa"/>
              <w:right w:w="57" w:type="dxa"/>
            </w:tcMar>
          </w:tcPr>
          <w:p w14:paraId="44B0195B" w14:textId="77777777" w:rsidR="00471703" w:rsidRPr="00A66C41" w:rsidRDefault="00471703" w:rsidP="00924ED2">
            <w:pPr>
              <w:pStyle w:val="TableTextCharChar"/>
              <w:spacing w:before="20" w:after="20"/>
              <w:jc w:val="center"/>
              <w:rPr>
                <w:sz w:val="20"/>
              </w:rPr>
            </w:pPr>
            <w:r w:rsidRPr="00A66C41">
              <w:rPr>
                <w:sz w:val="20"/>
              </w:rPr>
              <w:t>16 (4.4)</w:t>
            </w:r>
          </w:p>
        </w:tc>
        <w:tc>
          <w:tcPr>
            <w:tcW w:w="1275" w:type="dxa"/>
            <w:shd w:val="clear" w:color="auto" w:fill="auto"/>
            <w:tcMar>
              <w:left w:w="57" w:type="dxa"/>
              <w:right w:w="57" w:type="dxa"/>
            </w:tcMar>
          </w:tcPr>
          <w:p w14:paraId="44B0195C" w14:textId="77777777" w:rsidR="00471703" w:rsidRPr="00A66C41" w:rsidRDefault="00471703" w:rsidP="00924ED2">
            <w:pPr>
              <w:pStyle w:val="TableTextCharChar"/>
              <w:spacing w:before="20" w:after="20"/>
              <w:jc w:val="center"/>
              <w:rPr>
                <w:sz w:val="20"/>
              </w:rPr>
            </w:pPr>
            <w:r w:rsidRPr="00A66C41">
              <w:rPr>
                <w:sz w:val="20"/>
              </w:rPr>
              <w:t>20 (7.4)</w:t>
            </w:r>
          </w:p>
        </w:tc>
        <w:tc>
          <w:tcPr>
            <w:tcW w:w="1276" w:type="dxa"/>
            <w:shd w:val="clear" w:color="auto" w:fill="auto"/>
            <w:tcMar>
              <w:left w:w="57" w:type="dxa"/>
              <w:right w:w="57" w:type="dxa"/>
            </w:tcMar>
          </w:tcPr>
          <w:p w14:paraId="44B0195D" w14:textId="77777777" w:rsidR="00471703" w:rsidRPr="00A66C41" w:rsidRDefault="00471703" w:rsidP="00924ED2">
            <w:pPr>
              <w:pStyle w:val="TableTextCharChar"/>
              <w:spacing w:before="20" w:after="20"/>
              <w:jc w:val="center"/>
              <w:rPr>
                <w:sz w:val="20"/>
              </w:rPr>
            </w:pPr>
            <w:r w:rsidRPr="00A66C41">
              <w:rPr>
                <w:sz w:val="20"/>
              </w:rPr>
              <w:t>53 (11.3)</w:t>
            </w:r>
          </w:p>
        </w:tc>
        <w:tc>
          <w:tcPr>
            <w:tcW w:w="1276" w:type="dxa"/>
            <w:shd w:val="clear" w:color="auto" w:fill="auto"/>
            <w:tcMar>
              <w:left w:w="57" w:type="dxa"/>
              <w:right w:w="57" w:type="dxa"/>
            </w:tcMar>
          </w:tcPr>
          <w:p w14:paraId="44B0195E" w14:textId="77777777" w:rsidR="00471703" w:rsidRPr="00A66C41" w:rsidRDefault="00471703" w:rsidP="00924ED2">
            <w:pPr>
              <w:pStyle w:val="TableTextCharChar"/>
              <w:spacing w:before="20" w:after="20"/>
              <w:jc w:val="center"/>
              <w:rPr>
                <w:sz w:val="20"/>
              </w:rPr>
            </w:pPr>
            <w:r w:rsidRPr="00A66C41">
              <w:rPr>
                <w:sz w:val="20"/>
              </w:rPr>
              <w:t>35 (17.2)</w:t>
            </w:r>
          </w:p>
        </w:tc>
        <w:tc>
          <w:tcPr>
            <w:tcW w:w="1417" w:type="dxa"/>
            <w:tcBorders>
              <w:right w:val="single" w:sz="12" w:space="0" w:color="auto"/>
            </w:tcBorders>
            <w:shd w:val="clear" w:color="auto" w:fill="auto"/>
            <w:tcMar>
              <w:left w:w="57" w:type="dxa"/>
              <w:right w:w="57" w:type="dxa"/>
            </w:tcMar>
          </w:tcPr>
          <w:p w14:paraId="44B0195F" w14:textId="77777777" w:rsidR="00471703" w:rsidRPr="00A66C41" w:rsidRDefault="00471703" w:rsidP="00924ED2">
            <w:pPr>
              <w:pStyle w:val="TableTextCharChar"/>
              <w:spacing w:before="20" w:after="20"/>
              <w:jc w:val="center"/>
              <w:rPr>
                <w:sz w:val="20"/>
              </w:rPr>
            </w:pPr>
            <w:r w:rsidRPr="00A66C41">
              <w:rPr>
                <w:sz w:val="20"/>
              </w:rPr>
              <w:t>108 (11.4)</w:t>
            </w:r>
          </w:p>
        </w:tc>
      </w:tr>
      <w:tr w:rsidR="00471703" w:rsidRPr="00A66C41" w14:paraId="44B01967" w14:textId="77777777" w:rsidTr="00924ED2">
        <w:trPr>
          <w:cantSplit/>
        </w:trPr>
        <w:tc>
          <w:tcPr>
            <w:tcW w:w="1720" w:type="dxa"/>
            <w:tcBorders>
              <w:left w:val="single" w:sz="12" w:space="0" w:color="auto"/>
            </w:tcBorders>
            <w:shd w:val="clear" w:color="auto" w:fill="auto"/>
            <w:tcMar>
              <w:left w:w="57" w:type="dxa"/>
              <w:right w:w="57" w:type="dxa"/>
            </w:tcMar>
          </w:tcPr>
          <w:p w14:paraId="44B01961" w14:textId="77777777" w:rsidR="00471703" w:rsidRPr="00A66C41" w:rsidRDefault="00471703" w:rsidP="00924ED2">
            <w:pPr>
              <w:pStyle w:val="TableTextCharChar"/>
              <w:spacing w:before="20" w:after="20"/>
              <w:rPr>
                <w:sz w:val="20"/>
              </w:rPr>
            </w:pPr>
            <w:r w:rsidRPr="00A66C41">
              <w:rPr>
                <w:sz w:val="20"/>
              </w:rPr>
              <w:t>Vomiting</w:t>
            </w:r>
          </w:p>
        </w:tc>
        <w:tc>
          <w:tcPr>
            <w:tcW w:w="993" w:type="dxa"/>
            <w:shd w:val="clear" w:color="auto" w:fill="auto"/>
            <w:tcMar>
              <w:left w:w="57" w:type="dxa"/>
              <w:right w:w="57" w:type="dxa"/>
            </w:tcMar>
          </w:tcPr>
          <w:p w14:paraId="44B01962" w14:textId="77777777" w:rsidR="00471703" w:rsidRPr="00A66C41" w:rsidRDefault="00471703" w:rsidP="00924ED2">
            <w:pPr>
              <w:pStyle w:val="TableTextCharChar"/>
              <w:spacing w:before="20" w:after="20"/>
              <w:jc w:val="center"/>
              <w:rPr>
                <w:sz w:val="20"/>
              </w:rPr>
            </w:pPr>
            <w:r w:rsidRPr="00A66C41">
              <w:rPr>
                <w:sz w:val="20"/>
              </w:rPr>
              <w:t>9 (2.5)</w:t>
            </w:r>
          </w:p>
        </w:tc>
        <w:tc>
          <w:tcPr>
            <w:tcW w:w="1275" w:type="dxa"/>
            <w:shd w:val="clear" w:color="auto" w:fill="auto"/>
            <w:tcMar>
              <w:left w:w="57" w:type="dxa"/>
              <w:right w:w="57" w:type="dxa"/>
            </w:tcMar>
          </w:tcPr>
          <w:p w14:paraId="44B01963" w14:textId="77777777" w:rsidR="00471703" w:rsidRPr="00A66C41" w:rsidRDefault="00471703" w:rsidP="00924ED2">
            <w:pPr>
              <w:pStyle w:val="TableTextCharChar"/>
              <w:spacing w:before="20" w:after="20"/>
              <w:jc w:val="center"/>
              <w:rPr>
                <w:sz w:val="20"/>
              </w:rPr>
            </w:pPr>
            <w:r w:rsidRPr="00A66C41">
              <w:rPr>
                <w:sz w:val="20"/>
              </w:rPr>
              <w:t>16 (5.9)</w:t>
            </w:r>
          </w:p>
        </w:tc>
        <w:tc>
          <w:tcPr>
            <w:tcW w:w="1276" w:type="dxa"/>
            <w:shd w:val="clear" w:color="auto" w:fill="auto"/>
            <w:tcMar>
              <w:left w:w="57" w:type="dxa"/>
              <w:right w:w="57" w:type="dxa"/>
            </w:tcMar>
          </w:tcPr>
          <w:p w14:paraId="44B01964" w14:textId="77777777" w:rsidR="00471703" w:rsidRPr="00A66C41" w:rsidRDefault="00471703" w:rsidP="00924ED2">
            <w:pPr>
              <w:pStyle w:val="TableTextCharChar"/>
              <w:spacing w:before="20" w:after="20"/>
              <w:jc w:val="center"/>
              <w:rPr>
                <w:sz w:val="20"/>
              </w:rPr>
            </w:pPr>
            <w:r w:rsidRPr="00A66C41">
              <w:rPr>
                <w:sz w:val="20"/>
              </w:rPr>
              <w:t>40 (8.5)</w:t>
            </w:r>
          </w:p>
        </w:tc>
        <w:tc>
          <w:tcPr>
            <w:tcW w:w="1276" w:type="dxa"/>
            <w:shd w:val="clear" w:color="auto" w:fill="auto"/>
            <w:tcMar>
              <w:left w:w="57" w:type="dxa"/>
              <w:right w:w="57" w:type="dxa"/>
            </w:tcMar>
          </w:tcPr>
          <w:p w14:paraId="44B01965" w14:textId="77777777" w:rsidR="00471703" w:rsidRPr="00A66C41" w:rsidRDefault="00471703" w:rsidP="00924ED2">
            <w:pPr>
              <w:pStyle w:val="TableTextCharChar"/>
              <w:spacing w:before="20" w:after="20"/>
              <w:jc w:val="center"/>
              <w:rPr>
                <w:sz w:val="20"/>
              </w:rPr>
            </w:pPr>
            <w:r w:rsidRPr="00A66C41">
              <w:rPr>
                <w:sz w:val="20"/>
              </w:rPr>
              <w:t>32 (15.8)</w:t>
            </w:r>
          </w:p>
        </w:tc>
        <w:tc>
          <w:tcPr>
            <w:tcW w:w="1417" w:type="dxa"/>
            <w:tcBorders>
              <w:right w:val="single" w:sz="12" w:space="0" w:color="auto"/>
            </w:tcBorders>
            <w:shd w:val="clear" w:color="auto" w:fill="auto"/>
            <w:tcMar>
              <w:left w:w="57" w:type="dxa"/>
              <w:right w:w="57" w:type="dxa"/>
            </w:tcMar>
          </w:tcPr>
          <w:p w14:paraId="44B01966" w14:textId="77777777" w:rsidR="00471703" w:rsidRPr="00A66C41" w:rsidRDefault="00471703" w:rsidP="00924ED2">
            <w:pPr>
              <w:pStyle w:val="TableTextCharChar"/>
              <w:spacing w:before="20" w:after="20"/>
              <w:jc w:val="center"/>
              <w:rPr>
                <w:sz w:val="20"/>
              </w:rPr>
            </w:pPr>
            <w:r w:rsidRPr="00A66C41">
              <w:rPr>
                <w:sz w:val="20"/>
              </w:rPr>
              <w:t>88 (9.3)</w:t>
            </w:r>
          </w:p>
        </w:tc>
      </w:tr>
      <w:tr w:rsidR="00471703" w:rsidRPr="00A66C41" w14:paraId="44B0196E" w14:textId="77777777" w:rsidTr="00924ED2">
        <w:trPr>
          <w:cantSplit/>
        </w:trPr>
        <w:tc>
          <w:tcPr>
            <w:tcW w:w="1720" w:type="dxa"/>
            <w:tcBorders>
              <w:left w:val="single" w:sz="12" w:space="0" w:color="auto"/>
            </w:tcBorders>
            <w:shd w:val="clear" w:color="auto" w:fill="auto"/>
            <w:tcMar>
              <w:left w:w="57" w:type="dxa"/>
              <w:right w:w="57" w:type="dxa"/>
            </w:tcMar>
          </w:tcPr>
          <w:p w14:paraId="44B01968" w14:textId="77777777" w:rsidR="00471703" w:rsidRPr="00A66C41" w:rsidRDefault="00471703" w:rsidP="00924ED2">
            <w:pPr>
              <w:pStyle w:val="TableTextCharChar"/>
              <w:spacing w:before="20" w:after="20"/>
              <w:rPr>
                <w:sz w:val="20"/>
              </w:rPr>
            </w:pPr>
            <w:r w:rsidRPr="00A66C41">
              <w:rPr>
                <w:sz w:val="20"/>
              </w:rPr>
              <w:t>Constipation</w:t>
            </w:r>
          </w:p>
        </w:tc>
        <w:tc>
          <w:tcPr>
            <w:tcW w:w="993" w:type="dxa"/>
            <w:shd w:val="clear" w:color="auto" w:fill="auto"/>
            <w:tcMar>
              <w:left w:w="57" w:type="dxa"/>
              <w:right w:w="57" w:type="dxa"/>
            </w:tcMar>
          </w:tcPr>
          <w:p w14:paraId="44B01969" w14:textId="77777777" w:rsidR="00471703" w:rsidRPr="00A66C41" w:rsidRDefault="00471703" w:rsidP="00924ED2">
            <w:pPr>
              <w:pStyle w:val="TableTextCharChar"/>
              <w:spacing w:before="20" w:after="20"/>
              <w:jc w:val="center"/>
              <w:rPr>
                <w:sz w:val="20"/>
              </w:rPr>
            </w:pPr>
            <w:r w:rsidRPr="00A66C41">
              <w:rPr>
                <w:sz w:val="20"/>
              </w:rPr>
              <w:t>3 (0.8)</w:t>
            </w:r>
          </w:p>
        </w:tc>
        <w:tc>
          <w:tcPr>
            <w:tcW w:w="1275" w:type="dxa"/>
            <w:shd w:val="clear" w:color="auto" w:fill="auto"/>
            <w:tcMar>
              <w:left w:w="57" w:type="dxa"/>
              <w:right w:w="57" w:type="dxa"/>
            </w:tcMar>
          </w:tcPr>
          <w:p w14:paraId="44B0196A" w14:textId="77777777" w:rsidR="00471703" w:rsidRPr="00A66C41" w:rsidRDefault="00471703" w:rsidP="00924ED2">
            <w:pPr>
              <w:pStyle w:val="TableTextCharChar"/>
              <w:spacing w:before="20" w:after="20"/>
              <w:jc w:val="center"/>
              <w:rPr>
                <w:sz w:val="20"/>
              </w:rPr>
            </w:pPr>
            <w:r w:rsidRPr="00A66C41">
              <w:rPr>
                <w:sz w:val="20"/>
              </w:rPr>
              <w:t>3 (1.1)</w:t>
            </w:r>
          </w:p>
        </w:tc>
        <w:tc>
          <w:tcPr>
            <w:tcW w:w="1276" w:type="dxa"/>
            <w:shd w:val="clear" w:color="auto" w:fill="auto"/>
            <w:tcMar>
              <w:left w:w="57" w:type="dxa"/>
              <w:right w:w="57" w:type="dxa"/>
            </w:tcMar>
          </w:tcPr>
          <w:p w14:paraId="44B0196B" w14:textId="77777777" w:rsidR="00471703" w:rsidRPr="00A66C41" w:rsidRDefault="00471703" w:rsidP="00924ED2">
            <w:pPr>
              <w:pStyle w:val="TableTextCharChar"/>
              <w:spacing w:before="20" w:after="20"/>
              <w:jc w:val="center"/>
              <w:rPr>
                <w:sz w:val="20"/>
              </w:rPr>
            </w:pPr>
            <w:r w:rsidRPr="00A66C41">
              <w:rPr>
                <w:sz w:val="20"/>
              </w:rPr>
              <w:t>7 (1.5)</w:t>
            </w:r>
          </w:p>
        </w:tc>
        <w:tc>
          <w:tcPr>
            <w:tcW w:w="1276" w:type="dxa"/>
            <w:shd w:val="clear" w:color="auto" w:fill="auto"/>
            <w:tcMar>
              <w:left w:w="57" w:type="dxa"/>
              <w:right w:w="57" w:type="dxa"/>
            </w:tcMar>
          </w:tcPr>
          <w:p w14:paraId="44B0196C" w14:textId="77777777" w:rsidR="00471703" w:rsidRPr="00A66C41" w:rsidRDefault="00471703" w:rsidP="00924ED2">
            <w:pPr>
              <w:pStyle w:val="TableTextCharChar"/>
              <w:spacing w:before="20" w:after="20"/>
              <w:jc w:val="center"/>
              <w:rPr>
                <w:sz w:val="20"/>
              </w:rPr>
            </w:pPr>
            <w:r w:rsidRPr="00A66C41">
              <w:rPr>
                <w:sz w:val="20"/>
              </w:rPr>
              <w:t>8 (3.9)</w:t>
            </w:r>
          </w:p>
        </w:tc>
        <w:tc>
          <w:tcPr>
            <w:tcW w:w="1417" w:type="dxa"/>
            <w:tcBorders>
              <w:right w:val="single" w:sz="12" w:space="0" w:color="auto"/>
            </w:tcBorders>
            <w:shd w:val="clear" w:color="auto" w:fill="auto"/>
            <w:tcMar>
              <w:left w:w="57" w:type="dxa"/>
              <w:right w:w="57" w:type="dxa"/>
            </w:tcMar>
          </w:tcPr>
          <w:p w14:paraId="44B0196D" w14:textId="77777777" w:rsidR="00471703" w:rsidRPr="00A66C41" w:rsidRDefault="00471703" w:rsidP="00924ED2">
            <w:pPr>
              <w:pStyle w:val="TableTextCharChar"/>
              <w:spacing w:before="20" w:after="20"/>
              <w:jc w:val="center"/>
              <w:rPr>
                <w:sz w:val="20"/>
              </w:rPr>
            </w:pPr>
            <w:r w:rsidRPr="00A66C41">
              <w:rPr>
                <w:sz w:val="20"/>
              </w:rPr>
              <w:t>18 (1.9)</w:t>
            </w:r>
          </w:p>
        </w:tc>
      </w:tr>
      <w:tr w:rsidR="00471703" w:rsidRPr="00A66C41" w14:paraId="44B01975" w14:textId="77777777" w:rsidTr="00924ED2">
        <w:trPr>
          <w:cantSplit/>
        </w:trPr>
        <w:tc>
          <w:tcPr>
            <w:tcW w:w="1720" w:type="dxa"/>
            <w:tcBorders>
              <w:left w:val="single" w:sz="12" w:space="0" w:color="auto"/>
            </w:tcBorders>
            <w:shd w:val="clear" w:color="auto" w:fill="auto"/>
            <w:tcMar>
              <w:left w:w="57" w:type="dxa"/>
              <w:right w:w="57" w:type="dxa"/>
            </w:tcMar>
          </w:tcPr>
          <w:p w14:paraId="44B0196F" w14:textId="77777777" w:rsidR="00471703" w:rsidRPr="00A66C41" w:rsidRDefault="00471703" w:rsidP="00924ED2">
            <w:pPr>
              <w:pStyle w:val="TableTextCharChar"/>
              <w:spacing w:before="20" w:after="20"/>
              <w:rPr>
                <w:sz w:val="20"/>
              </w:rPr>
            </w:pPr>
            <w:r w:rsidRPr="00A66C41">
              <w:rPr>
                <w:sz w:val="20"/>
              </w:rPr>
              <w:t>Flatulence</w:t>
            </w:r>
          </w:p>
        </w:tc>
        <w:tc>
          <w:tcPr>
            <w:tcW w:w="993" w:type="dxa"/>
            <w:shd w:val="clear" w:color="auto" w:fill="auto"/>
            <w:tcMar>
              <w:left w:w="57" w:type="dxa"/>
              <w:right w:w="57" w:type="dxa"/>
            </w:tcMar>
          </w:tcPr>
          <w:p w14:paraId="44B01970" w14:textId="77777777" w:rsidR="00471703" w:rsidRPr="00A66C41" w:rsidRDefault="00471703" w:rsidP="00924ED2">
            <w:pPr>
              <w:pStyle w:val="TableTextCharChar"/>
              <w:spacing w:before="20" w:after="20"/>
              <w:jc w:val="center"/>
              <w:rPr>
                <w:sz w:val="20"/>
              </w:rPr>
            </w:pPr>
            <w:r w:rsidRPr="00A66C41">
              <w:rPr>
                <w:sz w:val="20"/>
              </w:rPr>
              <w:t>0</w:t>
            </w:r>
          </w:p>
        </w:tc>
        <w:tc>
          <w:tcPr>
            <w:tcW w:w="1275" w:type="dxa"/>
            <w:shd w:val="clear" w:color="auto" w:fill="auto"/>
            <w:tcMar>
              <w:left w:w="57" w:type="dxa"/>
              <w:right w:w="57" w:type="dxa"/>
            </w:tcMar>
          </w:tcPr>
          <w:p w14:paraId="44B01971" w14:textId="77777777" w:rsidR="00471703" w:rsidRPr="00A66C41" w:rsidRDefault="00471703" w:rsidP="00924ED2">
            <w:pPr>
              <w:pStyle w:val="TableTextCharChar"/>
              <w:spacing w:before="20" w:after="20"/>
              <w:jc w:val="center"/>
              <w:rPr>
                <w:sz w:val="20"/>
              </w:rPr>
            </w:pPr>
            <w:r w:rsidRPr="00A66C41">
              <w:rPr>
                <w:sz w:val="20"/>
              </w:rPr>
              <w:t>7 (2.6)</w:t>
            </w:r>
          </w:p>
        </w:tc>
        <w:tc>
          <w:tcPr>
            <w:tcW w:w="1276" w:type="dxa"/>
            <w:shd w:val="clear" w:color="auto" w:fill="auto"/>
            <w:tcMar>
              <w:left w:w="57" w:type="dxa"/>
              <w:right w:w="57" w:type="dxa"/>
            </w:tcMar>
          </w:tcPr>
          <w:p w14:paraId="44B01972" w14:textId="77777777" w:rsidR="00471703" w:rsidRPr="00A66C41" w:rsidRDefault="00471703" w:rsidP="00924ED2">
            <w:pPr>
              <w:pStyle w:val="TableTextCharChar"/>
              <w:spacing w:before="20" w:after="20"/>
              <w:jc w:val="center"/>
              <w:rPr>
                <w:sz w:val="20"/>
              </w:rPr>
            </w:pPr>
            <w:r w:rsidRPr="00A66C41">
              <w:rPr>
                <w:sz w:val="20"/>
              </w:rPr>
              <w:t>8 (1.7)</w:t>
            </w:r>
          </w:p>
        </w:tc>
        <w:tc>
          <w:tcPr>
            <w:tcW w:w="1276" w:type="dxa"/>
            <w:shd w:val="clear" w:color="auto" w:fill="auto"/>
            <w:tcMar>
              <w:left w:w="57" w:type="dxa"/>
              <w:right w:w="57" w:type="dxa"/>
            </w:tcMar>
          </w:tcPr>
          <w:p w14:paraId="44B01973" w14:textId="77777777" w:rsidR="00471703" w:rsidRPr="00A66C41" w:rsidRDefault="00471703" w:rsidP="00924ED2">
            <w:pPr>
              <w:pStyle w:val="TableTextCharChar"/>
              <w:spacing w:before="20" w:after="20"/>
              <w:jc w:val="center"/>
              <w:rPr>
                <w:sz w:val="20"/>
              </w:rPr>
            </w:pPr>
            <w:r w:rsidRPr="00A66C41">
              <w:rPr>
                <w:sz w:val="20"/>
              </w:rPr>
              <w:t>1 (0.5)</w:t>
            </w:r>
          </w:p>
        </w:tc>
        <w:tc>
          <w:tcPr>
            <w:tcW w:w="1417" w:type="dxa"/>
            <w:tcBorders>
              <w:right w:val="single" w:sz="12" w:space="0" w:color="auto"/>
            </w:tcBorders>
            <w:shd w:val="clear" w:color="auto" w:fill="auto"/>
            <w:tcMar>
              <w:left w:w="57" w:type="dxa"/>
              <w:right w:w="57" w:type="dxa"/>
            </w:tcMar>
          </w:tcPr>
          <w:p w14:paraId="44B01974" w14:textId="77777777" w:rsidR="00471703" w:rsidRPr="00A66C41" w:rsidRDefault="00471703" w:rsidP="00924ED2">
            <w:pPr>
              <w:pStyle w:val="TableTextCharChar"/>
              <w:spacing w:before="20" w:after="20"/>
              <w:jc w:val="center"/>
              <w:rPr>
                <w:sz w:val="20"/>
              </w:rPr>
            </w:pPr>
            <w:r w:rsidRPr="00A66C41">
              <w:rPr>
                <w:sz w:val="20"/>
              </w:rPr>
              <w:t>16 (1.7)</w:t>
            </w:r>
          </w:p>
        </w:tc>
      </w:tr>
      <w:tr w:rsidR="00471703" w:rsidRPr="00A66C41" w14:paraId="44B01977" w14:textId="77777777" w:rsidTr="00924ED2">
        <w:trPr>
          <w:cantSplit/>
        </w:trPr>
        <w:tc>
          <w:tcPr>
            <w:tcW w:w="7957" w:type="dxa"/>
            <w:gridSpan w:val="6"/>
            <w:tcBorders>
              <w:left w:val="single" w:sz="12" w:space="0" w:color="auto"/>
              <w:right w:val="single" w:sz="12" w:space="0" w:color="auto"/>
            </w:tcBorders>
            <w:shd w:val="clear" w:color="auto" w:fill="auto"/>
            <w:tcMar>
              <w:left w:w="57" w:type="dxa"/>
              <w:right w:w="57" w:type="dxa"/>
            </w:tcMar>
          </w:tcPr>
          <w:p w14:paraId="44B01976" w14:textId="77777777" w:rsidR="00471703" w:rsidRPr="00A66C41" w:rsidRDefault="00471703" w:rsidP="00924ED2">
            <w:pPr>
              <w:pStyle w:val="TableTextCharChar"/>
              <w:spacing w:before="20" w:after="20"/>
              <w:rPr>
                <w:sz w:val="20"/>
              </w:rPr>
            </w:pPr>
            <w:r w:rsidRPr="00A66C41">
              <w:rPr>
                <w:b/>
                <w:sz w:val="20"/>
              </w:rPr>
              <w:t>General disorders and administration site conditions</w:t>
            </w:r>
          </w:p>
        </w:tc>
      </w:tr>
      <w:tr w:rsidR="00471703" w:rsidRPr="00A66C41" w14:paraId="44B0197E" w14:textId="77777777" w:rsidTr="00924ED2">
        <w:trPr>
          <w:cantSplit/>
        </w:trPr>
        <w:tc>
          <w:tcPr>
            <w:tcW w:w="1720" w:type="dxa"/>
            <w:tcBorders>
              <w:left w:val="single" w:sz="12" w:space="0" w:color="auto"/>
              <w:bottom w:val="single" w:sz="4" w:space="0" w:color="auto"/>
            </w:tcBorders>
            <w:shd w:val="clear" w:color="auto" w:fill="auto"/>
            <w:tcMar>
              <w:left w:w="57" w:type="dxa"/>
              <w:right w:w="57" w:type="dxa"/>
            </w:tcMar>
          </w:tcPr>
          <w:p w14:paraId="44B01978" w14:textId="77777777" w:rsidR="00471703" w:rsidRPr="00A66C41" w:rsidRDefault="00471703" w:rsidP="00924ED2">
            <w:pPr>
              <w:pStyle w:val="TableTextCharChar"/>
              <w:spacing w:before="20" w:after="20"/>
              <w:rPr>
                <w:sz w:val="20"/>
              </w:rPr>
            </w:pPr>
            <w:r w:rsidRPr="00A66C41">
              <w:rPr>
                <w:sz w:val="20"/>
              </w:rPr>
              <w:t>Fatigue</w:t>
            </w:r>
          </w:p>
        </w:tc>
        <w:tc>
          <w:tcPr>
            <w:tcW w:w="993" w:type="dxa"/>
            <w:tcBorders>
              <w:bottom w:val="single" w:sz="4" w:space="0" w:color="auto"/>
            </w:tcBorders>
            <w:shd w:val="clear" w:color="auto" w:fill="auto"/>
            <w:tcMar>
              <w:left w:w="57" w:type="dxa"/>
              <w:right w:w="57" w:type="dxa"/>
            </w:tcMar>
          </w:tcPr>
          <w:p w14:paraId="44B01979" w14:textId="77777777" w:rsidR="00471703" w:rsidRPr="00A66C41" w:rsidRDefault="00471703" w:rsidP="00924ED2">
            <w:pPr>
              <w:pStyle w:val="TableTextCharChar"/>
              <w:spacing w:before="20" w:after="20"/>
              <w:jc w:val="center"/>
              <w:rPr>
                <w:sz w:val="20"/>
              </w:rPr>
            </w:pPr>
            <w:r w:rsidRPr="00A66C41">
              <w:rPr>
                <w:sz w:val="20"/>
              </w:rPr>
              <w:t>20 (5.5)</w:t>
            </w:r>
          </w:p>
        </w:tc>
        <w:tc>
          <w:tcPr>
            <w:tcW w:w="1275" w:type="dxa"/>
            <w:tcBorders>
              <w:bottom w:val="single" w:sz="4" w:space="0" w:color="auto"/>
            </w:tcBorders>
            <w:shd w:val="clear" w:color="auto" w:fill="auto"/>
            <w:tcMar>
              <w:left w:w="57" w:type="dxa"/>
              <w:right w:w="57" w:type="dxa"/>
            </w:tcMar>
          </w:tcPr>
          <w:p w14:paraId="44B0197A" w14:textId="77777777" w:rsidR="00471703" w:rsidRPr="00A66C41" w:rsidRDefault="00471703" w:rsidP="00924ED2">
            <w:pPr>
              <w:pStyle w:val="TableTextCharChar"/>
              <w:spacing w:before="20" w:after="20"/>
              <w:jc w:val="center"/>
              <w:rPr>
                <w:sz w:val="20"/>
              </w:rPr>
            </w:pPr>
            <w:r w:rsidRPr="00A66C41">
              <w:rPr>
                <w:sz w:val="20"/>
              </w:rPr>
              <w:t>19 (7.0)</w:t>
            </w:r>
          </w:p>
        </w:tc>
        <w:tc>
          <w:tcPr>
            <w:tcW w:w="1276" w:type="dxa"/>
            <w:tcBorders>
              <w:bottom w:val="single" w:sz="4" w:space="0" w:color="auto"/>
            </w:tcBorders>
            <w:shd w:val="clear" w:color="auto" w:fill="auto"/>
            <w:tcMar>
              <w:left w:w="57" w:type="dxa"/>
              <w:right w:w="57" w:type="dxa"/>
            </w:tcMar>
          </w:tcPr>
          <w:p w14:paraId="44B0197B" w14:textId="77777777" w:rsidR="00471703" w:rsidRPr="00A66C41" w:rsidRDefault="00471703" w:rsidP="00924ED2">
            <w:pPr>
              <w:pStyle w:val="TableTextCharChar"/>
              <w:spacing w:before="20" w:after="20"/>
              <w:jc w:val="center"/>
              <w:rPr>
                <w:sz w:val="20"/>
              </w:rPr>
            </w:pPr>
            <w:r w:rsidRPr="00A66C41">
              <w:rPr>
                <w:sz w:val="20"/>
              </w:rPr>
              <w:t>33 (7.0)</w:t>
            </w:r>
          </w:p>
        </w:tc>
        <w:tc>
          <w:tcPr>
            <w:tcW w:w="1276" w:type="dxa"/>
            <w:tcBorders>
              <w:bottom w:val="single" w:sz="4" w:space="0" w:color="auto"/>
            </w:tcBorders>
            <w:shd w:val="clear" w:color="auto" w:fill="auto"/>
            <w:tcMar>
              <w:left w:w="57" w:type="dxa"/>
              <w:right w:w="57" w:type="dxa"/>
            </w:tcMar>
          </w:tcPr>
          <w:p w14:paraId="44B0197C" w14:textId="77777777" w:rsidR="00471703" w:rsidRPr="00A66C41" w:rsidRDefault="00471703" w:rsidP="00924ED2">
            <w:pPr>
              <w:pStyle w:val="TableTextCharChar"/>
              <w:spacing w:before="20" w:after="20"/>
              <w:jc w:val="center"/>
              <w:rPr>
                <w:sz w:val="20"/>
              </w:rPr>
            </w:pPr>
            <w:r w:rsidRPr="00A66C41">
              <w:rPr>
                <w:sz w:val="20"/>
              </w:rPr>
              <w:t>30 (14.8)</w:t>
            </w:r>
          </w:p>
        </w:tc>
        <w:tc>
          <w:tcPr>
            <w:tcW w:w="1417" w:type="dxa"/>
            <w:tcBorders>
              <w:bottom w:val="single" w:sz="4" w:space="0" w:color="auto"/>
              <w:right w:val="single" w:sz="12" w:space="0" w:color="auto"/>
            </w:tcBorders>
            <w:shd w:val="clear" w:color="auto" w:fill="auto"/>
            <w:tcMar>
              <w:left w:w="57" w:type="dxa"/>
              <w:right w:w="57" w:type="dxa"/>
            </w:tcMar>
          </w:tcPr>
          <w:p w14:paraId="44B0197D" w14:textId="77777777" w:rsidR="00471703" w:rsidRPr="00A66C41" w:rsidRDefault="00471703" w:rsidP="00924ED2">
            <w:pPr>
              <w:pStyle w:val="TableTextCharChar"/>
              <w:spacing w:before="20" w:after="20"/>
              <w:jc w:val="center"/>
              <w:rPr>
                <w:sz w:val="20"/>
              </w:rPr>
            </w:pPr>
            <w:r w:rsidRPr="00A66C41">
              <w:rPr>
                <w:sz w:val="20"/>
              </w:rPr>
              <w:t>82 (8.7)</w:t>
            </w:r>
          </w:p>
        </w:tc>
      </w:tr>
      <w:tr w:rsidR="00471703" w:rsidRPr="00A66C41" w14:paraId="44B01985" w14:textId="77777777" w:rsidTr="00924ED2">
        <w:trPr>
          <w:cantSplit/>
        </w:trPr>
        <w:tc>
          <w:tcPr>
            <w:tcW w:w="1720" w:type="dxa"/>
            <w:tcBorders>
              <w:left w:val="single" w:sz="12" w:space="0" w:color="auto"/>
            </w:tcBorders>
            <w:shd w:val="clear" w:color="auto" w:fill="auto"/>
            <w:tcMar>
              <w:left w:w="57" w:type="dxa"/>
              <w:right w:w="57" w:type="dxa"/>
            </w:tcMar>
          </w:tcPr>
          <w:p w14:paraId="44B0197F" w14:textId="77777777" w:rsidR="00471703" w:rsidRPr="00A66C41" w:rsidRDefault="00471703" w:rsidP="00924ED2">
            <w:pPr>
              <w:pStyle w:val="TableTextCharChar"/>
              <w:spacing w:before="20" w:after="20"/>
              <w:rPr>
                <w:sz w:val="20"/>
              </w:rPr>
            </w:pPr>
            <w:r w:rsidRPr="00A66C41">
              <w:rPr>
                <w:sz w:val="20"/>
              </w:rPr>
              <w:t>Gait disturbance</w:t>
            </w:r>
          </w:p>
        </w:tc>
        <w:tc>
          <w:tcPr>
            <w:tcW w:w="993" w:type="dxa"/>
            <w:shd w:val="clear" w:color="auto" w:fill="auto"/>
            <w:tcMar>
              <w:left w:w="57" w:type="dxa"/>
              <w:right w:w="57" w:type="dxa"/>
            </w:tcMar>
          </w:tcPr>
          <w:p w14:paraId="44B01980" w14:textId="77777777" w:rsidR="00471703" w:rsidRPr="00A66C41" w:rsidRDefault="00471703" w:rsidP="00924ED2">
            <w:pPr>
              <w:pStyle w:val="TableTextCharChar"/>
              <w:spacing w:before="20" w:after="20"/>
              <w:jc w:val="center"/>
              <w:rPr>
                <w:sz w:val="20"/>
              </w:rPr>
            </w:pPr>
            <w:r w:rsidRPr="00A66C41">
              <w:rPr>
                <w:sz w:val="20"/>
              </w:rPr>
              <w:t>1 (0.3)</w:t>
            </w:r>
          </w:p>
        </w:tc>
        <w:tc>
          <w:tcPr>
            <w:tcW w:w="1275" w:type="dxa"/>
            <w:shd w:val="clear" w:color="auto" w:fill="auto"/>
            <w:tcMar>
              <w:left w:w="57" w:type="dxa"/>
              <w:right w:w="57" w:type="dxa"/>
            </w:tcMar>
          </w:tcPr>
          <w:p w14:paraId="44B01981" w14:textId="77777777" w:rsidR="00471703" w:rsidRPr="00A66C41" w:rsidRDefault="00471703" w:rsidP="00924ED2">
            <w:pPr>
              <w:pStyle w:val="TableTextCharChar"/>
              <w:spacing w:before="20" w:after="20"/>
              <w:jc w:val="center"/>
              <w:rPr>
                <w:sz w:val="20"/>
              </w:rPr>
            </w:pPr>
            <w:r w:rsidRPr="00A66C41">
              <w:rPr>
                <w:sz w:val="20"/>
              </w:rPr>
              <w:t>2 (0.7)</w:t>
            </w:r>
          </w:p>
        </w:tc>
        <w:tc>
          <w:tcPr>
            <w:tcW w:w="1276" w:type="dxa"/>
            <w:shd w:val="clear" w:color="auto" w:fill="auto"/>
            <w:tcMar>
              <w:left w:w="57" w:type="dxa"/>
              <w:right w:w="57" w:type="dxa"/>
            </w:tcMar>
          </w:tcPr>
          <w:p w14:paraId="44B01982" w14:textId="77777777" w:rsidR="00471703" w:rsidRPr="00A66C41" w:rsidRDefault="00471703" w:rsidP="00924ED2">
            <w:pPr>
              <w:pStyle w:val="TableTextCharChar"/>
              <w:spacing w:before="20" w:after="20"/>
              <w:jc w:val="center"/>
              <w:rPr>
                <w:sz w:val="20"/>
              </w:rPr>
            </w:pPr>
            <w:r w:rsidRPr="00A66C41">
              <w:rPr>
                <w:sz w:val="20"/>
              </w:rPr>
              <w:t>11 (2.3)</w:t>
            </w:r>
          </w:p>
        </w:tc>
        <w:tc>
          <w:tcPr>
            <w:tcW w:w="1276" w:type="dxa"/>
            <w:shd w:val="clear" w:color="auto" w:fill="auto"/>
            <w:tcMar>
              <w:left w:w="57" w:type="dxa"/>
              <w:right w:w="57" w:type="dxa"/>
            </w:tcMar>
          </w:tcPr>
          <w:p w14:paraId="44B01983" w14:textId="77777777" w:rsidR="00471703" w:rsidRPr="00A66C41" w:rsidRDefault="00471703" w:rsidP="00924ED2">
            <w:pPr>
              <w:pStyle w:val="TableTextCharChar"/>
              <w:spacing w:before="20" w:after="20"/>
              <w:jc w:val="center"/>
              <w:rPr>
                <w:sz w:val="20"/>
              </w:rPr>
            </w:pPr>
            <w:r w:rsidRPr="00A66C41">
              <w:rPr>
                <w:sz w:val="20"/>
              </w:rPr>
              <w:t>9 (4.4)</w:t>
            </w:r>
          </w:p>
        </w:tc>
        <w:tc>
          <w:tcPr>
            <w:tcW w:w="1417" w:type="dxa"/>
            <w:tcBorders>
              <w:right w:val="single" w:sz="12" w:space="0" w:color="auto"/>
            </w:tcBorders>
            <w:shd w:val="clear" w:color="auto" w:fill="auto"/>
            <w:tcMar>
              <w:left w:w="57" w:type="dxa"/>
              <w:right w:w="57" w:type="dxa"/>
            </w:tcMar>
          </w:tcPr>
          <w:p w14:paraId="44B01984" w14:textId="77777777" w:rsidR="00471703" w:rsidRPr="00A66C41" w:rsidRDefault="00471703" w:rsidP="00924ED2">
            <w:pPr>
              <w:pStyle w:val="TableTextCharChar"/>
              <w:spacing w:before="20" w:after="20"/>
              <w:jc w:val="center"/>
              <w:rPr>
                <w:sz w:val="20"/>
              </w:rPr>
            </w:pPr>
            <w:r w:rsidRPr="00A66C41">
              <w:rPr>
                <w:sz w:val="20"/>
              </w:rPr>
              <w:t>22 (2.3)</w:t>
            </w:r>
          </w:p>
        </w:tc>
      </w:tr>
      <w:tr w:rsidR="00471703" w:rsidRPr="00A66C41" w14:paraId="44B0198C" w14:textId="77777777" w:rsidTr="00924ED2">
        <w:trPr>
          <w:cantSplit/>
        </w:trPr>
        <w:tc>
          <w:tcPr>
            <w:tcW w:w="1720" w:type="dxa"/>
            <w:tcBorders>
              <w:left w:val="single" w:sz="12" w:space="0" w:color="auto"/>
            </w:tcBorders>
            <w:shd w:val="clear" w:color="auto" w:fill="auto"/>
            <w:tcMar>
              <w:left w:w="57" w:type="dxa"/>
              <w:right w:w="57" w:type="dxa"/>
            </w:tcMar>
          </w:tcPr>
          <w:p w14:paraId="44B01986" w14:textId="77777777" w:rsidR="00471703" w:rsidRPr="00A66C41" w:rsidRDefault="00471703" w:rsidP="00924ED2">
            <w:pPr>
              <w:pStyle w:val="TableTextCharChar"/>
              <w:spacing w:before="20" w:after="20"/>
              <w:rPr>
                <w:sz w:val="20"/>
              </w:rPr>
            </w:pPr>
            <w:r w:rsidRPr="00A66C41">
              <w:rPr>
                <w:sz w:val="20"/>
              </w:rPr>
              <w:t>Asthenia</w:t>
            </w:r>
          </w:p>
        </w:tc>
        <w:tc>
          <w:tcPr>
            <w:tcW w:w="993" w:type="dxa"/>
            <w:shd w:val="clear" w:color="auto" w:fill="auto"/>
            <w:tcMar>
              <w:left w:w="57" w:type="dxa"/>
              <w:right w:w="57" w:type="dxa"/>
            </w:tcMar>
          </w:tcPr>
          <w:p w14:paraId="44B01987" w14:textId="77777777" w:rsidR="00471703" w:rsidRPr="00A66C41" w:rsidRDefault="00471703" w:rsidP="00924ED2">
            <w:pPr>
              <w:pStyle w:val="TableTextCharChar"/>
              <w:spacing w:before="20" w:after="20"/>
              <w:jc w:val="center"/>
              <w:rPr>
                <w:sz w:val="20"/>
              </w:rPr>
            </w:pPr>
            <w:r w:rsidRPr="00A66C41">
              <w:rPr>
                <w:sz w:val="20"/>
              </w:rPr>
              <w:t>2 (0.5)</w:t>
            </w:r>
          </w:p>
        </w:tc>
        <w:tc>
          <w:tcPr>
            <w:tcW w:w="1275" w:type="dxa"/>
            <w:shd w:val="clear" w:color="auto" w:fill="auto"/>
            <w:tcMar>
              <w:left w:w="57" w:type="dxa"/>
              <w:right w:w="57" w:type="dxa"/>
            </w:tcMar>
          </w:tcPr>
          <w:p w14:paraId="44B01988" w14:textId="77777777" w:rsidR="00471703" w:rsidRPr="00A66C41" w:rsidRDefault="00471703" w:rsidP="00924ED2">
            <w:pPr>
              <w:pStyle w:val="TableTextCharChar"/>
              <w:spacing w:before="20" w:after="20"/>
              <w:jc w:val="center"/>
              <w:rPr>
                <w:sz w:val="20"/>
              </w:rPr>
            </w:pPr>
            <w:r w:rsidRPr="00A66C41">
              <w:rPr>
                <w:sz w:val="20"/>
              </w:rPr>
              <w:t>4 (1.5)</w:t>
            </w:r>
          </w:p>
        </w:tc>
        <w:tc>
          <w:tcPr>
            <w:tcW w:w="1276" w:type="dxa"/>
            <w:shd w:val="clear" w:color="auto" w:fill="auto"/>
            <w:tcMar>
              <w:left w:w="57" w:type="dxa"/>
              <w:right w:w="57" w:type="dxa"/>
            </w:tcMar>
          </w:tcPr>
          <w:p w14:paraId="44B01989" w14:textId="77777777" w:rsidR="00471703" w:rsidRPr="00A66C41" w:rsidRDefault="00471703" w:rsidP="00924ED2">
            <w:pPr>
              <w:pStyle w:val="TableTextCharChar"/>
              <w:spacing w:before="20" w:after="20"/>
              <w:jc w:val="center"/>
              <w:rPr>
                <w:sz w:val="20"/>
              </w:rPr>
            </w:pPr>
            <w:r w:rsidRPr="00A66C41">
              <w:rPr>
                <w:sz w:val="20"/>
              </w:rPr>
              <w:t>9 (1.9)</w:t>
            </w:r>
          </w:p>
        </w:tc>
        <w:tc>
          <w:tcPr>
            <w:tcW w:w="1276" w:type="dxa"/>
            <w:shd w:val="clear" w:color="auto" w:fill="auto"/>
            <w:tcMar>
              <w:left w:w="57" w:type="dxa"/>
              <w:right w:w="57" w:type="dxa"/>
            </w:tcMar>
          </w:tcPr>
          <w:p w14:paraId="44B0198A" w14:textId="77777777" w:rsidR="00471703" w:rsidRPr="00A66C41" w:rsidRDefault="00471703" w:rsidP="00924ED2">
            <w:pPr>
              <w:pStyle w:val="TableTextCharChar"/>
              <w:spacing w:before="20" w:after="20"/>
              <w:jc w:val="center"/>
              <w:rPr>
                <w:sz w:val="20"/>
              </w:rPr>
            </w:pPr>
            <w:r w:rsidRPr="00A66C41">
              <w:rPr>
                <w:sz w:val="20"/>
              </w:rPr>
              <w:t>8 (3.9)</w:t>
            </w:r>
          </w:p>
        </w:tc>
        <w:tc>
          <w:tcPr>
            <w:tcW w:w="1417" w:type="dxa"/>
            <w:tcBorders>
              <w:right w:val="single" w:sz="12" w:space="0" w:color="auto"/>
            </w:tcBorders>
            <w:shd w:val="clear" w:color="auto" w:fill="auto"/>
            <w:tcMar>
              <w:left w:w="57" w:type="dxa"/>
              <w:right w:w="57" w:type="dxa"/>
            </w:tcMar>
          </w:tcPr>
          <w:p w14:paraId="44B0198B" w14:textId="77777777" w:rsidR="00471703" w:rsidRPr="00A66C41" w:rsidRDefault="00471703" w:rsidP="00924ED2">
            <w:pPr>
              <w:pStyle w:val="TableTextCharChar"/>
              <w:spacing w:before="20" w:after="20"/>
              <w:jc w:val="center"/>
              <w:rPr>
                <w:sz w:val="20"/>
              </w:rPr>
            </w:pPr>
            <w:r w:rsidRPr="00A66C41">
              <w:rPr>
                <w:sz w:val="20"/>
              </w:rPr>
              <w:t>21 (2.2)</w:t>
            </w:r>
          </w:p>
        </w:tc>
      </w:tr>
      <w:tr w:rsidR="00471703" w:rsidRPr="00A66C41" w14:paraId="44B0198E" w14:textId="77777777" w:rsidTr="00924ED2">
        <w:trPr>
          <w:cantSplit/>
        </w:trPr>
        <w:tc>
          <w:tcPr>
            <w:tcW w:w="7957" w:type="dxa"/>
            <w:gridSpan w:val="6"/>
            <w:tcBorders>
              <w:left w:val="single" w:sz="12" w:space="0" w:color="auto"/>
              <w:right w:val="single" w:sz="12" w:space="0" w:color="auto"/>
            </w:tcBorders>
            <w:shd w:val="clear" w:color="auto" w:fill="auto"/>
            <w:tcMar>
              <w:left w:w="57" w:type="dxa"/>
              <w:right w:w="57" w:type="dxa"/>
            </w:tcMar>
          </w:tcPr>
          <w:p w14:paraId="44B0198D" w14:textId="77777777" w:rsidR="00471703" w:rsidRPr="00A66C41" w:rsidRDefault="00471703" w:rsidP="00924ED2">
            <w:pPr>
              <w:pStyle w:val="TableTextCharChar"/>
              <w:spacing w:before="20" w:after="20"/>
              <w:rPr>
                <w:sz w:val="20"/>
              </w:rPr>
            </w:pPr>
            <w:r w:rsidRPr="00A66C41">
              <w:rPr>
                <w:b/>
                <w:sz w:val="20"/>
              </w:rPr>
              <w:t>Injury, poisoning and procedural complications</w:t>
            </w:r>
          </w:p>
        </w:tc>
      </w:tr>
      <w:tr w:rsidR="00471703" w:rsidRPr="00A66C41" w14:paraId="44B01995" w14:textId="77777777" w:rsidTr="00924ED2">
        <w:trPr>
          <w:cantSplit/>
        </w:trPr>
        <w:tc>
          <w:tcPr>
            <w:tcW w:w="1720" w:type="dxa"/>
            <w:tcBorders>
              <w:left w:val="single" w:sz="12" w:space="0" w:color="auto"/>
            </w:tcBorders>
            <w:shd w:val="clear" w:color="auto" w:fill="auto"/>
            <w:tcMar>
              <w:left w:w="57" w:type="dxa"/>
              <w:right w:w="57" w:type="dxa"/>
            </w:tcMar>
          </w:tcPr>
          <w:p w14:paraId="44B0198F" w14:textId="77777777" w:rsidR="00471703" w:rsidRPr="00A66C41" w:rsidRDefault="00471703" w:rsidP="00924ED2">
            <w:pPr>
              <w:pStyle w:val="TableTextCharChar"/>
              <w:spacing w:before="20" w:after="20"/>
              <w:rPr>
                <w:sz w:val="20"/>
              </w:rPr>
            </w:pPr>
            <w:r w:rsidRPr="00A66C41">
              <w:rPr>
                <w:sz w:val="20"/>
              </w:rPr>
              <w:t>Skin laceration</w:t>
            </w:r>
          </w:p>
        </w:tc>
        <w:tc>
          <w:tcPr>
            <w:tcW w:w="993" w:type="dxa"/>
            <w:shd w:val="clear" w:color="auto" w:fill="auto"/>
            <w:tcMar>
              <w:left w:w="57" w:type="dxa"/>
              <w:right w:w="57" w:type="dxa"/>
            </w:tcMar>
          </w:tcPr>
          <w:p w14:paraId="44B01990" w14:textId="77777777" w:rsidR="00471703" w:rsidRPr="00A66C41" w:rsidRDefault="00471703" w:rsidP="00924ED2">
            <w:pPr>
              <w:pStyle w:val="TableTextCharChar"/>
              <w:spacing w:before="20" w:after="20"/>
              <w:jc w:val="center"/>
              <w:rPr>
                <w:sz w:val="20"/>
              </w:rPr>
            </w:pPr>
            <w:r w:rsidRPr="00A66C41">
              <w:rPr>
                <w:sz w:val="20"/>
              </w:rPr>
              <w:t>6 (1.6)</w:t>
            </w:r>
          </w:p>
        </w:tc>
        <w:tc>
          <w:tcPr>
            <w:tcW w:w="1275" w:type="dxa"/>
            <w:shd w:val="clear" w:color="auto" w:fill="auto"/>
            <w:tcMar>
              <w:left w:w="57" w:type="dxa"/>
              <w:right w:w="57" w:type="dxa"/>
            </w:tcMar>
          </w:tcPr>
          <w:p w14:paraId="44B01991" w14:textId="77777777" w:rsidR="00471703" w:rsidRPr="00A66C41" w:rsidRDefault="00471703" w:rsidP="00924ED2">
            <w:pPr>
              <w:pStyle w:val="TableTextCharChar"/>
              <w:spacing w:before="20" w:after="20"/>
              <w:jc w:val="center"/>
              <w:rPr>
                <w:sz w:val="20"/>
              </w:rPr>
            </w:pPr>
            <w:r w:rsidRPr="00A66C41">
              <w:rPr>
                <w:sz w:val="20"/>
              </w:rPr>
              <w:t>6 (2.2)</w:t>
            </w:r>
          </w:p>
        </w:tc>
        <w:tc>
          <w:tcPr>
            <w:tcW w:w="1276" w:type="dxa"/>
            <w:shd w:val="clear" w:color="auto" w:fill="auto"/>
            <w:tcMar>
              <w:left w:w="57" w:type="dxa"/>
              <w:right w:w="57" w:type="dxa"/>
            </w:tcMar>
          </w:tcPr>
          <w:p w14:paraId="44B01992" w14:textId="77777777" w:rsidR="00471703" w:rsidRPr="00A66C41" w:rsidRDefault="00471703" w:rsidP="00924ED2">
            <w:pPr>
              <w:pStyle w:val="TableTextCharChar"/>
              <w:spacing w:before="20" w:after="20"/>
              <w:jc w:val="center"/>
              <w:rPr>
                <w:sz w:val="20"/>
              </w:rPr>
            </w:pPr>
            <w:r w:rsidRPr="00A66C41">
              <w:rPr>
                <w:sz w:val="20"/>
              </w:rPr>
              <w:t>14 (3.0)</w:t>
            </w:r>
          </w:p>
        </w:tc>
        <w:tc>
          <w:tcPr>
            <w:tcW w:w="1276" w:type="dxa"/>
            <w:shd w:val="clear" w:color="auto" w:fill="auto"/>
            <w:tcMar>
              <w:left w:w="57" w:type="dxa"/>
              <w:right w:w="57" w:type="dxa"/>
            </w:tcMar>
          </w:tcPr>
          <w:p w14:paraId="44B01993" w14:textId="77777777" w:rsidR="00471703" w:rsidRPr="00A66C41" w:rsidRDefault="00471703" w:rsidP="00924ED2">
            <w:pPr>
              <w:pStyle w:val="TableTextCharChar"/>
              <w:spacing w:before="20" w:after="20"/>
              <w:jc w:val="center"/>
              <w:rPr>
                <w:sz w:val="20"/>
              </w:rPr>
            </w:pPr>
            <w:r w:rsidRPr="00A66C41">
              <w:rPr>
                <w:sz w:val="20"/>
              </w:rPr>
              <w:t>6 (3.0)</w:t>
            </w:r>
          </w:p>
        </w:tc>
        <w:tc>
          <w:tcPr>
            <w:tcW w:w="1417" w:type="dxa"/>
            <w:tcBorders>
              <w:right w:val="single" w:sz="12" w:space="0" w:color="auto"/>
            </w:tcBorders>
            <w:shd w:val="clear" w:color="auto" w:fill="auto"/>
            <w:tcMar>
              <w:left w:w="57" w:type="dxa"/>
              <w:right w:w="57" w:type="dxa"/>
            </w:tcMar>
          </w:tcPr>
          <w:p w14:paraId="44B01994" w14:textId="77777777" w:rsidR="00471703" w:rsidRPr="00A66C41" w:rsidRDefault="00471703" w:rsidP="00924ED2">
            <w:pPr>
              <w:pStyle w:val="TableTextCharChar"/>
              <w:spacing w:before="20" w:after="20"/>
              <w:jc w:val="center"/>
              <w:rPr>
                <w:sz w:val="20"/>
              </w:rPr>
            </w:pPr>
            <w:r w:rsidRPr="00A66C41">
              <w:rPr>
                <w:sz w:val="20"/>
              </w:rPr>
              <w:t>26 (2.8)</w:t>
            </w:r>
          </w:p>
        </w:tc>
      </w:tr>
      <w:tr w:rsidR="00471703" w:rsidRPr="00A66C41" w14:paraId="44B0199C" w14:textId="77777777" w:rsidTr="00924ED2">
        <w:trPr>
          <w:cantSplit/>
        </w:trPr>
        <w:tc>
          <w:tcPr>
            <w:tcW w:w="1720" w:type="dxa"/>
            <w:tcBorders>
              <w:left w:val="single" w:sz="12" w:space="0" w:color="auto"/>
            </w:tcBorders>
            <w:shd w:val="clear" w:color="auto" w:fill="auto"/>
            <w:tcMar>
              <w:left w:w="57" w:type="dxa"/>
              <w:right w:w="57" w:type="dxa"/>
            </w:tcMar>
          </w:tcPr>
          <w:p w14:paraId="44B01996" w14:textId="77777777" w:rsidR="00471703" w:rsidRPr="00A66C41" w:rsidRDefault="00471703" w:rsidP="00924ED2">
            <w:pPr>
              <w:pStyle w:val="TableTextCharChar"/>
              <w:spacing w:before="20" w:after="20"/>
              <w:rPr>
                <w:sz w:val="20"/>
              </w:rPr>
            </w:pPr>
            <w:r w:rsidRPr="00A66C41">
              <w:rPr>
                <w:sz w:val="20"/>
              </w:rPr>
              <w:t xml:space="preserve">Fall </w:t>
            </w:r>
          </w:p>
        </w:tc>
        <w:tc>
          <w:tcPr>
            <w:tcW w:w="993" w:type="dxa"/>
            <w:shd w:val="clear" w:color="auto" w:fill="auto"/>
            <w:tcMar>
              <w:left w:w="57" w:type="dxa"/>
              <w:right w:w="57" w:type="dxa"/>
            </w:tcMar>
          </w:tcPr>
          <w:p w14:paraId="44B01997" w14:textId="77777777" w:rsidR="00471703" w:rsidRPr="00A66C41" w:rsidRDefault="00471703" w:rsidP="00924ED2">
            <w:pPr>
              <w:pStyle w:val="TableTextCharChar"/>
              <w:spacing w:before="20" w:after="20"/>
              <w:jc w:val="center"/>
              <w:rPr>
                <w:sz w:val="20"/>
              </w:rPr>
            </w:pPr>
            <w:r w:rsidRPr="00A66C41">
              <w:rPr>
                <w:sz w:val="20"/>
              </w:rPr>
              <w:t>1 (0.3)</w:t>
            </w:r>
          </w:p>
        </w:tc>
        <w:tc>
          <w:tcPr>
            <w:tcW w:w="1275" w:type="dxa"/>
            <w:shd w:val="clear" w:color="auto" w:fill="auto"/>
            <w:tcMar>
              <w:left w:w="57" w:type="dxa"/>
              <w:right w:w="57" w:type="dxa"/>
            </w:tcMar>
          </w:tcPr>
          <w:p w14:paraId="44B01998" w14:textId="77777777" w:rsidR="00471703" w:rsidRPr="00A66C41" w:rsidRDefault="00471703" w:rsidP="00924ED2">
            <w:pPr>
              <w:pStyle w:val="TableTextCharChar"/>
              <w:spacing w:before="20" w:after="20"/>
              <w:jc w:val="center"/>
              <w:rPr>
                <w:sz w:val="20"/>
              </w:rPr>
            </w:pPr>
            <w:r w:rsidRPr="00A66C41">
              <w:rPr>
                <w:sz w:val="20"/>
              </w:rPr>
              <w:t>2 (0.7)</w:t>
            </w:r>
          </w:p>
        </w:tc>
        <w:tc>
          <w:tcPr>
            <w:tcW w:w="1276" w:type="dxa"/>
            <w:shd w:val="clear" w:color="auto" w:fill="auto"/>
            <w:tcMar>
              <w:left w:w="57" w:type="dxa"/>
              <w:right w:w="57" w:type="dxa"/>
            </w:tcMar>
          </w:tcPr>
          <w:p w14:paraId="44B01999" w14:textId="77777777" w:rsidR="00471703" w:rsidRPr="00A66C41" w:rsidRDefault="00471703" w:rsidP="00924ED2">
            <w:pPr>
              <w:pStyle w:val="TableTextCharChar"/>
              <w:spacing w:before="20" w:after="20"/>
              <w:jc w:val="center"/>
              <w:rPr>
                <w:sz w:val="20"/>
              </w:rPr>
            </w:pPr>
            <w:r w:rsidRPr="00A66C41">
              <w:rPr>
                <w:sz w:val="20"/>
              </w:rPr>
              <w:t>10 (2.1)</w:t>
            </w:r>
          </w:p>
        </w:tc>
        <w:tc>
          <w:tcPr>
            <w:tcW w:w="1276" w:type="dxa"/>
            <w:shd w:val="clear" w:color="auto" w:fill="auto"/>
            <w:tcMar>
              <w:left w:w="57" w:type="dxa"/>
              <w:right w:w="57" w:type="dxa"/>
            </w:tcMar>
          </w:tcPr>
          <w:p w14:paraId="44B0199A" w14:textId="77777777" w:rsidR="00471703" w:rsidRPr="00A66C41" w:rsidRDefault="00471703" w:rsidP="00924ED2">
            <w:pPr>
              <w:pStyle w:val="TableTextCharChar"/>
              <w:spacing w:before="20" w:after="20"/>
              <w:jc w:val="center"/>
              <w:rPr>
                <w:sz w:val="20"/>
              </w:rPr>
            </w:pPr>
            <w:r w:rsidRPr="00A66C41">
              <w:rPr>
                <w:sz w:val="20"/>
              </w:rPr>
              <w:t>2 (1.0)</w:t>
            </w:r>
          </w:p>
        </w:tc>
        <w:tc>
          <w:tcPr>
            <w:tcW w:w="1417" w:type="dxa"/>
            <w:tcBorders>
              <w:right w:val="single" w:sz="12" w:space="0" w:color="auto"/>
            </w:tcBorders>
            <w:shd w:val="clear" w:color="auto" w:fill="auto"/>
            <w:tcMar>
              <w:left w:w="57" w:type="dxa"/>
              <w:right w:w="57" w:type="dxa"/>
            </w:tcMar>
          </w:tcPr>
          <w:p w14:paraId="44B0199B" w14:textId="77777777" w:rsidR="00471703" w:rsidRPr="00A66C41" w:rsidRDefault="00471703" w:rsidP="00924ED2">
            <w:pPr>
              <w:pStyle w:val="TableTextCharChar"/>
              <w:spacing w:before="20" w:after="20"/>
              <w:jc w:val="center"/>
              <w:rPr>
                <w:sz w:val="20"/>
              </w:rPr>
            </w:pPr>
            <w:r w:rsidRPr="00A66C41">
              <w:rPr>
                <w:sz w:val="20"/>
              </w:rPr>
              <w:t>14 (1.5)</w:t>
            </w:r>
          </w:p>
        </w:tc>
      </w:tr>
      <w:tr w:rsidR="00471703" w:rsidRPr="00A66C41" w14:paraId="44B0199E" w14:textId="77777777" w:rsidTr="00924ED2">
        <w:trPr>
          <w:cantSplit/>
        </w:trPr>
        <w:tc>
          <w:tcPr>
            <w:tcW w:w="7957" w:type="dxa"/>
            <w:gridSpan w:val="6"/>
            <w:tcBorders>
              <w:left w:val="single" w:sz="12" w:space="0" w:color="auto"/>
              <w:right w:val="single" w:sz="12" w:space="0" w:color="auto"/>
            </w:tcBorders>
            <w:shd w:val="clear" w:color="auto" w:fill="auto"/>
            <w:tcMar>
              <w:left w:w="57" w:type="dxa"/>
              <w:right w:w="57" w:type="dxa"/>
            </w:tcMar>
          </w:tcPr>
          <w:p w14:paraId="44B0199D" w14:textId="77777777" w:rsidR="00471703" w:rsidRPr="00A66C41" w:rsidRDefault="00471703" w:rsidP="00924ED2">
            <w:pPr>
              <w:pStyle w:val="TableTextCharChar"/>
              <w:spacing w:before="20" w:after="20"/>
              <w:rPr>
                <w:sz w:val="20"/>
              </w:rPr>
            </w:pPr>
            <w:r w:rsidRPr="00A66C41">
              <w:rPr>
                <w:b/>
                <w:sz w:val="20"/>
              </w:rPr>
              <w:t>Nervous system disorders</w:t>
            </w:r>
          </w:p>
        </w:tc>
      </w:tr>
      <w:tr w:rsidR="00471703" w:rsidRPr="00A66C41" w14:paraId="44B019A5" w14:textId="77777777" w:rsidTr="00924ED2">
        <w:trPr>
          <w:cantSplit/>
        </w:trPr>
        <w:tc>
          <w:tcPr>
            <w:tcW w:w="1720" w:type="dxa"/>
            <w:tcBorders>
              <w:left w:val="single" w:sz="12" w:space="0" w:color="auto"/>
            </w:tcBorders>
            <w:shd w:val="clear" w:color="auto" w:fill="auto"/>
            <w:tcMar>
              <w:left w:w="57" w:type="dxa"/>
              <w:right w:w="57" w:type="dxa"/>
            </w:tcMar>
          </w:tcPr>
          <w:p w14:paraId="44B0199F" w14:textId="77777777" w:rsidR="00471703" w:rsidRPr="00A66C41" w:rsidRDefault="00471703" w:rsidP="00924ED2">
            <w:pPr>
              <w:pStyle w:val="TableTextCharChar"/>
              <w:spacing w:before="20" w:after="20"/>
              <w:rPr>
                <w:sz w:val="20"/>
              </w:rPr>
            </w:pPr>
            <w:r w:rsidRPr="00A66C41">
              <w:rPr>
                <w:sz w:val="20"/>
              </w:rPr>
              <w:t>Dizziness</w:t>
            </w:r>
          </w:p>
        </w:tc>
        <w:tc>
          <w:tcPr>
            <w:tcW w:w="993" w:type="dxa"/>
            <w:shd w:val="clear" w:color="auto" w:fill="auto"/>
            <w:tcMar>
              <w:left w:w="57" w:type="dxa"/>
              <w:right w:w="57" w:type="dxa"/>
            </w:tcMar>
          </w:tcPr>
          <w:p w14:paraId="44B019A0" w14:textId="77777777" w:rsidR="00471703" w:rsidRPr="00A66C41" w:rsidRDefault="00471703" w:rsidP="00924ED2">
            <w:pPr>
              <w:pStyle w:val="TableTextCharChar"/>
              <w:spacing w:before="20" w:after="20"/>
              <w:jc w:val="center"/>
              <w:rPr>
                <w:sz w:val="20"/>
              </w:rPr>
            </w:pPr>
            <w:r w:rsidRPr="00A66C41">
              <w:rPr>
                <w:sz w:val="20"/>
              </w:rPr>
              <w:t>29 (8.0)</w:t>
            </w:r>
          </w:p>
        </w:tc>
        <w:tc>
          <w:tcPr>
            <w:tcW w:w="1275" w:type="dxa"/>
            <w:shd w:val="clear" w:color="auto" w:fill="auto"/>
            <w:tcMar>
              <w:left w:w="57" w:type="dxa"/>
              <w:right w:w="57" w:type="dxa"/>
            </w:tcMar>
          </w:tcPr>
          <w:p w14:paraId="44B019A1" w14:textId="77777777" w:rsidR="00471703" w:rsidRPr="00A66C41" w:rsidRDefault="00471703" w:rsidP="00924ED2">
            <w:pPr>
              <w:pStyle w:val="TableTextCharChar"/>
              <w:spacing w:before="20" w:after="20"/>
              <w:jc w:val="center"/>
              <w:rPr>
                <w:sz w:val="20"/>
              </w:rPr>
            </w:pPr>
            <w:r w:rsidRPr="00A66C41">
              <w:rPr>
                <w:sz w:val="20"/>
              </w:rPr>
              <w:t>43 (15.9)</w:t>
            </w:r>
          </w:p>
        </w:tc>
        <w:tc>
          <w:tcPr>
            <w:tcW w:w="1276" w:type="dxa"/>
            <w:shd w:val="clear" w:color="auto" w:fill="auto"/>
            <w:tcMar>
              <w:left w:w="57" w:type="dxa"/>
              <w:right w:w="57" w:type="dxa"/>
            </w:tcMar>
          </w:tcPr>
          <w:p w14:paraId="44B019A2" w14:textId="77777777" w:rsidR="00471703" w:rsidRPr="00A66C41" w:rsidRDefault="00471703" w:rsidP="00924ED2">
            <w:pPr>
              <w:pStyle w:val="TableTextCharChar"/>
              <w:spacing w:before="20" w:after="20"/>
              <w:jc w:val="center"/>
              <w:rPr>
                <w:sz w:val="20"/>
              </w:rPr>
            </w:pPr>
            <w:r w:rsidRPr="00A66C41">
              <w:rPr>
                <w:sz w:val="20"/>
              </w:rPr>
              <w:t>139 (29.5)</w:t>
            </w:r>
          </w:p>
        </w:tc>
        <w:tc>
          <w:tcPr>
            <w:tcW w:w="1276" w:type="dxa"/>
            <w:shd w:val="clear" w:color="auto" w:fill="auto"/>
            <w:tcMar>
              <w:left w:w="57" w:type="dxa"/>
              <w:right w:w="57" w:type="dxa"/>
            </w:tcMar>
          </w:tcPr>
          <w:p w14:paraId="44B019A3" w14:textId="77777777" w:rsidR="00471703" w:rsidRPr="00A66C41" w:rsidRDefault="00471703" w:rsidP="00924ED2">
            <w:pPr>
              <w:pStyle w:val="TableTextCharChar"/>
              <w:spacing w:before="20" w:after="20"/>
              <w:jc w:val="center"/>
              <w:rPr>
                <w:sz w:val="20"/>
              </w:rPr>
            </w:pPr>
            <w:r w:rsidRPr="00A66C41">
              <w:rPr>
                <w:sz w:val="20"/>
              </w:rPr>
              <w:t>107 (52.7)</w:t>
            </w:r>
          </w:p>
        </w:tc>
        <w:tc>
          <w:tcPr>
            <w:tcW w:w="1417" w:type="dxa"/>
            <w:tcBorders>
              <w:right w:val="single" w:sz="12" w:space="0" w:color="auto"/>
            </w:tcBorders>
            <w:shd w:val="clear" w:color="auto" w:fill="auto"/>
            <w:tcMar>
              <w:left w:w="57" w:type="dxa"/>
              <w:right w:w="57" w:type="dxa"/>
            </w:tcMar>
          </w:tcPr>
          <w:p w14:paraId="44B019A4" w14:textId="77777777" w:rsidR="00471703" w:rsidRPr="00A66C41" w:rsidRDefault="00471703" w:rsidP="00924ED2">
            <w:pPr>
              <w:pStyle w:val="TableTextCharChar"/>
              <w:spacing w:before="20" w:after="20"/>
              <w:jc w:val="center"/>
              <w:rPr>
                <w:sz w:val="20"/>
              </w:rPr>
            </w:pPr>
            <w:r w:rsidRPr="00A66C41">
              <w:rPr>
                <w:sz w:val="20"/>
              </w:rPr>
              <w:t>289 (30.6)</w:t>
            </w:r>
          </w:p>
        </w:tc>
      </w:tr>
      <w:tr w:rsidR="00471703" w:rsidRPr="00A66C41" w14:paraId="44B019AC" w14:textId="77777777" w:rsidTr="00924ED2">
        <w:trPr>
          <w:cantSplit/>
        </w:trPr>
        <w:tc>
          <w:tcPr>
            <w:tcW w:w="1720" w:type="dxa"/>
            <w:tcBorders>
              <w:left w:val="single" w:sz="12" w:space="0" w:color="auto"/>
            </w:tcBorders>
            <w:shd w:val="clear" w:color="auto" w:fill="auto"/>
            <w:tcMar>
              <w:left w:w="57" w:type="dxa"/>
              <w:right w:w="57" w:type="dxa"/>
            </w:tcMar>
          </w:tcPr>
          <w:p w14:paraId="44B019A6" w14:textId="77777777" w:rsidR="00471703" w:rsidRPr="00A66C41" w:rsidRDefault="00471703" w:rsidP="00924ED2">
            <w:pPr>
              <w:pStyle w:val="TableTextCharChar"/>
              <w:spacing w:before="20" w:after="20"/>
              <w:rPr>
                <w:sz w:val="20"/>
              </w:rPr>
            </w:pPr>
            <w:r w:rsidRPr="00A66C41">
              <w:rPr>
                <w:sz w:val="20"/>
              </w:rPr>
              <w:t>Headache</w:t>
            </w:r>
          </w:p>
        </w:tc>
        <w:tc>
          <w:tcPr>
            <w:tcW w:w="993" w:type="dxa"/>
            <w:shd w:val="clear" w:color="auto" w:fill="auto"/>
            <w:tcMar>
              <w:left w:w="57" w:type="dxa"/>
              <w:right w:w="57" w:type="dxa"/>
            </w:tcMar>
          </w:tcPr>
          <w:p w14:paraId="44B019A7" w14:textId="77777777" w:rsidR="00471703" w:rsidRPr="00A66C41" w:rsidRDefault="00471703" w:rsidP="00924ED2">
            <w:pPr>
              <w:pStyle w:val="TableTextCharChar"/>
              <w:spacing w:before="20" w:after="20"/>
              <w:jc w:val="center"/>
              <w:rPr>
                <w:sz w:val="20"/>
              </w:rPr>
            </w:pPr>
            <w:r w:rsidRPr="00A66C41">
              <w:rPr>
                <w:sz w:val="20"/>
              </w:rPr>
              <w:t>32 (8.8)</w:t>
            </w:r>
          </w:p>
        </w:tc>
        <w:tc>
          <w:tcPr>
            <w:tcW w:w="1275" w:type="dxa"/>
            <w:shd w:val="clear" w:color="auto" w:fill="auto"/>
            <w:tcMar>
              <w:left w:w="57" w:type="dxa"/>
              <w:right w:w="57" w:type="dxa"/>
            </w:tcMar>
          </w:tcPr>
          <w:p w14:paraId="44B019A8" w14:textId="77777777" w:rsidR="00471703" w:rsidRPr="00A66C41" w:rsidRDefault="00471703" w:rsidP="00924ED2">
            <w:pPr>
              <w:pStyle w:val="TableTextCharChar"/>
              <w:spacing w:before="20" w:after="20"/>
              <w:jc w:val="center"/>
              <w:rPr>
                <w:sz w:val="20"/>
              </w:rPr>
            </w:pPr>
            <w:r w:rsidRPr="00A66C41">
              <w:rPr>
                <w:sz w:val="20"/>
              </w:rPr>
              <w:t>30 (11.1)</w:t>
            </w:r>
          </w:p>
        </w:tc>
        <w:tc>
          <w:tcPr>
            <w:tcW w:w="1276" w:type="dxa"/>
            <w:shd w:val="clear" w:color="auto" w:fill="auto"/>
            <w:tcMar>
              <w:left w:w="57" w:type="dxa"/>
              <w:right w:w="57" w:type="dxa"/>
            </w:tcMar>
          </w:tcPr>
          <w:p w14:paraId="44B019A9" w14:textId="77777777" w:rsidR="00471703" w:rsidRPr="00A66C41" w:rsidRDefault="00471703" w:rsidP="00924ED2">
            <w:pPr>
              <w:pStyle w:val="TableTextCharChar"/>
              <w:spacing w:before="20" w:after="20"/>
              <w:jc w:val="center"/>
              <w:rPr>
                <w:sz w:val="20"/>
              </w:rPr>
            </w:pPr>
            <w:r w:rsidRPr="00A66C41">
              <w:rPr>
                <w:sz w:val="20"/>
              </w:rPr>
              <w:t>65 (13.8)</w:t>
            </w:r>
          </w:p>
        </w:tc>
        <w:tc>
          <w:tcPr>
            <w:tcW w:w="1276" w:type="dxa"/>
            <w:shd w:val="clear" w:color="auto" w:fill="auto"/>
            <w:tcMar>
              <w:left w:w="57" w:type="dxa"/>
              <w:right w:w="57" w:type="dxa"/>
            </w:tcMar>
          </w:tcPr>
          <w:p w14:paraId="44B019AA" w14:textId="77777777" w:rsidR="00471703" w:rsidRPr="00A66C41" w:rsidRDefault="00471703" w:rsidP="00924ED2">
            <w:pPr>
              <w:pStyle w:val="TableTextCharChar"/>
              <w:spacing w:before="20" w:after="20"/>
              <w:jc w:val="center"/>
              <w:rPr>
                <w:sz w:val="20"/>
              </w:rPr>
            </w:pPr>
            <w:r w:rsidRPr="00A66C41">
              <w:rPr>
                <w:sz w:val="20"/>
              </w:rPr>
              <w:t>25 (12.3)</w:t>
            </w:r>
          </w:p>
        </w:tc>
        <w:tc>
          <w:tcPr>
            <w:tcW w:w="1417" w:type="dxa"/>
            <w:tcBorders>
              <w:right w:val="single" w:sz="12" w:space="0" w:color="auto"/>
            </w:tcBorders>
            <w:shd w:val="clear" w:color="auto" w:fill="auto"/>
            <w:tcMar>
              <w:left w:w="57" w:type="dxa"/>
              <w:right w:w="57" w:type="dxa"/>
            </w:tcMar>
          </w:tcPr>
          <w:p w14:paraId="44B019AB" w14:textId="77777777" w:rsidR="00471703" w:rsidRPr="00A66C41" w:rsidRDefault="00471703" w:rsidP="00924ED2">
            <w:pPr>
              <w:pStyle w:val="TableTextCharChar"/>
              <w:spacing w:before="20" w:after="20"/>
              <w:jc w:val="center"/>
              <w:rPr>
                <w:sz w:val="20"/>
              </w:rPr>
            </w:pPr>
            <w:r w:rsidRPr="00A66C41">
              <w:rPr>
                <w:sz w:val="20"/>
              </w:rPr>
              <w:t>120 (12.7)</w:t>
            </w:r>
          </w:p>
        </w:tc>
      </w:tr>
      <w:tr w:rsidR="00471703" w:rsidRPr="00A66C41" w14:paraId="44B019B3" w14:textId="77777777" w:rsidTr="00924ED2">
        <w:trPr>
          <w:cantSplit/>
        </w:trPr>
        <w:tc>
          <w:tcPr>
            <w:tcW w:w="1720" w:type="dxa"/>
            <w:tcBorders>
              <w:left w:val="single" w:sz="12" w:space="0" w:color="auto"/>
            </w:tcBorders>
            <w:shd w:val="clear" w:color="auto" w:fill="auto"/>
            <w:tcMar>
              <w:left w:w="57" w:type="dxa"/>
              <w:right w:w="57" w:type="dxa"/>
            </w:tcMar>
          </w:tcPr>
          <w:p w14:paraId="44B019AD" w14:textId="77777777" w:rsidR="00471703" w:rsidRPr="00A66C41" w:rsidRDefault="00471703" w:rsidP="00924ED2">
            <w:pPr>
              <w:pStyle w:val="TableTextCharChar"/>
              <w:spacing w:before="20" w:after="20"/>
              <w:rPr>
                <w:sz w:val="20"/>
              </w:rPr>
            </w:pPr>
            <w:r w:rsidRPr="00A66C41">
              <w:rPr>
                <w:sz w:val="20"/>
              </w:rPr>
              <w:t>Coordination abnormal</w:t>
            </w:r>
          </w:p>
        </w:tc>
        <w:tc>
          <w:tcPr>
            <w:tcW w:w="993" w:type="dxa"/>
            <w:shd w:val="clear" w:color="auto" w:fill="auto"/>
            <w:tcMar>
              <w:left w:w="57" w:type="dxa"/>
              <w:right w:w="57" w:type="dxa"/>
            </w:tcMar>
          </w:tcPr>
          <w:p w14:paraId="44B019AE" w14:textId="77777777" w:rsidR="00471703" w:rsidRPr="00A66C41" w:rsidRDefault="00471703" w:rsidP="00924ED2">
            <w:pPr>
              <w:pStyle w:val="TableTextCharChar"/>
              <w:spacing w:before="20" w:after="20"/>
              <w:jc w:val="center"/>
              <w:rPr>
                <w:sz w:val="20"/>
              </w:rPr>
            </w:pPr>
            <w:r w:rsidRPr="00A66C41">
              <w:rPr>
                <w:sz w:val="20"/>
              </w:rPr>
              <w:t>6 (1.6)</w:t>
            </w:r>
          </w:p>
        </w:tc>
        <w:tc>
          <w:tcPr>
            <w:tcW w:w="1275" w:type="dxa"/>
            <w:shd w:val="clear" w:color="auto" w:fill="auto"/>
            <w:tcMar>
              <w:left w:w="57" w:type="dxa"/>
              <w:right w:w="57" w:type="dxa"/>
            </w:tcMar>
          </w:tcPr>
          <w:p w14:paraId="44B019AF" w14:textId="77777777" w:rsidR="00471703" w:rsidRPr="00A66C41" w:rsidRDefault="00471703" w:rsidP="00924ED2">
            <w:pPr>
              <w:pStyle w:val="TableTextCharChar"/>
              <w:spacing w:before="20" w:after="20"/>
              <w:jc w:val="center"/>
              <w:rPr>
                <w:sz w:val="20"/>
              </w:rPr>
            </w:pPr>
            <w:r w:rsidRPr="00A66C41">
              <w:rPr>
                <w:sz w:val="20"/>
              </w:rPr>
              <w:t>11 (4.1)</w:t>
            </w:r>
          </w:p>
        </w:tc>
        <w:tc>
          <w:tcPr>
            <w:tcW w:w="1276" w:type="dxa"/>
            <w:shd w:val="clear" w:color="auto" w:fill="auto"/>
            <w:tcMar>
              <w:left w:w="57" w:type="dxa"/>
              <w:right w:w="57" w:type="dxa"/>
            </w:tcMar>
          </w:tcPr>
          <w:p w14:paraId="44B019B0" w14:textId="77777777" w:rsidR="00471703" w:rsidRPr="00A66C41" w:rsidRDefault="00471703" w:rsidP="00924ED2">
            <w:pPr>
              <w:pStyle w:val="TableTextCharChar"/>
              <w:spacing w:before="20" w:after="20"/>
              <w:jc w:val="center"/>
              <w:rPr>
                <w:sz w:val="20"/>
              </w:rPr>
            </w:pPr>
            <w:r w:rsidRPr="00A66C41">
              <w:rPr>
                <w:sz w:val="20"/>
              </w:rPr>
              <w:t>34 (7.2)</w:t>
            </w:r>
          </w:p>
        </w:tc>
        <w:tc>
          <w:tcPr>
            <w:tcW w:w="1276" w:type="dxa"/>
            <w:shd w:val="clear" w:color="auto" w:fill="auto"/>
            <w:tcMar>
              <w:left w:w="57" w:type="dxa"/>
              <w:right w:w="57" w:type="dxa"/>
            </w:tcMar>
          </w:tcPr>
          <w:p w14:paraId="44B019B1" w14:textId="77777777" w:rsidR="00471703" w:rsidRPr="00A66C41" w:rsidRDefault="00471703" w:rsidP="00924ED2">
            <w:pPr>
              <w:pStyle w:val="TableTextCharChar"/>
              <w:spacing w:before="20" w:after="20"/>
              <w:jc w:val="center"/>
              <w:rPr>
                <w:sz w:val="20"/>
              </w:rPr>
            </w:pPr>
            <w:r w:rsidRPr="00A66C41">
              <w:rPr>
                <w:sz w:val="20"/>
              </w:rPr>
              <w:t>31 (15.3)</w:t>
            </w:r>
          </w:p>
        </w:tc>
        <w:tc>
          <w:tcPr>
            <w:tcW w:w="1417" w:type="dxa"/>
            <w:tcBorders>
              <w:right w:val="single" w:sz="12" w:space="0" w:color="auto"/>
            </w:tcBorders>
            <w:shd w:val="clear" w:color="auto" w:fill="auto"/>
            <w:tcMar>
              <w:left w:w="57" w:type="dxa"/>
              <w:right w:w="57" w:type="dxa"/>
            </w:tcMar>
          </w:tcPr>
          <w:p w14:paraId="44B019B2" w14:textId="77777777" w:rsidR="00471703" w:rsidRPr="00A66C41" w:rsidRDefault="00471703" w:rsidP="00924ED2">
            <w:pPr>
              <w:pStyle w:val="TableTextCharChar"/>
              <w:spacing w:before="20" w:after="20"/>
              <w:jc w:val="center"/>
              <w:rPr>
                <w:sz w:val="20"/>
              </w:rPr>
            </w:pPr>
            <w:r w:rsidRPr="00A66C41">
              <w:rPr>
                <w:sz w:val="20"/>
              </w:rPr>
              <w:t>76 (8.1)</w:t>
            </w:r>
          </w:p>
        </w:tc>
      </w:tr>
      <w:tr w:rsidR="00471703" w:rsidRPr="00A66C41" w14:paraId="44B019BA" w14:textId="77777777" w:rsidTr="00924ED2">
        <w:trPr>
          <w:cantSplit/>
        </w:trPr>
        <w:tc>
          <w:tcPr>
            <w:tcW w:w="1720" w:type="dxa"/>
            <w:tcBorders>
              <w:left w:val="single" w:sz="12" w:space="0" w:color="auto"/>
            </w:tcBorders>
            <w:shd w:val="clear" w:color="auto" w:fill="auto"/>
            <w:tcMar>
              <w:left w:w="57" w:type="dxa"/>
              <w:right w:w="57" w:type="dxa"/>
            </w:tcMar>
          </w:tcPr>
          <w:p w14:paraId="44B019B4" w14:textId="77777777" w:rsidR="00471703" w:rsidRPr="00A66C41" w:rsidRDefault="00471703" w:rsidP="00924ED2">
            <w:pPr>
              <w:pStyle w:val="TableTextCharChar"/>
              <w:spacing w:before="20" w:after="20"/>
              <w:rPr>
                <w:sz w:val="20"/>
              </w:rPr>
            </w:pPr>
            <w:r w:rsidRPr="00A66C41">
              <w:rPr>
                <w:sz w:val="20"/>
              </w:rPr>
              <w:t>Somnolence</w:t>
            </w:r>
          </w:p>
        </w:tc>
        <w:tc>
          <w:tcPr>
            <w:tcW w:w="993" w:type="dxa"/>
            <w:shd w:val="clear" w:color="auto" w:fill="auto"/>
            <w:tcMar>
              <w:left w:w="57" w:type="dxa"/>
              <w:right w:w="57" w:type="dxa"/>
            </w:tcMar>
          </w:tcPr>
          <w:p w14:paraId="44B019B5" w14:textId="77777777" w:rsidR="00471703" w:rsidRPr="00A66C41" w:rsidRDefault="00471703" w:rsidP="00924ED2">
            <w:pPr>
              <w:pStyle w:val="TableTextCharChar"/>
              <w:spacing w:before="20" w:after="20"/>
              <w:jc w:val="center"/>
              <w:rPr>
                <w:sz w:val="20"/>
              </w:rPr>
            </w:pPr>
            <w:r w:rsidRPr="00A66C41">
              <w:rPr>
                <w:sz w:val="20"/>
              </w:rPr>
              <w:t>17 (4.7)</w:t>
            </w:r>
          </w:p>
        </w:tc>
        <w:tc>
          <w:tcPr>
            <w:tcW w:w="1275" w:type="dxa"/>
            <w:shd w:val="clear" w:color="auto" w:fill="auto"/>
            <w:tcMar>
              <w:left w:w="57" w:type="dxa"/>
              <w:right w:w="57" w:type="dxa"/>
            </w:tcMar>
          </w:tcPr>
          <w:p w14:paraId="44B019B6" w14:textId="77777777" w:rsidR="00471703" w:rsidRPr="00A66C41" w:rsidRDefault="00471703" w:rsidP="00924ED2">
            <w:pPr>
              <w:pStyle w:val="TableTextCharChar"/>
              <w:spacing w:before="20" w:after="20"/>
              <w:jc w:val="center"/>
              <w:rPr>
                <w:sz w:val="20"/>
              </w:rPr>
            </w:pPr>
            <w:r w:rsidRPr="00A66C41">
              <w:rPr>
                <w:sz w:val="20"/>
              </w:rPr>
              <w:t>14 (5.2)</w:t>
            </w:r>
          </w:p>
        </w:tc>
        <w:tc>
          <w:tcPr>
            <w:tcW w:w="1276" w:type="dxa"/>
            <w:shd w:val="clear" w:color="auto" w:fill="auto"/>
            <w:tcMar>
              <w:left w:w="57" w:type="dxa"/>
              <w:right w:w="57" w:type="dxa"/>
            </w:tcMar>
          </w:tcPr>
          <w:p w14:paraId="44B019B7" w14:textId="77777777" w:rsidR="00471703" w:rsidRPr="00A66C41" w:rsidRDefault="00471703" w:rsidP="00924ED2">
            <w:pPr>
              <w:pStyle w:val="TableTextCharChar"/>
              <w:spacing w:before="20" w:after="20"/>
              <w:jc w:val="center"/>
              <w:rPr>
                <w:sz w:val="20"/>
              </w:rPr>
            </w:pPr>
            <w:r w:rsidRPr="00A66C41">
              <w:rPr>
                <w:sz w:val="20"/>
              </w:rPr>
              <w:t>38 (8.1)</w:t>
            </w:r>
          </w:p>
        </w:tc>
        <w:tc>
          <w:tcPr>
            <w:tcW w:w="1276" w:type="dxa"/>
            <w:shd w:val="clear" w:color="auto" w:fill="auto"/>
            <w:tcMar>
              <w:left w:w="57" w:type="dxa"/>
              <w:right w:w="57" w:type="dxa"/>
            </w:tcMar>
          </w:tcPr>
          <w:p w14:paraId="44B019B8" w14:textId="77777777" w:rsidR="00471703" w:rsidRPr="00A66C41" w:rsidRDefault="00471703" w:rsidP="00924ED2">
            <w:pPr>
              <w:pStyle w:val="TableTextCharChar"/>
              <w:spacing w:before="20" w:after="20"/>
              <w:jc w:val="center"/>
              <w:rPr>
                <w:sz w:val="20"/>
              </w:rPr>
            </w:pPr>
            <w:r w:rsidRPr="00A66C41">
              <w:rPr>
                <w:sz w:val="20"/>
              </w:rPr>
              <w:t>16 (7.9)</w:t>
            </w:r>
          </w:p>
        </w:tc>
        <w:tc>
          <w:tcPr>
            <w:tcW w:w="1417" w:type="dxa"/>
            <w:tcBorders>
              <w:right w:val="single" w:sz="12" w:space="0" w:color="auto"/>
            </w:tcBorders>
            <w:shd w:val="clear" w:color="auto" w:fill="auto"/>
            <w:tcMar>
              <w:left w:w="57" w:type="dxa"/>
              <w:right w:w="57" w:type="dxa"/>
            </w:tcMar>
          </w:tcPr>
          <w:p w14:paraId="44B019B9" w14:textId="77777777" w:rsidR="00471703" w:rsidRPr="00A66C41" w:rsidRDefault="00471703" w:rsidP="00924ED2">
            <w:pPr>
              <w:pStyle w:val="TableTextCharChar"/>
              <w:spacing w:before="20" w:after="20"/>
              <w:jc w:val="center"/>
              <w:rPr>
                <w:sz w:val="20"/>
              </w:rPr>
            </w:pPr>
            <w:r w:rsidRPr="00A66C41">
              <w:rPr>
                <w:sz w:val="20"/>
              </w:rPr>
              <w:t>68 (7.2)</w:t>
            </w:r>
          </w:p>
        </w:tc>
      </w:tr>
      <w:tr w:rsidR="00471703" w:rsidRPr="00A66C41" w14:paraId="44B019C1" w14:textId="77777777" w:rsidTr="00924ED2">
        <w:trPr>
          <w:cantSplit/>
        </w:trPr>
        <w:tc>
          <w:tcPr>
            <w:tcW w:w="1720" w:type="dxa"/>
            <w:tcBorders>
              <w:left w:val="single" w:sz="12" w:space="0" w:color="auto"/>
            </w:tcBorders>
            <w:shd w:val="clear" w:color="auto" w:fill="auto"/>
            <w:tcMar>
              <w:left w:w="57" w:type="dxa"/>
              <w:right w:w="57" w:type="dxa"/>
            </w:tcMar>
          </w:tcPr>
          <w:p w14:paraId="44B019BB" w14:textId="77777777" w:rsidR="00471703" w:rsidRPr="00A66C41" w:rsidRDefault="00471703" w:rsidP="00924ED2">
            <w:pPr>
              <w:pStyle w:val="TableTextCharChar"/>
              <w:spacing w:before="20" w:after="20"/>
              <w:rPr>
                <w:sz w:val="20"/>
              </w:rPr>
            </w:pPr>
            <w:r w:rsidRPr="00A66C41">
              <w:rPr>
                <w:sz w:val="20"/>
              </w:rPr>
              <w:t>Tremor</w:t>
            </w:r>
          </w:p>
        </w:tc>
        <w:tc>
          <w:tcPr>
            <w:tcW w:w="993" w:type="dxa"/>
            <w:shd w:val="clear" w:color="auto" w:fill="auto"/>
            <w:tcMar>
              <w:left w:w="57" w:type="dxa"/>
              <w:right w:w="57" w:type="dxa"/>
            </w:tcMar>
          </w:tcPr>
          <w:p w14:paraId="44B019BC" w14:textId="77777777" w:rsidR="00471703" w:rsidRPr="00A66C41" w:rsidRDefault="00471703" w:rsidP="00924ED2">
            <w:pPr>
              <w:pStyle w:val="TableTextCharChar"/>
              <w:spacing w:before="20" w:after="20"/>
              <w:jc w:val="center"/>
              <w:rPr>
                <w:sz w:val="20"/>
              </w:rPr>
            </w:pPr>
            <w:r w:rsidRPr="00A66C41">
              <w:rPr>
                <w:sz w:val="20"/>
              </w:rPr>
              <w:t>15 (4.1)</w:t>
            </w:r>
          </w:p>
        </w:tc>
        <w:tc>
          <w:tcPr>
            <w:tcW w:w="1275" w:type="dxa"/>
            <w:shd w:val="clear" w:color="auto" w:fill="auto"/>
            <w:tcMar>
              <w:left w:w="57" w:type="dxa"/>
              <w:right w:w="57" w:type="dxa"/>
            </w:tcMar>
          </w:tcPr>
          <w:p w14:paraId="44B019BD" w14:textId="77777777" w:rsidR="00471703" w:rsidRPr="00A66C41" w:rsidRDefault="00471703" w:rsidP="00924ED2">
            <w:pPr>
              <w:pStyle w:val="TableTextCharChar"/>
              <w:spacing w:before="20" w:after="20"/>
              <w:jc w:val="center"/>
              <w:rPr>
                <w:sz w:val="20"/>
              </w:rPr>
            </w:pPr>
            <w:r w:rsidRPr="00A66C41">
              <w:rPr>
                <w:sz w:val="20"/>
              </w:rPr>
              <w:t>10 (3.7)</w:t>
            </w:r>
          </w:p>
        </w:tc>
        <w:tc>
          <w:tcPr>
            <w:tcW w:w="1276" w:type="dxa"/>
            <w:shd w:val="clear" w:color="auto" w:fill="auto"/>
            <w:tcMar>
              <w:left w:w="57" w:type="dxa"/>
              <w:right w:w="57" w:type="dxa"/>
            </w:tcMar>
          </w:tcPr>
          <w:p w14:paraId="44B019BE" w14:textId="77777777" w:rsidR="00471703" w:rsidRPr="00A66C41" w:rsidRDefault="00471703" w:rsidP="00924ED2">
            <w:pPr>
              <w:pStyle w:val="TableTextCharChar"/>
              <w:spacing w:before="20" w:after="20"/>
              <w:jc w:val="center"/>
              <w:rPr>
                <w:sz w:val="20"/>
              </w:rPr>
            </w:pPr>
            <w:r w:rsidRPr="00A66C41">
              <w:rPr>
                <w:sz w:val="20"/>
              </w:rPr>
              <w:t>29 (6.2)</w:t>
            </w:r>
          </w:p>
        </w:tc>
        <w:tc>
          <w:tcPr>
            <w:tcW w:w="1276" w:type="dxa"/>
            <w:shd w:val="clear" w:color="auto" w:fill="auto"/>
            <w:tcMar>
              <w:left w:w="57" w:type="dxa"/>
              <w:right w:w="57" w:type="dxa"/>
            </w:tcMar>
          </w:tcPr>
          <w:p w14:paraId="44B019BF" w14:textId="77777777" w:rsidR="00471703" w:rsidRPr="00A66C41" w:rsidRDefault="00471703" w:rsidP="00924ED2">
            <w:pPr>
              <w:pStyle w:val="TableTextCharChar"/>
              <w:spacing w:before="20" w:after="20"/>
              <w:jc w:val="center"/>
              <w:rPr>
                <w:sz w:val="20"/>
              </w:rPr>
            </w:pPr>
            <w:r w:rsidRPr="00A66C41">
              <w:rPr>
                <w:sz w:val="20"/>
              </w:rPr>
              <w:t>24 (11.8)</w:t>
            </w:r>
          </w:p>
        </w:tc>
        <w:tc>
          <w:tcPr>
            <w:tcW w:w="1417" w:type="dxa"/>
            <w:tcBorders>
              <w:right w:val="single" w:sz="12" w:space="0" w:color="auto"/>
            </w:tcBorders>
            <w:shd w:val="clear" w:color="auto" w:fill="auto"/>
            <w:tcMar>
              <w:left w:w="57" w:type="dxa"/>
              <w:right w:w="57" w:type="dxa"/>
            </w:tcMar>
          </w:tcPr>
          <w:p w14:paraId="44B019C0" w14:textId="77777777" w:rsidR="00471703" w:rsidRPr="00A66C41" w:rsidRDefault="00471703" w:rsidP="00924ED2">
            <w:pPr>
              <w:pStyle w:val="TableTextCharChar"/>
              <w:spacing w:before="20" w:after="20"/>
              <w:jc w:val="center"/>
              <w:rPr>
                <w:sz w:val="20"/>
              </w:rPr>
            </w:pPr>
            <w:r w:rsidRPr="00A66C41">
              <w:rPr>
                <w:sz w:val="20"/>
              </w:rPr>
              <w:t>63 (6.7)</w:t>
            </w:r>
          </w:p>
        </w:tc>
      </w:tr>
      <w:tr w:rsidR="00471703" w:rsidRPr="00A66C41" w14:paraId="44B019C8" w14:textId="77777777" w:rsidTr="00924ED2">
        <w:trPr>
          <w:cantSplit/>
        </w:trPr>
        <w:tc>
          <w:tcPr>
            <w:tcW w:w="1720" w:type="dxa"/>
            <w:tcBorders>
              <w:left w:val="single" w:sz="12" w:space="0" w:color="auto"/>
            </w:tcBorders>
            <w:shd w:val="clear" w:color="auto" w:fill="auto"/>
            <w:tcMar>
              <w:left w:w="57" w:type="dxa"/>
              <w:right w:w="57" w:type="dxa"/>
            </w:tcMar>
          </w:tcPr>
          <w:p w14:paraId="44B019C2" w14:textId="77777777" w:rsidR="00471703" w:rsidRPr="00A66C41" w:rsidRDefault="00471703" w:rsidP="00924ED2">
            <w:pPr>
              <w:pStyle w:val="TableTextCharChar"/>
              <w:spacing w:before="20" w:after="20"/>
              <w:rPr>
                <w:sz w:val="20"/>
              </w:rPr>
            </w:pPr>
            <w:r w:rsidRPr="00A66C41">
              <w:rPr>
                <w:sz w:val="20"/>
              </w:rPr>
              <w:t>Nystagmus</w:t>
            </w:r>
          </w:p>
        </w:tc>
        <w:tc>
          <w:tcPr>
            <w:tcW w:w="993" w:type="dxa"/>
            <w:shd w:val="clear" w:color="auto" w:fill="auto"/>
            <w:tcMar>
              <w:left w:w="57" w:type="dxa"/>
              <w:right w:w="57" w:type="dxa"/>
            </w:tcMar>
          </w:tcPr>
          <w:p w14:paraId="44B019C3" w14:textId="77777777" w:rsidR="00471703" w:rsidRPr="00A66C41" w:rsidRDefault="00471703" w:rsidP="00924ED2">
            <w:pPr>
              <w:pStyle w:val="TableTextCharChar"/>
              <w:spacing w:before="20" w:after="20"/>
              <w:jc w:val="center"/>
              <w:rPr>
                <w:sz w:val="20"/>
              </w:rPr>
            </w:pPr>
            <w:r w:rsidRPr="00A66C41">
              <w:rPr>
                <w:sz w:val="20"/>
              </w:rPr>
              <w:t>14 (3.8)</w:t>
            </w:r>
          </w:p>
        </w:tc>
        <w:tc>
          <w:tcPr>
            <w:tcW w:w="1275" w:type="dxa"/>
            <w:shd w:val="clear" w:color="auto" w:fill="auto"/>
            <w:tcMar>
              <w:left w:w="57" w:type="dxa"/>
              <w:right w:w="57" w:type="dxa"/>
            </w:tcMar>
          </w:tcPr>
          <w:p w14:paraId="44B019C4" w14:textId="77777777" w:rsidR="00471703" w:rsidRPr="00A66C41" w:rsidRDefault="00471703" w:rsidP="00924ED2">
            <w:pPr>
              <w:pStyle w:val="TableTextCharChar"/>
              <w:spacing w:before="20" w:after="20"/>
              <w:jc w:val="center"/>
              <w:rPr>
                <w:sz w:val="20"/>
              </w:rPr>
            </w:pPr>
            <w:r w:rsidRPr="00A66C41">
              <w:rPr>
                <w:sz w:val="20"/>
              </w:rPr>
              <w:t>6 (2.2)</w:t>
            </w:r>
          </w:p>
        </w:tc>
        <w:tc>
          <w:tcPr>
            <w:tcW w:w="1276" w:type="dxa"/>
            <w:shd w:val="clear" w:color="auto" w:fill="auto"/>
            <w:tcMar>
              <w:left w:w="57" w:type="dxa"/>
              <w:right w:w="57" w:type="dxa"/>
            </w:tcMar>
          </w:tcPr>
          <w:p w14:paraId="44B019C5" w14:textId="77777777" w:rsidR="00471703" w:rsidRPr="00A66C41" w:rsidRDefault="00471703" w:rsidP="00924ED2">
            <w:pPr>
              <w:pStyle w:val="TableTextCharChar"/>
              <w:spacing w:before="20" w:after="20"/>
              <w:jc w:val="center"/>
              <w:rPr>
                <w:sz w:val="20"/>
              </w:rPr>
            </w:pPr>
            <w:r w:rsidRPr="00A66C41">
              <w:rPr>
                <w:sz w:val="20"/>
              </w:rPr>
              <w:t>21 (4.5)</w:t>
            </w:r>
          </w:p>
        </w:tc>
        <w:tc>
          <w:tcPr>
            <w:tcW w:w="1276" w:type="dxa"/>
            <w:shd w:val="clear" w:color="auto" w:fill="auto"/>
            <w:tcMar>
              <w:left w:w="57" w:type="dxa"/>
              <w:right w:w="57" w:type="dxa"/>
            </w:tcMar>
          </w:tcPr>
          <w:p w14:paraId="44B019C6" w14:textId="77777777" w:rsidR="00471703" w:rsidRPr="00A66C41" w:rsidRDefault="00471703" w:rsidP="00924ED2">
            <w:pPr>
              <w:pStyle w:val="TableTextCharChar"/>
              <w:spacing w:before="20" w:after="20"/>
              <w:jc w:val="center"/>
              <w:rPr>
                <w:sz w:val="20"/>
              </w:rPr>
            </w:pPr>
            <w:r w:rsidRPr="00A66C41">
              <w:rPr>
                <w:sz w:val="20"/>
              </w:rPr>
              <w:t>21 (10.3)</w:t>
            </w:r>
          </w:p>
        </w:tc>
        <w:tc>
          <w:tcPr>
            <w:tcW w:w="1417" w:type="dxa"/>
            <w:tcBorders>
              <w:right w:val="single" w:sz="12" w:space="0" w:color="auto"/>
            </w:tcBorders>
            <w:shd w:val="clear" w:color="auto" w:fill="auto"/>
            <w:tcMar>
              <w:left w:w="57" w:type="dxa"/>
              <w:right w:w="57" w:type="dxa"/>
            </w:tcMar>
          </w:tcPr>
          <w:p w14:paraId="44B019C7" w14:textId="77777777" w:rsidR="00471703" w:rsidRPr="00A66C41" w:rsidRDefault="00471703" w:rsidP="00924ED2">
            <w:pPr>
              <w:pStyle w:val="TableTextCharChar"/>
              <w:spacing w:before="20" w:after="20"/>
              <w:jc w:val="center"/>
              <w:rPr>
                <w:sz w:val="20"/>
              </w:rPr>
            </w:pPr>
            <w:r w:rsidRPr="00A66C41">
              <w:rPr>
                <w:sz w:val="20"/>
              </w:rPr>
              <w:t>48 (5.1)</w:t>
            </w:r>
          </w:p>
        </w:tc>
      </w:tr>
      <w:tr w:rsidR="00471703" w:rsidRPr="00A66C41" w14:paraId="44B019CF" w14:textId="77777777" w:rsidTr="00924ED2">
        <w:trPr>
          <w:cantSplit/>
        </w:trPr>
        <w:tc>
          <w:tcPr>
            <w:tcW w:w="1720" w:type="dxa"/>
            <w:tcBorders>
              <w:left w:val="single" w:sz="12" w:space="0" w:color="auto"/>
            </w:tcBorders>
            <w:shd w:val="clear" w:color="auto" w:fill="auto"/>
            <w:tcMar>
              <w:left w:w="57" w:type="dxa"/>
              <w:right w:w="57" w:type="dxa"/>
            </w:tcMar>
          </w:tcPr>
          <w:p w14:paraId="44B019C9" w14:textId="77777777" w:rsidR="00471703" w:rsidRPr="00A66C41" w:rsidRDefault="00471703" w:rsidP="00924ED2">
            <w:pPr>
              <w:pStyle w:val="TableTextCharChar"/>
              <w:spacing w:before="20" w:after="20"/>
              <w:rPr>
                <w:sz w:val="20"/>
              </w:rPr>
            </w:pPr>
            <w:r w:rsidRPr="00A66C41">
              <w:rPr>
                <w:sz w:val="20"/>
              </w:rPr>
              <w:t>Balance disorder</w:t>
            </w:r>
          </w:p>
        </w:tc>
        <w:tc>
          <w:tcPr>
            <w:tcW w:w="993" w:type="dxa"/>
            <w:shd w:val="clear" w:color="auto" w:fill="auto"/>
            <w:tcMar>
              <w:left w:w="57" w:type="dxa"/>
              <w:right w:w="57" w:type="dxa"/>
            </w:tcMar>
          </w:tcPr>
          <w:p w14:paraId="44B019CA" w14:textId="77777777" w:rsidR="00471703" w:rsidRPr="00A66C41" w:rsidRDefault="00471703" w:rsidP="00924ED2">
            <w:pPr>
              <w:pStyle w:val="TableTextCharChar"/>
              <w:spacing w:before="20" w:after="20"/>
              <w:jc w:val="center"/>
              <w:rPr>
                <w:sz w:val="20"/>
              </w:rPr>
            </w:pPr>
            <w:r w:rsidRPr="00A66C41">
              <w:rPr>
                <w:sz w:val="20"/>
              </w:rPr>
              <w:t>0</w:t>
            </w:r>
          </w:p>
        </w:tc>
        <w:tc>
          <w:tcPr>
            <w:tcW w:w="1275" w:type="dxa"/>
            <w:shd w:val="clear" w:color="auto" w:fill="auto"/>
            <w:tcMar>
              <w:left w:w="57" w:type="dxa"/>
              <w:right w:w="57" w:type="dxa"/>
            </w:tcMar>
          </w:tcPr>
          <w:p w14:paraId="44B019CB" w14:textId="77777777" w:rsidR="00471703" w:rsidRPr="00A66C41" w:rsidRDefault="00471703" w:rsidP="00924ED2">
            <w:pPr>
              <w:pStyle w:val="TableTextCharChar"/>
              <w:spacing w:before="20" w:after="20"/>
              <w:jc w:val="center"/>
              <w:rPr>
                <w:sz w:val="20"/>
              </w:rPr>
            </w:pPr>
            <w:r w:rsidRPr="00A66C41">
              <w:rPr>
                <w:sz w:val="20"/>
              </w:rPr>
              <w:t>3 (1.1)</w:t>
            </w:r>
          </w:p>
        </w:tc>
        <w:tc>
          <w:tcPr>
            <w:tcW w:w="1276" w:type="dxa"/>
            <w:shd w:val="clear" w:color="auto" w:fill="auto"/>
            <w:tcMar>
              <w:left w:w="57" w:type="dxa"/>
              <w:right w:w="57" w:type="dxa"/>
            </w:tcMar>
          </w:tcPr>
          <w:p w14:paraId="44B019CC" w14:textId="77777777" w:rsidR="00471703" w:rsidRPr="00A66C41" w:rsidRDefault="00471703" w:rsidP="00924ED2">
            <w:pPr>
              <w:pStyle w:val="TableTextCharChar"/>
              <w:spacing w:before="20" w:after="20"/>
              <w:jc w:val="center"/>
              <w:rPr>
                <w:sz w:val="20"/>
              </w:rPr>
            </w:pPr>
            <w:r w:rsidRPr="00A66C41">
              <w:rPr>
                <w:sz w:val="20"/>
              </w:rPr>
              <w:t>24 (5.1)</w:t>
            </w:r>
          </w:p>
        </w:tc>
        <w:tc>
          <w:tcPr>
            <w:tcW w:w="1276" w:type="dxa"/>
            <w:shd w:val="clear" w:color="auto" w:fill="auto"/>
            <w:tcMar>
              <w:left w:w="57" w:type="dxa"/>
              <w:right w:w="57" w:type="dxa"/>
            </w:tcMar>
          </w:tcPr>
          <w:p w14:paraId="44B019CD" w14:textId="77777777" w:rsidR="00471703" w:rsidRPr="00A66C41" w:rsidRDefault="00471703" w:rsidP="00924ED2">
            <w:pPr>
              <w:pStyle w:val="TableTextCharChar"/>
              <w:spacing w:before="20" w:after="20"/>
              <w:jc w:val="center"/>
              <w:rPr>
                <w:sz w:val="20"/>
              </w:rPr>
            </w:pPr>
            <w:r w:rsidRPr="00A66C41">
              <w:rPr>
                <w:sz w:val="20"/>
              </w:rPr>
              <w:t>13 (6.4)</w:t>
            </w:r>
          </w:p>
        </w:tc>
        <w:tc>
          <w:tcPr>
            <w:tcW w:w="1417" w:type="dxa"/>
            <w:tcBorders>
              <w:right w:val="single" w:sz="12" w:space="0" w:color="auto"/>
            </w:tcBorders>
            <w:shd w:val="clear" w:color="auto" w:fill="auto"/>
            <w:tcMar>
              <w:left w:w="57" w:type="dxa"/>
              <w:right w:w="57" w:type="dxa"/>
            </w:tcMar>
          </w:tcPr>
          <w:p w14:paraId="44B019CE" w14:textId="77777777" w:rsidR="00471703" w:rsidRPr="00A66C41" w:rsidRDefault="00471703" w:rsidP="00924ED2">
            <w:pPr>
              <w:pStyle w:val="TableTextCharChar"/>
              <w:spacing w:before="20" w:after="20"/>
              <w:jc w:val="center"/>
              <w:rPr>
                <w:sz w:val="20"/>
              </w:rPr>
            </w:pPr>
            <w:r w:rsidRPr="00A66C41">
              <w:rPr>
                <w:sz w:val="20"/>
              </w:rPr>
              <w:t>40 (4.2)</w:t>
            </w:r>
          </w:p>
        </w:tc>
      </w:tr>
      <w:tr w:rsidR="00471703" w:rsidRPr="00A66C41" w14:paraId="44B019D6" w14:textId="77777777" w:rsidTr="00924ED2">
        <w:trPr>
          <w:cantSplit/>
        </w:trPr>
        <w:tc>
          <w:tcPr>
            <w:tcW w:w="1720" w:type="dxa"/>
            <w:tcBorders>
              <w:left w:val="single" w:sz="12" w:space="0" w:color="auto"/>
            </w:tcBorders>
            <w:shd w:val="clear" w:color="auto" w:fill="auto"/>
            <w:tcMar>
              <w:left w:w="57" w:type="dxa"/>
              <w:right w:w="57" w:type="dxa"/>
            </w:tcMar>
          </w:tcPr>
          <w:p w14:paraId="44B019D0" w14:textId="77777777" w:rsidR="00471703" w:rsidRPr="00A66C41" w:rsidRDefault="00471703" w:rsidP="00924ED2">
            <w:pPr>
              <w:pStyle w:val="TableTextCharChar"/>
              <w:spacing w:before="20" w:after="20"/>
              <w:rPr>
                <w:sz w:val="20"/>
              </w:rPr>
            </w:pPr>
            <w:r w:rsidRPr="00A66C41">
              <w:rPr>
                <w:sz w:val="20"/>
              </w:rPr>
              <w:t>Memory impairment</w:t>
            </w:r>
          </w:p>
        </w:tc>
        <w:tc>
          <w:tcPr>
            <w:tcW w:w="993" w:type="dxa"/>
            <w:shd w:val="clear" w:color="auto" w:fill="auto"/>
            <w:tcMar>
              <w:left w:w="57" w:type="dxa"/>
              <w:right w:w="57" w:type="dxa"/>
            </w:tcMar>
          </w:tcPr>
          <w:p w14:paraId="44B019D1" w14:textId="77777777" w:rsidR="00471703" w:rsidRPr="00A66C41" w:rsidRDefault="00471703" w:rsidP="00924ED2">
            <w:pPr>
              <w:pStyle w:val="TableTextCharChar"/>
              <w:spacing w:before="20" w:after="20"/>
              <w:jc w:val="center"/>
              <w:rPr>
                <w:sz w:val="20"/>
              </w:rPr>
            </w:pPr>
            <w:r w:rsidRPr="00A66C41">
              <w:rPr>
                <w:sz w:val="20"/>
              </w:rPr>
              <w:t>6 (1.6)</w:t>
            </w:r>
          </w:p>
        </w:tc>
        <w:tc>
          <w:tcPr>
            <w:tcW w:w="1275" w:type="dxa"/>
            <w:shd w:val="clear" w:color="auto" w:fill="auto"/>
            <w:tcMar>
              <w:left w:w="57" w:type="dxa"/>
              <w:right w:w="57" w:type="dxa"/>
            </w:tcMar>
          </w:tcPr>
          <w:p w14:paraId="44B019D2" w14:textId="77777777" w:rsidR="00471703" w:rsidRPr="00A66C41" w:rsidRDefault="00471703" w:rsidP="00924ED2">
            <w:pPr>
              <w:pStyle w:val="TableTextCharChar"/>
              <w:spacing w:before="20" w:after="20"/>
              <w:jc w:val="center"/>
              <w:rPr>
                <w:sz w:val="20"/>
              </w:rPr>
            </w:pPr>
            <w:r w:rsidRPr="00A66C41">
              <w:rPr>
                <w:sz w:val="20"/>
              </w:rPr>
              <w:t>3 (1.1)</w:t>
            </w:r>
          </w:p>
        </w:tc>
        <w:tc>
          <w:tcPr>
            <w:tcW w:w="1276" w:type="dxa"/>
            <w:shd w:val="clear" w:color="auto" w:fill="auto"/>
            <w:tcMar>
              <w:left w:w="57" w:type="dxa"/>
              <w:right w:w="57" w:type="dxa"/>
            </w:tcMar>
          </w:tcPr>
          <w:p w14:paraId="44B019D3" w14:textId="77777777" w:rsidR="00471703" w:rsidRPr="00A66C41" w:rsidRDefault="00471703" w:rsidP="00924ED2">
            <w:pPr>
              <w:pStyle w:val="TableTextCharChar"/>
              <w:spacing w:before="20" w:after="20"/>
              <w:jc w:val="center"/>
              <w:rPr>
                <w:sz w:val="20"/>
              </w:rPr>
            </w:pPr>
            <w:r w:rsidRPr="00A66C41">
              <w:rPr>
                <w:sz w:val="20"/>
              </w:rPr>
              <w:t>7 (1.5)</w:t>
            </w:r>
          </w:p>
        </w:tc>
        <w:tc>
          <w:tcPr>
            <w:tcW w:w="1276" w:type="dxa"/>
            <w:shd w:val="clear" w:color="auto" w:fill="auto"/>
            <w:tcMar>
              <w:left w:w="57" w:type="dxa"/>
              <w:right w:w="57" w:type="dxa"/>
            </w:tcMar>
          </w:tcPr>
          <w:p w14:paraId="44B019D4" w14:textId="77777777" w:rsidR="00471703" w:rsidRPr="00A66C41" w:rsidRDefault="00471703" w:rsidP="00924ED2">
            <w:pPr>
              <w:pStyle w:val="TableTextCharChar"/>
              <w:spacing w:before="20" w:after="20"/>
              <w:jc w:val="center"/>
              <w:rPr>
                <w:sz w:val="20"/>
              </w:rPr>
            </w:pPr>
            <w:r w:rsidRPr="00A66C41">
              <w:rPr>
                <w:sz w:val="20"/>
              </w:rPr>
              <w:t>12 (5.9)</w:t>
            </w:r>
          </w:p>
        </w:tc>
        <w:tc>
          <w:tcPr>
            <w:tcW w:w="1417" w:type="dxa"/>
            <w:tcBorders>
              <w:right w:val="single" w:sz="12" w:space="0" w:color="auto"/>
            </w:tcBorders>
            <w:shd w:val="clear" w:color="auto" w:fill="auto"/>
            <w:tcMar>
              <w:left w:w="57" w:type="dxa"/>
              <w:right w:w="57" w:type="dxa"/>
            </w:tcMar>
          </w:tcPr>
          <w:p w14:paraId="44B019D5" w14:textId="77777777" w:rsidR="00471703" w:rsidRPr="00A66C41" w:rsidRDefault="00471703" w:rsidP="00924ED2">
            <w:pPr>
              <w:pStyle w:val="TableTextCharChar"/>
              <w:spacing w:before="20" w:after="20"/>
              <w:jc w:val="center"/>
              <w:rPr>
                <w:sz w:val="20"/>
              </w:rPr>
            </w:pPr>
            <w:r w:rsidRPr="00A66C41">
              <w:rPr>
                <w:sz w:val="20"/>
              </w:rPr>
              <w:t>22 (2.3)</w:t>
            </w:r>
          </w:p>
        </w:tc>
      </w:tr>
      <w:tr w:rsidR="00471703" w:rsidRPr="00A66C41" w14:paraId="44B019DD" w14:textId="77777777" w:rsidTr="00924ED2">
        <w:trPr>
          <w:cantSplit/>
        </w:trPr>
        <w:tc>
          <w:tcPr>
            <w:tcW w:w="1720" w:type="dxa"/>
            <w:tcBorders>
              <w:left w:val="single" w:sz="12" w:space="0" w:color="auto"/>
            </w:tcBorders>
            <w:shd w:val="clear" w:color="auto" w:fill="auto"/>
            <w:tcMar>
              <w:left w:w="57" w:type="dxa"/>
              <w:right w:w="57" w:type="dxa"/>
            </w:tcMar>
          </w:tcPr>
          <w:p w14:paraId="44B019D7" w14:textId="77777777" w:rsidR="00471703" w:rsidRPr="00A66C41" w:rsidRDefault="00471703" w:rsidP="00924ED2">
            <w:pPr>
              <w:pStyle w:val="TableTextCharChar"/>
              <w:spacing w:before="20" w:after="20"/>
              <w:rPr>
                <w:sz w:val="20"/>
              </w:rPr>
            </w:pPr>
            <w:r w:rsidRPr="00A66C41">
              <w:rPr>
                <w:sz w:val="20"/>
              </w:rPr>
              <w:t>Cognitive disorder</w:t>
            </w:r>
          </w:p>
        </w:tc>
        <w:tc>
          <w:tcPr>
            <w:tcW w:w="993" w:type="dxa"/>
            <w:shd w:val="clear" w:color="auto" w:fill="auto"/>
            <w:tcMar>
              <w:left w:w="57" w:type="dxa"/>
              <w:right w:w="57" w:type="dxa"/>
            </w:tcMar>
          </w:tcPr>
          <w:p w14:paraId="44B019D8" w14:textId="77777777" w:rsidR="00471703" w:rsidRPr="00A66C41" w:rsidRDefault="00471703" w:rsidP="00924ED2">
            <w:pPr>
              <w:pStyle w:val="TableTextCharChar"/>
              <w:spacing w:before="20" w:after="20"/>
              <w:jc w:val="center"/>
              <w:rPr>
                <w:sz w:val="20"/>
              </w:rPr>
            </w:pPr>
            <w:r w:rsidRPr="00A66C41">
              <w:rPr>
                <w:sz w:val="20"/>
              </w:rPr>
              <w:t>1 (0.3)</w:t>
            </w:r>
          </w:p>
        </w:tc>
        <w:tc>
          <w:tcPr>
            <w:tcW w:w="1275" w:type="dxa"/>
            <w:shd w:val="clear" w:color="auto" w:fill="auto"/>
            <w:tcMar>
              <w:left w:w="57" w:type="dxa"/>
              <w:right w:w="57" w:type="dxa"/>
            </w:tcMar>
          </w:tcPr>
          <w:p w14:paraId="44B019D9" w14:textId="77777777" w:rsidR="00471703" w:rsidRPr="00A66C41" w:rsidRDefault="00471703" w:rsidP="00924ED2">
            <w:pPr>
              <w:pStyle w:val="TableTextCharChar"/>
              <w:spacing w:before="20" w:after="20"/>
              <w:jc w:val="center"/>
              <w:rPr>
                <w:sz w:val="20"/>
              </w:rPr>
            </w:pPr>
            <w:r w:rsidRPr="00A66C41">
              <w:rPr>
                <w:sz w:val="20"/>
              </w:rPr>
              <w:t>1 (0.4)</w:t>
            </w:r>
          </w:p>
        </w:tc>
        <w:tc>
          <w:tcPr>
            <w:tcW w:w="1276" w:type="dxa"/>
            <w:shd w:val="clear" w:color="auto" w:fill="auto"/>
            <w:tcMar>
              <w:left w:w="57" w:type="dxa"/>
              <w:right w:w="57" w:type="dxa"/>
            </w:tcMar>
          </w:tcPr>
          <w:p w14:paraId="44B019DA" w14:textId="77777777" w:rsidR="00471703" w:rsidRPr="00A66C41" w:rsidRDefault="00471703" w:rsidP="00924ED2">
            <w:pPr>
              <w:pStyle w:val="TableTextCharChar"/>
              <w:spacing w:before="20" w:after="20"/>
              <w:jc w:val="center"/>
              <w:rPr>
                <w:sz w:val="20"/>
              </w:rPr>
            </w:pPr>
            <w:r w:rsidRPr="00A66C41">
              <w:rPr>
                <w:sz w:val="20"/>
              </w:rPr>
              <w:t>10 (2.1)</w:t>
            </w:r>
          </w:p>
        </w:tc>
        <w:tc>
          <w:tcPr>
            <w:tcW w:w="1276" w:type="dxa"/>
            <w:shd w:val="clear" w:color="auto" w:fill="auto"/>
            <w:tcMar>
              <w:left w:w="57" w:type="dxa"/>
              <w:right w:w="57" w:type="dxa"/>
            </w:tcMar>
          </w:tcPr>
          <w:p w14:paraId="44B019DB" w14:textId="77777777" w:rsidR="00471703" w:rsidRPr="00A66C41" w:rsidRDefault="00471703" w:rsidP="00924ED2">
            <w:pPr>
              <w:pStyle w:val="TableTextCharChar"/>
              <w:spacing w:before="20" w:after="20"/>
              <w:jc w:val="center"/>
              <w:rPr>
                <w:sz w:val="20"/>
              </w:rPr>
            </w:pPr>
            <w:r w:rsidRPr="00A66C41">
              <w:rPr>
                <w:sz w:val="20"/>
              </w:rPr>
              <w:t>4 (2.0)</w:t>
            </w:r>
          </w:p>
        </w:tc>
        <w:tc>
          <w:tcPr>
            <w:tcW w:w="1417" w:type="dxa"/>
            <w:tcBorders>
              <w:right w:val="single" w:sz="12" w:space="0" w:color="auto"/>
            </w:tcBorders>
            <w:shd w:val="clear" w:color="auto" w:fill="auto"/>
            <w:tcMar>
              <w:left w:w="57" w:type="dxa"/>
              <w:right w:w="57" w:type="dxa"/>
            </w:tcMar>
          </w:tcPr>
          <w:p w14:paraId="44B019DC" w14:textId="77777777" w:rsidR="00471703" w:rsidRPr="00A66C41" w:rsidRDefault="00471703" w:rsidP="00924ED2">
            <w:pPr>
              <w:pStyle w:val="TableTextCharChar"/>
              <w:spacing w:before="20" w:after="20"/>
              <w:jc w:val="center"/>
              <w:rPr>
                <w:sz w:val="20"/>
              </w:rPr>
            </w:pPr>
            <w:r w:rsidRPr="00A66C41">
              <w:rPr>
                <w:sz w:val="20"/>
              </w:rPr>
              <w:t>15 (1.6)</w:t>
            </w:r>
          </w:p>
        </w:tc>
      </w:tr>
      <w:tr w:rsidR="00471703" w:rsidRPr="00A66C41" w14:paraId="44B019DF" w14:textId="77777777" w:rsidTr="00924ED2">
        <w:trPr>
          <w:cantSplit/>
        </w:trPr>
        <w:tc>
          <w:tcPr>
            <w:tcW w:w="7957" w:type="dxa"/>
            <w:gridSpan w:val="6"/>
            <w:tcBorders>
              <w:left w:val="single" w:sz="12" w:space="0" w:color="auto"/>
              <w:right w:val="single" w:sz="12" w:space="0" w:color="auto"/>
            </w:tcBorders>
            <w:shd w:val="clear" w:color="auto" w:fill="auto"/>
            <w:tcMar>
              <w:left w:w="57" w:type="dxa"/>
              <w:right w:w="57" w:type="dxa"/>
            </w:tcMar>
          </w:tcPr>
          <w:p w14:paraId="44B019DE" w14:textId="77777777" w:rsidR="00471703" w:rsidRPr="00A66C41" w:rsidRDefault="00471703" w:rsidP="00924ED2">
            <w:pPr>
              <w:pStyle w:val="TableTextCharChar"/>
              <w:spacing w:before="20" w:after="20"/>
              <w:rPr>
                <w:sz w:val="20"/>
              </w:rPr>
            </w:pPr>
            <w:r w:rsidRPr="00A66C41">
              <w:rPr>
                <w:b/>
                <w:sz w:val="20"/>
              </w:rPr>
              <w:t>Psychiatric disorders</w:t>
            </w:r>
          </w:p>
        </w:tc>
      </w:tr>
      <w:tr w:rsidR="00471703" w:rsidRPr="00A66C41" w14:paraId="44B019E6" w14:textId="77777777" w:rsidTr="00924ED2">
        <w:trPr>
          <w:cantSplit/>
        </w:trPr>
        <w:tc>
          <w:tcPr>
            <w:tcW w:w="1720" w:type="dxa"/>
            <w:tcBorders>
              <w:left w:val="single" w:sz="12" w:space="0" w:color="auto"/>
            </w:tcBorders>
            <w:shd w:val="clear" w:color="auto" w:fill="auto"/>
            <w:tcMar>
              <w:left w:w="57" w:type="dxa"/>
              <w:right w:w="57" w:type="dxa"/>
            </w:tcMar>
          </w:tcPr>
          <w:p w14:paraId="44B019E0" w14:textId="77777777" w:rsidR="00471703" w:rsidRPr="00A66C41" w:rsidRDefault="00471703" w:rsidP="00924ED2">
            <w:pPr>
              <w:pStyle w:val="TableTextCharChar"/>
              <w:spacing w:before="20" w:after="20"/>
              <w:rPr>
                <w:sz w:val="20"/>
              </w:rPr>
            </w:pPr>
            <w:r w:rsidRPr="00A66C41">
              <w:rPr>
                <w:sz w:val="20"/>
              </w:rPr>
              <w:t>Depression</w:t>
            </w:r>
          </w:p>
        </w:tc>
        <w:tc>
          <w:tcPr>
            <w:tcW w:w="993" w:type="dxa"/>
            <w:shd w:val="clear" w:color="auto" w:fill="auto"/>
            <w:tcMar>
              <w:left w:w="57" w:type="dxa"/>
              <w:right w:w="57" w:type="dxa"/>
            </w:tcMar>
          </w:tcPr>
          <w:p w14:paraId="44B019E1" w14:textId="77777777" w:rsidR="00471703" w:rsidRPr="00A66C41" w:rsidRDefault="00471703" w:rsidP="00924ED2">
            <w:pPr>
              <w:pStyle w:val="TableTextCharChar"/>
              <w:spacing w:before="20" w:after="20"/>
              <w:jc w:val="center"/>
              <w:rPr>
                <w:sz w:val="20"/>
              </w:rPr>
            </w:pPr>
            <w:r w:rsidRPr="00A66C41">
              <w:rPr>
                <w:sz w:val="20"/>
              </w:rPr>
              <w:t>2 (0.5)</w:t>
            </w:r>
          </w:p>
        </w:tc>
        <w:tc>
          <w:tcPr>
            <w:tcW w:w="1275" w:type="dxa"/>
            <w:shd w:val="clear" w:color="auto" w:fill="auto"/>
            <w:tcMar>
              <w:left w:w="57" w:type="dxa"/>
              <w:right w:w="57" w:type="dxa"/>
            </w:tcMar>
          </w:tcPr>
          <w:p w14:paraId="44B019E2" w14:textId="77777777" w:rsidR="00471703" w:rsidRPr="00A66C41" w:rsidRDefault="00471703" w:rsidP="00924ED2">
            <w:pPr>
              <w:pStyle w:val="TableTextCharChar"/>
              <w:spacing w:before="20" w:after="20"/>
              <w:jc w:val="center"/>
              <w:rPr>
                <w:sz w:val="20"/>
              </w:rPr>
            </w:pPr>
            <w:r w:rsidRPr="00A66C41">
              <w:rPr>
                <w:sz w:val="20"/>
              </w:rPr>
              <w:t>6 (2.2)</w:t>
            </w:r>
          </w:p>
        </w:tc>
        <w:tc>
          <w:tcPr>
            <w:tcW w:w="1276" w:type="dxa"/>
            <w:shd w:val="clear" w:color="auto" w:fill="auto"/>
            <w:tcMar>
              <w:left w:w="57" w:type="dxa"/>
              <w:right w:w="57" w:type="dxa"/>
            </w:tcMar>
          </w:tcPr>
          <w:p w14:paraId="44B019E3" w14:textId="77777777" w:rsidR="00471703" w:rsidRPr="00A66C41" w:rsidRDefault="00471703" w:rsidP="00924ED2">
            <w:pPr>
              <w:pStyle w:val="TableTextCharChar"/>
              <w:spacing w:before="20" w:after="20"/>
              <w:jc w:val="center"/>
              <w:rPr>
                <w:sz w:val="20"/>
              </w:rPr>
            </w:pPr>
            <w:r w:rsidRPr="00A66C41">
              <w:rPr>
                <w:sz w:val="20"/>
              </w:rPr>
              <w:t>11 (2.3)</w:t>
            </w:r>
          </w:p>
        </w:tc>
        <w:tc>
          <w:tcPr>
            <w:tcW w:w="1276" w:type="dxa"/>
            <w:shd w:val="clear" w:color="auto" w:fill="auto"/>
            <w:tcMar>
              <w:left w:w="57" w:type="dxa"/>
              <w:right w:w="57" w:type="dxa"/>
            </w:tcMar>
          </w:tcPr>
          <w:p w14:paraId="44B019E4" w14:textId="77777777" w:rsidR="00471703" w:rsidRPr="00A66C41" w:rsidRDefault="00471703" w:rsidP="00924ED2">
            <w:pPr>
              <w:pStyle w:val="TableTextCharChar"/>
              <w:spacing w:before="20" w:after="20"/>
              <w:jc w:val="center"/>
              <w:rPr>
                <w:sz w:val="20"/>
              </w:rPr>
            </w:pPr>
            <w:r w:rsidRPr="00A66C41">
              <w:rPr>
                <w:sz w:val="20"/>
              </w:rPr>
              <w:t>3 (1.5)</w:t>
            </w:r>
          </w:p>
        </w:tc>
        <w:tc>
          <w:tcPr>
            <w:tcW w:w="1417" w:type="dxa"/>
            <w:tcBorders>
              <w:right w:val="single" w:sz="12" w:space="0" w:color="auto"/>
            </w:tcBorders>
            <w:shd w:val="clear" w:color="auto" w:fill="auto"/>
            <w:tcMar>
              <w:left w:w="57" w:type="dxa"/>
              <w:right w:w="57" w:type="dxa"/>
            </w:tcMar>
          </w:tcPr>
          <w:p w14:paraId="44B019E5" w14:textId="77777777" w:rsidR="00471703" w:rsidRPr="00A66C41" w:rsidRDefault="00471703" w:rsidP="00924ED2">
            <w:pPr>
              <w:pStyle w:val="TableTextCharChar"/>
              <w:spacing w:before="20" w:after="20"/>
              <w:jc w:val="center"/>
              <w:rPr>
                <w:sz w:val="20"/>
              </w:rPr>
            </w:pPr>
            <w:r w:rsidRPr="00A66C41">
              <w:rPr>
                <w:sz w:val="20"/>
              </w:rPr>
              <w:t>20 (2.1)</w:t>
            </w:r>
          </w:p>
        </w:tc>
      </w:tr>
      <w:tr w:rsidR="00471703" w:rsidRPr="00A66C41" w14:paraId="44B019E8" w14:textId="77777777" w:rsidTr="00924ED2">
        <w:trPr>
          <w:cantSplit/>
        </w:trPr>
        <w:tc>
          <w:tcPr>
            <w:tcW w:w="7957" w:type="dxa"/>
            <w:gridSpan w:val="6"/>
            <w:tcBorders>
              <w:left w:val="single" w:sz="12" w:space="0" w:color="auto"/>
              <w:right w:val="single" w:sz="12" w:space="0" w:color="auto"/>
            </w:tcBorders>
            <w:shd w:val="clear" w:color="auto" w:fill="auto"/>
            <w:tcMar>
              <w:left w:w="57" w:type="dxa"/>
              <w:right w:w="57" w:type="dxa"/>
            </w:tcMar>
          </w:tcPr>
          <w:p w14:paraId="44B019E7" w14:textId="77777777" w:rsidR="00471703" w:rsidRPr="00A66C41" w:rsidRDefault="00471703" w:rsidP="00924ED2">
            <w:pPr>
              <w:pStyle w:val="TableTextCharChar"/>
              <w:spacing w:before="20" w:after="20"/>
              <w:rPr>
                <w:sz w:val="20"/>
              </w:rPr>
            </w:pPr>
            <w:r w:rsidRPr="00A66C41">
              <w:rPr>
                <w:b/>
                <w:sz w:val="20"/>
              </w:rPr>
              <w:t>Skin and subcutaneous disorders</w:t>
            </w:r>
          </w:p>
        </w:tc>
      </w:tr>
      <w:tr w:rsidR="00471703" w:rsidRPr="00A66C41" w14:paraId="44B019EF" w14:textId="77777777" w:rsidTr="00924ED2">
        <w:trPr>
          <w:cantSplit/>
        </w:trPr>
        <w:tc>
          <w:tcPr>
            <w:tcW w:w="1720" w:type="dxa"/>
            <w:tcBorders>
              <w:left w:val="single" w:sz="12" w:space="0" w:color="auto"/>
              <w:bottom w:val="single" w:sz="12" w:space="0" w:color="auto"/>
            </w:tcBorders>
            <w:shd w:val="clear" w:color="auto" w:fill="auto"/>
            <w:tcMar>
              <w:left w:w="57" w:type="dxa"/>
              <w:right w:w="57" w:type="dxa"/>
            </w:tcMar>
          </w:tcPr>
          <w:p w14:paraId="44B019E9" w14:textId="77777777" w:rsidR="00471703" w:rsidRPr="00A66C41" w:rsidRDefault="00471703" w:rsidP="00924ED2">
            <w:pPr>
              <w:pStyle w:val="TableTextCharChar"/>
              <w:spacing w:before="20" w:after="20"/>
              <w:rPr>
                <w:sz w:val="20"/>
              </w:rPr>
            </w:pPr>
            <w:r w:rsidRPr="00A66C41">
              <w:rPr>
                <w:sz w:val="20"/>
              </w:rPr>
              <w:t>Pruritus</w:t>
            </w:r>
          </w:p>
        </w:tc>
        <w:tc>
          <w:tcPr>
            <w:tcW w:w="993" w:type="dxa"/>
            <w:tcBorders>
              <w:bottom w:val="single" w:sz="12" w:space="0" w:color="auto"/>
            </w:tcBorders>
            <w:shd w:val="clear" w:color="auto" w:fill="auto"/>
            <w:tcMar>
              <w:left w:w="57" w:type="dxa"/>
              <w:right w:w="57" w:type="dxa"/>
            </w:tcMar>
          </w:tcPr>
          <w:p w14:paraId="44B019EA" w14:textId="77777777" w:rsidR="00471703" w:rsidRPr="00A66C41" w:rsidRDefault="00471703" w:rsidP="00924ED2">
            <w:pPr>
              <w:pStyle w:val="TableTextCharChar"/>
              <w:spacing w:before="20" w:after="20"/>
              <w:jc w:val="center"/>
              <w:rPr>
                <w:sz w:val="20"/>
              </w:rPr>
            </w:pPr>
            <w:r w:rsidRPr="00A66C41">
              <w:rPr>
                <w:sz w:val="20"/>
              </w:rPr>
              <w:t>2 (0.5)</w:t>
            </w:r>
          </w:p>
        </w:tc>
        <w:tc>
          <w:tcPr>
            <w:tcW w:w="1275" w:type="dxa"/>
            <w:tcBorders>
              <w:bottom w:val="single" w:sz="12" w:space="0" w:color="auto"/>
            </w:tcBorders>
            <w:shd w:val="clear" w:color="auto" w:fill="auto"/>
            <w:tcMar>
              <w:left w:w="57" w:type="dxa"/>
              <w:right w:w="57" w:type="dxa"/>
            </w:tcMar>
          </w:tcPr>
          <w:p w14:paraId="44B019EB" w14:textId="77777777" w:rsidR="00471703" w:rsidRPr="00A66C41" w:rsidRDefault="00471703" w:rsidP="00924ED2">
            <w:pPr>
              <w:pStyle w:val="TableTextCharChar"/>
              <w:spacing w:before="20" w:after="20"/>
              <w:jc w:val="center"/>
              <w:rPr>
                <w:sz w:val="20"/>
              </w:rPr>
            </w:pPr>
            <w:r w:rsidRPr="00A66C41">
              <w:rPr>
                <w:sz w:val="20"/>
              </w:rPr>
              <w:t>8 (3.0)</w:t>
            </w:r>
          </w:p>
        </w:tc>
        <w:tc>
          <w:tcPr>
            <w:tcW w:w="1276" w:type="dxa"/>
            <w:tcBorders>
              <w:bottom w:val="single" w:sz="12" w:space="0" w:color="auto"/>
            </w:tcBorders>
            <w:shd w:val="clear" w:color="auto" w:fill="auto"/>
            <w:tcMar>
              <w:left w:w="57" w:type="dxa"/>
              <w:right w:w="57" w:type="dxa"/>
            </w:tcMar>
          </w:tcPr>
          <w:p w14:paraId="44B019EC" w14:textId="77777777" w:rsidR="00471703" w:rsidRPr="00A66C41" w:rsidRDefault="00471703" w:rsidP="00924ED2">
            <w:pPr>
              <w:pStyle w:val="TableTextCharChar"/>
              <w:spacing w:before="20" w:after="20"/>
              <w:jc w:val="center"/>
              <w:rPr>
                <w:sz w:val="20"/>
              </w:rPr>
            </w:pPr>
            <w:r w:rsidRPr="00A66C41">
              <w:rPr>
                <w:sz w:val="20"/>
              </w:rPr>
              <w:t>9 (1.9)</w:t>
            </w:r>
          </w:p>
        </w:tc>
        <w:tc>
          <w:tcPr>
            <w:tcW w:w="1276" w:type="dxa"/>
            <w:tcBorders>
              <w:bottom w:val="single" w:sz="12" w:space="0" w:color="auto"/>
            </w:tcBorders>
            <w:shd w:val="clear" w:color="auto" w:fill="auto"/>
            <w:tcMar>
              <w:left w:w="57" w:type="dxa"/>
              <w:right w:w="57" w:type="dxa"/>
            </w:tcMar>
          </w:tcPr>
          <w:p w14:paraId="44B019ED" w14:textId="77777777" w:rsidR="00471703" w:rsidRPr="00A66C41" w:rsidRDefault="00471703" w:rsidP="00924ED2">
            <w:pPr>
              <w:pStyle w:val="TableTextCharChar"/>
              <w:spacing w:before="20" w:after="20"/>
              <w:jc w:val="center"/>
              <w:rPr>
                <w:sz w:val="20"/>
              </w:rPr>
            </w:pPr>
            <w:r w:rsidRPr="00A66C41">
              <w:rPr>
                <w:sz w:val="20"/>
              </w:rPr>
              <w:t>5 (2.5)</w:t>
            </w:r>
          </w:p>
        </w:tc>
        <w:tc>
          <w:tcPr>
            <w:tcW w:w="1417" w:type="dxa"/>
            <w:tcBorders>
              <w:bottom w:val="single" w:sz="12" w:space="0" w:color="auto"/>
              <w:right w:val="single" w:sz="12" w:space="0" w:color="auto"/>
            </w:tcBorders>
            <w:shd w:val="clear" w:color="auto" w:fill="auto"/>
            <w:tcMar>
              <w:left w:w="57" w:type="dxa"/>
              <w:right w:w="57" w:type="dxa"/>
            </w:tcMar>
          </w:tcPr>
          <w:p w14:paraId="44B019EE" w14:textId="77777777" w:rsidR="00471703" w:rsidRPr="00A66C41" w:rsidRDefault="00471703" w:rsidP="00924ED2">
            <w:pPr>
              <w:pStyle w:val="TableTextCharChar"/>
              <w:spacing w:before="20" w:after="20"/>
              <w:jc w:val="center"/>
              <w:rPr>
                <w:sz w:val="20"/>
              </w:rPr>
            </w:pPr>
            <w:r w:rsidRPr="00A66C41">
              <w:rPr>
                <w:sz w:val="20"/>
              </w:rPr>
              <w:t>22 (2.3)</w:t>
            </w:r>
          </w:p>
        </w:tc>
      </w:tr>
    </w:tbl>
    <w:p w14:paraId="44B019F0" w14:textId="77777777" w:rsidR="00471703" w:rsidRPr="00A66C41" w:rsidRDefault="00471703" w:rsidP="00471703">
      <w:pPr>
        <w:spacing w:after="0"/>
        <w:rPr>
          <w:rFonts w:ascii="Times New Roman" w:hAnsi="Times New Roman" w:cs="Times New Roman"/>
        </w:rPr>
      </w:pPr>
    </w:p>
    <w:p w14:paraId="44B019F1" w14:textId="77777777" w:rsidR="00471703" w:rsidRPr="00A66C41" w:rsidRDefault="00471703" w:rsidP="00471703">
      <w:pPr>
        <w:spacing w:after="0"/>
        <w:rPr>
          <w:rFonts w:ascii="Times New Roman" w:hAnsi="Times New Roman" w:cs="Times New Roman"/>
          <w:sz w:val="18"/>
          <w:szCs w:val="18"/>
        </w:rPr>
      </w:pPr>
      <w:r w:rsidRPr="00A66C41">
        <w:rPr>
          <w:rFonts w:ascii="Times New Roman" w:hAnsi="Times New Roman" w:cs="Times New Roman"/>
          <w:sz w:val="18"/>
          <w:szCs w:val="18"/>
        </w:rPr>
        <w:t>LCM=lacosamide; MedDRA</w:t>
      </w:r>
      <w:r w:rsidRPr="00A66C41">
        <w:rPr>
          <w:rFonts w:ascii="Times New Roman" w:hAnsi="Times New Roman" w:cs="Times New Roman"/>
          <w:sz w:val="18"/>
          <w:szCs w:val="18"/>
          <w:vertAlign w:val="superscript"/>
        </w:rPr>
        <w:t>®</w:t>
      </w:r>
      <w:r w:rsidRPr="00A66C41">
        <w:rPr>
          <w:rFonts w:ascii="Times New Roman" w:hAnsi="Times New Roman" w:cs="Times New Roman"/>
          <w:sz w:val="18"/>
          <w:szCs w:val="18"/>
        </w:rPr>
        <w:t xml:space="preserve"> =Medical Dictionary for Regulatory Activities; SOC=system organ class. </w:t>
      </w:r>
    </w:p>
    <w:p w14:paraId="44B019F2" w14:textId="77777777" w:rsidR="00471703" w:rsidRPr="00A66C41" w:rsidRDefault="00471703" w:rsidP="00471703">
      <w:pPr>
        <w:spacing w:after="0"/>
        <w:rPr>
          <w:rFonts w:ascii="Times New Roman" w:hAnsi="Times New Roman" w:cs="Times New Roman"/>
          <w:sz w:val="18"/>
          <w:szCs w:val="18"/>
        </w:rPr>
      </w:pPr>
      <w:r w:rsidRPr="00A66C41">
        <w:rPr>
          <w:rFonts w:ascii="Times New Roman" w:hAnsi="Times New Roman" w:cs="Times New Roman"/>
          <w:sz w:val="18"/>
          <w:szCs w:val="18"/>
        </w:rPr>
        <w:t>Note: Treatment Phase includes both Titration and Maintenance Phase data.</w:t>
      </w:r>
    </w:p>
    <w:p w14:paraId="213E99DA" w14:textId="77777777" w:rsidR="00252792" w:rsidRDefault="00252792" w:rsidP="0072606E">
      <w:pPr>
        <w:spacing w:after="0"/>
        <w:rPr>
          <w:rFonts w:ascii="Times New Roman" w:hAnsi="Times New Roman" w:cs="Times New Roman"/>
        </w:rPr>
      </w:pPr>
    </w:p>
    <w:p w14:paraId="642935FD" w14:textId="77777777" w:rsidR="00252792" w:rsidRPr="00100A0B" w:rsidRDefault="00252792" w:rsidP="00252792">
      <w:pPr>
        <w:spacing w:after="0"/>
        <w:rPr>
          <w:rFonts w:ascii="Times New Roman" w:hAnsi="Times New Roman" w:cs="Times New Roman"/>
          <w:u w:val="single"/>
        </w:rPr>
      </w:pPr>
      <w:bookmarkStart w:id="6" w:name="_Hlk519156750"/>
      <w:r w:rsidRPr="00100A0B">
        <w:rPr>
          <w:rFonts w:ascii="Times New Roman" w:hAnsi="Times New Roman" w:cs="Times New Roman"/>
          <w:u w:val="single"/>
        </w:rPr>
        <w:t>Effect on liver function tests</w:t>
      </w:r>
    </w:p>
    <w:p w14:paraId="1C0927F8" w14:textId="77777777" w:rsidR="00252792" w:rsidRPr="00266CE4" w:rsidRDefault="00252792" w:rsidP="00252792">
      <w:pPr>
        <w:spacing w:after="0"/>
        <w:rPr>
          <w:rFonts w:ascii="Times New Roman" w:hAnsi="Times New Roman" w:cs="Times New Roman"/>
        </w:rPr>
      </w:pPr>
      <w:r w:rsidRPr="00A66C41">
        <w:rPr>
          <w:rFonts w:ascii="Times New Roman" w:hAnsi="Times New Roman" w:cs="Times New Roman"/>
        </w:rPr>
        <w:t xml:space="preserve">Abnormalities in liver function tests have been observed in controlled trials with Vimpat in adult patients with </w:t>
      </w:r>
      <w:r>
        <w:rPr>
          <w:rFonts w:ascii="Times New Roman" w:hAnsi="Times New Roman" w:cs="Times New Roman"/>
        </w:rPr>
        <w:t>partial-onset</w:t>
      </w:r>
      <w:r w:rsidRPr="00A66C41">
        <w:rPr>
          <w:rFonts w:ascii="Times New Roman" w:hAnsi="Times New Roman" w:cs="Times New Roman"/>
        </w:rPr>
        <w:t xml:space="preserve"> seizures who were taking 1 to 3 concomitant antiepileptic drugs. Elevations of ALT to ≥ 3 x ULN occurred in 0.7% (7/935) of Vimpat patients and 0% (0/356) of placebo patients. One case of hepatitis with transaminases &gt; 20 x ULN was observed in one healthy subject 10 </w:t>
      </w:r>
      <w:r w:rsidRPr="00A66C41">
        <w:rPr>
          <w:rFonts w:ascii="Times New Roman" w:hAnsi="Times New Roman" w:cs="Times New Roman"/>
        </w:rPr>
        <w:lastRenderedPageBreak/>
        <w:t>days after Vimpat treatment completion, along with nephritis (proteinuria and urine casts). Serologic studies were negative for viral hepatitis. Transaminases returned to normal within one month without specific treatment. At the time of this event, bilirubin was normal. The hepatitis/ nephritis was interpreted as a delayed hypersensitivity reaction to Vimpat.</w:t>
      </w:r>
    </w:p>
    <w:bookmarkEnd w:id="6"/>
    <w:p w14:paraId="58DA7CC7" w14:textId="38654CC3" w:rsidR="0072606E" w:rsidRPr="00592D8D" w:rsidRDefault="00BE7565" w:rsidP="0072606E">
      <w:pPr>
        <w:spacing w:after="0"/>
        <w:rPr>
          <w:rFonts w:ascii="Times New Roman" w:hAnsi="Times New Roman" w:cs="Times New Roman"/>
          <w:b/>
          <w:i/>
        </w:rPr>
      </w:pPr>
      <w:r w:rsidRPr="00A66C41">
        <w:rPr>
          <w:rFonts w:ascii="Times New Roman" w:hAnsi="Times New Roman" w:cs="Times New Roman"/>
        </w:rPr>
        <w:br/>
      </w:r>
      <w:bookmarkStart w:id="7" w:name="_Hlk514683404"/>
      <w:r w:rsidR="0072606E" w:rsidRPr="00592D8D">
        <w:rPr>
          <w:rFonts w:ascii="Times New Roman" w:hAnsi="Times New Roman" w:cs="Times New Roman"/>
          <w:b/>
          <w:i/>
        </w:rPr>
        <w:t>Monotherapy</w:t>
      </w:r>
    </w:p>
    <w:p w14:paraId="50F1C0D3" w14:textId="77777777" w:rsidR="0072606E" w:rsidRDefault="0072606E" w:rsidP="0072606E">
      <w:pPr>
        <w:rPr>
          <w:rFonts w:ascii="Times New Roman" w:hAnsi="Times New Roman" w:cs="Times New Roman"/>
        </w:rPr>
      </w:pPr>
      <w:r w:rsidRPr="00592D8D">
        <w:rPr>
          <w:rFonts w:ascii="Times New Roman" w:hAnsi="Times New Roman" w:cs="Times New Roman"/>
        </w:rPr>
        <w:t>Based on the analysis of data from a non-inferiority monotherapy clinical trial comparing lacosamide to carbamazepine controlled release (CR), the most common adverse reactions for lacosamide were headache (13.7%), dizziness (11.7%). The discontinuation rate due to adverse reactions was 10.6% for patients randomized to lacosamide and 15.6% for patients randomized to carbamazepine CR.</w:t>
      </w:r>
    </w:p>
    <w:p w14:paraId="657F3305" w14:textId="77777777" w:rsidR="0072606E" w:rsidRPr="00592D8D" w:rsidRDefault="0072606E" w:rsidP="0072606E">
      <w:pPr>
        <w:widowControl w:val="0"/>
        <w:spacing w:after="0" w:line="240" w:lineRule="auto"/>
        <w:rPr>
          <w:rFonts w:ascii="Times New Roman" w:eastAsia="MS Mincho" w:hAnsi="Times New Roman" w:cs="Times New Roman"/>
          <w:b/>
          <w:bCs/>
        </w:rPr>
      </w:pPr>
      <w:r w:rsidRPr="00592D8D">
        <w:rPr>
          <w:rFonts w:ascii="Times New Roman" w:eastAsia="MS Mincho" w:hAnsi="Times New Roman" w:cs="Times New Roman"/>
          <w:b/>
          <w:bCs/>
        </w:rPr>
        <w:t xml:space="preserve">Table </w:t>
      </w:r>
      <w:r>
        <w:rPr>
          <w:rFonts w:ascii="Times New Roman" w:eastAsia="MS Mincho" w:hAnsi="Times New Roman" w:cs="Times New Roman"/>
          <w:b/>
          <w:bCs/>
        </w:rPr>
        <w:t>3</w:t>
      </w:r>
      <w:r w:rsidRPr="00592D8D">
        <w:rPr>
          <w:rFonts w:ascii="Times New Roman" w:eastAsia="MS Mincho" w:hAnsi="Times New Roman" w:cs="Times New Roman"/>
          <w:b/>
          <w:bCs/>
        </w:rPr>
        <w:t xml:space="preserve"> – Incidence of the most commonly reported Treatment-Emergent Adverse Events regardless of causality with onset during the Treatment Period with an incidence of at least 3% in either treatment group</w:t>
      </w:r>
    </w:p>
    <w:p w14:paraId="5BD534E2" w14:textId="77777777" w:rsidR="0072606E" w:rsidRPr="00592D8D" w:rsidRDefault="0072606E" w:rsidP="0072606E">
      <w:pPr>
        <w:autoSpaceDE w:val="0"/>
        <w:autoSpaceDN w:val="0"/>
        <w:adjustRightInd w:val="0"/>
        <w:spacing w:after="0" w:line="240" w:lineRule="auto"/>
        <w:rPr>
          <w:rFonts w:ascii="Times" w:eastAsia="SimSun" w:hAnsi="Times" w:cs="TimesNewRoman"/>
          <w:sz w:val="24"/>
          <w:szCs w:val="24"/>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2985"/>
        <w:gridCol w:w="2985"/>
      </w:tblGrid>
      <w:tr w:rsidR="0072606E" w:rsidRPr="00592D8D" w14:paraId="6471D9D1"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1D5ABBCA"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MedDRA SOC</w:t>
            </w:r>
          </w:p>
          <w:p w14:paraId="3CE2E742"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PT</w:t>
            </w:r>
          </w:p>
        </w:tc>
        <w:tc>
          <w:tcPr>
            <w:tcW w:w="3096" w:type="dxa"/>
            <w:tcBorders>
              <w:top w:val="single" w:sz="4" w:space="0" w:color="auto"/>
              <w:left w:val="single" w:sz="4" w:space="0" w:color="auto"/>
              <w:bottom w:val="single" w:sz="4" w:space="0" w:color="auto"/>
              <w:right w:val="single" w:sz="4" w:space="0" w:color="auto"/>
            </w:tcBorders>
            <w:hideMark/>
          </w:tcPr>
          <w:p w14:paraId="67CEB5A0"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LCM</w:t>
            </w:r>
          </w:p>
          <w:p w14:paraId="001AB57D"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N=444</w:t>
            </w:r>
          </w:p>
          <w:p w14:paraId="1BB12147"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n (%) [#]</w:t>
            </w:r>
          </w:p>
        </w:tc>
        <w:tc>
          <w:tcPr>
            <w:tcW w:w="3096" w:type="dxa"/>
            <w:tcBorders>
              <w:top w:val="single" w:sz="4" w:space="0" w:color="auto"/>
              <w:left w:val="single" w:sz="4" w:space="0" w:color="auto"/>
              <w:bottom w:val="single" w:sz="4" w:space="0" w:color="auto"/>
              <w:right w:val="single" w:sz="4" w:space="0" w:color="auto"/>
            </w:tcBorders>
            <w:hideMark/>
          </w:tcPr>
          <w:p w14:paraId="7556625B"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CBZ-CR</w:t>
            </w:r>
          </w:p>
          <w:p w14:paraId="0E0822D1"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N=442</w:t>
            </w:r>
          </w:p>
          <w:p w14:paraId="692C52D0"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n (%) [#]</w:t>
            </w:r>
          </w:p>
        </w:tc>
      </w:tr>
      <w:tr w:rsidR="0072606E" w:rsidRPr="00592D8D" w14:paraId="4D660314"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7EBE021C"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 xml:space="preserve">Any TEAEs </w:t>
            </w:r>
          </w:p>
        </w:tc>
        <w:tc>
          <w:tcPr>
            <w:tcW w:w="3096" w:type="dxa"/>
            <w:tcBorders>
              <w:top w:val="single" w:sz="4" w:space="0" w:color="auto"/>
              <w:left w:val="single" w:sz="4" w:space="0" w:color="auto"/>
              <w:bottom w:val="single" w:sz="4" w:space="0" w:color="auto"/>
              <w:right w:val="single" w:sz="4" w:space="0" w:color="auto"/>
            </w:tcBorders>
            <w:hideMark/>
          </w:tcPr>
          <w:p w14:paraId="5A63EE8C"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328 (73.9) [1212]</w:t>
            </w:r>
          </w:p>
        </w:tc>
        <w:tc>
          <w:tcPr>
            <w:tcW w:w="3096" w:type="dxa"/>
            <w:tcBorders>
              <w:top w:val="single" w:sz="4" w:space="0" w:color="auto"/>
              <w:left w:val="single" w:sz="4" w:space="0" w:color="auto"/>
              <w:bottom w:val="single" w:sz="4" w:space="0" w:color="auto"/>
              <w:right w:val="single" w:sz="4" w:space="0" w:color="auto"/>
            </w:tcBorders>
            <w:hideMark/>
          </w:tcPr>
          <w:p w14:paraId="46C34CCC"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332 (75.1) [1374]</w:t>
            </w:r>
          </w:p>
        </w:tc>
      </w:tr>
      <w:tr w:rsidR="0072606E" w:rsidRPr="00592D8D" w14:paraId="1C3B4EC7" w14:textId="77777777" w:rsidTr="004A7FD3">
        <w:tc>
          <w:tcPr>
            <w:tcW w:w="9287" w:type="dxa"/>
            <w:gridSpan w:val="3"/>
            <w:tcBorders>
              <w:top w:val="single" w:sz="4" w:space="0" w:color="auto"/>
              <w:left w:val="single" w:sz="4" w:space="0" w:color="auto"/>
              <w:bottom w:val="single" w:sz="4" w:space="0" w:color="auto"/>
              <w:right w:val="single" w:sz="4" w:space="0" w:color="auto"/>
            </w:tcBorders>
            <w:hideMark/>
          </w:tcPr>
          <w:p w14:paraId="5D90EF5B"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Gastrointestinal disorders</w:t>
            </w:r>
          </w:p>
        </w:tc>
      </w:tr>
      <w:tr w:rsidR="0072606E" w:rsidRPr="00592D8D" w14:paraId="26397503"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2A49DE2B"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Nausea</w:t>
            </w:r>
          </w:p>
        </w:tc>
        <w:tc>
          <w:tcPr>
            <w:tcW w:w="3096" w:type="dxa"/>
            <w:tcBorders>
              <w:top w:val="single" w:sz="4" w:space="0" w:color="auto"/>
              <w:left w:val="single" w:sz="4" w:space="0" w:color="auto"/>
              <w:bottom w:val="single" w:sz="4" w:space="0" w:color="auto"/>
              <w:right w:val="single" w:sz="4" w:space="0" w:color="auto"/>
            </w:tcBorders>
            <w:hideMark/>
          </w:tcPr>
          <w:p w14:paraId="6EDCE219"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26 (5.9) [32]</w:t>
            </w:r>
          </w:p>
        </w:tc>
        <w:tc>
          <w:tcPr>
            <w:tcW w:w="3096" w:type="dxa"/>
            <w:tcBorders>
              <w:top w:val="single" w:sz="4" w:space="0" w:color="auto"/>
              <w:left w:val="single" w:sz="4" w:space="0" w:color="auto"/>
              <w:bottom w:val="single" w:sz="4" w:space="0" w:color="auto"/>
              <w:right w:val="single" w:sz="4" w:space="0" w:color="auto"/>
            </w:tcBorders>
            <w:hideMark/>
          </w:tcPr>
          <w:p w14:paraId="2ADAC80D"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22 (5.0) [28]</w:t>
            </w:r>
          </w:p>
        </w:tc>
      </w:tr>
      <w:tr w:rsidR="0072606E" w:rsidRPr="00592D8D" w14:paraId="74E77479"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054AC936"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Diarrhoea</w:t>
            </w:r>
          </w:p>
        </w:tc>
        <w:tc>
          <w:tcPr>
            <w:tcW w:w="3096" w:type="dxa"/>
            <w:tcBorders>
              <w:top w:val="single" w:sz="4" w:space="0" w:color="auto"/>
              <w:left w:val="single" w:sz="4" w:space="0" w:color="auto"/>
              <w:bottom w:val="single" w:sz="4" w:space="0" w:color="auto"/>
              <w:right w:val="single" w:sz="4" w:space="0" w:color="auto"/>
            </w:tcBorders>
            <w:hideMark/>
          </w:tcPr>
          <w:p w14:paraId="2115DD48"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9 (2.0) [11]</w:t>
            </w:r>
          </w:p>
        </w:tc>
        <w:tc>
          <w:tcPr>
            <w:tcW w:w="3096" w:type="dxa"/>
            <w:tcBorders>
              <w:top w:val="single" w:sz="4" w:space="0" w:color="auto"/>
              <w:left w:val="single" w:sz="4" w:space="0" w:color="auto"/>
              <w:bottom w:val="single" w:sz="4" w:space="0" w:color="auto"/>
              <w:right w:val="single" w:sz="4" w:space="0" w:color="auto"/>
            </w:tcBorders>
            <w:hideMark/>
          </w:tcPr>
          <w:p w14:paraId="5ED6E3A1"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17 (3.8) [20]</w:t>
            </w:r>
          </w:p>
        </w:tc>
      </w:tr>
      <w:tr w:rsidR="0072606E" w:rsidRPr="00592D8D" w14:paraId="7AC6D5A4"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6E6C2FC1"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Constipation</w:t>
            </w:r>
          </w:p>
        </w:tc>
        <w:tc>
          <w:tcPr>
            <w:tcW w:w="3096" w:type="dxa"/>
            <w:tcBorders>
              <w:top w:val="single" w:sz="4" w:space="0" w:color="auto"/>
              <w:left w:val="single" w:sz="4" w:space="0" w:color="auto"/>
              <w:bottom w:val="single" w:sz="4" w:space="0" w:color="auto"/>
              <w:right w:val="single" w:sz="4" w:space="0" w:color="auto"/>
            </w:tcBorders>
            <w:hideMark/>
          </w:tcPr>
          <w:p w14:paraId="4770EB3C"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3 (0.7) [3]</w:t>
            </w:r>
          </w:p>
        </w:tc>
        <w:tc>
          <w:tcPr>
            <w:tcW w:w="3096" w:type="dxa"/>
            <w:tcBorders>
              <w:top w:val="single" w:sz="4" w:space="0" w:color="auto"/>
              <w:left w:val="single" w:sz="4" w:space="0" w:color="auto"/>
              <w:bottom w:val="single" w:sz="4" w:space="0" w:color="auto"/>
              <w:right w:val="single" w:sz="4" w:space="0" w:color="auto"/>
            </w:tcBorders>
            <w:hideMark/>
          </w:tcPr>
          <w:p w14:paraId="51FD3AD5"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19 (4.3) [20]</w:t>
            </w:r>
          </w:p>
        </w:tc>
      </w:tr>
      <w:tr w:rsidR="0072606E" w:rsidRPr="00592D8D" w14:paraId="27D93037" w14:textId="77777777" w:rsidTr="004A7FD3">
        <w:tc>
          <w:tcPr>
            <w:tcW w:w="9287" w:type="dxa"/>
            <w:gridSpan w:val="3"/>
            <w:tcBorders>
              <w:top w:val="single" w:sz="4" w:space="0" w:color="auto"/>
              <w:left w:val="single" w:sz="4" w:space="0" w:color="auto"/>
              <w:bottom w:val="single" w:sz="4" w:space="0" w:color="auto"/>
              <w:right w:val="single" w:sz="4" w:space="0" w:color="auto"/>
            </w:tcBorders>
            <w:hideMark/>
          </w:tcPr>
          <w:p w14:paraId="38FEF3BB"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General disorders and administration site conditions</w:t>
            </w:r>
          </w:p>
        </w:tc>
      </w:tr>
      <w:tr w:rsidR="0072606E" w:rsidRPr="00592D8D" w14:paraId="1620A0D8"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521B7B4E"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Fatigue</w:t>
            </w:r>
          </w:p>
        </w:tc>
        <w:tc>
          <w:tcPr>
            <w:tcW w:w="3096" w:type="dxa"/>
            <w:tcBorders>
              <w:top w:val="single" w:sz="4" w:space="0" w:color="auto"/>
              <w:left w:val="single" w:sz="4" w:space="0" w:color="auto"/>
              <w:bottom w:val="single" w:sz="4" w:space="0" w:color="auto"/>
              <w:right w:val="single" w:sz="4" w:space="0" w:color="auto"/>
            </w:tcBorders>
            <w:hideMark/>
          </w:tcPr>
          <w:p w14:paraId="03564A90"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32 (7.2) [36]</w:t>
            </w:r>
          </w:p>
        </w:tc>
        <w:tc>
          <w:tcPr>
            <w:tcW w:w="3096" w:type="dxa"/>
            <w:tcBorders>
              <w:top w:val="single" w:sz="4" w:space="0" w:color="auto"/>
              <w:left w:val="single" w:sz="4" w:space="0" w:color="auto"/>
              <w:bottom w:val="single" w:sz="4" w:space="0" w:color="auto"/>
              <w:right w:val="single" w:sz="4" w:space="0" w:color="auto"/>
            </w:tcBorders>
            <w:hideMark/>
          </w:tcPr>
          <w:p w14:paraId="20772705"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46 (10.4) [52]</w:t>
            </w:r>
          </w:p>
        </w:tc>
      </w:tr>
      <w:tr w:rsidR="0072606E" w:rsidRPr="00592D8D" w14:paraId="009D450C" w14:textId="77777777" w:rsidTr="004A7FD3">
        <w:tc>
          <w:tcPr>
            <w:tcW w:w="9287" w:type="dxa"/>
            <w:gridSpan w:val="3"/>
            <w:tcBorders>
              <w:top w:val="single" w:sz="4" w:space="0" w:color="auto"/>
              <w:left w:val="single" w:sz="4" w:space="0" w:color="auto"/>
              <w:bottom w:val="single" w:sz="4" w:space="0" w:color="auto"/>
              <w:right w:val="single" w:sz="4" w:space="0" w:color="auto"/>
            </w:tcBorders>
            <w:hideMark/>
          </w:tcPr>
          <w:p w14:paraId="7CC73084"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Infections and infestations</w:t>
            </w:r>
          </w:p>
        </w:tc>
      </w:tr>
      <w:tr w:rsidR="0072606E" w:rsidRPr="00592D8D" w14:paraId="345D7F2C"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2C6E9209"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Nasopharyngitis</w:t>
            </w:r>
          </w:p>
        </w:tc>
        <w:tc>
          <w:tcPr>
            <w:tcW w:w="3096" w:type="dxa"/>
            <w:tcBorders>
              <w:top w:val="single" w:sz="4" w:space="0" w:color="auto"/>
              <w:left w:val="single" w:sz="4" w:space="0" w:color="auto"/>
              <w:bottom w:val="single" w:sz="4" w:space="0" w:color="auto"/>
              <w:right w:val="single" w:sz="4" w:space="0" w:color="auto"/>
            </w:tcBorders>
            <w:hideMark/>
          </w:tcPr>
          <w:p w14:paraId="28E53159"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26 (6.3) [40]</w:t>
            </w:r>
          </w:p>
        </w:tc>
        <w:tc>
          <w:tcPr>
            <w:tcW w:w="3096" w:type="dxa"/>
            <w:tcBorders>
              <w:top w:val="single" w:sz="4" w:space="0" w:color="auto"/>
              <w:left w:val="single" w:sz="4" w:space="0" w:color="auto"/>
              <w:bottom w:val="single" w:sz="4" w:space="0" w:color="auto"/>
              <w:right w:val="single" w:sz="4" w:space="0" w:color="auto"/>
            </w:tcBorders>
            <w:hideMark/>
          </w:tcPr>
          <w:p w14:paraId="7BA2ECA5"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29 (6.6) [36]</w:t>
            </w:r>
          </w:p>
        </w:tc>
      </w:tr>
      <w:tr w:rsidR="0072606E" w:rsidRPr="00592D8D" w14:paraId="2AA644FA"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01E49B92"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Urinary tract infection</w:t>
            </w:r>
          </w:p>
        </w:tc>
        <w:tc>
          <w:tcPr>
            <w:tcW w:w="3096" w:type="dxa"/>
            <w:tcBorders>
              <w:top w:val="single" w:sz="4" w:space="0" w:color="auto"/>
              <w:left w:val="single" w:sz="4" w:space="0" w:color="auto"/>
              <w:bottom w:val="single" w:sz="4" w:space="0" w:color="auto"/>
              <w:right w:val="single" w:sz="4" w:space="0" w:color="auto"/>
            </w:tcBorders>
            <w:hideMark/>
          </w:tcPr>
          <w:p w14:paraId="3A30E8AF"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13 (2.9) [16]</w:t>
            </w:r>
          </w:p>
        </w:tc>
        <w:tc>
          <w:tcPr>
            <w:tcW w:w="3096" w:type="dxa"/>
            <w:tcBorders>
              <w:top w:val="single" w:sz="4" w:space="0" w:color="auto"/>
              <w:left w:val="single" w:sz="4" w:space="0" w:color="auto"/>
              <w:bottom w:val="single" w:sz="4" w:space="0" w:color="auto"/>
              <w:right w:val="single" w:sz="4" w:space="0" w:color="auto"/>
            </w:tcBorders>
            <w:hideMark/>
          </w:tcPr>
          <w:p w14:paraId="015B67B5"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15 (3.4) [19]</w:t>
            </w:r>
          </w:p>
        </w:tc>
      </w:tr>
      <w:tr w:rsidR="0072606E" w:rsidRPr="00592D8D" w14:paraId="68133DDB" w14:textId="77777777" w:rsidTr="004A7FD3">
        <w:tc>
          <w:tcPr>
            <w:tcW w:w="9287" w:type="dxa"/>
            <w:gridSpan w:val="3"/>
            <w:tcBorders>
              <w:top w:val="single" w:sz="4" w:space="0" w:color="auto"/>
              <w:left w:val="single" w:sz="4" w:space="0" w:color="auto"/>
              <w:bottom w:val="single" w:sz="4" w:space="0" w:color="auto"/>
              <w:right w:val="single" w:sz="4" w:space="0" w:color="auto"/>
            </w:tcBorders>
            <w:hideMark/>
          </w:tcPr>
          <w:p w14:paraId="47B0E378"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Investigations</w:t>
            </w:r>
          </w:p>
        </w:tc>
      </w:tr>
      <w:tr w:rsidR="0072606E" w:rsidRPr="00592D8D" w14:paraId="41A8E527"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4538F930"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ALT increased</w:t>
            </w:r>
          </w:p>
        </w:tc>
        <w:tc>
          <w:tcPr>
            <w:tcW w:w="3096" w:type="dxa"/>
            <w:tcBorders>
              <w:top w:val="single" w:sz="4" w:space="0" w:color="auto"/>
              <w:left w:val="single" w:sz="4" w:space="0" w:color="auto"/>
              <w:bottom w:val="single" w:sz="4" w:space="0" w:color="auto"/>
              <w:right w:val="single" w:sz="4" w:space="0" w:color="auto"/>
            </w:tcBorders>
            <w:hideMark/>
          </w:tcPr>
          <w:p w14:paraId="35BC7F3A"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8 (1.8) [9]</w:t>
            </w:r>
          </w:p>
        </w:tc>
        <w:tc>
          <w:tcPr>
            <w:tcW w:w="3096" w:type="dxa"/>
            <w:tcBorders>
              <w:top w:val="single" w:sz="4" w:space="0" w:color="auto"/>
              <w:left w:val="single" w:sz="4" w:space="0" w:color="auto"/>
              <w:bottom w:val="single" w:sz="4" w:space="0" w:color="auto"/>
              <w:right w:val="single" w:sz="4" w:space="0" w:color="auto"/>
            </w:tcBorders>
            <w:hideMark/>
          </w:tcPr>
          <w:p w14:paraId="1B69B747"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15 (3.4) [16]</w:t>
            </w:r>
          </w:p>
        </w:tc>
      </w:tr>
      <w:tr w:rsidR="0072606E" w:rsidRPr="00592D8D" w14:paraId="1135BD05"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076BD227"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GGT increased</w:t>
            </w:r>
          </w:p>
        </w:tc>
        <w:tc>
          <w:tcPr>
            <w:tcW w:w="3096" w:type="dxa"/>
            <w:tcBorders>
              <w:top w:val="single" w:sz="4" w:space="0" w:color="auto"/>
              <w:left w:val="single" w:sz="4" w:space="0" w:color="auto"/>
              <w:bottom w:val="single" w:sz="4" w:space="0" w:color="auto"/>
              <w:right w:val="single" w:sz="4" w:space="0" w:color="auto"/>
            </w:tcBorders>
            <w:hideMark/>
          </w:tcPr>
          <w:p w14:paraId="4E69D27F"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7 (1.6) [8]</w:t>
            </w:r>
          </w:p>
        </w:tc>
        <w:tc>
          <w:tcPr>
            <w:tcW w:w="3096" w:type="dxa"/>
            <w:tcBorders>
              <w:top w:val="single" w:sz="4" w:space="0" w:color="auto"/>
              <w:left w:val="single" w:sz="4" w:space="0" w:color="auto"/>
              <w:bottom w:val="single" w:sz="4" w:space="0" w:color="auto"/>
              <w:right w:val="single" w:sz="4" w:space="0" w:color="auto"/>
            </w:tcBorders>
            <w:hideMark/>
          </w:tcPr>
          <w:p w14:paraId="4CBD320B"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36 (8.1) [37]</w:t>
            </w:r>
          </w:p>
        </w:tc>
      </w:tr>
      <w:tr w:rsidR="0072606E" w:rsidRPr="00592D8D" w14:paraId="226DC7E9" w14:textId="77777777" w:rsidTr="004A7FD3">
        <w:tc>
          <w:tcPr>
            <w:tcW w:w="9287" w:type="dxa"/>
            <w:gridSpan w:val="3"/>
            <w:tcBorders>
              <w:top w:val="single" w:sz="4" w:space="0" w:color="auto"/>
              <w:left w:val="single" w:sz="4" w:space="0" w:color="auto"/>
              <w:bottom w:val="single" w:sz="4" w:space="0" w:color="auto"/>
              <w:right w:val="single" w:sz="4" w:space="0" w:color="auto"/>
            </w:tcBorders>
            <w:hideMark/>
          </w:tcPr>
          <w:p w14:paraId="55A1274E"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Metabolism and nutrition disorders</w:t>
            </w:r>
          </w:p>
        </w:tc>
      </w:tr>
      <w:tr w:rsidR="0072606E" w:rsidRPr="00592D8D" w14:paraId="4CFCA5AF"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689AF0B0"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proofErr w:type="spellStart"/>
            <w:r w:rsidRPr="00592D8D">
              <w:rPr>
                <w:rFonts w:ascii="Times New Roman" w:eastAsia="SimSun" w:hAnsi="Times New Roman" w:cs="Times New Roman"/>
                <w:sz w:val="20"/>
                <w:szCs w:val="20"/>
                <w:lang w:val="en-US" w:eastAsia="zh-CN"/>
              </w:rPr>
              <w:t>Hypercholesterolaemia</w:t>
            </w:r>
            <w:proofErr w:type="spellEnd"/>
          </w:p>
        </w:tc>
        <w:tc>
          <w:tcPr>
            <w:tcW w:w="3096" w:type="dxa"/>
            <w:tcBorders>
              <w:top w:val="single" w:sz="4" w:space="0" w:color="auto"/>
              <w:left w:val="single" w:sz="4" w:space="0" w:color="auto"/>
              <w:bottom w:val="single" w:sz="4" w:space="0" w:color="auto"/>
              <w:right w:val="single" w:sz="4" w:space="0" w:color="auto"/>
            </w:tcBorders>
            <w:hideMark/>
          </w:tcPr>
          <w:p w14:paraId="1B106EE0"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11 (2.5) [11]</w:t>
            </w:r>
          </w:p>
        </w:tc>
        <w:tc>
          <w:tcPr>
            <w:tcW w:w="3096" w:type="dxa"/>
            <w:tcBorders>
              <w:top w:val="single" w:sz="4" w:space="0" w:color="auto"/>
              <w:left w:val="single" w:sz="4" w:space="0" w:color="auto"/>
              <w:bottom w:val="single" w:sz="4" w:space="0" w:color="auto"/>
              <w:right w:val="single" w:sz="4" w:space="0" w:color="auto"/>
            </w:tcBorders>
            <w:hideMark/>
          </w:tcPr>
          <w:p w14:paraId="607A402B"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21 (4.8) [21]</w:t>
            </w:r>
          </w:p>
        </w:tc>
      </w:tr>
      <w:tr w:rsidR="0072606E" w:rsidRPr="00592D8D" w14:paraId="5A62F041" w14:textId="77777777" w:rsidTr="004A7FD3">
        <w:tc>
          <w:tcPr>
            <w:tcW w:w="9287" w:type="dxa"/>
            <w:gridSpan w:val="3"/>
            <w:tcBorders>
              <w:top w:val="single" w:sz="4" w:space="0" w:color="auto"/>
              <w:left w:val="single" w:sz="4" w:space="0" w:color="auto"/>
              <w:bottom w:val="single" w:sz="4" w:space="0" w:color="auto"/>
              <w:right w:val="single" w:sz="4" w:space="0" w:color="auto"/>
            </w:tcBorders>
            <w:hideMark/>
          </w:tcPr>
          <w:p w14:paraId="136D1247"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Nervous system disorders</w:t>
            </w:r>
          </w:p>
        </w:tc>
      </w:tr>
      <w:tr w:rsidR="0072606E" w:rsidRPr="00592D8D" w14:paraId="24793CD5"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20A7CBE0"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Headache</w:t>
            </w:r>
          </w:p>
        </w:tc>
        <w:tc>
          <w:tcPr>
            <w:tcW w:w="3096" w:type="dxa"/>
            <w:tcBorders>
              <w:top w:val="single" w:sz="4" w:space="0" w:color="auto"/>
              <w:left w:val="single" w:sz="4" w:space="0" w:color="auto"/>
              <w:bottom w:val="single" w:sz="4" w:space="0" w:color="auto"/>
              <w:right w:val="single" w:sz="4" w:space="0" w:color="auto"/>
            </w:tcBorders>
            <w:hideMark/>
          </w:tcPr>
          <w:p w14:paraId="6045172E"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61 (13.7) [81]</w:t>
            </w:r>
          </w:p>
        </w:tc>
        <w:tc>
          <w:tcPr>
            <w:tcW w:w="3096" w:type="dxa"/>
            <w:tcBorders>
              <w:top w:val="single" w:sz="4" w:space="0" w:color="auto"/>
              <w:left w:val="single" w:sz="4" w:space="0" w:color="auto"/>
              <w:bottom w:val="single" w:sz="4" w:space="0" w:color="auto"/>
              <w:right w:val="single" w:sz="4" w:space="0" w:color="auto"/>
            </w:tcBorders>
            <w:hideMark/>
          </w:tcPr>
          <w:p w14:paraId="55973280"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57 (12.9) [75]</w:t>
            </w:r>
          </w:p>
        </w:tc>
      </w:tr>
      <w:tr w:rsidR="0072606E" w:rsidRPr="00592D8D" w14:paraId="68DD3062"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5A1F732C"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Dizziness</w:t>
            </w:r>
          </w:p>
        </w:tc>
        <w:tc>
          <w:tcPr>
            <w:tcW w:w="3096" w:type="dxa"/>
            <w:tcBorders>
              <w:top w:val="single" w:sz="4" w:space="0" w:color="auto"/>
              <w:left w:val="single" w:sz="4" w:space="0" w:color="auto"/>
              <w:bottom w:val="single" w:sz="4" w:space="0" w:color="auto"/>
              <w:right w:val="single" w:sz="4" w:space="0" w:color="auto"/>
            </w:tcBorders>
            <w:hideMark/>
          </w:tcPr>
          <w:p w14:paraId="039236E1"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52 (11.7) [60]</w:t>
            </w:r>
          </w:p>
        </w:tc>
        <w:tc>
          <w:tcPr>
            <w:tcW w:w="3096" w:type="dxa"/>
            <w:tcBorders>
              <w:top w:val="single" w:sz="4" w:space="0" w:color="auto"/>
              <w:left w:val="single" w:sz="4" w:space="0" w:color="auto"/>
              <w:bottom w:val="single" w:sz="4" w:space="0" w:color="auto"/>
              <w:right w:val="single" w:sz="4" w:space="0" w:color="auto"/>
            </w:tcBorders>
            <w:hideMark/>
          </w:tcPr>
          <w:p w14:paraId="1B500BB0"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38 (8.6) [47]</w:t>
            </w:r>
          </w:p>
        </w:tc>
      </w:tr>
      <w:tr w:rsidR="0072606E" w:rsidRPr="00592D8D" w14:paraId="7CC980D5"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08960A74"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Somnolence</w:t>
            </w:r>
          </w:p>
        </w:tc>
        <w:tc>
          <w:tcPr>
            <w:tcW w:w="3096" w:type="dxa"/>
            <w:tcBorders>
              <w:top w:val="single" w:sz="4" w:space="0" w:color="auto"/>
              <w:left w:val="single" w:sz="4" w:space="0" w:color="auto"/>
              <w:bottom w:val="single" w:sz="4" w:space="0" w:color="auto"/>
              <w:right w:val="single" w:sz="4" w:space="0" w:color="auto"/>
            </w:tcBorders>
            <w:hideMark/>
          </w:tcPr>
          <w:p w14:paraId="7F1BB85D"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24 (5.4) [25]</w:t>
            </w:r>
          </w:p>
        </w:tc>
        <w:tc>
          <w:tcPr>
            <w:tcW w:w="3096" w:type="dxa"/>
            <w:tcBorders>
              <w:top w:val="single" w:sz="4" w:space="0" w:color="auto"/>
              <w:left w:val="single" w:sz="4" w:space="0" w:color="auto"/>
              <w:bottom w:val="single" w:sz="4" w:space="0" w:color="auto"/>
              <w:right w:val="single" w:sz="4" w:space="0" w:color="auto"/>
            </w:tcBorders>
            <w:hideMark/>
          </w:tcPr>
          <w:p w14:paraId="657CB8C6"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41 (9.30 [46]</w:t>
            </w:r>
          </w:p>
        </w:tc>
      </w:tr>
      <w:tr w:rsidR="0072606E" w:rsidRPr="00592D8D" w14:paraId="61DE3287" w14:textId="77777777" w:rsidTr="004A7FD3">
        <w:tc>
          <w:tcPr>
            <w:tcW w:w="9287" w:type="dxa"/>
            <w:gridSpan w:val="3"/>
            <w:tcBorders>
              <w:top w:val="single" w:sz="4" w:space="0" w:color="auto"/>
              <w:left w:val="single" w:sz="4" w:space="0" w:color="auto"/>
              <w:bottom w:val="single" w:sz="4" w:space="0" w:color="auto"/>
              <w:right w:val="single" w:sz="4" w:space="0" w:color="auto"/>
            </w:tcBorders>
            <w:hideMark/>
          </w:tcPr>
          <w:p w14:paraId="596063B6"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b/>
                <w:sz w:val="20"/>
                <w:szCs w:val="20"/>
                <w:lang w:val="en-US" w:eastAsia="zh-CN"/>
              </w:rPr>
            </w:pPr>
            <w:r w:rsidRPr="00592D8D">
              <w:rPr>
                <w:rFonts w:ascii="Times New Roman" w:eastAsia="SimSun" w:hAnsi="Times New Roman" w:cs="Times New Roman"/>
                <w:b/>
                <w:sz w:val="20"/>
                <w:szCs w:val="20"/>
                <w:lang w:val="en-US" w:eastAsia="zh-CN"/>
              </w:rPr>
              <w:t>Skin and subcutaneous tissue disorders</w:t>
            </w:r>
          </w:p>
        </w:tc>
      </w:tr>
      <w:tr w:rsidR="0072606E" w:rsidRPr="00592D8D" w14:paraId="3A373782" w14:textId="77777777" w:rsidTr="004A7FD3">
        <w:tc>
          <w:tcPr>
            <w:tcW w:w="3095" w:type="dxa"/>
            <w:tcBorders>
              <w:top w:val="single" w:sz="4" w:space="0" w:color="auto"/>
              <w:left w:val="single" w:sz="4" w:space="0" w:color="auto"/>
              <w:bottom w:val="single" w:sz="4" w:space="0" w:color="auto"/>
              <w:right w:val="single" w:sz="4" w:space="0" w:color="auto"/>
            </w:tcBorders>
            <w:hideMark/>
          </w:tcPr>
          <w:p w14:paraId="24455716" w14:textId="77777777" w:rsidR="0072606E" w:rsidRPr="00592D8D" w:rsidRDefault="0072606E" w:rsidP="004A7FD3">
            <w:pPr>
              <w:autoSpaceDE w:val="0"/>
              <w:autoSpaceDN w:val="0"/>
              <w:adjustRightInd w:val="0"/>
              <w:spacing w:after="0" w:line="240" w:lineRule="auto"/>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Rash</w:t>
            </w:r>
          </w:p>
        </w:tc>
        <w:tc>
          <w:tcPr>
            <w:tcW w:w="3096" w:type="dxa"/>
            <w:tcBorders>
              <w:top w:val="single" w:sz="4" w:space="0" w:color="auto"/>
              <w:left w:val="single" w:sz="4" w:space="0" w:color="auto"/>
              <w:bottom w:val="single" w:sz="4" w:space="0" w:color="auto"/>
              <w:right w:val="single" w:sz="4" w:space="0" w:color="auto"/>
            </w:tcBorders>
            <w:hideMark/>
          </w:tcPr>
          <w:p w14:paraId="132AAC01"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7 (1.6) [11]</w:t>
            </w:r>
          </w:p>
        </w:tc>
        <w:tc>
          <w:tcPr>
            <w:tcW w:w="3096" w:type="dxa"/>
            <w:tcBorders>
              <w:top w:val="single" w:sz="4" w:space="0" w:color="auto"/>
              <w:left w:val="single" w:sz="4" w:space="0" w:color="auto"/>
              <w:bottom w:val="single" w:sz="4" w:space="0" w:color="auto"/>
              <w:right w:val="single" w:sz="4" w:space="0" w:color="auto"/>
            </w:tcBorders>
            <w:hideMark/>
          </w:tcPr>
          <w:p w14:paraId="67156100" w14:textId="77777777" w:rsidR="0072606E" w:rsidRPr="00592D8D" w:rsidRDefault="0072606E" w:rsidP="004A7FD3">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sidRPr="00592D8D">
              <w:rPr>
                <w:rFonts w:ascii="Times New Roman" w:eastAsia="SimSun" w:hAnsi="Times New Roman" w:cs="Times New Roman"/>
                <w:sz w:val="20"/>
                <w:szCs w:val="20"/>
                <w:lang w:val="en-US" w:eastAsia="zh-CN"/>
              </w:rPr>
              <w:t>14 (3.2) [16]</w:t>
            </w:r>
          </w:p>
        </w:tc>
      </w:tr>
      <w:bookmarkEnd w:id="7"/>
    </w:tbl>
    <w:p w14:paraId="0E3D8AFC" w14:textId="77777777" w:rsidR="0072606E" w:rsidRDefault="0072606E" w:rsidP="00C10A5F">
      <w:pPr>
        <w:spacing w:after="0"/>
        <w:rPr>
          <w:rFonts w:ascii="Times New Roman" w:hAnsi="Times New Roman" w:cs="Times New Roman"/>
        </w:rPr>
      </w:pPr>
    </w:p>
    <w:p w14:paraId="1764CFE3" w14:textId="7212E30A" w:rsidR="00E01E5C" w:rsidRDefault="00175878" w:rsidP="00A76E2B">
      <w:pPr>
        <w:rPr>
          <w:rFonts w:ascii="Times New Roman" w:hAnsi="Times New Roman" w:cs="Times New Roman"/>
        </w:rPr>
      </w:pPr>
      <w:r w:rsidRPr="00A66C41">
        <w:rPr>
          <w:rFonts w:ascii="Times New Roman" w:hAnsi="Times New Roman" w:cs="Times New Roman"/>
        </w:rPr>
        <w:t xml:space="preserve">The use of lacosamide is associated with dose related increase in the PR interval. Adverse reactions associated with PR interval prolongation (e.g. atrioventricular block, syncope, bradycardia) may occur. </w:t>
      </w:r>
      <w:r w:rsidR="00732992" w:rsidRPr="00A66C41">
        <w:rPr>
          <w:rFonts w:ascii="Times New Roman" w:hAnsi="Times New Roman" w:cs="Times New Roman"/>
        </w:rPr>
        <w:t>In</w:t>
      </w:r>
      <w:r w:rsidR="00732992">
        <w:rPr>
          <w:rFonts w:ascii="Times New Roman" w:hAnsi="Times New Roman" w:cs="Times New Roman"/>
        </w:rPr>
        <w:t xml:space="preserve"> </w:t>
      </w:r>
      <w:r w:rsidR="00732992" w:rsidRPr="00D37C2A">
        <w:rPr>
          <w:rFonts w:ascii="Times New Roman" w:hAnsi="Times New Roman" w:cs="Times New Roman"/>
        </w:rPr>
        <w:t>add-on clinical trials in</w:t>
      </w:r>
      <w:r w:rsidR="00732992" w:rsidRPr="00A66C41">
        <w:rPr>
          <w:rFonts w:ascii="Times New Roman" w:hAnsi="Times New Roman" w:cs="Times New Roman"/>
        </w:rPr>
        <w:t xml:space="preserve"> epilepsy patients the incidence rate of reported first degree AV block is uncommon, 0.7%, 0%, 0.5% and 0% for lacosamide 200 mg, 400 mg, 600 mg or placebo, respectively. No second or higher degree AV block was seen in lacosamide treated epilepsy patients. </w:t>
      </w:r>
      <w:bookmarkStart w:id="8" w:name="_Hlk514683507"/>
      <w:r w:rsidR="00732992" w:rsidRPr="00592D8D">
        <w:rPr>
          <w:rFonts w:ascii="Times New Roman" w:hAnsi="Times New Roman" w:cs="Times New Roman"/>
        </w:rPr>
        <w:t>In the monotherapy trial the incidence of prolonged PR intervals was similar across treatment groups: 40 subjects (9.6%) in the lacosamide treatment group and 37 subjects (8.9%) in the carbamazepine CR treatment group experienced a treatment-emergent PR interval of &gt; 200ms and 16 subjects (3.7%) in the lacosamide treatment group and 13 subjects (3.0%) in the carbamazepine CR treatment group experienced a treatment-emergent PR interval of &gt; 220ms. Three subjects in each treatment group (0.7% in each treatment group) experien</w:t>
      </w:r>
      <w:r w:rsidR="00732992">
        <w:rPr>
          <w:rFonts w:ascii="Times New Roman" w:hAnsi="Times New Roman" w:cs="Times New Roman"/>
        </w:rPr>
        <w:t>ced a PR interval of &gt; 250ms.</w:t>
      </w:r>
      <w:bookmarkEnd w:id="8"/>
    </w:p>
    <w:p w14:paraId="0CDDE326" w14:textId="1C7B8D58" w:rsidR="00732992" w:rsidRPr="00F572D6" w:rsidRDefault="00175878" w:rsidP="00732992">
      <w:pPr>
        <w:spacing w:after="0"/>
        <w:rPr>
          <w:rFonts w:ascii="Times New Roman" w:hAnsi="Times New Roman" w:cs="Times New Roman"/>
          <w:b/>
          <w:i/>
        </w:rPr>
      </w:pPr>
      <w:r w:rsidRPr="00A66C41">
        <w:rPr>
          <w:rFonts w:ascii="Times New Roman" w:hAnsi="Times New Roman" w:cs="Times New Roman"/>
        </w:rPr>
        <w:lastRenderedPageBreak/>
        <w:br/>
        <w:t xml:space="preserve">The incidence rate for syncope </w:t>
      </w:r>
      <w:r w:rsidR="00732992" w:rsidRPr="00F572D6">
        <w:rPr>
          <w:rFonts w:ascii="Times New Roman" w:hAnsi="Times New Roman" w:cs="Times New Roman"/>
        </w:rPr>
        <w:t>reported in pooled add-on therapy clinical trials</w:t>
      </w:r>
      <w:r w:rsidR="00732992" w:rsidRPr="00A66C41">
        <w:rPr>
          <w:rFonts w:ascii="Times New Roman" w:hAnsi="Times New Roman" w:cs="Times New Roman"/>
        </w:rPr>
        <w:t xml:space="preserve"> </w:t>
      </w:r>
      <w:r w:rsidRPr="00A66C41">
        <w:rPr>
          <w:rFonts w:ascii="Times New Roman" w:hAnsi="Times New Roman" w:cs="Times New Roman"/>
        </w:rPr>
        <w:t>is uncommon and did not differ between lacosamide treated</w:t>
      </w:r>
      <w:r w:rsidR="00732992">
        <w:rPr>
          <w:rFonts w:ascii="Times New Roman" w:hAnsi="Times New Roman" w:cs="Times New Roman"/>
        </w:rPr>
        <w:t xml:space="preserve"> (n=944)</w:t>
      </w:r>
      <w:r w:rsidRPr="00A66C41">
        <w:rPr>
          <w:rFonts w:ascii="Times New Roman" w:hAnsi="Times New Roman" w:cs="Times New Roman"/>
        </w:rPr>
        <w:t xml:space="preserve"> epilepsy patients (0.1%) and placebo treated </w:t>
      </w:r>
      <w:r w:rsidR="00732992" w:rsidRPr="00F572D6">
        <w:rPr>
          <w:rFonts w:ascii="Times New Roman" w:hAnsi="Times New Roman" w:cs="Times New Roman"/>
        </w:rPr>
        <w:t xml:space="preserve">(n=364) </w:t>
      </w:r>
      <w:r w:rsidRPr="00A66C41">
        <w:rPr>
          <w:rFonts w:ascii="Times New Roman" w:hAnsi="Times New Roman" w:cs="Times New Roman"/>
        </w:rPr>
        <w:t xml:space="preserve">epilepsy patients (0.3%). </w:t>
      </w:r>
      <w:r w:rsidR="00732992" w:rsidRPr="00F572D6">
        <w:rPr>
          <w:rFonts w:ascii="Times New Roman" w:hAnsi="Times New Roman" w:cs="Times New Roman"/>
        </w:rPr>
        <w:t>In the monotherapy clinical trial comparing lacosamide to carbamazepine CR, syncope was reported in 7/444 (1.6%) lacosamide patients and 1/442 (0</w:t>
      </w:r>
      <w:r w:rsidR="00732992">
        <w:rPr>
          <w:rFonts w:ascii="Times New Roman" w:hAnsi="Times New Roman" w:cs="Times New Roman"/>
        </w:rPr>
        <w:t>.2%) carbamazepine CR patients.</w:t>
      </w:r>
      <w:r w:rsidRPr="00A66C41">
        <w:rPr>
          <w:rFonts w:ascii="Times New Roman" w:hAnsi="Times New Roman" w:cs="Times New Roman"/>
        </w:rPr>
        <w:br/>
      </w:r>
      <w:r w:rsidRPr="00A66C41">
        <w:rPr>
          <w:rFonts w:ascii="Times New Roman" w:hAnsi="Times New Roman" w:cs="Times New Roman"/>
        </w:rPr>
        <w:br/>
        <w:t>In the short-term investigational trials of lacosamide in epilepsy patients, there were no cases of atrial fibrillation or flutter, however both have been reported in open label epilepsy trials.</w:t>
      </w:r>
      <w:r w:rsidRPr="00A66C41">
        <w:rPr>
          <w:rFonts w:ascii="Times New Roman" w:hAnsi="Times New Roman" w:cs="Times New Roman"/>
        </w:rPr>
        <w:br/>
      </w:r>
      <w:r w:rsidRPr="00A66C41">
        <w:rPr>
          <w:rFonts w:ascii="Times New Roman" w:hAnsi="Times New Roman" w:cs="Times New Roman"/>
        </w:rPr>
        <w:br/>
        <w:t>In addition, the following potentially important adverse drug reactions have been identified as being reported in clinical trials.</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i/>
          <w:iCs/>
        </w:rPr>
        <w:t>Psychiatric disorders.</w:t>
      </w:r>
      <w:r w:rsidRPr="00A66C41">
        <w:rPr>
          <w:rFonts w:ascii="Times New Roman" w:hAnsi="Times New Roman" w:cs="Times New Roman"/>
        </w:rPr>
        <w:t xml:space="preserve"> Common: </w:t>
      </w:r>
      <w:proofErr w:type="spellStart"/>
      <w:r w:rsidRPr="00A66C41">
        <w:rPr>
          <w:rFonts w:ascii="Times New Roman" w:hAnsi="Times New Roman" w:cs="Times New Roman"/>
        </w:rPr>
        <w:t>confusional</w:t>
      </w:r>
      <w:proofErr w:type="spellEnd"/>
      <w:r w:rsidRPr="00A66C41">
        <w:rPr>
          <w:rFonts w:ascii="Times New Roman" w:hAnsi="Times New Roman" w:cs="Times New Roman"/>
        </w:rPr>
        <w:t xml:space="preserve"> state, insomnia</w:t>
      </w:r>
      <w:r w:rsidRPr="00A66C41">
        <w:rPr>
          <w:rFonts w:ascii="Times New Roman" w:hAnsi="Times New Roman" w:cs="Times New Roman"/>
        </w:rPr>
        <w:br/>
      </w:r>
      <w:r w:rsidRPr="00A66C41">
        <w:rPr>
          <w:rFonts w:ascii="Times New Roman" w:hAnsi="Times New Roman" w:cs="Times New Roman"/>
          <w:i/>
          <w:iCs/>
        </w:rPr>
        <w:t>Nervous system disorders.</w:t>
      </w:r>
      <w:r w:rsidRPr="00A66C41">
        <w:rPr>
          <w:rFonts w:ascii="Times New Roman" w:hAnsi="Times New Roman" w:cs="Times New Roman"/>
        </w:rPr>
        <w:t xml:space="preserve"> Common: hypoesthesia, dysarthria, disturbance in attention, paraesthesia</w:t>
      </w:r>
      <w:r w:rsidRPr="00A66C41">
        <w:rPr>
          <w:rFonts w:ascii="Times New Roman" w:hAnsi="Times New Roman" w:cs="Times New Roman"/>
        </w:rPr>
        <w:br/>
      </w:r>
      <w:r w:rsidRPr="00A66C41">
        <w:rPr>
          <w:rFonts w:ascii="Times New Roman" w:hAnsi="Times New Roman" w:cs="Times New Roman"/>
          <w:i/>
          <w:iCs/>
        </w:rPr>
        <w:t>Ear and labyrinth disorders.</w:t>
      </w:r>
      <w:r w:rsidRPr="00A66C41">
        <w:rPr>
          <w:rFonts w:ascii="Times New Roman" w:hAnsi="Times New Roman" w:cs="Times New Roman"/>
        </w:rPr>
        <w:t xml:space="preserve"> Common: tinnitus</w:t>
      </w:r>
      <w:r w:rsidRPr="00A66C41">
        <w:rPr>
          <w:rFonts w:ascii="Times New Roman" w:hAnsi="Times New Roman" w:cs="Times New Roman"/>
        </w:rPr>
        <w:br/>
      </w:r>
      <w:r w:rsidRPr="00A66C41">
        <w:rPr>
          <w:rFonts w:ascii="Times New Roman" w:hAnsi="Times New Roman" w:cs="Times New Roman"/>
          <w:i/>
          <w:iCs/>
        </w:rPr>
        <w:t>Gastrointestinal disorders.</w:t>
      </w:r>
      <w:r w:rsidRPr="00A66C41">
        <w:rPr>
          <w:rFonts w:ascii="Times New Roman" w:hAnsi="Times New Roman" w:cs="Times New Roman"/>
        </w:rPr>
        <w:t xml:space="preserve"> Common: dyspepsia, dry mouth, diarrhoea</w:t>
      </w:r>
      <w:r w:rsidRPr="00A66C41">
        <w:rPr>
          <w:rFonts w:ascii="Times New Roman" w:hAnsi="Times New Roman" w:cs="Times New Roman"/>
        </w:rPr>
        <w:br/>
      </w:r>
      <w:r w:rsidRPr="00A66C41">
        <w:rPr>
          <w:rFonts w:ascii="Times New Roman" w:hAnsi="Times New Roman" w:cs="Times New Roman"/>
          <w:i/>
          <w:iCs/>
        </w:rPr>
        <w:t>General disorders and administration site conditions.</w:t>
      </w:r>
      <w:r w:rsidRPr="00A66C41">
        <w:rPr>
          <w:rFonts w:ascii="Times New Roman" w:hAnsi="Times New Roman" w:cs="Times New Roman"/>
        </w:rPr>
        <w:t xml:space="preserve"> Common: irritability, feeling drunk</w:t>
      </w:r>
      <w:r w:rsidRPr="00A66C41">
        <w:rPr>
          <w:rFonts w:ascii="Times New Roman" w:hAnsi="Times New Roman" w:cs="Times New Roman"/>
        </w:rPr>
        <w:br/>
      </w:r>
      <w:r w:rsidRPr="00A66C41">
        <w:rPr>
          <w:rFonts w:ascii="Times New Roman" w:hAnsi="Times New Roman" w:cs="Times New Roman"/>
          <w:i/>
          <w:iCs/>
        </w:rPr>
        <w:t>Musculoskeletal and connective tissue disorders.</w:t>
      </w:r>
      <w:r w:rsidRPr="00A66C41">
        <w:rPr>
          <w:rFonts w:ascii="Times New Roman" w:hAnsi="Times New Roman" w:cs="Times New Roman"/>
        </w:rPr>
        <w:t xml:space="preserve"> Common: muscle spasms</w:t>
      </w:r>
      <w:r w:rsidRPr="00A66C41">
        <w:rPr>
          <w:rFonts w:ascii="Times New Roman" w:hAnsi="Times New Roman" w:cs="Times New Roman"/>
        </w:rPr>
        <w:br/>
      </w:r>
      <w:r w:rsidRPr="00A66C41">
        <w:rPr>
          <w:rFonts w:ascii="Times New Roman" w:hAnsi="Times New Roman" w:cs="Times New Roman"/>
          <w:i/>
          <w:iCs/>
        </w:rPr>
        <w:t>Injury, poisoning and procedural complications.</w:t>
      </w:r>
      <w:r w:rsidRPr="00A66C41">
        <w:rPr>
          <w:rFonts w:ascii="Times New Roman" w:hAnsi="Times New Roman" w:cs="Times New Roman"/>
        </w:rPr>
        <w:t xml:space="preserve"> Common: contusion</w:t>
      </w:r>
      <w:r w:rsidRPr="00A66C41">
        <w:rPr>
          <w:rFonts w:ascii="Times New Roman" w:hAnsi="Times New Roman" w:cs="Times New Roman"/>
        </w:rPr>
        <w:br/>
      </w:r>
      <w:r w:rsidRPr="00A66C41">
        <w:rPr>
          <w:rFonts w:ascii="Times New Roman" w:hAnsi="Times New Roman" w:cs="Times New Roman"/>
        </w:rPr>
        <w:br/>
      </w:r>
      <w:bookmarkStart w:id="9" w:name="_Hlk514424154"/>
      <w:r w:rsidR="00732992" w:rsidRPr="00F572D6">
        <w:rPr>
          <w:rFonts w:ascii="Times New Roman" w:hAnsi="Times New Roman" w:cs="Times New Roman"/>
          <w:b/>
          <w:i/>
        </w:rPr>
        <w:t>Loading dose administration</w:t>
      </w:r>
    </w:p>
    <w:p w14:paraId="375FD2B1" w14:textId="77777777" w:rsidR="00732992" w:rsidRPr="00F572D6" w:rsidRDefault="00732992" w:rsidP="00732992">
      <w:pPr>
        <w:rPr>
          <w:rFonts w:ascii="Times New Roman" w:hAnsi="Times New Roman" w:cs="Times New Roman"/>
        </w:rPr>
      </w:pPr>
      <w:r w:rsidRPr="00F572D6">
        <w:rPr>
          <w:rFonts w:ascii="Times New Roman" w:hAnsi="Times New Roman" w:cs="Times New Roman"/>
        </w:rPr>
        <w:t xml:space="preserve">Incidence of CNS adverse reactions such as dizziness may </w:t>
      </w:r>
      <w:r>
        <w:rPr>
          <w:rFonts w:ascii="Times New Roman" w:hAnsi="Times New Roman" w:cs="Times New Roman"/>
        </w:rPr>
        <w:t>be higher after a loading dose.</w:t>
      </w:r>
    </w:p>
    <w:p w14:paraId="72229861" w14:textId="77777777" w:rsidR="00732992" w:rsidRPr="00F572D6" w:rsidRDefault="00732992" w:rsidP="00732992">
      <w:pPr>
        <w:spacing w:after="0"/>
        <w:rPr>
          <w:rFonts w:ascii="Times New Roman" w:hAnsi="Times New Roman" w:cs="Times New Roman"/>
          <w:b/>
          <w:i/>
        </w:rPr>
      </w:pPr>
      <w:r w:rsidRPr="00F572D6">
        <w:rPr>
          <w:rFonts w:ascii="Times New Roman" w:hAnsi="Times New Roman" w:cs="Times New Roman"/>
          <w:b/>
          <w:i/>
        </w:rPr>
        <w:t xml:space="preserve">Elderly population </w:t>
      </w:r>
    </w:p>
    <w:p w14:paraId="343CB767" w14:textId="77777777" w:rsidR="00732992" w:rsidRPr="00F572D6" w:rsidRDefault="00732992" w:rsidP="00732992">
      <w:pPr>
        <w:rPr>
          <w:rFonts w:ascii="Times New Roman" w:hAnsi="Times New Roman" w:cs="Times New Roman"/>
        </w:rPr>
      </w:pPr>
      <w:r w:rsidRPr="00F572D6">
        <w:rPr>
          <w:rFonts w:ascii="Times New Roman" w:hAnsi="Times New Roman" w:cs="Times New Roman"/>
        </w:rPr>
        <w:t>In the monotherapy study comparing lacosamide to carbamazepine CR, the safety profile of lacosamide in elderly patients (≥ 65 years of age) appears to be similar to that observed in patients less than 65 years of age. However, a higher incidence (≥5% difference) of fall, diarrhea and tremor has been reported in elderly patients comp</w:t>
      </w:r>
      <w:r>
        <w:rPr>
          <w:rFonts w:ascii="Times New Roman" w:hAnsi="Times New Roman" w:cs="Times New Roman"/>
        </w:rPr>
        <w:t>ared to younger adult patients.</w:t>
      </w:r>
    </w:p>
    <w:p w14:paraId="1854AF21" w14:textId="77777777" w:rsidR="00732992" w:rsidRPr="00F572D6" w:rsidRDefault="00732992" w:rsidP="00732992">
      <w:pPr>
        <w:spacing w:after="0"/>
        <w:rPr>
          <w:rFonts w:ascii="Times New Roman" w:hAnsi="Times New Roman" w:cs="Times New Roman"/>
          <w:b/>
          <w:i/>
        </w:rPr>
      </w:pPr>
      <w:r w:rsidRPr="00F572D6">
        <w:rPr>
          <w:rFonts w:ascii="Times New Roman" w:hAnsi="Times New Roman" w:cs="Times New Roman"/>
          <w:b/>
          <w:i/>
        </w:rPr>
        <w:t>Paediatric population</w:t>
      </w:r>
    </w:p>
    <w:p w14:paraId="03CF4E1F" w14:textId="77777777" w:rsidR="00732992" w:rsidRDefault="00732992" w:rsidP="00732992">
      <w:pPr>
        <w:rPr>
          <w:rFonts w:ascii="Times New Roman" w:hAnsi="Times New Roman" w:cs="Times New Roman"/>
        </w:rPr>
      </w:pPr>
      <w:bookmarkStart w:id="10" w:name="_Hlk514685714"/>
      <w:bookmarkEnd w:id="9"/>
      <w:r w:rsidRPr="001373CC">
        <w:rPr>
          <w:rFonts w:ascii="Times New Roman" w:hAnsi="Times New Roman" w:cs="Times New Roman"/>
        </w:rPr>
        <w:t>The safety profile of lacosamide in open-label studies in add-on therapy in children from 4 years</w:t>
      </w:r>
      <w:r>
        <w:rPr>
          <w:rFonts w:ascii="Times New Roman" w:hAnsi="Times New Roman" w:cs="Times New Roman"/>
        </w:rPr>
        <w:t xml:space="preserve"> of age</w:t>
      </w:r>
      <w:r w:rsidRPr="001373CC">
        <w:rPr>
          <w:rFonts w:ascii="Times New Roman" w:hAnsi="Times New Roman" w:cs="Times New Roman"/>
        </w:rPr>
        <w:t xml:space="preserve"> was consistent with the safety profile observed in adults. The most frequently reported adverse reactions were vomiting, dizziness, somnolence and headache. The table below shows the incidence of treatment-emergent adverse event occurred in ≥5% of all </w:t>
      </w:r>
      <w:r>
        <w:rPr>
          <w:rFonts w:ascii="Times New Roman" w:hAnsi="Times New Roman" w:cs="Times New Roman"/>
        </w:rPr>
        <w:t>children</w:t>
      </w:r>
      <w:r w:rsidRPr="001373CC">
        <w:rPr>
          <w:rFonts w:ascii="Times New Roman" w:hAnsi="Times New Roman" w:cs="Times New Roman"/>
        </w:rPr>
        <w:t xml:space="preserve"> aged </w:t>
      </w:r>
      <w:r>
        <w:rPr>
          <w:rFonts w:ascii="Times New Roman" w:hAnsi="Times New Roman" w:cs="Times New Roman"/>
        </w:rPr>
        <w:t xml:space="preserve">from </w:t>
      </w:r>
      <w:r w:rsidRPr="001373CC">
        <w:rPr>
          <w:rFonts w:ascii="Times New Roman" w:hAnsi="Times New Roman" w:cs="Times New Roman"/>
        </w:rPr>
        <w:t>4 years.</w:t>
      </w:r>
    </w:p>
    <w:p w14:paraId="42F4B987" w14:textId="77777777" w:rsidR="00732992" w:rsidRDefault="00732992" w:rsidP="00732992">
      <w:pPr>
        <w:autoSpaceDE w:val="0"/>
        <w:autoSpaceDN w:val="0"/>
        <w:adjustRightInd w:val="0"/>
        <w:spacing w:after="0" w:line="240" w:lineRule="auto"/>
        <w:rPr>
          <w:rFonts w:ascii="Times" w:eastAsia="SimSun" w:hAnsi="Times" w:cs="TimesNewRomanPSMT"/>
          <w:b/>
          <w:szCs w:val="24"/>
          <w:lang w:val="en-US" w:eastAsia="zh-CN"/>
        </w:rPr>
      </w:pPr>
      <w:bookmarkStart w:id="11" w:name="_Toc452024170"/>
      <w:bookmarkStart w:id="12" w:name="_Ref447627623"/>
      <w:bookmarkEnd w:id="10"/>
      <w:r>
        <w:rPr>
          <w:rFonts w:ascii="Times New Roman" w:eastAsia="Times New Roman" w:hAnsi="Times New Roman" w:cs="Times New Roman"/>
          <w:b/>
          <w:szCs w:val="24"/>
        </w:rPr>
        <w:t xml:space="preserve">Table </w:t>
      </w:r>
      <w:r>
        <w:rPr>
          <w:rFonts w:ascii="Times New Roman" w:eastAsia="Times New Roman" w:hAnsi="Times New Roman" w:cs="Times New Roman"/>
          <w:b/>
          <w:szCs w:val="24"/>
          <w:lang w:eastAsia="ja-JP"/>
        </w:rPr>
        <w:t>4</w:t>
      </w:r>
      <w:r>
        <w:rPr>
          <w:rFonts w:ascii="Times New Roman" w:eastAsia="Times New Roman" w:hAnsi="Times New Roman" w:cs="Times New Roman"/>
          <w:b/>
          <w:szCs w:val="24"/>
        </w:rPr>
        <w:t xml:space="preserve"> - Incidence of </w:t>
      </w:r>
      <w:r>
        <w:rPr>
          <w:rFonts w:ascii="Times New Roman" w:eastAsia="Times New Roman" w:hAnsi="Times New Roman" w:cs="Times New Roman"/>
          <w:b/>
          <w:szCs w:val="24"/>
          <w:lang w:eastAsia="ja-JP"/>
        </w:rPr>
        <w:t xml:space="preserve">Treatment-Emergent </w:t>
      </w:r>
      <w:r>
        <w:rPr>
          <w:rFonts w:ascii="Times New Roman" w:eastAsia="Times New Roman" w:hAnsi="Times New Roman" w:cs="Times New Roman"/>
          <w:b/>
          <w:szCs w:val="24"/>
        </w:rPr>
        <w:t xml:space="preserve">Adverse </w:t>
      </w:r>
      <w:r>
        <w:rPr>
          <w:rFonts w:ascii="Times New Roman" w:eastAsia="Times New Roman" w:hAnsi="Times New Roman" w:cs="Times New Roman"/>
          <w:b/>
          <w:szCs w:val="24"/>
          <w:lang w:eastAsia="ja-JP"/>
        </w:rPr>
        <w:t>Events regardless of causality</w:t>
      </w:r>
      <w:r>
        <w:rPr>
          <w:rFonts w:ascii="Times New Roman" w:eastAsia="Times New Roman" w:hAnsi="Times New Roman" w:cs="Times New Roman"/>
          <w:b/>
          <w:szCs w:val="24"/>
        </w:rPr>
        <w:t xml:space="preserve"> during the LCM Exposure Period</w:t>
      </w:r>
      <w:bookmarkEnd w:id="11"/>
      <w:bookmarkEnd w:id="12"/>
      <w:r>
        <w:rPr>
          <w:rFonts w:ascii="Times New Roman" w:eastAsia="Times New Roman" w:hAnsi="Times New Roman" w:cs="Times New Roman"/>
          <w:b/>
          <w:szCs w:val="24"/>
          <w:lang w:eastAsia="ja-JP"/>
        </w:rPr>
        <w:t xml:space="preserve"> in children aged from 4 years of age</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04"/>
        <w:gridCol w:w="1332"/>
        <w:gridCol w:w="1180"/>
        <w:gridCol w:w="2624"/>
      </w:tblGrid>
      <w:tr w:rsidR="00732992" w14:paraId="05302882" w14:textId="77777777" w:rsidTr="004A7FD3">
        <w:trPr>
          <w:cantSplit/>
          <w:jc w:val="center"/>
        </w:trPr>
        <w:tc>
          <w:tcPr>
            <w:tcW w:w="2062" w:type="pct"/>
            <w:tcBorders>
              <w:top w:val="single" w:sz="4" w:space="0" w:color="auto"/>
              <w:left w:val="single" w:sz="6" w:space="0" w:color="auto"/>
              <w:bottom w:val="single" w:sz="6" w:space="0" w:color="auto"/>
              <w:right w:val="single" w:sz="6" w:space="0" w:color="auto"/>
            </w:tcBorders>
            <w:vAlign w:val="bottom"/>
            <w:hideMark/>
          </w:tcPr>
          <w:p w14:paraId="417E47B6" w14:textId="77777777" w:rsidR="00732992" w:rsidRDefault="00732992" w:rsidP="004A7FD3">
            <w:pPr>
              <w:keepNext/>
              <w:spacing w:before="60" w:after="6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MedDRA</w:t>
            </w:r>
            <w:r>
              <w:rPr>
                <w:rFonts w:ascii="Times New Roman" w:eastAsia="Times New Roman" w:hAnsi="Times New Roman" w:cs="Times New Roman"/>
                <w:b/>
                <w:sz w:val="20"/>
                <w:szCs w:val="20"/>
                <w:vertAlign w:val="superscript"/>
                <w:lang w:val="en-US"/>
              </w:rPr>
              <w:t>®</w:t>
            </w:r>
            <w:r>
              <w:rPr>
                <w:rFonts w:ascii="Times New Roman" w:eastAsia="Times New Roman" w:hAnsi="Times New Roman" w:cs="Times New Roman"/>
                <w:b/>
                <w:sz w:val="20"/>
                <w:szCs w:val="20"/>
                <w:lang w:val="en-US"/>
              </w:rPr>
              <w:t xml:space="preserve"> SOC/ preferred term</w:t>
            </w:r>
          </w:p>
        </w:tc>
        <w:tc>
          <w:tcPr>
            <w:tcW w:w="762" w:type="pct"/>
            <w:tcBorders>
              <w:top w:val="single" w:sz="6" w:space="0" w:color="auto"/>
              <w:left w:val="single" w:sz="6" w:space="0" w:color="auto"/>
              <w:bottom w:val="nil"/>
              <w:right w:val="single" w:sz="6" w:space="0" w:color="auto"/>
            </w:tcBorders>
            <w:vAlign w:val="bottom"/>
            <w:hideMark/>
          </w:tcPr>
          <w:p w14:paraId="2491D887" w14:textId="77777777" w:rsidR="00732992" w:rsidRDefault="00732992" w:rsidP="004A7FD3">
            <w:pPr>
              <w:keepNext/>
              <w:spacing w:before="60" w:after="6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4 to &lt;12 years</w:t>
            </w:r>
          </w:p>
        </w:tc>
        <w:tc>
          <w:tcPr>
            <w:tcW w:w="675" w:type="pct"/>
            <w:tcBorders>
              <w:top w:val="single" w:sz="6" w:space="0" w:color="auto"/>
              <w:left w:val="single" w:sz="6" w:space="0" w:color="auto"/>
              <w:bottom w:val="nil"/>
              <w:right w:val="single" w:sz="6" w:space="0" w:color="auto"/>
            </w:tcBorders>
            <w:vAlign w:val="bottom"/>
            <w:hideMark/>
          </w:tcPr>
          <w:p w14:paraId="0A2C6A7E" w14:textId="77777777" w:rsidR="00732992" w:rsidRDefault="00732992" w:rsidP="004A7FD3">
            <w:pPr>
              <w:keepNext/>
              <w:keepLines/>
              <w:spacing w:before="60" w:after="6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12 to &lt;16 years</w:t>
            </w:r>
          </w:p>
        </w:tc>
        <w:tc>
          <w:tcPr>
            <w:tcW w:w="1501" w:type="pct"/>
            <w:tcBorders>
              <w:top w:val="single" w:sz="6" w:space="0" w:color="auto"/>
              <w:left w:val="single" w:sz="6" w:space="0" w:color="auto"/>
              <w:bottom w:val="nil"/>
              <w:right w:val="single" w:sz="6" w:space="0" w:color="auto"/>
            </w:tcBorders>
            <w:vAlign w:val="bottom"/>
            <w:hideMark/>
          </w:tcPr>
          <w:p w14:paraId="64FE2722" w14:textId="77777777" w:rsidR="00732992" w:rsidRDefault="00732992" w:rsidP="004A7FD3">
            <w:pPr>
              <w:keepNext/>
              <w:keepLines/>
              <w:spacing w:before="60" w:after="6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Total 4 to &lt;16 years</w:t>
            </w:r>
          </w:p>
        </w:tc>
      </w:tr>
      <w:tr w:rsidR="00732992" w14:paraId="7CF66E3D" w14:textId="77777777" w:rsidTr="004A7FD3">
        <w:trPr>
          <w:cantSplit/>
          <w:trHeight w:val="201"/>
          <w:jc w:val="center"/>
        </w:trPr>
        <w:tc>
          <w:tcPr>
            <w:tcW w:w="2062" w:type="pct"/>
            <w:tcBorders>
              <w:top w:val="single" w:sz="6" w:space="0" w:color="auto"/>
              <w:left w:val="single" w:sz="6" w:space="0" w:color="auto"/>
              <w:bottom w:val="single" w:sz="6" w:space="0" w:color="auto"/>
              <w:right w:val="single" w:sz="6" w:space="0" w:color="auto"/>
            </w:tcBorders>
            <w:vAlign w:val="bottom"/>
          </w:tcPr>
          <w:p w14:paraId="238EBEF2" w14:textId="77777777" w:rsidR="00732992" w:rsidRDefault="00732992" w:rsidP="004A7FD3">
            <w:pPr>
              <w:keepNext/>
              <w:spacing w:before="60" w:after="60" w:line="240" w:lineRule="auto"/>
              <w:rPr>
                <w:rFonts w:ascii="Times New Roman" w:eastAsia="Times New Roman" w:hAnsi="Times New Roman" w:cs="Times New Roman"/>
                <w:b/>
                <w:sz w:val="20"/>
                <w:szCs w:val="20"/>
                <w:lang w:val="en-US"/>
              </w:rPr>
            </w:pPr>
          </w:p>
        </w:tc>
        <w:tc>
          <w:tcPr>
            <w:tcW w:w="762" w:type="pct"/>
            <w:tcBorders>
              <w:top w:val="nil"/>
              <w:left w:val="single" w:sz="6" w:space="0" w:color="auto"/>
              <w:bottom w:val="single" w:sz="4" w:space="0" w:color="auto"/>
              <w:right w:val="single" w:sz="6" w:space="0" w:color="auto"/>
            </w:tcBorders>
            <w:vAlign w:val="bottom"/>
            <w:hideMark/>
          </w:tcPr>
          <w:p w14:paraId="36401AD6" w14:textId="77777777" w:rsidR="00732992" w:rsidRDefault="00732992" w:rsidP="004A7FD3">
            <w:pPr>
              <w:keepNext/>
              <w:keepLines/>
              <w:spacing w:before="60" w:after="6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N=168</w:t>
            </w:r>
          </w:p>
        </w:tc>
        <w:tc>
          <w:tcPr>
            <w:tcW w:w="675" w:type="pct"/>
            <w:tcBorders>
              <w:top w:val="nil"/>
              <w:left w:val="single" w:sz="6" w:space="0" w:color="auto"/>
              <w:bottom w:val="single" w:sz="4" w:space="0" w:color="auto"/>
              <w:right w:val="single" w:sz="6" w:space="0" w:color="auto"/>
            </w:tcBorders>
            <w:vAlign w:val="bottom"/>
            <w:hideMark/>
          </w:tcPr>
          <w:p w14:paraId="5452642D" w14:textId="77777777" w:rsidR="00732992" w:rsidRDefault="00732992" w:rsidP="004A7FD3">
            <w:pPr>
              <w:keepNext/>
              <w:keepLines/>
              <w:spacing w:before="60" w:after="6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N=89</w:t>
            </w:r>
          </w:p>
        </w:tc>
        <w:tc>
          <w:tcPr>
            <w:tcW w:w="1501" w:type="pct"/>
            <w:tcBorders>
              <w:top w:val="nil"/>
              <w:left w:val="single" w:sz="6" w:space="0" w:color="auto"/>
              <w:bottom w:val="single" w:sz="4" w:space="0" w:color="auto"/>
              <w:right w:val="single" w:sz="6" w:space="0" w:color="auto"/>
            </w:tcBorders>
            <w:vAlign w:val="bottom"/>
            <w:hideMark/>
          </w:tcPr>
          <w:p w14:paraId="77D9E36B" w14:textId="77777777" w:rsidR="00732992" w:rsidRDefault="00732992" w:rsidP="004A7FD3">
            <w:pPr>
              <w:keepNext/>
              <w:keepLines/>
              <w:spacing w:before="60" w:after="6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N=257</w:t>
            </w:r>
          </w:p>
        </w:tc>
      </w:tr>
      <w:tr w:rsidR="00732992" w14:paraId="2C0C4D7A" w14:textId="77777777" w:rsidTr="004A7FD3">
        <w:trPr>
          <w:cantSplit/>
          <w:jc w:val="center"/>
        </w:trPr>
        <w:tc>
          <w:tcPr>
            <w:tcW w:w="2062" w:type="pct"/>
            <w:tcBorders>
              <w:top w:val="single" w:sz="6" w:space="0" w:color="auto"/>
              <w:left w:val="single" w:sz="6" w:space="0" w:color="auto"/>
              <w:bottom w:val="nil"/>
              <w:right w:val="single" w:sz="6" w:space="0" w:color="auto"/>
            </w:tcBorders>
            <w:vAlign w:val="bottom"/>
          </w:tcPr>
          <w:p w14:paraId="14F0096E" w14:textId="77777777" w:rsidR="00732992" w:rsidRDefault="00732992" w:rsidP="004A7FD3">
            <w:pPr>
              <w:keepNext/>
              <w:spacing w:before="60" w:after="60" w:line="240" w:lineRule="auto"/>
              <w:rPr>
                <w:rFonts w:ascii="Times New Roman" w:eastAsia="Times New Roman" w:hAnsi="Times New Roman" w:cs="Times New Roman"/>
                <w:b/>
                <w:sz w:val="20"/>
                <w:szCs w:val="20"/>
                <w:lang w:val="en-US"/>
              </w:rPr>
            </w:pPr>
          </w:p>
        </w:tc>
        <w:tc>
          <w:tcPr>
            <w:tcW w:w="2938" w:type="pct"/>
            <w:gridSpan w:val="3"/>
            <w:tcBorders>
              <w:top w:val="nil"/>
              <w:left w:val="single" w:sz="6" w:space="0" w:color="auto"/>
              <w:bottom w:val="single" w:sz="6" w:space="0" w:color="auto"/>
              <w:right w:val="single" w:sz="6" w:space="0" w:color="auto"/>
            </w:tcBorders>
            <w:vAlign w:val="bottom"/>
            <w:hideMark/>
          </w:tcPr>
          <w:p w14:paraId="57A690C2" w14:textId="77777777" w:rsidR="00732992" w:rsidRDefault="00732992" w:rsidP="004A7FD3">
            <w:pPr>
              <w:keepNext/>
              <w:keepLines/>
              <w:spacing w:before="60" w:after="6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 xml:space="preserve">n (%) </w:t>
            </w:r>
          </w:p>
        </w:tc>
      </w:tr>
      <w:tr w:rsidR="00732992" w14:paraId="510FF559"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6F05037B" w14:textId="77777777" w:rsidR="00732992" w:rsidRDefault="00732992" w:rsidP="004A7FD3">
            <w:pPr>
              <w:keepNext/>
              <w:spacing w:before="60" w:after="6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Any TEAE</w:t>
            </w:r>
          </w:p>
        </w:tc>
        <w:tc>
          <w:tcPr>
            <w:tcW w:w="762" w:type="pct"/>
            <w:tcBorders>
              <w:top w:val="single" w:sz="6" w:space="0" w:color="auto"/>
              <w:left w:val="single" w:sz="6" w:space="0" w:color="auto"/>
              <w:bottom w:val="single" w:sz="6" w:space="0" w:color="auto"/>
              <w:right w:val="single" w:sz="6" w:space="0" w:color="auto"/>
            </w:tcBorders>
            <w:hideMark/>
          </w:tcPr>
          <w:p w14:paraId="2E636E6F"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138 (82.1) </w:t>
            </w:r>
          </w:p>
        </w:tc>
        <w:tc>
          <w:tcPr>
            <w:tcW w:w="675" w:type="pct"/>
            <w:tcBorders>
              <w:top w:val="single" w:sz="6" w:space="0" w:color="auto"/>
              <w:left w:val="single" w:sz="6" w:space="0" w:color="auto"/>
              <w:bottom w:val="single" w:sz="6" w:space="0" w:color="auto"/>
              <w:right w:val="single" w:sz="6" w:space="0" w:color="auto"/>
            </w:tcBorders>
            <w:hideMark/>
          </w:tcPr>
          <w:p w14:paraId="37906FC4"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65 (73.0) </w:t>
            </w:r>
          </w:p>
        </w:tc>
        <w:tc>
          <w:tcPr>
            <w:tcW w:w="1501" w:type="pct"/>
            <w:tcBorders>
              <w:top w:val="single" w:sz="6" w:space="0" w:color="auto"/>
              <w:left w:val="single" w:sz="6" w:space="0" w:color="auto"/>
              <w:bottom w:val="single" w:sz="6" w:space="0" w:color="auto"/>
              <w:right w:val="single" w:sz="6" w:space="0" w:color="auto"/>
            </w:tcBorders>
            <w:hideMark/>
          </w:tcPr>
          <w:p w14:paraId="3B1C8B12"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203 (79.0) </w:t>
            </w:r>
          </w:p>
        </w:tc>
      </w:tr>
      <w:tr w:rsidR="00732992" w14:paraId="11557D2F" w14:textId="77777777" w:rsidTr="004A7FD3">
        <w:trPr>
          <w:cantSplit/>
          <w:jc w:val="center"/>
        </w:trPr>
        <w:tc>
          <w:tcPr>
            <w:tcW w:w="5000" w:type="pct"/>
            <w:gridSpan w:val="4"/>
            <w:tcBorders>
              <w:top w:val="single" w:sz="6" w:space="0" w:color="auto"/>
              <w:left w:val="single" w:sz="6" w:space="0" w:color="auto"/>
              <w:bottom w:val="single" w:sz="6" w:space="0" w:color="auto"/>
              <w:right w:val="single" w:sz="6" w:space="0" w:color="auto"/>
            </w:tcBorders>
            <w:vAlign w:val="bottom"/>
            <w:hideMark/>
          </w:tcPr>
          <w:p w14:paraId="6C443FEE" w14:textId="77777777" w:rsidR="00732992" w:rsidRDefault="00732992" w:rsidP="004A7FD3">
            <w:pPr>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lang w:val="en-US"/>
              </w:rPr>
              <w:t>Eye disorders</w:t>
            </w:r>
          </w:p>
        </w:tc>
      </w:tr>
      <w:tr w:rsidR="00732992" w14:paraId="7FE44B56"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17B020F6"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Diplopia </w:t>
            </w:r>
          </w:p>
        </w:tc>
        <w:tc>
          <w:tcPr>
            <w:tcW w:w="762" w:type="pct"/>
            <w:tcBorders>
              <w:top w:val="single" w:sz="6" w:space="0" w:color="auto"/>
              <w:left w:val="single" w:sz="6" w:space="0" w:color="auto"/>
              <w:bottom w:val="single" w:sz="6" w:space="0" w:color="auto"/>
              <w:right w:val="single" w:sz="6" w:space="0" w:color="auto"/>
            </w:tcBorders>
            <w:hideMark/>
          </w:tcPr>
          <w:p w14:paraId="5AED2946"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6 (3.6) </w:t>
            </w:r>
          </w:p>
        </w:tc>
        <w:tc>
          <w:tcPr>
            <w:tcW w:w="675" w:type="pct"/>
            <w:tcBorders>
              <w:top w:val="single" w:sz="6" w:space="0" w:color="auto"/>
              <w:left w:val="single" w:sz="6" w:space="0" w:color="auto"/>
              <w:bottom w:val="single" w:sz="6" w:space="0" w:color="auto"/>
              <w:right w:val="single" w:sz="6" w:space="0" w:color="auto"/>
            </w:tcBorders>
            <w:hideMark/>
          </w:tcPr>
          <w:p w14:paraId="57554D34"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6 (6.7) </w:t>
            </w:r>
          </w:p>
        </w:tc>
        <w:tc>
          <w:tcPr>
            <w:tcW w:w="1501" w:type="pct"/>
            <w:tcBorders>
              <w:top w:val="single" w:sz="6" w:space="0" w:color="auto"/>
              <w:left w:val="single" w:sz="6" w:space="0" w:color="auto"/>
              <w:bottom w:val="single" w:sz="6" w:space="0" w:color="auto"/>
              <w:right w:val="single" w:sz="6" w:space="0" w:color="auto"/>
            </w:tcBorders>
            <w:hideMark/>
          </w:tcPr>
          <w:p w14:paraId="7E7F9782"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12 (4.7) </w:t>
            </w:r>
          </w:p>
        </w:tc>
      </w:tr>
      <w:tr w:rsidR="00732992" w14:paraId="354B475F" w14:textId="77777777" w:rsidTr="004A7FD3">
        <w:trPr>
          <w:cantSplit/>
          <w:jc w:val="center"/>
        </w:trPr>
        <w:tc>
          <w:tcPr>
            <w:tcW w:w="5000" w:type="pct"/>
            <w:gridSpan w:val="4"/>
            <w:tcBorders>
              <w:top w:val="single" w:sz="6" w:space="0" w:color="auto"/>
              <w:left w:val="single" w:sz="6" w:space="0" w:color="auto"/>
              <w:bottom w:val="single" w:sz="6" w:space="0" w:color="auto"/>
              <w:right w:val="single" w:sz="6" w:space="0" w:color="auto"/>
            </w:tcBorders>
            <w:vAlign w:val="bottom"/>
            <w:hideMark/>
          </w:tcPr>
          <w:p w14:paraId="742B1ED8" w14:textId="77777777" w:rsidR="00732992" w:rsidRDefault="00732992" w:rsidP="004A7FD3">
            <w:pPr>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lang w:val="en-US"/>
              </w:rPr>
              <w:t>Gastrointestinal disorders</w:t>
            </w:r>
          </w:p>
        </w:tc>
      </w:tr>
      <w:tr w:rsidR="00732992" w14:paraId="0863183E"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23FDC794"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Vomiting </w:t>
            </w:r>
          </w:p>
        </w:tc>
        <w:tc>
          <w:tcPr>
            <w:tcW w:w="762" w:type="pct"/>
            <w:tcBorders>
              <w:top w:val="single" w:sz="6" w:space="0" w:color="auto"/>
              <w:left w:val="single" w:sz="6" w:space="0" w:color="auto"/>
              <w:bottom w:val="single" w:sz="6" w:space="0" w:color="auto"/>
              <w:right w:val="single" w:sz="6" w:space="0" w:color="auto"/>
            </w:tcBorders>
            <w:hideMark/>
          </w:tcPr>
          <w:p w14:paraId="59DE37DB"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33 (19.6) </w:t>
            </w:r>
          </w:p>
        </w:tc>
        <w:tc>
          <w:tcPr>
            <w:tcW w:w="675" w:type="pct"/>
            <w:tcBorders>
              <w:top w:val="single" w:sz="6" w:space="0" w:color="auto"/>
              <w:left w:val="single" w:sz="6" w:space="0" w:color="auto"/>
              <w:bottom w:val="single" w:sz="6" w:space="0" w:color="auto"/>
              <w:right w:val="single" w:sz="6" w:space="0" w:color="auto"/>
            </w:tcBorders>
            <w:hideMark/>
          </w:tcPr>
          <w:p w14:paraId="3D11A426"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11 (12.4) </w:t>
            </w:r>
          </w:p>
        </w:tc>
        <w:tc>
          <w:tcPr>
            <w:tcW w:w="1501" w:type="pct"/>
            <w:tcBorders>
              <w:top w:val="single" w:sz="6" w:space="0" w:color="auto"/>
              <w:left w:val="single" w:sz="6" w:space="0" w:color="auto"/>
              <w:bottom w:val="single" w:sz="6" w:space="0" w:color="auto"/>
              <w:right w:val="single" w:sz="6" w:space="0" w:color="auto"/>
            </w:tcBorders>
            <w:hideMark/>
          </w:tcPr>
          <w:p w14:paraId="68D32C9B"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44 (17.1) </w:t>
            </w:r>
          </w:p>
        </w:tc>
      </w:tr>
      <w:tr w:rsidR="00732992" w14:paraId="0BE60A15"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5CA5C582"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Diarrhoea </w:t>
            </w:r>
          </w:p>
        </w:tc>
        <w:tc>
          <w:tcPr>
            <w:tcW w:w="762" w:type="pct"/>
            <w:tcBorders>
              <w:top w:val="single" w:sz="6" w:space="0" w:color="auto"/>
              <w:left w:val="single" w:sz="6" w:space="0" w:color="auto"/>
              <w:bottom w:val="single" w:sz="6" w:space="0" w:color="auto"/>
              <w:right w:val="single" w:sz="6" w:space="0" w:color="auto"/>
            </w:tcBorders>
            <w:hideMark/>
          </w:tcPr>
          <w:p w14:paraId="5E96F4E6"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15 (8.9) </w:t>
            </w:r>
          </w:p>
        </w:tc>
        <w:tc>
          <w:tcPr>
            <w:tcW w:w="675" w:type="pct"/>
            <w:tcBorders>
              <w:top w:val="single" w:sz="6" w:space="0" w:color="auto"/>
              <w:left w:val="single" w:sz="6" w:space="0" w:color="auto"/>
              <w:bottom w:val="single" w:sz="6" w:space="0" w:color="auto"/>
              <w:right w:val="single" w:sz="6" w:space="0" w:color="auto"/>
            </w:tcBorders>
            <w:hideMark/>
          </w:tcPr>
          <w:p w14:paraId="603E123D"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9 (10.1) </w:t>
            </w:r>
          </w:p>
        </w:tc>
        <w:tc>
          <w:tcPr>
            <w:tcW w:w="1501" w:type="pct"/>
            <w:tcBorders>
              <w:top w:val="single" w:sz="6" w:space="0" w:color="auto"/>
              <w:left w:val="single" w:sz="6" w:space="0" w:color="auto"/>
              <w:bottom w:val="single" w:sz="6" w:space="0" w:color="auto"/>
              <w:right w:val="single" w:sz="6" w:space="0" w:color="auto"/>
            </w:tcBorders>
            <w:hideMark/>
          </w:tcPr>
          <w:p w14:paraId="484EA393"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24 (9.3) </w:t>
            </w:r>
          </w:p>
        </w:tc>
      </w:tr>
      <w:tr w:rsidR="00732992" w14:paraId="1FD568F5"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131D8CA4"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Nausea </w:t>
            </w:r>
          </w:p>
        </w:tc>
        <w:tc>
          <w:tcPr>
            <w:tcW w:w="762" w:type="pct"/>
            <w:tcBorders>
              <w:top w:val="single" w:sz="6" w:space="0" w:color="auto"/>
              <w:left w:val="single" w:sz="6" w:space="0" w:color="auto"/>
              <w:bottom w:val="single" w:sz="6" w:space="0" w:color="auto"/>
              <w:right w:val="single" w:sz="6" w:space="0" w:color="auto"/>
            </w:tcBorders>
            <w:hideMark/>
          </w:tcPr>
          <w:p w14:paraId="6FA92E37"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11 (6.5) </w:t>
            </w:r>
          </w:p>
        </w:tc>
        <w:tc>
          <w:tcPr>
            <w:tcW w:w="675" w:type="pct"/>
            <w:tcBorders>
              <w:top w:val="single" w:sz="6" w:space="0" w:color="auto"/>
              <w:left w:val="single" w:sz="6" w:space="0" w:color="auto"/>
              <w:bottom w:val="single" w:sz="6" w:space="0" w:color="auto"/>
              <w:right w:val="single" w:sz="6" w:space="0" w:color="auto"/>
            </w:tcBorders>
            <w:hideMark/>
          </w:tcPr>
          <w:p w14:paraId="485EEE7D" w14:textId="77777777" w:rsidR="00732992" w:rsidRDefault="00732992" w:rsidP="004A7FD3">
            <w:pPr>
              <w:spacing w:before="60" w:after="60" w:line="240" w:lineRule="auto"/>
              <w:jc w:val="center"/>
              <w:rPr>
                <w:rFonts w:ascii="Times New Roman" w:eastAsia="MS Mincho" w:hAnsi="Times New Roman" w:cs="Times New Roman"/>
                <w:sz w:val="20"/>
                <w:szCs w:val="20"/>
                <w:lang w:val="en-US" w:eastAsia="ja-JP"/>
              </w:rPr>
            </w:pPr>
            <w:r>
              <w:rPr>
                <w:rFonts w:ascii="Times New Roman" w:eastAsia="Times New Roman" w:hAnsi="Times New Roman" w:cs="Times New Roman"/>
                <w:sz w:val="20"/>
                <w:szCs w:val="20"/>
                <w:lang w:val="en-US"/>
              </w:rPr>
              <w:t xml:space="preserve">4 (4.5) </w:t>
            </w:r>
          </w:p>
        </w:tc>
        <w:tc>
          <w:tcPr>
            <w:tcW w:w="1501" w:type="pct"/>
            <w:tcBorders>
              <w:top w:val="single" w:sz="6" w:space="0" w:color="auto"/>
              <w:left w:val="single" w:sz="6" w:space="0" w:color="auto"/>
              <w:bottom w:val="single" w:sz="6" w:space="0" w:color="auto"/>
              <w:right w:val="single" w:sz="6" w:space="0" w:color="auto"/>
            </w:tcBorders>
            <w:hideMark/>
          </w:tcPr>
          <w:p w14:paraId="7CF00AA5"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15 (5.8) </w:t>
            </w:r>
          </w:p>
        </w:tc>
      </w:tr>
      <w:tr w:rsidR="00732992" w14:paraId="7546AEDE"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59285326"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Abdominal pain upper </w:t>
            </w:r>
          </w:p>
        </w:tc>
        <w:tc>
          <w:tcPr>
            <w:tcW w:w="762" w:type="pct"/>
            <w:tcBorders>
              <w:top w:val="single" w:sz="6" w:space="0" w:color="auto"/>
              <w:left w:val="single" w:sz="6" w:space="0" w:color="auto"/>
              <w:bottom w:val="single" w:sz="6" w:space="0" w:color="auto"/>
              <w:right w:val="single" w:sz="6" w:space="0" w:color="auto"/>
            </w:tcBorders>
            <w:hideMark/>
          </w:tcPr>
          <w:p w14:paraId="7B0AB1F7"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9 (5.4) </w:t>
            </w:r>
          </w:p>
        </w:tc>
        <w:tc>
          <w:tcPr>
            <w:tcW w:w="675" w:type="pct"/>
            <w:tcBorders>
              <w:top w:val="single" w:sz="6" w:space="0" w:color="auto"/>
              <w:left w:val="single" w:sz="6" w:space="0" w:color="auto"/>
              <w:bottom w:val="single" w:sz="6" w:space="0" w:color="auto"/>
              <w:right w:val="single" w:sz="6" w:space="0" w:color="auto"/>
            </w:tcBorders>
            <w:hideMark/>
          </w:tcPr>
          <w:p w14:paraId="645A56C6"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5 (5.6) </w:t>
            </w:r>
          </w:p>
        </w:tc>
        <w:tc>
          <w:tcPr>
            <w:tcW w:w="1501" w:type="pct"/>
            <w:tcBorders>
              <w:top w:val="single" w:sz="6" w:space="0" w:color="auto"/>
              <w:left w:val="single" w:sz="6" w:space="0" w:color="auto"/>
              <w:bottom w:val="single" w:sz="6" w:space="0" w:color="auto"/>
              <w:right w:val="single" w:sz="6" w:space="0" w:color="auto"/>
            </w:tcBorders>
            <w:hideMark/>
          </w:tcPr>
          <w:p w14:paraId="78BFE87B"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14 (5.4) </w:t>
            </w:r>
          </w:p>
        </w:tc>
      </w:tr>
      <w:tr w:rsidR="00732992" w14:paraId="0FFA5260"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33AF61FA"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Constipation </w:t>
            </w:r>
          </w:p>
        </w:tc>
        <w:tc>
          <w:tcPr>
            <w:tcW w:w="762" w:type="pct"/>
            <w:tcBorders>
              <w:top w:val="single" w:sz="6" w:space="0" w:color="auto"/>
              <w:left w:val="single" w:sz="6" w:space="0" w:color="auto"/>
              <w:bottom w:val="single" w:sz="6" w:space="0" w:color="auto"/>
              <w:right w:val="single" w:sz="6" w:space="0" w:color="auto"/>
            </w:tcBorders>
            <w:hideMark/>
          </w:tcPr>
          <w:p w14:paraId="6A4E79E0"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8 (4.8)  </w:t>
            </w:r>
          </w:p>
        </w:tc>
        <w:tc>
          <w:tcPr>
            <w:tcW w:w="675" w:type="pct"/>
            <w:tcBorders>
              <w:top w:val="single" w:sz="6" w:space="0" w:color="auto"/>
              <w:left w:val="single" w:sz="6" w:space="0" w:color="auto"/>
              <w:bottom w:val="single" w:sz="6" w:space="0" w:color="auto"/>
              <w:right w:val="single" w:sz="6" w:space="0" w:color="auto"/>
            </w:tcBorders>
            <w:hideMark/>
          </w:tcPr>
          <w:p w14:paraId="5FA68035" w14:textId="77777777" w:rsidR="00732992" w:rsidRDefault="00732992" w:rsidP="004A7FD3">
            <w:pPr>
              <w:spacing w:before="60" w:after="60" w:line="240" w:lineRule="auto"/>
              <w:jc w:val="center"/>
              <w:rPr>
                <w:rFonts w:ascii="Times New Roman" w:eastAsia="MS Mincho" w:hAnsi="Times New Roman" w:cs="Times New Roman"/>
                <w:sz w:val="20"/>
                <w:szCs w:val="20"/>
                <w:lang w:val="en-US" w:eastAsia="ja-JP"/>
              </w:rPr>
            </w:pPr>
            <w:r>
              <w:rPr>
                <w:rFonts w:ascii="Times New Roman" w:eastAsia="Times New Roman" w:hAnsi="Times New Roman" w:cs="Times New Roman"/>
                <w:sz w:val="20"/>
                <w:szCs w:val="20"/>
                <w:lang w:val="en-US"/>
              </w:rPr>
              <w:t xml:space="preserve">5 (5.6) </w:t>
            </w:r>
          </w:p>
        </w:tc>
        <w:tc>
          <w:tcPr>
            <w:tcW w:w="1501" w:type="pct"/>
            <w:tcBorders>
              <w:top w:val="single" w:sz="6" w:space="0" w:color="auto"/>
              <w:left w:val="single" w:sz="6" w:space="0" w:color="auto"/>
              <w:bottom w:val="single" w:sz="6" w:space="0" w:color="auto"/>
              <w:right w:val="single" w:sz="6" w:space="0" w:color="auto"/>
            </w:tcBorders>
            <w:hideMark/>
          </w:tcPr>
          <w:p w14:paraId="1191586F"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13 (5.1) </w:t>
            </w:r>
          </w:p>
        </w:tc>
      </w:tr>
      <w:tr w:rsidR="00732992" w14:paraId="27EC848C"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1136DB42" w14:textId="77777777" w:rsidR="00732992" w:rsidRDefault="00732992" w:rsidP="004A7FD3">
            <w:pPr>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Abdominal pain </w:t>
            </w:r>
          </w:p>
        </w:tc>
        <w:tc>
          <w:tcPr>
            <w:tcW w:w="762" w:type="pct"/>
            <w:tcBorders>
              <w:top w:val="single" w:sz="6" w:space="0" w:color="auto"/>
              <w:left w:val="single" w:sz="6" w:space="0" w:color="auto"/>
              <w:bottom w:val="single" w:sz="6" w:space="0" w:color="auto"/>
              <w:right w:val="single" w:sz="6" w:space="0" w:color="auto"/>
            </w:tcBorders>
            <w:hideMark/>
          </w:tcPr>
          <w:p w14:paraId="0086372A"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12 (7.1) </w:t>
            </w:r>
          </w:p>
        </w:tc>
        <w:tc>
          <w:tcPr>
            <w:tcW w:w="675" w:type="pct"/>
            <w:tcBorders>
              <w:top w:val="single" w:sz="6" w:space="0" w:color="auto"/>
              <w:left w:val="single" w:sz="6" w:space="0" w:color="auto"/>
              <w:bottom w:val="single" w:sz="6" w:space="0" w:color="auto"/>
              <w:right w:val="single" w:sz="6" w:space="0" w:color="auto"/>
            </w:tcBorders>
            <w:hideMark/>
          </w:tcPr>
          <w:p w14:paraId="37FF04F9" w14:textId="77777777" w:rsidR="00732992" w:rsidRDefault="00732992" w:rsidP="004A7FD3">
            <w:pPr>
              <w:spacing w:before="60" w:after="60" w:line="240" w:lineRule="auto"/>
              <w:jc w:val="center"/>
              <w:rPr>
                <w:rFonts w:ascii="Times New Roman" w:eastAsia="MS Mincho" w:hAnsi="Times New Roman" w:cs="Times New Roman"/>
                <w:sz w:val="20"/>
                <w:szCs w:val="20"/>
                <w:lang w:val="en-US" w:eastAsia="ja-JP"/>
              </w:rPr>
            </w:pPr>
            <w:r>
              <w:rPr>
                <w:rFonts w:ascii="Times New Roman" w:eastAsia="Times New Roman" w:hAnsi="Times New Roman" w:cs="Times New Roman"/>
                <w:sz w:val="20"/>
                <w:szCs w:val="20"/>
                <w:lang w:val="en-US"/>
              </w:rPr>
              <w:t xml:space="preserve">2 (2.2) </w:t>
            </w:r>
          </w:p>
        </w:tc>
        <w:tc>
          <w:tcPr>
            <w:tcW w:w="1501" w:type="pct"/>
            <w:tcBorders>
              <w:top w:val="single" w:sz="6" w:space="0" w:color="auto"/>
              <w:left w:val="single" w:sz="6" w:space="0" w:color="auto"/>
              <w:bottom w:val="single" w:sz="6" w:space="0" w:color="auto"/>
              <w:right w:val="single" w:sz="6" w:space="0" w:color="auto"/>
            </w:tcBorders>
            <w:hideMark/>
          </w:tcPr>
          <w:p w14:paraId="4D6E9F92"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14 (5.4) </w:t>
            </w:r>
          </w:p>
        </w:tc>
      </w:tr>
      <w:tr w:rsidR="00732992" w14:paraId="6DCC4FCD" w14:textId="77777777" w:rsidTr="004A7FD3">
        <w:trPr>
          <w:cantSplit/>
          <w:jc w:val="center"/>
        </w:trPr>
        <w:tc>
          <w:tcPr>
            <w:tcW w:w="5000" w:type="pct"/>
            <w:gridSpan w:val="4"/>
            <w:tcBorders>
              <w:top w:val="single" w:sz="6" w:space="0" w:color="auto"/>
              <w:left w:val="single" w:sz="6" w:space="0" w:color="auto"/>
              <w:bottom w:val="single" w:sz="6" w:space="0" w:color="auto"/>
              <w:right w:val="single" w:sz="6" w:space="0" w:color="auto"/>
            </w:tcBorders>
            <w:vAlign w:val="bottom"/>
            <w:hideMark/>
          </w:tcPr>
          <w:p w14:paraId="37A5C6E7" w14:textId="77777777" w:rsidR="00732992" w:rsidRDefault="00732992" w:rsidP="004A7FD3">
            <w:pPr>
              <w:keepNext/>
              <w:spacing w:before="60" w:after="6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General disorders and administration site conditions</w:t>
            </w:r>
          </w:p>
        </w:tc>
      </w:tr>
      <w:tr w:rsidR="00732992" w14:paraId="306E5E39"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521E5B0A"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Pyrexia </w:t>
            </w:r>
          </w:p>
        </w:tc>
        <w:tc>
          <w:tcPr>
            <w:tcW w:w="762" w:type="pct"/>
            <w:tcBorders>
              <w:top w:val="single" w:sz="6" w:space="0" w:color="auto"/>
              <w:left w:val="single" w:sz="6" w:space="0" w:color="auto"/>
              <w:bottom w:val="single" w:sz="6" w:space="0" w:color="auto"/>
              <w:right w:val="single" w:sz="6" w:space="0" w:color="auto"/>
            </w:tcBorders>
            <w:hideMark/>
          </w:tcPr>
          <w:p w14:paraId="71977A4D"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28 (16.7) </w:t>
            </w:r>
          </w:p>
        </w:tc>
        <w:tc>
          <w:tcPr>
            <w:tcW w:w="675" w:type="pct"/>
            <w:tcBorders>
              <w:top w:val="single" w:sz="6" w:space="0" w:color="auto"/>
              <w:left w:val="single" w:sz="6" w:space="0" w:color="auto"/>
              <w:bottom w:val="single" w:sz="6" w:space="0" w:color="auto"/>
              <w:right w:val="single" w:sz="6" w:space="0" w:color="auto"/>
            </w:tcBorders>
            <w:hideMark/>
          </w:tcPr>
          <w:p w14:paraId="5B3BDCD9"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9 (10.1) </w:t>
            </w:r>
          </w:p>
        </w:tc>
        <w:tc>
          <w:tcPr>
            <w:tcW w:w="1501" w:type="pct"/>
            <w:tcBorders>
              <w:top w:val="single" w:sz="6" w:space="0" w:color="auto"/>
              <w:left w:val="single" w:sz="6" w:space="0" w:color="auto"/>
              <w:bottom w:val="single" w:sz="6" w:space="0" w:color="auto"/>
              <w:right w:val="single" w:sz="6" w:space="0" w:color="auto"/>
            </w:tcBorders>
            <w:hideMark/>
          </w:tcPr>
          <w:p w14:paraId="22945ADC"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37 (14.4) </w:t>
            </w:r>
          </w:p>
        </w:tc>
      </w:tr>
      <w:tr w:rsidR="00732992" w14:paraId="3DD83468"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1521824F"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Fatigue </w:t>
            </w:r>
          </w:p>
        </w:tc>
        <w:tc>
          <w:tcPr>
            <w:tcW w:w="762" w:type="pct"/>
            <w:tcBorders>
              <w:top w:val="single" w:sz="6" w:space="0" w:color="auto"/>
              <w:left w:val="single" w:sz="6" w:space="0" w:color="auto"/>
              <w:bottom w:val="single" w:sz="6" w:space="0" w:color="auto"/>
              <w:right w:val="single" w:sz="6" w:space="0" w:color="auto"/>
            </w:tcBorders>
            <w:hideMark/>
          </w:tcPr>
          <w:p w14:paraId="4190BCC2"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10 (6.0) </w:t>
            </w:r>
          </w:p>
        </w:tc>
        <w:tc>
          <w:tcPr>
            <w:tcW w:w="675" w:type="pct"/>
            <w:tcBorders>
              <w:top w:val="single" w:sz="6" w:space="0" w:color="auto"/>
              <w:left w:val="single" w:sz="6" w:space="0" w:color="auto"/>
              <w:bottom w:val="single" w:sz="6" w:space="0" w:color="auto"/>
              <w:right w:val="single" w:sz="6" w:space="0" w:color="auto"/>
            </w:tcBorders>
            <w:hideMark/>
          </w:tcPr>
          <w:p w14:paraId="68A630D2"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7 (7.9) </w:t>
            </w:r>
          </w:p>
        </w:tc>
        <w:tc>
          <w:tcPr>
            <w:tcW w:w="1501" w:type="pct"/>
            <w:tcBorders>
              <w:top w:val="single" w:sz="6" w:space="0" w:color="auto"/>
              <w:left w:val="single" w:sz="6" w:space="0" w:color="auto"/>
              <w:bottom w:val="single" w:sz="6" w:space="0" w:color="auto"/>
              <w:right w:val="single" w:sz="6" w:space="0" w:color="auto"/>
            </w:tcBorders>
            <w:hideMark/>
          </w:tcPr>
          <w:p w14:paraId="4AABDA08"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17 (6.6) </w:t>
            </w:r>
          </w:p>
        </w:tc>
      </w:tr>
      <w:tr w:rsidR="00732992" w14:paraId="0A543EBE"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2A5F48E8" w14:textId="77777777" w:rsidR="00732992" w:rsidRDefault="00732992" w:rsidP="004A7FD3">
            <w:pPr>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Irritability</w:t>
            </w:r>
          </w:p>
        </w:tc>
        <w:tc>
          <w:tcPr>
            <w:tcW w:w="762" w:type="pct"/>
            <w:tcBorders>
              <w:top w:val="single" w:sz="6" w:space="0" w:color="auto"/>
              <w:left w:val="single" w:sz="6" w:space="0" w:color="auto"/>
              <w:bottom w:val="single" w:sz="6" w:space="0" w:color="auto"/>
              <w:right w:val="single" w:sz="6" w:space="0" w:color="auto"/>
            </w:tcBorders>
            <w:hideMark/>
          </w:tcPr>
          <w:p w14:paraId="247CBEEE"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9 (5.4) </w:t>
            </w:r>
          </w:p>
        </w:tc>
        <w:tc>
          <w:tcPr>
            <w:tcW w:w="675" w:type="pct"/>
            <w:tcBorders>
              <w:top w:val="single" w:sz="6" w:space="0" w:color="auto"/>
              <w:left w:val="single" w:sz="6" w:space="0" w:color="auto"/>
              <w:bottom w:val="single" w:sz="6" w:space="0" w:color="auto"/>
              <w:right w:val="single" w:sz="6" w:space="0" w:color="auto"/>
            </w:tcBorders>
            <w:hideMark/>
          </w:tcPr>
          <w:p w14:paraId="60B57159" w14:textId="77777777" w:rsidR="00732992" w:rsidRDefault="00732992" w:rsidP="004A7FD3">
            <w:pPr>
              <w:spacing w:before="60" w:after="60" w:line="240" w:lineRule="auto"/>
              <w:jc w:val="center"/>
              <w:rPr>
                <w:rFonts w:ascii="Times New Roman" w:eastAsia="MS Mincho" w:hAnsi="Times New Roman" w:cs="Times New Roman"/>
                <w:sz w:val="20"/>
                <w:szCs w:val="20"/>
                <w:lang w:val="en-US" w:eastAsia="ja-JP"/>
              </w:rPr>
            </w:pPr>
            <w:r>
              <w:rPr>
                <w:rFonts w:ascii="Times New Roman" w:eastAsia="Times New Roman" w:hAnsi="Times New Roman" w:cs="Times New Roman"/>
                <w:sz w:val="20"/>
                <w:szCs w:val="20"/>
                <w:lang w:val="en-US"/>
              </w:rPr>
              <w:t xml:space="preserve">1 (1.1) </w:t>
            </w:r>
          </w:p>
        </w:tc>
        <w:tc>
          <w:tcPr>
            <w:tcW w:w="1501" w:type="pct"/>
            <w:tcBorders>
              <w:top w:val="single" w:sz="6" w:space="0" w:color="auto"/>
              <w:left w:val="single" w:sz="6" w:space="0" w:color="auto"/>
              <w:bottom w:val="single" w:sz="6" w:space="0" w:color="auto"/>
              <w:right w:val="single" w:sz="6" w:space="0" w:color="auto"/>
            </w:tcBorders>
            <w:hideMark/>
          </w:tcPr>
          <w:p w14:paraId="2BCA48B6" w14:textId="77777777" w:rsidR="00732992" w:rsidRDefault="00732992" w:rsidP="004A7FD3">
            <w:pPr>
              <w:spacing w:before="60" w:after="60" w:line="240" w:lineRule="auto"/>
              <w:jc w:val="center"/>
              <w:rPr>
                <w:rFonts w:ascii="Times New Roman" w:eastAsia="MS Mincho" w:hAnsi="Times New Roman" w:cs="Times New Roman"/>
                <w:sz w:val="20"/>
                <w:szCs w:val="20"/>
                <w:lang w:val="en-US" w:eastAsia="ja-JP"/>
              </w:rPr>
            </w:pPr>
            <w:r>
              <w:rPr>
                <w:rFonts w:ascii="Times New Roman" w:eastAsia="Times New Roman" w:hAnsi="Times New Roman" w:cs="Times New Roman"/>
                <w:sz w:val="20"/>
                <w:szCs w:val="20"/>
                <w:lang w:val="en-US"/>
              </w:rPr>
              <w:t xml:space="preserve">10 (3.9) </w:t>
            </w:r>
          </w:p>
        </w:tc>
      </w:tr>
      <w:tr w:rsidR="00732992" w14:paraId="28170CB0" w14:textId="77777777" w:rsidTr="004A7FD3">
        <w:trPr>
          <w:cantSplit/>
          <w:jc w:val="center"/>
        </w:trPr>
        <w:tc>
          <w:tcPr>
            <w:tcW w:w="5000" w:type="pct"/>
            <w:gridSpan w:val="4"/>
            <w:tcBorders>
              <w:top w:val="single" w:sz="6" w:space="0" w:color="auto"/>
              <w:left w:val="single" w:sz="6" w:space="0" w:color="auto"/>
              <w:bottom w:val="single" w:sz="6" w:space="0" w:color="auto"/>
              <w:right w:val="single" w:sz="6" w:space="0" w:color="auto"/>
            </w:tcBorders>
            <w:vAlign w:val="bottom"/>
            <w:hideMark/>
          </w:tcPr>
          <w:p w14:paraId="5CF7C395"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lang w:val="en-US"/>
              </w:rPr>
              <w:t xml:space="preserve">Infections and infestations </w:t>
            </w:r>
          </w:p>
        </w:tc>
      </w:tr>
      <w:tr w:rsidR="00732992" w14:paraId="5C0699F6"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174E8273"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Nasopharyngitis </w:t>
            </w:r>
          </w:p>
        </w:tc>
        <w:tc>
          <w:tcPr>
            <w:tcW w:w="762" w:type="pct"/>
            <w:tcBorders>
              <w:top w:val="single" w:sz="6" w:space="0" w:color="auto"/>
              <w:left w:val="single" w:sz="6" w:space="0" w:color="auto"/>
              <w:bottom w:val="single" w:sz="6" w:space="0" w:color="auto"/>
              <w:right w:val="single" w:sz="6" w:space="0" w:color="auto"/>
            </w:tcBorders>
            <w:hideMark/>
          </w:tcPr>
          <w:p w14:paraId="39EF2655"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38 (22.6) </w:t>
            </w:r>
          </w:p>
        </w:tc>
        <w:tc>
          <w:tcPr>
            <w:tcW w:w="675" w:type="pct"/>
            <w:tcBorders>
              <w:top w:val="single" w:sz="6" w:space="0" w:color="auto"/>
              <w:left w:val="single" w:sz="6" w:space="0" w:color="auto"/>
              <w:bottom w:val="single" w:sz="6" w:space="0" w:color="auto"/>
              <w:right w:val="single" w:sz="6" w:space="0" w:color="auto"/>
            </w:tcBorders>
            <w:hideMark/>
          </w:tcPr>
          <w:p w14:paraId="269E5955"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8 (9.0) </w:t>
            </w:r>
          </w:p>
        </w:tc>
        <w:tc>
          <w:tcPr>
            <w:tcW w:w="1501" w:type="pct"/>
            <w:tcBorders>
              <w:top w:val="single" w:sz="6" w:space="0" w:color="auto"/>
              <w:left w:val="single" w:sz="6" w:space="0" w:color="auto"/>
              <w:bottom w:val="single" w:sz="6" w:space="0" w:color="auto"/>
              <w:right w:val="single" w:sz="6" w:space="0" w:color="auto"/>
            </w:tcBorders>
            <w:hideMark/>
          </w:tcPr>
          <w:p w14:paraId="23D5CC2D"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46 (17.9) </w:t>
            </w:r>
          </w:p>
        </w:tc>
      </w:tr>
      <w:tr w:rsidR="00732992" w14:paraId="28B48C31"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044D5461"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Upper respiratory tract infection </w:t>
            </w:r>
          </w:p>
        </w:tc>
        <w:tc>
          <w:tcPr>
            <w:tcW w:w="762" w:type="pct"/>
            <w:tcBorders>
              <w:top w:val="single" w:sz="6" w:space="0" w:color="auto"/>
              <w:left w:val="single" w:sz="6" w:space="0" w:color="auto"/>
              <w:bottom w:val="single" w:sz="6" w:space="0" w:color="auto"/>
              <w:right w:val="single" w:sz="6" w:space="0" w:color="auto"/>
            </w:tcBorders>
            <w:hideMark/>
          </w:tcPr>
          <w:p w14:paraId="25AAB0D5"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19 (11.3) </w:t>
            </w:r>
          </w:p>
        </w:tc>
        <w:tc>
          <w:tcPr>
            <w:tcW w:w="675" w:type="pct"/>
            <w:tcBorders>
              <w:top w:val="single" w:sz="6" w:space="0" w:color="auto"/>
              <w:left w:val="single" w:sz="6" w:space="0" w:color="auto"/>
              <w:bottom w:val="single" w:sz="6" w:space="0" w:color="auto"/>
              <w:right w:val="single" w:sz="6" w:space="0" w:color="auto"/>
            </w:tcBorders>
            <w:hideMark/>
          </w:tcPr>
          <w:p w14:paraId="204E9992" w14:textId="77777777" w:rsidR="00732992" w:rsidRDefault="00732992" w:rsidP="004A7FD3">
            <w:pPr>
              <w:spacing w:before="60" w:after="60" w:line="240" w:lineRule="auto"/>
              <w:jc w:val="center"/>
              <w:rPr>
                <w:rFonts w:ascii="Times New Roman" w:eastAsia="MS Mincho" w:hAnsi="Times New Roman" w:cs="Times New Roman"/>
                <w:sz w:val="20"/>
                <w:szCs w:val="20"/>
                <w:lang w:val="en-US" w:eastAsia="ja-JP"/>
              </w:rPr>
            </w:pPr>
            <w:r>
              <w:rPr>
                <w:rFonts w:ascii="Times New Roman" w:eastAsia="Times New Roman" w:hAnsi="Times New Roman" w:cs="Times New Roman"/>
                <w:sz w:val="20"/>
                <w:szCs w:val="20"/>
                <w:lang w:val="en-US"/>
              </w:rPr>
              <w:t xml:space="preserve">8 (9.0) </w:t>
            </w:r>
          </w:p>
        </w:tc>
        <w:tc>
          <w:tcPr>
            <w:tcW w:w="1501" w:type="pct"/>
            <w:tcBorders>
              <w:top w:val="single" w:sz="6" w:space="0" w:color="auto"/>
              <w:left w:val="single" w:sz="6" w:space="0" w:color="auto"/>
              <w:bottom w:val="single" w:sz="6" w:space="0" w:color="auto"/>
              <w:right w:val="single" w:sz="6" w:space="0" w:color="auto"/>
            </w:tcBorders>
            <w:hideMark/>
          </w:tcPr>
          <w:p w14:paraId="026646BE" w14:textId="77777777" w:rsidR="00732992" w:rsidRDefault="00732992" w:rsidP="004A7FD3">
            <w:pPr>
              <w:spacing w:before="60" w:after="60" w:line="240" w:lineRule="auto"/>
              <w:jc w:val="center"/>
              <w:rPr>
                <w:rFonts w:ascii="Times New Roman" w:eastAsia="MS Mincho" w:hAnsi="Times New Roman" w:cs="Times New Roman"/>
                <w:sz w:val="20"/>
                <w:szCs w:val="20"/>
                <w:lang w:val="en-US" w:eastAsia="ja-JP"/>
              </w:rPr>
            </w:pPr>
            <w:r>
              <w:rPr>
                <w:rFonts w:ascii="Times New Roman" w:eastAsia="Times New Roman" w:hAnsi="Times New Roman" w:cs="Times New Roman"/>
                <w:sz w:val="20"/>
                <w:szCs w:val="20"/>
                <w:lang w:val="en-US"/>
              </w:rPr>
              <w:t xml:space="preserve">27 (10.5) </w:t>
            </w:r>
          </w:p>
        </w:tc>
      </w:tr>
      <w:tr w:rsidR="00732992" w14:paraId="213D40A0"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3172EAE0"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Pharyngitis </w:t>
            </w:r>
          </w:p>
        </w:tc>
        <w:tc>
          <w:tcPr>
            <w:tcW w:w="762" w:type="pct"/>
            <w:tcBorders>
              <w:top w:val="single" w:sz="6" w:space="0" w:color="auto"/>
              <w:left w:val="single" w:sz="6" w:space="0" w:color="auto"/>
              <w:bottom w:val="single" w:sz="6" w:space="0" w:color="auto"/>
              <w:right w:val="single" w:sz="6" w:space="0" w:color="auto"/>
            </w:tcBorders>
            <w:hideMark/>
          </w:tcPr>
          <w:p w14:paraId="20A97143"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11 (6.5) </w:t>
            </w:r>
          </w:p>
        </w:tc>
        <w:tc>
          <w:tcPr>
            <w:tcW w:w="675" w:type="pct"/>
            <w:tcBorders>
              <w:top w:val="single" w:sz="6" w:space="0" w:color="auto"/>
              <w:left w:val="single" w:sz="6" w:space="0" w:color="auto"/>
              <w:bottom w:val="single" w:sz="6" w:space="0" w:color="auto"/>
              <w:right w:val="single" w:sz="6" w:space="0" w:color="auto"/>
            </w:tcBorders>
            <w:hideMark/>
          </w:tcPr>
          <w:p w14:paraId="1F6AE1AC" w14:textId="77777777" w:rsidR="00732992" w:rsidRDefault="00732992" w:rsidP="004A7FD3">
            <w:pPr>
              <w:spacing w:before="60" w:after="60" w:line="240" w:lineRule="auto"/>
              <w:jc w:val="center"/>
              <w:rPr>
                <w:rFonts w:ascii="Times New Roman" w:eastAsia="MS Mincho" w:hAnsi="Times New Roman" w:cs="Times New Roman"/>
                <w:sz w:val="20"/>
                <w:szCs w:val="20"/>
                <w:lang w:val="en-US" w:eastAsia="ja-JP"/>
              </w:rPr>
            </w:pPr>
            <w:r>
              <w:rPr>
                <w:rFonts w:ascii="Times New Roman" w:eastAsia="Times New Roman" w:hAnsi="Times New Roman" w:cs="Times New Roman"/>
                <w:sz w:val="20"/>
                <w:szCs w:val="20"/>
                <w:lang w:val="en-US"/>
              </w:rPr>
              <w:t xml:space="preserve">4 (4.5) </w:t>
            </w:r>
          </w:p>
        </w:tc>
        <w:tc>
          <w:tcPr>
            <w:tcW w:w="1501" w:type="pct"/>
            <w:tcBorders>
              <w:top w:val="single" w:sz="6" w:space="0" w:color="auto"/>
              <w:left w:val="single" w:sz="6" w:space="0" w:color="auto"/>
              <w:bottom w:val="single" w:sz="6" w:space="0" w:color="auto"/>
              <w:right w:val="single" w:sz="6" w:space="0" w:color="auto"/>
            </w:tcBorders>
            <w:hideMark/>
          </w:tcPr>
          <w:p w14:paraId="62603E27"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15 (5.8) </w:t>
            </w:r>
          </w:p>
        </w:tc>
      </w:tr>
      <w:tr w:rsidR="00732992" w14:paraId="317934F8"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45E50787" w14:textId="77777777" w:rsidR="00732992" w:rsidRDefault="00732992" w:rsidP="004A7FD3">
            <w:pPr>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Sinusitis </w:t>
            </w:r>
          </w:p>
        </w:tc>
        <w:tc>
          <w:tcPr>
            <w:tcW w:w="762" w:type="pct"/>
            <w:tcBorders>
              <w:top w:val="single" w:sz="6" w:space="0" w:color="auto"/>
              <w:left w:val="single" w:sz="6" w:space="0" w:color="auto"/>
              <w:bottom w:val="single" w:sz="6" w:space="0" w:color="auto"/>
              <w:right w:val="single" w:sz="6" w:space="0" w:color="auto"/>
            </w:tcBorders>
            <w:hideMark/>
          </w:tcPr>
          <w:p w14:paraId="7E5E91DE"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10 (6.0) </w:t>
            </w:r>
          </w:p>
        </w:tc>
        <w:tc>
          <w:tcPr>
            <w:tcW w:w="675" w:type="pct"/>
            <w:tcBorders>
              <w:top w:val="single" w:sz="6" w:space="0" w:color="auto"/>
              <w:left w:val="single" w:sz="6" w:space="0" w:color="auto"/>
              <w:bottom w:val="single" w:sz="6" w:space="0" w:color="auto"/>
              <w:right w:val="single" w:sz="6" w:space="0" w:color="auto"/>
            </w:tcBorders>
            <w:hideMark/>
          </w:tcPr>
          <w:p w14:paraId="0D0EEAF6"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3 (3.4) </w:t>
            </w:r>
          </w:p>
        </w:tc>
        <w:tc>
          <w:tcPr>
            <w:tcW w:w="1501" w:type="pct"/>
            <w:tcBorders>
              <w:top w:val="single" w:sz="6" w:space="0" w:color="auto"/>
              <w:left w:val="single" w:sz="6" w:space="0" w:color="auto"/>
              <w:bottom w:val="single" w:sz="6" w:space="0" w:color="auto"/>
              <w:right w:val="single" w:sz="6" w:space="0" w:color="auto"/>
            </w:tcBorders>
            <w:hideMark/>
          </w:tcPr>
          <w:p w14:paraId="105895D8"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13 (5.1) </w:t>
            </w:r>
          </w:p>
        </w:tc>
      </w:tr>
      <w:tr w:rsidR="00732992" w14:paraId="069561EF" w14:textId="77777777" w:rsidTr="004A7FD3">
        <w:trPr>
          <w:cantSplit/>
          <w:jc w:val="center"/>
        </w:trPr>
        <w:tc>
          <w:tcPr>
            <w:tcW w:w="5000" w:type="pct"/>
            <w:gridSpan w:val="4"/>
            <w:tcBorders>
              <w:top w:val="single" w:sz="6" w:space="0" w:color="auto"/>
              <w:left w:val="single" w:sz="6" w:space="0" w:color="auto"/>
              <w:bottom w:val="single" w:sz="6" w:space="0" w:color="auto"/>
              <w:right w:val="single" w:sz="6" w:space="0" w:color="auto"/>
            </w:tcBorders>
            <w:vAlign w:val="bottom"/>
            <w:hideMark/>
          </w:tcPr>
          <w:p w14:paraId="11F1DC19" w14:textId="77777777" w:rsidR="00732992" w:rsidRDefault="00732992" w:rsidP="004A7FD3">
            <w:pPr>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lang w:val="en-US"/>
              </w:rPr>
              <w:t xml:space="preserve">Metabolism and nutrition disorders </w:t>
            </w:r>
          </w:p>
        </w:tc>
      </w:tr>
      <w:tr w:rsidR="00732992" w14:paraId="75415D2E"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2BDABFCE" w14:textId="77777777" w:rsidR="00732992" w:rsidRDefault="00732992" w:rsidP="004A7FD3">
            <w:pPr>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Decreased appetite </w:t>
            </w:r>
          </w:p>
        </w:tc>
        <w:tc>
          <w:tcPr>
            <w:tcW w:w="762" w:type="pct"/>
            <w:tcBorders>
              <w:top w:val="single" w:sz="6" w:space="0" w:color="auto"/>
              <w:left w:val="single" w:sz="6" w:space="0" w:color="auto"/>
              <w:bottom w:val="single" w:sz="6" w:space="0" w:color="auto"/>
              <w:right w:val="single" w:sz="6" w:space="0" w:color="auto"/>
            </w:tcBorders>
            <w:hideMark/>
          </w:tcPr>
          <w:p w14:paraId="01FCFB3C"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12 (7.1) </w:t>
            </w:r>
          </w:p>
        </w:tc>
        <w:tc>
          <w:tcPr>
            <w:tcW w:w="675" w:type="pct"/>
            <w:tcBorders>
              <w:top w:val="single" w:sz="6" w:space="0" w:color="auto"/>
              <w:left w:val="single" w:sz="6" w:space="0" w:color="auto"/>
              <w:bottom w:val="single" w:sz="6" w:space="0" w:color="auto"/>
              <w:right w:val="single" w:sz="6" w:space="0" w:color="auto"/>
            </w:tcBorders>
            <w:hideMark/>
          </w:tcPr>
          <w:p w14:paraId="613EE584" w14:textId="77777777" w:rsidR="00732992" w:rsidRDefault="00732992" w:rsidP="004A7FD3">
            <w:pPr>
              <w:spacing w:before="60" w:after="60" w:line="240" w:lineRule="auto"/>
              <w:jc w:val="center"/>
              <w:rPr>
                <w:rFonts w:ascii="Times New Roman" w:eastAsia="MS Mincho" w:hAnsi="Times New Roman" w:cs="Times New Roman"/>
                <w:sz w:val="20"/>
                <w:szCs w:val="20"/>
                <w:lang w:val="en-US" w:eastAsia="ja-JP"/>
              </w:rPr>
            </w:pPr>
            <w:r>
              <w:rPr>
                <w:rFonts w:ascii="Times New Roman" w:eastAsia="Times New Roman" w:hAnsi="Times New Roman" w:cs="Times New Roman"/>
                <w:sz w:val="20"/>
                <w:szCs w:val="20"/>
                <w:lang w:val="en-US"/>
              </w:rPr>
              <w:t xml:space="preserve">5 (5.6) </w:t>
            </w:r>
          </w:p>
        </w:tc>
        <w:tc>
          <w:tcPr>
            <w:tcW w:w="1501" w:type="pct"/>
            <w:tcBorders>
              <w:top w:val="single" w:sz="6" w:space="0" w:color="auto"/>
              <w:left w:val="single" w:sz="6" w:space="0" w:color="auto"/>
              <w:bottom w:val="single" w:sz="6" w:space="0" w:color="auto"/>
              <w:right w:val="single" w:sz="6" w:space="0" w:color="auto"/>
            </w:tcBorders>
            <w:hideMark/>
          </w:tcPr>
          <w:p w14:paraId="44F7E60D" w14:textId="77777777" w:rsidR="00732992" w:rsidRDefault="00732992" w:rsidP="004A7FD3">
            <w:pPr>
              <w:spacing w:before="60" w:after="60" w:line="240" w:lineRule="auto"/>
              <w:jc w:val="center"/>
              <w:rPr>
                <w:rFonts w:ascii="Times New Roman" w:eastAsia="MS Mincho" w:hAnsi="Times New Roman" w:cs="Times New Roman"/>
                <w:sz w:val="20"/>
                <w:szCs w:val="20"/>
                <w:lang w:val="en-US" w:eastAsia="ja-JP"/>
              </w:rPr>
            </w:pPr>
            <w:r>
              <w:rPr>
                <w:rFonts w:ascii="Times New Roman" w:eastAsia="Times New Roman" w:hAnsi="Times New Roman" w:cs="Times New Roman"/>
                <w:sz w:val="20"/>
                <w:szCs w:val="20"/>
                <w:lang w:val="en-US"/>
              </w:rPr>
              <w:t xml:space="preserve">17 (6.6) </w:t>
            </w:r>
          </w:p>
        </w:tc>
      </w:tr>
      <w:tr w:rsidR="00732992" w14:paraId="1B117230" w14:textId="77777777" w:rsidTr="004A7FD3">
        <w:trPr>
          <w:cantSplit/>
          <w:jc w:val="center"/>
        </w:trPr>
        <w:tc>
          <w:tcPr>
            <w:tcW w:w="5000" w:type="pct"/>
            <w:gridSpan w:val="4"/>
            <w:tcBorders>
              <w:top w:val="single" w:sz="6" w:space="0" w:color="auto"/>
              <w:left w:val="single" w:sz="6" w:space="0" w:color="auto"/>
              <w:bottom w:val="single" w:sz="6" w:space="0" w:color="auto"/>
              <w:right w:val="single" w:sz="6" w:space="0" w:color="auto"/>
            </w:tcBorders>
            <w:vAlign w:val="bottom"/>
            <w:hideMark/>
          </w:tcPr>
          <w:p w14:paraId="67A0B375" w14:textId="77777777" w:rsidR="00732992" w:rsidRDefault="00732992" w:rsidP="004A7FD3">
            <w:pPr>
              <w:spacing w:before="60" w:after="6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 xml:space="preserve">Nervous system disorders </w:t>
            </w:r>
          </w:p>
        </w:tc>
      </w:tr>
      <w:tr w:rsidR="00732992" w14:paraId="06C9F283"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07565762" w14:textId="77777777" w:rsidR="00732992" w:rsidRDefault="00732992" w:rsidP="004A7FD3">
            <w:pPr>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Dizziness </w:t>
            </w:r>
          </w:p>
        </w:tc>
        <w:tc>
          <w:tcPr>
            <w:tcW w:w="762" w:type="pct"/>
            <w:tcBorders>
              <w:top w:val="single" w:sz="6" w:space="0" w:color="auto"/>
              <w:left w:val="single" w:sz="6" w:space="0" w:color="auto"/>
              <w:bottom w:val="single" w:sz="6" w:space="0" w:color="auto"/>
              <w:right w:val="single" w:sz="6" w:space="0" w:color="auto"/>
            </w:tcBorders>
            <w:hideMark/>
          </w:tcPr>
          <w:p w14:paraId="16630A12"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27 (16.1) </w:t>
            </w:r>
          </w:p>
        </w:tc>
        <w:tc>
          <w:tcPr>
            <w:tcW w:w="675" w:type="pct"/>
            <w:tcBorders>
              <w:top w:val="single" w:sz="6" w:space="0" w:color="auto"/>
              <w:left w:val="single" w:sz="6" w:space="0" w:color="auto"/>
              <w:bottom w:val="single" w:sz="6" w:space="0" w:color="auto"/>
              <w:right w:val="single" w:sz="6" w:space="0" w:color="auto"/>
            </w:tcBorders>
            <w:hideMark/>
          </w:tcPr>
          <w:p w14:paraId="7086023E"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16 (18.0) </w:t>
            </w:r>
          </w:p>
        </w:tc>
        <w:tc>
          <w:tcPr>
            <w:tcW w:w="1501" w:type="pct"/>
            <w:tcBorders>
              <w:top w:val="single" w:sz="6" w:space="0" w:color="auto"/>
              <w:left w:val="single" w:sz="6" w:space="0" w:color="auto"/>
              <w:bottom w:val="single" w:sz="6" w:space="0" w:color="auto"/>
              <w:right w:val="single" w:sz="6" w:space="0" w:color="auto"/>
            </w:tcBorders>
            <w:hideMark/>
          </w:tcPr>
          <w:p w14:paraId="6010FD15"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43 (16.7) </w:t>
            </w:r>
          </w:p>
        </w:tc>
      </w:tr>
      <w:tr w:rsidR="00732992" w14:paraId="4C175190"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0C6943F0" w14:textId="77777777" w:rsidR="00732992" w:rsidRDefault="00732992" w:rsidP="004A7FD3">
            <w:pPr>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Somnolence</w:t>
            </w:r>
          </w:p>
        </w:tc>
        <w:tc>
          <w:tcPr>
            <w:tcW w:w="762" w:type="pct"/>
            <w:tcBorders>
              <w:top w:val="single" w:sz="6" w:space="0" w:color="auto"/>
              <w:left w:val="single" w:sz="6" w:space="0" w:color="auto"/>
              <w:bottom w:val="single" w:sz="6" w:space="0" w:color="auto"/>
              <w:right w:val="single" w:sz="6" w:space="0" w:color="auto"/>
            </w:tcBorders>
            <w:hideMark/>
          </w:tcPr>
          <w:p w14:paraId="3D601871" w14:textId="77777777" w:rsidR="00732992" w:rsidRDefault="00732992" w:rsidP="004A7FD3">
            <w:pPr>
              <w:spacing w:before="60" w:after="60" w:line="240" w:lineRule="auto"/>
              <w:jc w:val="center"/>
              <w:rPr>
                <w:rFonts w:ascii="Times New Roman" w:eastAsia="MS Mincho" w:hAnsi="Times New Roman" w:cs="Times New Roman"/>
                <w:sz w:val="20"/>
                <w:szCs w:val="20"/>
                <w:lang w:val="en-US" w:eastAsia="ja-JP"/>
              </w:rPr>
            </w:pPr>
            <w:r>
              <w:rPr>
                <w:rFonts w:ascii="Times New Roman" w:eastAsia="Times New Roman" w:hAnsi="Times New Roman" w:cs="Times New Roman"/>
                <w:sz w:val="20"/>
                <w:szCs w:val="20"/>
                <w:lang w:val="en-US"/>
              </w:rPr>
              <w:t xml:space="preserve">28 (16.7) </w:t>
            </w:r>
          </w:p>
        </w:tc>
        <w:tc>
          <w:tcPr>
            <w:tcW w:w="675" w:type="pct"/>
            <w:tcBorders>
              <w:top w:val="single" w:sz="6" w:space="0" w:color="auto"/>
              <w:left w:val="single" w:sz="6" w:space="0" w:color="auto"/>
              <w:bottom w:val="single" w:sz="6" w:space="0" w:color="auto"/>
              <w:right w:val="single" w:sz="6" w:space="0" w:color="auto"/>
            </w:tcBorders>
            <w:hideMark/>
          </w:tcPr>
          <w:p w14:paraId="2A96811E"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3 (3.4) </w:t>
            </w:r>
          </w:p>
        </w:tc>
        <w:tc>
          <w:tcPr>
            <w:tcW w:w="1501" w:type="pct"/>
            <w:tcBorders>
              <w:top w:val="single" w:sz="6" w:space="0" w:color="auto"/>
              <w:left w:val="single" w:sz="6" w:space="0" w:color="auto"/>
              <w:bottom w:val="single" w:sz="6" w:space="0" w:color="auto"/>
              <w:right w:val="single" w:sz="6" w:space="0" w:color="auto"/>
            </w:tcBorders>
            <w:hideMark/>
          </w:tcPr>
          <w:p w14:paraId="6AE41C1C"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31 (12.1) </w:t>
            </w:r>
          </w:p>
        </w:tc>
      </w:tr>
      <w:tr w:rsidR="00732992" w14:paraId="214102C0"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35A0D0AA" w14:textId="77777777" w:rsidR="00732992" w:rsidRDefault="00732992" w:rsidP="004A7FD3">
            <w:pPr>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Headache </w:t>
            </w:r>
          </w:p>
        </w:tc>
        <w:tc>
          <w:tcPr>
            <w:tcW w:w="762" w:type="pct"/>
            <w:tcBorders>
              <w:top w:val="single" w:sz="6" w:space="0" w:color="auto"/>
              <w:left w:val="single" w:sz="6" w:space="0" w:color="auto"/>
              <w:bottom w:val="single" w:sz="6" w:space="0" w:color="auto"/>
              <w:right w:val="single" w:sz="6" w:space="0" w:color="auto"/>
            </w:tcBorders>
            <w:hideMark/>
          </w:tcPr>
          <w:p w14:paraId="7571CAF1" w14:textId="77777777" w:rsidR="00732992" w:rsidRDefault="00732992" w:rsidP="004A7FD3">
            <w:pPr>
              <w:spacing w:before="60" w:after="60" w:line="240" w:lineRule="auto"/>
              <w:jc w:val="center"/>
              <w:rPr>
                <w:rFonts w:ascii="Times New Roman" w:eastAsia="MS Mincho" w:hAnsi="Times New Roman" w:cs="Times New Roman"/>
                <w:sz w:val="20"/>
                <w:szCs w:val="20"/>
                <w:lang w:val="en-US" w:eastAsia="ja-JP"/>
              </w:rPr>
            </w:pPr>
            <w:r>
              <w:rPr>
                <w:rFonts w:ascii="Times New Roman" w:eastAsia="Times New Roman" w:hAnsi="Times New Roman" w:cs="Times New Roman"/>
                <w:sz w:val="20"/>
                <w:szCs w:val="20"/>
                <w:lang w:val="en-US"/>
              </w:rPr>
              <w:t xml:space="preserve">16 (9.5) </w:t>
            </w:r>
          </w:p>
        </w:tc>
        <w:tc>
          <w:tcPr>
            <w:tcW w:w="675" w:type="pct"/>
            <w:tcBorders>
              <w:top w:val="single" w:sz="6" w:space="0" w:color="auto"/>
              <w:left w:val="single" w:sz="6" w:space="0" w:color="auto"/>
              <w:bottom w:val="single" w:sz="6" w:space="0" w:color="auto"/>
              <w:right w:val="single" w:sz="6" w:space="0" w:color="auto"/>
            </w:tcBorders>
            <w:hideMark/>
          </w:tcPr>
          <w:p w14:paraId="298380CE"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14 (15.7) </w:t>
            </w:r>
          </w:p>
        </w:tc>
        <w:tc>
          <w:tcPr>
            <w:tcW w:w="1501" w:type="pct"/>
            <w:tcBorders>
              <w:top w:val="single" w:sz="6" w:space="0" w:color="auto"/>
              <w:left w:val="single" w:sz="6" w:space="0" w:color="auto"/>
              <w:bottom w:val="single" w:sz="6" w:space="0" w:color="auto"/>
              <w:right w:val="single" w:sz="6" w:space="0" w:color="auto"/>
            </w:tcBorders>
            <w:hideMark/>
          </w:tcPr>
          <w:p w14:paraId="34F11F0D"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30 (11.7) </w:t>
            </w:r>
          </w:p>
        </w:tc>
      </w:tr>
      <w:tr w:rsidR="00732992" w14:paraId="35966C51"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56134F19" w14:textId="77777777" w:rsidR="00732992" w:rsidRDefault="00732992" w:rsidP="004A7FD3">
            <w:pPr>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Convulsion </w:t>
            </w:r>
          </w:p>
        </w:tc>
        <w:tc>
          <w:tcPr>
            <w:tcW w:w="762" w:type="pct"/>
            <w:tcBorders>
              <w:top w:val="single" w:sz="6" w:space="0" w:color="auto"/>
              <w:left w:val="single" w:sz="6" w:space="0" w:color="auto"/>
              <w:bottom w:val="single" w:sz="6" w:space="0" w:color="auto"/>
              <w:right w:val="single" w:sz="6" w:space="0" w:color="auto"/>
            </w:tcBorders>
            <w:hideMark/>
          </w:tcPr>
          <w:p w14:paraId="3DCE59A2"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17 (10.1) </w:t>
            </w:r>
          </w:p>
        </w:tc>
        <w:tc>
          <w:tcPr>
            <w:tcW w:w="675" w:type="pct"/>
            <w:tcBorders>
              <w:top w:val="single" w:sz="6" w:space="0" w:color="auto"/>
              <w:left w:val="single" w:sz="6" w:space="0" w:color="auto"/>
              <w:bottom w:val="single" w:sz="6" w:space="0" w:color="auto"/>
              <w:right w:val="single" w:sz="6" w:space="0" w:color="auto"/>
            </w:tcBorders>
            <w:hideMark/>
          </w:tcPr>
          <w:p w14:paraId="305176BE"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9 (10.1) </w:t>
            </w:r>
          </w:p>
        </w:tc>
        <w:tc>
          <w:tcPr>
            <w:tcW w:w="1501" w:type="pct"/>
            <w:tcBorders>
              <w:top w:val="single" w:sz="6" w:space="0" w:color="auto"/>
              <w:left w:val="single" w:sz="6" w:space="0" w:color="auto"/>
              <w:bottom w:val="single" w:sz="6" w:space="0" w:color="auto"/>
              <w:right w:val="single" w:sz="6" w:space="0" w:color="auto"/>
            </w:tcBorders>
            <w:hideMark/>
          </w:tcPr>
          <w:p w14:paraId="4045172A"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26 (10.1) </w:t>
            </w:r>
          </w:p>
        </w:tc>
      </w:tr>
      <w:tr w:rsidR="00732992" w14:paraId="404BE8D9"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66C632E5" w14:textId="77777777" w:rsidR="00732992" w:rsidRDefault="00732992" w:rsidP="004A7FD3">
            <w:pPr>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Tremor </w:t>
            </w:r>
          </w:p>
        </w:tc>
        <w:tc>
          <w:tcPr>
            <w:tcW w:w="762" w:type="pct"/>
            <w:tcBorders>
              <w:top w:val="single" w:sz="6" w:space="0" w:color="auto"/>
              <w:left w:val="single" w:sz="6" w:space="0" w:color="auto"/>
              <w:bottom w:val="single" w:sz="6" w:space="0" w:color="auto"/>
              <w:right w:val="single" w:sz="6" w:space="0" w:color="auto"/>
            </w:tcBorders>
            <w:hideMark/>
          </w:tcPr>
          <w:p w14:paraId="5C9B625E"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13 (7.7) </w:t>
            </w:r>
          </w:p>
        </w:tc>
        <w:tc>
          <w:tcPr>
            <w:tcW w:w="675" w:type="pct"/>
            <w:tcBorders>
              <w:top w:val="single" w:sz="6" w:space="0" w:color="auto"/>
              <w:left w:val="single" w:sz="6" w:space="0" w:color="auto"/>
              <w:bottom w:val="single" w:sz="6" w:space="0" w:color="auto"/>
              <w:right w:val="single" w:sz="6" w:space="0" w:color="auto"/>
            </w:tcBorders>
            <w:hideMark/>
          </w:tcPr>
          <w:p w14:paraId="50198E8F"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3 (3.4) </w:t>
            </w:r>
          </w:p>
        </w:tc>
        <w:tc>
          <w:tcPr>
            <w:tcW w:w="1501" w:type="pct"/>
            <w:tcBorders>
              <w:top w:val="single" w:sz="6" w:space="0" w:color="auto"/>
              <w:left w:val="single" w:sz="6" w:space="0" w:color="auto"/>
              <w:bottom w:val="single" w:sz="6" w:space="0" w:color="auto"/>
              <w:right w:val="single" w:sz="6" w:space="0" w:color="auto"/>
            </w:tcBorders>
            <w:hideMark/>
          </w:tcPr>
          <w:p w14:paraId="7F7ED8B1"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16 (6.2) </w:t>
            </w:r>
          </w:p>
        </w:tc>
      </w:tr>
      <w:tr w:rsidR="00732992" w14:paraId="562BD27F" w14:textId="77777777" w:rsidTr="004A7FD3">
        <w:trPr>
          <w:cantSplit/>
          <w:jc w:val="center"/>
        </w:trPr>
        <w:tc>
          <w:tcPr>
            <w:tcW w:w="5000" w:type="pct"/>
            <w:gridSpan w:val="4"/>
            <w:tcBorders>
              <w:top w:val="single" w:sz="6" w:space="0" w:color="auto"/>
              <w:left w:val="single" w:sz="6" w:space="0" w:color="auto"/>
              <w:bottom w:val="single" w:sz="6" w:space="0" w:color="auto"/>
              <w:right w:val="single" w:sz="6" w:space="0" w:color="auto"/>
            </w:tcBorders>
            <w:vAlign w:val="bottom"/>
            <w:hideMark/>
          </w:tcPr>
          <w:p w14:paraId="3B30B210" w14:textId="77777777" w:rsidR="00732992" w:rsidRDefault="00732992" w:rsidP="004A7FD3">
            <w:pPr>
              <w:keepNext/>
              <w:spacing w:before="60" w:after="6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Respiratory, thoracic and mediastinal disorders</w:t>
            </w:r>
          </w:p>
        </w:tc>
      </w:tr>
      <w:tr w:rsidR="00732992" w14:paraId="36AD2685" w14:textId="77777777" w:rsidTr="004A7FD3">
        <w:trPr>
          <w:cantSplit/>
          <w:jc w:val="center"/>
        </w:trPr>
        <w:tc>
          <w:tcPr>
            <w:tcW w:w="2062" w:type="pct"/>
            <w:tcBorders>
              <w:top w:val="single" w:sz="6" w:space="0" w:color="auto"/>
              <w:left w:val="single" w:sz="6" w:space="0" w:color="auto"/>
              <w:bottom w:val="single" w:sz="6" w:space="0" w:color="auto"/>
              <w:right w:val="single" w:sz="6" w:space="0" w:color="auto"/>
            </w:tcBorders>
            <w:vAlign w:val="bottom"/>
            <w:hideMark/>
          </w:tcPr>
          <w:p w14:paraId="6A37454D" w14:textId="77777777" w:rsidR="00732992" w:rsidRDefault="00732992" w:rsidP="004A7FD3">
            <w:pPr>
              <w:keepNext/>
              <w:spacing w:before="60" w:after="6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Cough </w:t>
            </w:r>
          </w:p>
        </w:tc>
        <w:tc>
          <w:tcPr>
            <w:tcW w:w="762" w:type="pct"/>
            <w:tcBorders>
              <w:top w:val="single" w:sz="6" w:space="0" w:color="auto"/>
              <w:left w:val="single" w:sz="6" w:space="0" w:color="auto"/>
              <w:bottom w:val="single" w:sz="6" w:space="0" w:color="auto"/>
              <w:right w:val="single" w:sz="6" w:space="0" w:color="auto"/>
            </w:tcBorders>
            <w:hideMark/>
          </w:tcPr>
          <w:p w14:paraId="656A7BC7"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11 (6.5) </w:t>
            </w:r>
          </w:p>
        </w:tc>
        <w:tc>
          <w:tcPr>
            <w:tcW w:w="675" w:type="pct"/>
            <w:tcBorders>
              <w:top w:val="single" w:sz="6" w:space="0" w:color="auto"/>
              <w:left w:val="single" w:sz="6" w:space="0" w:color="auto"/>
              <w:bottom w:val="single" w:sz="6" w:space="0" w:color="auto"/>
              <w:right w:val="single" w:sz="6" w:space="0" w:color="auto"/>
            </w:tcBorders>
            <w:hideMark/>
          </w:tcPr>
          <w:p w14:paraId="411B7535"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2 (2.2) </w:t>
            </w:r>
          </w:p>
        </w:tc>
        <w:tc>
          <w:tcPr>
            <w:tcW w:w="1501" w:type="pct"/>
            <w:tcBorders>
              <w:top w:val="single" w:sz="6" w:space="0" w:color="auto"/>
              <w:left w:val="single" w:sz="6" w:space="0" w:color="auto"/>
              <w:bottom w:val="single" w:sz="6" w:space="0" w:color="auto"/>
              <w:right w:val="single" w:sz="6" w:space="0" w:color="auto"/>
            </w:tcBorders>
            <w:hideMark/>
          </w:tcPr>
          <w:p w14:paraId="556C4C04" w14:textId="77777777" w:rsidR="00732992" w:rsidRDefault="00732992" w:rsidP="004A7FD3">
            <w:pPr>
              <w:spacing w:before="60" w:after="6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13 (5.1) </w:t>
            </w:r>
          </w:p>
        </w:tc>
      </w:tr>
    </w:tbl>
    <w:p w14:paraId="2BAB99D4" w14:textId="77777777" w:rsidR="00732992" w:rsidRDefault="00732992" w:rsidP="0073299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LCM=lacosamide; MedDRA</w:t>
      </w:r>
      <w:r>
        <w:rPr>
          <w:rFonts w:ascii="Times New Roman" w:eastAsia="Times New Roman" w:hAnsi="Times New Roman" w:cs="Times New Roman"/>
          <w:sz w:val="18"/>
          <w:szCs w:val="18"/>
          <w:vertAlign w:val="superscript"/>
        </w:rPr>
        <w:t>®</w:t>
      </w:r>
      <w:r>
        <w:rPr>
          <w:rFonts w:ascii="Times New Roman" w:eastAsia="Times New Roman" w:hAnsi="Times New Roman" w:cs="Times New Roman"/>
          <w:sz w:val="18"/>
          <w:szCs w:val="18"/>
        </w:rPr>
        <w:t xml:space="preserve"> =Medical Dictionary for Regulatory Activities; SOC=system organ class. </w:t>
      </w:r>
    </w:p>
    <w:p w14:paraId="713927DD" w14:textId="77777777" w:rsidR="00732992" w:rsidRDefault="00732992" w:rsidP="00732992">
      <w:pPr>
        <w:tabs>
          <w:tab w:val="left" w:pos="144"/>
        </w:tabs>
        <w:spacing w:after="0" w:line="240" w:lineRule="auto"/>
        <w:ind w:left="144" w:hanging="144"/>
        <w:rPr>
          <w:rFonts w:ascii="Times New Roman" w:eastAsia="Times New Roman" w:hAnsi="Times New Roman" w:cs="Arial"/>
          <w:sz w:val="18"/>
          <w:szCs w:val="18"/>
          <w:lang w:val="en-US"/>
        </w:rPr>
      </w:pPr>
      <w:r>
        <w:rPr>
          <w:rFonts w:ascii="Times New Roman" w:eastAsia="Times New Roman" w:hAnsi="Times New Roman" w:cs="Arial"/>
          <w:sz w:val="18"/>
          <w:szCs w:val="18"/>
          <w:lang w:val="en-US"/>
        </w:rPr>
        <w:t>Note: n is the number of subjects reporting at least 1 TEAE within system organ class/preferred term.</w:t>
      </w:r>
    </w:p>
    <w:p w14:paraId="38BB3EEC" w14:textId="77777777" w:rsidR="00732992" w:rsidRPr="001373CC" w:rsidRDefault="00732992" w:rsidP="00732992">
      <w:pPr>
        <w:spacing w:after="0"/>
        <w:rPr>
          <w:rFonts w:ascii="Times New Roman" w:hAnsi="Times New Roman" w:cs="Times New Roman"/>
        </w:rPr>
      </w:pPr>
      <w:r w:rsidRPr="001373CC">
        <w:rPr>
          <w:rFonts w:ascii="Times New Roman" w:hAnsi="Times New Roman" w:cs="Times New Roman"/>
        </w:rPr>
        <w:br/>
        <w:t>In addition, the following adverse drug reactions have been identified as being reported in clinical trials.</w:t>
      </w:r>
      <w:r w:rsidRPr="001373CC">
        <w:rPr>
          <w:rFonts w:ascii="Times New Roman" w:hAnsi="Times New Roman" w:cs="Times New Roman"/>
        </w:rPr>
        <w:br/>
      </w:r>
      <w:r w:rsidRPr="001373CC">
        <w:rPr>
          <w:rFonts w:ascii="Times New Roman" w:hAnsi="Times New Roman" w:cs="Times New Roman"/>
        </w:rPr>
        <w:br/>
      </w:r>
      <w:bookmarkStart w:id="13" w:name="_Hlk514684051"/>
      <w:r w:rsidRPr="001373CC">
        <w:rPr>
          <w:rFonts w:ascii="Times New Roman" w:hAnsi="Times New Roman" w:cs="Times New Roman"/>
          <w:i/>
          <w:iCs/>
        </w:rPr>
        <w:t>Psychiatric disorders.</w:t>
      </w:r>
      <w:r w:rsidRPr="001373CC">
        <w:rPr>
          <w:rFonts w:ascii="Times New Roman" w:hAnsi="Times New Roman" w:cs="Times New Roman"/>
        </w:rPr>
        <w:t xml:space="preserve"> Common: abnormal behaviour</w:t>
      </w:r>
      <w:r w:rsidRPr="001373CC">
        <w:rPr>
          <w:rFonts w:ascii="Times New Roman" w:hAnsi="Times New Roman" w:cs="Times New Roman"/>
        </w:rPr>
        <w:br/>
      </w:r>
      <w:r w:rsidRPr="001373CC">
        <w:rPr>
          <w:rFonts w:ascii="Times New Roman" w:hAnsi="Times New Roman" w:cs="Times New Roman"/>
          <w:i/>
          <w:iCs/>
        </w:rPr>
        <w:t>Nervous system disorders.</w:t>
      </w:r>
      <w:r w:rsidRPr="001373CC">
        <w:rPr>
          <w:rFonts w:ascii="Times New Roman" w:hAnsi="Times New Roman" w:cs="Times New Roman"/>
        </w:rPr>
        <w:t xml:space="preserve"> Common: lethargy</w:t>
      </w:r>
    </w:p>
    <w:p w14:paraId="4CBA89CB" w14:textId="6C27308D" w:rsidR="00732992" w:rsidRDefault="00732992" w:rsidP="00C10A5F">
      <w:pPr>
        <w:spacing w:after="0"/>
        <w:rPr>
          <w:rFonts w:ascii="Times New Roman" w:hAnsi="Times New Roman" w:cs="Times New Roman"/>
        </w:rPr>
      </w:pPr>
      <w:r>
        <w:rPr>
          <w:rFonts w:ascii="Times New Roman" w:hAnsi="Times New Roman" w:cs="Times New Roman"/>
          <w:i/>
          <w:iCs/>
        </w:rPr>
        <w:t>Metabolism and nutrition disorders.</w:t>
      </w:r>
      <w:r w:rsidRPr="00A66C41">
        <w:rPr>
          <w:rFonts w:ascii="Times New Roman" w:hAnsi="Times New Roman" w:cs="Times New Roman"/>
        </w:rPr>
        <w:t xml:space="preserve"> Common: </w:t>
      </w:r>
      <w:r>
        <w:rPr>
          <w:rFonts w:ascii="Times New Roman" w:hAnsi="Times New Roman" w:cs="Times New Roman"/>
        </w:rPr>
        <w:t>decreased appetite</w:t>
      </w:r>
      <w:bookmarkEnd w:id="13"/>
    </w:p>
    <w:p w14:paraId="367E79C0" w14:textId="77777777" w:rsidR="00732992" w:rsidRDefault="00732992" w:rsidP="00C10A5F">
      <w:pPr>
        <w:spacing w:after="0"/>
        <w:rPr>
          <w:rFonts w:ascii="Times New Roman" w:hAnsi="Times New Roman" w:cs="Times New Roman"/>
          <w:b/>
          <w:bCs/>
        </w:rPr>
      </w:pPr>
    </w:p>
    <w:p w14:paraId="10BE004D" w14:textId="2D5E45F5" w:rsidR="00252792" w:rsidRDefault="0010046E" w:rsidP="00C10A5F">
      <w:pPr>
        <w:spacing w:after="0"/>
        <w:rPr>
          <w:rFonts w:ascii="Times New Roman" w:hAnsi="Times New Roman" w:cs="Times New Roman"/>
        </w:rPr>
      </w:pPr>
      <w:r>
        <w:rPr>
          <w:rFonts w:ascii="Times New Roman" w:hAnsi="Times New Roman" w:cs="Times New Roman"/>
          <w:b/>
          <w:bCs/>
        </w:rPr>
        <w:t>Post-market</w:t>
      </w:r>
      <w:r w:rsidR="00175878" w:rsidRPr="00A66C41">
        <w:rPr>
          <w:rFonts w:ascii="Times New Roman" w:hAnsi="Times New Roman" w:cs="Times New Roman"/>
          <w:b/>
          <w:bCs/>
        </w:rPr>
        <w:t>ing experience</w:t>
      </w:r>
      <w:r w:rsidR="00175878" w:rsidRPr="00A66C41">
        <w:rPr>
          <w:rFonts w:ascii="Times New Roman" w:hAnsi="Times New Roman" w:cs="Times New Roman"/>
        </w:rPr>
        <w:br/>
        <w:t xml:space="preserve">In addition to the adverse reactions reported during clinical studies and listed above, the following adverse reactions have been reported in </w:t>
      </w:r>
      <w:r>
        <w:rPr>
          <w:rFonts w:ascii="Times New Roman" w:hAnsi="Times New Roman" w:cs="Times New Roman"/>
        </w:rPr>
        <w:t>post-market</w:t>
      </w:r>
      <w:r w:rsidR="00175878" w:rsidRPr="00A66C41">
        <w:rPr>
          <w:rFonts w:ascii="Times New Roman" w:hAnsi="Times New Roman" w:cs="Times New Roman"/>
        </w:rPr>
        <w:t>ing experience. Data are insufficient to support an estimate of their incidence in the population to be treated.</w:t>
      </w:r>
      <w:r w:rsidR="00175878" w:rsidRPr="00A66C41">
        <w:rPr>
          <w:rFonts w:ascii="Times New Roman" w:hAnsi="Times New Roman" w:cs="Times New Roman"/>
        </w:rPr>
        <w:br/>
      </w:r>
      <w:r w:rsidR="00175878" w:rsidRPr="00A66C41">
        <w:rPr>
          <w:rFonts w:ascii="Times New Roman" w:hAnsi="Times New Roman" w:cs="Times New Roman"/>
        </w:rPr>
        <w:br/>
      </w:r>
      <w:r w:rsidR="00175878" w:rsidRPr="00A66C41">
        <w:rPr>
          <w:rFonts w:ascii="Times New Roman" w:hAnsi="Times New Roman" w:cs="Times New Roman"/>
          <w:i/>
          <w:iCs/>
        </w:rPr>
        <w:lastRenderedPageBreak/>
        <w:t>Blood and lymphatic system disorders.</w:t>
      </w:r>
      <w:r w:rsidR="00175878" w:rsidRPr="00A66C41">
        <w:rPr>
          <w:rFonts w:ascii="Times New Roman" w:hAnsi="Times New Roman" w:cs="Times New Roman"/>
        </w:rPr>
        <w:t xml:space="preserve"> Agranulocytosis.</w:t>
      </w:r>
      <w:r w:rsidR="00175878" w:rsidRPr="00A66C41">
        <w:rPr>
          <w:rFonts w:ascii="Times New Roman" w:hAnsi="Times New Roman" w:cs="Times New Roman"/>
        </w:rPr>
        <w:br/>
      </w:r>
      <w:r w:rsidR="00175878" w:rsidRPr="00A66C41">
        <w:rPr>
          <w:rFonts w:ascii="Times New Roman" w:hAnsi="Times New Roman" w:cs="Times New Roman"/>
          <w:i/>
          <w:iCs/>
        </w:rPr>
        <w:t>Immune system disorders.</w:t>
      </w:r>
      <w:r w:rsidR="00175878" w:rsidRPr="00A66C41">
        <w:rPr>
          <w:rFonts w:ascii="Times New Roman" w:hAnsi="Times New Roman" w:cs="Times New Roman"/>
        </w:rPr>
        <w:t xml:space="preserve"> Dr</w:t>
      </w:r>
      <w:r w:rsidR="00341F81">
        <w:rPr>
          <w:rFonts w:ascii="Times New Roman" w:hAnsi="Times New Roman" w:cs="Times New Roman"/>
        </w:rPr>
        <w:t xml:space="preserve">ug hypersensitivity reactions. </w:t>
      </w:r>
      <w:r w:rsidR="00175878" w:rsidRPr="00A66C41">
        <w:rPr>
          <w:rFonts w:ascii="Times New Roman" w:hAnsi="Times New Roman" w:cs="Times New Roman"/>
        </w:rPr>
        <w:t>Multiorgan hypersensitivity reactions (also known as drug reaction with eosinophilia and systemic symptoms, DRESS) have been reported in patients with some antiepileptic agents. These reactions are variable in expression but typically present with fever and rash and can be associated with involvement of different organ systems. Potential cases have been reported rarely with lacosamide and if multiorgan hypersensitivity reaction is suspected, Vimpat should be discontinued.</w:t>
      </w:r>
      <w:r w:rsidR="00175878" w:rsidRPr="00A66C41">
        <w:rPr>
          <w:rFonts w:ascii="Times New Roman" w:hAnsi="Times New Roman" w:cs="Times New Roman"/>
        </w:rPr>
        <w:br/>
      </w:r>
      <w:r w:rsidR="00175878" w:rsidRPr="00A66C41">
        <w:rPr>
          <w:rFonts w:ascii="Times New Roman" w:hAnsi="Times New Roman" w:cs="Times New Roman"/>
          <w:i/>
          <w:iCs/>
        </w:rPr>
        <w:t>Psychiatric disorders.</w:t>
      </w:r>
      <w:r w:rsidR="00175878" w:rsidRPr="00A66C41">
        <w:rPr>
          <w:rFonts w:ascii="Times New Roman" w:hAnsi="Times New Roman" w:cs="Times New Roman"/>
        </w:rPr>
        <w:t xml:space="preserve"> Euphoric mood, suicide attempt and suicidal ideation, aggression, agitation, psychotic disorder, hallucination.</w:t>
      </w:r>
    </w:p>
    <w:p w14:paraId="0D36FCDB" w14:textId="77777777" w:rsidR="00252792" w:rsidRPr="00252792" w:rsidRDefault="00252792" w:rsidP="00252792">
      <w:pPr>
        <w:spacing w:after="0"/>
        <w:rPr>
          <w:rFonts w:ascii="Times New Roman" w:hAnsi="Times New Roman" w:cs="Times New Roman"/>
        </w:rPr>
      </w:pPr>
      <w:r w:rsidRPr="00252792">
        <w:rPr>
          <w:rFonts w:ascii="Times New Roman" w:hAnsi="Times New Roman" w:cs="Times New Roman"/>
          <w:i/>
        </w:rPr>
        <w:t>Nervous system disorders.</w:t>
      </w:r>
      <w:r w:rsidRPr="00252792">
        <w:rPr>
          <w:rFonts w:ascii="Times New Roman" w:hAnsi="Times New Roman" w:cs="Times New Roman"/>
        </w:rPr>
        <w:t xml:space="preserve"> Seizure. Very few cases of seizure worsening (including occurrence of status epilepticus) have been reported.</w:t>
      </w:r>
    </w:p>
    <w:p w14:paraId="3AB25F3E" w14:textId="77777777" w:rsidR="00252792" w:rsidRPr="00252792" w:rsidRDefault="00252792" w:rsidP="00252792">
      <w:pPr>
        <w:spacing w:after="0"/>
        <w:rPr>
          <w:rFonts w:ascii="Times New Roman" w:hAnsi="Times New Roman" w:cs="Times New Roman"/>
        </w:rPr>
      </w:pPr>
      <w:r w:rsidRPr="00252792">
        <w:rPr>
          <w:rFonts w:ascii="Times New Roman" w:hAnsi="Times New Roman" w:cs="Times New Roman"/>
          <w:i/>
        </w:rPr>
        <w:t>Cardiac disorders.</w:t>
      </w:r>
      <w:r w:rsidRPr="00252792">
        <w:rPr>
          <w:rFonts w:ascii="Times New Roman" w:hAnsi="Times New Roman" w:cs="Times New Roman"/>
        </w:rPr>
        <w:t xml:space="preserve"> Ventricular tachyarrhythmia, Bradycardia, atrioventricular block, atrial fibrillation and atrial flutter.</w:t>
      </w:r>
    </w:p>
    <w:p w14:paraId="5FA26F81" w14:textId="77777777" w:rsidR="00252792" w:rsidRPr="00252792" w:rsidRDefault="00252792" w:rsidP="00252792">
      <w:pPr>
        <w:spacing w:after="0"/>
        <w:rPr>
          <w:rFonts w:ascii="Times New Roman" w:hAnsi="Times New Roman" w:cs="Times New Roman"/>
        </w:rPr>
      </w:pPr>
      <w:r w:rsidRPr="00252792">
        <w:rPr>
          <w:rFonts w:ascii="Times New Roman" w:hAnsi="Times New Roman" w:cs="Times New Roman"/>
          <w:i/>
        </w:rPr>
        <w:t>Hepatobiliary disorders.</w:t>
      </w:r>
      <w:r w:rsidRPr="00252792">
        <w:rPr>
          <w:rFonts w:ascii="Times New Roman" w:hAnsi="Times New Roman" w:cs="Times New Roman"/>
        </w:rPr>
        <w:t xml:space="preserve"> Liver function test abnormal, hepatic enzyme increased (&gt;2x ULN).</w:t>
      </w:r>
    </w:p>
    <w:p w14:paraId="12F5D0E6" w14:textId="10BB4178" w:rsidR="00252792" w:rsidRDefault="00252792" w:rsidP="00252792">
      <w:pPr>
        <w:spacing w:after="0"/>
        <w:rPr>
          <w:rFonts w:ascii="Times New Roman" w:hAnsi="Times New Roman" w:cs="Times New Roman"/>
        </w:rPr>
      </w:pPr>
      <w:r w:rsidRPr="00252792">
        <w:rPr>
          <w:rFonts w:ascii="Times New Roman" w:hAnsi="Times New Roman" w:cs="Times New Roman"/>
          <w:i/>
        </w:rPr>
        <w:t>Skin and subcutaneous tissue disorders.</w:t>
      </w:r>
      <w:r w:rsidRPr="00252792">
        <w:rPr>
          <w:rFonts w:ascii="Times New Roman" w:hAnsi="Times New Roman" w:cs="Times New Roman"/>
        </w:rPr>
        <w:t xml:space="preserve"> Toxic epidermal necrolysis, Stevens-Johnson syndrome, rash, angioedema, urticaria</w:t>
      </w:r>
    </w:p>
    <w:p w14:paraId="71F5E2A7" w14:textId="77777777" w:rsidR="00252792" w:rsidRDefault="00252792" w:rsidP="00252792">
      <w:pPr>
        <w:pStyle w:val="Heading3"/>
      </w:pPr>
      <w:r w:rsidRPr="00252792">
        <w:rPr>
          <w:rFonts w:ascii="Times New Roman" w:hAnsi="Times New Roman" w:cs="Times New Roman"/>
        </w:rPr>
        <w:t>Reporting suspected adverse effects</w:t>
      </w:r>
      <w:r w:rsidRPr="00252792">
        <w:t xml:space="preserve"> </w:t>
      </w:r>
    </w:p>
    <w:p w14:paraId="44B019F3" w14:textId="18AC47A6" w:rsidR="00ED5EBF" w:rsidRPr="00A66C41" w:rsidRDefault="00563D42" w:rsidP="00C10A5F">
      <w:pPr>
        <w:spacing w:after="0"/>
        <w:rPr>
          <w:rFonts w:ascii="Times New Roman" w:hAnsi="Times New Roman" w:cs="Times New Roman"/>
        </w:rPr>
      </w:pPr>
      <w:r w:rsidRPr="00A66C41">
        <w:rPr>
          <w:rFonts w:ascii="Times New Roman" w:hAnsi="Times New Roman" w:cs="Times New Roman"/>
        </w:rPr>
        <w:t>Reporting suspected adverse reactions after registration of the medicinal product is important. It allows continued monitoring of the benefit-risk balance of the medicinal product. Healthcare professionals are asked to report any suspected adverse reactions at http://www.tga.gov.au/reporting-problems.</w:t>
      </w:r>
    </w:p>
    <w:p w14:paraId="44B019F4" w14:textId="77777777" w:rsidR="00ED5EBF" w:rsidRPr="00A66C41" w:rsidRDefault="00175878" w:rsidP="00A76E2B">
      <w:pPr>
        <w:pStyle w:val="Heading2"/>
        <w:rPr>
          <w:rFonts w:ascii="Times New Roman" w:hAnsi="Times New Roman" w:cs="Times New Roman"/>
        </w:rPr>
      </w:pPr>
      <w:r w:rsidRPr="00A66C41">
        <w:rPr>
          <w:rFonts w:ascii="Times New Roman" w:hAnsi="Times New Roman" w:cs="Times New Roman"/>
        </w:rPr>
        <w:t>Overdose</w:t>
      </w:r>
    </w:p>
    <w:p w14:paraId="44B019F5" w14:textId="32B52890" w:rsidR="00ED5EBF" w:rsidRPr="00A66C41" w:rsidRDefault="00175878" w:rsidP="00A76E2B">
      <w:pPr>
        <w:rPr>
          <w:rFonts w:ascii="Times New Roman" w:hAnsi="Times New Roman" w:cs="Times New Roman"/>
        </w:rPr>
      </w:pPr>
      <w:r w:rsidRPr="00A66C41">
        <w:rPr>
          <w:rFonts w:ascii="Times New Roman" w:hAnsi="Times New Roman" w:cs="Times New Roman"/>
          <w:b/>
          <w:bCs/>
        </w:rPr>
        <w:t>Symptoms</w:t>
      </w:r>
      <w:r w:rsidRPr="00A66C41">
        <w:rPr>
          <w:rFonts w:ascii="Times New Roman" w:hAnsi="Times New Roman" w:cs="Times New Roman"/>
        </w:rPr>
        <w:br/>
        <w:t>Symptoms observed after an accidental or intentional overdose of lacosamide are primarily associated with CNS and gastrointestinal system.</w:t>
      </w:r>
      <w:r w:rsidRPr="00A66C41">
        <w:rPr>
          <w:rFonts w:ascii="Times New Roman" w:hAnsi="Times New Roman" w:cs="Times New Roman"/>
        </w:rPr>
        <w:br/>
      </w:r>
      <w:r w:rsidRPr="00A66C41">
        <w:rPr>
          <w:rFonts w:ascii="Times New Roman" w:hAnsi="Times New Roman" w:cs="Times New Roman"/>
        </w:rPr>
        <w:br/>
        <w:t>The types of adverse events experienced by patients exposed to doses above 400 mg up to 800 mg were not clinically different from those of patients administered recommended doses of lacosamide.</w:t>
      </w:r>
      <w:r w:rsidRPr="00A66C41">
        <w:rPr>
          <w:rFonts w:ascii="Times New Roman" w:hAnsi="Times New Roman" w:cs="Times New Roman"/>
        </w:rPr>
        <w:br/>
      </w:r>
      <w:r w:rsidRPr="00A66C41">
        <w:rPr>
          <w:rFonts w:ascii="Times New Roman" w:hAnsi="Times New Roman" w:cs="Times New Roman"/>
        </w:rPr>
        <w:br/>
        <w:t>Events reported after an intake of more than 800 mg are dizziness, nausea, seizures (generalized tonic-</w:t>
      </w:r>
      <w:proofErr w:type="spellStart"/>
      <w:r w:rsidRPr="00A66C41">
        <w:rPr>
          <w:rFonts w:ascii="Times New Roman" w:hAnsi="Times New Roman" w:cs="Times New Roman"/>
        </w:rPr>
        <w:t>clonic</w:t>
      </w:r>
      <w:proofErr w:type="spellEnd"/>
      <w:r w:rsidRPr="00A66C41">
        <w:rPr>
          <w:rFonts w:ascii="Times New Roman" w:hAnsi="Times New Roman" w:cs="Times New Roman"/>
        </w:rPr>
        <w:t xml:space="preserve"> seizures, status epilepticus). Cardiac conduction disorders, shock, and coma have also been observed. Fatalities have been reported in patients following an intake of acute single overdose of several grams of lacosamide.</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b/>
          <w:bCs/>
        </w:rPr>
        <w:t>Management of overdose</w:t>
      </w:r>
      <w:r w:rsidRPr="00A66C41">
        <w:rPr>
          <w:rFonts w:ascii="Times New Roman" w:hAnsi="Times New Roman" w:cs="Times New Roman"/>
        </w:rPr>
        <w:br/>
        <w:t>There is no specific antidote for overdose with lacosamide. Treatment of lacosamide overdose should include general supportive measures and may include haemodialysis if necessary (see</w:t>
      </w:r>
      <w:r w:rsidR="00A9161C" w:rsidRPr="00A66C41">
        <w:rPr>
          <w:rFonts w:ascii="Times New Roman" w:hAnsi="Times New Roman" w:cs="Times New Roman"/>
        </w:rPr>
        <w:t xml:space="preserve"> Section 5.2 Pharmacokinetic Properties</w:t>
      </w:r>
      <w:r w:rsidRPr="00A66C41">
        <w:rPr>
          <w:rFonts w:ascii="Times New Roman" w:hAnsi="Times New Roman" w:cs="Times New Roman"/>
        </w:rPr>
        <w:t>).</w:t>
      </w:r>
      <w:r w:rsidRPr="00A66C41">
        <w:rPr>
          <w:rFonts w:ascii="Times New Roman" w:hAnsi="Times New Roman" w:cs="Times New Roman"/>
        </w:rPr>
        <w:br/>
      </w:r>
      <w:r w:rsidRPr="00A66C41">
        <w:rPr>
          <w:rFonts w:ascii="Times New Roman" w:hAnsi="Times New Roman" w:cs="Times New Roman"/>
        </w:rPr>
        <w:br/>
      </w:r>
      <w:r w:rsidR="00BE7565" w:rsidRPr="00A66C41">
        <w:rPr>
          <w:rFonts w:ascii="Times New Roman" w:hAnsi="Times New Roman" w:cs="Times New Roman"/>
        </w:rPr>
        <w:t>For information on the management of overdose, contact the Poison</w:t>
      </w:r>
      <w:r w:rsidR="00E937F1" w:rsidRPr="00A66C41">
        <w:rPr>
          <w:rFonts w:ascii="Times New Roman" w:hAnsi="Times New Roman" w:cs="Times New Roman"/>
        </w:rPr>
        <w:t>s</w:t>
      </w:r>
      <w:r w:rsidR="00BE7565" w:rsidRPr="00A66C41">
        <w:rPr>
          <w:rFonts w:ascii="Times New Roman" w:hAnsi="Times New Roman" w:cs="Times New Roman"/>
        </w:rPr>
        <w:t xml:space="preserve"> Information Centre on 131126 (Australia).</w:t>
      </w:r>
    </w:p>
    <w:p w14:paraId="44B019F6" w14:textId="77777777" w:rsidR="00ED5EBF" w:rsidRPr="00A66C41" w:rsidRDefault="00175878" w:rsidP="00A76E2B">
      <w:pPr>
        <w:pStyle w:val="Heading1"/>
        <w:rPr>
          <w:rFonts w:ascii="Times New Roman" w:hAnsi="Times New Roman" w:cs="Times New Roman"/>
          <w:lang w:val="en-US"/>
        </w:rPr>
      </w:pPr>
      <w:r w:rsidRPr="00A66C41">
        <w:rPr>
          <w:rFonts w:ascii="Times New Roman" w:hAnsi="Times New Roman" w:cs="Times New Roman"/>
          <w:lang w:val="en-US"/>
        </w:rPr>
        <w:lastRenderedPageBreak/>
        <w:t>Pharmacological properties</w:t>
      </w:r>
    </w:p>
    <w:p w14:paraId="44B019F7" w14:textId="77777777" w:rsidR="00ED5EBF" w:rsidRPr="00A66C41" w:rsidRDefault="00175878" w:rsidP="00A76E2B">
      <w:pPr>
        <w:pStyle w:val="Heading2"/>
        <w:rPr>
          <w:rFonts w:ascii="Times New Roman" w:hAnsi="Times New Roman" w:cs="Times New Roman"/>
          <w:lang w:val="en-US"/>
        </w:rPr>
      </w:pPr>
      <w:r w:rsidRPr="00A66C41">
        <w:rPr>
          <w:rFonts w:ascii="Times New Roman" w:hAnsi="Times New Roman" w:cs="Times New Roman"/>
          <w:lang w:val="en-US"/>
        </w:rPr>
        <w:t xml:space="preserve">Pharmacodynamic properties </w:t>
      </w:r>
    </w:p>
    <w:p w14:paraId="44B019F8"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Mechanism of action</w:t>
      </w:r>
    </w:p>
    <w:p w14:paraId="44B019F9" w14:textId="5638DCF5" w:rsidR="00ED5EBF" w:rsidRPr="00A66C41" w:rsidRDefault="00175878" w:rsidP="00A76E2B">
      <w:pPr>
        <w:rPr>
          <w:rFonts w:ascii="Times New Roman" w:hAnsi="Times New Roman" w:cs="Times New Roman"/>
        </w:rPr>
      </w:pPr>
      <w:r w:rsidRPr="00A66C41">
        <w:rPr>
          <w:rFonts w:ascii="Times New Roman" w:hAnsi="Times New Roman" w:cs="Times New Roman"/>
        </w:rPr>
        <w:t xml:space="preserve">The precise mechanism by which lacosamide exerts its antiepileptic effect in humans remains to be fully elucidated. </w:t>
      </w:r>
      <w:r w:rsidRPr="00A66C41">
        <w:rPr>
          <w:rFonts w:ascii="Times New Roman" w:hAnsi="Times New Roman" w:cs="Times New Roman"/>
          <w:i/>
          <w:iCs/>
        </w:rPr>
        <w:t>In vitro</w:t>
      </w:r>
      <w:r w:rsidRPr="00A66C41">
        <w:rPr>
          <w:rFonts w:ascii="Times New Roman" w:hAnsi="Times New Roman" w:cs="Times New Roman"/>
        </w:rPr>
        <w:t xml:space="preserve"> electrophysiological studies have shown that lacosamide selectively enhances slow inactivation of voltage gated sodium channels, resulting in reduced hyperexcitability of neuronal membranes.</w:t>
      </w:r>
      <w:r w:rsidRPr="00A66C41">
        <w:rPr>
          <w:rFonts w:ascii="Times New Roman" w:hAnsi="Times New Roman" w:cs="Times New Roman"/>
        </w:rPr>
        <w:br/>
      </w:r>
      <w:r w:rsidRPr="00A66C41">
        <w:rPr>
          <w:rFonts w:ascii="Times New Roman" w:hAnsi="Times New Roman" w:cs="Times New Roman"/>
        </w:rPr>
        <w:br/>
        <w:t>Lacosamide protected against seizures in a broad range of animal models of partial and primary generalized seizures and delayed kindling development. In non</w:t>
      </w:r>
      <w:r w:rsidR="00825598">
        <w:rPr>
          <w:rFonts w:ascii="Times New Roman" w:hAnsi="Times New Roman" w:cs="Times New Roman"/>
        </w:rPr>
        <w:t>-</w:t>
      </w:r>
      <w:r w:rsidRPr="00A66C41">
        <w:rPr>
          <w:rFonts w:ascii="Times New Roman" w:hAnsi="Times New Roman" w:cs="Times New Roman"/>
        </w:rPr>
        <w:t>clinical experiments lacosamide in combination with levetiracetam, carbamazepine, phenytoin, valproate, lamotrigine, topiramate or gabapentin showed synergistic or additive anticonvulsant effects.</w:t>
      </w:r>
    </w:p>
    <w:p w14:paraId="44B019FA"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Clinical trials</w:t>
      </w:r>
    </w:p>
    <w:p w14:paraId="2E0DF9D1" w14:textId="77777777" w:rsidR="0072408A" w:rsidRPr="00364242" w:rsidRDefault="0072408A" w:rsidP="0072408A">
      <w:pPr>
        <w:autoSpaceDE w:val="0"/>
        <w:autoSpaceDN w:val="0"/>
        <w:adjustRightInd w:val="0"/>
        <w:spacing w:after="0"/>
        <w:rPr>
          <w:rFonts w:ascii="Times New Roman" w:eastAsia="Times New Roman" w:hAnsi="Times New Roman" w:cs="Times New Roman"/>
          <w:b/>
          <w:i/>
          <w:color w:val="000000"/>
        </w:rPr>
      </w:pPr>
      <w:bookmarkStart w:id="14" w:name="_Hlk514422007"/>
      <w:r w:rsidRPr="00364242">
        <w:rPr>
          <w:rFonts w:ascii="Times New Roman" w:hAnsi="Times New Roman" w:cs="Times New Roman"/>
          <w:b/>
          <w:i/>
          <w:color w:val="000000"/>
        </w:rPr>
        <w:t>Monotherapy</w:t>
      </w:r>
    </w:p>
    <w:p w14:paraId="6935821E" w14:textId="77777777" w:rsidR="0072408A" w:rsidRPr="00364242" w:rsidRDefault="0072408A" w:rsidP="0072408A">
      <w:pPr>
        <w:autoSpaceDE w:val="0"/>
        <w:autoSpaceDN w:val="0"/>
        <w:adjustRightInd w:val="0"/>
        <w:spacing w:after="0"/>
        <w:rPr>
          <w:rFonts w:ascii="Times New Roman" w:hAnsi="Times New Roman" w:cs="Times New Roman"/>
          <w:color w:val="000000"/>
        </w:rPr>
      </w:pPr>
      <w:r w:rsidRPr="00364242">
        <w:rPr>
          <w:rFonts w:ascii="Times New Roman" w:hAnsi="Times New Roman" w:cs="Times New Roman"/>
          <w:color w:val="000000"/>
        </w:rPr>
        <w:t>Efficacy of lacosamide as monotherapy was established in a double-blind, parallel group, non-inferiority comparison to carbamazepine CR</w:t>
      </w:r>
      <w:r>
        <w:rPr>
          <w:rFonts w:ascii="Times New Roman" w:hAnsi="Times New Roman" w:cs="Times New Roman"/>
          <w:color w:val="000000"/>
        </w:rPr>
        <w:t xml:space="preserve"> in patients </w:t>
      </w:r>
      <w:r w:rsidRPr="00364242">
        <w:rPr>
          <w:rFonts w:ascii="Times New Roman" w:hAnsi="Times New Roman" w:cs="Times New Roman"/>
          <w:color w:val="000000"/>
        </w:rPr>
        <w:t xml:space="preserve">16 years of age or older with newly or recently diagnosed epilepsy. </w:t>
      </w:r>
      <w:r w:rsidRPr="005313C1">
        <w:rPr>
          <w:rFonts w:ascii="Times New Roman" w:hAnsi="Times New Roman" w:cs="Times New Roman"/>
          <w:color w:val="000000"/>
        </w:rPr>
        <w:t xml:space="preserve">Patients with idiopathic generalized epilepsy were excluded. </w:t>
      </w:r>
      <w:r w:rsidRPr="00364242">
        <w:rPr>
          <w:rFonts w:ascii="Times New Roman" w:hAnsi="Times New Roman" w:cs="Times New Roman"/>
          <w:color w:val="000000"/>
        </w:rPr>
        <w:t>The patients were randomized to carbamazepine CR or lacosamide. The dose was based on dose response and ranged from 400 to 1200 mg/day for carbamazepine CR and 200 - 600 mg/day for lacosamide. The duration of the treatment was up to 121 weeks depending on the response.</w:t>
      </w:r>
    </w:p>
    <w:p w14:paraId="44CDA5C5" w14:textId="77777777" w:rsidR="0072408A" w:rsidRPr="00364242" w:rsidRDefault="0072408A" w:rsidP="0072408A">
      <w:pPr>
        <w:autoSpaceDE w:val="0"/>
        <w:autoSpaceDN w:val="0"/>
        <w:adjustRightInd w:val="0"/>
        <w:spacing w:after="0"/>
        <w:rPr>
          <w:rFonts w:ascii="Times New Roman" w:hAnsi="Times New Roman" w:cs="Times New Roman"/>
          <w:color w:val="000000"/>
        </w:rPr>
      </w:pPr>
    </w:p>
    <w:p w14:paraId="205D4D7C" w14:textId="77777777" w:rsidR="0072408A" w:rsidRPr="00364242" w:rsidRDefault="0072408A" w:rsidP="0072408A">
      <w:pPr>
        <w:autoSpaceDE w:val="0"/>
        <w:autoSpaceDN w:val="0"/>
        <w:adjustRightInd w:val="0"/>
        <w:spacing w:after="0"/>
        <w:rPr>
          <w:rFonts w:ascii="Times New Roman" w:hAnsi="Times New Roman" w:cs="Times New Roman"/>
          <w:color w:val="000000"/>
        </w:rPr>
      </w:pPr>
      <w:bookmarkStart w:id="15" w:name="_Hlk514685051"/>
      <w:r w:rsidRPr="005313C1">
        <w:rPr>
          <w:rFonts w:ascii="Times New Roman" w:hAnsi="Times New Roman" w:cs="Times New Roman"/>
          <w:color w:val="000000"/>
        </w:rPr>
        <w:t xml:space="preserve">In the full analysis set (FAS) for the patients with partial-onset seizures, </w:t>
      </w:r>
      <w:r>
        <w:rPr>
          <w:rFonts w:ascii="Times New Roman" w:hAnsi="Times New Roman" w:cs="Times New Roman"/>
          <w:color w:val="000000"/>
        </w:rPr>
        <w:t>t</w:t>
      </w:r>
      <w:bookmarkEnd w:id="15"/>
      <w:r w:rsidRPr="00364242">
        <w:rPr>
          <w:rFonts w:ascii="Times New Roman" w:hAnsi="Times New Roman" w:cs="Times New Roman"/>
          <w:color w:val="000000"/>
        </w:rPr>
        <w:t>he estimated 6-month seizure freedom rates were 89.</w:t>
      </w:r>
      <w:r>
        <w:rPr>
          <w:rFonts w:ascii="Times New Roman" w:hAnsi="Times New Roman" w:cs="Times New Roman"/>
          <w:color w:val="000000"/>
        </w:rPr>
        <w:t>5</w:t>
      </w:r>
      <w:r w:rsidRPr="00364242">
        <w:rPr>
          <w:rFonts w:ascii="Times New Roman" w:hAnsi="Times New Roman" w:cs="Times New Roman"/>
          <w:color w:val="000000"/>
        </w:rPr>
        <w:t>% for lacosamide-treated patients</w:t>
      </w:r>
      <w:r>
        <w:rPr>
          <w:rFonts w:ascii="Times New Roman" w:hAnsi="Times New Roman" w:cs="Times New Roman"/>
          <w:color w:val="000000"/>
        </w:rPr>
        <w:t xml:space="preserve"> </w:t>
      </w:r>
      <w:bookmarkStart w:id="16" w:name="_Hlk514685084"/>
      <w:r>
        <w:rPr>
          <w:rFonts w:ascii="Times New Roman" w:hAnsi="Times New Roman" w:cs="Times New Roman"/>
          <w:color w:val="000000"/>
        </w:rPr>
        <w:t>(n=405)</w:t>
      </w:r>
      <w:r w:rsidRPr="00364242">
        <w:rPr>
          <w:rFonts w:ascii="Times New Roman" w:hAnsi="Times New Roman" w:cs="Times New Roman"/>
          <w:color w:val="000000"/>
        </w:rPr>
        <w:t xml:space="preserve"> </w:t>
      </w:r>
      <w:bookmarkEnd w:id="16"/>
      <w:r w:rsidRPr="00364242">
        <w:rPr>
          <w:rFonts w:ascii="Times New Roman" w:hAnsi="Times New Roman" w:cs="Times New Roman"/>
          <w:color w:val="000000"/>
        </w:rPr>
        <w:t>and 91.</w:t>
      </w:r>
      <w:r>
        <w:rPr>
          <w:rFonts w:ascii="Times New Roman" w:hAnsi="Times New Roman" w:cs="Times New Roman"/>
          <w:color w:val="000000"/>
        </w:rPr>
        <w:t>2</w:t>
      </w:r>
      <w:r w:rsidRPr="00364242">
        <w:rPr>
          <w:rFonts w:ascii="Times New Roman" w:hAnsi="Times New Roman" w:cs="Times New Roman"/>
          <w:color w:val="000000"/>
        </w:rPr>
        <w:t xml:space="preserve">% for carbamazepine CR treated patients </w:t>
      </w:r>
      <w:r>
        <w:rPr>
          <w:rFonts w:ascii="Times New Roman" w:hAnsi="Times New Roman" w:cs="Times New Roman"/>
          <w:color w:val="000000"/>
        </w:rPr>
        <w:t>(n=405)</w:t>
      </w:r>
      <w:r w:rsidRPr="00364242">
        <w:rPr>
          <w:rFonts w:ascii="Times New Roman" w:hAnsi="Times New Roman" w:cs="Times New Roman"/>
          <w:color w:val="000000"/>
        </w:rPr>
        <w:t xml:space="preserve"> using the Kaplan-Meier survival analysis method. The adjusted absolute difference between treatments was -1.</w:t>
      </w:r>
      <w:r>
        <w:rPr>
          <w:rFonts w:ascii="Times New Roman" w:hAnsi="Times New Roman" w:cs="Times New Roman"/>
          <w:color w:val="000000"/>
        </w:rPr>
        <w:t>8</w:t>
      </w:r>
      <w:r w:rsidRPr="00364242">
        <w:rPr>
          <w:rFonts w:ascii="Times New Roman" w:hAnsi="Times New Roman" w:cs="Times New Roman"/>
          <w:color w:val="000000"/>
        </w:rPr>
        <w:t>% (95 % CI: -</w:t>
      </w:r>
      <w:r>
        <w:rPr>
          <w:rFonts w:ascii="Times New Roman" w:hAnsi="Times New Roman" w:cs="Times New Roman"/>
          <w:color w:val="000000"/>
        </w:rPr>
        <w:t>6.1</w:t>
      </w:r>
      <w:r w:rsidRPr="00364242">
        <w:rPr>
          <w:rFonts w:ascii="Times New Roman" w:hAnsi="Times New Roman" w:cs="Times New Roman"/>
          <w:color w:val="000000"/>
        </w:rPr>
        <w:t xml:space="preserve">, 2.8). </w:t>
      </w:r>
      <w:r w:rsidRPr="005313C1">
        <w:rPr>
          <w:rFonts w:ascii="Times New Roman" w:hAnsi="Times New Roman" w:cs="Times New Roman"/>
          <w:color w:val="000000"/>
        </w:rPr>
        <w:t>Similar results were observed in the per-protocol set (PPS).</w:t>
      </w:r>
    </w:p>
    <w:p w14:paraId="36725C7F" w14:textId="77777777" w:rsidR="0072408A" w:rsidRPr="00364242" w:rsidRDefault="0072408A" w:rsidP="0072408A">
      <w:pPr>
        <w:autoSpaceDE w:val="0"/>
        <w:autoSpaceDN w:val="0"/>
        <w:adjustRightInd w:val="0"/>
        <w:spacing w:after="0"/>
        <w:rPr>
          <w:rFonts w:ascii="Times New Roman" w:hAnsi="Times New Roman" w:cs="Times New Roman"/>
          <w:color w:val="000000"/>
        </w:rPr>
      </w:pPr>
    </w:p>
    <w:p w14:paraId="5C5354CB" w14:textId="77777777" w:rsidR="0072408A" w:rsidRPr="00FD692B" w:rsidRDefault="0072408A" w:rsidP="0072408A">
      <w:pPr>
        <w:autoSpaceDE w:val="0"/>
        <w:autoSpaceDN w:val="0"/>
        <w:adjustRightInd w:val="0"/>
        <w:spacing w:after="120"/>
        <w:rPr>
          <w:rFonts w:ascii="Times New Roman" w:eastAsia="MS Mincho" w:hAnsi="Times New Roman" w:cs="Times New Roman"/>
          <w:b/>
          <w:color w:val="000000"/>
          <w:lang w:eastAsia="ja-JP"/>
        </w:rPr>
      </w:pPr>
      <w:bookmarkStart w:id="17" w:name="_Hlk514685235"/>
      <w:r w:rsidRPr="00FD692B">
        <w:rPr>
          <w:rFonts w:ascii="Times New Roman" w:hAnsi="Times New Roman" w:cs="Times New Roman"/>
          <w:b/>
          <w:color w:val="000000"/>
        </w:rPr>
        <w:t xml:space="preserve">Table </w:t>
      </w:r>
      <w:r>
        <w:rPr>
          <w:rFonts w:ascii="Times New Roman" w:hAnsi="Times New Roman" w:cs="Times New Roman"/>
          <w:b/>
          <w:color w:val="000000"/>
        </w:rPr>
        <w:t>5</w:t>
      </w:r>
      <w:r w:rsidRPr="00FD692B">
        <w:rPr>
          <w:rFonts w:ascii="Times New Roman" w:hAnsi="Times New Roman" w:cs="Times New Roman"/>
          <w:b/>
          <w:color w:val="000000"/>
        </w:rPr>
        <w:t xml:space="preserve"> – Kaplan-Meier proportion of subjects seizure free for 6 months at the last evaluated dose</w:t>
      </w:r>
      <w:r w:rsidRPr="00FD692B">
        <w:rPr>
          <w:rFonts w:ascii="Times New Roman" w:hAnsi="Times New Roman" w:cs="Times New Roman"/>
          <w:b/>
          <w:color w:val="000000"/>
          <w:lang w:eastAsia="ja-JP"/>
        </w:rPr>
        <w:t xml:space="preserve"> in the patients with partial-onset seizures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798"/>
        <w:gridCol w:w="1798"/>
        <w:gridCol w:w="1799"/>
        <w:gridCol w:w="1799"/>
      </w:tblGrid>
      <w:tr w:rsidR="0072408A" w:rsidRPr="00FD692B" w14:paraId="0C231C62" w14:textId="77777777" w:rsidTr="004A7FD3">
        <w:tc>
          <w:tcPr>
            <w:tcW w:w="1857" w:type="dxa"/>
            <w:tcBorders>
              <w:top w:val="single" w:sz="4" w:space="0" w:color="auto"/>
              <w:left w:val="single" w:sz="4" w:space="0" w:color="auto"/>
              <w:bottom w:val="single" w:sz="4" w:space="0" w:color="auto"/>
              <w:right w:val="single" w:sz="4" w:space="0" w:color="auto"/>
            </w:tcBorders>
          </w:tcPr>
          <w:p w14:paraId="03E8D5BA" w14:textId="77777777" w:rsidR="0072408A" w:rsidRPr="00FD692B" w:rsidRDefault="0072408A" w:rsidP="004A7FD3">
            <w:pPr>
              <w:autoSpaceDE w:val="0"/>
              <w:autoSpaceDN w:val="0"/>
              <w:adjustRightInd w:val="0"/>
              <w:spacing w:after="0"/>
              <w:rPr>
                <w:rFonts w:ascii="Times New Roman" w:hAnsi="Times New Roman" w:cs="Times New Roman"/>
                <w:b/>
                <w:color w:val="000000"/>
                <w:sz w:val="20"/>
              </w:rPr>
            </w:pPr>
          </w:p>
        </w:tc>
        <w:tc>
          <w:tcPr>
            <w:tcW w:w="3714" w:type="dxa"/>
            <w:gridSpan w:val="2"/>
            <w:tcBorders>
              <w:top w:val="single" w:sz="4" w:space="0" w:color="auto"/>
              <w:left w:val="single" w:sz="4" w:space="0" w:color="auto"/>
              <w:bottom w:val="single" w:sz="4" w:space="0" w:color="auto"/>
              <w:right w:val="single" w:sz="4" w:space="0" w:color="auto"/>
            </w:tcBorders>
            <w:vAlign w:val="center"/>
            <w:hideMark/>
          </w:tcPr>
          <w:p w14:paraId="165BFC37" w14:textId="77777777" w:rsidR="0072408A" w:rsidRPr="00FD692B" w:rsidRDefault="0072408A" w:rsidP="004A7FD3">
            <w:pPr>
              <w:autoSpaceDE w:val="0"/>
              <w:autoSpaceDN w:val="0"/>
              <w:adjustRightInd w:val="0"/>
              <w:spacing w:after="0"/>
              <w:jc w:val="center"/>
              <w:rPr>
                <w:rFonts w:ascii="Times New Roman" w:hAnsi="Times New Roman" w:cs="Times New Roman"/>
                <w:b/>
                <w:color w:val="000000"/>
                <w:sz w:val="20"/>
              </w:rPr>
            </w:pPr>
            <w:r w:rsidRPr="00FD692B">
              <w:rPr>
                <w:rFonts w:ascii="Times New Roman" w:hAnsi="Times New Roman" w:cs="Times New Roman"/>
                <w:b/>
                <w:color w:val="000000"/>
                <w:kern w:val="24"/>
                <w:sz w:val="20"/>
              </w:rPr>
              <w:t>FAS</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61E793EF" w14:textId="77777777" w:rsidR="0072408A" w:rsidRPr="00FD692B" w:rsidRDefault="0072408A" w:rsidP="004A7FD3">
            <w:pPr>
              <w:autoSpaceDE w:val="0"/>
              <w:autoSpaceDN w:val="0"/>
              <w:adjustRightInd w:val="0"/>
              <w:spacing w:after="0"/>
              <w:jc w:val="center"/>
              <w:rPr>
                <w:rFonts w:ascii="Times New Roman" w:hAnsi="Times New Roman" w:cs="Times New Roman"/>
                <w:b/>
                <w:color w:val="000000"/>
                <w:sz w:val="20"/>
              </w:rPr>
            </w:pPr>
            <w:r w:rsidRPr="00FD692B">
              <w:rPr>
                <w:rFonts w:ascii="Times New Roman" w:hAnsi="Times New Roman" w:cs="Times New Roman"/>
                <w:b/>
                <w:color w:val="000000"/>
                <w:kern w:val="24"/>
                <w:sz w:val="20"/>
              </w:rPr>
              <w:t>PPS</w:t>
            </w:r>
          </w:p>
        </w:tc>
      </w:tr>
      <w:tr w:rsidR="0072408A" w:rsidRPr="00FD692B" w14:paraId="09689F85" w14:textId="77777777" w:rsidTr="004A7FD3">
        <w:tc>
          <w:tcPr>
            <w:tcW w:w="1857" w:type="dxa"/>
            <w:tcBorders>
              <w:top w:val="single" w:sz="4" w:space="0" w:color="auto"/>
              <w:left w:val="single" w:sz="4" w:space="0" w:color="auto"/>
              <w:bottom w:val="single" w:sz="4" w:space="0" w:color="auto"/>
              <w:right w:val="single" w:sz="4" w:space="0" w:color="auto"/>
            </w:tcBorders>
            <w:hideMark/>
          </w:tcPr>
          <w:p w14:paraId="3A0485F0" w14:textId="77777777" w:rsidR="0072408A" w:rsidRPr="00FD692B" w:rsidRDefault="0072408A" w:rsidP="004A7FD3">
            <w:pPr>
              <w:autoSpaceDE w:val="0"/>
              <w:autoSpaceDN w:val="0"/>
              <w:adjustRightInd w:val="0"/>
              <w:spacing w:after="0"/>
              <w:rPr>
                <w:rFonts w:ascii="Times New Roman" w:hAnsi="Times New Roman" w:cs="Times New Roman"/>
                <w:b/>
                <w:color w:val="000000"/>
                <w:sz w:val="20"/>
                <w:szCs w:val="24"/>
              </w:rPr>
            </w:pPr>
            <w:r w:rsidRPr="00FD692B">
              <w:rPr>
                <w:rFonts w:ascii="Times New Roman" w:hAnsi="Times New Roman" w:cs="Times New Roman"/>
                <w:b/>
                <w:color w:val="000000"/>
                <w:sz w:val="20"/>
              </w:rPr>
              <w:t>Parameter</w:t>
            </w:r>
          </w:p>
        </w:tc>
        <w:tc>
          <w:tcPr>
            <w:tcW w:w="1857" w:type="dxa"/>
            <w:tcBorders>
              <w:top w:val="single" w:sz="4" w:space="0" w:color="auto"/>
              <w:left w:val="single" w:sz="4" w:space="0" w:color="auto"/>
              <w:bottom w:val="single" w:sz="4" w:space="0" w:color="auto"/>
              <w:right w:val="single" w:sz="4" w:space="0" w:color="auto"/>
            </w:tcBorders>
            <w:vAlign w:val="center"/>
            <w:hideMark/>
          </w:tcPr>
          <w:p w14:paraId="5A9313B7" w14:textId="77777777" w:rsidR="0072408A" w:rsidRPr="00FD692B" w:rsidRDefault="0072408A" w:rsidP="004A7FD3">
            <w:pPr>
              <w:pStyle w:val="NormalWeb"/>
              <w:spacing w:before="0" w:beforeAutospacing="0" w:after="0" w:afterAutospacing="0"/>
              <w:jc w:val="center"/>
              <w:rPr>
                <w:sz w:val="20"/>
                <w:szCs w:val="22"/>
              </w:rPr>
            </w:pPr>
            <w:r w:rsidRPr="00FD692B">
              <w:rPr>
                <w:color w:val="000000"/>
                <w:kern w:val="24"/>
                <w:sz w:val="20"/>
                <w:szCs w:val="22"/>
              </w:rPr>
              <w:t>LCM</w:t>
            </w:r>
          </w:p>
          <w:p w14:paraId="576830EA" w14:textId="77777777" w:rsidR="0072408A" w:rsidRPr="00FD692B" w:rsidRDefault="0072408A" w:rsidP="004A7FD3">
            <w:pPr>
              <w:autoSpaceDE w:val="0"/>
              <w:autoSpaceDN w:val="0"/>
              <w:adjustRightInd w:val="0"/>
              <w:spacing w:after="0"/>
              <w:jc w:val="center"/>
              <w:rPr>
                <w:rFonts w:ascii="Times New Roman" w:hAnsi="Times New Roman" w:cs="Times New Roman"/>
                <w:b/>
                <w:color w:val="000000"/>
                <w:sz w:val="20"/>
              </w:rPr>
            </w:pPr>
            <w:r w:rsidRPr="00FD692B">
              <w:rPr>
                <w:rFonts w:ascii="Times New Roman" w:hAnsi="Times New Roman" w:cs="Times New Roman"/>
                <w:color w:val="000000"/>
                <w:kern w:val="24"/>
                <w:sz w:val="20"/>
              </w:rPr>
              <w:t>N = 405</w:t>
            </w:r>
          </w:p>
        </w:tc>
        <w:tc>
          <w:tcPr>
            <w:tcW w:w="1857" w:type="dxa"/>
            <w:tcBorders>
              <w:top w:val="single" w:sz="4" w:space="0" w:color="auto"/>
              <w:left w:val="single" w:sz="4" w:space="0" w:color="auto"/>
              <w:bottom w:val="single" w:sz="4" w:space="0" w:color="auto"/>
              <w:right w:val="single" w:sz="4" w:space="0" w:color="auto"/>
            </w:tcBorders>
            <w:vAlign w:val="center"/>
            <w:hideMark/>
          </w:tcPr>
          <w:p w14:paraId="53296E41" w14:textId="77777777" w:rsidR="0072408A" w:rsidRPr="00FD692B" w:rsidRDefault="0072408A" w:rsidP="004A7FD3">
            <w:pPr>
              <w:pStyle w:val="NormalWeb"/>
              <w:spacing w:before="0" w:beforeAutospacing="0" w:after="0" w:afterAutospacing="0"/>
              <w:jc w:val="center"/>
              <w:rPr>
                <w:sz w:val="20"/>
                <w:szCs w:val="22"/>
              </w:rPr>
            </w:pPr>
            <w:r w:rsidRPr="00FD692B">
              <w:rPr>
                <w:color w:val="000000"/>
                <w:kern w:val="24"/>
                <w:sz w:val="20"/>
                <w:szCs w:val="22"/>
              </w:rPr>
              <w:t>CBZ-CR</w:t>
            </w:r>
          </w:p>
          <w:p w14:paraId="77778701" w14:textId="77777777" w:rsidR="0072408A" w:rsidRPr="00FD692B" w:rsidRDefault="0072408A" w:rsidP="004A7FD3">
            <w:pPr>
              <w:autoSpaceDE w:val="0"/>
              <w:autoSpaceDN w:val="0"/>
              <w:adjustRightInd w:val="0"/>
              <w:spacing w:after="0"/>
              <w:jc w:val="center"/>
              <w:rPr>
                <w:rFonts w:ascii="Times New Roman" w:hAnsi="Times New Roman" w:cs="Times New Roman"/>
                <w:b/>
                <w:color w:val="000000"/>
                <w:sz w:val="20"/>
              </w:rPr>
            </w:pPr>
            <w:r w:rsidRPr="00FD692B">
              <w:rPr>
                <w:rFonts w:ascii="Times New Roman" w:hAnsi="Times New Roman" w:cs="Times New Roman"/>
                <w:color w:val="000000"/>
                <w:kern w:val="24"/>
                <w:sz w:val="20"/>
              </w:rPr>
              <w:t>N = 405</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F8337EF" w14:textId="77777777" w:rsidR="0072408A" w:rsidRPr="00FD692B" w:rsidRDefault="0072408A" w:rsidP="004A7FD3">
            <w:pPr>
              <w:pStyle w:val="NormalWeb"/>
              <w:spacing w:before="0" w:beforeAutospacing="0" w:after="0" w:afterAutospacing="0"/>
              <w:jc w:val="center"/>
              <w:rPr>
                <w:sz w:val="20"/>
                <w:szCs w:val="22"/>
              </w:rPr>
            </w:pPr>
            <w:r w:rsidRPr="00FD692B">
              <w:rPr>
                <w:color w:val="000000"/>
                <w:kern w:val="24"/>
                <w:sz w:val="20"/>
                <w:szCs w:val="22"/>
              </w:rPr>
              <w:t>LCM</w:t>
            </w:r>
          </w:p>
          <w:p w14:paraId="2805AE5B" w14:textId="77777777" w:rsidR="0072408A" w:rsidRPr="00FD692B" w:rsidRDefault="0072408A" w:rsidP="004A7FD3">
            <w:pPr>
              <w:autoSpaceDE w:val="0"/>
              <w:autoSpaceDN w:val="0"/>
              <w:adjustRightInd w:val="0"/>
              <w:spacing w:after="0"/>
              <w:jc w:val="center"/>
              <w:rPr>
                <w:rFonts w:ascii="Times New Roman" w:hAnsi="Times New Roman" w:cs="Times New Roman"/>
                <w:b/>
                <w:color w:val="000000"/>
                <w:sz w:val="20"/>
              </w:rPr>
            </w:pPr>
            <w:r w:rsidRPr="00FD692B">
              <w:rPr>
                <w:rFonts w:ascii="Times New Roman" w:hAnsi="Times New Roman" w:cs="Times New Roman"/>
                <w:color w:val="000000"/>
                <w:kern w:val="24"/>
                <w:sz w:val="20"/>
              </w:rPr>
              <w:t>N = 374</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CFEAD6D" w14:textId="77777777" w:rsidR="0072408A" w:rsidRPr="00FD692B" w:rsidRDefault="0072408A" w:rsidP="004A7FD3">
            <w:pPr>
              <w:pStyle w:val="NormalWeb"/>
              <w:spacing w:before="0" w:beforeAutospacing="0" w:after="0" w:afterAutospacing="0"/>
              <w:jc w:val="center"/>
              <w:rPr>
                <w:sz w:val="20"/>
                <w:szCs w:val="22"/>
              </w:rPr>
            </w:pPr>
            <w:r w:rsidRPr="00FD692B">
              <w:rPr>
                <w:color w:val="000000"/>
                <w:kern w:val="24"/>
                <w:sz w:val="20"/>
                <w:szCs w:val="22"/>
              </w:rPr>
              <w:t>CBZ-CR</w:t>
            </w:r>
          </w:p>
          <w:p w14:paraId="51501CAB" w14:textId="77777777" w:rsidR="0072408A" w:rsidRPr="00FD692B" w:rsidRDefault="0072408A" w:rsidP="004A7FD3">
            <w:pPr>
              <w:autoSpaceDE w:val="0"/>
              <w:autoSpaceDN w:val="0"/>
              <w:adjustRightInd w:val="0"/>
              <w:spacing w:after="0"/>
              <w:jc w:val="center"/>
              <w:rPr>
                <w:rFonts w:ascii="Times New Roman" w:hAnsi="Times New Roman" w:cs="Times New Roman"/>
                <w:b/>
                <w:color w:val="000000"/>
                <w:sz w:val="20"/>
              </w:rPr>
            </w:pPr>
            <w:r w:rsidRPr="00FD692B">
              <w:rPr>
                <w:rFonts w:ascii="Times New Roman" w:hAnsi="Times New Roman" w:cs="Times New Roman"/>
                <w:color w:val="000000"/>
                <w:kern w:val="24"/>
                <w:sz w:val="20"/>
              </w:rPr>
              <w:t>N = 364</w:t>
            </w:r>
          </w:p>
        </w:tc>
      </w:tr>
      <w:tr w:rsidR="0072408A" w:rsidRPr="00FD692B" w14:paraId="1067E66E" w14:textId="77777777" w:rsidTr="004A7FD3">
        <w:tc>
          <w:tcPr>
            <w:tcW w:w="9287" w:type="dxa"/>
            <w:gridSpan w:val="5"/>
            <w:tcBorders>
              <w:top w:val="single" w:sz="4" w:space="0" w:color="auto"/>
              <w:left w:val="single" w:sz="4" w:space="0" w:color="auto"/>
              <w:bottom w:val="single" w:sz="4" w:space="0" w:color="auto"/>
              <w:right w:val="single" w:sz="4" w:space="0" w:color="auto"/>
            </w:tcBorders>
            <w:hideMark/>
          </w:tcPr>
          <w:p w14:paraId="0DBC6B2A" w14:textId="77777777" w:rsidR="0072408A" w:rsidRPr="00FD692B" w:rsidRDefault="0072408A" w:rsidP="004A7FD3">
            <w:pPr>
              <w:autoSpaceDE w:val="0"/>
              <w:autoSpaceDN w:val="0"/>
              <w:adjustRightInd w:val="0"/>
              <w:spacing w:after="0"/>
              <w:rPr>
                <w:rFonts w:ascii="Times New Roman" w:hAnsi="Times New Roman" w:cs="Times New Roman"/>
                <w:color w:val="000000"/>
                <w:sz w:val="20"/>
              </w:rPr>
            </w:pPr>
            <w:proofErr w:type="spellStart"/>
            <w:r w:rsidRPr="00FD692B">
              <w:rPr>
                <w:rFonts w:ascii="Times New Roman" w:hAnsi="Times New Roman" w:cs="Times New Roman"/>
                <w:color w:val="000000"/>
                <w:sz w:val="20"/>
              </w:rPr>
              <w:t>Stratified</w:t>
            </w:r>
            <w:r w:rsidRPr="00FD692B">
              <w:rPr>
                <w:rFonts w:ascii="Times New Roman" w:hAnsi="Times New Roman" w:cs="Times New Roman"/>
                <w:color w:val="000000"/>
                <w:sz w:val="20"/>
                <w:vertAlign w:val="superscript"/>
              </w:rPr>
              <w:t>a</w:t>
            </w:r>
            <w:proofErr w:type="spellEnd"/>
          </w:p>
        </w:tc>
      </w:tr>
      <w:tr w:rsidR="0072408A" w:rsidRPr="00FD692B" w14:paraId="02306F2C" w14:textId="77777777" w:rsidTr="004A7FD3">
        <w:tc>
          <w:tcPr>
            <w:tcW w:w="1857" w:type="dxa"/>
            <w:tcBorders>
              <w:top w:val="single" w:sz="4" w:space="0" w:color="auto"/>
              <w:left w:val="single" w:sz="4" w:space="0" w:color="auto"/>
              <w:bottom w:val="single" w:sz="4" w:space="0" w:color="auto"/>
              <w:right w:val="single" w:sz="4" w:space="0" w:color="auto"/>
            </w:tcBorders>
            <w:hideMark/>
          </w:tcPr>
          <w:p w14:paraId="7CFFB7F7" w14:textId="77777777" w:rsidR="0072408A" w:rsidRPr="00FD692B" w:rsidRDefault="0072408A" w:rsidP="004A7FD3">
            <w:pPr>
              <w:autoSpaceDE w:val="0"/>
              <w:autoSpaceDN w:val="0"/>
              <w:adjustRightInd w:val="0"/>
              <w:spacing w:after="0"/>
              <w:rPr>
                <w:rFonts w:ascii="Times New Roman" w:hAnsi="Times New Roman" w:cs="Times New Roman"/>
                <w:color w:val="000000"/>
                <w:sz w:val="20"/>
                <w:szCs w:val="24"/>
              </w:rPr>
            </w:pPr>
            <w:r w:rsidRPr="00FD692B">
              <w:rPr>
                <w:rFonts w:ascii="Times New Roman" w:hAnsi="Times New Roman" w:cs="Times New Roman"/>
                <w:color w:val="000000"/>
                <w:sz w:val="20"/>
              </w:rPr>
              <w:t>KM seizure free  (%) (95% CI)</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9416CCC" w14:textId="77777777" w:rsidR="0072408A" w:rsidRPr="00FD692B" w:rsidRDefault="0072408A" w:rsidP="004A7FD3">
            <w:pPr>
              <w:pStyle w:val="NormalWeb"/>
              <w:spacing w:before="0" w:beforeAutospacing="0" w:after="0" w:afterAutospacing="0"/>
              <w:jc w:val="center"/>
              <w:rPr>
                <w:sz w:val="20"/>
                <w:szCs w:val="22"/>
              </w:rPr>
            </w:pPr>
            <w:r w:rsidRPr="00FD692B">
              <w:rPr>
                <w:color w:val="000000"/>
                <w:kern w:val="24"/>
                <w:sz w:val="20"/>
                <w:szCs w:val="22"/>
              </w:rPr>
              <w:t xml:space="preserve">89.5 </w:t>
            </w:r>
          </w:p>
          <w:p w14:paraId="5DF7C7DE" w14:textId="77777777" w:rsidR="0072408A" w:rsidRPr="00FD692B" w:rsidRDefault="0072408A" w:rsidP="004A7FD3">
            <w:pPr>
              <w:autoSpaceDE w:val="0"/>
              <w:autoSpaceDN w:val="0"/>
              <w:adjustRightInd w:val="0"/>
              <w:spacing w:after="0"/>
              <w:jc w:val="center"/>
              <w:rPr>
                <w:rFonts w:ascii="Times New Roman" w:hAnsi="Times New Roman" w:cs="Times New Roman"/>
                <w:color w:val="000000"/>
                <w:sz w:val="20"/>
              </w:rPr>
            </w:pPr>
            <w:r w:rsidRPr="00FD692B">
              <w:rPr>
                <w:rFonts w:ascii="Times New Roman" w:hAnsi="Times New Roman" w:cs="Times New Roman"/>
                <w:color w:val="000000"/>
                <w:kern w:val="24"/>
                <w:sz w:val="20"/>
              </w:rPr>
              <w:t>(86.3, 92.6)</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5BB6FEF" w14:textId="77777777" w:rsidR="0072408A" w:rsidRPr="00FD692B" w:rsidRDefault="0072408A" w:rsidP="004A7FD3">
            <w:pPr>
              <w:pStyle w:val="NormalWeb"/>
              <w:spacing w:before="0" w:beforeAutospacing="0" w:after="0" w:afterAutospacing="0"/>
              <w:jc w:val="center"/>
              <w:rPr>
                <w:sz w:val="20"/>
                <w:szCs w:val="22"/>
              </w:rPr>
            </w:pPr>
            <w:r w:rsidRPr="00FD692B">
              <w:rPr>
                <w:color w:val="000000"/>
                <w:kern w:val="24"/>
                <w:sz w:val="20"/>
                <w:szCs w:val="22"/>
              </w:rPr>
              <w:t xml:space="preserve">91.2 </w:t>
            </w:r>
          </w:p>
          <w:p w14:paraId="02C1E6F7" w14:textId="77777777" w:rsidR="0072408A" w:rsidRPr="00FD692B" w:rsidRDefault="0072408A" w:rsidP="004A7FD3">
            <w:pPr>
              <w:autoSpaceDE w:val="0"/>
              <w:autoSpaceDN w:val="0"/>
              <w:adjustRightInd w:val="0"/>
              <w:spacing w:after="0"/>
              <w:jc w:val="center"/>
              <w:rPr>
                <w:rFonts w:ascii="Times New Roman" w:hAnsi="Times New Roman" w:cs="Times New Roman"/>
                <w:color w:val="000000"/>
                <w:sz w:val="20"/>
              </w:rPr>
            </w:pPr>
            <w:r w:rsidRPr="00FD692B">
              <w:rPr>
                <w:rFonts w:ascii="Times New Roman" w:hAnsi="Times New Roman" w:cs="Times New Roman"/>
                <w:color w:val="000000"/>
                <w:kern w:val="24"/>
                <w:sz w:val="20"/>
              </w:rPr>
              <w:t>(88.2, 94.2)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3C63B9D" w14:textId="77777777" w:rsidR="0072408A" w:rsidRPr="00FD692B" w:rsidRDefault="0072408A" w:rsidP="004A7FD3">
            <w:pPr>
              <w:pStyle w:val="NormalWeb"/>
              <w:spacing w:before="0" w:beforeAutospacing="0" w:after="0" w:afterAutospacing="0"/>
              <w:jc w:val="center"/>
              <w:rPr>
                <w:sz w:val="20"/>
                <w:szCs w:val="22"/>
              </w:rPr>
            </w:pPr>
            <w:r w:rsidRPr="00FD692B">
              <w:rPr>
                <w:color w:val="000000"/>
                <w:kern w:val="24"/>
                <w:sz w:val="20"/>
                <w:szCs w:val="22"/>
              </w:rPr>
              <w:t xml:space="preserve">91.0 </w:t>
            </w:r>
          </w:p>
          <w:p w14:paraId="46E9E47B" w14:textId="77777777" w:rsidR="0072408A" w:rsidRPr="00FD692B" w:rsidRDefault="0072408A" w:rsidP="004A7FD3">
            <w:pPr>
              <w:autoSpaceDE w:val="0"/>
              <w:autoSpaceDN w:val="0"/>
              <w:adjustRightInd w:val="0"/>
              <w:spacing w:after="0"/>
              <w:jc w:val="center"/>
              <w:rPr>
                <w:rFonts w:ascii="Times New Roman" w:hAnsi="Times New Roman" w:cs="Times New Roman"/>
                <w:color w:val="000000"/>
                <w:sz w:val="20"/>
              </w:rPr>
            </w:pPr>
            <w:r w:rsidRPr="00FD692B">
              <w:rPr>
                <w:rFonts w:ascii="Times New Roman" w:hAnsi="Times New Roman" w:cs="Times New Roman"/>
                <w:color w:val="000000"/>
                <w:kern w:val="24"/>
                <w:sz w:val="20"/>
              </w:rPr>
              <w:t>(88.0, 94.1)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5EF297D" w14:textId="77777777" w:rsidR="0072408A" w:rsidRPr="00FD692B" w:rsidRDefault="0072408A" w:rsidP="004A7FD3">
            <w:pPr>
              <w:pStyle w:val="NormalWeb"/>
              <w:spacing w:before="0" w:beforeAutospacing="0" w:after="0" w:afterAutospacing="0"/>
              <w:jc w:val="center"/>
              <w:rPr>
                <w:sz w:val="20"/>
                <w:szCs w:val="22"/>
              </w:rPr>
            </w:pPr>
            <w:r w:rsidRPr="00FD692B">
              <w:rPr>
                <w:color w:val="000000"/>
                <w:kern w:val="24"/>
                <w:sz w:val="20"/>
                <w:szCs w:val="22"/>
              </w:rPr>
              <w:t xml:space="preserve">92.5 </w:t>
            </w:r>
          </w:p>
          <w:p w14:paraId="13175BFB" w14:textId="77777777" w:rsidR="0072408A" w:rsidRPr="00FD692B" w:rsidRDefault="0072408A" w:rsidP="004A7FD3">
            <w:pPr>
              <w:autoSpaceDE w:val="0"/>
              <w:autoSpaceDN w:val="0"/>
              <w:adjustRightInd w:val="0"/>
              <w:spacing w:after="0"/>
              <w:jc w:val="center"/>
              <w:rPr>
                <w:rFonts w:ascii="Times New Roman" w:hAnsi="Times New Roman" w:cs="Times New Roman"/>
                <w:color w:val="000000"/>
                <w:sz w:val="20"/>
              </w:rPr>
            </w:pPr>
            <w:r w:rsidRPr="00FD692B">
              <w:rPr>
                <w:rFonts w:ascii="Times New Roman" w:hAnsi="Times New Roman" w:cs="Times New Roman"/>
                <w:color w:val="000000"/>
                <w:kern w:val="24"/>
                <w:sz w:val="20"/>
              </w:rPr>
              <w:t>(89.5, 95.4)</w:t>
            </w:r>
          </w:p>
        </w:tc>
      </w:tr>
      <w:tr w:rsidR="0072408A" w:rsidRPr="00FD692B" w14:paraId="1B760CF0" w14:textId="77777777" w:rsidTr="004A7FD3">
        <w:tc>
          <w:tcPr>
            <w:tcW w:w="9287" w:type="dxa"/>
            <w:gridSpan w:val="5"/>
            <w:tcBorders>
              <w:top w:val="single" w:sz="4" w:space="0" w:color="auto"/>
              <w:left w:val="single" w:sz="4" w:space="0" w:color="auto"/>
              <w:bottom w:val="single" w:sz="4" w:space="0" w:color="auto"/>
              <w:right w:val="single" w:sz="4" w:space="0" w:color="auto"/>
            </w:tcBorders>
            <w:hideMark/>
          </w:tcPr>
          <w:p w14:paraId="1725AD4C" w14:textId="77777777" w:rsidR="0072408A" w:rsidRPr="00FD692B" w:rsidRDefault="0072408A" w:rsidP="004A7FD3">
            <w:pPr>
              <w:autoSpaceDE w:val="0"/>
              <w:autoSpaceDN w:val="0"/>
              <w:adjustRightInd w:val="0"/>
              <w:spacing w:after="0"/>
              <w:rPr>
                <w:rFonts w:ascii="Times New Roman" w:hAnsi="Times New Roman" w:cs="Times New Roman"/>
                <w:color w:val="000000"/>
                <w:sz w:val="20"/>
              </w:rPr>
            </w:pPr>
            <w:r w:rsidRPr="00FD692B">
              <w:rPr>
                <w:rFonts w:ascii="Times New Roman" w:hAnsi="Times New Roman" w:cs="Times New Roman"/>
                <w:color w:val="000000"/>
                <w:sz w:val="20"/>
              </w:rPr>
              <w:t>LCM-CBZ-CR:</w:t>
            </w:r>
          </w:p>
        </w:tc>
      </w:tr>
      <w:tr w:rsidR="0072408A" w:rsidRPr="00FD692B" w14:paraId="5DAE9223" w14:textId="77777777" w:rsidTr="004A7FD3">
        <w:tc>
          <w:tcPr>
            <w:tcW w:w="1857" w:type="dxa"/>
            <w:tcBorders>
              <w:top w:val="single" w:sz="4" w:space="0" w:color="auto"/>
              <w:left w:val="single" w:sz="4" w:space="0" w:color="auto"/>
              <w:bottom w:val="single" w:sz="4" w:space="0" w:color="auto"/>
              <w:right w:val="single" w:sz="4" w:space="0" w:color="auto"/>
            </w:tcBorders>
            <w:hideMark/>
          </w:tcPr>
          <w:p w14:paraId="1ADB12E1" w14:textId="77777777" w:rsidR="0072408A" w:rsidRPr="00FD692B" w:rsidRDefault="0072408A" w:rsidP="004A7FD3">
            <w:pPr>
              <w:autoSpaceDE w:val="0"/>
              <w:autoSpaceDN w:val="0"/>
              <w:adjustRightInd w:val="0"/>
              <w:spacing w:after="0"/>
              <w:rPr>
                <w:rFonts w:ascii="Times New Roman" w:hAnsi="Times New Roman" w:cs="Times New Roman"/>
                <w:color w:val="000000"/>
                <w:sz w:val="20"/>
                <w:szCs w:val="24"/>
              </w:rPr>
            </w:pPr>
            <w:r w:rsidRPr="00FD692B">
              <w:rPr>
                <w:rFonts w:ascii="Times New Roman" w:hAnsi="Times New Roman" w:cs="Times New Roman"/>
                <w:color w:val="000000"/>
                <w:sz w:val="20"/>
              </w:rPr>
              <w:t>KM seizure free (%) (95% CI)</w:t>
            </w:r>
          </w:p>
        </w:tc>
        <w:tc>
          <w:tcPr>
            <w:tcW w:w="3714" w:type="dxa"/>
            <w:gridSpan w:val="2"/>
            <w:tcBorders>
              <w:top w:val="single" w:sz="4" w:space="0" w:color="auto"/>
              <w:left w:val="single" w:sz="4" w:space="0" w:color="auto"/>
              <w:bottom w:val="single" w:sz="4" w:space="0" w:color="auto"/>
              <w:right w:val="single" w:sz="4" w:space="0" w:color="auto"/>
            </w:tcBorders>
            <w:vAlign w:val="center"/>
            <w:hideMark/>
          </w:tcPr>
          <w:p w14:paraId="61700459" w14:textId="77777777" w:rsidR="0072408A" w:rsidRPr="00FD692B" w:rsidRDefault="0072408A" w:rsidP="004A7FD3">
            <w:pPr>
              <w:pStyle w:val="NormalWeb"/>
              <w:spacing w:before="0" w:beforeAutospacing="0" w:after="0" w:afterAutospacing="0"/>
              <w:jc w:val="center"/>
              <w:rPr>
                <w:sz w:val="20"/>
                <w:szCs w:val="22"/>
              </w:rPr>
            </w:pPr>
            <w:r w:rsidRPr="00FD692B">
              <w:rPr>
                <w:color w:val="000000"/>
                <w:kern w:val="24"/>
                <w:sz w:val="20"/>
                <w:szCs w:val="22"/>
              </w:rPr>
              <w:t xml:space="preserve">-1.8 </w:t>
            </w:r>
          </w:p>
          <w:p w14:paraId="2163B688" w14:textId="77777777" w:rsidR="0072408A" w:rsidRPr="00FD692B" w:rsidRDefault="0072408A" w:rsidP="004A7FD3">
            <w:pPr>
              <w:autoSpaceDE w:val="0"/>
              <w:autoSpaceDN w:val="0"/>
              <w:adjustRightInd w:val="0"/>
              <w:spacing w:after="0"/>
              <w:jc w:val="center"/>
              <w:rPr>
                <w:rFonts w:ascii="Times New Roman" w:hAnsi="Times New Roman" w:cs="Times New Roman"/>
                <w:color w:val="000000"/>
                <w:sz w:val="20"/>
              </w:rPr>
            </w:pPr>
            <w:r w:rsidRPr="00FD692B">
              <w:rPr>
                <w:rFonts w:ascii="Times New Roman" w:hAnsi="Times New Roman" w:cs="Times New Roman"/>
                <w:color w:val="000000"/>
                <w:kern w:val="24"/>
                <w:sz w:val="20"/>
              </w:rPr>
              <w:t>(-6.1, 2.6)</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095E3DFA" w14:textId="77777777" w:rsidR="0072408A" w:rsidRPr="00FD692B" w:rsidRDefault="0072408A" w:rsidP="004A7FD3">
            <w:pPr>
              <w:pStyle w:val="NormalWeb"/>
              <w:spacing w:before="0" w:beforeAutospacing="0" w:after="0" w:afterAutospacing="0"/>
              <w:jc w:val="center"/>
              <w:rPr>
                <w:sz w:val="20"/>
                <w:szCs w:val="22"/>
              </w:rPr>
            </w:pPr>
            <w:r w:rsidRPr="00FD692B">
              <w:rPr>
                <w:color w:val="000000"/>
                <w:kern w:val="24"/>
                <w:sz w:val="20"/>
                <w:szCs w:val="22"/>
              </w:rPr>
              <w:t xml:space="preserve">-1.4 </w:t>
            </w:r>
          </w:p>
          <w:p w14:paraId="7F7C46A1" w14:textId="77777777" w:rsidR="0072408A" w:rsidRPr="00FD692B" w:rsidRDefault="0072408A" w:rsidP="004A7FD3">
            <w:pPr>
              <w:autoSpaceDE w:val="0"/>
              <w:autoSpaceDN w:val="0"/>
              <w:adjustRightInd w:val="0"/>
              <w:spacing w:after="0"/>
              <w:jc w:val="center"/>
              <w:rPr>
                <w:rFonts w:ascii="Times New Roman" w:hAnsi="Times New Roman" w:cs="Times New Roman"/>
                <w:color w:val="000000"/>
                <w:sz w:val="20"/>
              </w:rPr>
            </w:pPr>
            <w:r w:rsidRPr="00FD692B">
              <w:rPr>
                <w:rFonts w:ascii="Times New Roman" w:hAnsi="Times New Roman" w:cs="Times New Roman"/>
                <w:color w:val="000000"/>
                <w:kern w:val="24"/>
                <w:sz w:val="20"/>
              </w:rPr>
              <w:t>(-5.7, 2.8)</w:t>
            </w:r>
          </w:p>
        </w:tc>
      </w:tr>
      <w:tr w:rsidR="0072408A" w:rsidRPr="00FD692B" w14:paraId="52130774" w14:textId="77777777" w:rsidTr="004A7FD3">
        <w:tc>
          <w:tcPr>
            <w:tcW w:w="1857" w:type="dxa"/>
            <w:tcBorders>
              <w:top w:val="single" w:sz="4" w:space="0" w:color="auto"/>
              <w:left w:val="single" w:sz="4" w:space="0" w:color="auto"/>
              <w:bottom w:val="single" w:sz="4" w:space="0" w:color="auto"/>
              <w:right w:val="single" w:sz="4" w:space="0" w:color="auto"/>
            </w:tcBorders>
            <w:hideMark/>
          </w:tcPr>
          <w:p w14:paraId="0D29281A" w14:textId="77777777" w:rsidR="0072408A" w:rsidRPr="00FD692B" w:rsidRDefault="0072408A" w:rsidP="004A7FD3">
            <w:pPr>
              <w:autoSpaceDE w:val="0"/>
              <w:autoSpaceDN w:val="0"/>
              <w:adjustRightInd w:val="0"/>
              <w:spacing w:after="0"/>
              <w:rPr>
                <w:rFonts w:ascii="Times New Roman" w:hAnsi="Times New Roman" w:cs="Times New Roman"/>
                <w:color w:val="000000"/>
                <w:sz w:val="20"/>
                <w:szCs w:val="24"/>
                <w:vertAlign w:val="superscript"/>
              </w:rPr>
            </w:pPr>
            <w:r w:rsidRPr="00FD692B">
              <w:rPr>
                <w:rFonts w:ascii="Times New Roman" w:hAnsi="Times New Roman" w:cs="Times New Roman"/>
                <w:color w:val="000000"/>
                <w:sz w:val="20"/>
              </w:rPr>
              <w:t>Relative ratio (%)</w:t>
            </w:r>
            <w:r w:rsidRPr="00FD692B">
              <w:rPr>
                <w:rFonts w:ascii="Times New Roman" w:hAnsi="Times New Roman" w:cs="Times New Roman"/>
                <w:color w:val="000000"/>
                <w:sz w:val="20"/>
                <w:vertAlign w:val="superscript"/>
              </w:rPr>
              <w:t>b</w:t>
            </w:r>
          </w:p>
        </w:tc>
        <w:tc>
          <w:tcPr>
            <w:tcW w:w="3714" w:type="dxa"/>
            <w:gridSpan w:val="2"/>
            <w:tcBorders>
              <w:top w:val="single" w:sz="4" w:space="0" w:color="auto"/>
              <w:left w:val="single" w:sz="4" w:space="0" w:color="auto"/>
              <w:bottom w:val="single" w:sz="4" w:space="0" w:color="auto"/>
              <w:right w:val="single" w:sz="4" w:space="0" w:color="auto"/>
            </w:tcBorders>
            <w:vAlign w:val="center"/>
            <w:hideMark/>
          </w:tcPr>
          <w:p w14:paraId="7EF429AF" w14:textId="77777777" w:rsidR="0072408A" w:rsidRPr="00FD692B" w:rsidRDefault="0072408A" w:rsidP="004A7FD3">
            <w:pPr>
              <w:autoSpaceDE w:val="0"/>
              <w:autoSpaceDN w:val="0"/>
              <w:adjustRightInd w:val="0"/>
              <w:spacing w:after="0"/>
              <w:jc w:val="center"/>
              <w:rPr>
                <w:rFonts w:ascii="Times New Roman" w:hAnsi="Times New Roman" w:cs="Times New Roman"/>
                <w:color w:val="000000"/>
                <w:sz w:val="20"/>
              </w:rPr>
            </w:pPr>
            <w:r w:rsidRPr="00FD692B">
              <w:rPr>
                <w:rFonts w:ascii="Times New Roman" w:hAnsi="Times New Roman" w:cs="Times New Roman"/>
                <w:color w:val="000000"/>
                <w:kern w:val="24"/>
                <w:sz w:val="20"/>
              </w:rPr>
              <w:t>-6.7</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77F02046" w14:textId="77777777" w:rsidR="0072408A" w:rsidRPr="00FD692B" w:rsidRDefault="0072408A" w:rsidP="004A7FD3">
            <w:pPr>
              <w:autoSpaceDE w:val="0"/>
              <w:autoSpaceDN w:val="0"/>
              <w:adjustRightInd w:val="0"/>
              <w:spacing w:after="0"/>
              <w:jc w:val="center"/>
              <w:rPr>
                <w:rFonts w:ascii="Times New Roman" w:hAnsi="Times New Roman" w:cs="Times New Roman"/>
                <w:color w:val="000000"/>
                <w:sz w:val="20"/>
              </w:rPr>
            </w:pPr>
            <w:r w:rsidRPr="00FD692B">
              <w:rPr>
                <w:rFonts w:ascii="Times New Roman" w:hAnsi="Times New Roman" w:cs="Times New Roman"/>
                <w:color w:val="000000"/>
                <w:kern w:val="24"/>
                <w:sz w:val="20"/>
              </w:rPr>
              <w:t>-6.1</w:t>
            </w:r>
          </w:p>
        </w:tc>
      </w:tr>
    </w:tbl>
    <w:p w14:paraId="3F11C7E1" w14:textId="77777777" w:rsidR="0072408A" w:rsidRPr="00FD692B" w:rsidRDefault="0072408A" w:rsidP="0072408A">
      <w:pPr>
        <w:autoSpaceDE w:val="0"/>
        <w:autoSpaceDN w:val="0"/>
        <w:adjustRightInd w:val="0"/>
        <w:spacing w:after="0"/>
        <w:rPr>
          <w:rFonts w:ascii="Times New Roman" w:hAnsi="Times New Roman" w:cs="Times New Roman"/>
          <w:color w:val="000000"/>
          <w:sz w:val="20"/>
          <w:szCs w:val="24"/>
        </w:rPr>
      </w:pPr>
      <w:r w:rsidRPr="00FD692B">
        <w:rPr>
          <w:rFonts w:ascii="Times New Roman" w:hAnsi="Times New Roman" w:cs="Times New Roman"/>
          <w:color w:val="000000"/>
        </w:rPr>
        <w:t xml:space="preserve"> </w:t>
      </w:r>
      <w:r w:rsidRPr="00FD692B">
        <w:rPr>
          <w:rFonts w:ascii="Times New Roman" w:hAnsi="Times New Roman" w:cs="Times New Roman"/>
          <w:color w:val="000000"/>
          <w:sz w:val="18"/>
        </w:rPr>
        <w:t xml:space="preserve">FAS = Full Analysis Set and PPS = Per-Protocol Set. </w:t>
      </w:r>
    </w:p>
    <w:p w14:paraId="282DDB4E" w14:textId="77777777" w:rsidR="0072408A" w:rsidRPr="00FD692B" w:rsidRDefault="0072408A" w:rsidP="0072408A">
      <w:pPr>
        <w:autoSpaceDE w:val="0"/>
        <w:autoSpaceDN w:val="0"/>
        <w:adjustRightInd w:val="0"/>
        <w:spacing w:after="0"/>
        <w:rPr>
          <w:rFonts w:ascii="Times New Roman" w:hAnsi="Times New Roman" w:cs="Times New Roman"/>
          <w:color w:val="000000"/>
          <w:sz w:val="18"/>
        </w:rPr>
      </w:pPr>
      <w:proofErr w:type="spellStart"/>
      <w:r w:rsidRPr="00FD692B">
        <w:rPr>
          <w:rFonts w:ascii="Times New Roman" w:hAnsi="Times New Roman" w:cs="Times New Roman"/>
          <w:color w:val="000000"/>
          <w:sz w:val="18"/>
          <w:vertAlign w:val="superscript"/>
        </w:rPr>
        <w:t>a</w:t>
      </w:r>
      <w:proofErr w:type="spellEnd"/>
      <w:r w:rsidRPr="00FD692B">
        <w:rPr>
          <w:rFonts w:ascii="Times New Roman" w:hAnsi="Times New Roman" w:cs="Times New Roman"/>
          <w:color w:val="000000"/>
          <w:sz w:val="18"/>
          <w:vertAlign w:val="superscript"/>
        </w:rPr>
        <w:t xml:space="preserve"> </w:t>
      </w:r>
      <w:r w:rsidRPr="00FD692B">
        <w:rPr>
          <w:rFonts w:ascii="Times New Roman" w:hAnsi="Times New Roman" w:cs="Times New Roman"/>
          <w:color w:val="000000"/>
          <w:sz w:val="18"/>
        </w:rPr>
        <w:t xml:space="preserve">Estimated by Mantel </w:t>
      </w:r>
      <w:proofErr w:type="spellStart"/>
      <w:r w:rsidRPr="00FD692B">
        <w:rPr>
          <w:rFonts w:ascii="Times New Roman" w:hAnsi="Times New Roman" w:cs="Times New Roman"/>
          <w:color w:val="000000"/>
          <w:sz w:val="18"/>
        </w:rPr>
        <w:t>Haenszel</w:t>
      </w:r>
      <w:proofErr w:type="spellEnd"/>
      <w:r w:rsidRPr="00FD692B">
        <w:rPr>
          <w:rFonts w:ascii="Times New Roman" w:hAnsi="Times New Roman" w:cs="Times New Roman"/>
          <w:color w:val="000000"/>
          <w:sz w:val="18"/>
        </w:rPr>
        <w:t xml:space="preserve"> methods.</w:t>
      </w:r>
    </w:p>
    <w:p w14:paraId="02430DA4" w14:textId="77777777" w:rsidR="0072408A" w:rsidRPr="00FD692B" w:rsidRDefault="0072408A" w:rsidP="0072408A">
      <w:pPr>
        <w:autoSpaceDE w:val="0"/>
        <w:autoSpaceDN w:val="0"/>
        <w:adjustRightInd w:val="0"/>
        <w:spacing w:after="0"/>
        <w:rPr>
          <w:rFonts w:ascii="Times New Roman" w:hAnsi="Times New Roman" w:cs="Times New Roman"/>
          <w:color w:val="000000"/>
          <w:sz w:val="18"/>
          <w:lang w:eastAsia="ja-JP"/>
        </w:rPr>
      </w:pPr>
      <w:r w:rsidRPr="00FD692B">
        <w:rPr>
          <w:rFonts w:ascii="Times New Roman" w:hAnsi="Times New Roman" w:cs="Times New Roman"/>
          <w:color w:val="000000"/>
          <w:sz w:val="18"/>
          <w:vertAlign w:val="superscript"/>
        </w:rPr>
        <w:t xml:space="preserve">b </w:t>
      </w:r>
      <w:r w:rsidRPr="00FD692B">
        <w:rPr>
          <w:rFonts w:ascii="Times New Roman" w:hAnsi="Times New Roman" w:cs="Times New Roman"/>
          <w:color w:val="000000"/>
          <w:sz w:val="18"/>
        </w:rPr>
        <w:t>Relative ratio=Lower limit of 2-sided 95% CI of the stratified difference between LCM and CBZ-CR in seizure-free rates divided by CBZ-CR seizure-free rate</w:t>
      </w:r>
    </w:p>
    <w:bookmarkEnd w:id="17"/>
    <w:p w14:paraId="616EF8EF" w14:textId="77777777" w:rsidR="0072408A" w:rsidRPr="00364242" w:rsidRDefault="0072408A" w:rsidP="0072408A">
      <w:pPr>
        <w:spacing w:after="0"/>
        <w:rPr>
          <w:rFonts w:ascii="Times New Roman" w:hAnsi="Times New Roman" w:cs="Times New Roman"/>
          <w:b/>
          <w:i/>
        </w:rPr>
      </w:pPr>
    </w:p>
    <w:p w14:paraId="7950D70B" w14:textId="77777777" w:rsidR="0072408A" w:rsidRPr="00364242" w:rsidRDefault="0072408A" w:rsidP="0072408A">
      <w:pPr>
        <w:spacing w:after="0"/>
        <w:rPr>
          <w:rFonts w:ascii="Times New Roman" w:hAnsi="Times New Roman" w:cs="Times New Roman"/>
          <w:b/>
          <w:i/>
        </w:rPr>
      </w:pPr>
      <w:r w:rsidRPr="00364242">
        <w:rPr>
          <w:rFonts w:ascii="Times New Roman" w:hAnsi="Times New Roman" w:cs="Times New Roman"/>
          <w:b/>
          <w:i/>
        </w:rPr>
        <w:t>Add-on therapy</w:t>
      </w:r>
    </w:p>
    <w:bookmarkEnd w:id="14"/>
    <w:p w14:paraId="44B019FB" w14:textId="01117256" w:rsidR="004A0E38" w:rsidRPr="00A66C41" w:rsidRDefault="00175878" w:rsidP="00A76E2B">
      <w:pPr>
        <w:rPr>
          <w:rFonts w:ascii="Times New Roman" w:hAnsi="Times New Roman" w:cs="Times New Roman"/>
        </w:rPr>
      </w:pPr>
      <w:r w:rsidRPr="00A66C41">
        <w:rPr>
          <w:rFonts w:ascii="Times New Roman" w:hAnsi="Times New Roman" w:cs="Times New Roman"/>
        </w:rPr>
        <w:lastRenderedPageBreak/>
        <w:t xml:space="preserve">The efficacy of Vimpat as add-on therapy in </w:t>
      </w:r>
      <w:r w:rsidR="00450A64">
        <w:rPr>
          <w:rFonts w:ascii="Times New Roman" w:hAnsi="Times New Roman" w:cs="Times New Roman"/>
        </w:rPr>
        <w:t>partial-onset</w:t>
      </w:r>
      <w:r w:rsidRPr="00A66C41">
        <w:rPr>
          <w:rFonts w:ascii="Times New Roman" w:hAnsi="Times New Roman" w:cs="Times New Roman"/>
        </w:rPr>
        <w:t xml:space="preserve"> seizures was established in three 12 week, randomized, double blind, </w:t>
      </w:r>
      <w:r w:rsidR="00450A64">
        <w:rPr>
          <w:rFonts w:ascii="Times New Roman" w:hAnsi="Times New Roman" w:cs="Times New Roman"/>
        </w:rPr>
        <w:t>placebo-c</w:t>
      </w:r>
      <w:r w:rsidRPr="00A66C41">
        <w:rPr>
          <w:rFonts w:ascii="Times New Roman" w:hAnsi="Times New Roman" w:cs="Times New Roman"/>
        </w:rPr>
        <w:t xml:space="preserve">ontrolled, </w:t>
      </w:r>
      <w:proofErr w:type="spellStart"/>
      <w:r w:rsidRPr="00A66C41">
        <w:rPr>
          <w:rFonts w:ascii="Times New Roman" w:hAnsi="Times New Roman" w:cs="Times New Roman"/>
        </w:rPr>
        <w:t>multicenter</w:t>
      </w:r>
      <w:proofErr w:type="spellEnd"/>
      <w:r w:rsidRPr="00A66C41">
        <w:rPr>
          <w:rFonts w:ascii="Times New Roman" w:hAnsi="Times New Roman" w:cs="Times New Roman"/>
        </w:rPr>
        <w:t xml:space="preserve"> trials in adult patients. Patients enrolled had </w:t>
      </w:r>
      <w:r w:rsidR="00450A64">
        <w:rPr>
          <w:rFonts w:ascii="Times New Roman" w:hAnsi="Times New Roman" w:cs="Times New Roman"/>
        </w:rPr>
        <w:t>partial-onset</w:t>
      </w:r>
      <w:r w:rsidRPr="00A66C41">
        <w:rPr>
          <w:rFonts w:ascii="Times New Roman" w:hAnsi="Times New Roman" w:cs="Times New Roman"/>
        </w:rPr>
        <w:t xml:space="preserve"> seizures with or without secondary generalization and were not adequately controlled with 1 to 3 concomitant AEDs. During an 8 week baseline period, patients were required to have an average of ≥ 4 </w:t>
      </w:r>
      <w:r w:rsidR="00450A64">
        <w:rPr>
          <w:rFonts w:ascii="Times New Roman" w:hAnsi="Times New Roman" w:cs="Times New Roman"/>
        </w:rPr>
        <w:t>partial-onset</w:t>
      </w:r>
      <w:r w:rsidRPr="00A66C41">
        <w:rPr>
          <w:rFonts w:ascii="Times New Roman" w:hAnsi="Times New Roman" w:cs="Times New Roman"/>
        </w:rPr>
        <w:t xml:space="preserve"> seizures per 28 days with no seizure free period exceeding 21 days. In these 3 trials, patients had a mean duration of epilepsy of 24 years and a median baseline seizure frequency ranging from 10 to 17 per 28 days. Overall, 84% of patients were taking 2 to 3 concomitant AEDs with or without concurrent vagal nerve stimulation (VNS). In addition, 45% of patients had taken 7 or more AEDs throughout their lifetime.</w:t>
      </w:r>
      <w:r w:rsidRPr="00A66C41">
        <w:rPr>
          <w:rFonts w:ascii="Times New Roman" w:hAnsi="Times New Roman" w:cs="Times New Roman"/>
        </w:rPr>
        <w:br/>
      </w:r>
      <w:r w:rsidRPr="00A66C41">
        <w:rPr>
          <w:rFonts w:ascii="Times New Roman" w:hAnsi="Times New Roman" w:cs="Times New Roman"/>
        </w:rPr>
        <w:br/>
        <w:t xml:space="preserve">Trial SP667 compared doses of Vimpat 200 mg, 400 mg, and 600 mg/day with placebo. Trial SP754 compared doses of Vimpat 400 mg and 600 mg/day with placebo. Trial SP755 compared doses of Vimpat 200 mg and 400 mg/day with placebo. The trials required forced </w:t>
      </w:r>
      <w:proofErr w:type="spellStart"/>
      <w:r w:rsidRPr="00A66C41">
        <w:rPr>
          <w:rFonts w:ascii="Times New Roman" w:hAnsi="Times New Roman" w:cs="Times New Roman"/>
        </w:rPr>
        <w:t>uptitration</w:t>
      </w:r>
      <w:proofErr w:type="spellEnd"/>
      <w:r w:rsidRPr="00A66C41">
        <w:rPr>
          <w:rFonts w:ascii="Times New Roman" w:hAnsi="Times New Roman" w:cs="Times New Roman"/>
        </w:rPr>
        <w:t xml:space="preserve"> to the target (randomized) dose over up to 6 weeks (</w:t>
      </w:r>
      <w:r w:rsidR="00924ED2">
        <w:rPr>
          <w:rFonts w:ascii="Times New Roman" w:hAnsi="Times New Roman" w:cs="Times New Roman"/>
        </w:rPr>
        <w:t>T</w:t>
      </w:r>
      <w:r w:rsidRPr="00A66C41">
        <w:rPr>
          <w:rFonts w:ascii="Times New Roman" w:hAnsi="Times New Roman" w:cs="Times New Roman"/>
        </w:rPr>
        <w:t xml:space="preserve">rial SP667 and </w:t>
      </w:r>
      <w:r w:rsidR="00924ED2">
        <w:rPr>
          <w:rFonts w:ascii="Times New Roman" w:hAnsi="Times New Roman" w:cs="Times New Roman"/>
        </w:rPr>
        <w:t>T</w:t>
      </w:r>
      <w:r w:rsidRPr="00A66C41">
        <w:rPr>
          <w:rFonts w:ascii="Times New Roman" w:hAnsi="Times New Roman" w:cs="Times New Roman"/>
        </w:rPr>
        <w:t>rial SP754) or 4 weeks (</w:t>
      </w:r>
      <w:r w:rsidR="00924ED2">
        <w:rPr>
          <w:rFonts w:ascii="Times New Roman" w:hAnsi="Times New Roman" w:cs="Times New Roman"/>
        </w:rPr>
        <w:t>T</w:t>
      </w:r>
      <w:r w:rsidRPr="00A66C41">
        <w:rPr>
          <w:rFonts w:ascii="Times New Roman" w:hAnsi="Times New Roman" w:cs="Times New Roman"/>
        </w:rPr>
        <w:t xml:space="preserve">rial SP755). In all 3 trials, active treatment was initiated at 100 mg/day (50 mg given twice daily) and increased in weekly increments of 100 mg/day to the target dose. Subjects randomized to Vimpat 600 mg/day in </w:t>
      </w:r>
      <w:r w:rsidR="00924ED2">
        <w:rPr>
          <w:rFonts w:ascii="Times New Roman" w:hAnsi="Times New Roman" w:cs="Times New Roman"/>
        </w:rPr>
        <w:t>T</w:t>
      </w:r>
      <w:r w:rsidRPr="00A66C41">
        <w:rPr>
          <w:rFonts w:ascii="Times New Roman" w:hAnsi="Times New Roman" w:cs="Times New Roman"/>
        </w:rPr>
        <w:t xml:space="preserve">rial SP667, Vimpat 400 mg and 600 mg/day in </w:t>
      </w:r>
      <w:r w:rsidR="00924ED2">
        <w:rPr>
          <w:rFonts w:ascii="Times New Roman" w:hAnsi="Times New Roman" w:cs="Times New Roman"/>
        </w:rPr>
        <w:t>T</w:t>
      </w:r>
      <w:r w:rsidRPr="00A66C41">
        <w:rPr>
          <w:rFonts w:ascii="Times New Roman" w:hAnsi="Times New Roman" w:cs="Times New Roman"/>
        </w:rPr>
        <w:t xml:space="preserve">rial SP754, and Vimpat 400 mg/day in </w:t>
      </w:r>
      <w:r w:rsidR="00924ED2">
        <w:rPr>
          <w:rFonts w:ascii="Times New Roman" w:hAnsi="Times New Roman" w:cs="Times New Roman"/>
        </w:rPr>
        <w:t>T</w:t>
      </w:r>
      <w:r w:rsidRPr="00A66C41">
        <w:rPr>
          <w:rFonts w:ascii="Times New Roman" w:hAnsi="Times New Roman" w:cs="Times New Roman"/>
        </w:rPr>
        <w:t xml:space="preserve">rial SP755 received active drug beginning at week 1. To facilitate trial blinding, subjects randomized to Vimpat 200 mg and 400 mg/day in </w:t>
      </w:r>
      <w:r w:rsidR="00924ED2">
        <w:rPr>
          <w:rFonts w:ascii="Times New Roman" w:hAnsi="Times New Roman" w:cs="Times New Roman"/>
        </w:rPr>
        <w:t>T</w:t>
      </w:r>
      <w:r w:rsidRPr="00A66C41">
        <w:rPr>
          <w:rFonts w:ascii="Times New Roman" w:hAnsi="Times New Roman" w:cs="Times New Roman"/>
        </w:rPr>
        <w:t xml:space="preserve">rial SP667 received placebo for the first 4 or 2 weeks, respectively, and subjects randomized to Vimpat 200 mg/day in </w:t>
      </w:r>
      <w:r w:rsidR="00924ED2">
        <w:rPr>
          <w:rFonts w:ascii="Times New Roman" w:hAnsi="Times New Roman" w:cs="Times New Roman"/>
        </w:rPr>
        <w:t>T</w:t>
      </w:r>
      <w:r w:rsidRPr="00A66C41">
        <w:rPr>
          <w:rFonts w:ascii="Times New Roman" w:hAnsi="Times New Roman" w:cs="Times New Roman"/>
        </w:rPr>
        <w:t>rial SP755 received placebo for the first 2 weeks.</w:t>
      </w:r>
      <w:r w:rsidRPr="00A66C41">
        <w:rPr>
          <w:rFonts w:ascii="Times New Roman" w:hAnsi="Times New Roman" w:cs="Times New Roman"/>
        </w:rPr>
        <w:br/>
      </w:r>
      <w:r w:rsidRPr="00A66C41">
        <w:rPr>
          <w:rFonts w:ascii="Times New Roman" w:hAnsi="Times New Roman" w:cs="Times New Roman"/>
        </w:rPr>
        <w:br/>
        <w:t>In all three trials, following an 8 week baseline phase to establish baseline seizure frequency prior to randomization, subjects were randomized and titrated to the randomized dose (a 1 step back titration of Vimpat 100 mg/day or placebo was allowed in the case of intolerable adverse events at the end of the titration phase). Treatment was maintained for 12 weeks.</w:t>
      </w:r>
      <w:r w:rsidRPr="00A66C41">
        <w:rPr>
          <w:rFonts w:ascii="Times New Roman" w:hAnsi="Times New Roman" w:cs="Times New Roman"/>
        </w:rPr>
        <w:br/>
      </w:r>
      <w:r w:rsidRPr="00A66C41">
        <w:rPr>
          <w:rFonts w:ascii="Times New Roman" w:hAnsi="Times New Roman" w:cs="Times New Roman"/>
        </w:rPr>
        <w:br/>
        <w:t>A reduction over placebo in seizure frequency per 28 days, the primary variable in all three trials, was significant with Vimpat treatment at doses of 200 mg (</w:t>
      </w:r>
      <w:r w:rsidR="00924ED2">
        <w:rPr>
          <w:rFonts w:ascii="Times New Roman" w:hAnsi="Times New Roman" w:cs="Times New Roman"/>
        </w:rPr>
        <w:t>T</w:t>
      </w:r>
      <w:r w:rsidRPr="00A66C41">
        <w:rPr>
          <w:rFonts w:ascii="Times New Roman" w:hAnsi="Times New Roman" w:cs="Times New Roman"/>
        </w:rPr>
        <w:t xml:space="preserve">rial SP755, but not </w:t>
      </w:r>
      <w:r w:rsidR="00924ED2">
        <w:rPr>
          <w:rFonts w:ascii="Times New Roman" w:hAnsi="Times New Roman" w:cs="Times New Roman"/>
        </w:rPr>
        <w:t>T</w:t>
      </w:r>
      <w:r w:rsidRPr="00A66C41">
        <w:rPr>
          <w:rFonts w:ascii="Times New Roman" w:hAnsi="Times New Roman" w:cs="Times New Roman"/>
        </w:rPr>
        <w:t>rial SP667), 400 mg (trials SP667, SP754, and SP755), and 600 mg/day (</w:t>
      </w:r>
      <w:r w:rsidR="00924ED2">
        <w:rPr>
          <w:rFonts w:ascii="Times New Roman" w:hAnsi="Times New Roman" w:cs="Times New Roman"/>
        </w:rPr>
        <w:t>T</w:t>
      </w:r>
      <w:r w:rsidRPr="00A66C41">
        <w:rPr>
          <w:rFonts w:ascii="Times New Roman" w:hAnsi="Times New Roman" w:cs="Times New Roman"/>
        </w:rPr>
        <w:t xml:space="preserve">rials SP667 and SP754). (Table </w:t>
      </w:r>
      <w:r w:rsidR="00D922E0">
        <w:rPr>
          <w:rFonts w:ascii="Times New Roman" w:hAnsi="Times New Roman" w:cs="Times New Roman"/>
        </w:rPr>
        <w:t>6</w:t>
      </w:r>
      <w:r w:rsidRPr="00A66C41">
        <w:rPr>
          <w:rFonts w:ascii="Times New Roman" w:hAnsi="Times New Roman" w:cs="Times New Roman"/>
        </w:rPr>
        <w:t>, Figure 1.) The 50% responder rates for 400 mg and 600 mg/day Vimpat were also statistically superior to placebo. (Figure 2.)</w:t>
      </w:r>
      <w:r w:rsidRPr="00A66C41">
        <w:rPr>
          <w:rFonts w:ascii="Times New Roman" w:hAnsi="Times New Roman" w:cs="Times New Roman"/>
        </w:rPr>
        <w:br/>
      </w:r>
      <w:r w:rsidRPr="00A66C41">
        <w:rPr>
          <w:rFonts w:ascii="Times New Roman" w:hAnsi="Times New Roman" w:cs="Times New Roman"/>
        </w:rPr>
        <w:br/>
        <w:t>Among the subjects who completed the 12 week maintenance phase, a total across all three trials of 12 (3.3%) and 6 (4.8%) subjects taking Vimpat 400 mg and 600 mg/day, respectively, were seizure free compared with 3 (</w:t>
      </w:r>
      <w:r w:rsidR="004A0E38" w:rsidRPr="00A66C41">
        <w:rPr>
          <w:rFonts w:ascii="Times New Roman" w:hAnsi="Times New Roman" w:cs="Times New Roman"/>
        </w:rPr>
        <w:t>0.9%) subjects taking placebo.</w:t>
      </w:r>
    </w:p>
    <w:p w14:paraId="44B019FC" w14:textId="77777777" w:rsidR="00104CC1" w:rsidRPr="00A66C41" w:rsidRDefault="00104CC1" w:rsidP="00104CC1">
      <w:pPr>
        <w:autoSpaceDE w:val="0"/>
        <w:autoSpaceDN w:val="0"/>
        <w:adjustRightInd w:val="0"/>
        <w:spacing w:after="0"/>
        <w:rPr>
          <w:rFonts w:ascii="Times New Roman" w:hAnsi="Times New Roman" w:cs="Times New Roman"/>
          <w:b/>
          <w:bCs/>
          <w:color w:val="000000"/>
        </w:rPr>
      </w:pPr>
    </w:p>
    <w:p w14:paraId="44B019FD" w14:textId="77777777" w:rsidR="00104CC1" w:rsidRPr="00A66C41" w:rsidRDefault="00104CC1" w:rsidP="00104CC1">
      <w:pPr>
        <w:autoSpaceDE w:val="0"/>
        <w:autoSpaceDN w:val="0"/>
        <w:adjustRightInd w:val="0"/>
        <w:spacing w:after="0"/>
        <w:rPr>
          <w:rFonts w:ascii="Times New Roman" w:hAnsi="Times New Roman" w:cs="Times New Roman"/>
          <w:b/>
          <w:bCs/>
          <w:color w:val="000000"/>
        </w:rPr>
      </w:pPr>
    </w:p>
    <w:p w14:paraId="44B019FE" w14:textId="77777777" w:rsidR="00317F44" w:rsidRDefault="00317F44">
      <w:pPr>
        <w:rPr>
          <w:rFonts w:ascii="Times New Roman" w:hAnsi="Times New Roman" w:cs="Times New Roman"/>
          <w:b/>
          <w:bCs/>
          <w:color w:val="000000"/>
        </w:rPr>
      </w:pPr>
      <w:r>
        <w:rPr>
          <w:rFonts w:ascii="Times New Roman" w:hAnsi="Times New Roman" w:cs="Times New Roman"/>
          <w:b/>
          <w:bCs/>
          <w:color w:val="000000"/>
        </w:rPr>
        <w:br w:type="page"/>
      </w:r>
    </w:p>
    <w:p w14:paraId="44B019FF" w14:textId="22D55098" w:rsidR="00104CC1" w:rsidRPr="00A66C41" w:rsidRDefault="00104CC1" w:rsidP="00104CC1">
      <w:pPr>
        <w:autoSpaceDE w:val="0"/>
        <w:autoSpaceDN w:val="0"/>
        <w:adjustRightInd w:val="0"/>
        <w:spacing w:after="0"/>
        <w:rPr>
          <w:rFonts w:ascii="Times New Roman" w:hAnsi="Times New Roman" w:cs="Times New Roman"/>
          <w:b/>
          <w:bCs/>
          <w:color w:val="000000"/>
        </w:rPr>
      </w:pPr>
      <w:r w:rsidRPr="00A66C41">
        <w:rPr>
          <w:rFonts w:ascii="Times New Roman" w:hAnsi="Times New Roman" w:cs="Times New Roman"/>
          <w:b/>
          <w:bCs/>
          <w:color w:val="000000"/>
        </w:rPr>
        <w:lastRenderedPageBreak/>
        <w:t xml:space="preserve">Table </w:t>
      </w:r>
      <w:r w:rsidR="00EE29E6">
        <w:rPr>
          <w:rFonts w:ascii="Times New Roman" w:hAnsi="Times New Roman" w:cs="Times New Roman"/>
          <w:b/>
          <w:bCs/>
          <w:color w:val="000000"/>
        </w:rPr>
        <w:t>6</w:t>
      </w:r>
      <w:r w:rsidR="00EE29E6" w:rsidRPr="00A66C41">
        <w:rPr>
          <w:rFonts w:ascii="Times New Roman" w:hAnsi="Times New Roman" w:cs="Times New Roman"/>
          <w:b/>
          <w:bCs/>
          <w:color w:val="000000"/>
        </w:rPr>
        <w:t xml:space="preserve"> </w:t>
      </w:r>
      <w:r w:rsidRPr="00A66C41">
        <w:rPr>
          <w:rFonts w:ascii="Times New Roman" w:hAnsi="Times New Roman" w:cs="Times New Roman"/>
          <w:b/>
          <w:bCs/>
          <w:color w:val="000000"/>
        </w:rPr>
        <w:t xml:space="preserve">– </w:t>
      </w:r>
      <w:r w:rsidR="002C42C6" w:rsidRPr="00A66C41">
        <w:rPr>
          <w:rFonts w:ascii="Times New Roman" w:hAnsi="Times New Roman" w:cs="Times New Roman"/>
          <w:b/>
          <w:bCs/>
          <w:color w:val="000000"/>
        </w:rPr>
        <w:t>V</w:t>
      </w:r>
      <w:r w:rsidR="002C42C6">
        <w:rPr>
          <w:rFonts w:ascii="Times New Roman" w:hAnsi="Times New Roman" w:cs="Times New Roman"/>
          <w:b/>
          <w:bCs/>
          <w:color w:val="000000"/>
        </w:rPr>
        <w:t>impat</w:t>
      </w:r>
      <w:r w:rsidR="002C42C6" w:rsidRPr="00A66C41">
        <w:rPr>
          <w:rFonts w:ascii="Times New Roman" w:hAnsi="Times New Roman" w:cs="Times New Roman"/>
          <w:b/>
          <w:bCs/>
          <w:color w:val="000000"/>
        </w:rPr>
        <w:t xml:space="preserve"> </w:t>
      </w:r>
      <w:r w:rsidRPr="00A66C41">
        <w:rPr>
          <w:rFonts w:ascii="Times New Roman" w:hAnsi="Times New Roman" w:cs="Times New Roman"/>
          <w:b/>
          <w:bCs/>
          <w:color w:val="000000"/>
        </w:rPr>
        <w:t>Reduction in Partial Seizure Frequency per 28 Days from Baseline to the Maintenance Phase</w:t>
      </w:r>
    </w:p>
    <w:p w14:paraId="44B01A00" w14:textId="77777777" w:rsidR="00104CC1" w:rsidRPr="00A66C41" w:rsidRDefault="00104CC1" w:rsidP="00104CC1">
      <w:pPr>
        <w:autoSpaceDE w:val="0"/>
        <w:autoSpaceDN w:val="0"/>
        <w:adjustRightInd w:val="0"/>
        <w:spacing w:after="0"/>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1626"/>
        <w:gridCol w:w="1627"/>
        <w:gridCol w:w="1627"/>
        <w:gridCol w:w="1627"/>
      </w:tblGrid>
      <w:tr w:rsidR="00104CC1" w:rsidRPr="00A66C41" w14:paraId="44B01A06" w14:textId="77777777" w:rsidTr="00924ED2">
        <w:tc>
          <w:tcPr>
            <w:tcW w:w="1626" w:type="dxa"/>
            <w:shd w:val="clear" w:color="auto" w:fill="auto"/>
          </w:tcPr>
          <w:p w14:paraId="44B01A01" w14:textId="77777777" w:rsidR="00104CC1" w:rsidRPr="00A66C41" w:rsidRDefault="00104CC1" w:rsidP="00924ED2">
            <w:pPr>
              <w:autoSpaceDE w:val="0"/>
              <w:autoSpaceDN w:val="0"/>
              <w:adjustRightInd w:val="0"/>
              <w:spacing w:after="0"/>
              <w:jc w:val="center"/>
              <w:rPr>
                <w:rFonts w:ascii="Times New Roman" w:hAnsi="Times New Roman" w:cs="Times New Roman"/>
                <w:b/>
                <w:bCs/>
                <w:sz w:val="20"/>
              </w:rPr>
            </w:pPr>
            <w:bookmarkStart w:id="18" w:name="OLE_LINK6"/>
            <w:bookmarkStart w:id="19" w:name="OLE_LINK7"/>
            <w:r w:rsidRPr="00A66C41">
              <w:rPr>
                <w:rFonts w:ascii="Times New Roman" w:hAnsi="Times New Roman" w:cs="Times New Roman"/>
                <w:b/>
                <w:bCs/>
                <w:sz w:val="20"/>
              </w:rPr>
              <w:t>Randomized Treatment Group</w:t>
            </w:r>
          </w:p>
        </w:tc>
        <w:tc>
          <w:tcPr>
            <w:tcW w:w="1626" w:type="dxa"/>
            <w:shd w:val="clear" w:color="auto" w:fill="auto"/>
          </w:tcPr>
          <w:p w14:paraId="44B01A02" w14:textId="77777777" w:rsidR="00104CC1" w:rsidRPr="00A66C41" w:rsidRDefault="00104CC1" w:rsidP="00924ED2">
            <w:pPr>
              <w:autoSpaceDE w:val="0"/>
              <w:autoSpaceDN w:val="0"/>
              <w:adjustRightInd w:val="0"/>
              <w:spacing w:after="0"/>
              <w:jc w:val="center"/>
              <w:rPr>
                <w:rFonts w:ascii="Times New Roman" w:hAnsi="Times New Roman" w:cs="Times New Roman"/>
                <w:b/>
                <w:bCs/>
                <w:sz w:val="20"/>
              </w:rPr>
            </w:pPr>
            <w:r w:rsidRPr="00A66C41">
              <w:rPr>
                <w:rFonts w:ascii="Times New Roman" w:hAnsi="Times New Roman" w:cs="Times New Roman"/>
                <w:b/>
                <w:bCs/>
                <w:sz w:val="20"/>
              </w:rPr>
              <w:t>Number of Patients per Treatment Group</w:t>
            </w:r>
          </w:p>
        </w:tc>
        <w:tc>
          <w:tcPr>
            <w:tcW w:w="1627" w:type="dxa"/>
            <w:shd w:val="clear" w:color="auto" w:fill="auto"/>
          </w:tcPr>
          <w:p w14:paraId="44B01A03" w14:textId="77777777" w:rsidR="00104CC1" w:rsidRPr="00A66C41" w:rsidRDefault="00104CC1" w:rsidP="00924ED2">
            <w:pPr>
              <w:autoSpaceDE w:val="0"/>
              <w:autoSpaceDN w:val="0"/>
              <w:adjustRightInd w:val="0"/>
              <w:spacing w:after="0"/>
              <w:jc w:val="center"/>
              <w:rPr>
                <w:rFonts w:ascii="Times New Roman" w:hAnsi="Times New Roman" w:cs="Times New Roman"/>
                <w:b/>
                <w:bCs/>
                <w:sz w:val="20"/>
              </w:rPr>
            </w:pPr>
            <w:r w:rsidRPr="00A66C41">
              <w:rPr>
                <w:rFonts w:ascii="Times New Roman" w:hAnsi="Times New Roman" w:cs="Times New Roman"/>
                <w:b/>
                <w:bCs/>
                <w:sz w:val="20"/>
              </w:rPr>
              <w:t>Median Baseline Seizure Frequency per 28 Days</w:t>
            </w:r>
          </w:p>
        </w:tc>
        <w:tc>
          <w:tcPr>
            <w:tcW w:w="1627" w:type="dxa"/>
            <w:shd w:val="clear" w:color="auto" w:fill="auto"/>
          </w:tcPr>
          <w:p w14:paraId="44B01A04" w14:textId="77777777" w:rsidR="00104CC1" w:rsidRPr="00A66C41" w:rsidRDefault="00104CC1" w:rsidP="00924ED2">
            <w:pPr>
              <w:autoSpaceDE w:val="0"/>
              <w:autoSpaceDN w:val="0"/>
              <w:adjustRightInd w:val="0"/>
              <w:spacing w:after="0"/>
              <w:jc w:val="center"/>
              <w:rPr>
                <w:rFonts w:ascii="Times New Roman" w:hAnsi="Times New Roman" w:cs="Times New Roman"/>
                <w:b/>
                <w:bCs/>
                <w:sz w:val="20"/>
              </w:rPr>
            </w:pPr>
            <w:r w:rsidRPr="00A66C41">
              <w:rPr>
                <w:rFonts w:ascii="Times New Roman" w:hAnsi="Times New Roman" w:cs="Times New Roman"/>
                <w:b/>
                <w:bCs/>
                <w:sz w:val="20"/>
              </w:rPr>
              <w:t>Median Percent Reduction from Baseline</w:t>
            </w:r>
          </w:p>
        </w:tc>
        <w:tc>
          <w:tcPr>
            <w:tcW w:w="1627" w:type="dxa"/>
            <w:shd w:val="clear" w:color="auto" w:fill="auto"/>
          </w:tcPr>
          <w:p w14:paraId="44B01A05" w14:textId="77777777" w:rsidR="00104CC1" w:rsidRPr="00A66C41" w:rsidRDefault="00104CC1" w:rsidP="00924ED2">
            <w:pPr>
              <w:autoSpaceDE w:val="0"/>
              <w:autoSpaceDN w:val="0"/>
              <w:adjustRightInd w:val="0"/>
              <w:spacing w:after="0"/>
              <w:jc w:val="center"/>
              <w:rPr>
                <w:rFonts w:ascii="Times New Roman" w:hAnsi="Times New Roman" w:cs="Times New Roman"/>
                <w:b/>
                <w:bCs/>
                <w:sz w:val="20"/>
              </w:rPr>
            </w:pPr>
            <w:r w:rsidRPr="00A66C41">
              <w:rPr>
                <w:rFonts w:ascii="Times New Roman" w:hAnsi="Times New Roman" w:cs="Times New Roman"/>
                <w:b/>
                <w:bCs/>
                <w:sz w:val="20"/>
              </w:rPr>
              <w:t>Percent Reduction Over Placebo</w:t>
            </w:r>
          </w:p>
        </w:tc>
      </w:tr>
      <w:tr w:rsidR="00104CC1" w:rsidRPr="00A66C41" w14:paraId="44B01A08" w14:textId="77777777" w:rsidTr="00924ED2">
        <w:tc>
          <w:tcPr>
            <w:tcW w:w="8133" w:type="dxa"/>
            <w:gridSpan w:val="5"/>
            <w:shd w:val="clear" w:color="auto" w:fill="auto"/>
          </w:tcPr>
          <w:p w14:paraId="44B01A07" w14:textId="77777777" w:rsidR="00104CC1" w:rsidRPr="00A66C41" w:rsidRDefault="00104CC1" w:rsidP="00924ED2">
            <w:pPr>
              <w:autoSpaceDE w:val="0"/>
              <w:autoSpaceDN w:val="0"/>
              <w:adjustRightInd w:val="0"/>
              <w:spacing w:after="0"/>
              <w:rPr>
                <w:rFonts w:ascii="Times New Roman" w:hAnsi="Times New Roman" w:cs="Times New Roman"/>
                <w:b/>
                <w:bCs/>
                <w:sz w:val="20"/>
              </w:rPr>
            </w:pPr>
            <w:r w:rsidRPr="00A66C41">
              <w:rPr>
                <w:rFonts w:ascii="Times New Roman" w:hAnsi="Times New Roman" w:cs="Times New Roman"/>
                <w:b/>
                <w:bCs/>
                <w:sz w:val="20"/>
              </w:rPr>
              <w:t>Trial SP667</w:t>
            </w:r>
          </w:p>
        </w:tc>
      </w:tr>
      <w:tr w:rsidR="00104CC1" w:rsidRPr="00A66C41" w14:paraId="44B01A0E" w14:textId="77777777" w:rsidTr="00924ED2">
        <w:tc>
          <w:tcPr>
            <w:tcW w:w="1626" w:type="dxa"/>
            <w:shd w:val="clear" w:color="auto" w:fill="auto"/>
          </w:tcPr>
          <w:p w14:paraId="44B01A09" w14:textId="77777777" w:rsidR="00104CC1" w:rsidRPr="00A66C41" w:rsidRDefault="00104CC1" w:rsidP="00924ED2">
            <w:pPr>
              <w:autoSpaceDE w:val="0"/>
              <w:autoSpaceDN w:val="0"/>
              <w:adjustRightInd w:val="0"/>
              <w:spacing w:after="0"/>
              <w:rPr>
                <w:rFonts w:ascii="Times New Roman" w:hAnsi="Times New Roman" w:cs="Times New Roman"/>
                <w:sz w:val="20"/>
              </w:rPr>
            </w:pPr>
            <w:r w:rsidRPr="00A66C41">
              <w:rPr>
                <w:rFonts w:ascii="Times New Roman" w:hAnsi="Times New Roman" w:cs="Times New Roman"/>
                <w:sz w:val="20"/>
              </w:rPr>
              <w:t>Placebo</w:t>
            </w:r>
          </w:p>
        </w:tc>
        <w:tc>
          <w:tcPr>
            <w:tcW w:w="1626" w:type="dxa"/>
            <w:shd w:val="clear" w:color="auto" w:fill="auto"/>
          </w:tcPr>
          <w:p w14:paraId="44B01A0A"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96</w:t>
            </w:r>
          </w:p>
        </w:tc>
        <w:tc>
          <w:tcPr>
            <w:tcW w:w="1627" w:type="dxa"/>
            <w:shd w:val="clear" w:color="auto" w:fill="auto"/>
          </w:tcPr>
          <w:p w14:paraId="44B01A0B"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11</w:t>
            </w:r>
          </w:p>
        </w:tc>
        <w:tc>
          <w:tcPr>
            <w:tcW w:w="1627" w:type="dxa"/>
            <w:shd w:val="clear" w:color="auto" w:fill="auto"/>
          </w:tcPr>
          <w:p w14:paraId="44B01A0C"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10%</w:t>
            </w:r>
          </w:p>
        </w:tc>
        <w:tc>
          <w:tcPr>
            <w:tcW w:w="1627" w:type="dxa"/>
            <w:shd w:val="clear" w:color="auto" w:fill="auto"/>
          </w:tcPr>
          <w:p w14:paraId="44B01A0D"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N/A</w:t>
            </w:r>
          </w:p>
        </w:tc>
      </w:tr>
      <w:tr w:rsidR="00104CC1" w:rsidRPr="00A66C41" w14:paraId="44B01A14" w14:textId="77777777" w:rsidTr="00924ED2">
        <w:tc>
          <w:tcPr>
            <w:tcW w:w="1626" w:type="dxa"/>
            <w:shd w:val="clear" w:color="auto" w:fill="auto"/>
          </w:tcPr>
          <w:p w14:paraId="44B01A0F" w14:textId="77777777" w:rsidR="00104CC1" w:rsidRPr="00A66C41" w:rsidRDefault="00104CC1" w:rsidP="00924ED2">
            <w:pPr>
              <w:autoSpaceDE w:val="0"/>
              <w:autoSpaceDN w:val="0"/>
              <w:adjustRightInd w:val="0"/>
              <w:spacing w:after="0"/>
              <w:rPr>
                <w:rFonts w:ascii="Times New Roman" w:hAnsi="Times New Roman" w:cs="Times New Roman"/>
                <w:sz w:val="20"/>
              </w:rPr>
            </w:pPr>
            <w:r w:rsidRPr="00A66C41">
              <w:rPr>
                <w:rFonts w:ascii="Times New Roman" w:hAnsi="Times New Roman" w:cs="Times New Roman"/>
                <w:sz w:val="20"/>
              </w:rPr>
              <w:t>200 mg/day</w:t>
            </w:r>
          </w:p>
        </w:tc>
        <w:tc>
          <w:tcPr>
            <w:tcW w:w="1626" w:type="dxa"/>
            <w:shd w:val="clear" w:color="auto" w:fill="auto"/>
          </w:tcPr>
          <w:p w14:paraId="44B01A10"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107</w:t>
            </w:r>
          </w:p>
        </w:tc>
        <w:tc>
          <w:tcPr>
            <w:tcW w:w="1627" w:type="dxa"/>
            <w:shd w:val="clear" w:color="auto" w:fill="auto"/>
          </w:tcPr>
          <w:p w14:paraId="44B01A11"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13</w:t>
            </w:r>
          </w:p>
        </w:tc>
        <w:tc>
          <w:tcPr>
            <w:tcW w:w="1627" w:type="dxa"/>
            <w:shd w:val="clear" w:color="auto" w:fill="auto"/>
          </w:tcPr>
          <w:p w14:paraId="44B01A12"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26%</w:t>
            </w:r>
          </w:p>
        </w:tc>
        <w:tc>
          <w:tcPr>
            <w:tcW w:w="1627" w:type="dxa"/>
            <w:shd w:val="clear" w:color="auto" w:fill="auto"/>
          </w:tcPr>
          <w:p w14:paraId="44B01A13"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14.6%</w:t>
            </w:r>
          </w:p>
        </w:tc>
      </w:tr>
      <w:tr w:rsidR="00104CC1" w:rsidRPr="00A66C41" w14:paraId="44B01A1A" w14:textId="77777777" w:rsidTr="00924ED2">
        <w:tc>
          <w:tcPr>
            <w:tcW w:w="1626" w:type="dxa"/>
            <w:shd w:val="clear" w:color="auto" w:fill="auto"/>
          </w:tcPr>
          <w:p w14:paraId="44B01A15" w14:textId="77777777" w:rsidR="00104CC1" w:rsidRPr="00A66C41" w:rsidRDefault="00104CC1" w:rsidP="00924ED2">
            <w:pPr>
              <w:autoSpaceDE w:val="0"/>
              <w:autoSpaceDN w:val="0"/>
              <w:adjustRightInd w:val="0"/>
              <w:spacing w:after="0"/>
              <w:rPr>
                <w:rFonts w:ascii="Times New Roman" w:hAnsi="Times New Roman" w:cs="Times New Roman"/>
                <w:sz w:val="20"/>
              </w:rPr>
            </w:pPr>
            <w:r w:rsidRPr="00A66C41">
              <w:rPr>
                <w:rFonts w:ascii="Times New Roman" w:hAnsi="Times New Roman" w:cs="Times New Roman"/>
                <w:sz w:val="20"/>
              </w:rPr>
              <w:t>400 mg/day</w:t>
            </w:r>
          </w:p>
        </w:tc>
        <w:tc>
          <w:tcPr>
            <w:tcW w:w="1626" w:type="dxa"/>
            <w:shd w:val="clear" w:color="auto" w:fill="auto"/>
          </w:tcPr>
          <w:p w14:paraId="44B01A16"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107</w:t>
            </w:r>
          </w:p>
        </w:tc>
        <w:tc>
          <w:tcPr>
            <w:tcW w:w="1627" w:type="dxa"/>
            <w:shd w:val="clear" w:color="auto" w:fill="auto"/>
          </w:tcPr>
          <w:p w14:paraId="44B01A17"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13</w:t>
            </w:r>
          </w:p>
        </w:tc>
        <w:tc>
          <w:tcPr>
            <w:tcW w:w="1627" w:type="dxa"/>
            <w:shd w:val="clear" w:color="auto" w:fill="auto"/>
          </w:tcPr>
          <w:p w14:paraId="44B01A18"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39%</w:t>
            </w:r>
          </w:p>
        </w:tc>
        <w:tc>
          <w:tcPr>
            <w:tcW w:w="1627" w:type="dxa"/>
            <w:shd w:val="clear" w:color="auto" w:fill="auto"/>
          </w:tcPr>
          <w:p w14:paraId="44B01A19"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28.4%**</w:t>
            </w:r>
          </w:p>
        </w:tc>
      </w:tr>
      <w:tr w:rsidR="00104CC1" w:rsidRPr="00A66C41" w14:paraId="44B01A20" w14:textId="77777777" w:rsidTr="00924ED2">
        <w:tc>
          <w:tcPr>
            <w:tcW w:w="1626" w:type="dxa"/>
            <w:shd w:val="clear" w:color="auto" w:fill="auto"/>
          </w:tcPr>
          <w:p w14:paraId="44B01A1B" w14:textId="77777777" w:rsidR="00104CC1" w:rsidRPr="00A66C41" w:rsidRDefault="00104CC1" w:rsidP="00924ED2">
            <w:pPr>
              <w:autoSpaceDE w:val="0"/>
              <w:autoSpaceDN w:val="0"/>
              <w:adjustRightInd w:val="0"/>
              <w:spacing w:after="0"/>
              <w:rPr>
                <w:rFonts w:ascii="Times New Roman" w:hAnsi="Times New Roman" w:cs="Times New Roman"/>
                <w:sz w:val="20"/>
              </w:rPr>
            </w:pPr>
            <w:r w:rsidRPr="00A66C41">
              <w:rPr>
                <w:rFonts w:ascii="Times New Roman" w:hAnsi="Times New Roman" w:cs="Times New Roman"/>
                <w:sz w:val="20"/>
              </w:rPr>
              <w:t>600 mg/day</w:t>
            </w:r>
          </w:p>
        </w:tc>
        <w:tc>
          <w:tcPr>
            <w:tcW w:w="1626" w:type="dxa"/>
            <w:shd w:val="clear" w:color="auto" w:fill="auto"/>
          </w:tcPr>
          <w:p w14:paraId="44B01A1C"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105</w:t>
            </w:r>
          </w:p>
        </w:tc>
        <w:tc>
          <w:tcPr>
            <w:tcW w:w="1627" w:type="dxa"/>
            <w:shd w:val="clear" w:color="auto" w:fill="auto"/>
          </w:tcPr>
          <w:p w14:paraId="44B01A1D"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11</w:t>
            </w:r>
          </w:p>
        </w:tc>
        <w:tc>
          <w:tcPr>
            <w:tcW w:w="1627" w:type="dxa"/>
            <w:shd w:val="clear" w:color="auto" w:fill="auto"/>
          </w:tcPr>
          <w:p w14:paraId="44B01A1E"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40%</w:t>
            </w:r>
          </w:p>
        </w:tc>
        <w:tc>
          <w:tcPr>
            <w:tcW w:w="1627" w:type="dxa"/>
            <w:shd w:val="clear" w:color="auto" w:fill="auto"/>
          </w:tcPr>
          <w:p w14:paraId="44B01A1F"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21.3%**</w:t>
            </w:r>
          </w:p>
        </w:tc>
      </w:tr>
      <w:tr w:rsidR="00104CC1" w:rsidRPr="00A66C41" w14:paraId="44B01A22" w14:textId="77777777" w:rsidTr="00924ED2">
        <w:tc>
          <w:tcPr>
            <w:tcW w:w="8133" w:type="dxa"/>
            <w:gridSpan w:val="5"/>
            <w:shd w:val="clear" w:color="auto" w:fill="auto"/>
          </w:tcPr>
          <w:p w14:paraId="44B01A21" w14:textId="77777777" w:rsidR="00104CC1" w:rsidRPr="00A66C41" w:rsidRDefault="00104CC1" w:rsidP="00924ED2">
            <w:pPr>
              <w:autoSpaceDE w:val="0"/>
              <w:autoSpaceDN w:val="0"/>
              <w:adjustRightInd w:val="0"/>
              <w:spacing w:after="0"/>
              <w:rPr>
                <w:rFonts w:ascii="Times New Roman" w:hAnsi="Times New Roman" w:cs="Times New Roman"/>
                <w:b/>
                <w:bCs/>
                <w:sz w:val="20"/>
              </w:rPr>
            </w:pPr>
            <w:r w:rsidRPr="00A66C41">
              <w:rPr>
                <w:rFonts w:ascii="Times New Roman" w:hAnsi="Times New Roman" w:cs="Times New Roman"/>
                <w:b/>
                <w:bCs/>
                <w:sz w:val="20"/>
              </w:rPr>
              <w:t>Trial SP754</w:t>
            </w:r>
          </w:p>
        </w:tc>
      </w:tr>
      <w:tr w:rsidR="00104CC1" w:rsidRPr="00A66C41" w14:paraId="44B01A28" w14:textId="77777777" w:rsidTr="00924ED2">
        <w:tc>
          <w:tcPr>
            <w:tcW w:w="1626" w:type="dxa"/>
            <w:shd w:val="clear" w:color="auto" w:fill="auto"/>
          </w:tcPr>
          <w:p w14:paraId="44B01A23" w14:textId="77777777" w:rsidR="00104CC1" w:rsidRPr="00A66C41" w:rsidRDefault="00104CC1" w:rsidP="00924ED2">
            <w:pPr>
              <w:autoSpaceDE w:val="0"/>
              <w:autoSpaceDN w:val="0"/>
              <w:adjustRightInd w:val="0"/>
              <w:spacing w:after="0"/>
              <w:rPr>
                <w:rFonts w:ascii="Times New Roman" w:hAnsi="Times New Roman" w:cs="Times New Roman"/>
                <w:sz w:val="20"/>
              </w:rPr>
            </w:pPr>
            <w:r w:rsidRPr="00A66C41">
              <w:rPr>
                <w:rFonts w:ascii="Times New Roman" w:hAnsi="Times New Roman" w:cs="Times New Roman"/>
                <w:sz w:val="20"/>
              </w:rPr>
              <w:t>Placebo</w:t>
            </w:r>
          </w:p>
        </w:tc>
        <w:tc>
          <w:tcPr>
            <w:tcW w:w="1626" w:type="dxa"/>
            <w:shd w:val="clear" w:color="auto" w:fill="auto"/>
          </w:tcPr>
          <w:p w14:paraId="44B01A24"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104</w:t>
            </w:r>
          </w:p>
        </w:tc>
        <w:tc>
          <w:tcPr>
            <w:tcW w:w="1627" w:type="dxa"/>
            <w:shd w:val="clear" w:color="auto" w:fill="auto"/>
          </w:tcPr>
          <w:p w14:paraId="44B01A25"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15</w:t>
            </w:r>
          </w:p>
        </w:tc>
        <w:tc>
          <w:tcPr>
            <w:tcW w:w="1627" w:type="dxa"/>
            <w:shd w:val="clear" w:color="auto" w:fill="auto"/>
          </w:tcPr>
          <w:p w14:paraId="44B01A26"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20.8%</w:t>
            </w:r>
          </w:p>
        </w:tc>
        <w:tc>
          <w:tcPr>
            <w:tcW w:w="1627" w:type="dxa"/>
            <w:shd w:val="clear" w:color="auto" w:fill="auto"/>
          </w:tcPr>
          <w:p w14:paraId="44B01A27"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N/A</w:t>
            </w:r>
          </w:p>
        </w:tc>
      </w:tr>
      <w:tr w:rsidR="00104CC1" w:rsidRPr="00A66C41" w14:paraId="44B01A2E" w14:textId="77777777" w:rsidTr="00924ED2">
        <w:tc>
          <w:tcPr>
            <w:tcW w:w="1626" w:type="dxa"/>
            <w:shd w:val="clear" w:color="auto" w:fill="auto"/>
          </w:tcPr>
          <w:p w14:paraId="44B01A29" w14:textId="77777777" w:rsidR="00104CC1" w:rsidRPr="00A66C41" w:rsidRDefault="00104CC1" w:rsidP="00924ED2">
            <w:pPr>
              <w:autoSpaceDE w:val="0"/>
              <w:autoSpaceDN w:val="0"/>
              <w:adjustRightInd w:val="0"/>
              <w:spacing w:after="0"/>
              <w:rPr>
                <w:rFonts w:ascii="Times New Roman" w:hAnsi="Times New Roman" w:cs="Times New Roman"/>
                <w:sz w:val="20"/>
              </w:rPr>
            </w:pPr>
            <w:r w:rsidRPr="00A66C41">
              <w:rPr>
                <w:rFonts w:ascii="Times New Roman" w:hAnsi="Times New Roman" w:cs="Times New Roman"/>
                <w:sz w:val="20"/>
              </w:rPr>
              <w:t>400 mg/day</w:t>
            </w:r>
          </w:p>
        </w:tc>
        <w:tc>
          <w:tcPr>
            <w:tcW w:w="1626" w:type="dxa"/>
            <w:shd w:val="clear" w:color="auto" w:fill="auto"/>
          </w:tcPr>
          <w:p w14:paraId="44B01A2A"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201</w:t>
            </w:r>
          </w:p>
        </w:tc>
        <w:tc>
          <w:tcPr>
            <w:tcW w:w="1627" w:type="dxa"/>
            <w:shd w:val="clear" w:color="auto" w:fill="auto"/>
          </w:tcPr>
          <w:p w14:paraId="44B01A2B"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12</w:t>
            </w:r>
          </w:p>
        </w:tc>
        <w:tc>
          <w:tcPr>
            <w:tcW w:w="1627" w:type="dxa"/>
            <w:shd w:val="clear" w:color="auto" w:fill="auto"/>
          </w:tcPr>
          <w:p w14:paraId="44B01A2C"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37.3%</w:t>
            </w:r>
          </w:p>
        </w:tc>
        <w:tc>
          <w:tcPr>
            <w:tcW w:w="1627" w:type="dxa"/>
            <w:shd w:val="clear" w:color="auto" w:fill="auto"/>
          </w:tcPr>
          <w:p w14:paraId="44B01A2D"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21.6%**</w:t>
            </w:r>
          </w:p>
        </w:tc>
      </w:tr>
      <w:tr w:rsidR="00104CC1" w:rsidRPr="00A66C41" w14:paraId="44B01A34" w14:textId="77777777" w:rsidTr="00924ED2">
        <w:tc>
          <w:tcPr>
            <w:tcW w:w="1626" w:type="dxa"/>
            <w:shd w:val="clear" w:color="auto" w:fill="auto"/>
          </w:tcPr>
          <w:p w14:paraId="44B01A2F" w14:textId="77777777" w:rsidR="00104CC1" w:rsidRPr="00A66C41" w:rsidRDefault="00104CC1" w:rsidP="00924ED2">
            <w:pPr>
              <w:autoSpaceDE w:val="0"/>
              <w:autoSpaceDN w:val="0"/>
              <w:adjustRightInd w:val="0"/>
              <w:spacing w:after="0"/>
              <w:rPr>
                <w:rFonts w:ascii="Times New Roman" w:hAnsi="Times New Roman" w:cs="Times New Roman"/>
                <w:sz w:val="20"/>
              </w:rPr>
            </w:pPr>
            <w:r w:rsidRPr="00A66C41">
              <w:rPr>
                <w:rFonts w:ascii="Times New Roman" w:hAnsi="Times New Roman" w:cs="Times New Roman"/>
                <w:sz w:val="20"/>
              </w:rPr>
              <w:t>600 mg/day</w:t>
            </w:r>
          </w:p>
        </w:tc>
        <w:tc>
          <w:tcPr>
            <w:tcW w:w="1626" w:type="dxa"/>
            <w:shd w:val="clear" w:color="auto" w:fill="auto"/>
          </w:tcPr>
          <w:p w14:paraId="44B01A30"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97</w:t>
            </w:r>
          </w:p>
        </w:tc>
        <w:tc>
          <w:tcPr>
            <w:tcW w:w="1627" w:type="dxa"/>
            <w:shd w:val="clear" w:color="auto" w:fill="auto"/>
          </w:tcPr>
          <w:p w14:paraId="44B01A31"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17</w:t>
            </w:r>
          </w:p>
        </w:tc>
        <w:tc>
          <w:tcPr>
            <w:tcW w:w="1627" w:type="dxa"/>
            <w:shd w:val="clear" w:color="auto" w:fill="auto"/>
          </w:tcPr>
          <w:p w14:paraId="44B01A32"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37.8%</w:t>
            </w:r>
          </w:p>
        </w:tc>
        <w:tc>
          <w:tcPr>
            <w:tcW w:w="1627" w:type="dxa"/>
            <w:shd w:val="clear" w:color="auto" w:fill="auto"/>
          </w:tcPr>
          <w:p w14:paraId="44B01A33"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24.6%**</w:t>
            </w:r>
          </w:p>
        </w:tc>
      </w:tr>
      <w:tr w:rsidR="00104CC1" w:rsidRPr="00A66C41" w14:paraId="44B01A36" w14:textId="77777777" w:rsidTr="00924ED2">
        <w:tc>
          <w:tcPr>
            <w:tcW w:w="8133" w:type="dxa"/>
            <w:gridSpan w:val="5"/>
            <w:shd w:val="clear" w:color="auto" w:fill="auto"/>
          </w:tcPr>
          <w:p w14:paraId="44B01A35" w14:textId="77777777" w:rsidR="00104CC1" w:rsidRPr="00A66C41" w:rsidRDefault="00104CC1" w:rsidP="00924ED2">
            <w:pPr>
              <w:autoSpaceDE w:val="0"/>
              <w:autoSpaceDN w:val="0"/>
              <w:adjustRightInd w:val="0"/>
              <w:spacing w:after="0"/>
              <w:rPr>
                <w:rFonts w:ascii="Times New Roman" w:hAnsi="Times New Roman" w:cs="Times New Roman"/>
                <w:b/>
                <w:bCs/>
                <w:sz w:val="20"/>
              </w:rPr>
            </w:pPr>
            <w:r w:rsidRPr="00A66C41">
              <w:rPr>
                <w:rFonts w:ascii="Times New Roman" w:hAnsi="Times New Roman" w:cs="Times New Roman"/>
                <w:b/>
                <w:bCs/>
                <w:sz w:val="20"/>
              </w:rPr>
              <w:t>Trial SP755</w:t>
            </w:r>
          </w:p>
        </w:tc>
      </w:tr>
      <w:tr w:rsidR="00104CC1" w:rsidRPr="00A66C41" w14:paraId="44B01A3C" w14:textId="77777777" w:rsidTr="00924ED2">
        <w:tc>
          <w:tcPr>
            <w:tcW w:w="1626" w:type="dxa"/>
            <w:shd w:val="clear" w:color="auto" w:fill="auto"/>
          </w:tcPr>
          <w:p w14:paraId="44B01A37" w14:textId="77777777" w:rsidR="00104CC1" w:rsidRPr="00A66C41" w:rsidRDefault="00104CC1" w:rsidP="00924ED2">
            <w:pPr>
              <w:autoSpaceDE w:val="0"/>
              <w:autoSpaceDN w:val="0"/>
              <w:adjustRightInd w:val="0"/>
              <w:spacing w:after="0"/>
              <w:rPr>
                <w:rFonts w:ascii="Times New Roman" w:hAnsi="Times New Roman" w:cs="Times New Roman"/>
                <w:sz w:val="20"/>
              </w:rPr>
            </w:pPr>
            <w:r w:rsidRPr="00A66C41">
              <w:rPr>
                <w:rFonts w:ascii="Times New Roman" w:hAnsi="Times New Roman" w:cs="Times New Roman"/>
                <w:sz w:val="20"/>
              </w:rPr>
              <w:t>Placebo</w:t>
            </w:r>
          </w:p>
        </w:tc>
        <w:tc>
          <w:tcPr>
            <w:tcW w:w="1626" w:type="dxa"/>
            <w:shd w:val="clear" w:color="auto" w:fill="auto"/>
          </w:tcPr>
          <w:p w14:paraId="44B01A38"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159</w:t>
            </w:r>
          </w:p>
        </w:tc>
        <w:tc>
          <w:tcPr>
            <w:tcW w:w="1627" w:type="dxa"/>
            <w:shd w:val="clear" w:color="auto" w:fill="auto"/>
          </w:tcPr>
          <w:p w14:paraId="44B01A39"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10</w:t>
            </w:r>
          </w:p>
        </w:tc>
        <w:tc>
          <w:tcPr>
            <w:tcW w:w="1627" w:type="dxa"/>
            <w:shd w:val="clear" w:color="auto" w:fill="auto"/>
          </w:tcPr>
          <w:p w14:paraId="44B01A3A"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20.5%</w:t>
            </w:r>
          </w:p>
        </w:tc>
        <w:tc>
          <w:tcPr>
            <w:tcW w:w="1627" w:type="dxa"/>
            <w:shd w:val="clear" w:color="auto" w:fill="auto"/>
          </w:tcPr>
          <w:p w14:paraId="44B01A3B"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N/A</w:t>
            </w:r>
          </w:p>
        </w:tc>
      </w:tr>
      <w:tr w:rsidR="00104CC1" w:rsidRPr="00A66C41" w14:paraId="44B01A42" w14:textId="77777777" w:rsidTr="00924ED2">
        <w:tc>
          <w:tcPr>
            <w:tcW w:w="1626" w:type="dxa"/>
            <w:shd w:val="clear" w:color="auto" w:fill="auto"/>
          </w:tcPr>
          <w:p w14:paraId="44B01A3D" w14:textId="77777777" w:rsidR="00104CC1" w:rsidRPr="00A66C41" w:rsidRDefault="00104CC1" w:rsidP="00924ED2">
            <w:pPr>
              <w:autoSpaceDE w:val="0"/>
              <w:autoSpaceDN w:val="0"/>
              <w:adjustRightInd w:val="0"/>
              <w:spacing w:after="0"/>
              <w:rPr>
                <w:rFonts w:ascii="Times New Roman" w:hAnsi="Times New Roman" w:cs="Times New Roman"/>
                <w:sz w:val="20"/>
              </w:rPr>
            </w:pPr>
            <w:r w:rsidRPr="00A66C41">
              <w:rPr>
                <w:rFonts w:ascii="Times New Roman" w:hAnsi="Times New Roman" w:cs="Times New Roman"/>
                <w:sz w:val="20"/>
              </w:rPr>
              <w:t>200 mg/day</w:t>
            </w:r>
          </w:p>
        </w:tc>
        <w:tc>
          <w:tcPr>
            <w:tcW w:w="1626" w:type="dxa"/>
            <w:shd w:val="clear" w:color="auto" w:fill="auto"/>
          </w:tcPr>
          <w:p w14:paraId="44B01A3E"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160</w:t>
            </w:r>
          </w:p>
        </w:tc>
        <w:tc>
          <w:tcPr>
            <w:tcW w:w="1627" w:type="dxa"/>
            <w:shd w:val="clear" w:color="auto" w:fill="auto"/>
          </w:tcPr>
          <w:p w14:paraId="44B01A3F"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12</w:t>
            </w:r>
          </w:p>
        </w:tc>
        <w:tc>
          <w:tcPr>
            <w:tcW w:w="1627" w:type="dxa"/>
            <w:shd w:val="clear" w:color="auto" w:fill="auto"/>
          </w:tcPr>
          <w:p w14:paraId="44B01A40"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35.3%</w:t>
            </w:r>
          </w:p>
        </w:tc>
        <w:tc>
          <w:tcPr>
            <w:tcW w:w="1627" w:type="dxa"/>
            <w:shd w:val="clear" w:color="auto" w:fill="auto"/>
          </w:tcPr>
          <w:p w14:paraId="44B01A41"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14.4%*</w:t>
            </w:r>
          </w:p>
        </w:tc>
      </w:tr>
      <w:tr w:rsidR="00104CC1" w:rsidRPr="00A66C41" w14:paraId="44B01A48" w14:textId="77777777" w:rsidTr="00924ED2">
        <w:tc>
          <w:tcPr>
            <w:tcW w:w="1626" w:type="dxa"/>
            <w:shd w:val="clear" w:color="auto" w:fill="auto"/>
          </w:tcPr>
          <w:p w14:paraId="44B01A43" w14:textId="77777777" w:rsidR="00104CC1" w:rsidRPr="00A66C41" w:rsidRDefault="00104CC1" w:rsidP="00924ED2">
            <w:pPr>
              <w:autoSpaceDE w:val="0"/>
              <w:autoSpaceDN w:val="0"/>
              <w:adjustRightInd w:val="0"/>
              <w:spacing w:after="0"/>
              <w:rPr>
                <w:rFonts w:ascii="Times New Roman" w:hAnsi="Times New Roman" w:cs="Times New Roman"/>
                <w:sz w:val="20"/>
              </w:rPr>
            </w:pPr>
            <w:r w:rsidRPr="00A66C41">
              <w:rPr>
                <w:rFonts w:ascii="Times New Roman" w:hAnsi="Times New Roman" w:cs="Times New Roman"/>
                <w:sz w:val="20"/>
              </w:rPr>
              <w:t>400 mg/day</w:t>
            </w:r>
          </w:p>
        </w:tc>
        <w:tc>
          <w:tcPr>
            <w:tcW w:w="1626" w:type="dxa"/>
            <w:shd w:val="clear" w:color="auto" w:fill="auto"/>
          </w:tcPr>
          <w:p w14:paraId="44B01A44"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158</w:t>
            </w:r>
          </w:p>
        </w:tc>
        <w:tc>
          <w:tcPr>
            <w:tcW w:w="1627" w:type="dxa"/>
            <w:shd w:val="clear" w:color="auto" w:fill="auto"/>
          </w:tcPr>
          <w:p w14:paraId="44B01A45"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10</w:t>
            </w:r>
          </w:p>
        </w:tc>
        <w:tc>
          <w:tcPr>
            <w:tcW w:w="1627" w:type="dxa"/>
            <w:shd w:val="clear" w:color="auto" w:fill="auto"/>
          </w:tcPr>
          <w:p w14:paraId="44B01A46"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36.4%</w:t>
            </w:r>
          </w:p>
        </w:tc>
        <w:tc>
          <w:tcPr>
            <w:tcW w:w="1627" w:type="dxa"/>
            <w:shd w:val="clear" w:color="auto" w:fill="auto"/>
          </w:tcPr>
          <w:p w14:paraId="44B01A47" w14:textId="77777777" w:rsidR="00104CC1" w:rsidRPr="00A66C41" w:rsidRDefault="00104CC1" w:rsidP="00924ED2">
            <w:pPr>
              <w:autoSpaceDE w:val="0"/>
              <w:autoSpaceDN w:val="0"/>
              <w:adjustRightInd w:val="0"/>
              <w:spacing w:after="0"/>
              <w:jc w:val="center"/>
              <w:rPr>
                <w:rFonts w:ascii="Times New Roman" w:hAnsi="Times New Roman" w:cs="Times New Roman"/>
                <w:sz w:val="20"/>
              </w:rPr>
            </w:pPr>
            <w:r w:rsidRPr="00A66C41">
              <w:rPr>
                <w:rFonts w:ascii="Times New Roman" w:hAnsi="Times New Roman" w:cs="Times New Roman"/>
                <w:sz w:val="20"/>
              </w:rPr>
              <w:t>15.0%*</w:t>
            </w:r>
          </w:p>
        </w:tc>
      </w:tr>
    </w:tbl>
    <w:p w14:paraId="44B01A49" w14:textId="77777777" w:rsidR="00104CC1" w:rsidRPr="00C77CC8" w:rsidRDefault="00104CC1" w:rsidP="00104CC1">
      <w:pPr>
        <w:autoSpaceDE w:val="0"/>
        <w:autoSpaceDN w:val="0"/>
        <w:adjustRightInd w:val="0"/>
        <w:spacing w:after="0"/>
        <w:rPr>
          <w:rFonts w:ascii="Times New Roman" w:hAnsi="Times New Roman" w:cs="Times New Roman"/>
          <w:sz w:val="18"/>
          <w:szCs w:val="20"/>
        </w:rPr>
      </w:pPr>
      <w:r w:rsidRPr="00C77CC8">
        <w:rPr>
          <w:rFonts w:ascii="Times New Roman" w:hAnsi="Times New Roman" w:cs="Times New Roman"/>
          <w:sz w:val="18"/>
          <w:szCs w:val="20"/>
        </w:rPr>
        <w:t>*Significant at the 0.0500 level; **Significant at the 0.0100 level; Percent reduction over placebo and corresponding p-values are based on log-transformed data from pairwise treatment ANCOVA models.</w:t>
      </w:r>
    </w:p>
    <w:p w14:paraId="44B01A4A" w14:textId="77777777" w:rsidR="00104CC1" w:rsidRPr="00C77CC8" w:rsidRDefault="00104CC1" w:rsidP="00104CC1">
      <w:pPr>
        <w:autoSpaceDE w:val="0"/>
        <w:autoSpaceDN w:val="0"/>
        <w:adjustRightInd w:val="0"/>
        <w:spacing w:after="0"/>
        <w:rPr>
          <w:rFonts w:ascii="Times New Roman" w:hAnsi="Times New Roman" w:cs="Times New Roman"/>
          <w:sz w:val="18"/>
          <w:szCs w:val="20"/>
        </w:rPr>
      </w:pPr>
      <w:r w:rsidRPr="00C77CC8">
        <w:rPr>
          <w:rFonts w:ascii="Times New Roman" w:hAnsi="Times New Roman" w:cs="Times New Roman"/>
          <w:sz w:val="18"/>
          <w:szCs w:val="20"/>
        </w:rPr>
        <w:t>Note: Maintenance Phase includes data for the Titration Phase for patients who discontinued prior to entering the Maintenance Phase.</w:t>
      </w:r>
    </w:p>
    <w:bookmarkEnd w:id="18"/>
    <w:bookmarkEnd w:id="19"/>
    <w:p w14:paraId="44B01A53" w14:textId="77777777" w:rsidR="004A0E38" w:rsidRPr="00A66C41" w:rsidRDefault="004A0E38" w:rsidP="00A76E2B">
      <w:pPr>
        <w:rPr>
          <w:rFonts w:ascii="Times New Roman" w:hAnsi="Times New Roman" w:cs="Times New Roman"/>
        </w:rPr>
      </w:pPr>
    </w:p>
    <w:p w14:paraId="44B01A56" w14:textId="77777777" w:rsidR="004A0E38" w:rsidRPr="00A66C41" w:rsidRDefault="004A0E38" w:rsidP="00A76E2B">
      <w:pPr>
        <w:rPr>
          <w:rFonts w:ascii="Times New Roman" w:hAnsi="Times New Roman" w:cs="Times New Roman"/>
          <w:b/>
        </w:rPr>
      </w:pPr>
      <w:r w:rsidRPr="00A66C41">
        <w:rPr>
          <w:rFonts w:ascii="Times New Roman" w:hAnsi="Times New Roman" w:cs="Times New Roman"/>
          <w:b/>
        </w:rPr>
        <w:t>Figure 1 – Median Percent Reduction in Seizure Frequency per 28 days from Baseline to the Maintenance Phase by Dose</w:t>
      </w:r>
    </w:p>
    <w:p w14:paraId="44B01A57" w14:textId="06AF3A48" w:rsidR="004A0E38" w:rsidRDefault="004B49E1" w:rsidP="00A76E2B">
      <w:pPr>
        <w:rPr>
          <w:rFonts w:ascii="Times New Roman" w:hAnsi="Times New Roman" w:cs="Times New Roman"/>
        </w:rPr>
      </w:pPr>
      <w:r>
        <w:rPr>
          <w:noProof/>
          <w:lang w:eastAsia="en-AU"/>
        </w:rPr>
        <w:drawing>
          <wp:inline distT="0" distB="0" distL="0" distR="0" wp14:anchorId="76A0BBDF" wp14:editId="0B410814">
            <wp:extent cx="6648450" cy="3295650"/>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0" cy="3295650"/>
                    </a:xfrm>
                    <a:prstGeom prst="rect">
                      <a:avLst/>
                    </a:prstGeom>
                    <a:noFill/>
                    <a:ln>
                      <a:noFill/>
                    </a:ln>
                  </pic:spPr>
                </pic:pic>
              </a:graphicData>
            </a:graphic>
          </wp:inline>
        </w:drawing>
      </w:r>
    </w:p>
    <w:p w14:paraId="23368058" w14:textId="77777777" w:rsidR="004B49E1" w:rsidRDefault="004B49E1" w:rsidP="004B49E1">
      <w:pPr>
        <w:widowControl w:val="0"/>
        <w:kinsoku w:val="0"/>
        <w:overflowPunct w:val="0"/>
        <w:autoSpaceDE w:val="0"/>
        <w:autoSpaceDN w:val="0"/>
        <w:adjustRightInd w:val="0"/>
        <w:spacing w:before="94" w:after="0" w:line="184" w:lineRule="exact"/>
        <w:ind w:left="595"/>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LCM = lacosamide</w:t>
      </w:r>
    </w:p>
    <w:p w14:paraId="7CE66CCF" w14:textId="77777777" w:rsidR="004B49E1" w:rsidRDefault="004B49E1" w:rsidP="004B49E1">
      <w:pPr>
        <w:widowControl w:val="0"/>
        <w:kinsoku w:val="0"/>
        <w:overflowPunct w:val="0"/>
        <w:autoSpaceDE w:val="0"/>
        <w:autoSpaceDN w:val="0"/>
        <w:adjustRightInd w:val="0"/>
        <w:spacing w:after="0" w:line="240" w:lineRule="auto"/>
        <w:ind w:left="590"/>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*Significant at the 0.0500 level; **Significant at the 0.0100 level</w:t>
      </w:r>
    </w:p>
    <w:p w14:paraId="6451F74F" w14:textId="469E4C6D" w:rsidR="004B49E1" w:rsidRPr="00690CF0" w:rsidRDefault="004B49E1" w:rsidP="00690CF0">
      <w:pPr>
        <w:widowControl w:val="0"/>
        <w:kinsoku w:val="0"/>
        <w:overflowPunct w:val="0"/>
        <w:autoSpaceDE w:val="0"/>
        <w:autoSpaceDN w:val="0"/>
        <w:adjustRightInd w:val="0"/>
        <w:ind w:left="590"/>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lastRenderedPageBreak/>
        <w:t>p-values are based on log-transformed data from pairwise treatment ANCOVA models</w:t>
      </w:r>
    </w:p>
    <w:p w14:paraId="44B01A58" w14:textId="33E49C6E" w:rsidR="004A0E38" w:rsidRPr="00A66C41" w:rsidRDefault="004A0E38" w:rsidP="00A76E2B">
      <w:pPr>
        <w:rPr>
          <w:rFonts w:ascii="Times New Roman" w:hAnsi="Times New Roman" w:cs="Times New Roman"/>
          <w:b/>
        </w:rPr>
      </w:pPr>
      <w:r w:rsidRPr="00A66C41">
        <w:rPr>
          <w:rFonts w:ascii="Times New Roman" w:hAnsi="Times New Roman" w:cs="Times New Roman"/>
          <w:b/>
        </w:rPr>
        <w:t>Figure 2 – Responder Rate (</w:t>
      </w:r>
      <w:r w:rsidRPr="00A66C41">
        <w:rPr>
          <w:rFonts w:ascii="Times New Roman" w:hAnsi="Times New Roman" w:cs="Times New Roman"/>
          <w:b/>
          <w:u w:val="thick"/>
        </w:rPr>
        <w:t xml:space="preserve">&gt; </w:t>
      </w:r>
      <w:r w:rsidRPr="00A66C41">
        <w:rPr>
          <w:rFonts w:ascii="Times New Roman" w:hAnsi="Times New Roman" w:cs="Times New Roman"/>
          <w:b/>
        </w:rPr>
        <w:t>50% reduction in seizure frequency)</w:t>
      </w:r>
    </w:p>
    <w:p w14:paraId="44B01A59" w14:textId="27EC5970" w:rsidR="004A0E38" w:rsidRDefault="004B49E1" w:rsidP="00A76E2B">
      <w:pPr>
        <w:rPr>
          <w:rFonts w:ascii="Times New Roman" w:hAnsi="Times New Roman" w:cs="Times New Roman"/>
        </w:rPr>
      </w:pPr>
      <w:r>
        <w:rPr>
          <w:noProof/>
          <w:lang w:eastAsia="en-AU"/>
        </w:rPr>
        <w:drawing>
          <wp:inline distT="0" distB="0" distL="0" distR="0" wp14:anchorId="736F1F4E" wp14:editId="7C9F9701">
            <wp:extent cx="6648450" cy="3095625"/>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0" cy="3095625"/>
                    </a:xfrm>
                    <a:prstGeom prst="rect">
                      <a:avLst/>
                    </a:prstGeom>
                    <a:noFill/>
                    <a:ln>
                      <a:noFill/>
                    </a:ln>
                  </pic:spPr>
                </pic:pic>
              </a:graphicData>
            </a:graphic>
          </wp:inline>
        </w:drawing>
      </w:r>
    </w:p>
    <w:p w14:paraId="6CF05319" w14:textId="77777777" w:rsidR="004B49E1" w:rsidRDefault="004B49E1" w:rsidP="004B49E1">
      <w:pPr>
        <w:widowControl w:val="0"/>
        <w:kinsoku w:val="0"/>
        <w:overflowPunct w:val="0"/>
        <w:autoSpaceDE w:val="0"/>
        <w:autoSpaceDN w:val="0"/>
        <w:adjustRightInd w:val="0"/>
        <w:spacing w:after="0" w:line="240" w:lineRule="auto"/>
        <w:ind w:left="595"/>
        <w:rPr>
          <w:rFonts w:ascii="Times New Roman" w:eastAsia="Times New Roman" w:hAnsi="Times New Roman" w:cs="Times New Roman"/>
          <w:sz w:val="18"/>
          <w:szCs w:val="16"/>
          <w:lang w:val="en-US"/>
        </w:rPr>
      </w:pPr>
      <w:r>
        <w:rPr>
          <w:rFonts w:ascii="Times New Roman" w:eastAsia="Times New Roman" w:hAnsi="Times New Roman" w:cs="Times New Roman"/>
          <w:sz w:val="18"/>
          <w:szCs w:val="16"/>
          <w:lang w:val="en-US"/>
        </w:rPr>
        <w:t>LCM = lacosamide</w:t>
      </w:r>
    </w:p>
    <w:p w14:paraId="5AB0CD2F" w14:textId="77777777" w:rsidR="004B49E1" w:rsidRDefault="004B49E1" w:rsidP="004B49E1">
      <w:pPr>
        <w:widowControl w:val="0"/>
        <w:kinsoku w:val="0"/>
        <w:overflowPunct w:val="0"/>
        <w:autoSpaceDE w:val="0"/>
        <w:autoSpaceDN w:val="0"/>
        <w:adjustRightInd w:val="0"/>
        <w:spacing w:after="0" w:line="240" w:lineRule="auto"/>
        <w:ind w:left="590"/>
        <w:rPr>
          <w:rFonts w:ascii="Times New Roman" w:eastAsia="Times New Roman" w:hAnsi="Times New Roman" w:cs="Times New Roman"/>
          <w:sz w:val="18"/>
          <w:szCs w:val="16"/>
          <w:lang w:val="en-US"/>
        </w:rPr>
      </w:pPr>
      <w:r>
        <w:rPr>
          <w:rFonts w:ascii="Times New Roman" w:eastAsia="Times New Roman" w:hAnsi="Times New Roman" w:cs="Times New Roman"/>
          <w:sz w:val="18"/>
          <w:szCs w:val="16"/>
          <w:lang w:val="en-US"/>
        </w:rPr>
        <w:t>*Significant at the 0.0500 level; **Significant at the 0.0100 level</w:t>
      </w:r>
    </w:p>
    <w:p w14:paraId="4BBC69E7" w14:textId="77777777" w:rsidR="004B49E1" w:rsidRDefault="004B49E1" w:rsidP="004B49E1">
      <w:pPr>
        <w:widowControl w:val="0"/>
        <w:kinsoku w:val="0"/>
        <w:overflowPunct w:val="0"/>
        <w:autoSpaceDE w:val="0"/>
        <w:autoSpaceDN w:val="0"/>
        <w:adjustRightInd w:val="0"/>
        <w:spacing w:after="0" w:line="240" w:lineRule="auto"/>
        <w:ind w:left="595"/>
        <w:rPr>
          <w:rFonts w:ascii="Times New Roman" w:eastAsia="Times New Roman" w:hAnsi="Times New Roman" w:cs="Times New Roman"/>
          <w:sz w:val="18"/>
          <w:szCs w:val="16"/>
          <w:lang w:val="en-US"/>
        </w:rPr>
      </w:pPr>
      <w:r>
        <w:rPr>
          <w:rFonts w:ascii="Times New Roman" w:eastAsia="Times New Roman" w:hAnsi="Times New Roman" w:cs="Times New Roman"/>
          <w:sz w:val="18"/>
          <w:szCs w:val="16"/>
          <w:lang w:val="en-US"/>
        </w:rPr>
        <w:t>p-values are based on pairwise treatment logistic regression models</w:t>
      </w:r>
    </w:p>
    <w:p w14:paraId="163796FE" w14:textId="77777777" w:rsidR="004B49E1" w:rsidRDefault="004B49E1" w:rsidP="004B49E1">
      <w:pPr>
        <w:widowControl w:val="0"/>
        <w:kinsoku w:val="0"/>
        <w:overflowPunct w:val="0"/>
        <w:autoSpaceDE w:val="0"/>
        <w:autoSpaceDN w:val="0"/>
        <w:adjustRightInd w:val="0"/>
        <w:spacing w:after="0" w:line="240" w:lineRule="auto"/>
        <w:ind w:left="595"/>
        <w:rPr>
          <w:rFonts w:ascii="Times New Roman" w:eastAsia="Times New Roman" w:hAnsi="Times New Roman" w:cs="Times New Roman"/>
          <w:sz w:val="18"/>
          <w:szCs w:val="16"/>
          <w:lang w:val="en-US"/>
        </w:rPr>
      </w:pPr>
    </w:p>
    <w:p w14:paraId="6DA83A1B" w14:textId="77777777" w:rsidR="004B49E1" w:rsidRDefault="004B49E1" w:rsidP="004B49E1">
      <w:pPr>
        <w:widowControl w:val="0"/>
        <w:kinsoku w:val="0"/>
        <w:overflowPunct w:val="0"/>
        <w:autoSpaceDE w:val="0"/>
        <w:autoSpaceDN w:val="0"/>
        <w:adjustRightInd w:val="0"/>
        <w:ind w:left="590" w:right="1138"/>
        <w:rPr>
          <w:rFonts w:ascii="Times New Roman" w:eastAsia="Times New Roman" w:hAnsi="Times New Roman" w:cs="Times New Roman"/>
          <w:sz w:val="18"/>
          <w:szCs w:val="16"/>
          <w:lang w:val="en-US"/>
        </w:rPr>
      </w:pPr>
      <w:r>
        <w:rPr>
          <w:rFonts w:ascii="Times New Roman" w:eastAsia="Times New Roman" w:hAnsi="Times New Roman" w:cs="Times New Roman"/>
          <w:sz w:val="18"/>
          <w:szCs w:val="16"/>
          <w:lang w:val="en-US"/>
        </w:rPr>
        <w:t xml:space="preserve">Note: Responder rate is the proportion of patients with </w:t>
      </w:r>
      <w:r>
        <w:rPr>
          <w:rFonts w:ascii="Times New Roman" w:eastAsia="Times New Roman" w:hAnsi="Times New Roman" w:cs="Times New Roman"/>
          <w:sz w:val="18"/>
          <w:szCs w:val="16"/>
          <w:u w:val="single"/>
          <w:lang w:val="en-US"/>
        </w:rPr>
        <w:t>&gt;</w:t>
      </w:r>
      <w:r>
        <w:rPr>
          <w:rFonts w:ascii="Times New Roman" w:eastAsia="Times New Roman" w:hAnsi="Times New Roman" w:cs="Times New Roman"/>
          <w:sz w:val="18"/>
          <w:szCs w:val="16"/>
          <w:lang w:val="en-US"/>
        </w:rPr>
        <w:t>50% reduction in seizure frequency per 28 days from Baseline to the Maintenance Phase</w:t>
      </w:r>
    </w:p>
    <w:p w14:paraId="380428D7" w14:textId="77777777" w:rsidR="00EE29E6" w:rsidRPr="00364242" w:rsidRDefault="00EE29E6" w:rsidP="00EE29E6">
      <w:pPr>
        <w:spacing w:after="0"/>
        <w:rPr>
          <w:rFonts w:ascii="Times New Roman" w:hAnsi="Times New Roman" w:cs="Times New Roman"/>
          <w:b/>
          <w:i/>
        </w:rPr>
      </w:pPr>
      <w:bookmarkStart w:id="20" w:name="_Hlk514422108"/>
      <w:r w:rsidRPr="00364242">
        <w:rPr>
          <w:rFonts w:ascii="Times New Roman" w:hAnsi="Times New Roman" w:cs="Times New Roman"/>
          <w:b/>
          <w:i/>
        </w:rPr>
        <w:t>Loading Dose</w:t>
      </w:r>
    </w:p>
    <w:p w14:paraId="129F900F" w14:textId="77777777" w:rsidR="00EE29E6" w:rsidRPr="00364242" w:rsidRDefault="00EE29E6" w:rsidP="00EE29E6">
      <w:pPr>
        <w:rPr>
          <w:rFonts w:ascii="Times New Roman" w:hAnsi="Times New Roman" w:cs="Times New Roman"/>
        </w:rPr>
      </w:pPr>
      <w:r w:rsidRPr="00364242">
        <w:rPr>
          <w:rFonts w:ascii="Times New Roman" w:hAnsi="Times New Roman" w:cs="Times New Roman"/>
        </w:rPr>
        <w:t xml:space="preserve">The pharmacokinetics and safety of a single loading dose of iv lacosamide were determined in a </w:t>
      </w:r>
      <w:proofErr w:type="spellStart"/>
      <w:r w:rsidRPr="00364242">
        <w:rPr>
          <w:rFonts w:ascii="Times New Roman" w:hAnsi="Times New Roman" w:cs="Times New Roman"/>
        </w:rPr>
        <w:t>multicenter</w:t>
      </w:r>
      <w:proofErr w:type="spellEnd"/>
      <w:r w:rsidRPr="00364242">
        <w:rPr>
          <w:rFonts w:ascii="Times New Roman" w:hAnsi="Times New Roman" w:cs="Times New Roman"/>
        </w:rPr>
        <w:t>, open-label study designed to assess the safety and tolerability of rapid initiation of lacosamide using a single iv loading dose (including 200 mg) followed by twice daily oral dosing (equivalent to the iv dose) as add-on therapy in adult subjects 16 to 60 years of age with partial-onset seizures.</w:t>
      </w:r>
    </w:p>
    <w:p w14:paraId="0E663BA9" w14:textId="77777777" w:rsidR="00EE29E6" w:rsidRPr="00364242" w:rsidRDefault="00EE29E6" w:rsidP="00EE29E6">
      <w:pPr>
        <w:spacing w:after="0"/>
        <w:rPr>
          <w:rFonts w:ascii="Times New Roman" w:hAnsi="Times New Roman" w:cs="Times New Roman"/>
          <w:b/>
          <w:i/>
        </w:rPr>
      </w:pPr>
      <w:r w:rsidRPr="00364242">
        <w:rPr>
          <w:rFonts w:ascii="Times New Roman" w:hAnsi="Times New Roman" w:cs="Times New Roman"/>
          <w:b/>
          <w:i/>
        </w:rPr>
        <w:t>Paediatric population</w:t>
      </w:r>
    </w:p>
    <w:p w14:paraId="312FDD27" w14:textId="0843D745" w:rsidR="004B49E1" w:rsidRPr="00A66C41" w:rsidRDefault="00EE29E6" w:rsidP="00A76E2B">
      <w:pPr>
        <w:rPr>
          <w:rFonts w:ascii="Times New Roman" w:hAnsi="Times New Roman" w:cs="Times New Roman"/>
        </w:rPr>
      </w:pPr>
      <w:r w:rsidRPr="00364242">
        <w:rPr>
          <w:rFonts w:ascii="Times New Roman" w:hAnsi="Times New Roman" w:cs="Times New Roman"/>
        </w:rPr>
        <w:t>In children aged 4 years and older, partial-onset seizures have a similar clinical expression to those in adolescents and adults. The results of efficacy trials performed in adults can be extrapolated to children down to the age of 4 provided the dose is established and safety has been demonstrated. Weight-based dose adaptations have been established to achieve similar plasma concentrations to the ones observed in adults taking efficacious doses.</w:t>
      </w:r>
      <w:bookmarkEnd w:id="20"/>
    </w:p>
    <w:p w14:paraId="44B01A5A" w14:textId="77777777" w:rsidR="00ED5EBF" w:rsidRPr="00A66C41" w:rsidRDefault="00175878" w:rsidP="00A76E2B">
      <w:pPr>
        <w:pStyle w:val="Heading2"/>
        <w:rPr>
          <w:rFonts w:ascii="Times New Roman" w:hAnsi="Times New Roman" w:cs="Times New Roman"/>
          <w:lang w:val="en-US"/>
        </w:rPr>
      </w:pPr>
      <w:r w:rsidRPr="00A66C41">
        <w:rPr>
          <w:rFonts w:ascii="Times New Roman" w:hAnsi="Times New Roman" w:cs="Times New Roman"/>
          <w:lang w:val="en-US"/>
        </w:rPr>
        <w:t xml:space="preserve">Pharmacokinetic properties </w:t>
      </w:r>
    </w:p>
    <w:p w14:paraId="44B01A5B"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Absorption</w:t>
      </w:r>
    </w:p>
    <w:p w14:paraId="44B01A5C" w14:textId="15C14E13" w:rsidR="00ED5EBF" w:rsidRPr="00A66C41" w:rsidRDefault="00175878" w:rsidP="00A76E2B">
      <w:pPr>
        <w:rPr>
          <w:rFonts w:ascii="Times New Roman" w:hAnsi="Times New Roman" w:cs="Times New Roman"/>
        </w:rPr>
      </w:pPr>
      <w:r w:rsidRPr="00A66C41">
        <w:rPr>
          <w:rFonts w:ascii="Times New Roman" w:hAnsi="Times New Roman" w:cs="Times New Roman"/>
        </w:rPr>
        <w:t xml:space="preserve">Lacosamide is rapidly and completely absorbed after oral administration. The oral bioavailability of lacosamide tablets is approximately 100%. Following oral administration, the plasma concentration of unchanged lacosamide increases rapidly and reaches </w:t>
      </w:r>
      <w:proofErr w:type="spellStart"/>
      <w:r w:rsidRPr="00A66C41">
        <w:rPr>
          <w:rFonts w:ascii="Times New Roman" w:hAnsi="Times New Roman" w:cs="Times New Roman"/>
        </w:rPr>
        <w:t>C</w:t>
      </w:r>
      <w:r w:rsidRPr="00A66C41">
        <w:rPr>
          <w:rFonts w:ascii="Times New Roman" w:hAnsi="Times New Roman" w:cs="Times New Roman"/>
          <w:vertAlign w:val="subscript"/>
        </w:rPr>
        <w:t>max</w:t>
      </w:r>
      <w:proofErr w:type="spellEnd"/>
      <w:r w:rsidRPr="00A66C41">
        <w:rPr>
          <w:rFonts w:ascii="Times New Roman" w:hAnsi="Times New Roman" w:cs="Times New Roman"/>
        </w:rPr>
        <w:t xml:space="preserve"> about 0.5 to 4 hours </w:t>
      </w:r>
      <w:proofErr w:type="spellStart"/>
      <w:r w:rsidRPr="00A66C41">
        <w:rPr>
          <w:rFonts w:ascii="Times New Roman" w:hAnsi="Times New Roman" w:cs="Times New Roman"/>
        </w:rPr>
        <w:t>postdose</w:t>
      </w:r>
      <w:proofErr w:type="spellEnd"/>
      <w:r w:rsidRPr="00A66C41">
        <w:rPr>
          <w:rFonts w:ascii="Times New Roman" w:hAnsi="Times New Roman" w:cs="Times New Roman"/>
        </w:rPr>
        <w:t xml:space="preserve">. </w:t>
      </w:r>
      <w:r w:rsidR="00EE29E6" w:rsidRPr="00022410">
        <w:rPr>
          <w:rFonts w:ascii="Times New Roman" w:hAnsi="Times New Roman" w:cs="Times New Roman"/>
        </w:rPr>
        <w:t xml:space="preserve">Lacosamide tablets and oral solution are bioequivalent. </w:t>
      </w:r>
      <w:r w:rsidRPr="00A66C41">
        <w:rPr>
          <w:rFonts w:ascii="Times New Roman" w:hAnsi="Times New Roman" w:cs="Times New Roman"/>
        </w:rPr>
        <w:t>Food does not affect the rate and extent of absorption.</w:t>
      </w:r>
      <w:r w:rsidRPr="00A66C41">
        <w:rPr>
          <w:rFonts w:ascii="Times New Roman" w:hAnsi="Times New Roman" w:cs="Times New Roman"/>
        </w:rPr>
        <w:br/>
      </w:r>
      <w:r w:rsidRPr="00A66C41">
        <w:rPr>
          <w:rFonts w:ascii="Times New Roman" w:hAnsi="Times New Roman" w:cs="Times New Roman"/>
        </w:rPr>
        <w:lastRenderedPageBreak/>
        <w:br/>
        <w:t xml:space="preserve">After intravenous administration </w:t>
      </w:r>
      <w:proofErr w:type="spellStart"/>
      <w:r w:rsidRPr="00A66C41">
        <w:rPr>
          <w:rFonts w:ascii="Times New Roman" w:hAnsi="Times New Roman" w:cs="Times New Roman"/>
        </w:rPr>
        <w:t>C</w:t>
      </w:r>
      <w:r w:rsidRPr="00A66C41">
        <w:rPr>
          <w:rFonts w:ascii="Times New Roman" w:hAnsi="Times New Roman" w:cs="Times New Roman"/>
          <w:vertAlign w:val="subscript"/>
        </w:rPr>
        <w:t>max</w:t>
      </w:r>
      <w:proofErr w:type="spellEnd"/>
      <w:r w:rsidRPr="00A66C41">
        <w:rPr>
          <w:rFonts w:ascii="Times New Roman" w:hAnsi="Times New Roman" w:cs="Times New Roman"/>
        </w:rPr>
        <w:t xml:space="preserve"> is reached at the end of infusion. The plasma concentration increases proportionally with dose after oral (100 mg-800 mg) and intravenous (50-300 mg) administration.</w:t>
      </w:r>
    </w:p>
    <w:p w14:paraId="44B01A5D"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Distribution</w:t>
      </w:r>
    </w:p>
    <w:p w14:paraId="44B01A5E" w14:textId="77777777" w:rsidR="00ED5EBF" w:rsidRPr="00A66C41" w:rsidRDefault="00175878" w:rsidP="00A76E2B">
      <w:pPr>
        <w:rPr>
          <w:rFonts w:ascii="Times New Roman" w:hAnsi="Times New Roman" w:cs="Times New Roman"/>
        </w:rPr>
      </w:pPr>
      <w:r w:rsidRPr="00A66C41">
        <w:rPr>
          <w:rFonts w:ascii="Times New Roman" w:hAnsi="Times New Roman" w:cs="Times New Roman"/>
        </w:rPr>
        <w:t>The volume of distribution is approximately 0.6 L/kg. Lacosamide is less than 15% bound to plasma proteins.</w:t>
      </w:r>
    </w:p>
    <w:p w14:paraId="44B01A5F"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Metabolism</w:t>
      </w:r>
    </w:p>
    <w:p w14:paraId="44B01A60" w14:textId="77777777" w:rsidR="00ED5EBF" w:rsidRPr="00A66C41" w:rsidRDefault="00175878" w:rsidP="00A76E2B">
      <w:pPr>
        <w:rPr>
          <w:rFonts w:ascii="Times New Roman" w:hAnsi="Times New Roman" w:cs="Times New Roman"/>
        </w:rPr>
      </w:pPr>
      <w:r w:rsidRPr="00A66C41">
        <w:rPr>
          <w:rFonts w:ascii="Times New Roman" w:hAnsi="Times New Roman" w:cs="Times New Roman"/>
        </w:rPr>
        <w:t>95% of the dose is excreted in the urine as drug and metabolites. The metabolism of lacosamide has not been completely characterised. The major compounds excreted in urine are unchanged lacosamide (approximately 40% of the dose) and its O-</w:t>
      </w:r>
      <w:proofErr w:type="spellStart"/>
      <w:r w:rsidRPr="00A66C41">
        <w:rPr>
          <w:rFonts w:ascii="Times New Roman" w:hAnsi="Times New Roman" w:cs="Times New Roman"/>
        </w:rPr>
        <w:t>desmethyl</w:t>
      </w:r>
      <w:proofErr w:type="spellEnd"/>
      <w:r w:rsidRPr="00A66C41">
        <w:rPr>
          <w:rFonts w:ascii="Times New Roman" w:hAnsi="Times New Roman" w:cs="Times New Roman"/>
        </w:rPr>
        <w:t xml:space="preserve"> metabolite less than 30%. A polar fraction proposed to be serine derivatives accounted for approximately 20% in urine, but was detected only in small amounts (0-2%) in human plasma of some subjects. Small amounts (0.5-2%) of additional metabolites were found in the urine.</w:t>
      </w:r>
      <w:r w:rsidRPr="00A66C41">
        <w:rPr>
          <w:rFonts w:ascii="Times New Roman" w:hAnsi="Times New Roman" w:cs="Times New Roman"/>
        </w:rPr>
        <w:br/>
      </w:r>
      <w:r w:rsidRPr="00A66C41">
        <w:rPr>
          <w:rFonts w:ascii="Times New Roman" w:hAnsi="Times New Roman" w:cs="Times New Roman"/>
        </w:rPr>
        <w:br/>
        <w:t>CYP2C19, 2C9 and 3A4 are mainly responsible for the formation of the O-</w:t>
      </w:r>
      <w:proofErr w:type="spellStart"/>
      <w:r w:rsidRPr="00A66C41">
        <w:rPr>
          <w:rFonts w:ascii="Times New Roman" w:hAnsi="Times New Roman" w:cs="Times New Roman"/>
        </w:rPr>
        <w:t>desmethyl</w:t>
      </w:r>
      <w:proofErr w:type="spellEnd"/>
      <w:r w:rsidRPr="00A66C41">
        <w:rPr>
          <w:rFonts w:ascii="Times New Roman" w:hAnsi="Times New Roman" w:cs="Times New Roman"/>
        </w:rPr>
        <w:t xml:space="preserve"> metabolite, with a minor contributing role by CYP2C19. No clinically relevant difference in lacosamide exposure was observed comparing its pharmacokinetics in extensive metabolisers (EMs, with a functional CYP2C19) and poor metabolisers (PMs, lacking a functional CYP2C19). No other enzymes have been identified to be involved in the metabolism of lacosamide.</w:t>
      </w:r>
      <w:r w:rsidRPr="00A66C41">
        <w:rPr>
          <w:rFonts w:ascii="Times New Roman" w:hAnsi="Times New Roman" w:cs="Times New Roman"/>
        </w:rPr>
        <w:br/>
      </w:r>
      <w:r w:rsidRPr="00A66C41">
        <w:rPr>
          <w:rFonts w:ascii="Times New Roman" w:hAnsi="Times New Roman" w:cs="Times New Roman"/>
        </w:rPr>
        <w:br/>
        <w:t>The plasma concentration of O-</w:t>
      </w:r>
      <w:proofErr w:type="spellStart"/>
      <w:r w:rsidRPr="00A66C41">
        <w:rPr>
          <w:rFonts w:ascii="Times New Roman" w:hAnsi="Times New Roman" w:cs="Times New Roman"/>
        </w:rPr>
        <w:t>desmethyl</w:t>
      </w:r>
      <w:proofErr w:type="spellEnd"/>
      <w:r w:rsidRPr="00A66C41">
        <w:rPr>
          <w:rFonts w:ascii="Times New Roman" w:hAnsi="Times New Roman" w:cs="Times New Roman"/>
        </w:rPr>
        <w:t>-</w:t>
      </w:r>
      <w:proofErr w:type="spellStart"/>
      <w:r w:rsidRPr="00A66C41">
        <w:rPr>
          <w:rFonts w:ascii="Times New Roman" w:hAnsi="Times New Roman" w:cs="Times New Roman"/>
        </w:rPr>
        <w:t>lacosamide</w:t>
      </w:r>
      <w:proofErr w:type="spellEnd"/>
      <w:r w:rsidRPr="00A66C41">
        <w:rPr>
          <w:rFonts w:ascii="Times New Roman" w:hAnsi="Times New Roman" w:cs="Times New Roman"/>
        </w:rPr>
        <w:t xml:space="preserve"> is approximately 15% of the concentration of lacosamide in plasma. This major metabolite has no known pharmacological activity.</w:t>
      </w:r>
    </w:p>
    <w:p w14:paraId="44B01A61" w14:textId="105DBF1A" w:rsidR="00ED5EBF" w:rsidRPr="00A66C41" w:rsidRDefault="00B215EB" w:rsidP="00A76E2B">
      <w:pPr>
        <w:pStyle w:val="Heading3"/>
        <w:rPr>
          <w:rFonts w:ascii="Times New Roman" w:hAnsi="Times New Roman" w:cs="Times New Roman"/>
        </w:rPr>
      </w:pPr>
      <w:r w:rsidRPr="00A66C41">
        <w:rPr>
          <w:rFonts w:ascii="Times New Roman" w:hAnsi="Times New Roman" w:cs="Times New Roman"/>
        </w:rPr>
        <w:t>E</w:t>
      </w:r>
      <w:r w:rsidR="00A76E2B" w:rsidRPr="00A66C41">
        <w:rPr>
          <w:rFonts w:ascii="Times New Roman" w:hAnsi="Times New Roman" w:cs="Times New Roman"/>
        </w:rPr>
        <w:t>xcretion</w:t>
      </w:r>
    </w:p>
    <w:p w14:paraId="44B01A62" w14:textId="298F6B5C" w:rsidR="00ED5EBF" w:rsidRDefault="00175878" w:rsidP="00A76E2B">
      <w:pPr>
        <w:rPr>
          <w:rFonts w:ascii="Times New Roman" w:hAnsi="Times New Roman" w:cs="Times New Roman"/>
        </w:rPr>
      </w:pPr>
      <w:r w:rsidRPr="00A66C41">
        <w:rPr>
          <w:rFonts w:ascii="Times New Roman" w:hAnsi="Times New Roman" w:cs="Times New Roman"/>
        </w:rPr>
        <w:t xml:space="preserve">Lacosamide is primarily eliminated from the systemic circulation by renal excretion and biotransformation. After oral and intravenous administration of </w:t>
      </w:r>
      <w:proofErr w:type="spellStart"/>
      <w:r w:rsidRPr="00A66C41">
        <w:rPr>
          <w:rFonts w:ascii="Times New Roman" w:hAnsi="Times New Roman" w:cs="Times New Roman"/>
        </w:rPr>
        <w:t>radiolabeled</w:t>
      </w:r>
      <w:proofErr w:type="spellEnd"/>
      <w:r w:rsidRPr="00A66C41">
        <w:rPr>
          <w:rFonts w:ascii="Times New Roman" w:hAnsi="Times New Roman" w:cs="Times New Roman"/>
        </w:rPr>
        <w:t xml:space="preserve"> </w:t>
      </w:r>
      <w:proofErr w:type="spellStart"/>
      <w:r w:rsidRPr="00A66C41">
        <w:rPr>
          <w:rFonts w:ascii="Times New Roman" w:hAnsi="Times New Roman" w:cs="Times New Roman"/>
        </w:rPr>
        <w:t>lacosamide</w:t>
      </w:r>
      <w:proofErr w:type="spellEnd"/>
      <w:r w:rsidRPr="00A66C41">
        <w:rPr>
          <w:rFonts w:ascii="Times New Roman" w:hAnsi="Times New Roman" w:cs="Times New Roman"/>
        </w:rPr>
        <w:t>, approximately 95% of radioactivity administered was recovered in the urine and less than 0.5% in the faeces. The elimination half-life of the unchanged drug is approximately 13 hours. The pharmacokinetics is dose proportional and constant over time, with low intra</w:t>
      </w:r>
      <w:r w:rsidR="002675F9">
        <w:rPr>
          <w:rFonts w:ascii="Times New Roman" w:hAnsi="Times New Roman" w:cs="Times New Roman"/>
        </w:rPr>
        <w:t>-</w:t>
      </w:r>
      <w:r w:rsidRPr="00A66C41">
        <w:rPr>
          <w:rFonts w:ascii="Times New Roman" w:hAnsi="Times New Roman" w:cs="Times New Roman"/>
        </w:rPr>
        <w:t xml:space="preserve"> and </w:t>
      </w:r>
      <w:proofErr w:type="spellStart"/>
      <w:r w:rsidRPr="00A66C41">
        <w:rPr>
          <w:rFonts w:ascii="Times New Roman" w:hAnsi="Times New Roman" w:cs="Times New Roman"/>
        </w:rPr>
        <w:t>intersubject</w:t>
      </w:r>
      <w:proofErr w:type="spellEnd"/>
      <w:r w:rsidRPr="00A66C41">
        <w:rPr>
          <w:rFonts w:ascii="Times New Roman" w:hAnsi="Times New Roman" w:cs="Times New Roman"/>
        </w:rPr>
        <w:t xml:space="preserve"> variability. Following twice daily dosing, steady state plasma concentrations are achieved after a 3 day period. The plasma concentration increases with an accumulation factor of approximately 2.</w:t>
      </w:r>
    </w:p>
    <w:p w14:paraId="0F30898D" w14:textId="77777777" w:rsidR="00EE29E6" w:rsidRPr="00A66C41" w:rsidRDefault="00EE29E6" w:rsidP="00EE29E6">
      <w:pPr>
        <w:rPr>
          <w:rFonts w:ascii="Times New Roman" w:hAnsi="Times New Roman" w:cs="Times New Roman"/>
        </w:rPr>
      </w:pPr>
      <w:r>
        <w:rPr>
          <w:rFonts w:ascii="Times New Roman" w:hAnsi="Times New Roman" w:cs="Times New Roman"/>
        </w:rPr>
        <w:t>Modelling shows a</w:t>
      </w:r>
      <w:r w:rsidRPr="00EA2116">
        <w:rPr>
          <w:rFonts w:ascii="Times New Roman" w:hAnsi="Times New Roman" w:cs="Times New Roman"/>
        </w:rPr>
        <w:t xml:space="preserve"> single loading dose of 200 mg approximates steady-state concentrations comparable to 100 mg twice daily oral administration.</w:t>
      </w:r>
    </w:p>
    <w:p w14:paraId="44B01A63"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Pharmacokinetics in special patient groups</w:t>
      </w:r>
    </w:p>
    <w:p w14:paraId="44B01A64" w14:textId="612AF24C" w:rsidR="00ED5EBF" w:rsidRDefault="00175878" w:rsidP="00A76E2B">
      <w:pPr>
        <w:rPr>
          <w:rFonts w:ascii="Times New Roman" w:hAnsi="Times New Roman" w:cs="Times New Roman"/>
        </w:rPr>
      </w:pPr>
      <w:r w:rsidRPr="00A66C41">
        <w:rPr>
          <w:rFonts w:ascii="Times New Roman" w:hAnsi="Times New Roman" w:cs="Times New Roman"/>
          <w:b/>
          <w:i/>
          <w:iCs/>
        </w:rPr>
        <w:t>Gender</w:t>
      </w:r>
      <w:r w:rsidR="00A76E2B" w:rsidRPr="00A66C41">
        <w:rPr>
          <w:rFonts w:ascii="Times New Roman" w:hAnsi="Times New Roman" w:cs="Times New Roman"/>
          <w:i/>
          <w:iCs/>
        </w:rPr>
        <w:br/>
      </w:r>
      <w:r w:rsidRPr="00A66C41">
        <w:rPr>
          <w:rFonts w:ascii="Times New Roman" w:hAnsi="Times New Roman" w:cs="Times New Roman"/>
        </w:rPr>
        <w:t>Clinical trials indicate that gender does not have a clinically significant influence on the plasma concentrations of lacosamide.</w:t>
      </w:r>
      <w:r w:rsidRPr="00A66C41">
        <w:rPr>
          <w:rFonts w:ascii="Times New Roman" w:hAnsi="Times New Roman" w:cs="Times New Roman"/>
        </w:rPr>
        <w:br/>
      </w:r>
      <w:r w:rsidR="00317F44">
        <w:rPr>
          <w:rFonts w:ascii="Times New Roman" w:hAnsi="Times New Roman" w:cs="Times New Roman"/>
          <w:b/>
          <w:i/>
          <w:iCs/>
        </w:rPr>
        <w:br/>
      </w:r>
      <w:r w:rsidRPr="00A66C41">
        <w:rPr>
          <w:rFonts w:ascii="Times New Roman" w:hAnsi="Times New Roman" w:cs="Times New Roman"/>
          <w:b/>
          <w:i/>
          <w:iCs/>
        </w:rPr>
        <w:t>Renal impairment</w:t>
      </w:r>
      <w:r w:rsidR="00A76E2B" w:rsidRPr="00A66C41">
        <w:rPr>
          <w:rFonts w:ascii="Times New Roman" w:hAnsi="Times New Roman" w:cs="Times New Roman"/>
          <w:i/>
          <w:iCs/>
        </w:rPr>
        <w:br/>
      </w:r>
      <w:r w:rsidRPr="00A66C41">
        <w:rPr>
          <w:rFonts w:ascii="Times New Roman" w:hAnsi="Times New Roman" w:cs="Times New Roman"/>
        </w:rPr>
        <w:t xml:space="preserve">The AUC of lacosamide was increased by approximately 30% in mildly and moderately and 60% in severely renal impaired patients and patients with </w:t>
      </w:r>
      <w:r w:rsidR="00CB3655">
        <w:rPr>
          <w:rFonts w:ascii="Times New Roman" w:hAnsi="Times New Roman" w:cs="Times New Roman"/>
        </w:rPr>
        <w:t>end-stage</w:t>
      </w:r>
      <w:r w:rsidRPr="00A66C41">
        <w:rPr>
          <w:rFonts w:ascii="Times New Roman" w:hAnsi="Times New Roman" w:cs="Times New Roman"/>
        </w:rPr>
        <w:t xml:space="preserve"> renal disease requiring haemodialysis compared to healthy subjects, whereas </w:t>
      </w:r>
      <w:proofErr w:type="spellStart"/>
      <w:r w:rsidRPr="00A66C41">
        <w:rPr>
          <w:rFonts w:ascii="Times New Roman" w:hAnsi="Times New Roman" w:cs="Times New Roman"/>
        </w:rPr>
        <w:t>C</w:t>
      </w:r>
      <w:r w:rsidRPr="00A66C41">
        <w:rPr>
          <w:rFonts w:ascii="Times New Roman" w:hAnsi="Times New Roman" w:cs="Times New Roman"/>
          <w:vertAlign w:val="subscript"/>
        </w:rPr>
        <w:t>max</w:t>
      </w:r>
      <w:proofErr w:type="spellEnd"/>
      <w:r w:rsidRPr="00A66C41">
        <w:rPr>
          <w:rFonts w:ascii="Times New Roman" w:hAnsi="Times New Roman" w:cs="Times New Roman"/>
        </w:rPr>
        <w:t xml:space="preserve"> was unaffected.</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rPr>
        <w:lastRenderedPageBreak/>
        <w:t>Lacosamide is effectively removed from plasma by haemodialysis. Following a 4 hour haemodialysis treatment, AUC of lacosamide is reduced by approximately 50%. Therefore dosage supplementation following haemodialysis is recommended (see</w:t>
      </w:r>
      <w:r w:rsidR="00A9161C" w:rsidRPr="00A66C41">
        <w:rPr>
          <w:rFonts w:ascii="Times New Roman" w:hAnsi="Times New Roman" w:cs="Times New Roman"/>
        </w:rPr>
        <w:t xml:space="preserve"> Section 4.2 Dose and Method of Administration</w:t>
      </w:r>
      <w:r w:rsidRPr="00A66C41">
        <w:rPr>
          <w:rFonts w:ascii="Times New Roman" w:hAnsi="Times New Roman" w:cs="Times New Roman"/>
        </w:rPr>
        <w:t>). The exposure of the O-</w:t>
      </w:r>
      <w:proofErr w:type="spellStart"/>
      <w:r w:rsidRPr="00A66C41">
        <w:rPr>
          <w:rFonts w:ascii="Times New Roman" w:hAnsi="Times New Roman" w:cs="Times New Roman"/>
        </w:rPr>
        <w:t>desmethyl</w:t>
      </w:r>
      <w:proofErr w:type="spellEnd"/>
      <w:r w:rsidRPr="00A66C41">
        <w:rPr>
          <w:rFonts w:ascii="Times New Roman" w:hAnsi="Times New Roman" w:cs="Times New Roman"/>
        </w:rPr>
        <w:t xml:space="preserve"> metabolite was several-fold </w:t>
      </w:r>
      <w:proofErr w:type="spellStart"/>
      <w:r w:rsidRPr="00A66C41">
        <w:rPr>
          <w:rFonts w:ascii="Times New Roman" w:hAnsi="Times New Roman" w:cs="Times New Roman"/>
        </w:rPr>
        <w:t>increased</w:t>
      </w:r>
      <w:proofErr w:type="spellEnd"/>
      <w:r w:rsidRPr="00A66C41">
        <w:rPr>
          <w:rFonts w:ascii="Times New Roman" w:hAnsi="Times New Roman" w:cs="Times New Roman"/>
        </w:rPr>
        <w:t xml:space="preserve"> in patients with moderate and severe renal impairment. In absence of haemodialysis in patients with </w:t>
      </w:r>
      <w:r w:rsidR="00CB3655">
        <w:rPr>
          <w:rFonts w:ascii="Times New Roman" w:hAnsi="Times New Roman" w:cs="Times New Roman"/>
        </w:rPr>
        <w:t>end-stage</w:t>
      </w:r>
      <w:r w:rsidRPr="00A66C41">
        <w:rPr>
          <w:rFonts w:ascii="Times New Roman" w:hAnsi="Times New Roman" w:cs="Times New Roman"/>
        </w:rPr>
        <w:t xml:space="preserve"> renal disease, the levels were increased and continuously rising during the 24-hour sampling. It is unknown whether the increased metabolite exposure in </w:t>
      </w:r>
      <w:r w:rsidR="00CB3655">
        <w:rPr>
          <w:rFonts w:ascii="Times New Roman" w:hAnsi="Times New Roman" w:cs="Times New Roman"/>
        </w:rPr>
        <w:t>end-stage</w:t>
      </w:r>
      <w:r w:rsidRPr="00A66C41">
        <w:rPr>
          <w:rFonts w:ascii="Times New Roman" w:hAnsi="Times New Roman" w:cs="Times New Roman"/>
        </w:rPr>
        <w:t xml:space="preserve"> renal disease subjects could give rise to adverse effects but no pharmacological activity of the metabolite has been identified.</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b/>
          <w:i/>
          <w:iCs/>
        </w:rPr>
        <w:t>Hepatic impairment</w:t>
      </w:r>
      <w:r w:rsidR="00A76E2B" w:rsidRPr="00A66C41">
        <w:rPr>
          <w:rFonts w:ascii="Times New Roman" w:hAnsi="Times New Roman" w:cs="Times New Roman"/>
          <w:i/>
          <w:iCs/>
        </w:rPr>
        <w:br/>
      </w:r>
      <w:r w:rsidRPr="00A66C41">
        <w:rPr>
          <w:rFonts w:ascii="Times New Roman" w:hAnsi="Times New Roman" w:cs="Times New Roman"/>
        </w:rPr>
        <w:t xml:space="preserve">Subjects with moderate hepatic impairment (Child-Pugh B) showed higher plasma concentrations of lacosamide (approximately 50% higher </w:t>
      </w:r>
      <w:proofErr w:type="spellStart"/>
      <w:r w:rsidRPr="00A66C41">
        <w:rPr>
          <w:rFonts w:ascii="Times New Roman" w:hAnsi="Times New Roman" w:cs="Times New Roman"/>
        </w:rPr>
        <w:t>AUC</w:t>
      </w:r>
      <w:r w:rsidRPr="00A66C41">
        <w:rPr>
          <w:rFonts w:ascii="Times New Roman" w:hAnsi="Times New Roman" w:cs="Times New Roman"/>
          <w:vertAlign w:val="subscript"/>
        </w:rPr>
        <w:t>norm</w:t>
      </w:r>
      <w:proofErr w:type="spellEnd"/>
      <w:r w:rsidRPr="00A66C41">
        <w:rPr>
          <w:rFonts w:ascii="Times New Roman" w:hAnsi="Times New Roman" w:cs="Times New Roman"/>
        </w:rPr>
        <w:t>). The higher exposure was partly due to a reduced renal function in the studied subjects. The decrease in nonrenal clearance in the patients of the study was estimated to give a 20% increase in the AUC of lacosamide. The pharmacokinetics of lacosamide has not been evaluated in severe hepatic impairment (see</w:t>
      </w:r>
      <w:r w:rsidR="00A9161C" w:rsidRPr="00A66C41">
        <w:rPr>
          <w:rFonts w:ascii="Times New Roman" w:hAnsi="Times New Roman" w:cs="Times New Roman"/>
        </w:rPr>
        <w:t xml:space="preserve"> Section 4.2 Dose and Method of Administration</w:t>
      </w:r>
      <w:r w:rsidRPr="00A66C41">
        <w:rPr>
          <w:rFonts w:ascii="Times New Roman" w:hAnsi="Times New Roman" w:cs="Times New Roman"/>
        </w:rPr>
        <w:t>).</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b/>
          <w:i/>
          <w:iCs/>
        </w:rPr>
        <w:t>Elderly (over 65 years of age)</w:t>
      </w:r>
      <w:r w:rsidR="00A76E2B" w:rsidRPr="00A66C41">
        <w:rPr>
          <w:rFonts w:ascii="Times New Roman" w:hAnsi="Times New Roman" w:cs="Times New Roman"/>
          <w:i/>
          <w:iCs/>
        </w:rPr>
        <w:br/>
      </w:r>
      <w:r w:rsidRPr="00A66C41">
        <w:rPr>
          <w:rFonts w:ascii="Times New Roman" w:hAnsi="Times New Roman" w:cs="Times New Roman"/>
        </w:rPr>
        <w:t xml:space="preserve">In a study in elderly men and women including 4 patients &gt; 75 years of age, AUC was about 30 and 50% </w:t>
      </w:r>
      <w:proofErr w:type="spellStart"/>
      <w:r w:rsidRPr="00A66C41">
        <w:rPr>
          <w:rFonts w:ascii="Times New Roman" w:hAnsi="Times New Roman" w:cs="Times New Roman"/>
        </w:rPr>
        <w:t>increased</w:t>
      </w:r>
      <w:proofErr w:type="spellEnd"/>
      <w:r w:rsidRPr="00A66C41">
        <w:rPr>
          <w:rFonts w:ascii="Times New Roman" w:hAnsi="Times New Roman" w:cs="Times New Roman"/>
        </w:rPr>
        <w:t xml:space="preserve"> compared to young men, respectively. This is partly related to lower bodyweight. The bodyweight normalized difference is 26 and 23%, respectively. An increased variability in exposure was also observed. The renal clearance of lacosamide was only slightly reduced in elderly subjects in this study.</w:t>
      </w:r>
      <w:r w:rsidRPr="00A66C41">
        <w:rPr>
          <w:rFonts w:ascii="Times New Roman" w:hAnsi="Times New Roman" w:cs="Times New Roman"/>
        </w:rPr>
        <w:br/>
      </w:r>
      <w:r w:rsidRPr="00A66C41">
        <w:rPr>
          <w:rFonts w:ascii="Times New Roman" w:hAnsi="Times New Roman" w:cs="Times New Roman"/>
        </w:rPr>
        <w:br/>
        <w:t>A general dose reduction is not considered to be necessary unless indicated due to reduced renal function (see</w:t>
      </w:r>
      <w:r w:rsidR="00CA622F" w:rsidRPr="00A66C41">
        <w:rPr>
          <w:rFonts w:ascii="Times New Roman" w:hAnsi="Times New Roman" w:cs="Times New Roman"/>
        </w:rPr>
        <w:t xml:space="preserve"> Section 4.2 Dose and Method of Administration</w:t>
      </w:r>
      <w:r w:rsidRPr="00A66C41">
        <w:rPr>
          <w:rFonts w:ascii="Times New Roman" w:hAnsi="Times New Roman" w:cs="Times New Roman"/>
        </w:rPr>
        <w:t>).</w:t>
      </w:r>
    </w:p>
    <w:p w14:paraId="6ABB5C74" w14:textId="77777777" w:rsidR="00EE29E6" w:rsidRPr="00CE73A3" w:rsidRDefault="00EE29E6" w:rsidP="00EE29E6">
      <w:pPr>
        <w:spacing w:after="0"/>
        <w:rPr>
          <w:rFonts w:ascii="Times New Roman" w:hAnsi="Times New Roman" w:cs="Times New Roman"/>
          <w:b/>
          <w:i/>
          <w:iCs/>
        </w:rPr>
      </w:pPr>
      <w:bookmarkStart w:id="21" w:name="_Hlk514421678"/>
      <w:r w:rsidRPr="00CE73A3">
        <w:rPr>
          <w:rFonts w:ascii="Times New Roman" w:hAnsi="Times New Roman" w:cs="Times New Roman"/>
          <w:b/>
          <w:i/>
          <w:iCs/>
        </w:rPr>
        <w:t>Paediatric population</w:t>
      </w:r>
    </w:p>
    <w:p w14:paraId="30D6BCA9" w14:textId="77777777" w:rsidR="00EE29E6" w:rsidRPr="00CE73A3" w:rsidRDefault="00EE29E6" w:rsidP="00EE29E6">
      <w:pPr>
        <w:rPr>
          <w:rFonts w:ascii="Times New Roman" w:hAnsi="Times New Roman" w:cs="Times New Roman"/>
        </w:rPr>
      </w:pPr>
      <w:r w:rsidRPr="00CE73A3">
        <w:rPr>
          <w:rFonts w:ascii="Times New Roman" w:hAnsi="Times New Roman" w:cs="Times New Roman"/>
        </w:rPr>
        <w:t>The paediatric pharmacokinetic profile of lacosamide was determined in a population pharmacokinetic analysis using sparse plasma concentration data obtained in two open-label studies in 79 children with epilepsy</w:t>
      </w:r>
      <w:r w:rsidRPr="00B56C81">
        <w:rPr>
          <w:rFonts w:ascii="Times New Roman" w:hAnsi="Times New Roman" w:cs="Times New Roman"/>
        </w:rPr>
        <w:t>.</w:t>
      </w:r>
    </w:p>
    <w:p w14:paraId="3910762A" w14:textId="77777777" w:rsidR="00EE29E6" w:rsidRPr="00A66C41" w:rsidRDefault="00EE29E6" w:rsidP="00EE29E6">
      <w:pPr>
        <w:rPr>
          <w:rFonts w:ascii="Times New Roman" w:hAnsi="Times New Roman" w:cs="Times New Roman"/>
        </w:rPr>
      </w:pPr>
      <w:r w:rsidRPr="00CE73A3">
        <w:rPr>
          <w:rFonts w:ascii="Times New Roman" w:hAnsi="Times New Roman" w:cs="Times New Roman"/>
        </w:rPr>
        <w:t xml:space="preserve">The typical volume of distribution (V/F) was 0.72 L/kg. The typical plasma clearance (CL/F) at the mean population body weight of 28.9 kg was 0.79 ml/min/kg. Clearance was 1.13 ml/min/kg for 10 kg body weight and 0.59 ml/min/kg for 70 kg body weight. The typical plasma half-life (t1/2) in the absence of other effects was 7.4 h, 10.7 h, 12.7 h, and 14.2 </w:t>
      </w:r>
      <w:proofErr w:type="spellStart"/>
      <w:r w:rsidRPr="00CE73A3">
        <w:rPr>
          <w:rFonts w:ascii="Times New Roman" w:hAnsi="Times New Roman" w:cs="Times New Roman"/>
        </w:rPr>
        <w:t>h at</w:t>
      </w:r>
      <w:proofErr w:type="spellEnd"/>
      <w:r w:rsidRPr="00CE73A3">
        <w:rPr>
          <w:rFonts w:ascii="Times New Roman" w:hAnsi="Times New Roman" w:cs="Times New Roman"/>
        </w:rPr>
        <w:t xml:space="preserve"> body weights of 10, 30, 50 and 70 kg, respectively.</w:t>
      </w:r>
    </w:p>
    <w:bookmarkEnd w:id="21"/>
    <w:p w14:paraId="44B01A65" w14:textId="77777777" w:rsidR="00ED5EBF" w:rsidRPr="00A66C41" w:rsidRDefault="00175878" w:rsidP="00A76E2B">
      <w:pPr>
        <w:pStyle w:val="Heading2"/>
        <w:rPr>
          <w:rFonts w:ascii="Times New Roman" w:hAnsi="Times New Roman" w:cs="Times New Roman"/>
          <w:lang w:val="en-US"/>
        </w:rPr>
      </w:pPr>
      <w:r w:rsidRPr="00A66C41">
        <w:rPr>
          <w:rFonts w:ascii="Times New Roman" w:hAnsi="Times New Roman" w:cs="Times New Roman"/>
          <w:lang w:val="en-US"/>
        </w:rPr>
        <w:t>Preclinical safety data</w:t>
      </w:r>
    </w:p>
    <w:p w14:paraId="44B01A66"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Genotoxicity</w:t>
      </w:r>
    </w:p>
    <w:p w14:paraId="44B01A67" w14:textId="77777777" w:rsidR="00ED5EBF" w:rsidRPr="00A66C41" w:rsidRDefault="00175878" w:rsidP="00A76E2B">
      <w:pPr>
        <w:rPr>
          <w:rFonts w:ascii="Times New Roman" w:hAnsi="Times New Roman" w:cs="Times New Roman"/>
        </w:rPr>
      </w:pPr>
      <w:r w:rsidRPr="00A66C41">
        <w:rPr>
          <w:rFonts w:ascii="Times New Roman" w:hAnsi="Times New Roman" w:cs="Times New Roman"/>
        </w:rPr>
        <w:t xml:space="preserve">Lacosamide was inactive in an </w:t>
      </w:r>
      <w:r w:rsidRPr="00A66C41">
        <w:rPr>
          <w:rFonts w:ascii="Times New Roman" w:hAnsi="Times New Roman" w:cs="Times New Roman"/>
          <w:i/>
          <w:iCs/>
        </w:rPr>
        <w:t>in vitro</w:t>
      </w:r>
      <w:r w:rsidRPr="00A66C41">
        <w:rPr>
          <w:rFonts w:ascii="Times New Roman" w:hAnsi="Times New Roman" w:cs="Times New Roman"/>
        </w:rPr>
        <w:t xml:space="preserve"> mouse L5178Y lymphoma assay (</w:t>
      </w:r>
      <w:proofErr w:type="spellStart"/>
      <w:r w:rsidRPr="00A66C41">
        <w:rPr>
          <w:rFonts w:ascii="Times New Roman" w:hAnsi="Times New Roman" w:cs="Times New Roman"/>
        </w:rPr>
        <w:t>tk</w:t>
      </w:r>
      <w:proofErr w:type="spellEnd"/>
      <w:r w:rsidRPr="00A66C41">
        <w:rPr>
          <w:rFonts w:ascii="Times New Roman" w:hAnsi="Times New Roman" w:cs="Times New Roman"/>
        </w:rPr>
        <w:t xml:space="preserve"> locus) with positive or equivocal response only at excessive concentrations of 3 mg/mL (12 </w:t>
      </w:r>
      <w:proofErr w:type="spellStart"/>
      <w:r w:rsidRPr="00A66C41">
        <w:rPr>
          <w:rFonts w:ascii="Times New Roman" w:hAnsi="Times New Roman" w:cs="Times New Roman"/>
        </w:rPr>
        <w:t>mM</w:t>
      </w:r>
      <w:proofErr w:type="spellEnd"/>
      <w:r w:rsidRPr="00A66C41">
        <w:rPr>
          <w:rFonts w:ascii="Times New Roman" w:hAnsi="Times New Roman" w:cs="Times New Roman"/>
        </w:rPr>
        <w:t xml:space="preserve">) and above. No genotoxicity was observed in tests for bacterial gene mutation </w:t>
      </w:r>
      <w:r w:rsidRPr="00A66C41">
        <w:rPr>
          <w:rFonts w:ascii="Times New Roman" w:hAnsi="Times New Roman" w:cs="Times New Roman"/>
          <w:i/>
          <w:iCs/>
        </w:rPr>
        <w:t>in vitro</w:t>
      </w:r>
      <w:r w:rsidRPr="00A66C41">
        <w:rPr>
          <w:rFonts w:ascii="Times New Roman" w:hAnsi="Times New Roman" w:cs="Times New Roman"/>
        </w:rPr>
        <w:t xml:space="preserve"> and unscheduled DNA synthesis in rat hepatocytes </w:t>
      </w:r>
      <w:r w:rsidRPr="00A66C41">
        <w:rPr>
          <w:rFonts w:ascii="Times New Roman" w:hAnsi="Times New Roman" w:cs="Times New Roman"/>
          <w:i/>
          <w:iCs/>
        </w:rPr>
        <w:t>ex vivo,</w:t>
      </w:r>
      <w:r w:rsidRPr="00A66C41">
        <w:rPr>
          <w:rFonts w:ascii="Times New Roman" w:hAnsi="Times New Roman" w:cs="Times New Roman"/>
        </w:rPr>
        <w:t xml:space="preserve"> or in an </w:t>
      </w:r>
      <w:r w:rsidRPr="00A66C41">
        <w:rPr>
          <w:rFonts w:ascii="Times New Roman" w:hAnsi="Times New Roman" w:cs="Times New Roman"/>
          <w:i/>
          <w:iCs/>
        </w:rPr>
        <w:t>in vivo</w:t>
      </w:r>
      <w:r w:rsidRPr="00A66C41">
        <w:rPr>
          <w:rFonts w:ascii="Times New Roman" w:hAnsi="Times New Roman" w:cs="Times New Roman"/>
        </w:rPr>
        <w:t xml:space="preserve"> mouse micronucleus test for </w:t>
      </w:r>
      <w:proofErr w:type="spellStart"/>
      <w:r w:rsidRPr="00A66C41">
        <w:rPr>
          <w:rFonts w:ascii="Times New Roman" w:hAnsi="Times New Roman" w:cs="Times New Roman"/>
        </w:rPr>
        <w:t>clastogenicity</w:t>
      </w:r>
      <w:proofErr w:type="spellEnd"/>
      <w:r w:rsidRPr="00A66C41">
        <w:rPr>
          <w:rFonts w:ascii="Times New Roman" w:hAnsi="Times New Roman" w:cs="Times New Roman"/>
        </w:rPr>
        <w:t>.</w:t>
      </w:r>
    </w:p>
    <w:p w14:paraId="44B01A68" w14:textId="77777777" w:rsidR="00471703" w:rsidRPr="00A66C41" w:rsidRDefault="00471703" w:rsidP="00471703">
      <w:pPr>
        <w:pStyle w:val="Heading3"/>
        <w:rPr>
          <w:rFonts w:ascii="Times New Roman" w:hAnsi="Times New Roman" w:cs="Times New Roman"/>
        </w:rPr>
      </w:pPr>
      <w:r w:rsidRPr="00A66C41">
        <w:rPr>
          <w:rFonts w:ascii="Times New Roman" w:hAnsi="Times New Roman" w:cs="Times New Roman"/>
        </w:rPr>
        <w:lastRenderedPageBreak/>
        <w:t>Carcinogenicity</w:t>
      </w:r>
    </w:p>
    <w:p w14:paraId="44B01A69" w14:textId="77777777" w:rsidR="00471703" w:rsidRPr="00A66C41" w:rsidRDefault="00471703" w:rsidP="00A76E2B">
      <w:pPr>
        <w:rPr>
          <w:rFonts w:ascii="Times New Roman" w:hAnsi="Times New Roman" w:cs="Times New Roman"/>
        </w:rPr>
      </w:pPr>
      <w:r w:rsidRPr="00A66C41">
        <w:rPr>
          <w:rFonts w:ascii="Times New Roman" w:hAnsi="Times New Roman" w:cs="Times New Roman"/>
        </w:rPr>
        <w:t xml:space="preserve">Lacosamide did not show any </w:t>
      </w:r>
      <w:proofErr w:type="spellStart"/>
      <w:r w:rsidRPr="00A66C41">
        <w:rPr>
          <w:rFonts w:ascii="Times New Roman" w:hAnsi="Times New Roman" w:cs="Times New Roman"/>
        </w:rPr>
        <w:t>tumourigenic</w:t>
      </w:r>
      <w:proofErr w:type="spellEnd"/>
      <w:r w:rsidRPr="00A66C41">
        <w:rPr>
          <w:rFonts w:ascii="Times New Roman" w:hAnsi="Times New Roman" w:cs="Times New Roman"/>
        </w:rPr>
        <w:t xml:space="preserve"> responses in long-term carcinogenicity studies in mice and rats. The highest oral doses used resulted in systemic drug exposures (based on plasma AUC</w:t>
      </w:r>
      <w:r w:rsidRPr="00A66C41">
        <w:rPr>
          <w:rFonts w:ascii="Times New Roman" w:hAnsi="Times New Roman" w:cs="Times New Roman"/>
          <w:vertAlign w:val="subscript"/>
        </w:rPr>
        <w:t>0-24h</w:t>
      </w:r>
      <w:r w:rsidRPr="00A66C41">
        <w:rPr>
          <w:rFonts w:ascii="Times New Roman" w:hAnsi="Times New Roman" w:cs="Times New Roman"/>
        </w:rPr>
        <w:t>) that were similar to (mice) or about three times (rats) that in humans treated with the maximum recommended dose.</w:t>
      </w:r>
    </w:p>
    <w:p w14:paraId="44B01A6A" w14:textId="77777777" w:rsidR="00ED5EBF" w:rsidRPr="00A66C41" w:rsidRDefault="00175878" w:rsidP="00A76E2B">
      <w:pPr>
        <w:pStyle w:val="Heading1"/>
        <w:rPr>
          <w:rFonts w:ascii="Times New Roman" w:hAnsi="Times New Roman" w:cs="Times New Roman"/>
          <w:lang w:val="en-US"/>
        </w:rPr>
      </w:pPr>
      <w:r w:rsidRPr="00A66C41">
        <w:rPr>
          <w:rFonts w:ascii="Times New Roman" w:hAnsi="Times New Roman" w:cs="Times New Roman"/>
          <w:lang w:val="en-US"/>
        </w:rPr>
        <w:t>Pharmaceutical particulars</w:t>
      </w:r>
    </w:p>
    <w:p w14:paraId="44B01A6B" w14:textId="77777777" w:rsidR="00ED5EBF" w:rsidRPr="00A66C41" w:rsidRDefault="00175878" w:rsidP="00A76E2B">
      <w:pPr>
        <w:pStyle w:val="Heading2"/>
        <w:rPr>
          <w:rFonts w:ascii="Times New Roman" w:hAnsi="Times New Roman" w:cs="Times New Roman"/>
          <w:lang w:val="en-US"/>
        </w:rPr>
      </w:pPr>
      <w:r w:rsidRPr="00A66C41">
        <w:rPr>
          <w:rFonts w:ascii="Times New Roman" w:hAnsi="Times New Roman" w:cs="Times New Roman"/>
          <w:lang w:val="en-US"/>
        </w:rPr>
        <w:t xml:space="preserve">List of excipients </w:t>
      </w:r>
    </w:p>
    <w:p w14:paraId="44B01A6C" w14:textId="6531EEBD" w:rsidR="00ED5EBF" w:rsidRDefault="00175878" w:rsidP="00A76E2B">
      <w:pPr>
        <w:rPr>
          <w:rFonts w:ascii="Times New Roman" w:hAnsi="Times New Roman" w:cs="Times New Roman"/>
        </w:rPr>
      </w:pPr>
      <w:r w:rsidRPr="00A66C41">
        <w:rPr>
          <w:rFonts w:ascii="Times New Roman" w:hAnsi="Times New Roman" w:cs="Times New Roman"/>
        </w:rPr>
        <w:t xml:space="preserve">Vimpat film-coated tablets contain the following inactive ingredients: colloidal anhydrous silica, </w:t>
      </w:r>
      <w:proofErr w:type="spellStart"/>
      <w:r w:rsidRPr="00A66C41">
        <w:rPr>
          <w:rFonts w:ascii="Times New Roman" w:hAnsi="Times New Roman" w:cs="Times New Roman"/>
        </w:rPr>
        <w:t>crospovidone</w:t>
      </w:r>
      <w:proofErr w:type="spellEnd"/>
      <w:r w:rsidRPr="00A66C41">
        <w:rPr>
          <w:rFonts w:ascii="Times New Roman" w:hAnsi="Times New Roman" w:cs="Times New Roman"/>
        </w:rPr>
        <w:t xml:space="preserve">, </w:t>
      </w:r>
      <w:proofErr w:type="spellStart"/>
      <w:r w:rsidR="00007EC1" w:rsidRPr="005D7B59">
        <w:rPr>
          <w:rFonts w:ascii="Times New Roman" w:hAnsi="Times New Roman" w:cs="Times New Roman"/>
        </w:rPr>
        <w:t>hy</w:t>
      </w:r>
      <w:r w:rsidR="00007EC1">
        <w:rPr>
          <w:rFonts w:ascii="Times New Roman" w:hAnsi="Times New Roman" w:cs="Times New Roman"/>
        </w:rPr>
        <w:t>pro</w:t>
      </w:r>
      <w:r w:rsidR="00007EC1" w:rsidRPr="005D7B59">
        <w:rPr>
          <w:rFonts w:ascii="Times New Roman" w:hAnsi="Times New Roman" w:cs="Times New Roman"/>
        </w:rPr>
        <w:t>lose</w:t>
      </w:r>
      <w:proofErr w:type="spellEnd"/>
      <w:r w:rsidRPr="00A66C41">
        <w:rPr>
          <w:rFonts w:ascii="Times New Roman" w:hAnsi="Times New Roman" w:cs="Times New Roman"/>
        </w:rPr>
        <w:t>, magnesium stearate, macrogol 3350, microcrystalline cellulose, polyvinyl alcohol, purified talc, titanium dioxide and dye pigments as specified below:</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iCs/>
        </w:rPr>
        <w:t>50 mg tablets</w:t>
      </w:r>
      <w:r w:rsidR="00B215EB" w:rsidRPr="00A66C41">
        <w:rPr>
          <w:rFonts w:ascii="Times New Roman" w:hAnsi="Times New Roman" w:cs="Times New Roman"/>
          <w:iCs/>
        </w:rPr>
        <w:t>:</w:t>
      </w:r>
      <w:r w:rsidRPr="00A66C41">
        <w:rPr>
          <w:rFonts w:ascii="Times New Roman" w:hAnsi="Times New Roman" w:cs="Times New Roman"/>
        </w:rPr>
        <w:t xml:space="preserve"> Iron oxide red C177491, iron oxide black C177499, indigo carmine C173015.</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iCs/>
        </w:rPr>
        <w:t>100 mg tablets</w:t>
      </w:r>
      <w:r w:rsidR="00B215EB" w:rsidRPr="00A66C41">
        <w:rPr>
          <w:rFonts w:ascii="Times New Roman" w:hAnsi="Times New Roman" w:cs="Times New Roman"/>
          <w:iCs/>
        </w:rPr>
        <w:t>:</w:t>
      </w:r>
      <w:r w:rsidRPr="00A66C41">
        <w:rPr>
          <w:rFonts w:ascii="Times New Roman" w:hAnsi="Times New Roman" w:cs="Times New Roman"/>
        </w:rPr>
        <w:t xml:space="preserve"> Iron oxide yellow C177492.</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iCs/>
        </w:rPr>
        <w:t>150 mg tablets</w:t>
      </w:r>
      <w:r w:rsidR="00B215EB" w:rsidRPr="00A66C41">
        <w:rPr>
          <w:rFonts w:ascii="Times New Roman" w:hAnsi="Times New Roman" w:cs="Times New Roman"/>
          <w:iCs/>
        </w:rPr>
        <w:t>:</w:t>
      </w:r>
      <w:r w:rsidRPr="00A66C41">
        <w:rPr>
          <w:rFonts w:ascii="Times New Roman" w:hAnsi="Times New Roman" w:cs="Times New Roman"/>
        </w:rPr>
        <w:t xml:space="preserve"> Iron oxide yellow C177492, iron oxide red C177491, iron oxide black C177499.</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iCs/>
        </w:rPr>
        <w:t>200 mg tablets</w:t>
      </w:r>
      <w:r w:rsidR="00B215EB" w:rsidRPr="00A66C41">
        <w:rPr>
          <w:rFonts w:ascii="Times New Roman" w:hAnsi="Times New Roman" w:cs="Times New Roman"/>
          <w:iCs/>
        </w:rPr>
        <w:t>:</w:t>
      </w:r>
      <w:r w:rsidRPr="00A66C41">
        <w:rPr>
          <w:rFonts w:ascii="Times New Roman" w:hAnsi="Times New Roman" w:cs="Times New Roman"/>
        </w:rPr>
        <w:t xml:space="preserve"> Indigo carmine C173015.</w:t>
      </w:r>
    </w:p>
    <w:p w14:paraId="16478C7A" w14:textId="77777777" w:rsidR="00EE29E6" w:rsidRPr="00A66C41" w:rsidRDefault="00EE29E6" w:rsidP="00EE29E6">
      <w:pPr>
        <w:rPr>
          <w:rFonts w:ascii="Times New Roman" w:hAnsi="Times New Roman" w:cs="Times New Roman"/>
        </w:rPr>
      </w:pPr>
      <w:r>
        <w:rPr>
          <w:rFonts w:ascii="Times New Roman" w:hAnsi="Times New Roman" w:cs="Times New Roman"/>
        </w:rPr>
        <w:t xml:space="preserve">Vimpat oral solution contains the following </w:t>
      </w:r>
      <w:r w:rsidRPr="00022410">
        <w:rPr>
          <w:rFonts w:ascii="Times New Roman" w:hAnsi="Times New Roman" w:cs="Times New Roman"/>
        </w:rPr>
        <w:t xml:space="preserve">inactive ingredients: glycerol, </w:t>
      </w:r>
      <w:proofErr w:type="spellStart"/>
      <w:r w:rsidRPr="00022410">
        <w:rPr>
          <w:rFonts w:ascii="Times New Roman" w:hAnsi="Times New Roman" w:cs="Times New Roman"/>
        </w:rPr>
        <w:t>carmellose</w:t>
      </w:r>
      <w:proofErr w:type="spellEnd"/>
      <w:r w:rsidRPr="00022410">
        <w:rPr>
          <w:rFonts w:ascii="Times New Roman" w:hAnsi="Times New Roman" w:cs="Times New Roman"/>
        </w:rPr>
        <w:t xml:space="preserve"> sodium, sorbitol solution (70 per cent) (crystallising), macrogol 4000, sodium chloride, citric acid, </w:t>
      </w:r>
      <w:proofErr w:type="spellStart"/>
      <w:r w:rsidRPr="00022410">
        <w:rPr>
          <w:rFonts w:ascii="Times New Roman" w:hAnsi="Times New Roman" w:cs="Times New Roman"/>
        </w:rPr>
        <w:t>acesulfame</w:t>
      </w:r>
      <w:proofErr w:type="spellEnd"/>
      <w:r w:rsidRPr="00022410">
        <w:rPr>
          <w:rFonts w:ascii="Times New Roman" w:hAnsi="Times New Roman" w:cs="Times New Roman"/>
        </w:rPr>
        <w:t xml:space="preserve"> potassium, sodium methyl </w:t>
      </w:r>
      <w:proofErr w:type="spellStart"/>
      <w:r w:rsidRPr="00022410">
        <w:rPr>
          <w:rFonts w:ascii="Times New Roman" w:hAnsi="Times New Roman" w:cs="Times New Roman"/>
        </w:rPr>
        <w:t>hydroxybenzoate</w:t>
      </w:r>
      <w:proofErr w:type="spellEnd"/>
      <w:r w:rsidRPr="00022410">
        <w:rPr>
          <w:rFonts w:ascii="Times New Roman" w:hAnsi="Times New Roman" w:cs="Times New Roman"/>
        </w:rPr>
        <w:t xml:space="preserve">, Strawberry </w:t>
      </w:r>
      <w:proofErr w:type="spellStart"/>
      <w:r w:rsidRPr="00022410">
        <w:rPr>
          <w:rFonts w:ascii="Times New Roman" w:hAnsi="Times New Roman" w:cs="Times New Roman"/>
        </w:rPr>
        <w:t>flavor</w:t>
      </w:r>
      <w:proofErr w:type="spellEnd"/>
      <w:r w:rsidRPr="00022410">
        <w:rPr>
          <w:rFonts w:ascii="Times New Roman" w:hAnsi="Times New Roman" w:cs="Times New Roman"/>
        </w:rPr>
        <w:t xml:space="preserve"> 501440 T</w:t>
      </w:r>
      <w:r>
        <w:rPr>
          <w:rFonts w:ascii="Times New Roman" w:hAnsi="Times New Roman" w:cs="Times New Roman"/>
        </w:rPr>
        <w:t xml:space="preserve"> (PI#11565)</w:t>
      </w:r>
      <w:r w:rsidRPr="00022410">
        <w:rPr>
          <w:rFonts w:ascii="Times New Roman" w:hAnsi="Times New Roman" w:cs="Times New Roman"/>
        </w:rPr>
        <w:t xml:space="preserve">, Masking </w:t>
      </w:r>
      <w:proofErr w:type="spellStart"/>
      <w:r w:rsidRPr="00022410">
        <w:rPr>
          <w:rFonts w:ascii="Times New Roman" w:hAnsi="Times New Roman" w:cs="Times New Roman"/>
        </w:rPr>
        <w:t>flavor</w:t>
      </w:r>
      <w:proofErr w:type="spellEnd"/>
      <w:r w:rsidRPr="00022410">
        <w:rPr>
          <w:rFonts w:ascii="Times New Roman" w:hAnsi="Times New Roman" w:cs="Times New Roman"/>
        </w:rPr>
        <w:t xml:space="preserve"> 501521 T</w:t>
      </w:r>
      <w:r>
        <w:rPr>
          <w:rFonts w:ascii="Times New Roman" w:hAnsi="Times New Roman" w:cs="Times New Roman"/>
        </w:rPr>
        <w:t xml:space="preserve"> (PI# 12943) and purified water</w:t>
      </w:r>
      <w:r w:rsidRPr="00022410">
        <w:rPr>
          <w:rFonts w:ascii="Times New Roman" w:hAnsi="Times New Roman" w:cs="Times New Roman"/>
        </w:rPr>
        <w:t>.</w:t>
      </w:r>
    </w:p>
    <w:p w14:paraId="44B01A6D" w14:textId="77777777" w:rsidR="00ED5EBF" w:rsidRPr="00A66C41" w:rsidRDefault="00175878" w:rsidP="00104CC1">
      <w:pPr>
        <w:pStyle w:val="Heading2"/>
        <w:rPr>
          <w:rFonts w:ascii="Times New Roman" w:hAnsi="Times New Roman" w:cs="Times New Roman"/>
        </w:rPr>
      </w:pPr>
      <w:r w:rsidRPr="00A66C41">
        <w:rPr>
          <w:rFonts w:ascii="Times New Roman" w:hAnsi="Times New Roman" w:cs="Times New Roman"/>
          <w:lang w:val="en-US"/>
        </w:rPr>
        <w:t xml:space="preserve">Incompatibilities </w:t>
      </w:r>
    </w:p>
    <w:p w14:paraId="44B01A6E" w14:textId="77777777" w:rsidR="00104CC1" w:rsidRPr="00A66C41" w:rsidRDefault="00104CC1" w:rsidP="00690CF0">
      <w:pPr>
        <w:rPr>
          <w:rFonts w:ascii="Times New Roman" w:hAnsi="Times New Roman" w:cs="Times New Roman"/>
        </w:rPr>
      </w:pPr>
      <w:r w:rsidRPr="00A66C41">
        <w:rPr>
          <w:rFonts w:ascii="Times New Roman" w:hAnsi="Times New Roman" w:cs="Times New Roman"/>
        </w:rPr>
        <w:t>Incompatibilities were either not assessed or not identified as part of the registration of this medicine.</w:t>
      </w:r>
    </w:p>
    <w:p w14:paraId="44B01A6F" w14:textId="77777777" w:rsidR="00ED5EBF" w:rsidRPr="00A66C41" w:rsidRDefault="00175878" w:rsidP="00A76E2B">
      <w:pPr>
        <w:pStyle w:val="Heading2"/>
        <w:rPr>
          <w:rFonts w:ascii="Times New Roman" w:hAnsi="Times New Roman" w:cs="Times New Roman"/>
          <w:lang w:val="en-US"/>
        </w:rPr>
      </w:pPr>
      <w:r w:rsidRPr="00A66C41">
        <w:rPr>
          <w:rFonts w:ascii="Times New Roman" w:hAnsi="Times New Roman" w:cs="Times New Roman"/>
          <w:lang w:val="en-US"/>
        </w:rPr>
        <w:t xml:space="preserve">Shelf life </w:t>
      </w:r>
    </w:p>
    <w:p w14:paraId="234DAE43" w14:textId="77777777" w:rsidR="00EE29E6" w:rsidRDefault="00EE29E6" w:rsidP="00EE29E6">
      <w:pPr>
        <w:rPr>
          <w:rFonts w:ascii="Times New Roman" w:hAnsi="Times New Roman" w:cs="Times New Roman"/>
        </w:rPr>
      </w:pPr>
      <w:r>
        <w:rPr>
          <w:rFonts w:ascii="Times New Roman" w:hAnsi="Times New Roman" w:cs="Times New Roman"/>
        </w:rPr>
        <w:t>Vimpat film-coated tablets: 4 years.</w:t>
      </w:r>
    </w:p>
    <w:p w14:paraId="762314A2" w14:textId="77777777" w:rsidR="00EE29E6" w:rsidRPr="00A66C41" w:rsidRDefault="00EE29E6" w:rsidP="00EE29E6">
      <w:pPr>
        <w:rPr>
          <w:rFonts w:ascii="Times New Roman" w:hAnsi="Times New Roman" w:cs="Times New Roman"/>
        </w:rPr>
      </w:pPr>
      <w:r w:rsidRPr="0065541C">
        <w:rPr>
          <w:rFonts w:ascii="Times New Roman" w:hAnsi="Times New Roman" w:cs="Times New Roman"/>
        </w:rPr>
        <w:t>Vimpat oral solution</w:t>
      </w:r>
      <w:r>
        <w:rPr>
          <w:rFonts w:ascii="Times New Roman" w:hAnsi="Times New Roman" w:cs="Times New Roman"/>
        </w:rPr>
        <w:t>: 3 years. Once open, discard within 2 months.</w:t>
      </w:r>
    </w:p>
    <w:p w14:paraId="44B01A71" w14:textId="77777777" w:rsidR="00ED5EBF" w:rsidRPr="00A66C41" w:rsidRDefault="00175878" w:rsidP="00A76E2B">
      <w:pPr>
        <w:pStyle w:val="Heading2"/>
        <w:rPr>
          <w:rFonts w:ascii="Times New Roman" w:hAnsi="Times New Roman" w:cs="Times New Roman"/>
          <w:lang w:val="en-US"/>
        </w:rPr>
      </w:pPr>
      <w:r w:rsidRPr="00A66C41">
        <w:rPr>
          <w:rFonts w:ascii="Times New Roman" w:hAnsi="Times New Roman" w:cs="Times New Roman"/>
          <w:lang w:val="en-US"/>
        </w:rPr>
        <w:t xml:space="preserve">Special precautions for storage </w:t>
      </w:r>
    </w:p>
    <w:p w14:paraId="44B01A72" w14:textId="79589E50" w:rsidR="00ED5EBF" w:rsidRDefault="00175878" w:rsidP="00A76E2B">
      <w:pPr>
        <w:rPr>
          <w:rFonts w:ascii="Times New Roman" w:hAnsi="Times New Roman" w:cs="Times New Roman"/>
        </w:rPr>
      </w:pPr>
      <w:r w:rsidRPr="00A66C41">
        <w:rPr>
          <w:rFonts w:ascii="Times New Roman" w:hAnsi="Times New Roman" w:cs="Times New Roman"/>
        </w:rPr>
        <w:t>Store Vimpat film</w:t>
      </w:r>
      <w:r w:rsidR="00BE7565" w:rsidRPr="00A66C41">
        <w:rPr>
          <w:rFonts w:ascii="Times New Roman" w:hAnsi="Times New Roman" w:cs="Times New Roman"/>
        </w:rPr>
        <w:t>-</w:t>
      </w:r>
      <w:r w:rsidRPr="00A66C41">
        <w:rPr>
          <w:rFonts w:ascii="Times New Roman" w:hAnsi="Times New Roman" w:cs="Times New Roman"/>
        </w:rPr>
        <w:t>coated tablets below 30°C.</w:t>
      </w:r>
    </w:p>
    <w:p w14:paraId="57BE51F5" w14:textId="4D42F1D2" w:rsidR="00EE29E6" w:rsidRPr="00A66C41" w:rsidRDefault="00EE29E6" w:rsidP="00A76E2B">
      <w:pPr>
        <w:rPr>
          <w:rFonts w:ascii="Times New Roman" w:hAnsi="Times New Roman" w:cs="Times New Roman"/>
        </w:rPr>
      </w:pPr>
      <w:r w:rsidRPr="00A66C41">
        <w:rPr>
          <w:rFonts w:ascii="Times New Roman" w:hAnsi="Times New Roman" w:cs="Times New Roman"/>
        </w:rPr>
        <w:t xml:space="preserve">Store Vimpat </w:t>
      </w:r>
      <w:r>
        <w:rPr>
          <w:rFonts w:ascii="Times New Roman" w:hAnsi="Times New Roman" w:cs="Times New Roman"/>
        </w:rPr>
        <w:t xml:space="preserve">oral solution </w:t>
      </w:r>
      <w:r w:rsidRPr="00A66C41">
        <w:rPr>
          <w:rFonts w:ascii="Times New Roman" w:hAnsi="Times New Roman" w:cs="Times New Roman"/>
        </w:rPr>
        <w:t>below 30°C.</w:t>
      </w:r>
      <w:r>
        <w:rPr>
          <w:rFonts w:ascii="Times New Roman" w:hAnsi="Times New Roman" w:cs="Times New Roman"/>
        </w:rPr>
        <w:t xml:space="preserve"> Do not refrigerate, Do not freeze.</w:t>
      </w:r>
    </w:p>
    <w:p w14:paraId="44B01A73" w14:textId="77777777" w:rsidR="00ED5EBF" w:rsidRPr="00A66C41" w:rsidRDefault="00175878" w:rsidP="00A76E2B">
      <w:pPr>
        <w:pStyle w:val="Heading2"/>
        <w:rPr>
          <w:rFonts w:ascii="Times New Roman" w:hAnsi="Times New Roman" w:cs="Times New Roman"/>
          <w:lang w:val="en-US"/>
        </w:rPr>
      </w:pPr>
      <w:r w:rsidRPr="00A66C41">
        <w:rPr>
          <w:rFonts w:ascii="Times New Roman" w:hAnsi="Times New Roman" w:cs="Times New Roman"/>
          <w:lang w:val="en-US"/>
        </w:rPr>
        <w:t xml:space="preserve">Nature and contents of container </w:t>
      </w:r>
    </w:p>
    <w:p w14:paraId="2AA1F010" w14:textId="77777777" w:rsidR="00EE29E6" w:rsidRDefault="00EE29E6" w:rsidP="00EE29E6">
      <w:pPr>
        <w:rPr>
          <w:rFonts w:ascii="Times New Roman" w:hAnsi="Times New Roman" w:cs="Times New Roman"/>
          <w:iCs/>
        </w:rPr>
      </w:pPr>
      <w:r>
        <w:rPr>
          <w:rFonts w:ascii="Times New Roman" w:hAnsi="Times New Roman" w:cs="Times New Roman"/>
          <w:iCs/>
        </w:rPr>
        <w:t xml:space="preserve">Vimpat film-coated tablets are blister packed and available in strengths of 50 mg, 100 mg, 150 mg, and 200 mg </w:t>
      </w:r>
      <w:proofErr w:type="spellStart"/>
      <w:r>
        <w:rPr>
          <w:rFonts w:ascii="Times New Roman" w:hAnsi="Times New Roman" w:cs="Times New Roman"/>
          <w:iCs/>
        </w:rPr>
        <w:t>lacosamde</w:t>
      </w:r>
      <w:proofErr w:type="spellEnd"/>
      <w:r>
        <w:rPr>
          <w:rFonts w:ascii="Times New Roman" w:hAnsi="Times New Roman" w:cs="Times New Roman"/>
          <w:iCs/>
        </w:rPr>
        <w:t>.</w:t>
      </w:r>
    </w:p>
    <w:p w14:paraId="44B01A74" w14:textId="35272A1B" w:rsidR="00ED5EBF" w:rsidRDefault="00175878" w:rsidP="00A76E2B">
      <w:pPr>
        <w:rPr>
          <w:rFonts w:ascii="Times New Roman" w:hAnsi="Times New Roman" w:cs="Times New Roman"/>
          <w:i/>
        </w:rPr>
      </w:pPr>
      <w:r w:rsidRPr="00A66C41">
        <w:rPr>
          <w:rFonts w:ascii="Times New Roman" w:hAnsi="Times New Roman" w:cs="Times New Roman"/>
          <w:iCs/>
        </w:rPr>
        <w:t>50 mg</w:t>
      </w:r>
      <w:r w:rsidR="00BE7565" w:rsidRPr="00A66C41">
        <w:rPr>
          <w:rFonts w:ascii="Times New Roman" w:hAnsi="Times New Roman" w:cs="Times New Roman"/>
          <w:iCs/>
        </w:rPr>
        <w:t>:</w:t>
      </w:r>
      <w:r w:rsidRPr="00A66C41">
        <w:rPr>
          <w:rFonts w:ascii="Times New Roman" w:hAnsi="Times New Roman" w:cs="Times New Roman"/>
        </w:rPr>
        <w:t xml:space="preserve"> Available in blister packs containing 14, 56* and 168* tablets.</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iCs/>
        </w:rPr>
        <w:t>100 mg</w:t>
      </w:r>
      <w:r w:rsidR="00BE7565" w:rsidRPr="00A66C41">
        <w:rPr>
          <w:rFonts w:ascii="Times New Roman" w:hAnsi="Times New Roman" w:cs="Times New Roman"/>
          <w:iCs/>
        </w:rPr>
        <w:t>:</w:t>
      </w:r>
      <w:r w:rsidRPr="00A66C41">
        <w:rPr>
          <w:rFonts w:ascii="Times New Roman" w:hAnsi="Times New Roman" w:cs="Times New Roman"/>
        </w:rPr>
        <w:t xml:space="preserve"> Available in blister packs containing 14, 56 and 168* tablets.</w:t>
      </w:r>
      <w:r w:rsidRPr="00A66C41">
        <w:rPr>
          <w:rFonts w:ascii="Times New Roman" w:hAnsi="Times New Roman" w:cs="Times New Roman"/>
        </w:rPr>
        <w:br/>
      </w:r>
      <w:r w:rsidRPr="00A66C41">
        <w:rPr>
          <w:rFonts w:ascii="Times New Roman" w:hAnsi="Times New Roman" w:cs="Times New Roman"/>
        </w:rPr>
        <w:lastRenderedPageBreak/>
        <w:br/>
      </w:r>
      <w:r w:rsidRPr="00A66C41">
        <w:rPr>
          <w:rFonts w:ascii="Times New Roman" w:hAnsi="Times New Roman" w:cs="Times New Roman"/>
          <w:iCs/>
        </w:rPr>
        <w:t>150 mg</w:t>
      </w:r>
      <w:r w:rsidR="00BE7565" w:rsidRPr="00A66C41">
        <w:rPr>
          <w:rFonts w:ascii="Times New Roman" w:hAnsi="Times New Roman" w:cs="Times New Roman"/>
          <w:iCs/>
        </w:rPr>
        <w:t>:</w:t>
      </w:r>
      <w:r w:rsidRPr="00A66C41">
        <w:rPr>
          <w:rFonts w:ascii="Times New Roman" w:hAnsi="Times New Roman" w:cs="Times New Roman"/>
        </w:rPr>
        <w:t xml:space="preserve"> Available in blister packs containing 14, 56 and 168* tablets.</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iCs/>
        </w:rPr>
        <w:t>200 mg</w:t>
      </w:r>
      <w:r w:rsidR="00BE7565" w:rsidRPr="00A66C41">
        <w:rPr>
          <w:rFonts w:ascii="Times New Roman" w:hAnsi="Times New Roman" w:cs="Times New Roman"/>
          <w:iCs/>
        </w:rPr>
        <w:t>:</w:t>
      </w:r>
      <w:r w:rsidRPr="00A66C41">
        <w:rPr>
          <w:rFonts w:ascii="Times New Roman" w:hAnsi="Times New Roman" w:cs="Times New Roman"/>
        </w:rPr>
        <w:t xml:space="preserve"> Available in blister packs containing 14*, 56 and 168* tablets.</w:t>
      </w:r>
      <w:r w:rsidRPr="00A66C41">
        <w:rPr>
          <w:rFonts w:ascii="Times New Roman" w:hAnsi="Times New Roman" w:cs="Times New Roman"/>
        </w:rPr>
        <w:br/>
      </w:r>
      <w:r w:rsidRPr="00A66C41">
        <w:rPr>
          <w:rFonts w:ascii="Times New Roman" w:hAnsi="Times New Roman" w:cs="Times New Roman"/>
        </w:rPr>
        <w:br/>
      </w:r>
      <w:r w:rsidRPr="00A66C41">
        <w:rPr>
          <w:rFonts w:ascii="Times New Roman" w:hAnsi="Times New Roman" w:cs="Times New Roman"/>
          <w:i/>
        </w:rPr>
        <w:t>*</w:t>
      </w:r>
      <w:r w:rsidR="00BE7565" w:rsidRPr="00A66C41">
        <w:rPr>
          <w:rFonts w:ascii="Times New Roman" w:hAnsi="Times New Roman" w:cs="Times New Roman"/>
          <w:i/>
        </w:rPr>
        <w:t>n</w:t>
      </w:r>
      <w:r w:rsidRPr="00A66C41">
        <w:rPr>
          <w:rFonts w:ascii="Times New Roman" w:hAnsi="Times New Roman" w:cs="Times New Roman"/>
          <w:i/>
        </w:rPr>
        <w:t>ot currently distributed in Australia.</w:t>
      </w:r>
    </w:p>
    <w:p w14:paraId="5F08EDE1" w14:textId="77777777" w:rsidR="00EE29E6" w:rsidRPr="0065541C" w:rsidRDefault="00EE29E6" w:rsidP="00EE29E6">
      <w:pPr>
        <w:rPr>
          <w:rFonts w:ascii="Times New Roman" w:hAnsi="Times New Roman" w:cs="Times New Roman"/>
        </w:rPr>
      </w:pPr>
      <w:r w:rsidRPr="0065541C">
        <w:rPr>
          <w:rFonts w:ascii="Times New Roman" w:hAnsi="Times New Roman" w:cs="Times New Roman"/>
        </w:rPr>
        <w:t>V</w:t>
      </w:r>
      <w:r>
        <w:rPr>
          <w:rFonts w:ascii="Times New Roman" w:hAnsi="Times New Roman" w:cs="Times New Roman"/>
        </w:rPr>
        <w:t>impat</w:t>
      </w:r>
      <w:r w:rsidRPr="0065541C">
        <w:rPr>
          <w:rFonts w:ascii="Times New Roman" w:hAnsi="Times New Roman" w:cs="Times New Roman"/>
        </w:rPr>
        <w:t xml:space="preserve"> oral solution is packed in a 200</w:t>
      </w:r>
      <w:r>
        <w:rPr>
          <w:rFonts w:ascii="Times New Roman" w:hAnsi="Times New Roman" w:cs="Times New Roman"/>
        </w:rPr>
        <w:t xml:space="preserve"> </w:t>
      </w:r>
      <w:r w:rsidRPr="0065541C">
        <w:rPr>
          <w:rFonts w:ascii="Times New Roman" w:hAnsi="Times New Roman" w:cs="Times New Roman"/>
        </w:rPr>
        <w:t>mL amber glass bottles with a child resistant closure and is available as 10</w:t>
      </w:r>
      <w:r>
        <w:rPr>
          <w:rFonts w:ascii="Times New Roman" w:hAnsi="Times New Roman" w:cs="Times New Roman"/>
        </w:rPr>
        <w:t xml:space="preserve"> </w:t>
      </w:r>
      <w:r w:rsidRPr="0065541C">
        <w:rPr>
          <w:rFonts w:ascii="Times New Roman" w:hAnsi="Times New Roman" w:cs="Times New Roman"/>
        </w:rPr>
        <w:t>mg/mL strength. The pack</w:t>
      </w:r>
      <w:r>
        <w:rPr>
          <w:rFonts w:ascii="Times New Roman" w:hAnsi="Times New Roman" w:cs="Times New Roman"/>
        </w:rPr>
        <w:t xml:space="preserve"> also contains an oral syringe </w:t>
      </w:r>
      <w:r w:rsidRPr="0065541C">
        <w:rPr>
          <w:rFonts w:ascii="Times New Roman" w:hAnsi="Times New Roman" w:cs="Times New Roman"/>
        </w:rPr>
        <w:t>10</w:t>
      </w:r>
      <w:r>
        <w:rPr>
          <w:rFonts w:ascii="Times New Roman" w:hAnsi="Times New Roman" w:cs="Times New Roman"/>
        </w:rPr>
        <w:t xml:space="preserve"> </w:t>
      </w:r>
      <w:proofErr w:type="spellStart"/>
      <w:r w:rsidRPr="0065541C">
        <w:rPr>
          <w:rFonts w:ascii="Times New Roman" w:hAnsi="Times New Roman" w:cs="Times New Roman"/>
        </w:rPr>
        <w:t>mL.</w:t>
      </w:r>
      <w:proofErr w:type="spellEnd"/>
      <w:r w:rsidRPr="0065541C">
        <w:rPr>
          <w:rFonts w:ascii="Times New Roman" w:hAnsi="Times New Roman" w:cs="Times New Roman"/>
        </w:rPr>
        <w:t xml:space="preserve"> </w:t>
      </w:r>
    </w:p>
    <w:p w14:paraId="44B01A75" w14:textId="77777777" w:rsidR="00ED5EBF" w:rsidRPr="00A66C41" w:rsidRDefault="00175878" w:rsidP="00A76E2B">
      <w:pPr>
        <w:pStyle w:val="Heading2"/>
        <w:rPr>
          <w:rFonts w:ascii="Times New Roman" w:hAnsi="Times New Roman" w:cs="Times New Roman"/>
          <w:lang w:val="en-US"/>
        </w:rPr>
      </w:pPr>
      <w:r w:rsidRPr="00A66C41">
        <w:rPr>
          <w:rFonts w:ascii="Times New Roman" w:hAnsi="Times New Roman" w:cs="Times New Roman"/>
          <w:lang w:val="en-US"/>
        </w:rPr>
        <w:t xml:space="preserve">Special precautions for disposal </w:t>
      </w:r>
    </w:p>
    <w:p w14:paraId="44B01A76" w14:textId="77777777" w:rsidR="00ED5EBF" w:rsidRPr="00A66C41" w:rsidRDefault="004F53FF" w:rsidP="00A76E2B">
      <w:pPr>
        <w:rPr>
          <w:rFonts w:ascii="Times New Roman" w:hAnsi="Times New Roman" w:cs="Times New Roman"/>
        </w:rPr>
      </w:pPr>
      <w:r w:rsidRPr="00A66C41">
        <w:rPr>
          <w:rFonts w:ascii="Times New Roman" w:hAnsi="Times New Roman" w:cs="Times New Roman"/>
        </w:rPr>
        <w:t>In Australia, any unused medicine or waste material should be disposed of by taking to your local pharmacy.</w:t>
      </w:r>
    </w:p>
    <w:p w14:paraId="44B01A77" w14:textId="77777777" w:rsidR="00ED5EBF" w:rsidRPr="00A66C41" w:rsidRDefault="00175878" w:rsidP="00A76E2B">
      <w:pPr>
        <w:pStyle w:val="Heading2"/>
        <w:rPr>
          <w:rFonts w:ascii="Times New Roman" w:hAnsi="Times New Roman" w:cs="Times New Roman"/>
          <w:lang w:val="en-US"/>
        </w:rPr>
      </w:pPr>
      <w:r w:rsidRPr="00A66C41">
        <w:rPr>
          <w:rFonts w:ascii="Times New Roman" w:hAnsi="Times New Roman" w:cs="Times New Roman"/>
          <w:lang w:val="en-US"/>
        </w:rPr>
        <w:t>Physicochemical properties</w:t>
      </w:r>
    </w:p>
    <w:p w14:paraId="44B01A78" w14:textId="77777777" w:rsidR="00E617F0" w:rsidRPr="00A66C41" w:rsidRDefault="00E617F0" w:rsidP="00E617F0">
      <w:pPr>
        <w:rPr>
          <w:rFonts w:ascii="Times New Roman" w:hAnsi="Times New Roman" w:cs="Times New Roman"/>
        </w:rPr>
      </w:pPr>
      <w:r w:rsidRPr="00A66C41">
        <w:rPr>
          <w:rFonts w:ascii="Times New Roman" w:hAnsi="Times New Roman" w:cs="Times New Roman"/>
        </w:rPr>
        <w:t>Chemical name: (R)-2-acetamido-N-benzyl-3-methoxypropionamide</w:t>
      </w:r>
      <w:r w:rsidRPr="00A66C41">
        <w:rPr>
          <w:rFonts w:ascii="Times New Roman" w:hAnsi="Times New Roman" w:cs="Times New Roman"/>
        </w:rPr>
        <w:br/>
        <w:t>Molecular formula: C</w:t>
      </w:r>
      <w:r w:rsidRPr="00A66C41">
        <w:rPr>
          <w:rFonts w:ascii="Times New Roman" w:hAnsi="Times New Roman" w:cs="Times New Roman"/>
          <w:vertAlign w:val="subscript"/>
        </w:rPr>
        <w:t>13</w:t>
      </w:r>
      <w:r w:rsidRPr="00A66C41">
        <w:rPr>
          <w:rFonts w:ascii="Times New Roman" w:hAnsi="Times New Roman" w:cs="Times New Roman"/>
        </w:rPr>
        <w:t>H</w:t>
      </w:r>
      <w:r w:rsidRPr="00A66C41">
        <w:rPr>
          <w:rFonts w:ascii="Times New Roman" w:hAnsi="Times New Roman" w:cs="Times New Roman"/>
          <w:vertAlign w:val="subscript"/>
        </w:rPr>
        <w:t>18</w:t>
      </w:r>
      <w:r w:rsidRPr="00A66C41">
        <w:rPr>
          <w:rFonts w:ascii="Times New Roman" w:hAnsi="Times New Roman" w:cs="Times New Roman"/>
        </w:rPr>
        <w:t>N</w:t>
      </w:r>
      <w:r w:rsidRPr="00A66C41">
        <w:rPr>
          <w:rFonts w:ascii="Times New Roman" w:hAnsi="Times New Roman" w:cs="Times New Roman"/>
          <w:vertAlign w:val="subscript"/>
        </w:rPr>
        <w:t>2</w:t>
      </w:r>
      <w:r w:rsidRPr="00A66C41">
        <w:rPr>
          <w:rFonts w:ascii="Times New Roman" w:hAnsi="Times New Roman" w:cs="Times New Roman"/>
        </w:rPr>
        <w:t>O</w:t>
      </w:r>
      <w:r w:rsidRPr="00A66C41">
        <w:rPr>
          <w:rFonts w:ascii="Times New Roman" w:hAnsi="Times New Roman" w:cs="Times New Roman"/>
          <w:vertAlign w:val="subscript"/>
        </w:rPr>
        <w:t>3</w:t>
      </w:r>
      <w:r w:rsidRPr="00A66C41">
        <w:rPr>
          <w:rFonts w:ascii="Times New Roman" w:hAnsi="Times New Roman" w:cs="Times New Roman"/>
        </w:rPr>
        <w:br/>
        <w:t>MW: 250.30</w:t>
      </w:r>
    </w:p>
    <w:p w14:paraId="44B01A79"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Chemical structure</w:t>
      </w:r>
    </w:p>
    <w:p w14:paraId="44B01A7A" w14:textId="77777777" w:rsidR="00FB2CE9" w:rsidRPr="00A66C41" w:rsidRDefault="00FB2CE9" w:rsidP="00A76E2B">
      <w:pPr>
        <w:rPr>
          <w:rFonts w:ascii="Times New Roman" w:hAnsi="Times New Roman" w:cs="Times New Roman"/>
        </w:rPr>
      </w:pPr>
      <w:r w:rsidRPr="00A66C41">
        <w:rPr>
          <w:rFonts w:ascii="Times New Roman" w:hAnsi="Times New Roman" w:cs="Times New Roman"/>
          <w:noProof/>
          <w:lang w:eastAsia="en-AU"/>
        </w:rPr>
        <w:drawing>
          <wp:inline distT="0" distB="0" distL="0" distR="0" wp14:anchorId="44B01A97" wp14:editId="44B01A98">
            <wp:extent cx="2428875" cy="1209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1209675"/>
                    </a:xfrm>
                    <a:prstGeom prst="rect">
                      <a:avLst/>
                    </a:prstGeom>
                    <a:noFill/>
                    <a:ln>
                      <a:noFill/>
                    </a:ln>
                  </pic:spPr>
                </pic:pic>
              </a:graphicData>
            </a:graphic>
          </wp:inline>
        </w:drawing>
      </w:r>
    </w:p>
    <w:p w14:paraId="44B01A7B" w14:textId="77777777" w:rsidR="00ED5EBF" w:rsidRPr="00A66C41" w:rsidRDefault="00175878" w:rsidP="00A76E2B">
      <w:pPr>
        <w:pStyle w:val="Heading3"/>
        <w:rPr>
          <w:rFonts w:ascii="Times New Roman" w:hAnsi="Times New Roman" w:cs="Times New Roman"/>
        </w:rPr>
      </w:pPr>
      <w:r w:rsidRPr="00A66C41">
        <w:rPr>
          <w:rFonts w:ascii="Times New Roman" w:hAnsi="Times New Roman" w:cs="Times New Roman"/>
        </w:rPr>
        <w:t>CAS number</w:t>
      </w:r>
    </w:p>
    <w:p w14:paraId="44B01A7C" w14:textId="0883450D" w:rsidR="00ED5EBF" w:rsidRDefault="00175878" w:rsidP="00A76E2B">
      <w:pPr>
        <w:rPr>
          <w:rFonts w:ascii="Times New Roman" w:hAnsi="Times New Roman" w:cs="Times New Roman"/>
        </w:rPr>
      </w:pPr>
      <w:r w:rsidRPr="00A66C41">
        <w:rPr>
          <w:rFonts w:ascii="Times New Roman" w:hAnsi="Times New Roman" w:cs="Times New Roman"/>
        </w:rPr>
        <w:t>175481-36-4</w:t>
      </w:r>
    </w:p>
    <w:p w14:paraId="2EFCBFD1" w14:textId="71751175" w:rsidR="004A7FD3" w:rsidRPr="00A66C41" w:rsidRDefault="004A7FD3" w:rsidP="00A76E2B">
      <w:pPr>
        <w:rPr>
          <w:rFonts w:ascii="Times New Roman" w:hAnsi="Times New Roman" w:cs="Times New Roman"/>
        </w:rPr>
      </w:pPr>
      <w:r w:rsidRPr="00A66C41">
        <w:rPr>
          <w:rFonts w:ascii="Times New Roman" w:hAnsi="Times New Roman" w:cs="Times New Roman"/>
        </w:rPr>
        <w:t>The active ingredient lacosamide is a white to light yellow powder. It is sparingly soluble in water (30 mg/mL at 25°C) and slightly soluble in acetonitrile and ethanol.</w:t>
      </w:r>
    </w:p>
    <w:p w14:paraId="44B01A7D" w14:textId="77777777" w:rsidR="00ED5EBF" w:rsidRPr="00A66C41" w:rsidRDefault="00175878" w:rsidP="00A76E2B">
      <w:pPr>
        <w:pStyle w:val="Heading1"/>
        <w:rPr>
          <w:rFonts w:ascii="Times New Roman" w:hAnsi="Times New Roman" w:cs="Times New Roman"/>
          <w:lang w:val="en-US"/>
        </w:rPr>
      </w:pPr>
      <w:r w:rsidRPr="00A66C41">
        <w:rPr>
          <w:rFonts w:ascii="Times New Roman" w:hAnsi="Times New Roman" w:cs="Times New Roman"/>
          <w:lang w:val="en-US"/>
        </w:rPr>
        <w:t>Medicine schedule (Poisons Standard)</w:t>
      </w:r>
    </w:p>
    <w:p w14:paraId="44B01A7E" w14:textId="77777777" w:rsidR="00ED5EBF" w:rsidRPr="00A66C41" w:rsidRDefault="00175878" w:rsidP="00A76E2B">
      <w:pPr>
        <w:rPr>
          <w:rFonts w:ascii="Times New Roman" w:hAnsi="Times New Roman" w:cs="Times New Roman"/>
        </w:rPr>
      </w:pPr>
      <w:r w:rsidRPr="00A66C41">
        <w:rPr>
          <w:rFonts w:ascii="Times New Roman" w:hAnsi="Times New Roman" w:cs="Times New Roman"/>
        </w:rPr>
        <w:t>S4</w:t>
      </w:r>
    </w:p>
    <w:p w14:paraId="44B01A7F" w14:textId="77777777" w:rsidR="00ED5EBF" w:rsidRPr="00A66C41" w:rsidRDefault="00175878" w:rsidP="00A76E2B">
      <w:pPr>
        <w:pStyle w:val="Heading1"/>
        <w:rPr>
          <w:rFonts w:ascii="Times New Roman" w:hAnsi="Times New Roman" w:cs="Times New Roman"/>
          <w:lang w:val="en-US"/>
        </w:rPr>
      </w:pPr>
      <w:r w:rsidRPr="00A66C41">
        <w:rPr>
          <w:rFonts w:ascii="Times New Roman" w:hAnsi="Times New Roman" w:cs="Times New Roman"/>
          <w:lang w:val="en-US"/>
        </w:rPr>
        <w:t xml:space="preserve">Sponsor </w:t>
      </w:r>
    </w:p>
    <w:p w14:paraId="44B01A80" w14:textId="2D6CCE45" w:rsidR="00ED5EBF" w:rsidRDefault="00175878" w:rsidP="00433B14">
      <w:pPr>
        <w:spacing w:after="0"/>
        <w:rPr>
          <w:rFonts w:ascii="Times New Roman" w:hAnsi="Times New Roman" w:cs="Times New Roman"/>
        </w:rPr>
      </w:pPr>
      <w:r w:rsidRPr="00A66C41">
        <w:rPr>
          <w:rFonts w:ascii="Times New Roman" w:hAnsi="Times New Roman" w:cs="Times New Roman"/>
        </w:rPr>
        <w:t>UCB Pharma</w:t>
      </w:r>
      <w:r w:rsidRPr="00A66C41">
        <w:rPr>
          <w:rFonts w:ascii="Times New Roman" w:hAnsi="Times New Roman" w:cs="Times New Roman"/>
        </w:rPr>
        <w:br/>
      </w:r>
      <w:r w:rsidR="00BE7565" w:rsidRPr="00A66C41">
        <w:rPr>
          <w:rFonts w:ascii="Times New Roman" w:hAnsi="Times New Roman" w:cs="Times New Roman"/>
        </w:rPr>
        <w:t>A division of UCB Australia Pty Ltd</w:t>
      </w:r>
      <w:r w:rsidRPr="00A66C41">
        <w:rPr>
          <w:rFonts w:ascii="Times New Roman" w:hAnsi="Times New Roman" w:cs="Times New Roman"/>
        </w:rPr>
        <w:br/>
      </w:r>
      <w:r w:rsidR="00BE7565" w:rsidRPr="00A66C41">
        <w:rPr>
          <w:rFonts w:ascii="Times New Roman" w:hAnsi="Times New Roman" w:cs="Times New Roman"/>
        </w:rPr>
        <w:t>Level 1, 1155 Malvern Road</w:t>
      </w:r>
      <w:r w:rsidRPr="00A66C41">
        <w:rPr>
          <w:rFonts w:ascii="Times New Roman" w:hAnsi="Times New Roman" w:cs="Times New Roman"/>
        </w:rPr>
        <w:br/>
      </w:r>
      <w:r w:rsidR="00BE7565" w:rsidRPr="00A66C41">
        <w:rPr>
          <w:rFonts w:ascii="Times New Roman" w:hAnsi="Times New Roman" w:cs="Times New Roman"/>
        </w:rPr>
        <w:t>Malvern VIC 3144, Australia</w:t>
      </w:r>
    </w:p>
    <w:p w14:paraId="08B18BA8" w14:textId="77777777" w:rsidR="00433B14" w:rsidRDefault="00433B14" w:rsidP="00433B14">
      <w:pPr>
        <w:spacing w:after="0"/>
        <w:rPr>
          <w:rFonts w:ascii="Times New Roman" w:hAnsi="Times New Roman" w:cs="Times New Roman"/>
        </w:rPr>
      </w:pPr>
      <w:bookmarkStart w:id="22" w:name="_Hlk516062485"/>
      <w:r>
        <w:rPr>
          <w:rFonts w:ascii="Times New Roman" w:hAnsi="Times New Roman" w:cs="Times New Roman"/>
        </w:rPr>
        <w:t>Phone: +613 9828 1800</w:t>
      </w:r>
    </w:p>
    <w:p w14:paraId="1E47504D" w14:textId="77777777" w:rsidR="00433B14" w:rsidRDefault="00433B14" w:rsidP="00433B14">
      <w:pPr>
        <w:spacing w:after="0"/>
        <w:rPr>
          <w:rFonts w:ascii="Times New Roman" w:hAnsi="Times New Roman" w:cs="Times New Roman"/>
        </w:rPr>
      </w:pPr>
      <w:r>
        <w:rPr>
          <w:rFonts w:ascii="Times New Roman" w:hAnsi="Times New Roman" w:cs="Times New Roman"/>
        </w:rPr>
        <w:t xml:space="preserve">Website: </w:t>
      </w:r>
      <w:hyperlink r:id="rId11" w:history="1">
        <w:r w:rsidRPr="00716242">
          <w:rPr>
            <w:rStyle w:val="Hyperlink"/>
            <w:rFonts w:ascii="Times New Roman" w:hAnsi="Times New Roman" w:cs="Times New Roman"/>
          </w:rPr>
          <w:t>www.ucbaustralia.com.au</w:t>
        </w:r>
      </w:hyperlink>
    </w:p>
    <w:p w14:paraId="30E04A27" w14:textId="77777777" w:rsidR="00433B14" w:rsidRDefault="00433B14" w:rsidP="00433B14">
      <w:pPr>
        <w:spacing w:after="0"/>
        <w:rPr>
          <w:rFonts w:ascii="Times New Roman" w:hAnsi="Times New Roman" w:cs="Times New Roman"/>
        </w:rPr>
      </w:pPr>
      <w:r>
        <w:rPr>
          <w:rFonts w:ascii="Times New Roman" w:hAnsi="Times New Roman" w:cs="Times New Roman"/>
        </w:rPr>
        <w:t xml:space="preserve">E-mail: </w:t>
      </w:r>
      <w:bookmarkStart w:id="23" w:name="_Hlk516068805"/>
      <w:r>
        <w:rPr>
          <w:rFonts w:ascii="Times New Roman" w:hAnsi="Times New Roman" w:cs="Times New Roman"/>
        </w:rPr>
        <w:t>medicalinformationAU@ucb.com</w:t>
      </w:r>
      <w:bookmarkEnd w:id="23"/>
    </w:p>
    <w:bookmarkEnd w:id="22"/>
    <w:p w14:paraId="423208EE" w14:textId="77777777" w:rsidR="00433B14" w:rsidRPr="00A66C41" w:rsidRDefault="00433B14" w:rsidP="00A76E2B">
      <w:pPr>
        <w:rPr>
          <w:rFonts w:ascii="Times New Roman" w:hAnsi="Times New Roman" w:cs="Times New Roman"/>
        </w:rPr>
      </w:pPr>
    </w:p>
    <w:p w14:paraId="44B01A81" w14:textId="77777777" w:rsidR="00ED5EBF" w:rsidRPr="00A66C41" w:rsidRDefault="00175878" w:rsidP="00A76E2B">
      <w:pPr>
        <w:pStyle w:val="Heading1"/>
        <w:rPr>
          <w:rFonts w:ascii="Times New Roman" w:hAnsi="Times New Roman" w:cs="Times New Roman"/>
          <w:lang w:val="en-US"/>
        </w:rPr>
      </w:pPr>
      <w:r w:rsidRPr="00A66C41">
        <w:rPr>
          <w:rFonts w:ascii="Times New Roman" w:hAnsi="Times New Roman" w:cs="Times New Roman"/>
          <w:lang w:val="en-US"/>
        </w:rPr>
        <w:lastRenderedPageBreak/>
        <w:t xml:space="preserve">Date of first approval  </w:t>
      </w:r>
    </w:p>
    <w:p w14:paraId="44B01A82" w14:textId="77777777" w:rsidR="00ED5EBF" w:rsidRPr="00A66C41" w:rsidRDefault="00175878" w:rsidP="00A76E2B">
      <w:pPr>
        <w:rPr>
          <w:rFonts w:ascii="Times New Roman" w:hAnsi="Times New Roman" w:cs="Times New Roman"/>
        </w:rPr>
      </w:pPr>
      <w:r w:rsidRPr="00A66C41">
        <w:rPr>
          <w:rFonts w:ascii="Times New Roman" w:hAnsi="Times New Roman" w:cs="Times New Roman"/>
        </w:rPr>
        <w:t>31 July 2012</w:t>
      </w:r>
    </w:p>
    <w:p w14:paraId="44B01A83" w14:textId="77777777" w:rsidR="00ED5EBF" w:rsidRPr="00A66C41" w:rsidRDefault="00175878" w:rsidP="00A76E2B">
      <w:pPr>
        <w:pStyle w:val="Heading1"/>
        <w:rPr>
          <w:rFonts w:ascii="Times New Roman" w:hAnsi="Times New Roman" w:cs="Times New Roman"/>
          <w:lang w:val="en-US"/>
        </w:rPr>
      </w:pPr>
      <w:r w:rsidRPr="00A66C41">
        <w:rPr>
          <w:rFonts w:ascii="Times New Roman" w:hAnsi="Times New Roman" w:cs="Times New Roman"/>
          <w:lang w:val="en-US"/>
        </w:rPr>
        <w:t xml:space="preserve">Date of revision </w:t>
      </w:r>
    </w:p>
    <w:p w14:paraId="44B01A84" w14:textId="0C72FE9C" w:rsidR="00BE7565" w:rsidRPr="00A66C41" w:rsidRDefault="00E11D17" w:rsidP="00BE7565">
      <w:pPr>
        <w:rPr>
          <w:rFonts w:ascii="Times New Roman" w:hAnsi="Times New Roman" w:cs="Times New Roman"/>
          <w:lang w:val="en-US"/>
        </w:rPr>
      </w:pPr>
      <w:r>
        <w:rPr>
          <w:rFonts w:ascii="Times New Roman" w:hAnsi="Times New Roman" w:cs="Times New Roman"/>
          <w:lang w:val="en-US"/>
        </w:rPr>
        <w:t>24 July 2018</w:t>
      </w:r>
    </w:p>
    <w:p w14:paraId="44B01A85" w14:textId="77777777" w:rsidR="00104CC1" w:rsidRPr="00A66C41" w:rsidRDefault="00104CC1" w:rsidP="00104CC1">
      <w:pPr>
        <w:pStyle w:val="Heading2"/>
        <w:numPr>
          <w:ilvl w:val="0"/>
          <w:numId w:val="0"/>
        </w:numPr>
        <w:ind w:left="578" w:hanging="578"/>
        <w:rPr>
          <w:rFonts w:ascii="Times New Roman" w:hAnsi="Times New Roman" w:cs="Times New Roman"/>
          <w:lang w:val="en-US"/>
        </w:rPr>
      </w:pPr>
      <w:r w:rsidRPr="00A66C41">
        <w:rPr>
          <w:rFonts w:ascii="Times New Roman" w:hAnsi="Times New Roman" w:cs="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2"/>
        <w:gridCol w:w="7634"/>
      </w:tblGrid>
      <w:tr w:rsidR="00104CC1" w:rsidRPr="00A66C41" w14:paraId="44B01A88" w14:textId="77777777" w:rsidTr="00924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vAlign w:val="center"/>
          </w:tcPr>
          <w:p w14:paraId="44B01A86" w14:textId="77777777" w:rsidR="00104CC1" w:rsidRPr="00A66C41" w:rsidRDefault="00104CC1" w:rsidP="00924ED2">
            <w:pPr>
              <w:rPr>
                <w:rFonts w:ascii="Times New Roman" w:hAnsi="Times New Roman" w:cs="Times New Roman"/>
                <w:lang w:val="en-US"/>
              </w:rPr>
            </w:pPr>
            <w:r w:rsidRPr="00A66C41">
              <w:rPr>
                <w:rFonts w:ascii="Times New Roman" w:hAnsi="Times New Roman" w:cs="Times New Roman"/>
                <w:lang w:val="en-US"/>
              </w:rPr>
              <w:t>Section Changed</w:t>
            </w:r>
          </w:p>
        </w:tc>
        <w:tc>
          <w:tcPr>
            <w:tcW w:w="7858" w:type="dxa"/>
            <w:shd w:val="clear" w:color="auto" w:fill="F2F2F2"/>
            <w:vAlign w:val="center"/>
          </w:tcPr>
          <w:p w14:paraId="44B01A87" w14:textId="77777777" w:rsidR="00104CC1" w:rsidRPr="00A66C41" w:rsidRDefault="00104CC1" w:rsidP="00924ED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66C41">
              <w:rPr>
                <w:rFonts w:ascii="Times New Roman" w:hAnsi="Times New Roman" w:cs="Times New Roman"/>
                <w:lang w:val="en-US"/>
              </w:rPr>
              <w:t>Summary of new information</w:t>
            </w:r>
          </w:p>
        </w:tc>
      </w:tr>
      <w:tr w:rsidR="00DE2BA7" w:rsidRPr="00A66C41" w14:paraId="3857DAE8" w14:textId="77777777" w:rsidTr="00924ED2">
        <w:tc>
          <w:tcPr>
            <w:cnfStyle w:val="001000000000" w:firstRow="0" w:lastRow="0" w:firstColumn="1" w:lastColumn="0" w:oddVBand="0" w:evenVBand="0" w:oddHBand="0" w:evenHBand="0" w:firstRowFirstColumn="0" w:firstRowLastColumn="0" w:lastRowFirstColumn="0" w:lastRowLastColumn="0"/>
            <w:tcW w:w="1384" w:type="dxa"/>
            <w:vAlign w:val="center"/>
          </w:tcPr>
          <w:p w14:paraId="42A3E778" w14:textId="27AC5364" w:rsidR="00DE2BA7" w:rsidRDefault="00DE2BA7" w:rsidP="00924ED2">
            <w:pPr>
              <w:rPr>
                <w:rFonts w:ascii="Times New Roman" w:hAnsi="Times New Roman" w:cs="Times New Roman"/>
                <w:lang w:val="en-US"/>
              </w:rPr>
            </w:pPr>
            <w:r>
              <w:rPr>
                <w:rFonts w:ascii="Times New Roman" w:hAnsi="Times New Roman" w:cs="Times New Roman"/>
                <w:lang w:val="en-US"/>
              </w:rPr>
              <w:t>All</w:t>
            </w:r>
          </w:p>
        </w:tc>
        <w:tc>
          <w:tcPr>
            <w:tcW w:w="7858" w:type="dxa"/>
            <w:vAlign w:val="center"/>
          </w:tcPr>
          <w:p w14:paraId="24F3CEF9" w14:textId="38EF4D9F" w:rsidR="00DE2BA7" w:rsidRDefault="00DE2BA7" w:rsidP="00924E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T</w:t>
            </w:r>
            <w:r w:rsidRPr="00764F55">
              <w:rPr>
                <w:rFonts w:ascii="Times New Roman" w:hAnsi="Times New Roman" w:cs="Times New Roman"/>
                <w:lang w:val="en-US"/>
              </w:rPr>
              <w:t>he PI has been reformatted in line with the new TGA Form for providing product information</w:t>
            </w:r>
          </w:p>
        </w:tc>
      </w:tr>
      <w:tr w:rsidR="00104CC1" w:rsidRPr="00A66C41" w14:paraId="44B01A8B" w14:textId="77777777" w:rsidTr="00924ED2">
        <w:tc>
          <w:tcPr>
            <w:cnfStyle w:val="001000000000" w:firstRow="0" w:lastRow="0" w:firstColumn="1" w:lastColumn="0" w:oddVBand="0" w:evenVBand="0" w:oddHBand="0" w:evenHBand="0" w:firstRowFirstColumn="0" w:firstRowLastColumn="0" w:lastRowFirstColumn="0" w:lastRowLastColumn="0"/>
            <w:tcW w:w="1384" w:type="dxa"/>
            <w:vAlign w:val="center"/>
          </w:tcPr>
          <w:p w14:paraId="44B01A89" w14:textId="34CBF5ED" w:rsidR="00104CC1" w:rsidRPr="00A66C41" w:rsidRDefault="00433B14" w:rsidP="00924ED2">
            <w:pPr>
              <w:rPr>
                <w:rFonts w:ascii="Times New Roman" w:hAnsi="Times New Roman" w:cs="Times New Roman"/>
                <w:lang w:val="en-US"/>
              </w:rPr>
            </w:pPr>
            <w:r>
              <w:rPr>
                <w:rFonts w:ascii="Times New Roman" w:hAnsi="Times New Roman" w:cs="Times New Roman"/>
                <w:lang w:val="en-US"/>
              </w:rPr>
              <w:t>4.1, 4.2, 4.8, 5.1, 5.2</w:t>
            </w:r>
          </w:p>
        </w:tc>
        <w:tc>
          <w:tcPr>
            <w:tcW w:w="7858" w:type="dxa"/>
            <w:vAlign w:val="center"/>
          </w:tcPr>
          <w:p w14:paraId="44B01A8A" w14:textId="02134C04" w:rsidR="00104CC1" w:rsidRPr="00A66C41" w:rsidRDefault="00433B14" w:rsidP="00924E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Paediatric</w:t>
            </w:r>
            <w:proofErr w:type="spellEnd"/>
            <w:r>
              <w:rPr>
                <w:rFonts w:ascii="Times New Roman" w:hAnsi="Times New Roman" w:cs="Times New Roman"/>
                <w:lang w:val="en-US"/>
              </w:rPr>
              <w:t xml:space="preserve"> indication (4-16 years of age)</w:t>
            </w:r>
          </w:p>
        </w:tc>
      </w:tr>
      <w:tr w:rsidR="00104CC1" w:rsidRPr="00A66C41" w14:paraId="44B01A8E" w14:textId="77777777" w:rsidTr="00924ED2">
        <w:tc>
          <w:tcPr>
            <w:cnfStyle w:val="001000000000" w:firstRow="0" w:lastRow="0" w:firstColumn="1" w:lastColumn="0" w:oddVBand="0" w:evenVBand="0" w:oddHBand="0" w:evenHBand="0" w:firstRowFirstColumn="0" w:firstRowLastColumn="0" w:lastRowFirstColumn="0" w:lastRowLastColumn="0"/>
            <w:tcW w:w="1384" w:type="dxa"/>
            <w:vAlign w:val="center"/>
          </w:tcPr>
          <w:p w14:paraId="44B01A8C" w14:textId="6D760A6C" w:rsidR="00104CC1" w:rsidRPr="00A66C41" w:rsidRDefault="00433B14" w:rsidP="00924ED2">
            <w:pPr>
              <w:rPr>
                <w:rFonts w:ascii="Times New Roman" w:hAnsi="Times New Roman" w:cs="Times New Roman"/>
                <w:lang w:val="en-US"/>
              </w:rPr>
            </w:pPr>
            <w:r>
              <w:rPr>
                <w:rFonts w:ascii="Times New Roman" w:hAnsi="Times New Roman" w:cs="Times New Roman"/>
                <w:lang w:val="en-US"/>
              </w:rPr>
              <w:t>4.2, 4.8, 5.1</w:t>
            </w:r>
          </w:p>
        </w:tc>
        <w:tc>
          <w:tcPr>
            <w:tcW w:w="7858" w:type="dxa"/>
            <w:vAlign w:val="center"/>
          </w:tcPr>
          <w:p w14:paraId="44B01A8D" w14:textId="2AD6982A" w:rsidR="00104CC1" w:rsidRPr="00A66C41" w:rsidRDefault="00433B14" w:rsidP="00924E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Monotherapy indication</w:t>
            </w:r>
          </w:p>
        </w:tc>
      </w:tr>
      <w:tr w:rsidR="00104CC1" w:rsidRPr="00A66C41" w14:paraId="44B01A91" w14:textId="77777777" w:rsidTr="00924ED2">
        <w:tc>
          <w:tcPr>
            <w:cnfStyle w:val="001000000000" w:firstRow="0" w:lastRow="0" w:firstColumn="1" w:lastColumn="0" w:oddVBand="0" w:evenVBand="0" w:oddHBand="0" w:evenHBand="0" w:firstRowFirstColumn="0" w:firstRowLastColumn="0" w:lastRowFirstColumn="0" w:lastRowLastColumn="0"/>
            <w:tcW w:w="1384" w:type="dxa"/>
            <w:vAlign w:val="center"/>
          </w:tcPr>
          <w:p w14:paraId="44B01A8F" w14:textId="6D959A64" w:rsidR="00104CC1" w:rsidRPr="00A66C41" w:rsidRDefault="00433B14" w:rsidP="00924ED2">
            <w:pPr>
              <w:rPr>
                <w:rFonts w:ascii="Times New Roman" w:hAnsi="Times New Roman" w:cs="Times New Roman"/>
                <w:lang w:val="en-US"/>
              </w:rPr>
            </w:pPr>
            <w:r>
              <w:rPr>
                <w:rFonts w:ascii="Times New Roman" w:hAnsi="Times New Roman" w:cs="Times New Roman"/>
                <w:lang w:val="en-US"/>
              </w:rPr>
              <w:t>4.4, 4.5, 4.8</w:t>
            </w:r>
          </w:p>
        </w:tc>
        <w:tc>
          <w:tcPr>
            <w:tcW w:w="7858" w:type="dxa"/>
            <w:vAlign w:val="center"/>
          </w:tcPr>
          <w:p w14:paraId="44B01A90" w14:textId="1F66B685" w:rsidR="00104CC1" w:rsidRPr="00A66C41" w:rsidRDefault="00433B14" w:rsidP="00924E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Cardiac rhythm and conduction precaution and interaction updated, Ventricular tachyarrhythmia added to post-marketing experience</w:t>
            </w:r>
          </w:p>
        </w:tc>
      </w:tr>
      <w:tr w:rsidR="00433B14" w:rsidRPr="00A66C41" w14:paraId="1798538E" w14:textId="77777777" w:rsidTr="00924ED2">
        <w:tc>
          <w:tcPr>
            <w:cnfStyle w:val="001000000000" w:firstRow="0" w:lastRow="0" w:firstColumn="1" w:lastColumn="0" w:oddVBand="0" w:evenVBand="0" w:oddHBand="0" w:evenHBand="0" w:firstRowFirstColumn="0" w:firstRowLastColumn="0" w:lastRowFirstColumn="0" w:lastRowLastColumn="0"/>
            <w:tcW w:w="1384" w:type="dxa"/>
            <w:vAlign w:val="center"/>
          </w:tcPr>
          <w:p w14:paraId="6A894ECA" w14:textId="0AE4AB41" w:rsidR="00433B14" w:rsidRDefault="00433B14" w:rsidP="00924ED2">
            <w:pPr>
              <w:rPr>
                <w:rFonts w:ascii="Times New Roman" w:hAnsi="Times New Roman" w:cs="Times New Roman"/>
                <w:lang w:val="en-US"/>
              </w:rPr>
            </w:pPr>
            <w:r>
              <w:rPr>
                <w:rFonts w:ascii="Times New Roman" w:hAnsi="Times New Roman" w:cs="Times New Roman"/>
                <w:lang w:val="en-US"/>
              </w:rPr>
              <w:t>2, 3, 4.2, 4.4, 5.2, 6.1, 6.3, 6.4, 6.5</w:t>
            </w:r>
          </w:p>
        </w:tc>
        <w:tc>
          <w:tcPr>
            <w:tcW w:w="7858" w:type="dxa"/>
            <w:vAlign w:val="center"/>
          </w:tcPr>
          <w:p w14:paraId="30A07AEB" w14:textId="2E9CDF4B" w:rsidR="00433B14" w:rsidRPr="00A66C41" w:rsidRDefault="00433B14" w:rsidP="00924E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Addition of oral solution presentation</w:t>
            </w:r>
          </w:p>
        </w:tc>
      </w:tr>
      <w:tr w:rsidR="00433B14" w:rsidRPr="00A66C41" w14:paraId="25CEA1B1" w14:textId="77777777" w:rsidTr="00924ED2">
        <w:tc>
          <w:tcPr>
            <w:cnfStyle w:val="001000000000" w:firstRow="0" w:lastRow="0" w:firstColumn="1" w:lastColumn="0" w:oddVBand="0" w:evenVBand="0" w:oddHBand="0" w:evenHBand="0" w:firstRowFirstColumn="0" w:firstRowLastColumn="0" w:lastRowFirstColumn="0" w:lastRowLastColumn="0"/>
            <w:tcW w:w="1384" w:type="dxa"/>
            <w:vAlign w:val="center"/>
          </w:tcPr>
          <w:p w14:paraId="2782D6B4" w14:textId="52D55B44" w:rsidR="00433B14" w:rsidRDefault="00433B14" w:rsidP="00924ED2">
            <w:pPr>
              <w:rPr>
                <w:rFonts w:ascii="Times New Roman" w:hAnsi="Times New Roman" w:cs="Times New Roman"/>
                <w:lang w:val="en-US"/>
              </w:rPr>
            </w:pPr>
            <w:r>
              <w:rPr>
                <w:rFonts w:ascii="Times New Roman" w:hAnsi="Times New Roman" w:cs="Times New Roman"/>
                <w:lang w:val="en-US"/>
              </w:rPr>
              <w:t>4.2, 5.1, 5.2</w:t>
            </w:r>
          </w:p>
        </w:tc>
        <w:tc>
          <w:tcPr>
            <w:tcW w:w="7858" w:type="dxa"/>
            <w:vAlign w:val="center"/>
          </w:tcPr>
          <w:p w14:paraId="617377FA" w14:textId="1CBB1DEE" w:rsidR="00433B14" w:rsidRPr="00A66C41" w:rsidRDefault="00433B14" w:rsidP="00924E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Information on loading dose</w:t>
            </w:r>
          </w:p>
        </w:tc>
      </w:tr>
    </w:tbl>
    <w:p w14:paraId="44B01A92" w14:textId="77777777" w:rsidR="00BE7565" w:rsidRPr="00A66C41" w:rsidRDefault="00BE7565" w:rsidP="00BE7565">
      <w:pPr>
        <w:pStyle w:val="Heading3"/>
        <w:rPr>
          <w:rFonts w:ascii="Times New Roman" w:hAnsi="Times New Roman" w:cs="Times New Roman"/>
          <w:lang w:val="en-US"/>
        </w:rPr>
      </w:pPr>
    </w:p>
    <w:sectPr w:rsidR="00BE7565" w:rsidRPr="00A66C41" w:rsidSect="0047170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1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01A9B" w14:textId="77777777" w:rsidR="004A7FD3" w:rsidRDefault="004A7FD3" w:rsidP="00A76E2B">
      <w:r>
        <w:separator/>
      </w:r>
    </w:p>
  </w:endnote>
  <w:endnote w:type="continuationSeparator" w:id="0">
    <w:p w14:paraId="44B01A9C" w14:textId="77777777" w:rsidR="004A7FD3" w:rsidRDefault="004A7FD3" w:rsidP="00A7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NewRoman">
    <w:altName w:val="MS Mincho"/>
    <w:charset w:val="00"/>
    <w:family w:val="auto"/>
    <w:pitch w:val="default"/>
    <w:sig w:usb0="00000003" w:usb1="08070000" w:usb2="00000010" w:usb3="00000000" w:csb0="00020001" w:csb1="00000000"/>
  </w:font>
  <w:font w:name="TimesNewRomanPSM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8B6A" w14:textId="77777777" w:rsidR="00A45C40" w:rsidRDefault="00A45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eastAsia="Cambria" w:hAnsi="Cambria" w:cs="Cambria"/>
        <w:sz w:val="18"/>
        <w:szCs w:val="18"/>
        <w:lang w:val="en-AU" w:eastAsia="en-US"/>
      </w:rPr>
      <w:id w:val="-656602348"/>
      <w:docPartObj>
        <w:docPartGallery w:val="Page Numbers (Bottom of Page)"/>
        <w:docPartUnique/>
      </w:docPartObj>
    </w:sdtPr>
    <w:sdtEndPr>
      <w:rPr>
        <w:rFonts w:ascii="Times New Roman" w:eastAsiaTheme="minorEastAsia" w:hAnsi="Times New Roman" w:cs="Times New Roman"/>
        <w:noProof/>
        <w:lang w:val="en-PH" w:eastAsia="en-PH"/>
      </w:rPr>
    </w:sdtEndPr>
    <w:sdtContent>
      <w:p w14:paraId="44B01AA0" w14:textId="65791BCA" w:rsidR="004A7FD3" w:rsidRPr="00C71FEA" w:rsidRDefault="004A7FD3" w:rsidP="00CE5C92">
        <w:pPr>
          <w:pStyle w:val="BodyText"/>
          <w:pBdr>
            <w:top w:val="single" w:sz="4" w:space="1" w:color="auto"/>
          </w:pBdr>
          <w:rPr>
            <w:sz w:val="18"/>
            <w:szCs w:val="18"/>
          </w:rPr>
        </w:pPr>
        <w:r>
          <w:rPr>
            <w:sz w:val="18"/>
            <w:szCs w:val="18"/>
          </w:rPr>
          <w:t xml:space="preserve">Vimpat Tablets PI – </w:t>
        </w:r>
        <w:r w:rsidR="00C169C0">
          <w:rPr>
            <w:sz w:val="18"/>
            <w:szCs w:val="18"/>
          </w:rPr>
          <w:t>24</w:t>
        </w:r>
        <w:r w:rsidR="00C169C0">
          <w:rPr>
            <w:sz w:val="18"/>
            <w:szCs w:val="18"/>
            <w:vertAlign w:val="superscript"/>
          </w:rPr>
          <w:t>th</w:t>
        </w:r>
        <w:r w:rsidR="00C169C0">
          <w:rPr>
            <w:sz w:val="18"/>
            <w:szCs w:val="18"/>
          </w:rPr>
          <w:t xml:space="preserve"> July 2018 (g2018-183)</w:t>
        </w:r>
        <w:r w:rsidRPr="00C71FEA">
          <w:rPr>
            <w:sz w:val="18"/>
            <w:szCs w:val="18"/>
          </w:rPr>
          <w:tab/>
        </w:r>
        <w:r w:rsidRPr="00C71FEA">
          <w:rPr>
            <w:sz w:val="18"/>
            <w:szCs w:val="18"/>
          </w:rPr>
          <w:tab/>
        </w:r>
        <w:r w:rsidRPr="00C71FEA">
          <w:rPr>
            <w:sz w:val="18"/>
            <w:szCs w:val="18"/>
          </w:rPr>
          <w:tab/>
        </w:r>
        <w:r w:rsidRPr="00C71FEA">
          <w:rPr>
            <w:sz w:val="18"/>
            <w:szCs w:val="18"/>
          </w:rPr>
          <w:tab/>
        </w:r>
        <w:r w:rsidRPr="00C71FEA">
          <w:rPr>
            <w:sz w:val="18"/>
            <w:szCs w:val="18"/>
          </w:rPr>
          <w:tab/>
        </w:r>
        <w:r w:rsidRPr="00C71FEA">
          <w:rPr>
            <w:sz w:val="18"/>
            <w:szCs w:val="18"/>
          </w:rPr>
          <w:tab/>
        </w:r>
        <w:r w:rsidRPr="00C71FEA">
          <w:rPr>
            <w:sz w:val="18"/>
            <w:szCs w:val="18"/>
          </w:rPr>
          <w:tab/>
        </w:r>
        <w:r w:rsidRPr="00C71FEA">
          <w:rPr>
            <w:sz w:val="18"/>
            <w:szCs w:val="18"/>
          </w:rPr>
          <w:fldChar w:fldCharType="begin"/>
        </w:r>
        <w:r w:rsidRPr="00C71FEA">
          <w:rPr>
            <w:sz w:val="18"/>
            <w:szCs w:val="18"/>
          </w:rPr>
          <w:instrText xml:space="preserve"> PAGE   \* MERGEFORMAT </w:instrText>
        </w:r>
        <w:r w:rsidRPr="00C71FEA">
          <w:rPr>
            <w:sz w:val="18"/>
            <w:szCs w:val="18"/>
          </w:rPr>
          <w:fldChar w:fldCharType="separate"/>
        </w:r>
        <w:r w:rsidR="00A45C40">
          <w:rPr>
            <w:noProof/>
            <w:sz w:val="18"/>
            <w:szCs w:val="18"/>
          </w:rPr>
          <w:t>1</w:t>
        </w:r>
        <w:r w:rsidRPr="00C71FEA">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14DE0" w14:textId="77777777" w:rsidR="00A45C40" w:rsidRDefault="00A45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01A99" w14:textId="77777777" w:rsidR="004A7FD3" w:rsidRDefault="004A7FD3" w:rsidP="00A76E2B">
      <w:r>
        <w:separator/>
      </w:r>
    </w:p>
  </w:footnote>
  <w:footnote w:type="continuationSeparator" w:id="0">
    <w:p w14:paraId="44B01A9A" w14:textId="77777777" w:rsidR="004A7FD3" w:rsidRDefault="004A7FD3" w:rsidP="00A76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9DC27" w14:textId="77777777" w:rsidR="00A45C40" w:rsidRDefault="00A45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A45C40" w:rsidRPr="002E7F61" w14:paraId="50BB40EC" w14:textId="77777777" w:rsidTr="002C4A60">
      <w:trPr>
        <w:trHeight w:val="590"/>
      </w:trPr>
      <w:tc>
        <w:tcPr>
          <w:tcW w:w="8720" w:type="dxa"/>
          <w:shd w:val="clear" w:color="auto" w:fill="E4F2E0"/>
        </w:tcPr>
        <w:p w14:paraId="05BA221C" w14:textId="77777777" w:rsidR="00A45C40" w:rsidRPr="002E7F61" w:rsidRDefault="00A45C40" w:rsidP="00A45C40">
          <w:pPr>
            <w:pStyle w:val="Footer"/>
            <w:rPr>
              <w:b/>
              <w:sz w:val="18"/>
              <w:szCs w:val="18"/>
            </w:rPr>
          </w:pPr>
          <w:r w:rsidRPr="002E7F61">
            <w:rPr>
              <w:b/>
              <w:sz w:val="18"/>
              <w:szCs w:val="18"/>
            </w:rPr>
            <w:t xml:space="preserve">Attachment 1: Product </w:t>
          </w:r>
          <w:r w:rsidRPr="000A65DF">
            <w:rPr>
              <w:b/>
              <w:sz w:val="18"/>
              <w:szCs w:val="18"/>
            </w:rPr>
            <w:t xml:space="preserve">AusPAR </w:t>
          </w:r>
          <w:proofErr w:type="spellStart"/>
          <w:r>
            <w:rPr>
              <w:b/>
              <w:sz w:val="18"/>
              <w:szCs w:val="18"/>
            </w:rPr>
            <w:t>L</w:t>
          </w:r>
          <w:r w:rsidRPr="000A65DF">
            <w:rPr>
              <w:b/>
              <w:sz w:val="18"/>
              <w:szCs w:val="18"/>
            </w:rPr>
            <w:t>acosamide</w:t>
          </w:r>
          <w:proofErr w:type="spellEnd"/>
          <w:r w:rsidRPr="000A65DF">
            <w:rPr>
              <w:b/>
              <w:sz w:val="18"/>
              <w:szCs w:val="18"/>
            </w:rPr>
            <w:t xml:space="preserve"> UCB Australia Pty Ltd PM-2016-04633-1-1</w:t>
          </w:r>
          <w:r>
            <w:rPr>
              <w:b/>
              <w:sz w:val="18"/>
              <w:szCs w:val="18"/>
            </w:rPr>
            <w:t xml:space="preserve"> </w:t>
          </w:r>
          <w:r w:rsidRPr="000A65DF">
            <w:rPr>
              <w:b/>
              <w:sz w:val="18"/>
              <w:szCs w:val="18"/>
            </w:rPr>
            <w:t>FINAL 30 January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0002BC86" w14:textId="77777777" w:rsidR="00A45C40" w:rsidRDefault="00A45C40">
    <w:pPr>
      <w:pStyle w:val="Header"/>
    </w:pPr>
    <w:bookmarkStart w:id="24" w:name="_GoBack"/>
    <w:bookmarkEnd w:id="2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FE248" w14:textId="77777777" w:rsidR="00A45C40" w:rsidRDefault="00A45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43E99EA"/>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28E678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43A6C58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0000004"/>
    <w:multiLevelType w:val="multilevel"/>
    <w:tmpl w:val="197AA49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0000005"/>
    <w:multiLevelType w:val="multilevel"/>
    <w:tmpl w:val="9E18751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0000006"/>
    <w:multiLevelType w:val="multilevel"/>
    <w:tmpl w:val="52DC33F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0000007"/>
    <w:multiLevelType w:val="multilevel"/>
    <w:tmpl w:val="D8F23588"/>
    <w:lvl w:ilvl="0">
      <w:start w:val="1"/>
      <w:numFmt w:val="decimal"/>
      <w:lvlText w:val="Note %1:"/>
      <w:lvlJc w:val="left"/>
      <w:pPr>
        <w:ind w:left="1021" w:hanging="1021"/>
      </w:pPr>
      <w:rPr>
        <w:rFonts w:ascii="Cambria" w:eastAsia="Cambria" w:hAnsi="Cambria" w:cs="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000008"/>
    <w:multiLevelType w:val="multilevel"/>
    <w:tmpl w:val="2CD0B70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00000009"/>
    <w:multiLevelType w:val="multilevel"/>
    <w:tmpl w:val="9170EC3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000000A"/>
    <w:multiLevelType w:val="multilevel"/>
    <w:tmpl w:val="8C04E82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000000B"/>
    <w:multiLevelType w:val="multilevel"/>
    <w:tmpl w:val="8460ED9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000000C"/>
    <w:multiLevelType w:val="multilevel"/>
    <w:tmpl w:val="6E9CC66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C1B5D7C"/>
    <w:multiLevelType w:val="hybridMultilevel"/>
    <w:tmpl w:val="6CE89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E14AD0"/>
    <w:multiLevelType w:val="hybridMultilevel"/>
    <w:tmpl w:val="8FE6E4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BF"/>
    <w:rsid w:val="00007EC1"/>
    <w:rsid w:val="0001573B"/>
    <w:rsid w:val="00022410"/>
    <w:rsid w:val="00031BB3"/>
    <w:rsid w:val="000A037B"/>
    <w:rsid w:val="000E0351"/>
    <w:rsid w:val="0010046E"/>
    <w:rsid w:val="00104103"/>
    <w:rsid w:val="00104CC1"/>
    <w:rsid w:val="001416A8"/>
    <w:rsid w:val="0015061B"/>
    <w:rsid w:val="00175878"/>
    <w:rsid w:val="001C407F"/>
    <w:rsid w:val="00252792"/>
    <w:rsid w:val="002675F9"/>
    <w:rsid w:val="0027696C"/>
    <w:rsid w:val="00283849"/>
    <w:rsid w:val="002C42C6"/>
    <w:rsid w:val="0030459C"/>
    <w:rsid w:val="00317C87"/>
    <w:rsid w:val="00317F44"/>
    <w:rsid w:val="00341F81"/>
    <w:rsid w:val="00353A09"/>
    <w:rsid w:val="00354835"/>
    <w:rsid w:val="00364242"/>
    <w:rsid w:val="00375C3F"/>
    <w:rsid w:val="003C706C"/>
    <w:rsid w:val="003F730C"/>
    <w:rsid w:val="00407779"/>
    <w:rsid w:val="00433B14"/>
    <w:rsid w:val="00450A64"/>
    <w:rsid w:val="00463C7D"/>
    <w:rsid w:val="00471703"/>
    <w:rsid w:val="00495AD2"/>
    <w:rsid w:val="004A0E38"/>
    <w:rsid w:val="004A7FD3"/>
    <w:rsid w:val="004B0935"/>
    <w:rsid w:val="004B2DCA"/>
    <w:rsid w:val="004B49E1"/>
    <w:rsid w:val="004F53FF"/>
    <w:rsid w:val="0053679C"/>
    <w:rsid w:val="00536E40"/>
    <w:rsid w:val="00550905"/>
    <w:rsid w:val="00563D42"/>
    <w:rsid w:val="00594DB1"/>
    <w:rsid w:val="005B5838"/>
    <w:rsid w:val="005D7B59"/>
    <w:rsid w:val="005F0016"/>
    <w:rsid w:val="00600865"/>
    <w:rsid w:val="006139F8"/>
    <w:rsid w:val="00622A88"/>
    <w:rsid w:val="00636387"/>
    <w:rsid w:val="00690CF0"/>
    <w:rsid w:val="0070099B"/>
    <w:rsid w:val="0072037A"/>
    <w:rsid w:val="0072408A"/>
    <w:rsid w:val="0072606E"/>
    <w:rsid w:val="00732992"/>
    <w:rsid w:val="00756D4C"/>
    <w:rsid w:val="00756DFE"/>
    <w:rsid w:val="007A3A26"/>
    <w:rsid w:val="00825598"/>
    <w:rsid w:val="00844090"/>
    <w:rsid w:val="0089450D"/>
    <w:rsid w:val="008B3C5D"/>
    <w:rsid w:val="008D36FF"/>
    <w:rsid w:val="00924ED2"/>
    <w:rsid w:val="0093530F"/>
    <w:rsid w:val="009537BA"/>
    <w:rsid w:val="009B5087"/>
    <w:rsid w:val="009C0A82"/>
    <w:rsid w:val="00A032C1"/>
    <w:rsid w:val="00A41A4E"/>
    <w:rsid w:val="00A45C40"/>
    <w:rsid w:val="00A66C41"/>
    <w:rsid w:val="00A71ADC"/>
    <w:rsid w:val="00A76E2B"/>
    <w:rsid w:val="00A9161C"/>
    <w:rsid w:val="00A97B72"/>
    <w:rsid w:val="00B21007"/>
    <w:rsid w:val="00B215EB"/>
    <w:rsid w:val="00B253A3"/>
    <w:rsid w:val="00BA453B"/>
    <w:rsid w:val="00BE5346"/>
    <w:rsid w:val="00BE7565"/>
    <w:rsid w:val="00C10A5F"/>
    <w:rsid w:val="00C15587"/>
    <w:rsid w:val="00C169C0"/>
    <w:rsid w:val="00C4354E"/>
    <w:rsid w:val="00C64145"/>
    <w:rsid w:val="00C71FEA"/>
    <w:rsid w:val="00C77CC8"/>
    <w:rsid w:val="00C82633"/>
    <w:rsid w:val="00C938D4"/>
    <w:rsid w:val="00C93AFB"/>
    <w:rsid w:val="00CA622F"/>
    <w:rsid w:val="00CB3655"/>
    <w:rsid w:val="00CD5DEE"/>
    <w:rsid w:val="00CE5C92"/>
    <w:rsid w:val="00CE73A3"/>
    <w:rsid w:val="00D42F48"/>
    <w:rsid w:val="00D922E0"/>
    <w:rsid w:val="00DA7D97"/>
    <w:rsid w:val="00DD13E7"/>
    <w:rsid w:val="00DE0EDA"/>
    <w:rsid w:val="00DE2BA7"/>
    <w:rsid w:val="00E01E5C"/>
    <w:rsid w:val="00E062BF"/>
    <w:rsid w:val="00E11D17"/>
    <w:rsid w:val="00E13AB7"/>
    <w:rsid w:val="00E1621F"/>
    <w:rsid w:val="00E617F0"/>
    <w:rsid w:val="00E90C44"/>
    <w:rsid w:val="00E937F1"/>
    <w:rsid w:val="00EA2116"/>
    <w:rsid w:val="00EB55F0"/>
    <w:rsid w:val="00ED5EBF"/>
    <w:rsid w:val="00EE29E6"/>
    <w:rsid w:val="00F25E50"/>
    <w:rsid w:val="00FB2CE9"/>
    <w:rsid w:val="00FB3A79"/>
    <w:rsid w:val="00FB6E8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B018E3"/>
  <w15:docId w15:val="{C564933E-846A-4534-A414-54A8A3D1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E2B"/>
    <w:rPr>
      <w:rFonts w:asciiTheme="majorHAnsi" w:eastAsia="Cambria" w:hAnsiTheme="majorHAnsi" w:cs="Cambria"/>
    </w:rPr>
  </w:style>
  <w:style w:type="paragraph" w:styleId="Heading1">
    <w:name w:val="heading 1"/>
    <w:basedOn w:val="Normal"/>
    <w:link w:val="Heading1Char"/>
    <w:qFormat/>
    <w:rsid w:val="00FB2CE9"/>
    <w:pPr>
      <w:keepNext/>
      <w:keepLines/>
      <w:numPr>
        <w:numId w:val="9"/>
      </w:numPr>
      <w:spacing w:after="120"/>
      <w:ind w:left="431" w:hanging="431"/>
      <w:outlineLvl w:val="0"/>
    </w:pPr>
    <w:rPr>
      <w:b/>
      <w:bCs/>
      <w:caps/>
      <w:sz w:val="28"/>
      <w:szCs w:val="28"/>
    </w:rPr>
  </w:style>
  <w:style w:type="paragraph" w:styleId="Heading2">
    <w:name w:val="heading 2"/>
    <w:basedOn w:val="Normal"/>
    <w:link w:val="Heading2Char"/>
    <w:unhideWhenUsed/>
    <w:qFormat/>
    <w:rsid w:val="00A76E2B"/>
    <w:pPr>
      <w:numPr>
        <w:ilvl w:val="1"/>
        <w:numId w:val="9"/>
      </w:numPr>
      <w:spacing w:before="240" w:after="120"/>
      <w:ind w:left="578" w:hanging="578"/>
      <w:outlineLvl w:val="1"/>
    </w:pPr>
    <w:rPr>
      <w:b/>
      <w:caps/>
      <w:sz w:val="24"/>
    </w:rPr>
  </w:style>
  <w:style w:type="paragraph" w:styleId="Heading3">
    <w:name w:val="heading 3"/>
    <w:basedOn w:val="Normal"/>
    <w:link w:val="Heading3Char"/>
    <w:unhideWhenUsed/>
    <w:qFormat/>
    <w:pPr>
      <w:keepNext/>
      <w:keepLines/>
      <w:spacing w:before="200" w:after="0"/>
      <w:outlineLvl w:val="2"/>
    </w:pPr>
    <w:rPr>
      <w:b/>
      <w:bCs/>
    </w:rPr>
  </w:style>
  <w:style w:type="paragraph" w:styleId="Heading4">
    <w:name w:val="heading 4"/>
    <w:basedOn w:val="Normal"/>
    <w:link w:val="Heading4Char"/>
    <w:semiHidden/>
    <w:unhideWhenUsed/>
    <w:qFormat/>
    <w:pPr>
      <w:keepNext/>
      <w:keepLines/>
      <w:numPr>
        <w:ilvl w:val="3"/>
        <w:numId w:val="9"/>
      </w:numPr>
      <w:spacing w:before="200" w:after="0"/>
      <w:outlineLvl w:val="3"/>
    </w:pPr>
    <w:rPr>
      <w:b/>
      <w:bCs/>
      <w:i/>
      <w:iCs/>
      <w:color w:val="4F81BD"/>
    </w:rPr>
  </w:style>
  <w:style w:type="paragraph" w:styleId="Heading5">
    <w:name w:val="heading 5"/>
    <w:basedOn w:val="Normal"/>
    <w:link w:val="Heading5Char"/>
    <w:semiHidden/>
    <w:unhideWhenUsed/>
    <w:qFormat/>
    <w:pPr>
      <w:keepNext/>
      <w:keepLines/>
      <w:numPr>
        <w:ilvl w:val="4"/>
        <w:numId w:val="9"/>
      </w:numPr>
      <w:spacing w:before="200" w:after="0"/>
      <w:outlineLvl w:val="4"/>
    </w:pPr>
    <w:rPr>
      <w:color w:val="243F60"/>
    </w:rPr>
  </w:style>
  <w:style w:type="paragraph" w:styleId="Heading6">
    <w:name w:val="heading 6"/>
    <w:basedOn w:val="Normal"/>
    <w:link w:val="Heading6Char"/>
    <w:semiHidden/>
    <w:unhideWhenUsed/>
    <w:qFormat/>
    <w:pPr>
      <w:keepNext/>
      <w:keepLines/>
      <w:numPr>
        <w:ilvl w:val="5"/>
        <w:numId w:val="9"/>
      </w:numPr>
      <w:spacing w:before="200" w:after="0"/>
      <w:outlineLvl w:val="5"/>
    </w:pPr>
    <w:rPr>
      <w:i/>
      <w:iCs/>
      <w:color w:val="243F60"/>
    </w:rPr>
  </w:style>
  <w:style w:type="paragraph" w:styleId="Heading7">
    <w:name w:val="heading 7"/>
    <w:basedOn w:val="Normal"/>
    <w:link w:val="Heading7Char"/>
    <w:semiHidden/>
    <w:unhideWhenUsed/>
    <w:qFormat/>
    <w:pPr>
      <w:keepNext/>
      <w:keepLines/>
      <w:numPr>
        <w:ilvl w:val="6"/>
        <w:numId w:val="9"/>
      </w:numPr>
      <w:spacing w:before="200" w:after="0"/>
      <w:outlineLvl w:val="6"/>
    </w:pPr>
    <w:rPr>
      <w:i/>
      <w:iCs/>
      <w:color w:val="404040"/>
    </w:rPr>
  </w:style>
  <w:style w:type="paragraph" w:styleId="Heading8">
    <w:name w:val="heading 8"/>
    <w:basedOn w:val="Normal"/>
    <w:link w:val="Heading8Char"/>
    <w:semiHidden/>
    <w:unhideWhenUsed/>
    <w:qFormat/>
    <w:pPr>
      <w:keepNext/>
      <w:keepLines/>
      <w:numPr>
        <w:ilvl w:val="7"/>
        <w:numId w:val="9"/>
      </w:numPr>
      <w:spacing w:before="200" w:after="0"/>
      <w:outlineLvl w:val="7"/>
    </w:pPr>
    <w:rPr>
      <w:color w:val="404040"/>
      <w:sz w:val="20"/>
      <w:szCs w:val="20"/>
    </w:rPr>
  </w:style>
  <w:style w:type="paragraph" w:styleId="Heading9">
    <w:name w:val="heading 9"/>
    <w:basedOn w:val="Normal"/>
    <w:link w:val="Heading9Char"/>
    <w:semiHidden/>
    <w:unhideWhenUsed/>
    <w:qFormat/>
    <w:pPr>
      <w:keepNext/>
      <w:keepLines/>
      <w:numPr>
        <w:ilvl w:val="8"/>
        <w:numId w:val="9"/>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List1">
    <w:name w:val="No List1"/>
    <w:semiHidden/>
    <w:unhideWhenUsed/>
  </w:style>
  <w:style w:type="character" w:customStyle="1" w:styleId="Heading1Char">
    <w:name w:val="Heading 1 Char"/>
    <w:basedOn w:val="DefaultParagraphFont"/>
    <w:link w:val="Heading1"/>
    <w:rsid w:val="00FB2CE9"/>
    <w:rPr>
      <w:rFonts w:ascii="Cambria" w:eastAsia="Cambria" w:hAnsi="Cambria" w:cs="Cambria"/>
      <w:b/>
      <w:bCs/>
      <w:caps/>
      <w:sz w:val="28"/>
      <w:szCs w:val="28"/>
    </w:rPr>
  </w:style>
  <w:style w:type="character" w:customStyle="1" w:styleId="Heading2Char">
    <w:name w:val="Heading 2 Char"/>
    <w:basedOn w:val="DefaultParagraphFont"/>
    <w:link w:val="Heading2"/>
    <w:rsid w:val="00A76E2B"/>
    <w:rPr>
      <w:rFonts w:asciiTheme="majorHAnsi" w:eastAsia="Cambria" w:hAnsiTheme="majorHAnsi" w:cs="Cambria"/>
      <w:b/>
      <w:caps/>
      <w:sz w:val="24"/>
    </w:rPr>
  </w:style>
  <w:style w:type="character" w:customStyle="1" w:styleId="Heading3Char">
    <w:name w:val="Heading 3 Char"/>
    <w:basedOn w:val="DefaultParagraphFont"/>
    <w:link w:val="Heading3"/>
    <w:rPr>
      <w:rFonts w:ascii="Cambria" w:eastAsia="Cambria" w:hAnsi="Cambria" w:cs="Cambria"/>
      <w:b/>
      <w:bCs/>
    </w:rPr>
  </w:style>
  <w:style w:type="character" w:customStyle="1" w:styleId="Heading4Char">
    <w:name w:val="Heading 4 Char"/>
    <w:basedOn w:val="DefaultParagraphFont"/>
    <w:link w:val="Heading4"/>
    <w:semiHidden/>
    <w:rPr>
      <w:rFonts w:ascii="Cambria" w:eastAsia="Cambria" w:hAnsi="Cambria" w:cs="Cambria"/>
      <w:b/>
      <w:bCs/>
      <w:i/>
      <w:iCs/>
      <w:color w:val="4F81BD"/>
    </w:rPr>
  </w:style>
  <w:style w:type="character" w:customStyle="1" w:styleId="Heading5Char">
    <w:name w:val="Heading 5 Char"/>
    <w:basedOn w:val="DefaultParagraphFont"/>
    <w:link w:val="Heading5"/>
    <w:semiHidden/>
    <w:rPr>
      <w:rFonts w:ascii="Cambria" w:eastAsia="Cambria" w:hAnsi="Cambria" w:cs="Cambria"/>
      <w:color w:val="243F60"/>
    </w:rPr>
  </w:style>
  <w:style w:type="character" w:customStyle="1" w:styleId="Heading6Char">
    <w:name w:val="Heading 6 Char"/>
    <w:basedOn w:val="DefaultParagraphFont"/>
    <w:link w:val="Heading6"/>
    <w:semiHidden/>
    <w:rPr>
      <w:rFonts w:ascii="Cambria" w:eastAsia="Cambria" w:hAnsi="Cambria" w:cs="Cambria"/>
      <w:i/>
      <w:iCs/>
      <w:color w:val="243F60"/>
    </w:rPr>
  </w:style>
  <w:style w:type="character" w:customStyle="1" w:styleId="Heading7Char">
    <w:name w:val="Heading 7 Char"/>
    <w:basedOn w:val="DefaultParagraphFont"/>
    <w:link w:val="Heading7"/>
    <w:semiHidden/>
    <w:rPr>
      <w:rFonts w:ascii="Cambria" w:eastAsia="Cambria" w:hAnsi="Cambria" w:cs="Cambria"/>
      <w:i/>
      <w:iCs/>
      <w:color w:val="404040"/>
    </w:rPr>
  </w:style>
  <w:style w:type="character" w:customStyle="1" w:styleId="Heading8Char">
    <w:name w:val="Heading 8 Char"/>
    <w:basedOn w:val="DefaultParagraphFont"/>
    <w:link w:val="Heading8"/>
    <w:semiHidden/>
    <w:rPr>
      <w:rFonts w:ascii="Cambria" w:eastAsia="Cambria" w:hAnsi="Cambria" w:cs="Cambria"/>
      <w:color w:val="404040"/>
      <w:sz w:val="20"/>
      <w:szCs w:val="20"/>
    </w:rPr>
  </w:style>
  <w:style w:type="character" w:customStyle="1" w:styleId="Heading9Char">
    <w:name w:val="Heading 9 Char"/>
    <w:basedOn w:val="DefaultParagraphFont"/>
    <w:link w:val="Heading9"/>
    <w:semiHidden/>
    <w:rPr>
      <w:rFonts w:ascii="Cambria" w:eastAsia="Cambria" w:hAnsi="Cambria" w:cs="Cambria"/>
      <w:i/>
      <w:iCs/>
      <w:color w:val="404040"/>
      <w:sz w:val="20"/>
      <w:szCs w:val="20"/>
    </w:rPr>
  </w:style>
  <w:style w:type="paragraph" w:styleId="ListParagraph">
    <w:name w:val="List Paragraph"/>
    <w:basedOn w:val="Normal"/>
    <w:qFormat/>
    <w:pPr>
      <w:ind w:left="720"/>
      <w:contextualSpacing/>
    </w:pPr>
  </w:style>
  <w:style w:type="character" w:customStyle="1" w:styleId="CommentReference1">
    <w:name w:val="Comment Reference1"/>
    <w:basedOn w:val="DefaultParagraphFont"/>
    <w:semiHidden/>
    <w:unhideWhenUsed/>
    <w:rPr>
      <w:sz w:val="16"/>
      <w:szCs w:val="16"/>
    </w:rPr>
  </w:style>
  <w:style w:type="paragraph" w:customStyle="1" w:styleId="CommentText1">
    <w:name w:val="Comment Text1"/>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1"/>
    <w:semiHidden/>
    <w:rPr>
      <w:rFonts w:ascii="Cambria" w:eastAsia="Cambria" w:hAnsi="Cambria" w:cs="Cambria"/>
      <w:sz w:val="20"/>
      <w:szCs w:val="20"/>
    </w:rPr>
  </w:style>
  <w:style w:type="paragraph" w:styleId="FootnoteText">
    <w:name w:val="footnote text"/>
    <w:basedOn w:val="Normal"/>
    <w:link w:val="FootnoteTextChar"/>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Pr>
      <w:rFonts w:ascii="Calibri" w:eastAsia="Calibri" w:hAnsi="Calibri" w:cs="Times New Roman"/>
      <w:sz w:val="20"/>
    </w:rPr>
  </w:style>
  <w:style w:type="character" w:styleId="FootnoteReference">
    <w:name w:val="footnote reference"/>
    <w:basedOn w:val="DefaultParagraphFont"/>
    <w:unhideWhenUsed/>
    <w:rPr>
      <w:vertAlign w:val="superscript"/>
    </w:rPr>
  </w:style>
  <w:style w:type="paragraph" w:styleId="ListBullet">
    <w:name w:val="List Bullet"/>
    <w:basedOn w:val="Normal"/>
    <w:unhideWhenUsed/>
    <w:pPr>
      <w:ind w:left="425" w:hanging="425"/>
      <w:contextualSpacing/>
    </w:pPr>
  </w:style>
  <w:style w:type="character" w:styleId="Hyperlink">
    <w:name w:val="Hyperlink"/>
    <w:basedOn w:val="DefaultParagraphFont"/>
    <w:uiPriority w:val="99"/>
    <w:unhideWhenUsed/>
    <w:rPr>
      <w:color w:val="0000FF"/>
      <w:u w:val="single"/>
    </w:rPr>
  </w:style>
  <w:style w:type="table" w:styleId="LightGrid">
    <w:name w:val="Light Grid"/>
    <w:basedOn w:val="TableNormal"/>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Cambria"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vAlign w:val="top"/>
      </w:tcPr>
    </w:tblStylePr>
    <w:tblStylePr w:type="lastRow">
      <w:pPr>
        <w:spacing w:before="0" w:after="0" w:line="240" w:lineRule="auto"/>
      </w:pPr>
      <w:rPr>
        <w:rFonts w:ascii="Cambria" w:eastAsia="Cambria"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vAlign w:val="top"/>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000000"/>
          <w:left w:val="single" w:sz="8" w:space="0" w:color="000000"/>
          <w:bottom w:val="single" w:sz="8" w:space="0" w:color="000000"/>
          <w:right w:val="single" w:sz="8" w:space="0" w:color="000000"/>
        </w:tcBorders>
        <w:vAlign w:val="top"/>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vAlign w:val="top"/>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vAlign w:val="top"/>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vAlign w:val="top"/>
      </w:tcPr>
    </w:tblStyleP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rPr>
      <w:rFonts w:ascii="Cambria" w:eastAsia="Cambria" w:hAnsi="Cambria" w:cs="Cambria"/>
    </w:rPr>
  </w:style>
  <w:style w:type="paragraph" w:styleId="BalloonText">
    <w:name w:val="Balloon Text"/>
    <w:basedOn w:val="Normal"/>
    <w:link w:val="BalloonTextChar"/>
    <w:semiHidden/>
    <w:unhideWhenUsed/>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paragraph" w:customStyle="1" w:styleId="BoxWarning">
    <w:name w:val="BoxWarning"/>
    <w:basedOn w:val="Normal"/>
    <w:link w:val="BoxWarningChar"/>
    <w:qFormat/>
    <w:pPr>
      <w:pBdr>
        <w:top w:val="single" w:sz="4" w:space="1" w:color="auto"/>
        <w:left w:val="single" w:sz="4" w:space="4" w:color="auto"/>
        <w:bottom w:val="single" w:sz="4" w:space="1" w:color="auto"/>
        <w:right w:val="single" w:sz="4" w:space="4" w:color="auto"/>
      </w:pBdr>
    </w:pPr>
    <w:rPr>
      <w:b/>
      <w:snapToGrid w:val="0"/>
      <w:color w:val="000000"/>
    </w:rPr>
  </w:style>
  <w:style w:type="character" w:customStyle="1" w:styleId="BoxWarningChar">
    <w:name w:val="BoxWarning Char"/>
    <w:basedOn w:val="DefaultParagraphFont"/>
    <w:link w:val="BoxWarning"/>
    <w:rPr>
      <w:b/>
      <w:snapToGrid w:val="0"/>
      <w:color w:val="000000"/>
    </w:rPr>
  </w:style>
  <w:style w:type="paragraph" w:customStyle="1" w:styleId="TableParagraph">
    <w:name w:val="Table Paragraph"/>
    <w:basedOn w:val="Normal"/>
    <w:uiPriority w:val="1"/>
    <w:qFormat/>
    <w:rsid w:val="0001573B"/>
    <w:pPr>
      <w:widowControl w:val="0"/>
      <w:autoSpaceDE w:val="0"/>
      <w:autoSpaceDN w:val="0"/>
      <w:adjustRightInd w:val="0"/>
      <w:spacing w:before="18" w:after="0" w:line="240" w:lineRule="auto"/>
    </w:pPr>
    <w:rPr>
      <w:rFonts w:ascii="Times New Roman" w:eastAsiaTheme="minorEastAsia" w:hAnsi="Times New Roman" w:cs="Times New Roman"/>
      <w:sz w:val="24"/>
      <w:szCs w:val="24"/>
      <w:lang w:val="en-PH" w:eastAsia="en-PH"/>
    </w:rPr>
  </w:style>
  <w:style w:type="paragraph" w:styleId="NoSpacing">
    <w:name w:val="No Spacing"/>
    <w:uiPriority w:val="1"/>
    <w:qFormat/>
    <w:rsid w:val="0001573B"/>
    <w:pPr>
      <w:spacing w:after="0" w:line="240" w:lineRule="auto"/>
    </w:pPr>
    <w:rPr>
      <w:rFonts w:ascii="Cambria" w:eastAsia="Cambria" w:hAnsi="Cambria" w:cs="Cambria"/>
    </w:rPr>
  </w:style>
  <w:style w:type="paragraph" w:styleId="Header">
    <w:name w:val="header"/>
    <w:basedOn w:val="Normal"/>
    <w:link w:val="HeaderChar"/>
    <w:uiPriority w:val="99"/>
    <w:unhideWhenUsed/>
    <w:rsid w:val="004A0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E38"/>
    <w:rPr>
      <w:rFonts w:ascii="Cambria" w:eastAsia="Cambria" w:hAnsi="Cambria" w:cs="Cambria"/>
    </w:rPr>
  </w:style>
  <w:style w:type="paragraph" w:styleId="BodyText">
    <w:name w:val="Body Text"/>
    <w:basedOn w:val="Normal"/>
    <w:link w:val="BodyTextChar"/>
    <w:uiPriority w:val="1"/>
    <w:qFormat/>
    <w:rsid w:val="009C0A82"/>
    <w:pPr>
      <w:widowControl w:val="0"/>
      <w:autoSpaceDE w:val="0"/>
      <w:autoSpaceDN w:val="0"/>
      <w:adjustRightInd w:val="0"/>
      <w:spacing w:after="0" w:line="240" w:lineRule="auto"/>
    </w:pPr>
    <w:rPr>
      <w:rFonts w:ascii="Times New Roman" w:eastAsiaTheme="minorEastAsia" w:hAnsi="Times New Roman" w:cs="Times New Roman"/>
      <w:sz w:val="24"/>
      <w:szCs w:val="24"/>
      <w:lang w:val="en-PH" w:eastAsia="en-PH"/>
    </w:rPr>
  </w:style>
  <w:style w:type="character" w:customStyle="1" w:styleId="BodyTextChar">
    <w:name w:val="Body Text Char"/>
    <w:basedOn w:val="DefaultParagraphFont"/>
    <w:link w:val="BodyText"/>
    <w:uiPriority w:val="1"/>
    <w:rsid w:val="009C0A82"/>
    <w:rPr>
      <w:rFonts w:ascii="Times New Roman" w:eastAsiaTheme="minorEastAsia" w:hAnsi="Times New Roman" w:cs="Times New Roman"/>
      <w:sz w:val="24"/>
      <w:szCs w:val="24"/>
      <w:lang w:val="en-PH" w:eastAsia="en-PH"/>
    </w:rPr>
  </w:style>
  <w:style w:type="paragraph" w:styleId="Caption">
    <w:name w:val="caption"/>
    <w:basedOn w:val="Normal"/>
    <w:next w:val="Normal"/>
    <w:qFormat/>
    <w:rsid w:val="00471703"/>
    <w:pPr>
      <w:spacing w:before="160" w:after="80" w:line="240" w:lineRule="auto"/>
    </w:pPr>
    <w:rPr>
      <w:rFonts w:ascii="Times New Roman" w:eastAsia="Times New Roman" w:hAnsi="Times New Roman" w:cs="Times New Roman"/>
      <w:b/>
      <w:bCs/>
      <w:sz w:val="18"/>
      <w:szCs w:val="20"/>
    </w:rPr>
  </w:style>
  <w:style w:type="paragraph" w:customStyle="1" w:styleId="TableTextHeading">
    <w:name w:val="TableTextHeading"/>
    <w:basedOn w:val="Normal"/>
    <w:rsid w:val="00471703"/>
    <w:pPr>
      <w:keepNext/>
      <w:spacing w:before="60" w:after="60" w:line="240" w:lineRule="auto"/>
      <w:jc w:val="center"/>
    </w:pPr>
    <w:rPr>
      <w:rFonts w:ascii="Times New Roman Bold" w:eastAsia="Times New Roman" w:hAnsi="Times New Roman Bold" w:cs="Times New Roman"/>
      <w:b/>
      <w:sz w:val="24"/>
      <w:szCs w:val="20"/>
      <w:lang w:val="en-US" w:eastAsia="de-DE"/>
    </w:rPr>
  </w:style>
  <w:style w:type="paragraph" w:customStyle="1" w:styleId="TableTextCharChar">
    <w:name w:val="TableText Char Char"/>
    <w:basedOn w:val="Normal"/>
    <w:link w:val="TableTextCharCharChar"/>
    <w:rsid w:val="00471703"/>
    <w:pPr>
      <w:keepNext/>
      <w:spacing w:before="60" w:after="60" w:line="240" w:lineRule="auto"/>
    </w:pPr>
    <w:rPr>
      <w:rFonts w:ascii="Times New Roman" w:eastAsia="Times New Roman" w:hAnsi="Times New Roman" w:cs="Times New Roman"/>
      <w:sz w:val="24"/>
      <w:szCs w:val="20"/>
      <w:lang w:val="en-US" w:eastAsia="de-DE"/>
    </w:rPr>
  </w:style>
  <w:style w:type="character" w:customStyle="1" w:styleId="TableTextCharCharChar">
    <w:name w:val="TableText Char Char Char"/>
    <w:link w:val="TableTextCharChar"/>
    <w:rsid w:val="00471703"/>
    <w:rPr>
      <w:rFonts w:ascii="Times New Roman" w:eastAsia="Times New Roman" w:hAnsi="Times New Roman" w:cs="Times New Roman"/>
      <w:sz w:val="24"/>
      <w:szCs w:val="20"/>
      <w:lang w:val="en-US" w:eastAsia="de-DE"/>
    </w:rPr>
  </w:style>
  <w:style w:type="character" w:styleId="CommentReference">
    <w:name w:val="annotation reference"/>
    <w:basedOn w:val="DefaultParagraphFont"/>
    <w:uiPriority w:val="99"/>
    <w:semiHidden/>
    <w:unhideWhenUsed/>
    <w:rsid w:val="00104103"/>
    <w:rPr>
      <w:sz w:val="16"/>
      <w:szCs w:val="16"/>
    </w:rPr>
  </w:style>
  <w:style w:type="paragraph" w:styleId="CommentText">
    <w:name w:val="annotation text"/>
    <w:basedOn w:val="Normal"/>
    <w:link w:val="CommentTextChar1"/>
    <w:uiPriority w:val="99"/>
    <w:semiHidden/>
    <w:unhideWhenUsed/>
    <w:rsid w:val="00104103"/>
    <w:pPr>
      <w:spacing w:line="240" w:lineRule="auto"/>
    </w:pPr>
    <w:rPr>
      <w:sz w:val="20"/>
      <w:szCs w:val="20"/>
    </w:rPr>
  </w:style>
  <w:style w:type="character" w:customStyle="1" w:styleId="CommentTextChar1">
    <w:name w:val="Comment Text Char1"/>
    <w:basedOn w:val="DefaultParagraphFont"/>
    <w:link w:val="CommentText"/>
    <w:uiPriority w:val="99"/>
    <w:semiHidden/>
    <w:rsid w:val="00104103"/>
    <w:rPr>
      <w:rFonts w:asciiTheme="majorHAnsi" w:eastAsia="Cambria" w:hAnsiTheme="majorHAnsi" w:cs="Cambria"/>
      <w:sz w:val="20"/>
      <w:szCs w:val="20"/>
    </w:rPr>
  </w:style>
  <w:style w:type="paragraph" w:styleId="CommentSubject">
    <w:name w:val="annotation subject"/>
    <w:basedOn w:val="CommentText"/>
    <w:next w:val="CommentText"/>
    <w:link w:val="CommentSubjectChar"/>
    <w:uiPriority w:val="99"/>
    <w:semiHidden/>
    <w:unhideWhenUsed/>
    <w:rsid w:val="00104103"/>
    <w:rPr>
      <w:b/>
      <w:bCs/>
    </w:rPr>
  </w:style>
  <w:style w:type="character" w:customStyle="1" w:styleId="CommentSubjectChar">
    <w:name w:val="Comment Subject Char"/>
    <w:basedOn w:val="CommentTextChar1"/>
    <w:link w:val="CommentSubject"/>
    <w:uiPriority w:val="99"/>
    <w:semiHidden/>
    <w:rsid w:val="00104103"/>
    <w:rPr>
      <w:rFonts w:asciiTheme="majorHAnsi" w:eastAsia="Cambria" w:hAnsiTheme="majorHAnsi" w:cs="Cambria"/>
      <w:b/>
      <w:bCs/>
      <w:sz w:val="20"/>
      <w:szCs w:val="20"/>
    </w:rPr>
  </w:style>
  <w:style w:type="paragraph" w:styleId="Date">
    <w:name w:val="Date"/>
    <w:basedOn w:val="Normal"/>
    <w:next w:val="Normal"/>
    <w:link w:val="DateChar"/>
    <w:rsid w:val="002C42C6"/>
    <w:pPr>
      <w:spacing w:after="0" w:line="240" w:lineRule="auto"/>
    </w:pPr>
    <w:rPr>
      <w:rFonts w:ascii="Times New Roman" w:eastAsia="Times New Roman" w:hAnsi="Times New Roman" w:cs="Times New Roman"/>
      <w:szCs w:val="20"/>
      <w:lang w:val="en-GB"/>
    </w:rPr>
  </w:style>
  <w:style w:type="character" w:customStyle="1" w:styleId="DateChar">
    <w:name w:val="Date Char"/>
    <w:basedOn w:val="DefaultParagraphFont"/>
    <w:link w:val="Date"/>
    <w:rsid w:val="002C42C6"/>
    <w:rPr>
      <w:rFonts w:ascii="Times New Roman" w:eastAsia="Times New Roman" w:hAnsi="Times New Roman" w:cs="Times New Roman"/>
      <w:szCs w:val="20"/>
      <w:lang w:val="en-GB"/>
    </w:rPr>
  </w:style>
  <w:style w:type="paragraph" w:styleId="NormalWeb">
    <w:name w:val="Normal (Web)"/>
    <w:basedOn w:val="Normal"/>
    <w:uiPriority w:val="99"/>
    <w:semiHidden/>
    <w:unhideWhenUsed/>
    <w:rsid w:val="0072408A"/>
    <w:pPr>
      <w:spacing w:before="100" w:beforeAutospacing="1" w:after="100" w:afterAutospacing="1" w:line="240" w:lineRule="auto"/>
    </w:pPr>
    <w:rPr>
      <w:rFonts w:ascii="Times New Roman" w:eastAsia="MS Mincho"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59227">
      <w:bodyDiv w:val="1"/>
      <w:marLeft w:val="0"/>
      <w:marRight w:val="0"/>
      <w:marTop w:val="0"/>
      <w:marBottom w:val="0"/>
      <w:divBdr>
        <w:top w:val="none" w:sz="0" w:space="0" w:color="auto"/>
        <w:left w:val="none" w:sz="0" w:space="0" w:color="auto"/>
        <w:bottom w:val="none" w:sz="0" w:space="0" w:color="auto"/>
        <w:right w:val="none" w:sz="0" w:space="0" w:color="auto"/>
      </w:divBdr>
    </w:div>
    <w:div w:id="1548713659">
      <w:bodyDiv w:val="1"/>
      <w:marLeft w:val="0"/>
      <w:marRight w:val="0"/>
      <w:marTop w:val="0"/>
      <w:marBottom w:val="0"/>
      <w:divBdr>
        <w:top w:val="none" w:sz="0" w:space="0" w:color="auto"/>
        <w:left w:val="none" w:sz="0" w:space="0" w:color="auto"/>
        <w:bottom w:val="none" w:sz="0" w:space="0" w:color="auto"/>
        <w:right w:val="none" w:sz="0" w:space="0" w:color="auto"/>
      </w:divBdr>
    </w:div>
    <w:div w:id="1874221392">
      <w:bodyDiv w:val="1"/>
      <w:marLeft w:val="0"/>
      <w:marRight w:val="0"/>
      <w:marTop w:val="0"/>
      <w:marBottom w:val="0"/>
      <w:divBdr>
        <w:top w:val="none" w:sz="0" w:space="0" w:color="auto"/>
        <w:left w:val="none" w:sz="0" w:space="0" w:color="auto"/>
        <w:bottom w:val="none" w:sz="0" w:space="0" w:color="auto"/>
        <w:right w:val="none" w:sz="0" w:space="0" w:color="auto"/>
      </w:divBdr>
    </w:div>
    <w:div w:id="1920483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baustralia.com.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4FE9-39BB-404F-9EDC-575FFF0A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8355</Words>
  <Characters>47128</Characters>
  <Application>Microsoft Office Word</Application>
  <DocSecurity>0</DocSecurity>
  <Lines>1346</Lines>
  <Paragraphs>804</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54679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Lacosamide</dc:title>
  <dc:creator>Therapeutic Goods Administration</dc:creator>
  <cp:lastModifiedBy>LACK, Janet</cp:lastModifiedBy>
  <cp:revision>3</cp:revision>
  <cp:lastPrinted>2017-11-20T22:31:00Z</cp:lastPrinted>
  <dcterms:created xsi:type="dcterms:W3CDTF">2020-02-10T23:39:00Z</dcterms:created>
  <dcterms:modified xsi:type="dcterms:W3CDTF">2020-02-10T23:40:00Z</dcterms:modified>
</cp:coreProperties>
</file>