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D962DD" w:rsidP="008D3764">
            <w:pPr>
              <w:rPr>
                <w:rFonts w:ascii="Arial" w:hAnsi="Arial" w:cs="Arial"/>
                <w:b/>
                <w:color w:val="002C47"/>
                <w:sz w:val="36"/>
                <w:szCs w:val="36"/>
              </w:rPr>
            </w:pPr>
            <w:r>
              <w:rPr>
                <w:rFonts w:ascii="Arial" w:hAnsi="Arial" w:cs="Arial"/>
                <w:b/>
                <w:color w:val="002C47"/>
                <w:sz w:val="36"/>
                <w:szCs w:val="36"/>
              </w:rPr>
              <w:t>January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Australian Pu</w:t>
            </w:r>
            <w:r w:rsidR="008D3764">
              <w:rPr>
                <w:color w:val="FFFFFF" w:themeColor="background1"/>
              </w:rPr>
              <w:t>bli</w:t>
            </w:r>
            <w:r w:rsidR="00F3073B">
              <w:rPr>
                <w:color w:val="FFFFFF" w:themeColor="background1"/>
              </w:rPr>
              <w:t xml:space="preserve">c Assessment Report for </w:t>
            </w:r>
            <w:proofErr w:type="spellStart"/>
            <w:r w:rsidR="0078446E">
              <w:rPr>
                <w:color w:val="FFFFFF" w:themeColor="background1"/>
              </w:rPr>
              <w:t>Kaldyeco</w:t>
            </w:r>
            <w:proofErr w:type="spellEnd"/>
          </w:p>
        </w:tc>
      </w:tr>
      <w:tr w:rsidR="0032583B" w:rsidRPr="00B64760" w:rsidTr="0032583B">
        <w:tc>
          <w:tcPr>
            <w:tcW w:w="9079" w:type="dxa"/>
          </w:tcPr>
          <w:p w:rsidR="0032583B" w:rsidRPr="008E7846" w:rsidRDefault="008D3764" w:rsidP="006C3669">
            <w:pPr>
              <w:pStyle w:val="Subtitle"/>
              <w:rPr>
                <w:color w:val="FFFFFF" w:themeColor="background1"/>
              </w:rPr>
            </w:pPr>
            <w:r>
              <w:rPr>
                <w:color w:val="FFFFFF" w:themeColor="background1"/>
              </w:rPr>
              <w:t>Proprietary Product Name:</w:t>
            </w:r>
            <w:r w:rsidR="00B845F6">
              <w:rPr>
                <w:color w:val="FFFFFF" w:themeColor="background1"/>
              </w:rPr>
              <w:t xml:space="preserve"> </w:t>
            </w:r>
            <w:proofErr w:type="spellStart"/>
            <w:r w:rsidR="006C3669">
              <w:rPr>
                <w:color w:val="FFFFFF" w:themeColor="background1"/>
              </w:rPr>
              <w:t>I</w:t>
            </w:r>
            <w:r>
              <w:rPr>
                <w:color w:val="FFFFFF" w:themeColor="background1"/>
              </w:rPr>
              <w:t>vacaftor</w:t>
            </w:r>
            <w:proofErr w:type="spellEnd"/>
            <w:r w:rsidR="0032583B" w:rsidRPr="008E7846">
              <w:rPr>
                <w:color w:val="FFFFFF" w:themeColor="background1"/>
              </w:rPr>
              <w:t xml:space="preserve"> </w:t>
            </w:r>
          </w:p>
        </w:tc>
      </w:tr>
      <w:tr w:rsidR="0032583B" w:rsidRPr="00B64760" w:rsidTr="0032583B">
        <w:trPr>
          <w:trHeight w:val="486"/>
        </w:trPr>
        <w:tc>
          <w:tcPr>
            <w:tcW w:w="9079" w:type="dxa"/>
          </w:tcPr>
          <w:p w:rsidR="0032583B" w:rsidRPr="008E7846" w:rsidRDefault="008D3764" w:rsidP="0032583B">
            <w:pPr>
              <w:pStyle w:val="Subtitle"/>
              <w:rPr>
                <w:color w:val="FFFFFF" w:themeColor="background1"/>
              </w:rPr>
            </w:pPr>
            <w:r>
              <w:rPr>
                <w:color w:val="FFFFFF" w:themeColor="background1"/>
              </w:rPr>
              <w:t>Sponsor:</w:t>
            </w:r>
            <w:r w:rsidR="00B845F6">
              <w:rPr>
                <w:color w:val="FFFFFF" w:themeColor="background1"/>
              </w:rPr>
              <w:t xml:space="preserve"> </w:t>
            </w:r>
            <w:r>
              <w:rPr>
                <w:color w:val="FFFFFF" w:themeColor="background1"/>
              </w:rPr>
              <w:t>Vertex Pharmaceuticals Australia</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F59DC">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w:t>
          </w:r>
          <w:bookmarkStart w:id="2" w:name="_GoBack"/>
          <w:bookmarkEnd w:id="2"/>
          <w:r w:rsidRPr="0010788A">
            <w:t>ntents</w:t>
          </w:r>
        </w:p>
        <w:p w:rsidR="00527E9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2521772" w:history="1">
            <w:r w:rsidR="00527E90" w:rsidRPr="00B535DA">
              <w:rPr>
                <w:rStyle w:val="Hyperlink"/>
                <w:noProof/>
              </w:rPr>
              <w:t>Common abbreviations</w:t>
            </w:r>
            <w:r w:rsidR="00527E90">
              <w:rPr>
                <w:noProof/>
                <w:webHidden/>
              </w:rPr>
              <w:tab/>
            </w:r>
            <w:r w:rsidR="00527E90">
              <w:rPr>
                <w:noProof/>
                <w:webHidden/>
              </w:rPr>
              <w:fldChar w:fldCharType="begin"/>
            </w:r>
            <w:r w:rsidR="00527E90">
              <w:rPr>
                <w:noProof/>
                <w:webHidden/>
              </w:rPr>
              <w:instrText xml:space="preserve"> PAGEREF _Toc472521772 \h </w:instrText>
            </w:r>
            <w:r w:rsidR="00527E90">
              <w:rPr>
                <w:noProof/>
                <w:webHidden/>
              </w:rPr>
            </w:r>
            <w:r w:rsidR="00527E90">
              <w:rPr>
                <w:noProof/>
                <w:webHidden/>
              </w:rPr>
              <w:fldChar w:fldCharType="separate"/>
            </w:r>
            <w:r w:rsidR="00527E90">
              <w:rPr>
                <w:noProof/>
                <w:webHidden/>
              </w:rPr>
              <w:t>5</w:t>
            </w:r>
            <w:r w:rsidR="00527E90">
              <w:rPr>
                <w:noProof/>
                <w:webHidden/>
              </w:rPr>
              <w:fldChar w:fldCharType="end"/>
            </w:r>
          </w:hyperlink>
        </w:p>
        <w:p w:rsidR="00527E90" w:rsidRDefault="00527E90">
          <w:pPr>
            <w:pStyle w:val="TOC2"/>
            <w:rPr>
              <w:rFonts w:asciiTheme="minorHAnsi" w:eastAsiaTheme="minorEastAsia" w:hAnsiTheme="minorHAnsi" w:cstheme="minorBidi"/>
              <w:b w:val="0"/>
              <w:noProof/>
              <w:sz w:val="22"/>
              <w:lang w:eastAsia="en-AU"/>
            </w:rPr>
          </w:pPr>
          <w:hyperlink w:anchor="_Toc472521773" w:history="1">
            <w:r w:rsidRPr="00B535DA">
              <w:rPr>
                <w:rStyle w:val="Hyperlink"/>
                <w:noProof/>
              </w:rPr>
              <w:t>I. Introduction to product submission</w:t>
            </w:r>
            <w:r>
              <w:rPr>
                <w:noProof/>
                <w:webHidden/>
              </w:rPr>
              <w:tab/>
            </w:r>
            <w:r>
              <w:rPr>
                <w:noProof/>
                <w:webHidden/>
              </w:rPr>
              <w:fldChar w:fldCharType="begin"/>
            </w:r>
            <w:r>
              <w:rPr>
                <w:noProof/>
                <w:webHidden/>
              </w:rPr>
              <w:instrText xml:space="preserve"> PAGEREF _Toc472521773 \h </w:instrText>
            </w:r>
            <w:r>
              <w:rPr>
                <w:noProof/>
                <w:webHidden/>
              </w:rPr>
            </w:r>
            <w:r>
              <w:rPr>
                <w:noProof/>
                <w:webHidden/>
              </w:rPr>
              <w:fldChar w:fldCharType="separate"/>
            </w:r>
            <w:r>
              <w:rPr>
                <w:noProof/>
                <w:webHidden/>
              </w:rPr>
              <w:t>10</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74" w:history="1">
            <w:r w:rsidRPr="00B535DA">
              <w:rPr>
                <w:rStyle w:val="Hyperlink"/>
                <w:noProof/>
                <w:lang w:eastAsia="en-AU"/>
              </w:rPr>
              <w:t>Submission details</w:t>
            </w:r>
            <w:r>
              <w:rPr>
                <w:noProof/>
                <w:webHidden/>
              </w:rPr>
              <w:tab/>
            </w:r>
            <w:r>
              <w:rPr>
                <w:noProof/>
                <w:webHidden/>
              </w:rPr>
              <w:fldChar w:fldCharType="begin"/>
            </w:r>
            <w:r>
              <w:rPr>
                <w:noProof/>
                <w:webHidden/>
              </w:rPr>
              <w:instrText xml:space="preserve"> PAGEREF _Toc472521774 \h </w:instrText>
            </w:r>
            <w:r>
              <w:rPr>
                <w:noProof/>
                <w:webHidden/>
              </w:rPr>
            </w:r>
            <w:r>
              <w:rPr>
                <w:noProof/>
                <w:webHidden/>
              </w:rPr>
              <w:fldChar w:fldCharType="separate"/>
            </w:r>
            <w:r>
              <w:rPr>
                <w:noProof/>
                <w:webHidden/>
              </w:rPr>
              <w:t>10</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75" w:history="1">
            <w:r w:rsidRPr="00B535DA">
              <w:rPr>
                <w:rStyle w:val="Hyperlink"/>
                <w:noProof/>
              </w:rPr>
              <w:t>Product background</w:t>
            </w:r>
            <w:r>
              <w:rPr>
                <w:noProof/>
                <w:webHidden/>
              </w:rPr>
              <w:tab/>
            </w:r>
            <w:r>
              <w:rPr>
                <w:noProof/>
                <w:webHidden/>
              </w:rPr>
              <w:fldChar w:fldCharType="begin"/>
            </w:r>
            <w:r>
              <w:rPr>
                <w:noProof/>
                <w:webHidden/>
              </w:rPr>
              <w:instrText xml:space="preserve"> PAGEREF _Toc472521775 \h </w:instrText>
            </w:r>
            <w:r>
              <w:rPr>
                <w:noProof/>
                <w:webHidden/>
              </w:rPr>
            </w:r>
            <w:r>
              <w:rPr>
                <w:noProof/>
                <w:webHidden/>
              </w:rPr>
              <w:fldChar w:fldCharType="separate"/>
            </w:r>
            <w:r>
              <w:rPr>
                <w:noProof/>
                <w:webHidden/>
              </w:rPr>
              <w:t>10</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76" w:history="1">
            <w:r w:rsidRPr="00B535DA">
              <w:rPr>
                <w:rStyle w:val="Hyperlink"/>
                <w:noProof/>
              </w:rPr>
              <w:t>Regulatory status</w:t>
            </w:r>
            <w:r>
              <w:rPr>
                <w:noProof/>
                <w:webHidden/>
              </w:rPr>
              <w:tab/>
            </w:r>
            <w:r>
              <w:rPr>
                <w:noProof/>
                <w:webHidden/>
              </w:rPr>
              <w:fldChar w:fldCharType="begin"/>
            </w:r>
            <w:r>
              <w:rPr>
                <w:noProof/>
                <w:webHidden/>
              </w:rPr>
              <w:instrText xml:space="preserve"> PAGEREF _Toc472521776 \h </w:instrText>
            </w:r>
            <w:r>
              <w:rPr>
                <w:noProof/>
                <w:webHidden/>
              </w:rPr>
            </w:r>
            <w:r>
              <w:rPr>
                <w:noProof/>
                <w:webHidden/>
              </w:rPr>
              <w:fldChar w:fldCharType="separate"/>
            </w:r>
            <w:r>
              <w:rPr>
                <w:noProof/>
                <w:webHidden/>
              </w:rPr>
              <w:t>11</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77" w:history="1">
            <w:r w:rsidRPr="00B535DA">
              <w:rPr>
                <w:rStyle w:val="Hyperlink"/>
                <w:noProof/>
              </w:rPr>
              <w:t>Product Information</w:t>
            </w:r>
            <w:r>
              <w:rPr>
                <w:noProof/>
                <w:webHidden/>
              </w:rPr>
              <w:tab/>
            </w:r>
            <w:r>
              <w:rPr>
                <w:noProof/>
                <w:webHidden/>
              </w:rPr>
              <w:fldChar w:fldCharType="begin"/>
            </w:r>
            <w:r>
              <w:rPr>
                <w:noProof/>
                <w:webHidden/>
              </w:rPr>
              <w:instrText xml:space="preserve"> PAGEREF _Toc472521777 \h </w:instrText>
            </w:r>
            <w:r>
              <w:rPr>
                <w:noProof/>
                <w:webHidden/>
              </w:rPr>
            </w:r>
            <w:r>
              <w:rPr>
                <w:noProof/>
                <w:webHidden/>
              </w:rPr>
              <w:fldChar w:fldCharType="separate"/>
            </w:r>
            <w:r>
              <w:rPr>
                <w:noProof/>
                <w:webHidden/>
              </w:rPr>
              <w:t>12</w:t>
            </w:r>
            <w:r>
              <w:rPr>
                <w:noProof/>
                <w:webHidden/>
              </w:rPr>
              <w:fldChar w:fldCharType="end"/>
            </w:r>
          </w:hyperlink>
        </w:p>
        <w:p w:rsidR="00527E90" w:rsidRDefault="00527E90">
          <w:pPr>
            <w:pStyle w:val="TOC2"/>
            <w:rPr>
              <w:rFonts w:asciiTheme="minorHAnsi" w:eastAsiaTheme="minorEastAsia" w:hAnsiTheme="minorHAnsi" w:cstheme="minorBidi"/>
              <w:b w:val="0"/>
              <w:noProof/>
              <w:sz w:val="22"/>
              <w:lang w:eastAsia="en-AU"/>
            </w:rPr>
          </w:pPr>
          <w:hyperlink w:anchor="_Toc472521778" w:history="1">
            <w:r w:rsidRPr="00B535DA">
              <w:rPr>
                <w:rStyle w:val="Hyperlink"/>
                <w:noProof/>
              </w:rPr>
              <w:t>II. Quality findings</w:t>
            </w:r>
            <w:r>
              <w:rPr>
                <w:noProof/>
                <w:webHidden/>
              </w:rPr>
              <w:tab/>
            </w:r>
            <w:r>
              <w:rPr>
                <w:noProof/>
                <w:webHidden/>
              </w:rPr>
              <w:fldChar w:fldCharType="begin"/>
            </w:r>
            <w:r>
              <w:rPr>
                <w:noProof/>
                <w:webHidden/>
              </w:rPr>
              <w:instrText xml:space="preserve"> PAGEREF _Toc472521778 \h </w:instrText>
            </w:r>
            <w:r>
              <w:rPr>
                <w:noProof/>
                <w:webHidden/>
              </w:rPr>
            </w:r>
            <w:r>
              <w:rPr>
                <w:noProof/>
                <w:webHidden/>
              </w:rPr>
              <w:fldChar w:fldCharType="separate"/>
            </w:r>
            <w:r>
              <w:rPr>
                <w:noProof/>
                <w:webHidden/>
              </w:rPr>
              <w:t>12</w:t>
            </w:r>
            <w:r>
              <w:rPr>
                <w:noProof/>
                <w:webHidden/>
              </w:rPr>
              <w:fldChar w:fldCharType="end"/>
            </w:r>
          </w:hyperlink>
        </w:p>
        <w:p w:rsidR="00527E90" w:rsidRDefault="00527E90">
          <w:pPr>
            <w:pStyle w:val="TOC2"/>
            <w:rPr>
              <w:rFonts w:asciiTheme="minorHAnsi" w:eastAsiaTheme="minorEastAsia" w:hAnsiTheme="minorHAnsi" w:cstheme="minorBidi"/>
              <w:b w:val="0"/>
              <w:noProof/>
              <w:sz w:val="22"/>
              <w:lang w:eastAsia="en-AU"/>
            </w:rPr>
          </w:pPr>
          <w:hyperlink w:anchor="_Toc472521779" w:history="1">
            <w:r w:rsidRPr="00B535DA">
              <w:rPr>
                <w:rStyle w:val="Hyperlink"/>
                <w:noProof/>
              </w:rPr>
              <w:t>III. Nonclinical findings</w:t>
            </w:r>
            <w:r>
              <w:rPr>
                <w:noProof/>
                <w:webHidden/>
              </w:rPr>
              <w:tab/>
            </w:r>
            <w:r>
              <w:rPr>
                <w:noProof/>
                <w:webHidden/>
              </w:rPr>
              <w:fldChar w:fldCharType="begin"/>
            </w:r>
            <w:r>
              <w:rPr>
                <w:noProof/>
                <w:webHidden/>
              </w:rPr>
              <w:instrText xml:space="preserve"> PAGEREF _Toc472521779 \h </w:instrText>
            </w:r>
            <w:r>
              <w:rPr>
                <w:noProof/>
                <w:webHidden/>
              </w:rPr>
            </w:r>
            <w:r>
              <w:rPr>
                <w:noProof/>
                <w:webHidden/>
              </w:rPr>
              <w:fldChar w:fldCharType="separate"/>
            </w:r>
            <w:r>
              <w:rPr>
                <w:noProof/>
                <w:webHidden/>
              </w:rPr>
              <w:t>12</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80" w:history="1">
            <w:r w:rsidRPr="00B535DA">
              <w:rPr>
                <w:rStyle w:val="Hyperlink"/>
                <w:noProof/>
              </w:rPr>
              <w:t>Introduction</w:t>
            </w:r>
            <w:r>
              <w:rPr>
                <w:noProof/>
                <w:webHidden/>
              </w:rPr>
              <w:tab/>
            </w:r>
            <w:r>
              <w:rPr>
                <w:noProof/>
                <w:webHidden/>
              </w:rPr>
              <w:fldChar w:fldCharType="begin"/>
            </w:r>
            <w:r>
              <w:rPr>
                <w:noProof/>
                <w:webHidden/>
              </w:rPr>
              <w:instrText xml:space="preserve"> PAGEREF _Toc472521780 \h </w:instrText>
            </w:r>
            <w:r>
              <w:rPr>
                <w:noProof/>
                <w:webHidden/>
              </w:rPr>
            </w:r>
            <w:r>
              <w:rPr>
                <w:noProof/>
                <w:webHidden/>
              </w:rPr>
              <w:fldChar w:fldCharType="separate"/>
            </w:r>
            <w:r>
              <w:rPr>
                <w:noProof/>
                <w:webHidden/>
              </w:rPr>
              <w:t>12</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81" w:history="1">
            <w:r w:rsidRPr="00B535DA">
              <w:rPr>
                <w:rStyle w:val="Hyperlink"/>
                <w:noProof/>
              </w:rPr>
              <w:t>Pharmacology</w:t>
            </w:r>
            <w:r>
              <w:rPr>
                <w:noProof/>
                <w:webHidden/>
              </w:rPr>
              <w:tab/>
            </w:r>
            <w:r>
              <w:rPr>
                <w:noProof/>
                <w:webHidden/>
              </w:rPr>
              <w:fldChar w:fldCharType="begin"/>
            </w:r>
            <w:r>
              <w:rPr>
                <w:noProof/>
                <w:webHidden/>
              </w:rPr>
              <w:instrText xml:space="preserve"> PAGEREF _Toc472521781 \h </w:instrText>
            </w:r>
            <w:r>
              <w:rPr>
                <w:noProof/>
                <w:webHidden/>
              </w:rPr>
            </w:r>
            <w:r>
              <w:rPr>
                <w:noProof/>
                <w:webHidden/>
              </w:rPr>
              <w:fldChar w:fldCharType="separate"/>
            </w:r>
            <w:r>
              <w:rPr>
                <w:noProof/>
                <w:webHidden/>
              </w:rPr>
              <w:t>12</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82" w:history="1">
            <w:r w:rsidRPr="00B535DA">
              <w:rPr>
                <w:rStyle w:val="Hyperlink"/>
                <w:noProof/>
              </w:rPr>
              <w:t>Nonclinical summary and conclusions</w:t>
            </w:r>
            <w:r>
              <w:rPr>
                <w:noProof/>
                <w:webHidden/>
              </w:rPr>
              <w:tab/>
            </w:r>
            <w:r>
              <w:rPr>
                <w:noProof/>
                <w:webHidden/>
              </w:rPr>
              <w:fldChar w:fldCharType="begin"/>
            </w:r>
            <w:r>
              <w:rPr>
                <w:noProof/>
                <w:webHidden/>
              </w:rPr>
              <w:instrText xml:space="preserve"> PAGEREF _Toc472521782 \h </w:instrText>
            </w:r>
            <w:r>
              <w:rPr>
                <w:noProof/>
                <w:webHidden/>
              </w:rPr>
            </w:r>
            <w:r>
              <w:rPr>
                <w:noProof/>
                <w:webHidden/>
              </w:rPr>
              <w:fldChar w:fldCharType="separate"/>
            </w:r>
            <w:r>
              <w:rPr>
                <w:noProof/>
                <w:webHidden/>
              </w:rPr>
              <w:t>14</w:t>
            </w:r>
            <w:r>
              <w:rPr>
                <w:noProof/>
                <w:webHidden/>
              </w:rPr>
              <w:fldChar w:fldCharType="end"/>
            </w:r>
          </w:hyperlink>
        </w:p>
        <w:p w:rsidR="00527E90" w:rsidRDefault="00527E90">
          <w:pPr>
            <w:pStyle w:val="TOC2"/>
            <w:rPr>
              <w:rFonts w:asciiTheme="minorHAnsi" w:eastAsiaTheme="minorEastAsia" w:hAnsiTheme="minorHAnsi" w:cstheme="minorBidi"/>
              <w:b w:val="0"/>
              <w:noProof/>
              <w:sz w:val="22"/>
              <w:lang w:eastAsia="en-AU"/>
            </w:rPr>
          </w:pPr>
          <w:hyperlink w:anchor="_Toc472521783" w:history="1">
            <w:r w:rsidRPr="00B535DA">
              <w:rPr>
                <w:rStyle w:val="Hyperlink"/>
                <w:noProof/>
              </w:rPr>
              <w:t>IV. Clinical findings</w:t>
            </w:r>
            <w:r>
              <w:rPr>
                <w:noProof/>
                <w:webHidden/>
              </w:rPr>
              <w:tab/>
            </w:r>
            <w:r>
              <w:rPr>
                <w:noProof/>
                <w:webHidden/>
              </w:rPr>
              <w:fldChar w:fldCharType="begin"/>
            </w:r>
            <w:r>
              <w:rPr>
                <w:noProof/>
                <w:webHidden/>
              </w:rPr>
              <w:instrText xml:space="preserve"> PAGEREF _Toc472521783 \h </w:instrText>
            </w:r>
            <w:r>
              <w:rPr>
                <w:noProof/>
                <w:webHidden/>
              </w:rPr>
            </w:r>
            <w:r>
              <w:rPr>
                <w:noProof/>
                <w:webHidden/>
              </w:rPr>
              <w:fldChar w:fldCharType="separate"/>
            </w:r>
            <w:r>
              <w:rPr>
                <w:noProof/>
                <w:webHidden/>
              </w:rPr>
              <w:t>14</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84" w:history="1">
            <w:r w:rsidRPr="00B535DA">
              <w:rPr>
                <w:rStyle w:val="Hyperlink"/>
                <w:noProof/>
              </w:rPr>
              <w:t>Introduction</w:t>
            </w:r>
            <w:r>
              <w:rPr>
                <w:noProof/>
                <w:webHidden/>
              </w:rPr>
              <w:tab/>
            </w:r>
            <w:r>
              <w:rPr>
                <w:noProof/>
                <w:webHidden/>
              </w:rPr>
              <w:fldChar w:fldCharType="begin"/>
            </w:r>
            <w:r>
              <w:rPr>
                <w:noProof/>
                <w:webHidden/>
              </w:rPr>
              <w:instrText xml:space="preserve"> PAGEREF _Toc472521784 \h </w:instrText>
            </w:r>
            <w:r>
              <w:rPr>
                <w:noProof/>
                <w:webHidden/>
              </w:rPr>
            </w:r>
            <w:r>
              <w:rPr>
                <w:noProof/>
                <w:webHidden/>
              </w:rPr>
              <w:fldChar w:fldCharType="separate"/>
            </w:r>
            <w:r>
              <w:rPr>
                <w:noProof/>
                <w:webHidden/>
              </w:rPr>
              <w:t>14</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85" w:history="1">
            <w:r w:rsidRPr="00B535DA">
              <w:rPr>
                <w:rStyle w:val="Hyperlink"/>
                <w:noProof/>
              </w:rPr>
              <w:t>Pharmacokinetics</w:t>
            </w:r>
            <w:r>
              <w:rPr>
                <w:noProof/>
                <w:webHidden/>
              </w:rPr>
              <w:tab/>
            </w:r>
            <w:r>
              <w:rPr>
                <w:noProof/>
                <w:webHidden/>
              </w:rPr>
              <w:fldChar w:fldCharType="begin"/>
            </w:r>
            <w:r>
              <w:rPr>
                <w:noProof/>
                <w:webHidden/>
              </w:rPr>
              <w:instrText xml:space="preserve"> PAGEREF _Toc472521785 \h </w:instrText>
            </w:r>
            <w:r>
              <w:rPr>
                <w:noProof/>
                <w:webHidden/>
              </w:rPr>
            </w:r>
            <w:r>
              <w:rPr>
                <w:noProof/>
                <w:webHidden/>
              </w:rPr>
              <w:fldChar w:fldCharType="separate"/>
            </w:r>
            <w:r>
              <w:rPr>
                <w:noProof/>
                <w:webHidden/>
              </w:rPr>
              <w:t>17</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86" w:history="1">
            <w:r w:rsidRPr="00B535DA">
              <w:rPr>
                <w:rStyle w:val="Hyperlink"/>
                <w:noProof/>
              </w:rPr>
              <w:t>Pharmacodynamics</w:t>
            </w:r>
            <w:r>
              <w:rPr>
                <w:noProof/>
                <w:webHidden/>
              </w:rPr>
              <w:tab/>
            </w:r>
            <w:r>
              <w:rPr>
                <w:noProof/>
                <w:webHidden/>
              </w:rPr>
              <w:fldChar w:fldCharType="begin"/>
            </w:r>
            <w:r>
              <w:rPr>
                <w:noProof/>
                <w:webHidden/>
              </w:rPr>
              <w:instrText xml:space="preserve"> PAGEREF _Toc472521786 \h </w:instrText>
            </w:r>
            <w:r>
              <w:rPr>
                <w:noProof/>
                <w:webHidden/>
              </w:rPr>
            </w:r>
            <w:r>
              <w:rPr>
                <w:noProof/>
                <w:webHidden/>
              </w:rPr>
              <w:fldChar w:fldCharType="separate"/>
            </w:r>
            <w:r>
              <w:rPr>
                <w:noProof/>
                <w:webHidden/>
              </w:rPr>
              <w:t>18</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87" w:history="1">
            <w:r w:rsidRPr="00B535DA">
              <w:rPr>
                <w:rStyle w:val="Hyperlink"/>
                <w:noProof/>
              </w:rPr>
              <w:t>Dosage selection for the pivotal studies</w:t>
            </w:r>
            <w:r>
              <w:rPr>
                <w:noProof/>
                <w:webHidden/>
              </w:rPr>
              <w:tab/>
            </w:r>
            <w:r>
              <w:rPr>
                <w:noProof/>
                <w:webHidden/>
              </w:rPr>
              <w:fldChar w:fldCharType="begin"/>
            </w:r>
            <w:r>
              <w:rPr>
                <w:noProof/>
                <w:webHidden/>
              </w:rPr>
              <w:instrText xml:space="preserve"> PAGEREF _Toc472521787 \h </w:instrText>
            </w:r>
            <w:r>
              <w:rPr>
                <w:noProof/>
                <w:webHidden/>
              </w:rPr>
            </w:r>
            <w:r>
              <w:rPr>
                <w:noProof/>
                <w:webHidden/>
              </w:rPr>
              <w:fldChar w:fldCharType="separate"/>
            </w:r>
            <w:r>
              <w:rPr>
                <w:noProof/>
                <w:webHidden/>
              </w:rPr>
              <w:t>18</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88" w:history="1">
            <w:r w:rsidRPr="00B535DA">
              <w:rPr>
                <w:rStyle w:val="Hyperlink"/>
                <w:noProof/>
              </w:rPr>
              <w:t>Efficacy</w:t>
            </w:r>
            <w:r>
              <w:rPr>
                <w:noProof/>
                <w:webHidden/>
              </w:rPr>
              <w:tab/>
            </w:r>
            <w:r>
              <w:rPr>
                <w:noProof/>
                <w:webHidden/>
              </w:rPr>
              <w:fldChar w:fldCharType="begin"/>
            </w:r>
            <w:r>
              <w:rPr>
                <w:noProof/>
                <w:webHidden/>
              </w:rPr>
              <w:instrText xml:space="preserve"> PAGEREF _Toc472521788 \h </w:instrText>
            </w:r>
            <w:r>
              <w:rPr>
                <w:noProof/>
                <w:webHidden/>
              </w:rPr>
            </w:r>
            <w:r>
              <w:rPr>
                <w:noProof/>
                <w:webHidden/>
              </w:rPr>
              <w:fldChar w:fldCharType="separate"/>
            </w:r>
            <w:r>
              <w:rPr>
                <w:noProof/>
                <w:webHidden/>
              </w:rPr>
              <w:t>19</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89" w:history="1">
            <w:r w:rsidRPr="00B535DA">
              <w:rPr>
                <w:rStyle w:val="Hyperlink"/>
                <w:noProof/>
              </w:rPr>
              <w:t>Safety</w:t>
            </w:r>
            <w:r>
              <w:rPr>
                <w:noProof/>
                <w:webHidden/>
              </w:rPr>
              <w:tab/>
            </w:r>
            <w:r>
              <w:rPr>
                <w:noProof/>
                <w:webHidden/>
              </w:rPr>
              <w:fldChar w:fldCharType="begin"/>
            </w:r>
            <w:r>
              <w:rPr>
                <w:noProof/>
                <w:webHidden/>
              </w:rPr>
              <w:instrText xml:space="preserve"> PAGEREF _Toc472521789 \h </w:instrText>
            </w:r>
            <w:r>
              <w:rPr>
                <w:noProof/>
                <w:webHidden/>
              </w:rPr>
            </w:r>
            <w:r>
              <w:rPr>
                <w:noProof/>
                <w:webHidden/>
              </w:rPr>
              <w:fldChar w:fldCharType="separate"/>
            </w:r>
            <w:r>
              <w:rPr>
                <w:noProof/>
                <w:webHidden/>
              </w:rPr>
              <w:t>21</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90" w:history="1">
            <w:r w:rsidRPr="00B535DA">
              <w:rPr>
                <w:rStyle w:val="Hyperlink"/>
                <w:noProof/>
              </w:rPr>
              <w:t>First round benefit-risk assessment</w:t>
            </w:r>
            <w:r>
              <w:rPr>
                <w:noProof/>
                <w:webHidden/>
              </w:rPr>
              <w:tab/>
            </w:r>
            <w:r>
              <w:rPr>
                <w:noProof/>
                <w:webHidden/>
              </w:rPr>
              <w:fldChar w:fldCharType="begin"/>
            </w:r>
            <w:r>
              <w:rPr>
                <w:noProof/>
                <w:webHidden/>
              </w:rPr>
              <w:instrText xml:space="preserve"> PAGEREF _Toc472521790 \h </w:instrText>
            </w:r>
            <w:r>
              <w:rPr>
                <w:noProof/>
                <w:webHidden/>
              </w:rPr>
            </w:r>
            <w:r>
              <w:rPr>
                <w:noProof/>
                <w:webHidden/>
              </w:rPr>
              <w:fldChar w:fldCharType="separate"/>
            </w:r>
            <w:r>
              <w:rPr>
                <w:noProof/>
                <w:webHidden/>
              </w:rPr>
              <w:t>23</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91" w:history="1">
            <w:r w:rsidRPr="00B535DA">
              <w:rPr>
                <w:rStyle w:val="Hyperlink"/>
                <w:noProof/>
              </w:rPr>
              <w:t>First round recommendation regarding authorisation</w:t>
            </w:r>
            <w:r>
              <w:rPr>
                <w:noProof/>
                <w:webHidden/>
              </w:rPr>
              <w:tab/>
            </w:r>
            <w:r>
              <w:rPr>
                <w:noProof/>
                <w:webHidden/>
              </w:rPr>
              <w:fldChar w:fldCharType="begin"/>
            </w:r>
            <w:r>
              <w:rPr>
                <w:noProof/>
                <w:webHidden/>
              </w:rPr>
              <w:instrText xml:space="preserve"> PAGEREF _Toc472521791 \h </w:instrText>
            </w:r>
            <w:r>
              <w:rPr>
                <w:noProof/>
                <w:webHidden/>
              </w:rPr>
            </w:r>
            <w:r>
              <w:rPr>
                <w:noProof/>
                <w:webHidden/>
              </w:rPr>
              <w:fldChar w:fldCharType="separate"/>
            </w:r>
            <w:r>
              <w:rPr>
                <w:noProof/>
                <w:webHidden/>
              </w:rPr>
              <w:t>26</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92" w:history="1">
            <w:r w:rsidRPr="00B535DA">
              <w:rPr>
                <w:rStyle w:val="Hyperlink"/>
                <w:noProof/>
              </w:rPr>
              <w:t>Clinical questions</w:t>
            </w:r>
            <w:r>
              <w:rPr>
                <w:noProof/>
                <w:webHidden/>
              </w:rPr>
              <w:tab/>
            </w:r>
            <w:r>
              <w:rPr>
                <w:noProof/>
                <w:webHidden/>
              </w:rPr>
              <w:fldChar w:fldCharType="begin"/>
            </w:r>
            <w:r>
              <w:rPr>
                <w:noProof/>
                <w:webHidden/>
              </w:rPr>
              <w:instrText xml:space="preserve"> PAGEREF _Toc472521792 \h </w:instrText>
            </w:r>
            <w:r>
              <w:rPr>
                <w:noProof/>
                <w:webHidden/>
              </w:rPr>
            </w:r>
            <w:r>
              <w:rPr>
                <w:noProof/>
                <w:webHidden/>
              </w:rPr>
              <w:fldChar w:fldCharType="separate"/>
            </w:r>
            <w:r>
              <w:rPr>
                <w:noProof/>
                <w:webHidden/>
              </w:rPr>
              <w:t>26</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93" w:history="1">
            <w:r w:rsidRPr="00B535DA">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_Toc472521793 \h </w:instrText>
            </w:r>
            <w:r>
              <w:rPr>
                <w:noProof/>
                <w:webHidden/>
              </w:rPr>
            </w:r>
            <w:r>
              <w:rPr>
                <w:noProof/>
                <w:webHidden/>
              </w:rPr>
              <w:fldChar w:fldCharType="separate"/>
            </w:r>
            <w:r>
              <w:rPr>
                <w:noProof/>
                <w:webHidden/>
              </w:rPr>
              <w:t>27</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94" w:history="1">
            <w:r w:rsidRPr="00B535DA">
              <w:rPr>
                <w:rStyle w:val="Hyperlink"/>
                <w:noProof/>
              </w:rPr>
              <w:t>Second round benefit-risk assessment</w:t>
            </w:r>
            <w:r>
              <w:rPr>
                <w:noProof/>
                <w:webHidden/>
              </w:rPr>
              <w:tab/>
            </w:r>
            <w:r>
              <w:rPr>
                <w:noProof/>
                <w:webHidden/>
              </w:rPr>
              <w:fldChar w:fldCharType="begin"/>
            </w:r>
            <w:r>
              <w:rPr>
                <w:noProof/>
                <w:webHidden/>
              </w:rPr>
              <w:instrText xml:space="preserve"> PAGEREF _Toc472521794 \h </w:instrText>
            </w:r>
            <w:r>
              <w:rPr>
                <w:noProof/>
                <w:webHidden/>
              </w:rPr>
            </w:r>
            <w:r>
              <w:rPr>
                <w:noProof/>
                <w:webHidden/>
              </w:rPr>
              <w:fldChar w:fldCharType="separate"/>
            </w:r>
            <w:r>
              <w:rPr>
                <w:noProof/>
                <w:webHidden/>
              </w:rPr>
              <w:t>27</w:t>
            </w:r>
            <w:r>
              <w:rPr>
                <w:noProof/>
                <w:webHidden/>
              </w:rPr>
              <w:fldChar w:fldCharType="end"/>
            </w:r>
          </w:hyperlink>
        </w:p>
        <w:p w:rsidR="00527E90" w:rsidRDefault="00527E90">
          <w:pPr>
            <w:pStyle w:val="TOC2"/>
            <w:rPr>
              <w:rFonts w:asciiTheme="minorHAnsi" w:eastAsiaTheme="minorEastAsia" w:hAnsiTheme="minorHAnsi" w:cstheme="minorBidi"/>
              <w:b w:val="0"/>
              <w:noProof/>
              <w:sz w:val="22"/>
              <w:lang w:eastAsia="en-AU"/>
            </w:rPr>
          </w:pPr>
          <w:hyperlink w:anchor="_Toc472521795" w:history="1">
            <w:r w:rsidRPr="00B535DA">
              <w:rPr>
                <w:rStyle w:val="Hyperlink"/>
                <w:noProof/>
              </w:rPr>
              <w:t>V. Pharmacovigilance findings</w:t>
            </w:r>
            <w:r>
              <w:rPr>
                <w:noProof/>
                <w:webHidden/>
              </w:rPr>
              <w:tab/>
            </w:r>
            <w:r>
              <w:rPr>
                <w:noProof/>
                <w:webHidden/>
              </w:rPr>
              <w:fldChar w:fldCharType="begin"/>
            </w:r>
            <w:r>
              <w:rPr>
                <w:noProof/>
                <w:webHidden/>
              </w:rPr>
              <w:instrText xml:space="preserve"> PAGEREF _Toc472521795 \h </w:instrText>
            </w:r>
            <w:r>
              <w:rPr>
                <w:noProof/>
                <w:webHidden/>
              </w:rPr>
            </w:r>
            <w:r>
              <w:rPr>
                <w:noProof/>
                <w:webHidden/>
              </w:rPr>
              <w:fldChar w:fldCharType="separate"/>
            </w:r>
            <w:r>
              <w:rPr>
                <w:noProof/>
                <w:webHidden/>
              </w:rPr>
              <w:t>28</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96" w:history="1">
            <w:r w:rsidRPr="00B535DA">
              <w:rPr>
                <w:rStyle w:val="Hyperlink"/>
                <w:noProof/>
                <w:lang w:eastAsia="en-AU"/>
              </w:rPr>
              <w:t>Risk management plan (RMP)</w:t>
            </w:r>
            <w:r>
              <w:rPr>
                <w:noProof/>
                <w:webHidden/>
              </w:rPr>
              <w:tab/>
            </w:r>
            <w:r>
              <w:rPr>
                <w:noProof/>
                <w:webHidden/>
              </w:rPr>
              <w:fldChar w:fldCharType="begin"/>
            </w:r>
            <w:r>
              <w:rPr>
                <w:noProof/>
                <w:webHidden/>
              </w:rPr>
              <w:instrText xml:space="preserve"> PAGEREF _Toc472521796 \h </w:instrText>
            </w:r>
            <w:r>
              <w:rPr>
                <w:noProof/>
                <w:webHidden/>
              </w:rPr>
            </w:r>
            <w:r>
              <w:rPr>
                <w:noProof/>
                <w:webHidden/>
              </w:rPr>
              <w:fldChar w:fldCharType="separate"/>
            </w:r>
            <w:r>
              <w:rPr>
                <w:noProof/>
                <w:webHidden/>
              </w:rPr>
              <w:t>28</w:t>
            </w:r>
            <w:r>
              <w:rPr>
                <w:noProof/>
                <w:webHidden/>
              </w:rPr>
              <w:fldChar w:fldCharType="end"/>
            </w:r>
          </w:hyperlink>
        </w:p>
        <w:p w:rsidR="00527E90" w:rsidRDefault="00527E90">
          <w:pPr>
            <w:pStyle w:val="TOC2"/>
            <w:rPr>
              <w:rFonts w:asciiTheme="minorHAnsi" w:eastAsiaTheme="minorEastAsia" w:hAnsiTheme="minorHAnsi" w:cstheme="minorBidi"/>
              <w:b w:val="0"/>
              <w:noProof/>
              <w:sz w:val="22"/>
              <w:lang w:eastAsia="en-AU"/>
            </w:rPr>
          </w:pPr>
          <w:hyperlink w:anchor="_Toc472521797" w:history="1">
            <w:r w:rsidRPr="00B535DA">
              <w:rPr>
                <w:rStyle w:val="Hyperlink"/>
                <w:noProof/>
              </w:rPr>
              <w:t>VI. Overall conclusion and risk/benefit assessment</w:t>
            </w:r>
            <w:r>
              <w:rPr>
                <w:noProof/>
                <w:webHidden/>
              </w:rPr>
              <w:tab/>
            </w:r>
            <w:r>
              <w:rPr>
                <w:noProof/>
                <w:webHidden/>
              </w:rPr>
              <w:fldChar w:fldCharType="begin"/>
            </w:r>
            <w:r>
              <w:rPr>
                <w:noProof/>
                <w:webHidden/>
              </w:rPr>
              <w:instrText xml:space="preserve"> PAGEREF _Toc472521797 \h </w:instrText>
            </w:r>
            <w:r>
              <w:rPr>
                <w:noProof/>
                <w:webHidden/>
              </w:rPr>
            </w:r>
            <w:r>
              <w:rPr>
                <w:noProof/>
                <w:webHidden/>
              </w:rPr>
              <w:fldChar w:fldCharType="separate"/>
            </w:r>
            <w:r>
              <w:rPr>
                <w:noProof/>
                <w:webHidden/>
              </w:rPr>
              <w:t>37</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98" w:history="1">
            <w:r w:rsidRPr="00B535DA">
              <w:rPr>
                <w:rStyle w:val="Hyperlink"/>
                <w:noProof/>
              </w:rPr>
              <w:t>Quality</w:t>
            </w:r>
            <w:r>
              <w:rPr>
                <w:noProof/>
                <w:webHidden/>
              </w:rPr>
              <w:tab/>
            </w:r>
            <w:r>
              <w:rPr>
                <w:noProof/>
                <w:webHidden/>
              </w:rPr>
              <w:fldChar w:fldCharType="begin"/>
            </w:r>
            <w:r>
              <w:rPr>
                <w:noProof/>
                <w:webHidden/>
              </w:rPr>
              <w:instrText xml:space="preserve"> PAGEREF _Toc472521798 \h </w:instrText>
            </w:r>
            <w:r>
              <w:rPr>
                <w:noProof/>
                <w:webHidden/>
              </w:rPr>
            </w:r>
            <w:r>
              <w:rPr>
                <w:noProof/>
                <w:webHidden/>
              </w:rPr>
              <w:fldChar w:fldCharType="separate"/>
            </w:r>
            <w:r>
              <w:rPr>
                <w:noProof/>
                <w:webHidden/>
              </w:rPr>
              <w:t>38</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799" w:history="1">
            <w:r w:rsidRPr="00B535DA">
              <w:rPr>
                <w:rStyle w:val="Hyperlink"/>
                <w:noProof/>
              </w:rPr>
              <w:t>Nonclinical</w:t>
            </w:r>
            <w:r>
              <w:rPr>
                <w:noProof/>
                <w:webHidden/>
              </w:rPr>
              <w:tab/>
            </w:r>
            <w:r>
              <w:rPr>
                <w:noProof/>
                <w:webHidden/>
              </w:rPr>
              <w:fldChar w:fldCharType="begin"/>
            </w:r>
            <w:r>
              <w:rPr>
                <w:noProof/>
                <w:webHidden/>
              </w:rPr>
              <w:instrText xml:space="preserve"> PAGEREF _Toc472521799 \h </w:instrText>
            </w:r>
            <w:r>
              <w:rPr>
                <w:noProof/>
                <w:webHidden/>
              </w:rPr>
            </w:r>
            <w:r>
              <w:rPr>
                <w:noProof/>
                <w:webHidden/>
              </w:rPr>
              <w:fldChar w:fldCharType="separate"/>
            </w:r>
            <w:r>
              <w:rPr>
                <w:noProof/>
                <w:webHidden/>
              </w:rPr>
              <w:t>38</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800" w:history="1">
            <w:r w:rsidRPr="00B535DA">
              <w:rPr>
                <w:rStyle w:val="Hyperlink"/>
                <w:noProof/>
              </w:rPr>
              <w:t>Clinical</w:t>
            </w:r>
            <w:r>
              <w:rPr>
                <w:noProof/>
                <w:webHidden/>
              </w:rPr>
              <w:tab/>
            </w:r>
            <w:r>
              <w:rPr>
                <w:noProof/>
                <w:webHidden/>
              </w:rPr>
              <w:fldChar w:fldCharType="begin"/>
            </w:r>
            <w:r>
              <w:rPr>
                <w:noProof/>
                <w:webHidden/>
              </w:rPr>
              <w:instrText xml:space="preserve"> PAGEREF _Toc472521800 \h </w:instrText>
            </w:r>
            <w:r>
              <w:rPr>
                <w:noProof/>
                <w:webHidden/>
              </w:rPr>
            </w:r>
            <w:r>
              <w:rPr>
                <w:noProof/>
                <w:webHidden/>
              </w:rPr>
              <w:fldChar w:fldCharType="separate"/>
            </w:r>
            <w:r>
              <w:rPr>
                <w:noProof/>
                <w:webHidden/>
              </w:rPr>
              <w:t>38</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801" w:history="1">
            <w:r w:rsidRPr="00B535DA">
              <w:rPr>
                <w:rStyle w:val="Hyperlink"/>
                <w:noProof/>
              </w:rPr>
              <w:t>Safety</w:t>
            </w:r>
            <w:r>
              <w:rPr>
                <w:noProof/>
                <w:webHidden/>
              </w:rPr>
              <w:tab/>
            </w:r>
            <w:r>
              <w:rPr>
                <w:noProof/>
                <w:webHidden/>
              </w:rPr>
              <w:fldChar w:fldCharType="begin"/>
            </w:r>
            <w:r>
              <w:rPr>
                <w:noProof/>
                <w:webHidden/>
              </w:rPr>
              <w:instrText xml:space="preserve"> PAGEREF _Toc472521801 \h </w:instrText>
            </w:r>
            <w:r>
              <w:rPr>
                <w:noProof/>
                <w:webHidden/>
              </w:rPr>
            </w:r>
            <w:r>
              <w:rPr>
                <w:noProof/>
                <w:webHidden/>
              </w:rPr>
              <w:fldChar w:fldCharType="separate"/>
            </w:r>
            <w:r>
              <w:rPr>
                <w:noProof/>
                <w:webHidden/>
              </w:rPr>
              <w:t>44</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802" w:history="1">
            <w:r w:rsidRPr="00B535DA">
              <w:rPr>
                <w:rStyle w:val="Hyperlink"/>
                <w:noProof/>
                <w:lang w:eastAsia="en-AU"/>
              </w:rPr>
              <w:t>Risk management plan</w:t>
            </w:r>
            <w:r>
              <w:rPr>
                <w:noProof/>
                <w:webHidden/>
              </w:rPr>
              <w:tab/>
            </w:r>
            <w:r>
              <w:rPr>
                <w:noProof/>
                <w:webHidden/>
              </w:rPr>
              <w:fldChar w:fldCharType="begin"/>
            </w:r>
            <w:r>
              <w:rPr>
                <w:noProof/>
                <w:webHidden/>
              </w:rPr>
              <w:instrText xml:space="preserve"> PAGEREF _Toc472521802 \h </w:instrText>
            </w:r>
            <w:r>
              <w:rPr>
                <w:noProof/>
                <w:webHidden/>
              </w:rPr>
            </w:r>
            <w:r>
              <w:rPr>
                <w:noProof/>
                <w:webHidden/>
              </w:rPr>
              <w:fldChar w:fldCharType="separate"/>
            </w:r>
            <w:r>
              <w:rPr>
                <w:noProof/>
                <w:webHidden/>
              </w:rPr>
              <w:t>45</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803" w:history="1">
            <w:r w:rsidRPr="00B535DA">
              <w:rPr>
                <w:rStyle w:val="Hyperlink"/>
                <w:noProof/>
              </w:rPr>
              <w:t>Risk-benefit analysis</w:t>
            </w:r>
            <w:r>
              <w:rPr>
                <w:noProof/>
                <w:webHidden/>
              </w:rPr>
              <w:tab/>
            </w:r>
            <w:r>
              <w:rPr>
                <w:noProof/>
                <w:webHidden/>
              </w:rPr>
              <w:fldChar w:fldCharType="begin"/>
            </w:r>
            <w:r>
              <w:rPr>
                <w:noProof/>
                <w:webHidden/>
              </w:rPr>
              <w:instrText xml:space="preserve"> PAGEREF _Toc472521803 \h </w:instrText>
            </w:r>
            <w:r>
              <w:rPr>
                <w:noProof/>
                <w:webHidden/>
              </w:rPr>
            </w:r>
            <w:r>
              <w:rPr>
                <w:noProof/>
                <w:webHidden/>
              </w:rPr>
              <w:fldChar w:fldCharType="separate"/>
            </w:r>
            <w:r>
              <w:rPr>
                <w:noProof/>
                <w:webHidden/>
              </w:rPr>
              <w:t>45</w:t>
            </w:r>
            <w:r>
              <w:rPr>
                <w:noProof/>
                <w:webHidden/>
              </w:rPr>
              <w:fldChar w:fldCharType="end"/>
            </w:r>
          </w:hyperlink>
        </w:p>
        <w:p w:rsidR="00527E90" w:rsidRDefault="00527E90">
          <w:pPr>
            <w:pStyle w:val="TOC3"/>
            <w:rPr>
              <w:rFonts w:asciiTheme="minorHAnsi" w:eastAsiaTheme="minorEastAsia" w:hAnsiTheme="minorHAnsi" w:cstheme="minorBidi"/>
              <w:noProof/>
              <w:lang w:eastAsia="en-AU"/>
            </w:rPr>
          </w:pPr>
          <w:hyperlink w:anchor="_Toc472521804" w:history="1">
            <w:r w:rsidRPr="00B535DA">
              <w:rPr>
                <w:rStyle w:val="Hyperlink"/>
                <w:noProof/>
              </w:rPr>
              <w:t>Outcome</w:t>
            </w:r>
            <w:r>
              <w:rPr>
                <w:noProof/>
                <w:webHidden/>
              </w:rPr>
              <w:tab/>
            </w:r>
            <w:r>
              <w:rPr>
                <w:noProof/>
                <w:webHidden/>
              </w:rPr>
              <w:fldChar w:fldCharType="begin"/>
            </w:r>
            <w:r>
              <w:rPr>
                <w:noProof/>
                <w:webHidden/>
              </w:rPr>
              <w:instrText xml:space="preserve"> PAGEREF _Toc472521804 \h </w:instrText>
            </w:r>
            <w:r>
              <w:rPr>
                <w:noProof/>
                <w:webHidden/>
              </w:rPr>
            </w:r>
            <w:r>
              <w:rPr>
                <w:noProof/>
                <w:webHidden/>
              </w:rPr>
              <w:fldChar w:fldCharType="separate"/>
            </w:r>
            <w:r>
              <w:rPr>
                <w:noProof/>
                <w:webHidden/>
              </w:rPr>
              <w:t>52</w:t>
            </w:r>
            <w:r>
              <w:rPr>
                <w:noProof/>
                <w:webHidden/>
              </w:rPr>
              <w:fldChar w:fldCharType="end"/>
            </w:r>
          </w:hyperlink>
        </w:p>
        <w:p w:rsidR="00527E90" w:rsidRDefault="00527E90">
          <w:pPr>
            <w:pStyle w:val="TOC2"/>
            <w:rPr>
              <w:rFonts w:asciiTheme="minorHAnsi" w:eastAsiaTheme="minorEastAsia" w:hAnsiTheme="minorHAnsi" w:cstheme="minorBidi"/>
              <w:b w:val="0"/>
              <w:noProof/>
              <w:sz w:val="22"/>
              <w:lang w:eastAsia="en-AU"/>
            </w:rPr>
          </w:pPr>
          <w:hyperlink w:anchor="_Toc472521805" w:history="1">
            <w:r w:rsidRPr="00B535DA">
              <w:rPr>
                <w:rStyle w:val="Hyperlink"/>
                <w:noProof/>
              </w:rPr>
              <w:t>Attachment 1. Product Information</w:t>
            </w:r>
            <w:r>
              <w:rPr>
                <w:noProof/>
                <w:webHidden/>
              </w:rPr>
              <w:tab/>
            </w:r>
            <w:r>
              <w:rPr>
                <w:noProof/>
                <w:webHidden/>
              </w:rPr>
              <w:fldChar w:fldCharType="begin"/>
            </w:r>
            <w:r>
              <w:rPr>
                <w:noProof/>
                <w:webHidden/>
              </w:rPr>
              <w:instrText xml:space="preserve"> PAGEREF _Toc472521805 \h </w:instrText>
            </w:r>
            <w:r>
              <w:rPr>
                <w:noProof/>
                <w:webHidden/>
              </w:rPr>
            </w:r>
            <w:r>
              <w:rPr>
                <w:noProof/>
                <w:webHidden/>
              </w:rPr>
              <w:fldChar w:fldCharType="separate"/>
            </w:r>
            <w:r>
              <w:rPr>
                <w:noProof/>
                <w:webHidden/>
              </w:rPr>
              <w:t>52</w:t>
            </w:r>
            <w:r>
              <w:rPr>
                <w:noProof/>
                <w:webHidden/>
              </w:rPr>
              <w:fldChar w:fldCharType="end"/>
            </w:r>
          </w:hyperlink>
        </w:p>
        <w:p w:rsidR="00527E90" w:rsidRDefault="00527E90">
          <w:pPr>
            <w:pStyle w:val="TOC2"/>
            <w:rPr>
              <w:rFonts w:asciiTheme="minorHAnsi" w:eastAsiaTheme="minorEastAsia" w:hAnsiTheme="minorHAnsi" w:cstheme="minorBidi"/>
              <w:b w:val="0"/>
              <w:noProof/>
              <w:sz w:val="22"/>
              <w:lang w:eastAsia="en-AU"/>
            </w:rPr>
          </w:pPr>
          <w:hyperlink w:anchor="_Toc472521806" w:history="1">
            <w:r w:rsidRPr="00B535DA">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_Toc472521806 \h </w:instrText>
            </w:r>
            <w:r>
              <w:rPr>
                <w:noProof/>
                <w:webHidden/>
              </w:rPr>
            </w:r>
            <w:r>
              <w:rPr>
                <w:noProof/>
                <w:webHidden/>
              </w:rPr>
              <w:fldChar w:fldCharType="separate"/>
            </w:r>
            <w:r>
              <w:rPr>
                <w:noProof/>
                <w:webHidden/>
              </w:rPr>
              <w:t>52</w:t>
            </w:r>
            <w:r>
              <w:rPr>
                <w:noProof/>
                <w:webHidden/>
              </w:rPr>
              <w:fldChar w:fldCharType="end"/>
            </w:r>
          </w:hyperlink>
        </w:p>
        <w:p w:rsidR="003A7F6C" w:rsidRPr="00B811C6" w:rsidRDefault="00DB6124" w:rsidP="0076290B">
          <w:pPr>
            <w:pStyle w:val="TOC2"/>
            <w:ind w:left="0"/>
          </w:pPr>
          <w:r>
            <w:lastRenderedPageBreak/>
            <w:fldChar w:fldCharType="end"/>
          </w:r>
        </w:p>
      </w:sdtContent>
    </w:sdt>
    <w:bookmarkStart w:id="3" w:name="_Toc314842482" w:displacedByCustomXml="prev"/>
    <w:p w:rsidR="00FD119B" w:rsidRDefault="00FD119B">
      <w:pPr>
        <w:spacing w:before="0" w:after="200" w:line="0" w:lineRule="auto"/>
      </w:pPr>
      <w:r>
        <w:br w:type="page"/>
      </w:r>
    </w:p>
    <w:p w:rsidR="00FD119B" w:rsidRDefault="00441C3F" w:rsidP="004F0C4A">
      <w:pPr>
        <w:pStyle w:val="Heading2"/>
      </w:pPr>
      <w:bookmarkStart w:id="4" w:name="_Toc351716269"/>
      <w:bookmarkStart w:id="5" w:name="_Toc351718881"/>
      <w:bookmarkStart w:id="6" w:name="_Toc355338616"/>
      <w:bookmarkStart w:id="7" w:name="_Toc356306144"/>
      <w:bookmarkStart w:id="8" w:name="_Toc472521772"/>
      <w:r>
        <w:lastRenderedPageBreak/>
        <w:t>Common</w:t>
      </w:r>
      <w:r w:rsidR="00FD119B" w:rsidRPr="00FD119B">
        <w:t xml:space="preserve"> abbreviations</w:t>
      </w:r>
      <w:bookmarkEnd w:id="4"/>
      <w:bookmarkEnd w:id="5"/>
      <w:bookmarkEnd w:id="6"/>
      <w:bookmarkEnd w:id="7"/>
      <w:bookmarkEnd w:id="8"/>
    </w:p>
    <w:tbl>
      <w:tblPr>
        <w:tblStyle w:val="TableTGAblue1"/>
        <w:tblW w:w="9242" w:type="dxa"/>
        <w:tblLook w:val="04A0" w:firstRow="1" w:lastRow="0" w:firstColumn="1" w:lastColumn="0" w:noHBand="0" w:noVBand="1"/>
      </w:tblPr>
      <w:tblGrid>
        <w:gridCol w:w="3369"/>
        <w:gridCol w:w="5873"/>
      </w:tblGrid>
      <w:tr w:rsidR="003E5EB5" w:rsidRPr="0089044E" w:rsidTr="00D962D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369" w:type="dxa"/>
          </w:tcPr>
          <w:p w:rsidR="003E5EB5" w:rsidRPr="0089044E" w:rsidRDefault="003E5EB5" w:rsidP="00910911">
            <w:r w:rsidRPr="0089044E">
              <w:t>Abbreviation</w:t>
            </w:r>
          </w:p>
        </w:tc>
        <w:tc>
          <w:tcPr>
            <w:tcW w:w="5873" w:type="dxa"/>
          </w:tcPr>
          <w:p w:rsidR="003E5EB5" w:rsidRPr="0089044E" w:rsidRDefault="003E5EB5" w:rsidP="00910911">
            <w:pPr>
              <w:cnfStyle w:val="100000000000" w:firstRow="1" w:lastRow="0" w:firstColumn="0" w:lastColumn="0" w:oddVBand="0" w:evenVBand="0" w:oddHBand="0" w:evenHBand="0" w:firstRowFirstColumn="0" w:firstRowLastColumn="0" w:lastRowFirstColumn="0" w:lastRowLastColumn="0"/>
            </w:pPr>
            <w:r w:rsidRPr="0089044E">
              <w:t>Meaning</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ADR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adverse drug reaction</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AE</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adverse event</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ALT</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alanine aminotransferase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AST</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aspartate aminotransferase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AUC</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area under the concentration-time curve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AUCτ</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area under the concentration versus time curve for the dosing interval</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AusPAR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Australian Public Assessment Reports</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bid</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twice daily</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BMI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body mass index</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CCS</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complete case set</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cystic fibrosis</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CFF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Cystic Fibrosis Foundation (US)</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CFQ-R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Cystic Fibrosis Questionnaire-Revised</w:t>
            </w:r>
          </w:p>
        </w:tc>
      </w:tr>
      <w:tr w:rsidR="001B0328"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1B0328" w:rsidRPr="00910911" w:rsidRDefault="001B0328" w:rsidP="00910911">
            <w:pPr>
              <w:rPr>
                <w:szCs w:val="22"/>
              </w:rPr>
            </w:pPr>
            <w:r w:rsidRPr="00910911">
              <w:rPr>
                <w:szCs w:val="22"/>
              </w:rPr>
              <w:t>CFQ-R RSS</w:t>
            </w:r>
          </w:p>
        </w:tc>
        <w:tc>
          <w:tcPr>
            <w:tcW w:w="5873" w:type="dxa"/>
          </w:tcPr>
          <w:p w:rsidR="001B0328" w:rsidRPr="00910911" w:rsidRDefault="001B0328"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CFQ-R respiratory symptoms scale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Cystic fibrosis transmembrane conductance regulator</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CHMP</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Committee for Medicinal Products for Human Use (EMA)</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confidence interval</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CL/F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apparent (oral) clearance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CMI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Consumer Medicines Information</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w:t>
            </w:r>
            <w:r w:rsidRPr="00910911">
              <w:rPr>
                <w:szCs w:val="22"/>
                <w:vertAlign w:val="subscript"/>
              </w:rPr>
              <w:t>min</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minimum observed concentration</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CV%</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coefficient of variation percentage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lang w:eastAsia="ja-JP"/>
              </w:rPr>
            </w:pPr>
            <w:r w:rsidRPr="00910911">
              <w:rPr>
                <w:szCs w:val="22"/>
              </w:rPr>
              <w:t>D</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Day</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D1</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zero order dose duration</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DIOS</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distal </w:t>
            </w:r>
            <w:proofErr w:type="spellStart"/>
            <w:r w:rsidRPr="00910911">
              <w:rPr>
                <w:szCs w:val="22"/>
              </w:rPr>
              <w:t>ileal</w:t>
            </w:r>
            <w:proofErr w:type="spellEnd"/>
            <w:r w:rsidRPr="00910911">
              <w:rPr>
                <w:szCs w:val="22"/>
              </w:rPr>
              <w:t xml:space="preserve"> obstruction syndrome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lastRenderedPageBreak/>
              <w:t>ECG</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electrocardiogram</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EMA</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European Medicines Agency</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EU</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European Union</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 xml:space="preserve">F508del </w:t>
            </w:r>
            <w:r w:rsidRPr="00910911">
              <w:rPr>
                <w:szCs w:val="22"/>
              </w:rPr>
              <w:t xml:space="preserve">or </w:t>
            </w:r>
            <w:r w:rsidRPr="00910911">
              <w:rPr>
                <w:iCs/>
                <w:szCs w:val="22"/>
              </w:rPr>
              <w:t>F508del-CFTR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iCs/>
                <w:szCs w:val="22"/>
              </w:rPr>
              <w:t xml:space="preserve">CFTR </w:t>
            </w:r>
            <w:r w:rsidRPr="00910911">
              <w:rPr>
                <w:szCs w:val="22"/>
              </w:rPr>
              <w:t>gene mutation with an in-frame deletion of a phenylalanine codon corresponding to position 508 of the wild-type protein</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FAS</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full analysis set</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FDA</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Food and Drug Administration (US)</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FEV</w:t>
            </w:r>
            <w:r w:rsidRPr="00910911">
              <w:rPr>
                <w:szCs w:val="22"/>
                <w:vertAlign w:val="subscript"/>
              </w:rPr>
              <w:t>1</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forced expiratory volume in 1 second</w:t>
            </w:r>
          </w:p>
        </w:tc>
      </w:tr>
      <w:tr w:rsidR="008C0B1E"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8C0B1E" w:rsidRPr="00910911" w:rsidRDefault="008C0B1E" w:rsidP="00910911">
            <w:pPr>
              <w:rPr>
                <w:iCs/>
                <w:szCs w:val="22"/>
              </w:rPr>
            </w:pPr>
            <w:r w:rsidRPr="00910911">
              <w:rPr>
                <w:iCs/>
                <w:szCs w:val="22"/>
              </w:rPr>
              <w:t>GGT</w:t>
            </w:r>
          </w:p>
        </w:tc>
        <w:tc>
          <w:tcPr>
            <w:tcW w:w="5873" w:type="dxa"/>
          </w:tcPr>
          <w:p w:rsidR="008C0B1E" w:rsidRPr="00910911" w:rsidRDefault="008C0B1E"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Gamma </w:t>
            </w:r>
            <w:proofErr w:type="spellStart"/>
            <w:r w:rsidRPr="00910911">
              <w:rPr>
                <w:szCs w:val="22"/>
              </w:rPr>
              <w:t>glutamyl</w:t>
            </w:r>
            <w:proofErr w:type="spellEnd"/>
            <w:r w:rsidRPr="00910911">
              <w:rPr>
                <w:szCs w:val="22"/>
              </w:rPr>
              <w:t xml:space="preserve"> </w:t>
            </w:r>
            <w:proofErr w:type="spellStart"/>
            <w:r w:rsidRPr="00910911">
              <w:rPr>
                <w:szCs w:val="22"/>
              </w:rPr>
              <w:t>transpeptidase</w:t>
            </w:r>
            <w:proofErr w:type="spellEnd"/>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 xml:space="preserve">G1244E CFTR </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glycine residue at position 1244 of CFTR with a glutamic acid residue</w:t>
            </w:r>
          </w:p>
        </w:tc>
      </w:tr>
      <w:tr w:rsidR="003E5EB5" w:rsidRPr="008A57E4"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 xml:space="preserve">G1349D CFTR </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Cs/>
                <w:szCs w:val="22"/>
              </w:rPr>
            </w:pPr>
            <w:r w:rsidRPr="00910911">
              <w:rPr>
                <w:szCs w:val="22"/>
              </w:rPr>
              <w:t>missense gene mutation that results in the replacement of a glycine residue at position 1349 of CFTR with an aspartic acid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G178R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glycine residue at position 178 of CFTR with an arginine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 xml:space="preserve">G551D </w:t>
            </w:r>
            <w:r w:rsidRPr="00910911">
              <w:rPr>
                <w:szCs w:val="22"/>
              </w:rPr>
              <w:t xml:space="preserve">or </w:t>
            </w:r>
            <w:r w:rsidRPr="00910911">
              <w:rPr>
                <w:iCs/>
                <w:szCs w:val="22"/>
              </w:rPr>
              <w:t>G551D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iCs/>
                <w:szCs w:val="22"/>
              </w:rPr>
              <w:t>CFTR</w:t>
            </w:r>
            <w:r w:rsidRPr="00910911">
              <w:rPr>
                <w:i/>
                <w:iCs/>
                <w:szCs w:val="22"/>
              </w:rPr>
              <w:t xml:space="preserve"> </w:t>
            </w:r>
            <w:r w:rsidRPr="00910911">
              <w:rPr>
                <w:szCs w:val="22"/>
              </w:rPr>
              <w:t>missense gene mutation that results in the replacement of a glycine residue at position 551 of CFTR with an aspartic acid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G551S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glycine residue at position 551 of CFTR with a serine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G970R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glycine residue at position 970 of CFTR with an arginine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h</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hour/s</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IL-8</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interleukin-8</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IRT</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proofErr w:type="spellStart"/>
            <w:r w:rsidRPr="00910911">
              <w:rPr>
                <w:szCs w:val="22"/>
              </w:rPr>
              <w:t>Immunoreactive</w:t>
            </w:r>
            <w:proofErr w:type="spellEnd"/>
            <w:r w:rsidRPr="00910911">
              <w:rPr>
                <w:szCs w:val="22"/>
              </w:rPr>
              <w:t xml:space="preserve"> </w:t>
            </w:r>
            <w:proofErr w:type="spellStart"/>
            <w:r w:rsidRPr="00910911">
              <w:rPr>
                <w:szCs w:val="22"/>
              </w:rPr>
              <w:t>trypsinogen</w:t>
            </w:r>
            <w:proofErr w:type="spellEnd"/>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proofErr w:type="spellStart"/>
            <w:r w:rsidRPr="00910911">
              <w:rPr>
                <w:szCs w:val="22"/>
              </w:rPr>
              <w:t>Ivacaftor</w:t>
            </w:r>
            <w:proofErr w:type="spellEnd"/>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KALYDECO/ VX-770/VRT-813077</w:t>
            </w:r>
          </w:p>
        </w:tc>
      </w:tr>
      <w:tr w:rsidR="005B7083"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5B7083" w:rsidRPr="00910911" w:rsidRDefault="005B7083" w:rsidP="00910911">
            <w:pPr>
              <w:rPr>
                <w:szCs w:val="22"/>
              </w:rPr>
            </w:pPr>
            <w:r w:rsidRPr="00910911">
              <w:rPr>
                <w:szCs w:val="22"/>
              </w:rPr>
              <w:t>LTSS</w:t>
            </w:r>
          </w:p>
        </w:tc>
        <w:tc>
          <w:tcPr>
            <w:tcW w:w="5873" w:type="dxa"/>
          </w:tcPr>
          <w:p w:rsidR="005B7083" w:rsidRPr="00910911" w:rsidRDefault="005B7083"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Long‐term safety study</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lang w:eastAsia="ja-JP"/>
              </w:rPr>
            </w:pPr>
            <w:r w:rsidRPr="00910911">
              <w:rPr>
                <w:iCs/>
                <w:szCs w:val="22"/>
              </w:rPr>
              <w:lastRenderedPageBreak/>
              <w:t>K</w:t>
            </w:r>
            <w:r w:rsidRPr="00910911">
              <w:rPr>
                <w:iCs/>
                <w:szCs w:val="22"/>
                <w:vertAlign w:val="subscript"/>
              </w:rPr>
              <w:t>a</w:t>
            </w:r>
            <w:r w:rsidRPr="00910911">
              <w:rPr>
                <w:iCs/>
                <w:szCs w:val="22"/>
              </w:rPr>
              <w:t xml:space="preserve"> </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first-order absorption rate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M1</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proofErr w:type="spellStart"/>
            <w:r w:rsidRPr="00910911">
              <w:rPr>
                <w:szCs w:val="22"/>
              </w:rPr>
              <w:t>hydroxymethyl-ivacaftor</w:t>
            </w:r>
            <w:proofErr w:type="spellEnd"/>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M6</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proofErr w:type="spellStart"/>
            <w:r w:rsidRPr="00910911">
              <w:rPr>
                <w:szCs w:val="22"/>
              </w:rPr>
              <w:t>ivacaftor</w:t>
            </w:r>
            <w:proofErr w:type="spellEnd"/>
            <w:r w:rsidRPr="00910911">
              <w:rPr>
                <w:szCs w:val="22"/>
              </w:rPr>
              <w:t xml:space="preserve"> carboxylate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MCID</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minimal clinically important difference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MMRM</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mixed-effects model for repeated measures</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NA</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not available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NR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not reported</w:t>
            </w:r>
          </w:p>
        </w:tc>
      </w:tr>
      <w:tr w:rsidR="003E5EB5" w:rsidRPr="00B84A4A"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P aeruginosa</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Cs/>
                <w:szCs w:val="22"/>
              </w:rPr>
            </w:pPr>
            <w:r w:rsidRPr="00910911">
              <w:rPr>
                <w:iCs/>
                <w:szCs w:val="22"/>
              </w:rPr>
              <w:t>Pseudomonas aeruginosa</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PD</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pharmacodynamic(s)</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Product Information</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PK</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pharmacokinetic(s)</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PopPK</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population pharmacokinetics</w:t>
            </w:r>
          </w:p>
        </w:tc>
      </w:tr>
      <w:tr w:rsidR="009B170E"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9B170E" w:rsidRPr="00910911" w:rsidRDefault="009B170E" w:rsidP="00910911">
            <w:pPr>
              <w:rPr>
                <w:szCs w:val="22"/>
              </w:rPr>
            </w:pPr>
            <w:r w:rsidRPr="00910911">
              <w:rPr>
                <w:szCs w:val="22"/>
              </w:rPr>
              <w:t>pp</w:t>
            </w:r>
          </w:p>
        </w:tc>
        <w:tc>
          <w:tcPr>
            <w:tcW w:w="5873" w:type="dxa"/>
          </w:tcPr>
          <w:p w:rsidR="009B170E" w:rsidRPr="00910911" w:rsidRDefault="009B170E"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percentage point</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ppFEV</w:t>
            </w:r>
            <w:r w:rsidRPr="00910911">
              <w:rPr>
                <w:szCs w:val="22"/>
                <w:vertAlign w:val="subscript"/>
              </w:rPr>
              <w:t>1</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percent predicted forced expiratory volume in 1 second</w:t>
            </w:r>
          </w:p>
        </w:tc>
      </w:tr>
      <w:tr w:rsidR="005A4C7C"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5A4C7C" w:rsidRPr="00910911" w:rsidRDefault="005A4C7C" w:rsidP="00910911">
            <w:pPr>
              <w:rPr>
                <w:szCs w:val="22"/>
              </w:rPr>
            </w:pPr>
            <w:r w:rsidRPr="00910911">
              <w:rPr>
                <w:szCs w:val="22"/>
              </w:rPr>
              <w:t>PPS</w:t>
            </w:r>
          </w:p>
        </w:tc>
        <w:tc>
          <w:tcPr>
            <w:tcW w:w="5873" w:type="dxa"/>
          </w:tcPr>
          <w:p w:rsidR="005A4C7C" w:rsidRPr="00910911" w:rsidRDefault="005A4C7C"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per </w:t>
            </w:r>
            <w:proofErr w:type="spellStart"/>
            <w:r w:rsidRPr="00910911">
              <w:rPr>
                <w:szCs w:val="22"/>
              </w:rPr>
              <w:t>perotocol</w:t>
            </w:r>
            <w:proofErr w:type="spellEnd"/>
            <w:r w:rsidRPr="00910911">
              <w:rPr>
                <w:szCs w:val="22"/>
              </w:rPr>
              <w:t xml:space="preserve"> set</w:t>
            </w:r>
          </w:p>
        </w:tc>
      </w:tr>
      <w:tr w:rsidR="003E5EB5" w:rsidRPr="005A4C7C"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PSUR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Periodic Safety Update Report</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PT</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preferred term</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Q/F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inter-compartmental clearance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q12h</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every 12 hours</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proofErr w:type="spellStart"/>
            <w:r w:rsidRPr="00910911">
              <w:rPr>
                <w:szCs w:val="22"/>
              </w:rPr>
              <w:t>qd</w:t>
            </w:r>
            <w:proofErr w:type="spellEnd"/>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once daily</w:t>
            </w:r>
          </w:p>
        </w:tc>
      </w:tr>
      <w:tr w:rsidR="003E5EB5" w:rsidRPr="006956E1"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QTc</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QT interval corrected for heart rate according to Fridericia’s formula</w:t>
            </w:r>
          </w:p>
        </w:tc>
      </w:tr>
      <w:tr w:rsidR="003E5EB5" w:rsidRPr="006956E1"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QTcB</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QT interval corrected for heart rate according to Fridericia’s formula</w:t>
            </w:r>
          </w:p>
        </w:tc>
      </w:tr>
      <w:tr w:rsidR="003E5EB5" w:rsidRPr="006956E1"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QTcF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QT interval corrected for heart rate according to Fridericia’s formula</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lang w:eastAsia="ja-JP"/>
              </w:rPr>
            </w:pPr>
            <w:r w:rsidRPr="00910911">
              <w:rPr>
                <w:szCs w:val="22"/>
              </w:rPr>
              <w: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regulatory domain</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lastRenderedPageBreak/>
              <w:t>R117C or R117C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a missense mutation that results in the replacement of an arginine residue at position 117of CFTR with a cysteine residue</w:t>
            </w:r>
          </w:p>
        </w:tc>
      </w:tr>
      <w:tr w:rsidR="003E5EB5" w:rsidRPr="00311925"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 xml:space="preserve">R117H </w:t>
            </w:r>
            <w:r w:rsidRPr="00910911">
              <w:rPr>
                <w:szCs w:val="22"/>
              </w:rPr>
              <w:t xml:space="preserve">or </w:t>
            </w:r>
            <w:r w:rsidRPr="00910911">
              <w:rPr>
                <w:iCs/>
                <w:szCs w:val="22"/>
              </w:rPr>
              <w:t>R117H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a missense mutation that results in the replacement of an arginine residue at position 117of CFTR with a histidine residue</w:t>
            </w:r>
          </w:p>
        </w:tc>
      </w:tr>
      <w:tr w:rsidR="003E5EB5" w:rsidRPr="00E81269"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R117H-5T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 xml:space="preserve">allele with both an </w:t>
            </w:r>
            <w:r w:rsidRPr="00910911">
              <w:rPr>
                <w:iCs/>
                <w:szCs w:val="22"/>
              </w:rPr>
              <w:t>R117H</w:t>
            </w:r>
            <w:r w:rsidRPr="00910911">
              <w:rPr>
                <w:i/>
                <w:iCs/>
                <w:szCs w:val="22"/>
              </w:rPr>
              <w:t xml:space="preserve"> </w:t>
            </w:r>
            <w:r w:rsidRPr="00910911">
              <w:rPr>
                <w:szCs w:val="22"/>
              </w:rPr>
              <w:t xml:space="preserve">mutation and a </w:t>
            </w:r>
            <w:r w:rsidRPr="00910911">
              <w:rPr>
                <w:iCs/>
                <w:szCs w:val="22"/>
              </w:rPr>
              <w:t>5T</w:t>
            </w:r>
            <w:r w:rsidRPr="00910911">
              <w:rPr>
                <w:i/>
                <w:iCs/>
                <w:szCs w:val="22"/>
              </w:rPr>
              <w:t xml:space="preserve"> </w:t>
            </w:r>
            <w:r w:rsidRPr="00910911">
              <w:rPr>
                <w:szCs w:val="22"/>
              </w:rPr>
              <w:t>poly-T variant</w:t>
            </w:r>
          </w:p>
        </w:tc>
      </w:tr>
      <w:tr w:rsidR="003E5EB5" w:rsidRPr="00E81269"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R117H-7T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 xml:space="preserve">allele with both an </w:t>
            </w:r>
            <w:r w:rsidRPr="00910911">
              <w:rPr>
                <w:iCs/>
                <w:szCs w:val="22"/>
              </w:rPr>
              <w:t>R117H</w:t>
            </w:r>
            <w:r w:rsidRPr="00910911">
              <w:rPr>
                <w:i/>
                <w:iCs/>
                <w:szCs w:val="22"/>
              </w:rPr>
              <w:t xml:space="preserve"> </w:t>
            </w:r>
            <w:r w:rsidRPr="00910911">
              <w:rPr>
                <w:szCs w:val="22"/>
              </w:rPr>
              <w:t xml:space="preserve">mutation and a </w:t>
            </w:r>
            <w:r w:rsidRPr="00910911">
              <w:rPr>
                <w:iCs/>
                <w:szCs w:val="22"/>
              </w:rPr>
              <w:t>7T</w:t>
            </w:r>
            <w:r w:rsidRPr="00910911">
              <w:rPr>
                <w:i/>
                <w:iCs/>
                <w:szCs w:val="22"/>
              </w:rPr>
              <w:t xml:space="preserve"> </w:t>
            </w:r>
            <w:r w:rsidRPr="00910911">
              <w:rPr>
                <w:szCs w:val="22"/>
              </w:rPr>
              <w:t>poly-T variant</w:t>
            </w:r>
          </w:p>
        </w:tc>
      </w:tr>
      <w:tr w:rsidR="003E5EB5" w:rsidRPr="00E81269"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R117H-9T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 xml:space="preserve">allele with both an </w:t>
            </w:r>
            <w:r w:rsidRPr="00910911">
              <w:rPr>
                <w:iCs/>
                <w:szCs w:val="22"/>
              </w:rPr>
              <w:t>R117H</w:t>
            </w:r>
            <w:r w:rsidRPr="00910911">
              <w:rPr>
                <w:i/>
                <w:iCs/>
                <w:szCs w:val="22"/>
              </w:rPr>
              <w:t xml:space="preserve"> </w:t>
            </w:r>
            <w:r w:rsidRPr="00910911">
              <w:rPr>
                <w:szCs w:val="22"/>
              </w:rPr>
              <w:t xml:space="preserve">mutation and a </w:t>
            </w:r>
            <w:r w:rsidRPr="00910911">
              <w:rPr>
                <w:iCs/>
                <w:szCs w:val="22"/>
              </w:rPr>
              <w:t>9T</w:t>
            </w:r>
            <w:r w:rsidRPr="00910911">
              <w:rPr>
                <w:i/>
                <w:iCs/>
                <w:szCs w:val="22"/>
              </w:rPr>
              <w:t xml:space="preserve"> </w:t>
            </w:r>
            <w:r w:rsidRPr="00910911">
              <w:rPr>
                <w:szCs w:val="22"/>
              </w:rPr>
              <w:t>poly-T variant</w:t>
            </w:r>
          </w:p>
        </w:tc>
      </w:tr>
      <w:tr w:rsidR="003E5EB5" w:rsidRPr="00E81269"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S1251N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serine residue at position 1251 of CFTR with an asparagine residue</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S1255P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serine residue at position 1255 of CFTR with a proline residue</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iCs/>
                <w:szCs w:val="22"/>
              </w:rPr>
              <w:t>S549N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serine residue at position 549 of CFTR with an asparagine residue</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lang w:eastAsia="ja-JP"/>
              </w:rPr>
            </w:pPr>
            <w:r w:rsidRPr="00910911">
              <w:rPr>
                <w:iCs/>
                <w:szCs w:val="22"/>
              </w:rPr>
              <w:t>S549R CFTR</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i/>
                <w:iCs/>
                <w:szCs w:val="22"/>
              </w:rPr>
            </w:pPr>
            <w:r w:rsidRPr="00910911">
              <w:rPr>
                <w:szCs w:val="22"/>
              </w:rPr>
              <w:t>missense gene mutation that results in the replacement of a serine residue at position 549 of CFTR with an arginine residue</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SAE</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serious adverse event</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SD</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standard deviation</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SEM</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standard error of the mean</w:t>
            </w:r>
          </w:p>
        </w:tc>
      </w:tr>
      <w:tr w:rsidR="005A4C7C"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5A4C7C" w:rsidRPr="00910911" w:rsidRDefault="005A4C7C" w:rsidP="00910911">
            <w:pPr>
              <w:rPr>
                <w:szCs w:val="22"/>
                <w:highlight w:val="yellow"/>
              </w:rPr>
            </w:pPr>
            <w:r w:rsidRPr="00910911">
              <w:rPr>
                <w:szCs w:val="22"/>
              </w:rPr>
              <w:t>SS</w:t>
            </w:r>
          </w:p>
        </w:tc>
        <w:tc>
          <w:tcPr>
            <w:tcW w:w="5873" w:type="dxa"/>
          </w:tcPr>
          <w:p w:rsidR="005A4C7C" w:rsidRPr="00910911" w:rsidRDefault="00151DE3" w:rsidP="00910911">
            <w:pPr>
              <w:cnfStyle w:val="000000000000" w:firstRow="0" w:lastRow="0" w:firstColumn="0" w:lastColumn="0" w:oddVBand="0" w:evenVBand="0" w:oddHBand="0" w:evenHBand="0" w:firstRowFirstColumn="0" w:firstRowLastColumn="0" w:lastRowFirstColumn="0" w:lastRowLastColumn="0"/>
              <w:rPr>
                <w:szCs w:val="22"/>
                <w:highlight w:val="yellow"/>
              </w:rPr>
            </w:pPr>
            <w:r w:rsidRPr="00910911">
              <w:rPr>
                <w:szCs w:val="22"/>
              </w:rPr>
              <w:t>safety set</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UK</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United Kingdom</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ULN</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upper limit of normal</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URTI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upper respiratory tract infection </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US</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United States </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USPI</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US Prescribing Information </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lastRenderedPageBreak/>
              <w:t>Vc/F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 xml:space="preserve">central volume of distribution </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Vertex</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Vertex Pharmaceuticals Incorporated</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Vp/F</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rPr>
            </w:pPr>
            <w:r w:rsidRPr="00910911">
              <w:rPr>
                <w:szCs w:val="22"/>
              </w:rPr>
              <w:t>peripheral volume of distribution</w:t>
            </w:r>
          </w:p>
        </w:tc>
      </w:tr>
      <w:tr w:rsidR="003E5EB5" w:rsidRPr="006334FD" w:rsidTr="00D962DD">
        <w:tc>
          <w:tcPr>
            <w:cnfStyle w:val="001000000000" w:firstRow="0" w:lastRow="0" w:firstColumn="1" w:lastColumn="0" w:oddVBand="0" w:evenVBand="0" w:oddHBand="0" w:evenHBand="0" w:firstRowFirstColumn="0" w:firstRowLastColumn="0" w:lastRowFirstColumn="0" w:lastRowLastColumn="0"/>
            <w:tcW w:w="3369" w:type="dxa"/>
          </w:tcPr>
          <w:p w:rsidR="003E5EB5" w:rsidRPr="00910911" w:rsidRDefault="003E5EB5" w:rsidP="00910911">
            <w:pPr>
              <w:rPr>
                <w:szCs w:val="22"/>
              </w:rPr>
            </w:pPr>
            <w:r w:rsidRPr="00910911">
              <w:rPr>
                <w:szCs w:val="22"/>
              </w:rPr>
              <w:t>W</w:t>
            </w:r>
          </w:p>
        </w:tc>
        <w:tc>
          <w:tcPr>
            <w:tcW w:w="5873" w:type="dxa"/>
          </w:tcPr>
          <w:p w:rsidR="003E5EB5" w:rsidRPr="00910911" w:rsidRDefault="003E5EB5" w:rsidP="00910911">
            <w:pPr>
              <w:cnfStyle w:val="000000000000" w:firstRow="0" w:lastRow="0" w:firstColumn="0" w:lastColumn="0" w:oddVBand="0" w:evenVBand="0" w:oddHBand="0" w:evenHBand="0" w:firstRowFirstColumn="0" w:firstRowLastColumn="0" w:lastRowFirstColumn="0" w:lastRowLastColumn="0"/>
              <w:rPr>
                <w:szCs w:val="22"/>
                <w:lang w:eastAsia="ja-JP"/>
              </w:rPr>
            </w:pPr>
            <w:r w:rsidRPr="00910911">
              <w:rPr>
                <w:szCs w:val="22"/>
              </w:rPr>
              <w:t>week</w:t>
            </w:r>
          </w:p>
        </w:tc>
      </w:tr>
    </w:tbl>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72521773"/>
      <w:r>
        <w:lastRenderedPageBreak/>
        <w:t>I.</w:t>
      </w:r>
      <w:r w:rsidR="008E7846">
        <w:t xml:space="preserve"> Introduction to product submission</w:t>
      </w:r>
      <w:bookmarkEnd w:id="0"/>
      <w:bookmarkEnd w:id="3"/>
      <w:bookmarkEnd w:id="9"/>
    </w:p>
    <w:p w:rsidR="008E7846" w:rsidRDefault="008E7846" w:rsidP="008E7846">
      <w:pPr>
        <w:pStyle w:val="Heading3"/>
        <w:rPr>
          <w:lang w:eastAsia="en-AU"/>
        </w:rPr>
      </w:pPr>
      <w:bookmarkStart w:id="10" w:name="_Toc247691502"/>
      <w:bookmarkStart w:id="11" w:name="_Toc314842483"/>
      <w:bookmarkStart w:id="12" w:name="_Toc472521774"/>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rsidTr="00910911">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3E5EB5" w:rsidP="003E5EB5">
            <w:r>
              <w:t>Extension of indications</w:t>
            </w:r>
          </w:p>
        </w:tc>
      </w:tr>
      <w:tr w:rsidR="008E7846" w:rsidRPr="003D1E62" w:rsidTr="00910911">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3E5EB5" w:rsidP="001B5C90">
            <w:r>
              <w:t>Approved</w:t>
            </w:r>
          </w:p>
        </w:tc>
      </w:tr>
      <w:tr w:rsidR="008E7846" w:rsidRPr="003D1E62" w:rsidTr="00910911">
        <w:trPr>
          <w:trHeight w:hRule="exact" w:val="454"/>
        </w:trPr>
        <w:tc>
          <w:tcPr>
            <w:tcW w:w="2907" w:type="dxa"/>
          </w:tcPr>
          <w:p w:rsidR="008E7846" w:rsidRPr="00E35C2F" w:rsidRDefault="008E7846" w:rsidP="001B5C90">
            <w:pPr>
              <w:rPr>
                <w:i/>
              </w:rPr>
            </w:pPr>
            <w:r w:rsidRPr="00E35C2F">
              <w:rPr>
                <w:i/>
              </w:rPr>
              <w:t xml:space="preserve">Date of </w:t>
            </w:r>
            <w:r w:rsidR="001B5C90" w:rsidRPr="00E35C2F">
              <w:rPr>
                <w:i/>
              </w:rPr>
              <w:t>d</w:t>
            </w:r>
            <w:r w:rsidRPr="00E35C2F">
              <w:rPr>
                <w:i/>
              </w:rPr>
              <w:t>ecision:</w:t>
            </w:r>
          </w:p>
        </w:tc>
        <w:tc>
          <w:tcPr>
            <w:tcW w:w="6307" w:type="dxa"/>
          </w:tcPr>
          <w:p w:rsidR="008E7846" w:rsidRPr="003D1E62" w:rsidRDefault="00346F5D" w:rsidP="00F3073B">
            <w:r w:rsidRPr="00E35C2F">
              <w:t>5/</w:t>
            </w:r>
            <w:r w:rsidR="00F3073B">
              <w:t>February</w:t>
            </w:r>
            <w:r w:rsidR="008C5AC0" w:rsidRPr="00E35C2F">
              <w:t>/2016</w:t>
            </w:r>
          </w:p>
        </w:tc>
      </w:tr>
      <w:tr w:rsidR="00ED2922" w:rsidRPr="003D1E62" w:rsidTr="00910911">
        <w:trPr>
          <w:trHeight w:hRule="exact" w:val="454"/>
        </w:trPr>
        <w:tc>
          <w:tcPr>
            <w:tcW w:w="2907" w:type="dxa"/>
          </w:tcPr>
          <w:p w:rsidR="00ED2922" w:rsidRPr="003E5EB5" w:rsidRDefault="00ED2922" w:rsidP="001B5C90">
            <w:pPr>
              <w:rPr>
                <w:i/>
                <w:highlight w:val="yellow"/>
              </w:rPr>
            </w:pPr>
            <w:r w:rsidRPr="00E87E90">
              <w:rPr>
                <w:i/>
              </w:rPr>
              <w:t>Date of entry onto ARTG</w:t>
            </w:r>
          </w:p>
        </w:tc>
        <w:tc>
          <w:tcPr>
            <w:tcW w:w="6307" w:type="dxa"/>
          </w:tcPr>
          <w:p w:rsidR="00ED2922" w:rsidRPr="00441C3F" w:rsidRDefault="00077E45" w:rsidP="00077E45">
            <w:pPr>
              <w:rPr>
                <w:i/>
              </w:rPr>
            </w:pPr>
            <w:r>
              <w:t>29</w:t>
            </w:r>
            <w:r w:rsidR="00E87E90">
              <w:t>/</w:t>
            </w:r>
            <w:r>
              <w:t>March</w:t>
            </w:r>
            <w:r w:rsidR="004B7A67">
              <w:t>/</w:t>
            </w:r>
            <w:r>
              <w:t>2016</w:t>
            </w:r>
          </w:p>
        </w:tc>
      </w:tr>
      <w:tr w:rsidR="008E7846" w:rsidRPr="00487162" w:rsidTr="00910911">
        <w:tc>
          <w:tcPr>
            <w:tcW w:w="2907" w:type="dxa"/>
          </w:tcPr>
          <w:p w:rsidR="008E7846" w:rsidRPr="00487162" w:rsidRDefault="001B5C90" w:rsidP="00E45619">
            <w:pPr>
              <w:rPr>
                <w:i/>
              </w:rPr>
            </w:pPr>
            <w:r>
              <w:rPr>
                <w:i/>
              </w:rPr>
              <w:t>Active ingredient(s):</w:t>
            </w:r>
          </w:p>
        </w:tc>
        <w:tc>
          <w:tcPr>
            <w:tcW w:w="6307" w:type="dxa"/>
          </w:tcPr>
          <w:p w:rsidR="008E7846" w:rsidRPr="00487162" w:rsidRDefault="006C3669" w:rsidP="00E45619">
            <w:proofErr w:type="spellStart"/>
            <w:r>
              <w:t>I</w:t>
            </w:r>
            <w:r w:rsidR="003E5EB5">
              <w:t>vacaftor</w:t>
            </w:r>
            <w:proofErr w:type="spellEnd"/>
          </w:p>
        </w:tc>
      </w:tr>
      <w:tr w:rsidR="008E7846" w:rsidRPr="00487162" w:rsidTr="00910911">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78446E" w:rsidP="00E45619">
            <w:r>
              <w:t>KALDYECO</w:t>
            </w:r>
          </w:p>
        </w:tc>
      </w:tr>
      <w:tr w:rsidR="008E7846" w:rsidRPr="00487162" w:rsidTr="00910911">
        <w:tc>
          <w:tcPr>
            <w:tcW w:w="2907" w:type="dxa"/>
          </w:tcPr>
          <w:p w:rsidR="008E7846" w:rsidRPr="00487162" w:rsidRDefault="008E7846" w:rsidP="001B5C90">
            <w:pPr>
              <w:rPr>
                <w:i/>
              </w:rPr>
            </w:pPr>
            <w:r w:rsidRPr="004B7A67">
              <w:rPr>
                <w:i/>
              </w:rPr>
              <w:t xml:space="preserve">Sponsor’s </w:t>
            </w:r>
            <w:r w:rsidR="001B5C90" w:rsidRPr="004B7A67">
              <w:rPr>
                <w:i/>
              </w:rPr>
              <w:t>n</w:t>
            </w:r>
            <w:r w:rsidRPr="004B7A67">
              <w:rPr>
                <w:i/>
              </w:rPr>
              <w:t xml:space="preserve">ame and </w:t>
            </w:r>
            <w:r w:rsidR="001B5C90" w:rsidRPr="004B7A67">
              <w:rPr>
                <w:i/>
              </w:rPr>
              <w:t>a</w:t>
            </w:r>
            <w:r w:rsidRPr="004B7A67">
              <w:rPr>
                <w:i/>
              </w:rPr>
              <w:t>ddress:</w:t>
            </w:r>
          </w:p>
        </w:tc>
        <w:tc>
          <w:tcPr>
            <w:tcW w:w="6307" w:type="dxa"/>
          </w:tcPr>
          <w:p w:rsidR="008E7846" w:rsidRDefault="00F44EB5" w:rsidP="00E45619">
            <w:r>
              <w:t>Vertex Pharmaceuticals Australia Pty Ltd</w:t>
            </w:r>
          </w:p>
          <w:p w:rsidR="00F44EB5" w:rsidRPr="00487162" w:rsidRDefault="00836B54" w:rsidP="006C3669">
            <w:r>
              <w:t>101 Miller street</w:t>
            </w:r>
            <w:r w:rsidR="006C3669">
              <w:t xml:space="preserve">, </w:t>
            </w:r>
            <w:r>
              <w:t>North Sydney NSW 2060</w:t>
            </w:r>
          </w:p>
        </w:tc>
      </w:tr>
      <w:tr w:rsidR="008E7846" w:rsidRPr="00F44EB5" w:rsidTr="00910911">
        <w:tc>
          <w:tcPr>
            <w:tcW w:w="2907" w:type="dxa"/>
          </w:tcPr>
          <w:p w:rsidR="008E7846" w:rsidRPr="00F44EB5" w:rsidRDefault="001B5C90" w:rsidP="00E45619">
            <w:pPr>
              <w:rPr>
                <w:i/>
              </w:rPr>
            </w:pPr>
            <w:r w:rsidRPr="00F44EB5">
              <w:rPr>
                <w:i/>
              </w:rPr>
              <w:t>Dose fo</w:t>
            </w:r>
            <w:r w:rsidR="00F44EB5" w:rsidRPr="00F44EB5">
              <w:rPr>
                <w:i/>
              </w:rPr>
              <w:t>rm</w:t>
            </w:r>
          </w:p>
        </w:tc>
        <w:tc>
          <w:tcPr>
            <w:tcW w:w="6307" w:type="dxa"/>
          </w:tcPr>
          <w:p w:rsidR="008E7846" w:rsidRPr="00F44EB5" w:rsidRDefault="00F44EB5" w:rsidP="00E45619">
            <w:r w:rsidRPr="00F44EB5">
              <w:t>Film-coated tablet</w:t>
            </w:r>
          </w:p>
        </w:tc>
      </w:tr>
      <w:tr w:rsidR="008E7846" w:rsidRPr="003E5EB5" w:rsidTr="00910911">
        <w:tc>
          <w:tcPr>
            <w:tcW w:w="2907" w:type="dxa"/>
          </w:tcPr>
          <w:p w:rsidR="008E7846" w:rsidRPr="00F44EB5" w:rsidRDefault="008E7846" w:rsidP="00E45619">
            <w:pPr>
              <w:rPr>
                <w:i/>
              </w:rPr>
            </w:pPr>
            <w:r w:rsidRPr="00F44EB5">
              <w:rPr>
                <w:i/>
              </w:rPr>
              <w:t xml:space="preserve">Strength(s): </w:t>
            </w:r>
          </w:p>
        </w:tc>
        <w:tc>
          <w:tcPr>
            <w:tcW w:w="6307" w:type="dxa"/>
          </w:tcPr>
          <w:p w:rsidR="008E7846" w:rsidRPr="00F44EB5" w:rsidRDefault="00F44EB5" w:rsidP="00E45619">
            <w:r w:rsidRPr="00F44EB5">
              <w:t>150 mg</w:t>
            </w:r>
          </w:p>
        </w:tc>
      </w:tr>
      <w:tr w:rsidR="008E7846" w:rsidRPr="00F44EB5" w:rsidTr="00910911">
        <w:tc>
          <w:tcPr>
            <w:tcW w:w="2907" w:type="dxa"/>
          </w:tcPr>
          <w:p w:rsidR="008E7846" w:rsidRPr="00986A8B" w:rsidRDefault="008E7846" w:rsidP="00E45619">
            <w:pPr>
              <w:rPr>
                <w:i/>
              </w:rPr>
            </w:pPr>
            <w:r w:rsidRPr="00986A8B">
              <w:rPr>
                <w:i/>
              </w:rPr>
              <w:t>Container(s):</w:t>
            </w:r>
          </w:p>
        </w:tc>
        <w:tc>
          <w:tcPr>
            <w:tcW w:w="6307" w:type="dxa"/>
          </w:tcPr>
          <w:p w:rsidR="008E7846" w:rsidRPr="00986A8B" w:rsidRDefault="00986A8B" w:rsidP="00E45619">
            <w:r w:rsidRPr="00986A8B">
              <w:t>Blister pack and bottle</w:t>
            </w:r>
          </w:p>
        </w:tc>
      </w:tr>
      <w:tr w:rsidR="008E7846" w:rsidRPr="003E5EB5" w:rsidTr="00910911">
        <w:tc>
          <w:tcPr>
            <w:tcW w:w="2907" w:type="dxa"/>
          </w:tcPr>
          <w:p w:rsidR="008E7846" w:rsidRPr="00A3329B" w:rsidRDefault="008E7846" w:rsidP="00E45619">
            <w:pPr>
              <w:rPr>
                <w:i/>
              </w:rPr>
            </w:pPr>
            <w:r w:rsidRPr="00A3329B">
              <w:rPr>
                <w:i/>
              </w:rPr>
              <w:t>Pack size(s):</w:t>
            </w:r>
          </w:p>
        </w:tc>
        <w:tc>
          <w:tcPr>
            <w:tcW w:w="6307" w:type="dxa"/>
          </w:tcPr>
          <w:p w:rsidR="008E7846" w:rsidRPr="00F44EB5" w:rsidRDefault="00986A8B" w:rsidP="00E45619">
            <w:r>
              <w:t>56</w:t>
            </w:r>
          </w:p>
        </w:tc>
      </w:tr>
      <w:tr w:rsidR="008E7846" w:rsidRPr="003E5EB5" w:rsidTr="00910911">
        <w:tc>
          <w:tcPr>
            <w:tcW w:w="2907" w:type="dxa"/>
          </w:tcPr>
          <w:p w:rsidR="008E7846" w:rsidRPr="004B7A67" w:rsidRDefault="008E7846" w:rsidP="004B7A67">
            <w:pPr>
              <w:rPr>
                <w:highlight w:val="yellow"/>
              </w:rPr>
            </w:pPr>
            <w:r w:rsidRPr="004B7A67">
              <w:t xml:space="preserve">Approved </w:t>
            </w:r>
            <w:r w:rsidR="001B5C90" w:rsidRPr="004B7A67">
              <w:t>t</w:t>
            </w:r>
            <w:r w:rsidRPr="004B7A67">
              <w:t>herapeutic use:</w:t>
            </w:r>
          </w:p>
        </w:tc>
        <w:tc>
          <w:tcPr>
            <w:tcW w:w="6307" w:type="dxa"/>
          </w:tcPr>
          <w:p w:rsidR="008E7846" w:rsidRPr="004B7A67" w:rsidRDefault="004B7A67" w:rsidP="004B7A67">
            <w:r w:rsidRPr="004B7A67">
              <w:t>KALYDECO is indicated for the treatment of cystic fibrosis (CF) in patients aged 6 years and older who have an R117H mutation in the CFTR gene.</w:t>
            </w:r>
          </w:p>
        </w:tc>
      </w:tr>
      <w:tr w:rsidR="008E7846" w:rsidRPr="003E5EB5" w:rsidTr="00910911">
        <w:tc>
          <w:tcPr>
            <w:tcW w:w="2907" w:type="dxa"/>
            <w:shd w:val="clear" w:color="auto" w:fill="auto"/>
          </w:tcPr>
          <w:p w:rsidR="008E7846" w:rsidRPr="009F051E" w:rsidRDefault="008E7846" w:rsidP="00E45619">
            <w:pPr>
              <w:rPr>
                <w:i/>
              </w:rPr>
            </w:pPr>
            <w:r w:rsidRPr="009F051E">
              <w:rPr>
                <w:i/>
              </w:rPr>
              <w:t>Route(s) of administration:</w:t>
            </w:r>
          </w:p>
        </w:tc>
        <w:tc>
          <w:tcPr>
            <w:tcW w:w="6307" w:type="dxa"/>
            <w:shd w:val="clear" w:color="auto" w:fill="auto"/>
          </w:tcPr>
          <w:p w:rsidR="008E7846" w:rsidRPr="009F051E" w:rsidRDefault="00077E45" w:rsidP="00E45619">
            <w:r>
              <w:t>PO</w:t>
            </w:r>
          </w:p>
        </w:tc>
      </w:tr>
      <w:tr w:rsidR="008E7846" w:rsidRPr="003E5EB5" w:rsidTr="00910911">
        <w:tc>
          <w:tcPr>
            <w:tcW w:w="2907" w:type="dxa"/>
          </w:tcPr>
          <w:p w:rsidR="008E7846" w:rsidRPr="009F051E" w:rsidRDefault="008E7846" w:rsidP="00E45619">
            <w:pPr>
              <w:rPr>
                <w:i/>
              </w:rPr>
            </w:pPr>
            <w:r w:rsidRPr="009F051E">
              <w:rPr>
                <w:i/>
              </w:rPr>
              <w:t>Dosage:</w:t>
            </w:r>
          </w:p>
        </w:tc>
        <w:tc>
          <w:tcPr>
            <w:tcW w:w="6307" w:type="dxa"/>
          </w:tcPr>
          <w:p w:rsidR="008E7846" w:rsidRPr="009F051E" w:rsidRDefault="00836B54" w:rsidP="009F051E">
            <w:r>
              <w:t>The recommended dose for adults and paediatric patients is 150 mg taken orally every 12 h (300 mg total daily dose).</w:t>
            </w:r>
          </w:p>
        </w:tc>
      </w:tr>
      <w:tr w:rsidR="008E7846" w:rsidRPr="00487162" w:rsidTr="00910911">
        <w:tc>
          <w:tcPr>
            <w:tcW w:w="2907" w:type="dxa"/>
          </w:tcPr>
          <w:p w:rsidR="008E7846" w:rsidRPr="00E87E90" w:rsidRDefault="008E7846" w:rsidP="001B5C90">
            <w:pPr>
              <w:rPr>
                <w:i/>
              </w:rPr>
            </w:pPr>
            <w:r w:rsidRPr="00E87E90">
              <w:rPr>
                <w:i/>
              </w:rPr>
              <w:t xml:space="preserve">ARTG </w:t>
            </w:r>
            <w:r w:rsidR="001B5C90" w:rsidRPr="00E87E90">
              <w:rPr>
                <w:i/>
              </w:rPr>
              <w:t>n</w:t>
            </w:r>
            <w:r w:rsidRPr="00E87E90">
              <w:rPr>
                <w:i/>
              </w:rPr>
              <w:t>umber (s)</w:t>
            </w:r>
            <w:r w:rsidR="001B5C90" w:rsidRPr="00E87E90">
              <w:rPr>
                <w:i/>
              </w:rPr>
              <w:t>:</w:t>
            </w:r>
          </w:p>
        </w:tc>
        <w:tc>
          <w:tcPr>
            <w:tcW w:w="6307" w:type="dxa"/>
          </w:tcPr>
          <w:p w:rsidR="008E7846" w:rsidRPr="00E87E90" w:rsidRDefault="00BF5663" w:rsidP="00E87E90">
            <w:r w:rsidRPr="00E87E90">
              <w:t>198654, 198655</w:t>
            </w:r>
            <w:r w:rsidR="00E87E90" w:rsidRPr="00E87E90">
              <w:t>, 235759, 267390, 269661</w:t>
            </w:r>
          </w:p>
        </w:tc>
      </w:tr>
    </w:tbl>
    <w:p w:rsidR="008E7846" w:rsidRDefault="008E7846" w:rsidP="008E7846">
      <w:pPr>
        <w:pStyle w:val="Heading3"/>
      </w:pPr>
      <w:bookmarkStart w:id="13" w:name="_Toc247691503"/>
      <w:bookmarkStart w:id="14" w:name="_Toc314842484"/>
      <w:bookmarkStart w:id="15" w:name="_Toc472521775"/>
      <w:r>
        <w:t>Product background</w:t>
      </w:r>
      <w:bookmarkEnd w:id="13"/>
      <w:bookmarkEnd w:id="14"/>
      <w:bookmarkEnd w:id="15"/>
    </w:p>
    <w:p w:rsidR="008E7846" w:rsidRDefault="00940A89" w:rsidP="00940A89">
      <w:r w:rsidRPr="00940A89">
        <w:t xml:space="preserve">This AusPAR describes the application by the </w:t>
      </w:r>
      <w:r w:rsidR="009F051E">
        <w:t>Vertex Pharmaceuticals</w:t>
      </w:r>
      <w:r w:rsidRPr="00940A89">
        <w:t xml:space="preserve"> to register </w:t>
      </w:r>
      <w:proofErr w:type="spellStart"/>
      <w:r w:rsidR="00821F31">
        <w:t>ivacaftor</w:t>
      </w:r>
      <w:proofErr w:type="spellEnd"/>
      <w:r w:rsidR="00821F31">
        <w:t xml:space="preserve"> (</w:t>
      </w:r>
      <w:proofErr w:type="spellStart"/>
      <w:r w:rsidR="0078446E">
        <w:t>Kaldyeco</w:t>
      </w:r>
      <w:proofErr w:type="spellEnd"/>
      <w:r w:rsidR="00821F31">
        <w:t>)</w:t>
      </w:r>
      <w:r w:rsidRPr="00940A89">
        <w:t xml:space="preserve"> f</w:t>
      </w:r>
      <w:r w:rsidR="009F051E">
        <w:t>or the following indication:</w:t>
      </w:r>
    </w:p>
    <w:p w:rsidR="00B63D18" w:rsidRPr="00910911" w:rsidRDefault="00420A16" w:rsidP="00910911">
      <w:pPr>
        <w:ind w:left="720"/>
        <w:rPr>
          <w:i/>
        </w:rPr>
      </w:pPr>
      <w:proofErr w:type="spellStart"/>
      <w:r w:rsidRPr="00910911">
        <w:rPr>
          <w:i/>
        </w:rPr>
        <w:t>Kaldyeco</w:t>
      </w:r>
      <w:proofErr w:type="spellEnd"/>
      <w:r w:rsidR="009F051E" w:rsidRPr="00910911">
        <w:rPr>
          <w:i/>
        </w:rPr>
        <w:t xml:space="preserve"> is indicated for the treatment of cystic fibrosis (CF) in patients age 18 years and older who have an R117H mutation in the CFTR gene</w:t>
      </w:r>
    </w:p>
    <w:p w:rsidR="00707F83" w:rsidRPr="00C2642B" w:rsidRDefault="00707F83" w:rsidP="00707F83">
      <w:proofErr w:type="spellStart"/>
      <w:r w:rsidRPr="00C2642B">
        <w:t>Ivacaftor</w:t>
      </w:r>
      <w:proofErr w:type="spellEnd"/>
      <w:r w:rsidRPr="00C2642B">
        <w:t xml:space="preserve"> is an orally bioavailable small molecule that targets the underlying defect in CF and represents the first in a new class of drugs, known as </w:t>
      </w:r>
      <w:r w:rsidR="00891404" w:rsidRPr="00EA0443">
        <w:t xml:space="preserve">CF transmembrane conductance regulator </w:t>
      </w:r>
      <w:r w:rsidR="00891404">
        <w:t>(</w:t>
      </w:r>
      <w:r w:rsidRPr="00C2642B">
        <w:t>CFTR</w:t>
      </w:r>
      <w:r w:rsidR="00891404">
        <w:t>)</w:t>
      </w:r>
      <w:r w:rsidR="00077E45">
        <w:t xml:space="preserve"> modulators</w:t>
      </w:r>
      <w:r w:rsidR="00495AB4">
        <w:t>, that</w:t>
      </w:r>
      <w:r w:rsidRPr="00C2642B">
        <w:t xml:space="preserve"> provide a new therapeutic approach to the treatment of CF by restoring the function of the CFTR protein. </w:t>
      </w:r>
      <w:proofErr w:type="spellStart"/>
      <w:r w:rsidRPr="00C2642B">
        <w:t>Ivacaftor</w:t>
      </w:r>
      <w:proofErr w:type="spellEnd"/>
      <w:r w:rsidRPr="00C2642B">
        <w:t xml:space="preserve"> is highly selective for CFTR protein in vitro and acts on the CFTR protein to enhance chloride transport by increasing the channel open probability.</w:t>
      </w:r>
    </w:p>
    <w:p w:rsidR="009F051E" w:rsidRDefault="00707F83" w:rsidP="00940A89">
      <w:proofErr w:type="spellStart"/>
      <w:r w:rsidRPr="0021527E">
        <w:t>Ivacaf</w:t>
      </w:r>
      <w:r w:rsidR="0021527E" w:rsidRPr="0021527E">
        <w:t>tor</w:t>
      </w:r>
      <w:proofErr w:type="spellEnd"/>
      <w:r w:rsidR="0021527E" w:rsidRPr="0021527E">
        <w:t xml:space="preserve"> is currently </w:t>
      </w:r>
      <w:r w:rsidR="0021527E">
        <w:t>indicated for t</w:t>
      </w:r>
      <w:r w:rsidR="00077E45">
        <w:t xml:space="preserve">he treatment of </w:t>
      </w:r>
      <w:r w:rsidR="00495AB4">
        <w:t>CF</w:t>
      </w:r>
      <w:r w:rsidR="0021527E">
        <w:t xml:space="preserve"> in patients age 6 years and older who have a G551D mutation in the CFTR gene.</w:t>
      </w:r>
    </w:p>
    <w:p w:rsidR="00113208" w:rsidRDefault="00113208" w:rsidP="00113208">
      <w:r w:rsidRPr="00EA0443">
        <w:lastRenderedPageBreak/>
        <w:t xml:space="preserve">CF is an autosomal recessive disease with serious, chronically debilitating morbidities and high premature mortality and no cure </w:t>
      </w:r>
      <w:r w:rsidR="00077E45">
        <w:t xml:space="preserve">is </w:t>
      </w:r>
      <w:r w:rsidRPr="00EA0443">
        <w:t>available at present. CF affects approximately 70,000 individuals worldwide and is more common in the Caucasian populations of North America and Europe</w:t>
      </w:r>
      <w:r>
        <w:rPr>
          <w:rStyle w:val="FootnoteReference"/>
        </w:rPr>
        <w:footnoteReference w:id="1"/>
      </w:r>
      <w:r w:rsidRPr="00EA0443">
        <w:t xml:space="preserve"> than in Asian and African populations. Approximately, 3,100 individuals in Australia have CF.</w:t>
      </w:r>
    </w:p>
    <w:p w:rsidR="00707F83" w:rsidRDefault="00113208" w:rsidP="00113208">
      <w:r w:rsidRPr="00EA0443">
        <w:t xml:space="preserve">CF is caused by mutations in the </w:t>
      </w:r>
      <w:r w:rsidR="00891404">
        <w:t>C</w:t>
      </w:r>
      <w:r w:rsidRPr="00EA0443">
        <w:t>FTR gene that result in absent or deficient function of the CFTR protein at the cell surface. The CFTR protein is an epithelial chloride channel responsible for aiding in the regulation of salt and water absorption and secretion. CFTR protein is located in the apical membrane of epithelial cells in multiple organs, including lungs, pancreas, intestinal tract, biliary tract, sweat glands and vas deferens. The failure to regulate chloride transport in these organs results in the multisystem pathology associated with CF. Elevated sweat chloride concentrations are a hallmark of CF and is used for diagnostic purposes; sweat chloride concentrations ≥</w:t>
      </w:r>
      <w:r>
        <w:t xml:space="preserve"> </w:t>
      </w:r>
      <w:r w:rsidRPr="00EA0443">
        <w:t>60 mmol/L is considered indicative of CF, whereas a sweat chloride concentration &lt;</w:t>
      </w:r>
      <w:r>
        <w:t xml:space="preserve"> </w:t>
      </w:r>
      <w:r w:rsidRPr="00EA0443">
        <w:t>39 mmol/L is considered normal; intermediate sweat chloride values in the range of 40 to 59 mmol/L are also observed in patients with CF.</w:t>
      </w:r>
    </w:p>
    <w:p w:rsidR="008E7846" w:rsidRPr="003810D7" w:rsidRDefault="00386150" w:rsidP="008E7846">
      <w:pPr>
        <w:pStyle w:val="Heading3"/>
      </w:pPr>
      <w:bookmarkStart w:id="16" w:name="_Toc314842485"/>
      <w:bookmarkStart w:id="17" w:name="_Toc247691504"/>
      <w:bookmarkStart w:id="18" w:name="_Toc472521776"/>
      <w:r w:rsidRPr="003810D7">
        <w:t>Regulatory s</w:t>
      </w:r>
      <w:r w:rsidR="008E7846" w:rsidRPr="003810D7">
        <w:t>tatus</w:t>
      </w:r>
      <w:bookmarkEnd w:id="16"/>
      <w:bookmarkEnd w:id="17"/>
      <w:bookmarkEnd w:id="18"/>
    </w:p>
    <w:p w:rsidR="00940A89" w:rsidRPr="003810D7" w:rsidRDefault="00940A89" w:rsidP="00940A89">
      <w:bookmarkStart w:id="19" w:name="_Toc247691505"/>
      <w:bookmarkStart w:id="20" w:name="_Toc314842486"/>
      <w:r w:rsidRPr="003810D7">
        <w:t>The product received initial registration on the Australian Register of Therapeutic Goods (ARTG</w:t>
      </w:r>
      <w:r w:rsidRPr="00BF5663">
        <w:t xml:space="preserve">) </w:t>
      </w:r>
      <w:r w:rsidR="00BF5663" w:rsidRPr="00BF5663">
        <w:t>on</w:t>
      </w:r>
      <w:r w:rsidR="00077E45">
        <w:t xml:space="preserve"> 9/July</w:t>
      </w:r>
      <w:r w:rsidR="00BF5663">
        <w:t>/2013.</w:t>
      </w:r>
    </w:p>
    <w:p w:rsidR="00940A89" w:rsidRDefault="00940A89" w:rsidP="00940A89">
      <w:r w:rsidRPr="003810D7">
        <w:t>At the time the TGA considered this application, a similar applica</w:t>
      </w:r>
      <w:r w:rsidR="003810D7" w:rsidRPr="003810D7">
        <w:t>tion had been approved</w:t>
      </w:r>
      <w:r w:rsidRPr="003810D7">
        <w:t xml:space="preserve"> in </w:t>
      </w:r>
      <w:r w:rsidR="003810D7" w:rsidRPr="003810D7">
        <w:t xml:space="preserve">the European Union </w:t>
      </w:r>
      <w:r w:rsidRPr="003810D7">
        <w:t>(</w:t>
      </w:r>
      <w:r w:rsidR="003810D7" w:rsidRPr="003810D7">
        <w:t>EU</w:t>
      </w:r>
      <w:r w:rsidRPr="003810D7">
        <w:t xml:space="preserve">) </w:t>
      </w:r>
      <w:r w:rsidR="003810D7" w:rsidRPr="003810D7">
        <w:t>in November, 2015 for the:</w:t>
      </w:r>
    </w:p>
    <w:p w:rsidR="003810D7" w:rsidRDefault="00DA5520" w:rsidP="003810D7">
      <w:pPr>
        <w:ind w:left="720"/>
        <w:rPr>
          <w:rFonts w:eastAsiaTheme="minorHAnsi" w:cs="Cambria"/>
          <w:i/>
          <w:sz w:val="24"/>
          <w:szCs w:val="24"/>
        </w:rPr>
      </w:pPr>
      <w:proofErr w:type="gramStart"/>
      <w:r>
        <w:rPr>
          <w:i/>
        </w:rPr>
        <w:t>T</w:t>
      </w:r>
      <w:r w:rsidR="003810D7" w:rsidRPr="003810D7">
        <w:rPr>
          <w:i/>
        </w:rPr>
        <w:t xml:space="preserve">reatment of patients with Cystic Fibrosis (CF) aged 18 years and older who have an R117H mutation in the CFTR </w:t>
      </w:r>
      <w:r w:rsidR="003810D7" w:rsidRPr="003810D7">
        <w:rPr>
          <w:rFonts w:eastAsiaTheme="minorHAnsi" w:cs="Cambria"/>
          <w:i/>
          <w:sz w:val="24"/>
          <w:szCs w:val="24"/>
        </w:rPr>
        <w:t>gene.</w:t>
      </w:r>
      <w:proofErr w:type="gramEnd"/>
    </w:p>
    <w:p w:rsidR="003810D7" w:rsidRDefault="003810D7" w:rsidP="003810D7">
      <w:r>
        <w:t>Dates of approval in EU, US and Canada are included in Table 1.</w:t>
      </w:r>
    </w:p>
    <w:p w:rsidR="003810D7" w:rsidRDefault="003810D7" w:rsidP="003810D7">
      <w:pPr>
        <w:pStyle w:val="Tabletitle0"/>
      </w:pPr>
      <w:r>
        <w:t>Table 1: Dates of approval in the EU, US and Canada</w:t>
      </w:r>
    </w:p>
    <w:tbl>
      <w:tblPr>
        <w:tblStyle w:val="TableTGAblue"/>
        <w:tblW w:w="0" w:type="auto"/>
        <w:tblLook w:val="04A0" w:firstRow="1" w:lastRow="0" w:firstColumn="1" w:lastColumn="0" w:noHBand="0" w:noVBand="1"/>
      </w:tblPr>
      <w:tblGrid>
        <w:gridCol w:w="1668"/>
        <w:gridCol w:w="141"/>
        <w:gridCol w:w="1985"/>
        <w:gridCol w:w="4926"/>
      </w:tblGrid>
      <w:tr w:rsidR="003810D7" w:rsidTr="003810D7">
        <w:trPr>
          <w:cnfStyle w:val="100000000000" w:firstRow="1" w:lastRow="0" w:firstColumn="0" w:lastColumn="0" w:oddVBand="0" w:evenVBand="0" w:oddHBand="0" w:evenHBand="0" w:firstRowFirstColumn="0" w:firstRowLastColumn="0" w:lastRowFirstColumn="0" w:lastRowLastColumn="0"/>
        </w:trPr>
        <w:tc>
          <w:tcPr>
            <w:tcW w:w="1809" w:type="dxa"/>
            <w:gridSpan w:val="2"/>
          </w:tcPr>
          <w:p w:rsidR="003810D7" w:rsidRPr="003810D7" w:rsidRDefault="003810D7" w:rsidP="00910911">
            <w:r w:rsidRPr="003810D7">
              <w:t>Country</w:t>
            </w:r>
          </w:p>
        </w:tc>
        <w:tc>
          <w:tcPr>
            <w:tcW w:w="1985" w:type="dxa"/>
          </w:tcPr>
          <w:p w:rsidR="003810D7" w:rsidRPr="003810D7" w:rsidRDefault="003810D7" w:rsidP="00910911">
            <w:r w:rsidRPr="003810D7">
              <w:t>Approval date</w:t>
            </w:r>
          </w:p>
        </w:tc>
        <w:tc>
          <w:tcPr>
            <w:tcW w:w="4926" w:type="dxa"/>
          </w:tcPr>
          <w:p w:rsidR="003810D7" w:rsidRPr="003810D7" w:rsidRDefault="003810D7" w:rsidP="00910911">
            <w:r w:rsidRPr="003810D7">
              <w:t>Approved indication</w:t>
            </w:r>
          </w:p>
        </w:tc>
      </w:tr>
      <w:tr w:rsidR="003810D7" w:rsidTr="003810D7">
        <w:tc>
          <w:tcPr>
            <w:tcW w:w="1668" w:type="dxa"/>
          </w:tcPr>
          <w:p w:rsidR="003810D7" w:rsidRPr="003810D7" w:rsidRDefault="003810D7" w:rsidP="00910911">
            <w:r w:rsidRPr="003810D7">
              <w:t>Europe (EU)</w:t>
            </w:r>
          </w:p>
        </w:tc>
        <w:tc>
          <w:tcPr>
            <w:tcW w:w="2126" w:type="dxa"/>
            <w:gridSpan w:val="2"/>
          </w:tcPr>
          <w:p w:rsidR="003810D7" w:rsidRPr="003810D7" w:rsidRDefault="00CB77B8" w:rsidP="00910911">
            <w:r>
              <w:t>16 Nov</w:t>
            </w:r>
            <w:r w:rsidR="00DA5520">
              <w:t>ember</w:t>
            </w:r>
            <w:r w:rsidR="003810D7" w:rsidRPr="003810D7">
              <w:t xml:space="preserve"> 2015</w:t>
            </w:r>
          </w:p>
        </w:tc>
        <w:tc>
          <w:tcPr>
            <w:tcW w:w="4926" w:type="dxa"/>
          </w:tcPr>
          <w:p w:rsidR="003810D7" w:rsidRDefault="00CB77B8" w:rsidP="00910911">
            <w:r w:rsidRPr="00CB77B8">
              <w:t>Treatment of patients with</w:t>
            </w:r>
            <w:r>
              <w:t xml:space="preserve"> </w:t>
            </w:r>
            <w:r w:rsidRPr="00CB77B8">
              <w:t>Cystic Fibrosis (CF) aged 18</w:t>
            </w:r>
            <w:r>
              <w:t xml:space="preserve"> </w:t>
            </w:r>
            <w:r w:rsidRPr="00CB77B8">
              <w:t>years and older who have an</w:t>
            </w:r>
            <w:r>
              <w:t xml:space="preserve"> </w:t>
            </w:r>
            <w:r w:rsidRPr="00CB77B8">
              <w:t>R117H mutation in the CFTR</w:t>
            </w:r>
            <w:r>
              <w:t xml:space="preserve"> </w:t>
            </w:r>
            <w:r w:rsidRPr="00CB77B8">
              <w:t>gene.</w:t>
            </w:r>
          </w:p>
        </w:tc>
      </w:tr>
      <w:tr w:rsidR="003810D7" w:rsidTr="003810D7">
        <w:tc>
          <w:tcPr>
            <w:tcW w:w="1668" w:type="dxa"/>
          </w:tcPr>
          <w:p w:rsidR="003810D7" w:rsidRPr="003810D7" w:rsidRDefault="003810D7" w:rsidP="00910911">
            <w:r w:rsidRPr="003810D7">
              <w:t>USA (FDA)</w:t>
            </w:r>
          </w:p>
        </w:tc>
        <w:tc>
          <w:tcPr>
            <w:tcW w:w="2126" w:type="dxa"/>
            <w:gridSpan w:val="2"/>
          </w:tcPr>
          <w:p w:rsidR="003810D7" w:rsidRPr="00CB77B8" w:rsidRDefault="00CB77B8" w:rsidP="00910911">
            <w:r w:rsidRPr="00CB77B8">
              <w:t>29 Dec</w:t>
            </w:r>
            <w:r w:rsidR="00DA5520">
              <w:t>ember</w:t>
            </w:r>
            <w:r w:rsidRPr="00CB77B8">
              <w:t xml:space="preserve"> 2014</w:t>
            </w:r>
          </w:p>
        </w:tc>
        <w:tc>
          <w:tcPr>
            <w:tcW w:w="4926" w:type="dxa"/>
          </w:tcPr>
          <w:p w:rsidR="003810D7" w:rsidRDefault="00CB77B8" w:rsidP="00910911">
            <w:r w:rsidRPr="00CB77B8">
              <w:t>Treatment of cystic fibrosis (CF)</w:t>
            </w:r>
            <w:r>
              <w:t xml:space="preserve"> </w:t>
            </w:r>
            <w:r w:rsidRPr="00CB77B8">
              <w:t>in patients age 6 years and older</w:t>
            </w:r>
            <w:r>
              <w:t xml:space="preserve"> </w:t>
            </w:r>
            <w:r w:rsidRPr="00CB77B8">
              <w:t>who have an R117H mutation in</w:t>
            </w:r>
            <w:r>
              <w:t xml:space="preserve"> </w:t>
            </w:r>
            <w:r w:rsidRPr="00CB77B8">
              <w:t>the CFTR gene.</w:t>
            </w:r>
          </w:p>
        </w:tc>
      </w:tr>
      <w:tr w:rsidR="003810D7" w:rsidTr="003810D7">
        <w:tc>
          <w:tcPr>
            <w:tcW w:w="1668" w:type="dxa"/>
          </w:tcPr>
          <w:p w:rsidR="003810D7" w:rsidRPr="003810D7" w:rsidRDefault="003810D7" w:rsidP="00910911">
            <w:r w:rsidRPr="003810D7">
              <w:t>Canada</w:t>
            </w:r>
          </w:p>
        </w:tc>
        <w:tc>
          <w:tcPr>
            <w:tcW w:w="2126" w:type="dxa"/>
            <w:gridSpan w:val="2"/>
          </w:tcPr>
          <w:p w:rsidR="003810D7" w:rsidRPr="00CB77B8" w:rsidRDefault="00CB77B8" w:rsidP="00910911">
            <w:r w:rsidRPr="00CB77B8">
              <w:t>13 Mar</w:t>
            </w:r>
            <w:r w:rsidR="00DA5520">
              <w:t>ch</w:t>
            </w:r>
            <w:r w:rsidRPr="00CB77B8">
              <w:t xml:space="preserve"> 2015</w:t>
            </w:r>
          </w:p>
        </w:tc>
        <w:tc>
          <w:tcPr>
            <w:tcW w:w="4926" w:type="dxa"/>
          </w:tcPr>
          <w:p w:rsidR="003810D7" w:rsidRDefault="00CB77B8" w:rsidP="00910911">
            <w:r w:rsidRPr="00CB77B8">
              <w:t>Treatment of cystic fibrosis in</w:t>
            </w:r>
            <w:r>
              <w:t xml:space="preserve"> </w:t>
            </w:r>
            <w:r w:rsidRPr="00CB77B8">
              <w:t>patients age 18 years and older</w:t>
            </w:r>
            <w:r>
              <w:t xml:space="preserve"> </w:t>
            </w:r>
            <w:r w:rsidRPr="00CB77B8">
              <w:t>with an R117H mutation in the</w:t>
            </w:r>
            <w:r>
              <w:t xml:space="preserve"> </w:t>
            </w:r>
            <w:r w:rsidRPr="00CB77B8">
              <w:t>CFTR gene</w:t>
            </w:r>
          </w:p>
        </w:tc>
      </w:tr>
    </w:tbl>
    <w:p w:rsidR="008E7846" w:rsidRDefault="008E7846" w:rsidP="00940A89">
      <w:pPr>
        <w:pStyle w:val="Heading3"/>
      </w:pPr>
      <w:bookmarkStart w:id="21" w:name="_Toc472521777"/>
      <w:r>
        <w:lastRenderedPageBreak/>
        <w:t>Product Information</w:t>
      </w:r>
      <w:bookmarkEnd w:id="19"/>
      <w:bookmarkEnd w:id="20"/>
      <w:bookmarkEnd w:id="21"/>
    </w:p>
    <w:p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rsidR="008E7846" w:rsidRPr="003602A9" w:rsidRDefault="008E7846" w:rsidP="008E7846">
      <w:pPr>
        <w:pStyle w:val="Heading2"/>
        <w:ind w:left="-11"/>
      </w:pPr>
      <w:bookmarkStart w:id="24" w:name="_Toc472521778"/>
      <w:r>
        <w:t>II. Quality</w:t>
      </w:r>
      <w:bookmarkEnd w:id="1"/>
      <w:r>
        <w:t xml:space="preserve"> findings</w:t>
      </w:r>
      <w:bookmarkEnd w:id="22"/>
      <w:bookmarkEnd w:id="23"/>
      <w:bookmarkEnd w:id="24"/>
    </w:p>
    <w:p w:rsidR="00940A89" w:rsidRPr="00940A89" w:rsidRDefault="00940A89" w:rsidP="00940A89">
      <w:bookmarkStart w:id="25" w:name="_Toc247691507"/>
      <w:bookmarkStart w:id="26" w:name="_Toc314842488"/>
      <w:r w:rsidRPr="00940A89">
        <w:t>There was no requirement for a quality evaluation in a submission of this type.</w:t>
      </w:r>
    </w:p>
    <w:p w:rsidR="008E7846" w:rsidRDefault="008E7846" w:rsidP="008E7846">
      <w:pPr>
        <w:pStyle w:val="Heading2"/>
      </w:pPr>
      <w:bookmarkStart w:id="27" w:name="_Toc196046439"/>
      <w:bookmarkStart w:id="28" w:name="_Toc247691510"/>
      <w:bookmarkStart w:id="29" w:name="_Toc314842494"/>
      <w:bookmarkStart w:id="30" w:name="_Toc472521779"/>
      <w:bookmarkEnd w:id="25"/>
      <w:bookmarkEnd w:id="26"/>
      <w:r>
        <w:t>III. Nonclinical</w:t>
      </w:r>
      <w:bookmarkEnd w:id="27"/>
      <w:r>
        <w:t xml:space="preserve"> findings</w:t>
      </w:r>
      <w:bookmarkEnd w:id="28"/>
      <w:bookmarkEnd w:id="29"/>
      <w:bookmarkEnd w:id="30"/>
    </w:p>
    <w:p w:rsidR="008E7846" w:rsidRDefault="008E7846" w:rsidP="00940A89">
      <w:pPr>
        <w:pStyle w:val="Heading3"/>
      </w:pPr>
      <w:bookmarkStart w:id="31" w:name="_Toc247691511"/>
      <w:bookmarkStart w:id="32" w:name="_Toc314842495"/>
      <w:bookmarkStart w:id="33" w:name="_Toc472521780"/>
      <w:r>
        <w:t>Introduction</w:t>
      </w:r>
      <w:bookmarkEnd w:id="31"/>
      <w:bookmarkEnd w:id="32"/>
      <w:bookmarkEnd w:id="33"/>
    </w:p>
    <w:p w:rsidR="00B22858" w:rsidRPr="00B22858" w:rsidRDefault="00B22858" w:rsidP="00B22858">
      <w:r w:rsidRPr="00B22858">
        <w:t>One new primary pharmacology study was submitted and is evalu</w:t>
      </w:r>
      <w:r w:rsidR="0094327A">
        <w:t>ated</w:t>
      </w:r>
      <w:r>
        <w:t xml:space="preserve">. </w:t>
      </w:r>
      <w:r w:rsidR="00762324">
        <w:t>Relevant information contained in t</w:t>
      </w:r>
      <w:r w:rsidR="0094327A">
        <w:t>he t</w:t>
      </w:r>
      <w:r>
        <w:t xml:space="preserve">wo primary </w:t>
      </w:r>
      <w:r w:rsidRPr="00B22858">
        <w:t xml:space="preserve">pharmacology studies evaluated in the original application to register </w:t>
      </w:r>
      <w:proofErr w:type="spellStart"/>
      <w:r w:rsidRPr="00B22858">
        <w:t>iv</w:t>
      </w:r>
      <w:r>
        <w:t>acaftor</w:t>
      </w:r>
      <w:proofErr w:type="spellEnd"/>
      <w:r>
        <w:t xml:space="preserve"> as a new chemical </w:t>
      </w:r>
      <w:r w:rsidRPr="00B22858">
        <w:t xml:space="preserve">entity (Submission No. PM-2012-01491-3-5) </w:t>
      </w:r>
      <w:r>
        <w:t xml:space="preserve">were </w:t>
      </w:r>
      <w:r w:rsidRPr="00B22858">
        <w:t>considered.</w:t>
      </w:r>
    </w:p>
    <w:p w:rsidR="008E7846" w:rsidRDefault="008E7846" w:rsidP="008E7846">
      <w:pPr>
        <w:pStyle w:val="Heading3"/>
      </w:pPr>
      <w:bookmarkStart w:id="34" w:name="_Toc247691512"/>
      <w:bookmarkStart w:id="35" w:name="_Toc314842496"/>
      <w:bookmarkStart w:id="36" w:name="_Toc472521781"/>
      <w:r w:rsidRPr="00020030">
        <w:t>Pharmacology</w:t>
      </w:r>
      <w:bookmarkEnd w:id="34"/>
      <w:bookmarkEnd w:id="35"/>
      <w:bookmarkEnd w:id="36"/>
    </w:p>
    <w:p w:rsidR="004334C7" w:rsidRDefault="00B22858" w:rsidP="00B22858">
      <w:r w:rsidRPr="00B22858">
        <w:t>Mutations of the CFTR gene are classified by their functional consequence. Class I and II mutations</w:t>
      </w:r>
      <w:r>
        <w:t xml:space="preserve"> </w:t>
      </w:r>
      <w:r w:rsidRPr="00B22858">
        <w:t>affect protein production and processing, and lead to little or no CFTR protein on the cell surface.</w:t>
      </w:r>
      <w:r w:rsidR="00676F69">
        <w:t xml:space="preserve"> </w:t>
      </w:r>
      <w:r w:rsidRPr="00B22858">
        <w:t>Class V mutations reduce the amount of protein</w:t>
      </w:r>
      <w:proofErr w:type="gramStart"/>
      <w:r w:rsidRPr="00B22858">
        <w:t>,</w:t>
      </w:r>
      <w:r w:rsidR="00710704">
        <w:t>-</w:t>
      </w:r>
      <w:proofErr w:type="gramEnd"/>
      <w:r w:rsidRPr="00B22858">
        <w:t xml:space="preserve"> but the protein itself is normal. Class III mutations</w:t>
      </w:r>
      <w:r w:rsidR="004B5F1C">
        <w:t xml:space="preserve"> </w:t>
      </w:r>
      <w:r w:rsidRPr="00B22858">
        <w:t>affect the gating of the CFTR protein, reducing the time the ion channel is open and thereby</w:t>
      </w:r>
      <w:r w:rsidR="004B5F1C">
        <w:t xml:space="preserve"> </w:t>
      </w:r>
      <w:r w:rsidRPr="00B22858">
        <w:t>decreasing chloride transport. Class IV mutations reduce the conductance of the ion channel thereby</w:t>
      </w:r>
      <w:r w:rsidR="004B5F1C">
        <w:t xml:space="preserve"> </w:t>
      </w:r>
      <w:r w:rsidRPr="00B22858">
        <w:t>leading to defective chloride transport.</w:t>
      </w:r>
    </w:p>
    <w:p w:rsidR="00676F69" w:rsidRDefault="00D53EF5" w:rsidP="00D53EF5">
      <w:r w:rsidRPr="00D53EF5">
        <w:t>The R117H mutation of CFTR is classified as both a Class III and Class IV mutation, as both gating and</w:t>
      </w:r>
      <w:r>
        <w:t xml:space="preserve"> </w:t>
      </w:r>
      <w:r w:rsidRPr="00D53EF5">
        <w:t>conductance are decreased in comparison to normal CFTR</w:t>
      </w:r>
      <w:r>
        <w:t>.</w:t>
      </w:r>
      <w:r>
        <w:rPr>
          <w:rStyle w:val="FootnoteReference"/>
        </w:rPr>
        <w:footnoteReference w:id="2"/>
      </w:r>
      <w:r>
        <w:rPr>
          <w:rStyle w:val="FootnoteReference"/>
        </w:rPr>
        <w:footnoteReference w:id="3"/>
      </w:r>
      <w:r w:rsidRPr="00D53EF5">
        <w:t xml:space="preserve"> T</w:t>
      </w:r>
      <w:r>
        <w:t xml:space="preserve">he data provided by the sponsor </w:t>
      </w:r>
      <w:r w:rsidRPr="00D53EF5">
        <w:t xml:space="preserve">indicated a more marked effect of the R117H mutation on gating compared to conductance (78% </w:t>
      </w:r>
      <w:r w:rsidR="00710704" w:rsidRPr="00710704">
        <w:t>compared to</w:t>
      </w:r>
      <w:r>
        <w:t xml:space="preserve"> </w:t>
      </w:r>
      <w:r w:rsidRPr="00D53EF5">
        <w:t>12% impairment of normal activity, respectively).</w:t>
      </w:r>
    </w:p>
    <w:p w:rsidR="00D53EF5" w:rsidRDefault="00D53EF5" w:rsidP="00D53EF5">
      <w:proofErr w:type="spellStart"/>
      <w:r w:rsidRPr="00D53EF5">
        <w:t>Ivacaftor</w:t>
      </w:r>
      <w:proofErr w:type="spellEnd"/>
      <w:r w:rsidRPr="00D53EF5">
        <w:t xml:space="preserve"> increased total chloride transport in Fischer rat</w:t>
      </w:r>
      <w:r w:rsidR="002536B1">
        <w:t xml:space="preserve"> thyroid cells expressing R117H</w:t>
      </w:r>
      <w:r w:rsidR="002536B1">
        <w:noBreakHyphen/>
      </w:r>
      <w:r w:rsidRPr="00D53EF5">
        <w:t>CFTR with</w:t>
      </w:r>
      <w:r>
        <w:t xml:space="preserve"> </w:t>
      </w:r>
      <w:proofErr w:type="gramStart"/>
      <w:r w:rsidRPr="00D53EF5">
        <w:t>an</w:t>
      </w:r>
      <w:proofErr w:type="gramEnd"/>
      <w:r w:rsidRPr="00D53EF5">
        <w:t xml:space="preserve"> </w:t>
      </w:r>
      <w:r w:rsidR="00710704">
        <w:t>50% effective dose (</w:t>
      </w:r>
      <w:r w:rsidRPr="00D53EF5">
        <w:t>EC</w:t>
      </w:r>
      <w:r w:rsidRPr="00AD4B76">
        <w:rPr>
          <w:vertAlign w:val="subscript"/>
        </w:rPr>
        <w:t>50</w:t>
      </w:r>
      <w:r w:rsidR="00710704" w:rsidRPr="00710704">
        <w:t>)</w:t>
      </w:r>
      <w:r w:rsidRPr="00D53EF5">
        <w:t xml:space="preserve"> </w:t>
      </w:r>
      <w:r>
        <w:t xml:space="preserve">of 82 to </w:t>
      </w:r>
      <w:r w:rsidRPr="00D53EF5">
        <w:t>151 nM. The increase in total chloride transport was due to an increase in the</w:t>
      </w:r>
      <w:r>
        <w:t xml:space="preserve"> open </w:t>
      </w:r>
      <w:r w:rsidRPr="00D53EF5">
        <w:t>probability of the channel gate (from 22% to 42% of normal in t</w:t>
      </w:r>
      <w:r>
        <w:t xml:space="preserve">he presence of 3 </w:t>
      </w:r>
      <w:proofErr w:type="spellStart"/>
      <w:r>
        <w:t>μM</w:t>
      </w:r>
      <w:proofErr w:type="spellEnd"/>
      <w:r>
        <w:t xml:space="preserve"> </w:t>
      </w:r>
      <w:proofErr w:type="spellStart"/>
      <w:r>
        <w:t>ivacaftor</w:t>
      </w:r>
      <w:proofErr w:type="spellEnd"/>
      <w:r>
        <w:t xml:space="preserve">). </w:t>
      </w:r>
      <w:r w:rsidRPr="00D53EF5">
        <w:t xml:space="preserve">There was no effect of </w:t>
      </w:r>
      <w:proofErr w:type="spellStart"/>
      <w:r w:rsidRPr="00D53EF5">
        <w:t>ivacaftor</w:t>
      </w:r>
      <w:proofErr w:type="spellEnd"/>
      <w:r w:rsidRPr="00D53EF5">
        <w:t xml:space="preserve"> on conductance (current amplitude</w:t>
      </w:r>
      <w:r>
        <w:t xml:space="preserve">). In the presence of </w:t>
      </w:r>
      <w:proofErr w:type="spellStart"/>
      <w:r>
        <w:t>ivacaftor</w:t>
      </w:r>
      <w:proofErr w:type="spellEnd"/>
      <w:r>
        <w:t xml:space="preserve"> </w:t>
      </w:r>
      <w:r w:rsidRPr="00D53EF5">
        <w:t xml:space="preserve">(3 </w:t>
      </w:r>
      <w:proofErr w:type="spellStart"/>
      <w:r w:rsidRPr="00D53EF5">
        <w:t>μM</w:t>
      </w:r>
      <w:proofErr w:type="spellEnd"/>
      <w:r w:rsidRPr="00D53EF5">
        <w:t>), total chloride transport by R117H-CFTR was increased fro</w:t>
      </w:r>
      <w:r>
        <w:t xml:space="preserve">m 26% of that of normal CFTR to </w:t>
      </w:r>
      <w:r w:rsidRPr="00D53EF5">
        <w:t>38% (statistically significant). In cells expressing the G551D</w:t>
      </w:r>
      <w:r>
        <w:t xml:space="preserve"> mutant form of CFTR, </w:t>
      </w:r>
      <w:proofErr w:type="spellStart"/>
      <w:r>
        <w:t>ivacaftor</w:t>
      </w:r>
      <w:proofErr w:type="spellEnd"/>
      <w:r>
        <w:t xml:space="preserve"> </w:t>
      </w:r>
      <w:r w:rsidRPr="00D53EF5">
        <w:t xml:space="preserve">increased chloride transport with EC50 </w:t>
      </w:r>
      <w:r>
        <w:t xml:space="preserve">values ranging from 36 to </w:t>
      </w:r>
      <w:r w:rsidRPr="00D53EF5">
        <w:t>312 nM</w:t>
      </w:r>
      <w:r>
        <w:t xml:space="preserve">, with total chloride transport </w:t>
      </w:r>
      <w:r w:rsidRPr="00D53EF5">
        <w:t>increased from 5% of normal CFTR to 48%.</w:t>
      </w:r>
    </w:p>
    <w:p w:rsidR="0004542F" w:rsidRDefault="0004542F" w:rsidP="0004542F">
      <w:r w:rsidRPr="0004542F">
        <w:t xml:space="preserve">The in vitro studies support the use of </w:t>
      </w:r>
      <w:proofErr w:type="spellStart"/>
      <w:r w:rsidRPr="0004542F">
        <w:t>ivacaftor</w:t>
      </w:r>
      <w:proofErr w:type="spellEnd"/>
      <w:r w:rsidRPr="0004542F">
        <w:t xml:space="preserve"> in CF patients bearing a R117H mutation of CFTR</w:t>
      </w:r>
      <w:r>
        <w:t xml:space="preserve"> </w:t>
      </w:r>
      <w:r w:rsidRPr="0004542F">
        <w:t>and indicate that the mechanism of action is by increasing the open-</w:t>
      </w:r>
      <w:r>
        <w:t xml:space="preserve">probability of the ion channel. </w:t>
      </w:r>
      <w:proofErr w:type="spellStart"/>
      <w:r w:rsidRPr="0004542F">
        <w:t>Ivacaftor</w:t>
      </w:r>
      <w:proofErr w:type="spellEnd"/>
      <w:r w:rsidRPr="0004542F">
        <w:t xml:space="preserve"> appeared to have similar potency in increasing chloride tr</w:t>
      </w:r>
      <w:r>
        <w:t xml:space="preserve">ansport by R117H- and G551DCFTR </w:t>
      </w:r>
      <w:r w:rsidRPr="0004542F">
        <w:t>mutants.</w:t>
      </w:r>
    </w:p>
    <w:p w:rsidR="006E3A47" w:rsidRDefault="006E3A47" w:rsidP="0004542F">
      <w:r>
        <w:lastRenderedPageBreak/>
        <w:t>The sponsor has proposed several modifications and corrections to the draft Product Information</w:t>
      </w:r>
      <w:r w:rsidR="00AD4B76">
        <w:t xml:space="preserve"> (PI)</w:t>
      </w:r>
      <w:r>
        <w:t>.</w:t>
      </w:r>
    </w:p>
    <w:p w:rsidR="006E3A47" w:rsidRDefault="002F1C52" w:rsidP="00D962DD">
      <w:pPr>
        <w:pStyle w:val="Comment"/>
        <w:ind w:left="1440" w:hanging="1440"/>
      </w:pPr>
      <w:r w:rsidRPr="002F1C52">
        <w:rPr>
          <w:b/>
        </w:rPr>
        <w:t>Comment:</w:t>
      </w:r>
      <w:r>
        <w:t xml:space="preserve"> </w:t>
      </w:r>
      <w:r w:rsidR="00762324">
        <w:tab/>
      </w:r>
      <w:r w:rsidR="006E3A47">
        <w:t xml:space="preserve">A separate submission to update </w:t>
      </w:r>
      <w:r>
        <w:t>the PI has recently been considered by the TGA. The sponsor should ensure the recommended changes for exposure ratios in the effects on fertility, use in pregnancy, paediatric use and carcinogenicity sections are incorporated here.</w:t>
      </w:r>
    </w:p>
    <w:p w:rsidR="002F1C52" w:rsidRDefault="002F1C52" w:rsidP="002F1C52">
      <w:pPr>
        <w:pStyle w:val="Heading4"/>
      </w:pPr>
      <w:r w:rsidRPr="002F1C52">
        <w:t>Study K139</w:t>
      </w:r>
    </w:p>
    <w:p w:rsidR="002F1C52" w:rsidRDefault="002F1C52" w:rsidP="002F1C52">
      <w:r w:rsidRPr="002F1C52">
        <w:t>Normal, R117H and G551D variants of the CFTR gene were expressed in Fischer rat thyroid (FRT)</w:t>
      </w:r>
      <w:r>
        <w:t xml:space="preserve"> </w:t>
      </w:r>
      <w:r w:rsidRPr="002F1C52">
        <w:t>cells. Single-channel gating activity (as open probability) and conductance (as current amplitude)</w:t>
      </w:r>
      <w:r>
        <w:t xml:space="preserve"> </w:t>
      </w:r>
      <w:r w:rsidRPr="002F1C52">
        <w:t>were then measured using single-channel p</w:t>
      </w:r>
      <w:r w:rsidR="00AD4B76">
        <w:t xml:space="preserve">atch-clamp electrophysiology (3 to </w:t>
      </w:r>
      <w:r w:rsidRPr="002F1C52">
        <w:t>5 replicates). For gating</w:t>
      </w:r>
      <w:r>
        <w:t xml:space="preserve"> </w:t>
      </w:r>
      <w:r w:rsidRPr="002F1C52">
        <w:t>and conductance experiments, CFTR was activated by 75 nM protein kinase A in the presence of</w:t>
      </w:r>
      <w:r>
        <w:t xml:space="preserve"> </w:t>
      </w:r>
      <w:r w:rsidRPr="002F1C52">
        <w:t xml:space="preserve">1 mM ATP. </w:t>
      </w:r>
      <w:proofErr w:type="spellStart"/>
      <w:r w:rsidRPr="002F1C52">
        <w:t>Forskolin</w:t>
      </w:r>
      <w:proofErr w:type="spellEnd"/>
      <w:r w:rsidRPr="002F1C52">
        <w:t xml:space="preserve"> (10 </w:t>
      </w:r>
      <w:proofErr w:type="spellStart"/>
      <w:r w:rsidRPr="002F1C52">
        <w:t>μM</w:t>
      </w:r>
      <w:proofErr w:type="spellEnd"/>
      <w:r w:rsidRPr="002F1C52">
        <w:t xml:space="preserve">) was used to investigate the effects of the mutations and/or </w:t>
      </w:r>
      <w:proofErr w:type="spellStart"/>
      <w:r w:rsidRPr="002F1C52">
        <w:t>ivacaftor</w:t>
      </w:r>
      <w:proofErr w:type="spellEnd"/>
      <w:r w:rsidRPr="002F1C52">
        <w:t xml:space="preserve"> on</w:t>
      </w:r>
      <w:r>
        <w:t xml:space="preserve"> </w:t>
      </w:r>
      <w:r w:rsidRPr="002F1C52">
        <w:t xml:space="preserve">total chloride transport. </w:t>
      </w:r>
      <w:proofErr w:type="spellStart"/>
      <w:r w:rsidRPr="002F1C52">
        <w:t>Ivacaftor</w:t>
      </w:r>
      <w:proofErr w:type="spellEnd"/>
      <w:r w:rsidRPr="002F1C52">
        <w:t xml:space="preserve"> (3 </w:t>
      </w:r>
      <w:proofErr w:type="spellStart"/>
      <w:r w:rsidRPr="002F1C52">
        <w:t>μM</w:t>
      </w:r>
      <w:proofErr w:type="spellEnd"/>
      <w:r w:rsidRPr="002F1C52">
        <w:t>) was added during the recordings.</w:t>
      </w:r>
    </w:p>
    <w:p w:rsidR="002F1C52" w:rsidRDefault="002F1C52" w:rsidP="002F1C52">
      <w:proofErr w:type="spellStart"/>
      <w:r w:rsidRPr="002F1C52">
        <w:t>Ivacaftor</w:t>
      </w:r>
      <w:proofErr w:type="spellEnd"/>
      <w:r w:rsidRPr="002F1C52">
        <w:t xml:space="preserve"> increased the open probability in FRT cells expressing R117H-CFTR leading to an increase</w:t>
      </w:r>
      <w:r>
        <w:t xml:space="preserve"> </w:t>
      </w:r>
      <w:r w:rsidRPr="002F1C52">
        <w:t>in total chloride transport. There was no effect on conductance (</w:t>
      </w:r>
      <w:r>
        <w:t>Table 2</w:t>
      </w:r>
      <w:r w:rsidRPr="002F1C52">
        <w:t xml:space="preserve"> and Figure 1).</w:t>
      </w:r>
    </w:p>
    <w:p w:rsidR="002F1C52" w:rsidRDefault="002F1C52" w:rsidP="002F1C52">
      <w:pPr>
        <w:pStyle w:val="Tabletitle0"/>
      </w:pPr>
      <w:r>
        <w:t xml:space="preserve">Table 2: Relative effects of CFTR mutations and </w:t>
      </w:r>
      <w:proofErr w:type="spellStart"/>
      <w:r>
        <w:t>ivacaftor</w:t>
      </w:r>
      <w:proofErr w:type="spellEnd"/>
      <w:r>
        <w:t xml:space="preserve"> on CFTR functi</w:t>
      </w:r>
      <w:r w:rsidR="002E440C">
        <w:t>on in Fischer rat thyroid cells</w:t>
      </w:r>
    </w:p>
    <w:p w:rsidR="002F1C52" w:rsidRDefault="002F1C52" w:rsidP="002F1C52">
      <w:r>
        <w:rPr>
          <w:noProof/>
          <w:lang w:eastAsia="en-AU"/>
        </w:rPr>
        <w:drawing>
          <wp:inline distT="0" distB="0" distL="0" distR="0" wp14:anchorId="244ACAC3" wp14:editId="64515DD3">
            <wp:extent cx="5400040" cy="1127316"/>
            <wp:effectExtent l="0" t="0" r="0" b="0"/>
            <wp:docPr id="28" name="Picture 28" descr="Table 2: Relative effects of CFTR mutations and ivacaftor on CFTR function in Fischer rat thyroi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127316"/>
                    </a:xfrm>
                    <a:prstGeom prst="rect">
                      <a:avLst/>
                    </a:prstGeom>
                  </pic:spPr>
                </pic:pic>
              </a:graphicData>
            </a:graphic>
          </wp:inline>
        </w:drawing>
      </w:r>
    </w:p>
    <w:p w:rsidR="002F1C52" w:rsidRDefault="00710704" w:rsidP="0034583F">
      <w:pPr>
        <w:pStyle w:val="TableDescription"/>
      </w:pPr>
      <w:r>
        <w:t>D</w:t>
      </w:r>
      <w:r w:rsidR="0034583F">
        <w:t>ata are presented as mean± SEM; a: statistically significant (P</w:t>
      </w:r>
      <w:r w:rsidR="000540D9">
        <w:t xml:space="preserve"> </w:t>
      </w:r>
      <w:r w:rsidR="0034583F">
        <w:t>&lt;</w:t>
      </w:r>
      <w:r w:rsidR="000540D9">
        <w:t xml:space="preserve"> </w:t>
      </w:r>
      <w:r w:rsidR="0034583F">
        <w:t xml:space="preserve">0.001) </w:t>
      </w:r>
      <w:r w:rsidRPr="00710704">
        <w:t>compared to</w:t>
      </w:r>
      <w:r w:rsidR="0034583F">
        <w:t xml:space="preserve"> normal CFTR; b: statistically significant (P</w:t>
      </w:r>
      <w:r w:rsidR="000540D9">
        <w:t xml:space="preserve"> </w:t>
      </w:r>
      <w:r w:rsidR="0034583F">
        <w:t>&lt;</w:t>
      </w:r>
      <w:r w:rsidR="000540D9">
        <w:t xml:space="preserve"> </w:t>
      </w:r>
      <w:r>
        <w:t>0.05) compared to</w:t>
      </w:r>
      <w:r w:rsidR="0034583F">
        <w:t xml:space="preserve"> no </w:t>
      </w:r>
      <w:proofErr w:type="spellStart"/>
      <w:r w:rsidR="0034583F">
        <w:t>ivacaftor</w:t>
      </w:r>
      <w:proofErr w:type="spellEnd"/>
    </w:p>
    <w:p w:rsidR="0034583F" w:rsidRDefault="0034583F" w:rsidP="0034583F">
      <w:pPr>
        <w:pStyle w:val="FigureTitle"/>
      </w:pPr>
      <w:r>
        <w:t xml:space="preserve">Figure 1: Single-channel gating activity and conductance in normal and mutant CFTR forms in the presence and absence of </w:t>
      </w:r>
      <w:proofErr w:type="spellStart"/>
      <w:r>
        <w:t>ivacaftor</w:t>
      </w:r>
      <w:proofErr w:type="spellEnd"/>
    </w:p>
    <w:p w:rsidR="0034583F" w:rsidRPr="002F1C52" w:rsidRDefault="0034583F" w:rsidP="002F1C52">
      <w:r>
        <w:rPr>
          <w:noProof/>
          <w:lang w:eastAsia="en-AU"/>
        </w:rPr>
        <w:drawing>
          <wp:inline distT="0" distB="0" distL="0" distR="0" wp14:anchorId="20895054" wp14:editId="4EDB76D7">
            <wp:extent cx="3867150" cy="1719973"/>
            <wp:effectExtent l="0" t="0" r="0" b="0"/>
            <wp:docPr id="29" name="Picture 29" descr="Figure 1: Single-channel gating activity and conductance in normal and mutant CFTR forms in the presence and absence of ivacaf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69485" cy="1721011"/>
                    </a:xfrm>
                    <a:prstGeom prst="rect">
                      <a:avLst/>
                    </a:prstGeom>
                  </pic:spPr>
                </pic:pic>
              </a:graphicData>
            </a:graphic>
          </wp:inline>
        </w:drawing>
      </w:r>
    </w:p>
    <w:p w:rsidR="004334C7" w:rsidRDefault="0034583F" w:rsidP="0034583F">
      <w:pPr>
        <w:pStyle w:val="Heading4"/>
      </w:pPr>
      <w:bookmarkStart w:id="37" w:name="_Toc247691514"/>
      <w:bookmarkStart w:id="38" w:name="_Toc314842498"/>
      <w:r>
        <w:t>Studies C166 and G205</w:t>
      </w:r>
    </w:p>
    <w:p w:rsidR="0034583F" w:rsidRDefault="00495AB4" w:rsidP="004334C7">
      <w:r>
        <w:t>These s</w:t>
      </w:r>
      <w:r w:rsidR="0034583F">
        <w:t xml:space="preserve">tudies were evaluated </w:t>
      </w:r>
      <w:r>
        <w:t>in a</w:t>
      </w:r>
      <w:r w:rsidR="0034583F">
        <w:t xml:space="preserve"> previous submission.</w:t>
      </w:r>
    </w:p>
    <w:p w:rsidR="008E7846" w:rsidRDefault="008E7846" w:rsidP="008E7846">
      <w:pPr>
        <w:pStyle w:val="Heading3"/>
      </w:pPr>
      <w:bookmarkStart w:id="39" w:name="_Toc247691515"/>
      <w:bookmarkStart w:id="40" w:name="_Toc314842499"/>
      <w:bookmarkStart w:id="41" w:name="_Toc472521782"/>
      <w:bookmarkEnd w:id="37"/>
      <w:bookmarkEnd w:id="38"/>
      <w:r>
        <w:lastRenderedPageBreak/>
        <w:t>Nonclinical summary and conclusions</w:t>
      </w:r>
      <w:bookmarkEnd w:id="39"/>
      <w:bookmarkEnd w:id="40"/>
      <w:bookmarkEnd w:id="41"/>
    </w:p>
    <w:p w:rsidR="00D049C3" w:rsidRDefault="00710704" w:rsidP="00D049C3">
      <w:r>
        <w:t>The nonclinical submission</w:t>
      </w:r>
      <w:r w:rsidR="00D049C3" w:rsidRPr="00D049C3">
        <w:t xml:space="preserve"> contained one new primary pharmacology study. Two previously submitted</w:t>
      </w:r>
      <w:r w:rsidR="00D049C3">
        <w:t xml:space="preserve"> </w:t>
      </w:r>
      <w:r w:rsidR="00D049C3" w:rsidRPr="00D049C3">
        <w:t>pharmacology studies (from the original application to regis</w:t>
      </w:r>
      <w:r w:rsidR="00D049C3">
        <w:t xml:space="preserve">ter </w:t>
      </w:r>
      <w:proofErr w:type="spellStart"/>
      <w:r w:rsidR="00D049C3">
        <w:t>ivacaftor</w:t>
      </w:r>
      <w:proofErr w:type="spellEnd"/>
      <w:r w:rsidR="00D049C3">
        <w:t xml:space="preserve"> as a new chemical </w:t>
      </w:r>
      <w:r w:rsidR="00D049C3" w:rsidRPr="00D049C3">
        <w:t>entity) also contained relevant data.</w:t>
      </w:r>
    </w:p>
    <w:p w:rsidR="00D049C3" w:rsidRPr="00D049C3" w:rsidRDefault="00D049C3" w:rsidP="00D049C3">
      <w:r w:rsidRPr="00D049C3">
        <w:t>The R117H mutation affects both gating and conductance of the CFTR protein, leading to</w:t>
      </w:r>
      <w:r>
        <w:t xml:space="preserve"> </w:t>
      </w:r>
      <w:r w:rsidRPr="00D049C3">
        <w:t>decreased total chloride transport.</w:t>
      </w:r>
    </w:p>
    <w:p w:rsidR="00D049C3" w:rsidRDefault="00D049C3" w:rsidP="00D049C3">
      <w:proofErr w:type="spellStart"/>
      <w:r w:rsidRPr="00D049C3">
        <w:t>Ivacaftor</w:t>
      </w:r>
      <w:proofErr w:type="spellEnd"/>
      <w:r w:rsidRPr="00D049C3">
        <w:t xml:space="preserve"> was shown to increase chloride transport by the R117H mutant form of CFTR by almost</w:t>
      </w:r>
      <w:r>
        <w:t xml:space="preserve"> </w:t>
      </w:r>
      <w:r w:rsidRPr="00D049C3">
        <w:t xml:space="preserve">50% (from a background of 26% of that of normal CFTR to 38%) in in vitro </w:t>
      </w:r>
      <w:r>
        <w:t xml:space="preserve">experiments with </w:t>
      </w:r>
      <w:r w:rsidRPr="00D049C3">
        <w:t>transfected cells. The drug increased the open-probability of the io</w:t>
      </w:r>
      <w:r>
        <w:t xml:space="preserve">n channel (gating) of R117HCFTR </w:t>
      </w:r>
      <w:r w:rsidRPr="00D049C3">
        <w:t>without affecting chloride ion conductance. The EC</w:t>
      </w:r>
      <w:r w:rsidRPr="00D049C3">
        <w:rPr>
          <w:vertAlign w:val="subscript"/>
        </w:rPr>
        <w:t>50</w:t>
      </w:r>
      <w:r w:rsidRPr="00D049C3">
        <w:t xml:space="preserve"> val</w:t>
      </w:r>
      <w:r>
        <w:t xml:space="preserve">ue for the increase in chloride </w:t>
      </w:r>
      <w:r w:rsidRPr="00D049C3">
        <w:t xml:space="preserve">transport was comparable to that previously reported for </w:t>
      </w:r>
      <w:proofErr w:type="spellStart"/>
      <w:r w:rsidRPr="00D049C3">
        <w:t>ivacaftor</w:t>
      </w:r>
      <w:proofErr w:type="spellEnd"/>
      <w:r w:rsidRPr="00D049C3">
        <w:t xml:space="preserve"> at the G551D mutant for</w:t>
      </w:r>
      <w:r>
        <w:t xml:space="preserve">m of </w:t>
      </w:r>
      <w:r w:rsidRPr="00D049C3">
        <w:t>CFTR.</w:t>
      </w:r>
    </w:p>
    <w:p w:rsidR="00D049C3" w:rsidRDefault="00D049C3" w:rsidP="00D049C3">
      <w:r w:rsidRPr="00D049C3">
        <w:t>The nonclinical data support the extension of indication in the proposed patient group.</w:t>
      </w:r>
    </w:p>
    <w:p w:rsidR="00D049C3" w:rsidRPr="00D049C3" w:rsidRDefault="003007CA" w:rsidP="00D049C3">
      <w:r>
        <w:t>The evaluator recommended amendments to the</w:t>
      </w:r>
      <w:r w:rsidR="00D049C3" w:rsidRPr="00D049C3">
        <w:t xml:space="preserve"> draft Product Information</w:t>
      </w:r>
      <w:r>
        <w:t xml:space="preserve"> but these are beyond the scope of this AusPAR.</w:t>
      </w:r>
    </w:p>
    <w:p w:rsidR="008E7846" w:rsidRPr="00254787" w:rsidRDefault="008E7846" w:rsidP="008E7846">
      <w:pPr>
        <w:pStyle w:val="Heading2"/>
      </w:pPr>
      <w:bookmarkStart w:id="42" w:name="_Toc196046462"/>
      <w:bookmarkStart w:id="43" w:name="_Toc247691516"/>
      <w:bookmarkStart w:id="44" w:name="_Toc314842500"/>
      <w:bookmarkStart w:id="45" w:name="_Toc163441353"/>
      <w:bookmarkStart w:id="46" w:name="_Toc163441348"/>
      <w:bookmarkStart w:id="47" w:name="_Toc472521783"/>
      <w:r>
        <w:t xml:space="preserve">IV. </w:t>
      </w:r>
      <w:r w:rsidRPr="00254787">
        <w:t>Clinical</w:t>
      </w:r>
      <w:bookmarkEnd w:id="42"/>
      <w:r>
        <w:t xml:space="preserve"> </w:t>
      </w:r>
      <w:r w:rsidR="003A7F6C">
        <w:t>f</w:t>
      </w:r>
      <w:r>
        <w:t>indings</w:t>
      </w:r>
      <w:bookmarkEnd w:id="43"/>
      <w:bookmarkEnd w:id="44"/>
      <w:bookmarkEnd w:id="47"/>
    </w:p>
    <w:p w:rsidR="008E7846" w:rsidRDefault="008E7846" w:rsidP="008E7846">
      <w:pPr>
        <w:pStyle w:val="Heading3"/>
      </w:pPr>
      <w:bookmarkStart w:id="48" w:name="_Toc196046463"/>
      <w:bookmarkStart w:id="49" w:name="_Toc247691517"/>
      <w:bookmarkStart w:id="50" w:name="_Toc314842501"/>
      <w:bookmarkStart w:id="51" w:name="_Toc472521784"/>
      <w:r w:rsidRPr="00254787">
        <w:t>Introduction</w:t>
      </w:r>
      <w:bookmarkEnd w:id="48"/>
      <w:bookmarkEnd w:id="49"/>
      <w:bookmarkEnd w:id="50"/>
      <w:bookmarkEnd w:id="51"/>
    </w:p>
    <w:p w:rsidR="00962AA0" w:rsidRPr="00EA0443" w:rsidRDefault="00962AA0" w:rsidP="00962AA0">
      <w:pPr>
        <w:rPr>
          <w:lang w:eastAsia="en-AU"/>
        </w:rPr>
      </w:pPr>
      <w:r w:rsidRPr="009D33BB">
        <w:rPr>
          <w:lang w:eastAsia="en-AU"/>
        </w:rPr>
        <w:t>This is a submission to:</w:t>
      </w:r>
    </w:p>
    <w:p w:rsidR="00962AA0" w:rsidRDefault="00901DB5" w:rsidP="00901DB5">
      <w:pPr>
        <w:pStyle w:val="ListBullet"/>
        <w:rPr>
          <w:lang w:eastAsia="en-AU"/>
        </w:rPr>
      </w:pPr>
      <w:proofErr w:type="gramStart"/>
      <w:r>
        <w:rPr>
          <w:lang w:eastAsia="en-AU"/>
        </w:rPr>
        <w:t>e</w:t>
      </w:r>
      <w:r w:rsidR="00962AA0">
        <w:rPr>
          <w:lang w:eastAsia="en-AU"/>
        </w:rPr>
        <w:t>xtend</w:t>
      </w:r>
      <w:proofErr w:type="gramEnd"/>
      <w:r w:rsidR="00962AA0">
        <w:rPr>
          <w:lang w:eastAsia="en-AU"/>
        </w:rPr>
        <w:t xml:space="preserve"> indications for </w:t>
      </w:r>
      <w:proofErr w:type="spellStart"/>
      <w:r w:rsidR="00962AA0">
        <w:rPr>
          <w:lang w:eastAsia="en-AU"/>
        </w:rPr>
        <w:t>ivacaftor</w:t>
      </w:r>
      <w:proofErr w:type="spellEnd"/>
      <w:r w:rsidR="00962AA0">
        <w:rPr>
          <w:lang w:eastAsia="en-AU"/>
        </w:rPr>
        <w:t xml:space="preserve"> for an additional subset of cystic fibrosis (CF) patients.</w:t>
      </w:r>
    </w:p>
    <w:p w:rsidR="00962AA0" w:rsidRPr="009D33BB" w:rsidRDefault="00962AA0" w:rsidP="00962AA0">
      <w:r w:rsidRPr="009D33BB">
        <w:t xml:space="preserve">The following dosage forms and strengths are currently </w:t>
      </w:r>
      <w:r>
        <w:t>registered:</w:t>
      </w:r>
    </w:p>
    <w:p w:rsidR="00962AA0" w:rsidRPr="0078446E" w:rsidRDefault="0078446E" w:rsidP="0078446E">
      <w:pPr>
        <w:ind w:left="720"/>
        <w:rPr>
          <w:i/>
        </w:rPr>
      </w:pPr>
      <w:proofErr w:type="spellStart"/>
      <w:r w:rsidRPr="0078446E">
        <w:rPr>
          <w:i/>
        </w:rPr>
        <w:t>Ivacaftor</w:t>
      </w:r>
      <w:proofErr w:type="spellEnd"/>
      <w:r w:rsidRPr="0078446E">
        <w:rPr>
          <w:i/>
        </w:rPr>
        <w:t xml:space="preserve"> (</w:t>
      </w:r>
      <w:proofErr w:type="spellStart"/>
      <w:r>
        <w:rPr>
          <w:i/>
        </w:rPr>
        <w:t>Kaldyeco</w:t>
      </w:r>
      <w:proofErr w:type="spellEnd"/>
      <w:r w:rsidR="00A3329B" w:rsidRPr="0078446E">
        <w:rPr>
          <w:i/>
        </w:rPr>
        <w:t>)</w:t>
      </w:r>
      <w:r w:rsidR="00962AA0" w:rsidRPr="0078446E">
        <w:rPr>
          <w:i/>
        </w:rPr>
        <w:t xml:space="preserve"> film-coated tablets are supplied as light blue, capsule-shaped tablets (16.5 mm x 8.4 mm in modified caplet shape) containing 150 mg of </w:t>
      </w:r>
      <w:proofErr w:type="spellStart"/>
      <w:r w:rsidR="00962AA0" w:rsidRPr="0078446E">
        <w:rPr>
          <w:i/>
        </w:rPr>
        <w:t>ivacaftor</w:t>
      </w:r>
      <w:proofErr w:type="spellEnd"/>
      <w:r w:rsidR="00962AA0" w:rsidRPr="0078446E">
        <w:rPr>
          <w:i/>
        </w:rPr>
        <w:t>. Each</w:t>
      </w:r>
      <w:r w:rsidR="00A3329B" w:rsidRPr="0078446E">
        <w:rPr>
          <w:i/>
        </w:rPr>
        <w:t xml:space="preserve"> tablet is printed with 'V 150'</w:t>
      </w:r>
      <w:r w:rsidR="00962AA0" w:rsidRPr="0078446E">
        <w:rPr>
          <w:i/>
        </w:rPr>
        <w:t xml:space="preserve"> in blac</w:t>
      </w:r>
      <w:r>
        <w:rPr>
          <w:i/>
        </w:rPr>
        <w:t xml:space="preserve">k ink on one side only. </w:t>
      </w:r>
      <w:proofErr w:type="spellStart"/>
      <w:r>
        <w:rPr>
          <w:i/>
        </w:rPr>
        <w:t>Kaldyeco</w:t>
      </w:r>
      <w:proofErr w:type="spellEnd"/>
      <w:r w:rsidR="00962AA0" w:rsidRPr="0078446E">
        <w:rPr>
          <w:i/>
        </w:rPr>
        <w:t xml:space="preserve"> tablets are packaged in a blister pack or a child-resistant bottle with desiccant. The following pack sizes are available: blister pack containing 56 film-coated tablets, bottle containing 56 film-coated tablets.</w:t>
      </w:r>
    </w:p>
    <w:p w:rsidR="00962AA0" w:rsidRPr="00846EB2" w:rsidRDefault="00962AA0" w:rsidP="00962AA0">
      <w:r>
        <w:t xml:space="preserve">The </w:t>
      </w:r>
      <w:r w:rsidR="0078446E">
        <w:t xml:space="preserve">currently </w:t>
      </w:r>
      <w:r>
        <w:t>approved indication is:</w:t>
      </w:r>
    </w:p>
    <w:p w:rsidR="00962AA0" w:rsidRPr="00846EB2" w:rsidRDefault="00962AA0" w:rsidP="006C3669">
      <w:pPr>
        <w:ind w:left="720"/>
        <w:rPr>
          <w:i/>
        </w:rPr>
      </w:pPr>
      <w:r w:rsidRPr="00846EB2">
        <w:rPr>
          <w:i/>
        </w:rPr>
        <w:t>‘</w:t>
      </w:r>
      <w:proofErr w:type="spellStart"/>
      <w:r w:rsidR="0078446E">
        <w:rPr>
          <w:i/>
        </w:rPr>
        <w:t>Kaldyeco</w:t>
      </w:r>
      <w:proofErr w:type="spellEnd"/>
      <w:r w:rsidRPr="00846EB2">
        <w:rPr>
          <w:i/>
        </w:rPr>
        <w:t xml:space="preserve"> is indicated for the treatment of cystic fibrosis (CF) in patients aged 6 years and older who have a G551D or other gating (class III) mutation in the CFTR gene.’</w:t>
      </w:r>
    </w:p>
    <w:p w:rsidR="00962AA0" w:rsidRDefault="00962AA0" w:rsidP="00962AA0">
      <w:pPr>
        <w:rPr>
          <w:lang w:eastAsia="en-AU"/>
        </w:rPr>
      </w:pPr>
      <w:r>
        <w:rPr>
          <w:lang w:eastAsia="en-AU"/>
        </w:rPr>
        <w:t>The proposed indication is:</w:t>
      </w:r>
    </w:p>
    <w:p w:rsidR="00962AA0" w:rsidRPr="009D33BB" w:rsidRDefault="0078446E" w:rsidP="006C3669">
      <w:pPr>
        <w:ind w:left="360"/>
        <w:rPr>
          <w:i/>
          <w:lang w:eastAsia="en-AU"/>
        </w:rPr>
      </w:pPr>
      <w:proofErr w:type="spellStart"/>
      <w:r>
        <w:rPr>
          <w:i/>
          <w:lang w:eastAsia="en-AU"/>
        </w:rPr>
        <w:t>Kaldyeco</w:t>
      </w:r>
      <w:proofErr w:type="spellEnd"/>
      <w:r w:rsidR="00962AA0" w:rsidRPr="009D33BB">
        <w:rPr>
          <w:i/>
          <w:lang w:eastAsia="en-AU"/>
        </w:rPr>
        <w:t xml:space="preserve"> is indicated for the treatment of cystic fibrosis (CF) in patients:</w:t>
      </w:r>
    </w:p>
    <w:p w:rsidR="00962AA0" w:rsidRPr="009D33BB" w:rsidRDefault="00962AA0" w:rsidP="006C3669">
      <w:pPr>
        <w:pStyle w:val="ListBullet"/>
        <w:numPr>
          <w:ilvl w:val="0"/>
          <w:numId w:val="3"/>
        </w:numPr>
        <w:ind w:left="720"/>
        <w:rPr>
          <w:i/>
        </w:rPr>
      </w:pPr>
      <w:r w:rsidRPr="009D33BB">
        <w:rPr>
          <w:i/>
        </w:rPr>
        <w:t xml:space="preserve">Age 6 years and older who have a G551D or other gating (class </w:t>
      </w:r>
      <w:r>
        <w:rPr>
          <w:i/>
        </w:rPr>
        <w:t>III) mutation in the CFTR gene.</w:t>
      </w:r>
    </w:p>
    <w:p w:rsidR="00962AA0" w:rsidRPr="00962AA0" w:rsidRDefault="00962AA0" w:rsidP="006C3669">
      <w:pPr>
        <w:pStyle w:val="ListBullet"/>
        <w:numPr>
          <w:ilvl w:val="0"/>
          <w:numId w:val="3"/>
        </w:numPr>
        <w:ind w:left="720"/>
        <w:rPr>
          <w:i/>
        </w:rPr>
      </w:pPr>
      <w:r w:rsidRPr="009D33BB">
        <w:rPr>
          <w:i/>
        </w:rPr>
        <w:t>Age 6 years and older who have an R117H mutation in the CFTR gene.</w:t>
      </w:r>
    </w:p>
    <w:p w:rsidR="00605AD4" w:rsidRDefault="00605AD4" w:rsidP="00605AD4">
      <w:pPr>
        <w:pStyle w:val="Heading4"/>
      </w:pPr>
      <w:bookmarkStart w:id="52" w:name="_Toc196046464"/>
      <w:bookmarkStart w:id="53" w:name="_Toc247691518"/>
      <w:bookmarkStart w:id="54" w:name="_Toc314842502"/>
      <w:r w:rsidRPr="00605AD4">
        <w:t xml:space="preserve">Clinical </w:t>
      </w:r>
      <w:r w:rsidR="00EF59DC">
        <w:t>r</w:t>
      </w:r>
      <w:r w:rsidRPr="00605AD4">
        <w:t>ationale</w:t>
      </w:r>
    </w:p>
    <w:p w:rsidR="00962AA0" w:rsidRDefault="00962AA0" w:rsidP="00962AA0">
      <w:r w:rsidRPr="00EA0443">
        <w:t xml:space="preserve">CF is an autosomal recessive disease with serious, chronically debilitating morbidities and high premature mortality and no cure available at present. CF affects approximately 70,000 individuals worldwide and is more common in the Caucasian populations of North </w:t>
      </w:r>
      <w:r w:rsidRPr="00EA0443">
        <w:lastRenderedPageBreak/>
        <w:t>America and Europe</w:t>
      </w:r>
      <w:r>
        <w:rPr>
          <w:rStyle w:val="FootnoteReference"/>
        </w:rPr>
        <w:footnoteReference w:id="4"/>
      </w:r>
      <w:r w:rsidRPr="00EA0443">
        <w:t xml:space="preserve"> than in Asian and African populations. Approximately, 3,100 individuals in Australia have CF.</w:t>
      </w:r>
    </w:p>
    <w:p w:rsidR="00962AA0" w:rsidRDefault="00962AA0" w:rsidP="00962AA0">
      <w:r w:rsidRPr="00EA0443">
        <w:t>CF is caused by mutations in the CF transmembrane conductance regulator (CFTR) gene that result in absent or deficient function of the CFTR protein at the cell surface. The CFTR protein is an epithelial chloride channel responsible for aiding in the regulation of salt and water absorption and secretion. CFTR protein is located in the apical membrane of epithelial cells in multiple organs, including lungs, pancreas, intestinal tract, biliary tract, sweat glands and vas deferens. The failure to regulate chloride transport in these organs results in the multisystem pathology associated with CF. Elevated sweat chloride concentrations are a hallmark of CF and is used for diagnostic purposes; sweat chloride concentrations ≥</w:t>
      </w:r>
      <w:r>
        <w:t xml:space="preserve"> </w:t>
      </w:r>
      <w:r w:rsidRPr="00EA0443">
        <w:t>60 mmol/L is considered indicative of CF, whereas a sweat chloride concentration &lt;</w:t>
      </w:r>
      <w:r>
        <w:t xml:space="preserve"> </w:t>
      </w:r>
      <w:r w:rsidRPr="00EA0443">
        <w:t>39 mmol/L is considered normal; intermediate sweat chloride values in the range of 40 to 59 mmol/L are also observed in patients with CF.</w:t>
      </w:r>
    </w:p>
    <w:p w:rsidR="00962AA0" w:rsidRPr="00076F55" w:rsidRDefault="00962AA0" w:rsidP="00962AA0">
      <w:r w:rsidRPr="00076F55">
        <w:t xml:space="preserve">More than 1900 mutations in the CFTR gene have been identified which result in reduced quantity of CFTR at the cell surface or reduced CFTR function leading to a decrease in epithelial chloride transport. Reduced CFTR function can be due to defects in channel gating (opening and closing of CFTR channel) or channel conductance (rate of chloride travel through the open channel). As for other ion channels, gating of the CFTR channel is measured by open probability, and conductance of the CFTR channel is measured by current amplitude. By definition, a CFTR form that has lower open probability than normal CFTR has a gating defect. By definition, a CFTR form that has </w:t>
      </w:r>
      <w:proofErr w:type="gramStart"/>
      <w:r w:rsidRPr="00076F55">
        <w:t>lower</w:t>
      </w:r>
      <w:proofErr w:type="gramEnd"/>
      <w:r w:rsidRPr="00076F55">
        <w:t xml:space="preserve"> current amplitude than normal CFTR has a conductance defect. Some CFTR mutations cause more than </w:t>
      </w:r>
      <w:r>
        <w:t>1 type of functional defect (for example</w:t>
      </w:r>
      <w:r w:rsidRPr="00076F55">
        <w:t xml:space="preserve">, </w:t>
      </w:r>
      <w:r w:rsidRPr="007E2442">
        <w:t>R117H</w:t>
      </w:r>
      <w:r w:rsidRPr="00076F55">
        <w:t>) or reduce both the quantity and function of CFTR (</w:t>
      </w:r>
      <w:r>
        <w:t>for example</w:t>
      </w:r>
      <w:r w:rsidRPr="00076F55">
        <w:t xml:space="preserve">, </w:t>
      </w:r>
      <w:r w:rsidRPr="007E2442">
        <w:t>F508del</w:t>
      </w:r>
      <w:r w:rsidRPr="00076F55">
        <w:t>). The amount of chloride transported by CFTR is a function of the quantity of CFTR on the cell surface, the open probability of the CFTR, and the current amplitude of the CFTR. Regardless of the type of defect(s) caused by the CFTR mutation, CF disease severity generally correlates with the severity of the loss of chloride transport.</w:t>
      </w:r>
    </w:p>
    <w:p w:rsidR="00962AA0" w:rsidRDefault="00962AA0" w:rsidP="00962AA0">
      <w:r w:rsidRPr="00076F55">
        <w:t xml:space="preserve">The </w:t>
      </w:r>
      <w:r w:rsidRPr="007E2442">
        <w:t>R117H-CFTR</w:t>
      </w:r>
      <w:r w:rsidRPr="00076F55">
        <w:t xml:space="preserve"> mutation is present in approximat</w:t>
      </w:r>
      <w:r>
        <w:t>ely 2 to 3% of patients with CF.</w:t>
      </w:r>
      <w:r w:rsidRPr="00076F55">
        <w:t xml:space="preserve"> </w:t>
      </w:r>
      <w:proofErr w:type="gramStart"/>
      <w:r w:rsidRPr="00076F55">
        <w:t>In</w:t>
      </w:r>
      <w:proofErr w:type="gramEnd"/>
      <w:r w:rsidRPr="00076F55">
        <w:t xml:space="preserve"> </w:t>
      </w:r>
      <w:r>
        <w:t>Europe,</w:t>
      </w:r>
      <w:r w:rsidRPr="00076F55">
        <w:t xml:space="preserve"> North America, and Australia, approximately 1,600 people with CF aged 6 years and older have at least 1 copy of an </w:t>
      </w:r>
      <w:r w:rsidRPr="007E2442">
        <w:t>R117H-CFTR</w:t>
      </w:r>
      <w:r w:rsidRPr="00076F55">
        <w:t xml:space="preserve"> mutation. In the EU, approximately 744 people have the </w:t>
      </w:r>
      <w:r w:rsidRPr="007E2442">
        <w:t>R117H-CFTR</w:t>
      </w:r>
      <w:r w:rsidRPr="00076F55">
        <w:t xml:space="preserve"> mutation, of whom more than half (n</w:t>
      </w:r>
      <w:r>
        <w:t xml:space="preserve"> </w:t>
      </w:r>
      <w:r w:rsidRPr="00076F55">
        <w:t>=</w:t>
      </w:r>
      <w:r>
        <w:t xml:space="preserve"> </w:t>
      </w:r>
      <w:r w:rsidRPr="00076F55">
        <w:t>360) are aged &gt;</w:t>
      </w:r>
      <w:r>
        <w:t xml:space="preserve"> </w:t>
      </w:r>
      <w:r w:rsidRPr="00076F55">
        <w:t xml:space="preserve">18 years (Vertex data on file). In the US, approximately 729 people have the </w:t>
      </w:r>
      <w:r w:rsidRPr="007E2442">
        <w:t>R117H-CFTR</w:t>
      </w:r>
      <w:r w:rsidRPr="00076F55">
        <w:t xml:space="preserve"> mutation, of </w:t>
      </w:r>
      <w:proofErr w:type="gramStart"/>
      <w:r w:rsidRPr="00076F55">
        <w:t>whom</w:t>
      </w:r>
      <w:proofErr w:type="gramEnd"/>
      <w:r w:rsidRPr="00076F55">
        <w:t xml:space="preserve"> approximately 300 are aged &gt;</w:t>
      </w:r>
      <w:r>
        <w:t xml:space="preserve"> </w:t>
      </w:r>
      <w:r w:rsidRPr="00076F55">
        <w:t xml:space="preserve">18 years (Vertex data on file). The prevalence of the </w:t>
      </w:r>
      <w:r w:rsidRPr="007E2442">
        <w:t>R117H-CFTR</w:t>
      </w:r>
      <w:r w:rsidRPr="00076F55">
        <w:t xml:space="preserve"> mutation in patients with CF in</w:t>
      </w:r>
      <w:r>
        <w:t xml:space="preserve"> individual countries is presented in </w:t>
      </w:r>
      <w:r w:rsidR="00AC0038">
        <w:t xml:space="preserve">the </w:t>
      </w:r>
      <w:r w:rsidRPr="006010E2">
        <w:rPr>
          <w:bCs/>
        </w:rPr>
        <w:t>Table 1</w:t>
      </w:r>
      <w:r w:rsidR="00AC0038">
        <w:rPr>
          <w:bCs/>
        </w:rPr>
        <w:t xml:space="preserve"> in Attachment 2</w:t>
      </w:r>
      <w:r w:rsidRPr="006010E2">
        <w:rPr>
          <w:bCs/>
        </w:rPr>
        <w:t>;</w:t>
      </w:r>
      <w:r>
        <w:rPr>
          <w:b/>
          <w:bCs/>
        </w:rPr>
        <w:t xml:space="preserve"> </w:t>
      </w:r>
      <w:r>
        <w:t>in Australia only 91 of the 3156 t</w:t>
      </w:r>
      <w:r w:rsidR="0078446E">
        <w:t>otal patients with CF (2.8%) have</w:t>
      </w:r>
      <w:r>
        <w:t xml:space="preserve"> the </w:t>
      </w:r>
      <w:r w:rsidRPr="007E2442">
        <w:t>R117H-</w:t>
      </w:r>
      <w:r w:rsidRPr="007E2442">
        <w:rPr>
          <w:iCs/>
        </w:rPr>
        <w:t>CFTR</w:t>
      </w:r>
      <w:r>
        <w:rPr>
          <w:i/>
          <w:iCs/>
        </w:rPr>
        <w:t xml:space="preserve"> </w:t>
      </w:r>
      <w:r>
        <w:t>mutation which is the subject of this submission.</w:t>
      </w:r>
    </w:p>
    <w:p w:rsidR="00962AA0" w:rsidRPr="00962AA0" w:rsidRDefault="00962AA0" w:rsidP="00962AA0">
      <w:r w:rsidRPr="00962AA0">
        <w:t>According to data from the US Cystic Fibrosis Foundation (CFF) Registry, there is an evident progression in lung function decline (as measured by percent predicted FEV</w:t>
      </w:r>
      <w:r w:rsidRPr="00962AA0">
        <w:rPr>
          <w:vertAlign w:val="subscript"/>
        </w:rPr>
        <w:t>1</w:t>
      </w:r>
      <w:bookmarkStart w:id="55" w:name="_Ref468113540"/>
      <w:r w:rsidR="0078446E">
        <w:rPr>
          <w:rStyle w:val="FootnoteReference"/>
        </w:rPr>
        <w:footnoteReference w:id="5"/>
      </w:r>
      <w:bookmarkEnd w:id="55"/>
      <w:r w:rsidRPr="00962AA0">
        <w:t>) with age. Among CF patients with an R117H-CFTR mutation who are 19 to 30 years of age, 34% of patients have a percent predicted FEV</w:t>
      </w:r>
      <w:r w:rsidRPr="00962AA0">
        <w:rPr>
          <w:vertAlign w:val="subscript"/>
        </w:rPr>
        <w:t>1</w:t>
      </w:r>
      <w:r w:rsidRPr="00962AA0">
        <w:t xml:space="preserve"> &lt; 80%, and that number increases to 55% for patients a</w:t>
      </w:r>
      <w:r w:rsidR="002E7A71">
        <w:t>ged more than 30 years (Figure 1 in Attachment 2</w:t>
      </w:r>
      <w:r w:rsidRPr="00962AA0">
        <w:t>). A decrease in lung function is also observed over time in these patients, with 90% of patients aged &gt; 18 years having respiratory disease compared with 48% of patients aged 6 to 11 years. Additional Cystic Fibrosis Foundation (CFF) registry data also</w:t>
      </w:r>
      <w:r w:rsidR="000D4A7F">
        <w:t xml:space="preserve"> show a clear progression of CF </w:t>
      </w:r>
      <w:r w:rsidRPr="00962AA0">
        <w:t>related symptoms as patients with</w:t>
      </w:r>
      <w:r w:rsidR="000D4A7F">
        <w:t xml:space="preserve"> an R117H-CFTR mutation age; CF </w:t>
      </w:r>
      <w:r w:rsidRPr="00962AA0">
        <w:t>related symptoms were observed in 54% and 93% of patients aged 6 to 11 years and &gt; 18 years, respectively (Figure 2</w:t>
      </w:r>
      <w:r w:rsidR="002E7A71">
        <w:t xml:space="preserve"> in Attachment 2</w:t>
      </w:r>
      <w:r w:rsidRPr="00962AA0">
        <w:t xml:space="preserve">). Although the R117H-CFTR mutation results in CF disease, the severity of CF per age group is generally less than that caused by the G551D-CFTR </w:t>
      </w:r>
      <w:r w:rsidRPr="00962AA0">
        <w:lastRenderedPageBreak/>
        <w:t>mutation or other CFTR mutations</w:t>
      </w:r>
      <w:r w:rsidRPr="00962AA0">
        <w:rPr>
          <w:vertAlign w:val="superscript"/>
        </w:rPr>
        <w:footnoteReference w:id="6"/>
      </w:r>
      <w:r w:rsidRPr="00962AA0">
        <w:t xml:space="preserve"> associated with a severe phenotype</w:t>
      </w:r>
      <w:r w:rsidR="003978A0">
        <w:t>.</w:t>
      </w:r>
      <w:r w:rsidR="003978A0">
        <w:rPr>
          <w:rStyle w:val="FootnoteReference"/>
        </w:rPr>
        <w:footnoteReference w:id="7"/>
      </w:r>
      <w:r w:rsidR="003978A0">
        <w:rPr>
          <w:rStyle w:val="FootnoteReference"/>
        </w:rPr>
        <w:footnoteReference w:id="8"/>
      </w:r>
      <w:r w:rsidR="003978A0">
        <w:rPr>
          <w:rStyle w:val="FootnoteReference"/>
        </w:rPr>
        <w:footnoteReference w:id="9"/>
      </w:r>
      <w:r w:rsidRPr="00962AA0">
        <w:t xml:space="preserve"> Many patients with an R117H-CFTR mutation have clinical evidence of preserved pancreatic exocrine function (potentially associated with a better body mass index [BMI]) and sweat chloride in the range of 60 to 80 mmol/L (compared with 90 to 120 mmol/L in patients with the G551D-CFTR mutation or who are homozygous for the F508del-CFTR mutation).</w:t>
      </w:r>
    </w:p>
    <w:p w:rsidR="00962AA0" w:rsidRPr="00962AA0" w:rsidRDefault="00962AA0" w:rsidP="00962AA0">
      <w:r w:rsidRPr="00962AA0">
        <w:t xml:space="preserve">Despite advances in CF treatment, the predicted median age of survival of individuals born today with CF is 41.1 to 48.5 years. Most pharmacologic treatments for CF (including </w:t>
      </w:r>
      <w:r w:rsidRPr="003978A0">
        <w:t>R117H</w:t>
      </w:r>
      <w:r w:rsidRPr="00962AA0">
        <w:t xml:space="preserve"> patients) such as </w:t>
      </w:r>
      <w:proofErr w:type="spellStart"/>
      <w:r w:rsidRPr="00962AA0">
        <w:t>dornase</w:t>
      </w:r>
      <w:proofErr w:type="spellEnd"/>
      <w:r w:rsidRPr="00962AA0">
        <w:t xml:space="preserve"> </w:t>
      </w:r>
      <w:proofErr w:type="spellStart"/>
      <w:r w:rsidRPr="00962AA0">
        <w:t>alfa</w:t>
      </w:r>
      <w:proofErr w:type="spellEnd"/>
      <w:r w:rsidRPr="00962AA0">
        <w:t xml:space="preserve">, inhaled tobramycin, inhaled </w:t>
      </w:r>
      <w:proofErr w:type="spellStart"/>
      <w:r w:rsidRPr="00962AA0">
        <w:t>aztreonam</w:t>
      </w:r>
      <w:proofErr w:type="spellEnd"/>
      <w:r w:rsidRPr="00962AA0">
        <w:t xml:space="preserve"> and exocrine pancreatic enzyme supplementation are focused on managing the downstream consequences of diminished CFTR function: controlling airway inf</w:t>
      </w:r>
      <w:r w:rsidR="00FA48E7">
        <w:t>ection and inflammation, mobilis</w:t>
      </w:r>
      <w:r w:rsidRPr="00962AA0">
        <w:t>ing secretions to reduce airway obstruction and correcting nutritional deficits caused by pancreatic insufficiency. The increasing availability of therapies to treat CF lung disease, while improving the patients’ survival, has resulted in a high therapeutic burden.</w:t>
      </w:r>
    </w:p>
    <w:p w:rsidR="00962AA0" w:rsidRPr="00962AA0" w:rsidRDefault="00962AA0" w:rsidP="00962AA0">
      <w:r w:rsidRPr="00962AA0">
        <w:t xml:space="preserve">Many individuals with an </w:t>
      </w:r>
      <w:r w:rsidRPr="00BC561D">
        <w:t>R117H-CFTR</w:t>
      </w:r>
      <w:r w:rsidRPr="00962AA0">
        <w:t xml:space="preserve"> mutation were not diagnosed with CF until the late childhood or adult years, when the disease had progressed and symptoms became much more evident although this has changed recently due to advances in newborn screening for CFTR mutations. Given the unmet medical need of the population of CF patients with an R117H-CFTR mutation, and considering that there is no drug currently approved to treat the underlying cause of CF in this population, there is a substantial need to improve the treatment and outlook for CF patients with this CFTR mutation. These patients demonstrate progression of disease with advancing age and have a decreased life expectancy.</w:t>
      </w:r>
    </w:p>
    <w:p w:rsidR="00962AA0" w:rsidRPr="00962AA0" w:rsidRDefault="00962AA0" w:rsidP="00962AA0">
      <w:proofErr w:type="spellStart"/>
      <w:r w:rsidRPr="00962AA0">
        <w:t>Ivacaftor</w:t>
      </w:r>
      <w:proofErr w:type="spellEnd"/>
      <w:r w:rsidRPr="00962AA0">
        <w:t xml:space="preserve"> (KALYDECO) is currently the only approved therapy that targets the molecular defect that underlies the pathophysiology of CF. </w:t>
      </w:r>
      <w:proofErr w:type="spellStart"/>
      <w:r w:rsidRPr="00962AA0">
        <w:t>Ivacaftor</w:t>
      </w:r>
      <w:proofErr w:type="spellEnd"/>
      <w:r w:rsidRPr="00962AA0">
        <w:t xml:space="preserve"> is also the only approved therapy for CF that has evaluated safety and efficacy in small subsets of CF patients based on their genetic profile. </w:t>
      </w:r>
      <w:proofErr w:type="spellStart"/>
      <w:r w:rsidRPr="00962AA0">
        <w:t>Ivacaftor</w:t>
      </w:r>
      <w:proofErr w:type="spellEnd"/>
      <w:r w:rsidRPr="00962AA0">
        <w:t xml:space="preserve"> is an orally bioavailable small molecule that targets the underlying defect in CF and represents the first in a new class of drugs, known as CFTR modulators, that provide a new therapeutic approach to the treatment of CF by restoring the function of the CFTR protein. As a type of CFTR modulator, </w:t>
      </w:r>
      <w:proofErr w:type="spellStart"/>
      <w:r w:rsidRPr="00962AA0">
        <w:t>ivacaftor</w:t>
      </w:r>
      <w:proofErr w:type="spellEnd"/>
      <w:r w:rsidRPr="00962AA0">
        <w:t xml:space="preserve"> restores the function of the CFTR protein. </w:t>
      </w:r>
      <w:proofErr w:type="spellStart"/>
      <w:r w:rsidRPr="00962AA0">
        <w:t>Ivacaftor</w:t>
      </w:r>
      <w:proofErr w:type="spellEnd"/>
      <w:r w:rsidRPr="00962AA0">
        <w:t xml:space="preserve"> is highly selective for CFTR protein in vitro and acts on the CFTR protein to enhance chloride transport by increasing the channel open probability.</w:t>
      </w:r>
    </w:p>
    <w:p w:rsidR="00605AD4" w:rsidRDefault="00605AD4" w:rsidP="00605AD4">
      <w:pPr>
        <w:pStyle w:val="Heading4"/>
      </w:pPr>
      <w:r w:rsidRPr="00605AD4">
        <w:t>Contents of the clinical dossier</w:t>
      </w:r>
    </w:p>
    <w:p w:rsidR="00962AA0" w:rsidRPr="00C2642B" w:rsidRDefault="00962AA0" w:rsidP="00962AA0">
      <w:r w:rsidRPr="00C2642B">
        <w:t>The submission contained the following clinical information:</w:t>
      </w:r>
    </w:p>
    <w:p w:rsidR="00962AA0" w:rsidRPr="00C2642B" w:rsidRDefault="00962AA0" w:rsidP="00FA48E7">
      <w:pPr>
        <w:pStyle w:val="ListBullet"/>
      </w:pPr>
      <w:r w:rsidRPr="00C2642B">
        <w:t>One clinical pharmacology study (</w:t>
      </w:r>
      <w:r>
        <w:t>VX11-770-110</w:t>
      </w:r>
      <w:r w:rsidRPr="00C2642B">
        <w:t>), which</w:t>
      </w:r>
      <w:r>
        <w:t xml:space="preserve"> provided pharmacokinetic data.</w:t>
      </w:r>
    </w:p>
    <w:p w:rsidR="00962AA0" w:rsidRPr="00C2642B" w:rsidRDefault="00962AA0" w:rsidP="00FA48E7">
      <w:pPr>
        <w:pStyle w:val="ListBullet"/>
      </w:pPr>
      <w:r w:rsidRPr="00C2642B">
        <w:t>One population pharmacokinetic analyses (J178</w:t>
      </w:r>
      <w:r>
        <w:t>).</w:t>
      </w:r>
    </w:p>
    <w:p w:rsidR="00962AA0" w:rsidRPr="00C2642B" w:rsidRDefault="00962AA0" w:rsidP="00FA48E7">
      <w:pPr>
        <w:pStyle w:val="ListBullet"/>
      </w:pPr>
      <w:r w:rsidRPr="00C2642B">
        <w:t>Efficacy, safety and PK</w:t>
      </w:r>
      <w:r>
        <w:t xml:space="preserve"> results from a pivotal, Phase III</w:t>
      </w:r>
      <w:r w:rsidRPr="00C2642B">
        <w:t>, placebo controlled, parallel</w:t>
      </w:r>
      <w:r>
        <w:noBreakHyphen/>
      </w:r>
      <w:r w:rsidRPr="00C2642B">
        <w:t xml:space="preserve">group, study (Study VXll-770- 110 or Study 110) to evaluate </w:t>
      </w:r>
      <w:proofErr w:type="spellStart"/>
      <w:r w:rsidRPr="00C2642B">
        <w:t>ivacaftor</w:t>
      </w:r>
      <w:proofErr w:type="spellEnd"/>
      <w:r w:rsidRPr="00C2642B">
        <w:t xml:space="preserve"> treatment in subjects with CF who have an </w:t>
      </w:r>
      <w:r w:rsidRPr="002C4E3B">
        <w:t>R117H-CFTR</w:t>
      </w:r>
      <w:r w:rsidRPr="00C2642B">
        <w:t xml:space="preserve"> </w:t>
      </w:r>
      <w:r>
        <w:t>mutation.</w:t>
      </w:r>
    </w:p>
    <w:p w:rsidR="00962AA0" w:rsidRPr="00C2642B" w:rsidRDefault="00962AA0" w:rsidP="00962AA0">
      <w:pPr>
        <w:pStyle w:val="ListBullet2"/>
        <w:numPr>
          <w:ilvl w:val="1"/>
          <w:numId w:val="3"/>
        </w:numPr>
      </w:pPr>
      <w:r w:rsidRPr="00C2642B">
        <w:lastRenderedPageBreak/>
        <w:t>Efficacy and safety results of an interim analysis of an ong</w:t>
      </w:r>
      <w:r>
        <w:t>oing, open-</w:t>
      </w:r>
      <w:r w:rsidRPr="00C2642B">
        <w:t>label, rollover study (Study VX12-770-112 [Study112]) enr</w:t>
      </w:r>
      <w:r>
        <w:t>olling subjects from Study 110.</w:t>
      </w:r>
    </w:p>
    <w:p w:rsidR="00962AA0" w:rsidRPr="00C2642B" w:rsidRDefault="00962AA0" w:rsidP="00962AA0">
      <w:pPr>
        <w:pStyle w:val="ListBullet2"/>
        <w:numPr>
          <w:ilvl w:val="1"/>
          <w:numId w:val="3"/>
        </w:numPr>
      </w:pPr>
      <w:r>
        <w:t>Periodic Safety Update Reports (PSURs).</w:t>
      </w:r>
    </w:p>
    <w:p w:rsidR="00962AA0" w:rsidRPr="00C2642B" w:rsidRDefault="00962AA0" w:rsidP="00962AA0">
      <w:pPr>
        <w:pStyle w:val="ListBullet2"/>
        <w:numPr>
          <w:ilvl w:val="1"/>
          <w:numId w:val="3"/>
        </w:numPr>
      </w:pPr>
      <w:r w:rsidRPr="00C2642B">
        <w:t>There were no</w:t>
      </w:r>
      <w:r>
        <w:t xml:space="preserve"> pooled analysis, meta-analysis, and integrated summary of efficacy or safety.</w:t>
      </w:r>
    </w:p>
    <w:p w:rsidR="00605AD4" w:rsidRDefault="00605AD4" w:rsidP="00605AD4">
      <w:pPr>
        <w:pStyle w:val="Heading4"/>
      </w:pPr>
      <w:r w:rsidRPr="00605AD4">
        <w:t>Paediatric data</w:t>
      </w:r>
    </w:p>
    <w:p w:rsidR="00962AA0" w:rsidRPr="00962AA0" w:rsidRDefault="00962AA0" w:rsidP="00962AA0">
      <w:r w:rsidRPr="004B4C5B">
        <w:t>The submission included paediatric pharmacokinetic/pharmacodynamics/efficacy/safety data. The paediatric ages groups</w:t>
      </w:r>
      <w:r>
        <w:t xml:space="preserve"> evaluated were adolescents (12 to 17years) and children aged 6 to </w:t>
      </w:r>
      <w:r w:rsidRPr="004B4C5B">
        <w:t>11 years.</w:t>
      </w:r>
    </w:p>
    <w:p w:rsidR="00605AD4" w:rsidRDefault="00605AD4" w:rsidP="00605AD4">
      <w:pPr>
        <w:pStyle w:val="Heading4"/>
      </w:pPr>
      <w:r w:rsidRPr="00605AD4">
        <w:t>Good clinical practice</w:t>
      </w:r>
    </w:p>
    <w:p w:rsidR="00962AA0" w:rsidRPr="00962AA0" w:rsidRDefault="00962AA0" w:rsidP="00962AA0">
      <w:r w:rsidRPr="004B4C5B">
        <w:t>All clinical studies wer</w:t>
      </w:r>
      <w:r>
        <w:t>e performed in compliance with G</w:t>
      </w:r>
      <w:r w:rsidR="009D4CE6">
        <w:t>ood Clinical Practice</w:t>
      </w:r>
      <w:r w:rsidR="00901DB5">
        <w:t>s</w:t>
      </w:r>
      <w:r w:rsidRPr="004B4C5B">
        <w:t>.</w:t>
      </w:r>
    </w:p>
    <w:p w:rsidR="008E7846" w:rsidRDefault="008E7846" w:rsidP="00605AD4">
      <w:pPr>
        <w:pStyle w:val="Heading3"/>
      </w:pPr>
      <w:bookmarkStart w:id="56" w:name="_Toc472521785"/>
      <w:r w:rsidRPr="00254787">
        <w:t>Pharmacokinetics</w:t>
      </w:r>
      <w:bookmarkEnd w:id="45"/>
      <w:bookmarkEnd w:id="52"/>
      <w:bookmarkEnd w:id="53"/>
      <w:bookmarkEnd w:id="54"/>
      <w:bookmarkEnd w:id="56"/>
    </w:p>
    <w:p w:rsidR="00605AD4" w:rsidRDefault="00605AD4" w:rsidP="00605AD4">
      <w:pPr>
        <w:pStyle w:val="Heading4"/>
      </w:pPr>
      <w:r>
        <w:t>Studies</w:t>
      </w:r>
      <w:r w:rsidR="00962AA0">
        <w:t xml:space="preserve"> providing pharmacokinetic data</w:t>
      </w:r>
    </w:p>
    <w:p w:rsidR="00962AA0" w:rsidRPr="00962AA0" w:rsidRDefault="00736352" w:rsidP="00962AA0">
      <w:r>
        <w:t>Table 3</w:t>
      </w:r>
      <w:r w:rsidR="00962AA0" w:rsidRPr="00962AA0">
        <w:t xml:space="preserve"> shows the studies providing pharmacokinetic data.</w:t>
      </w:r>
    </w:p>
    <w:p w:rsidR="00962AA0" w:rsidRPr="00962AA0" w:rsidRDefault="00736352" w:rsidP="00962AA0">
      <w:pPr>
        <w:keepNext/>
        <w:spacing w:after="180"/>
        <w:outlineLvl w:val="4"/>
        <w:rPr>
          <w:rFonts w:cstheme="minorBidi"/>
          <w:b/>
        </w:rPr>
      </w:pPr>
      <w:r>
        <w:rPr>
          <w:rFonts w:cstheme="minorBidi"/>
          <w:b/>
        </w:rPr>
        <w:t>Table 3</w:t>
      </w:r>
      <w:r w:rsidR="00962AA0" w:rsidRPr="00962AA0">
        <w:rPr>
          <w:rFonts w:cstheme="minorBidi"/>
          <w:b/>
        </w:rPr>
        <w:t>: Submitted pharmacokinetic studies</w:t>
      </w:r>
    </w:p>
    <w:tbl>
      <w:tblPr>
        <w:tblStyle w:val="TableTGAblue2"/>
        <w:tblW w:w="8897" w:type="dxa"/>
        <w:tblLook w:val="04A0" w:firstRow="1" w:lastRow="0" w:firstColumn="1" w:lastColumn="0" w:noHBand="0" w:noVBand="1"/>
      </w:tblPr>
      <w:tblGrid>
        <w:gridCol w:w="1848"/>
        <w:gridCol w:w="1848"/>
        <w:gridCol w:w="1848"/>
        <w:gridCol w:w="3353"/>
      </w:tblGrid>
      <w:tr w:rsidR="00962AA0" w:rsidRPr="00962AA0" w:rsidTr="001574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8" w:type="dxa"/>
          </w:tcPr>
          <w:p w:rsidR="00962AA0" w:rsidRPr="00962AA0" w:rsidRDefault="00962AA0" w:rsidP="00157452">
            <w:r w:rsidRPr="00962AA0">
              <w:t>PK topic</w:t>
            </w:r>
          </w:p>
        </w:tc>
        <w:tc>
          <w:tcPr>
            <w:tcW w:w="1848" w:type="dxa"/>
          </w:tcPr>
          <w:p w:rsidR="00962AA0" w:rsidRPr="00962AA0" w:rsidRDefault="00962AA0" w:rsidP="00157452">
            <w:pPr>
              <w:cnfStyle w:val="100000000000" w:firstRow="1" w:lastRow="0" w:firstColumn="0" w:lastColumn="0" w:oddVBand="0" w:evenVBand="0" w:oddHBand="0" w:evenHBand="0" w:firstRowFirstColumn="0" w:firstRowLastColumn="0" w:lastRowFirstColumn="0" w:lastRowLastColumn="0"/>
            </w:pPr>
            <w:r w:rsidRPr="00962AA0">
              <w:t>Subtopic</w:t>
            </w:r>
          </w:p>
        </w:tc>
        <w:tc>
          <w:tcPr>
            <w:tcW w:w="1848" w:type="dxa"/>
          </w:tcPr>
          <w:p w:rsidR="00962AA0" w:rsidRPr="00962AA0" w:rsidRDefault="00962AA0" w:rsidP="00157452">
            <w:pPr>
              <w:cnfStyle w:val="100000000000" w:firstRow="1" w:lastRow="0" w:firstColumn="0" w:lastColumn="0" w:oddVBand="0" w:evenVBand="0" w:oddHBand="0" w:evenHBand="0" w:firstRowFirstColumn="0" w:firstRowLastColumn="0" w:lastRowFirstColumn="0" w:lastRowLastColumn="0"/>
            </w:pPr>
            <w:r w:rsidRPr="00962AA0">
              <w:t>Study ID</w:t>
            </w:r>
          </w:p>
        </w:tc>
        <w:tc>
          <w:tcPr>
            <w:tcW w:w="3353" w:type="dxa"/>
          </w:tcPr>
          <w:p w:rsidR="00962AA0" w:rsidRPr="00962AA0" w:rsidRDefault="00962AA0" w:rsidP="00157452">
            <w:pPr>
              <w:cnfStyle w:val="100000000000" w:firstRow="1" w:lastRow="0" w:firstColumn="0" w:lastColumn="0" w:oddVBand="0" w:evenVBand="0" w:oddHBand="0" w:evenHBand="0" w:firstRowFirstColumn="0" w:firstRowLastColumn="0" w:lastRowFirstColumn="0" w:lastRowLastColumn="0"/>
            </w:pPr>
            <w:r w:rsidRPr="00962AA0">
              <w:t>Primary aim of the study</w:t>
            </w:r>
          </w:p>
        </w:tc>
      </w:tr>
      <w:tr w:rsidR="00962AA0" w:rsidRPr="00962AA0" w:rsidTr="000732A1">
        <w:tc>
          <w:tcPr>
            <w:cnfStyle w:val="001000000000" w:firstRow="0" w:lastRow="0" w:firstColumn="1" w:lastColumn="0" w:oddVBand="0" w:evenVBand="0" w:oddHBand="0" w:evenHBand="0" w:firstRowFirstColumn="0" w:firstRowLastColumn="0" w:lastRowFirstColumn="0" w:lastRowLastColumn="0"/>
            <w:tcW w:w="1848" w:type="dxa"/>
          </w:tcPr>
          <w:p w:rsidR="00962AA0" w:rsidRPr="00962AA0" w:rsidRDefault="00962AA0" w:rsidP="00157452">
            <w:r w:rsidRPr="00962AA0">
              <w:t>PK in Target populations*</w:t>
            </w:r>
          </w:p>
        </w:tc>
        <w:tc>
          <w:tcPr>
            <w:tcW w:w="1848"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Multi-dose PK</w:t>
            </w:r>
          </w:p>
        </w:tc>
        <w:tc>
          <w:tcPr>
            <w:tcW w:w="1848"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VX11-770-110</w:t>
            </w:r>
          </w:p>
        </w:tc>
        <w:tc>
          <w:tcPr>
            <w:tcW w:w="3353"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 xml:space="preserve">Efficacy, safety and PK in subjects with CF who have the </w:t>
            </w:r>
            <w:r w:rsidRPr="00861894">
              <w:t>R117H-CFTR</w:t>
            </w:r>
            <w:r w:rsidRPr="00962AA0">
              <w:t xml:space="preserve"> mutation</w:t>
            </w:r>
          </w:p>
        </w:tc>
      </w:tr>
      <w:tr w:rsidR="00962AA0" w:rsidRPr="00962AA0" w:rsidTr="000732A1">
        <w:tc>
          <w:tcPr>
            <w:cnfStyle w:val="001000000000" w:firstRow="0" w:lastRow="0" w:firstColumn="1" w:lastColumn="0" w:oddVBand="0" w:evenVBand="0" w:oddHBand="0" w:evenHBand="0" w:firstRowFirstColumn="0" w:firstRowLastColumn="0" w:lastRowFirstColumn="0" w:lastRowLastColumn="0"/>
            <w:tcW w:w="1848" w:type="dxa"/>
          </w:tcPr>
          <w:p w:rsidR="00962AA0" w:rsidRPr="00962AA0" w:rsidRDefault="00962AA0" w:rsidP="00157452">
            <w:r w:rsidRPr="00962AA0">
              <w:t>Population PK analyses</w:t>
            </w:r>
          </w:p>
        </w:tc>
        <w:tc>
          <w:tcPr>
            <w:tcW w:w="1848"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Target population*</w:t>
            </w:r>
          </w:p>
        </w:tc>
        <w:tc>
          <w:tcPr>
            <w:tcW w:w="1848"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J178</w:t>
            </w:r>
          </w:p>
        </w:tc>
        <w:tc>
          <w:tcPr>
            <w:tcW w:w="3353" w:type="dxa"/>
          </w:tcPr>
          <w:p w:rsidR="00962AA0" w:rsidRPr="00962AA0" w:rsidRDefault="00962AA0" w:rsidP="00157452">
            <w:pPr>
              <w:cnfStyle w:val="000000000000" w:firstRow="0" w:lastRow="0" w:firstColumn="0" w:lastColumn="0" w:oddVBand="0" w:evenVBand="0" w:oddHBand="0" w:evenHBand="0" w:firstRowFirstColumn="0" w:firstRowLastColumn="0" w:lastRowFirstColumn="0" w:lastRowLastColumn="0"/>
            </w:pPr>
            <w:r w:rsidRPr="00962AA0">
              <w:t>Characterise the population pharmacokinetics (</w:t>
            </w:r>
            <w:proofErr w:type="spellStart"/>
            <w:r w:rsidRPr="00962AA0">
              <w:t>popPK</w:t>
            </w:r>
            <w:proofErr w:type="spellEnd"/>
            <w:r w:rsidRPr="00962AA0">
              <w:t xml:space="preserve">) of </w:t>
            </w:r>
            <w:proofErr w:type="spellStart"/>
            <w:r w:rsidRPr="00962AA0">
              <w:t>ivacaftor</w:t>
            </w:r>
            <w:proofErr w:type="spellEnd"/>
            <w:r w:rsidRPr="00962AA0">
              <w:t xml:space="preserve"> in subjects with CF and the </w:t>
            </w:r>
            <w:r w:rsidRPr="00861894">
              <w:t>R117H-CFTR</w:t>
            </w:r>
            <w:r w:rsidRPr="00962AA0">
              <w:t xml:space="preserve"> mutation.</w:t>
            </w:r>
          </w:p>
        </w:tc>
      </w:tr>
    </w:tbl>
    <w:p w:rsidR="00962AA0" w:rsidRPr="00962AA0" w:rsidRDefault="00962AA0" w:rsidP="00157452">
      <w:pPr>
        <w:pStyle w:val="TableDescription"/>
      </w:pPr>
      <w:r w:rsidRPr="00962AA0">
        <w:t>* Subjects who would be eligible to receive the drug if approved for the proposed indication.</w:t>
      </w:r>
    </w:p>
    <w:p w:rsidR="00962AA0" w:rsidRPr="00962AA0" w:rsidRDefault="00962AA0" w:rsidP="00962AA0">
      <w:r w:rsidRPr="00962AA0">
        <w:t>None of the pharmacokinetic studies had deficiencies that excluded their results from consideration.</w:t>
      </w:r>
    </w:p>
    <w:p w:rsidR="00605AD4" w:rsidRDefault="00605AD4" w:rsidP="00605AD4">
      <w:pPr>
        <w:pStyle w:val="Heading4"/>
      </w:pPr>
      <w:r>
        <w:t>Evaluator’s conclusions on pharmacokinetics</w:t>
      </w:r>
    </w:p>
    <w:p w:rsidR="00962AA0" w:rsidRPr="005508DC" w:rsidRDefault="00962AA0" w:rsidP="00962AA0">
      <w:r w:rsidRPr="005508DC">
        <w:t>The following conclusions relate to the results of</w:t>
      </w:r>
      <w:r>
        <w:t xml:space="preserve"> the PopPK study J178.</w:t>
      </w:r>
    </w:p>
    <w:p w:rsidR="00962AA0" w:rsidRPr="005508DC" w:rsidRDefault="00962AA0" w:rsidP="00962AA0">
      <w:pPr>
        <w:pStyle w:val="ListBullet"/>
        <w:numPr>
          <w:ilvl w:val="0"/>
          <w:numId w:val="3"/>
        </w:numPr>
      </w:pPr>
      <w:proofErr w:type="spellStart"/>
      <w:r w:rsidRPr="005508DC">
        <w:t>Ivacaftor</w:t>
      </w:r>
      <w:proofErr w:type="spellEnd"/>
      <w:r w:rsidRPr="005508DC">
        <w:t xml:space="preserve"> is administered orally and its PKs are best fit using a two-compartment model with zero-order delivery to the absorption compartment and sub</w:t>
      </w:r>
      <w:r>
        <w:t>sequent first order absorption.</w:t>
      </w:r>
    </w:p>
    <w:p w:rsidR="00962AA0" w:rsidRPr="005508DC" w:rsidRDefault="00962AA0" w:rsidP="00962AA0">
      <w:pPr>
        <w:pStyle w:val="ListBullet"/>
        <w:numPr>
          <w:ilvl w:val="0"/>
          <w:numId w:val="3"/>
        </w:numPr>
      </w:pPr>
      <w:r w:rsidRPr="005508DC">
        <w:t xml:space="preserve">For a reference subject (70 kg, male, 18 years, CF subject with </w:t>
      </w:r>
      <w:r w:rsidRPr="00BE3AAE">
        <w:t>non-R117H</w:t>
      </w:r>
      <w:r w:rsidRPr="005508DC">
        <w:t xml:space="preserve"> mutation), the zero-order dose duration (90% CI) w</w:t>
      </w:r>
      <w:r>
        <w:t>as estimated to be 2.96 h (2.88 to 3.17) and the first</w:t>
      </w:r>
      <w:r>
        <w:noBreakHyphen/>
      </w:r>
      <w:r w:rsidRPr="005508DC">
        <w:t>order absorption rate constant (k</w:t>
      </w:r>
      <w:r w:rsidRPr="00E619C4">
        <w:rPr>
          <w:vertAlign w:val="subscript"/>
        </w:rPr>
        <w:t>a</w:t>
      </w:r>
      <w:r w:rsidRPr="005508DC">
        <w:t>) was 0.721 h</w:t>
      </w:r>
      <w:r w:rsidRPr="00727E84">
        <w:rPr>
          <w:vertAlign w:val="superscript"/>
        </w:rPr>
        <w:t>-1</w:t>
      </w:r>
      <w:r w:rsidRPr="005508DC">
        <w:t xml:space="preserve"> </w:t>
      </w:r>
      <w:r>
        <w:t>(0.530 to 0.765)</w:t>
      </w:r>
    </w:p>
    <w:p w:rsidR="00962AA0" w:rsidRPr="005508DC" w:rsidRDefault="00962AA0" w:rsidP="00962AA0">
      <w:pPr>
        <w:pStyle w:val="ListBullet"/>
        <w:numPr>
          <w:ilvl w:val="0"/>
          <w:numId w:val="3"/>
        </w:numPr>
      </w:pPr>
      <w:r w:rsidRPr="005508DC">
        <w:t xml:space="preserve">In subjects with CF with </w:t>
      </w:r>
      <w:r w:rsidRPr="00BE3AAE">
        <w:t>non-R117H</w:t>
      </w:r>
      <w:r w:rsidRPr="005508DC">
        <w:t xml:space="preserve"> mutation, mean </w:t>
      </w:r>
      <w:proofErr w:type="spellStart"/>
      <w:r w:rsidRPr="009D4CE6">
        <w:t>ivacaftor</w:t>
      </w:r>
      <w:proofErr w:type="spellEnd"/>
      <w:r w:rsidR="009D4CE6" w:rsidRPr="009D4CE6">
        <w:t xml:space="preserve"> minimum observed concentration</w:t>
      </w:r>
      <w:r w:rsidRPr="005508DC">
        <w:t xml:space="preserve"> </w:t>
      </w:r>
      <w:r w:rsidR="009D4CE6">
        <w:t>(</w:t>
      </w:r>
      <w:r w:rsidRPr="005508DC">
        <w:t>C</w:t>
      </w:r>
      <w:r w:rsidRPr="005508DC">
        <w:rPr>
          <w:vertAlign w:val="subscript"/>
        </w:rPr>
        <w:t>min</w:t>
      </w:r>
      <w:r w:rsidR="009D4CE6" w:rsidRPr="009D4CE6">
        <w:t>)</w:t>
      </w:r>
      <w:r w:rsidRPr="005508DC">
        <w:t xml:space="preserve"> ranged from 545 ng/mL to 1190 ng/mL and </w:t>
      </w:r>
      <w:r w:rsidRPr="009D4CE6">
        <w:t xml:space="preserve">mean </w:t>
      </w:r>
      <w:r w:rsidR="009D4CE6" w:rsidRPr="009D4CE6">
        <w:t xml:space="preserve">area under the concentration-time curve </w:t>
      </w:r>
      <w:r w:rsidR="009D4CE6">
        <w:t>(</w:t>
      </w:r>
      <w:r w:rsidRPr="005508DC">
        <w:t>AUC</w:t>
      </w:r>
      <w:r w:rsidR="009D4CE6">
        <w:t>)</w:t>
      </w:r>
      <w:r w:rsidRPr="005508DC">
        <w:t xml:space="preserve"> ranged from 8550 ng.h/mL </w:t>
      </w:r>
      <w:proofErr w:type="gramStart"/>
      <w:r w:rsidRPr="005508DC">
        <w:t>to 18400 ng.h/mL</w:t>
      </w:r>
      <w:proofErr w:type="gramEnd"/>
      <w:r w:rsidRPr="005508DC">
        <w:t xml:space="preserve">. In </w:t>
      </w:r>
      <w:r w:rsidRPr="005508DC">
        <w:lastRenderedPageBreak/>
        <w:t xml:space="preserve">subjects with CF who have an </w:t>
      </w:r>
      <w:r w:rsidRPr="00BE3AAE">
        <w:t>R117H-CFTR</w:t>
      </w:r>
      <w:r w:rsidRPr="005508DC">
        <w:t xml:space="preserve"> mutation, the mean </w:t>
      </w:r>
      <w:proofErr w:type="spellStart"/>
      <w:r w:rsidRPr="005508DC">
        <w:t>ivacaftor</w:t>
      </w:r>
      <w:proofErr w:type="spellEnd"/>
      <w:r w:rsidRPr="005508DC">
        <w:t xml:space="preserve"> </w:t>
      </w:r>
      <w:proofErr w:type="spellStart"/>
      <w:r w:rsidRPr="005508DC">
        <w:t>C</w:t>
      </w:r>
      <w:r w:rsidRPr="003039CD">
        <w:rPr>
          <w:vertAlign w:val="subscript"/>
        </w:rPr>
        <w:t>min</w:t>
      </w:r>
      <w:proofErr w:type="spellEnd"/>
      <w:r w:rsidRPr="005508DC">
        <w:t xml:space="preserve"> was </w:t>
      </w:r>
      <w:proofErr w:type="gramStart"/>
      <w:r w:rsidRPr="005508DC">
        <w:t>810 n</w:t>
      </w:r>
      <w:r>
        <w:t>g/mL</w:t>
      </w:r>
      <w:proofErr w:type="gramEnd"/>
      <w:r>
        <w:t xml:space="preserve"> and AUC was 12100 ng.h/mL.</w:t>
      </w:r>
    </w:p>
    <w:p w:rsidR="00962AA0" w:rsidRPr="005508DC" w:rsidRDefault="00962AA0" w:rsidP="00962AA0">
      <w:pPr>
        <w:pStyle w:val="ListBullet"/>
        <w:numPr>
          <w:ilvl w:val="0"/>
          <w:numId w:val="3"/>
        </w:numPr>
      </w:pPr>
      <w:r w:rsidRPr="005508DC">
        <w:t xml:space="preserve">The typical central volume of distribution (90% </w:t>
      </w:r>
      <w:r w:rsidR="009D4CE6">
        <w:t xml:space="preserve">confidence </w:t>
      </w:r>
      <w:proofErr w:type="gramStart"/>
      <w:r w:rsidR="009D4CE6">
        <w:t>interval[</w:t>
      </w:r>
      <w:proofErr w:type="gramEnd"/>
      <w:r w:rsidRPr="005508DC">
        <w:t>CI</w:t>
      </w:r>
      <w:r w:rsidR="009D4CE6">
        <w:t>]</w:t>
      </w:r>
      <w:r w:rsidRPr="005508DC">
        <w:t>) in a r</w:t>
      </w:r>
      <w:r>
        <w:t>eference subject was 246 L (196 to</w:t>
      </w:r>
      <w:r w:rsidRPr="005508DC">
        <w:t xml:space="preserve"> 254) and the typical peripheral volume </w:t>
      </w:r>
      <w:r>
        <w:t>of distribution was 150 L (48.1 to 362).</w:t>
      </w:r>
    </w:p>
    <w:p w:rsidR="00962AA0" w:rsidRPr="005508DC" w:rsidRDefault="00962AA0" w:rsidP="00962AA0">
      <w:pPr>
        <w:pStyle w:val="ListBullet"/>
        <w:numPr>
          <w:ilvl w:val="0"/>
          <w:numId w:val="3"/>
        </w:numPr>
      </w:pPr>
      <w:r w:rsidRPr="005508DC">
        <w:t>For a reference subj</w:t>
      </w:r>
      <w:r>
        <w:t xml:space="preserve">ect the </w:t>
      </w:r>
      <w:r w:rsidR="009D4CE6" w:rsidRPr="009D4CE6">
        <w:t>apparent (oral) clearance</w:t>
      </w:r>
      <w:r w:rsidR="009D4CE6">
        <w:t xml:space="preserve"> (</w:t>
      </w:r>
      <w:r>
        <w:t>CL/F</w:t>
      </w:r>
      <w:r w:rsidR="009D4CE6">
        <w:t>)</w:t>
      </w:r>
      <w:r>
        <w:t xml:space="preserve"> was 18.2 L/h (16.9 to</w:t>
      </w:r>
      <w:r w:rsidRPr="005508DC">
        <w:t xml:space="preserve"> 19.3) and inter-compartment</w:t>
      </w:r>
      <w:r>
        <w:t>al clearance was 3.09 L/h (1.98 to</w:t>
      </w:r>
      <w:r w:rsidRPr="005508DC">
        <w:t xml:space="preserve"> 14.0). </w:t>
      </w:r>
      <w:proofErr w:type="spellStart"/>
      <w:r w:rsidRPr="005508DC">
        <w:t>Ivacaftor</w:t>
      </w:r>
      <w:proofErr w:type="spellEnd"/>
      <w:r w:rsidRPr="005508DC">
        <w:t xml:space="preserve"> CL/F was reduced 21% for subjects with the </w:t>
      </w:r>
      <w:r w:rsidRPr="00BE3AAE">
        <w:t>R117H</w:t>
      </w:r>
      <w:r w:rsidRPr="005508DC">
        <w:t xml:space="preserve"> mutation, relative to CF subjects with a gating mutation or homozygous for </w:t>
      </w:r>
      <w:r w:rsidRPr="00BE3AAE">
        <w:t>F508del,</w:t>
      </w:r>
      <w:r w:rsidRPr="005508DC">
        <w:t xml:space="preserve"> wit</w:t>
      </w:r>
      <w:r>
        <w:t>h an estimate of 14.3 L/h (12.7 to 16.0).</w:t>
      </w:r>
    </w:p>
    <w:p w:rsidR="00962AA0" w:rsidRDefault="00962AA0" w:rsidP="00962AA0">
      <w:pPr>
        <w:pStyle w:val="ListBullet"/>
        <w:numPr>
          <w:ilvl w:val="0"/>
          <w:numId w:val="3"/>
        </w:numPr>
      </w:pPr>
      <w:r w:rsidRPr="005508DC">
        <w:t xml:space="preserve">It is difficult to judge whether </w:t>
      </w:r>
      <w:proofErr w:type="spellStart"/>
      <w:r w:rsidRPr="005508DC">
        <w:t>ivacaftor</w:t>
      </w:r>
      <w:proofErr w:type="spellEnd"/>
      <w:r w:rsidRPr="005508DC">
        <w:t xml:space="preserve"> PKs are consistent ac</w:t>
      </w:r>
      <w:r>
        <w:t>ross both CF populations (that is</w:t>
      </w:r>
      <w:r w:rsidRPr="005508DC">
        <w:t xml:space="preserve"> reference CF subjects and subjects with the </w:t>
      </w:r>
      <w:r w:rsidRPr="00BE3AAE">
        <w:t>R117H</w:t>
      </w:r>
      <w:r w:rsidRPr="005508DC">
        <w:t xml:space="preserve"> mutation) as the reported C</w:t>
      </w:r>
      <w:r w:rsidRPr="003039CD">
        <w:rPr>
          <w:vertAlign w:val="subscript"/>
        </w:rPr>
        <w:t>min</w:t>
      </w:r>
      <w:r w:rsidRPr="005508DC">
        <w:t xml:space="preserve"> and AUC values from Study 110 fall within the range of values identified in reference CF patients. Based on the decrease in oral clearance identified in subjects with the </w:t>
      </w:r>
      <w:r w:rsidRPr="00BE3AAE">
        <w:t>R117H</w:t>
      </w:r>
      <w:r w:rsidRPr="005508DC">
        <w:t xml:space="preserve"> mutation however, it is possible that AUC and t</w:t>
      </w:r>
      <w:r w:rsidRPr="003039CD">
        <w:rPr>
          <w:vertAlign w:val="subscript"/>
        </w:rPr>
        <w:t xml:space="preserve">1/2 </w:t>
      </w:r>
      <w:r w:rsidRPr="005508DC">
        <w:t>would be increased in this CF population.</w:t>
      </w:r>
    </w:p>
    <w:p w:rsidR="00962AA0" w:rsidRPr="003039CD" w:rsidRDefault="00962AA0" w:rsidP="00962AA0">
      <w:pPr>
        <w:pStyle w:val="ListBullet"/>
        <w:numPr>
          <w:ilvl w:val="0"/>
          <w:numId w:val="3"/>
        </w:numPr>
      </w:pPr>
      <w:r w:rsidRPr="003039CD">
        <w:t>Inter-individual variabilities on CL/F, central volume and k</w:t>
      </w:r>
      <w:r w:rsidRPr="00CB4991">
        <w:rPr>
          <w:vertAlign w:val="subscript"/>
        </w:rPr>
        <w:t>a</w:t>
      </w:r>
      <w:r w:rsidRPr="003039CD">
        <w:t xml:space="preserve"> were 0.197, 0.143 and 1.11, respectively. Unexplained random var</w:t>
      </w:r>
      <w:r>
        <w:t>iability for CL/F was 46.7 CV%.</w:t>
      </w:r>
    </w:p>
    <w:p w:rsidR="00962AA0" w:rsidRPr="003039CD" w:rsidRDefault="00962AA0" w:rsidP="00962AA0">
      <w:pPr>
        <w:pStyle w:val="ListBullet"/>
        <w:numPr>
          <w:ilvl w:val="0"/>
          <w:numId w:val="3"/>
        </w:numPr>
      </w:pPr>
      <w:r w:rsidRPr="003039CD">
        <w:t xml:space="preserve">Body weight was the most important predictor of </w:t>
      </w:r>
      <w:proofErr w:type="spellStart"/>
      <w:r w:rsidRPr="003039CD">
        <w:t>ivacaftor</w:t>
      </w:r>
      <w:proofErr w:type="spellEnd"/>
      <w:r w:rsidRPr="003039CD">
        <w:t xml:space="preserve"> PKs, with a change in </w:t>
      </w:r>
      <w:proofErr w:type="spellStart"/>
      <w:r w:rsidRPr="003039CD">
        <w:t>ivacaftor</w:t>
      </w:r>
      <w:proofErr w:type="spellEnd"/>
      <w:r w:rsidRPr="003039CD">
        <w:t xml:space="preserve"> CL/F of 39% and 131% for the typical 20 kg and 100 kg subject, when compared to the reference subject.</w:t>
      </w:r>
    </w:p>
    <w:p w:rsidR="00962AA0" w:rsidRPr="003039CD" w:rsidRDefault="00962AA0" w:rsidP="00962AA0">
      <w:pPr>
        <w:pStyle w:val="ListBullet"/>
        <w:numPr>
          <w:ilvl w:val="0"/>
          <w:numId w:val="3"/>
        </w:numPr>
      </w:pPr>
      <w:r w:rsidRPr="003039CD">
        <w:t>Gender and patient status (</w:t>
      </w:r>
      <w:r>
        <w:t>that is healthy versus</w:t>
      </w:r>
      <w:r w:rsidRPr="003039CD">
        <w:t xml:space="preserve"> CF) did not account for variability in </w:t>
      </w:r>
      <w:proofErr w:type="spellStart"/>
      <w:r w:rsidRPr="003039CD">
        <w:t>ivacaftor</w:t>
      </w:r>
      <w:proofErr w:type="spellEnd"/>
      <w:r w:rsidRPr="003039CD">
        <w:t xml:space="preserve"> PKs and age was also not a clinically important covariate, after accounting for body size.</w:t>
      </w:r>
    </w:p>
    <w:p w:rsidR="00962AA0" w:rsidRPr="00962AA0" w:rsidRDefault="00962AA0" w:rsidP="00962AA0">
      <w:pPr>
        <w:pStyle w:val="Heading5"/>
      </w:pPr>
      <w:r w:rsidRPr="00962AA0">
        <w:t>Limitations of the PK studies</w:t>
      </w:r>
    </w:p>
    <w:p w:rsidR="00962AA0" w:rsidRDefault="00962AA0" w:rsidP="00962AA0">
      <w:r w:rsidRPr="003039CD">
        <w:t>Lack of a full non-compartmental PK analy</w:t>
      </w:r>
      <w:r w:rsidR="006F2199">
        <w:t>sis of the results of Study 110 (</w:t>
      </w:r>
      <w:r w:rsidRPr="003039CD">
        <w:t xml:space="preserve">which examined </w:t>
      </w:r>
      <w:proofErr w:type="spellStart"/>
      <w:r w:rsidRPr="003039CD">
        <w:t>ivacaftor</w:t>
      </w:r>
      <w:proofErr w:type="spellEnd"/>
      <w:r w:rsidRPr="003039CD">
        <w:t xml:space="preserve"> PKs in CF subjects</w:t>
      </w:r>
      <w:r w:rsidR="006F2199">
        <w:t xml:space="preserve"> with the R117H mutation) was considered a limitation.</w:t>
      </w:r>
    </w:p>
    <w:p w:rsidR="00962AA0" w:rsidRPr="00962AA0" w:rsidRDefault="00962AA0" w:rsidP="00962AA0">
      <w:pPr>
        <w:pStyle w:val="Heading5"/>
        <w:rPr>
          <w:rFonts w:eastAsia="MS Mincho"/>
        </w:rPr>
      </w:pPr>
      <w:r w:rsidRPr="00962AA0">
        <w:rPr>
          <w:rFonts w:eastAsia="MS Mincho"/>
        </w:rPr>
        <w:t>Questions related to the PK studies</w:t>
      </w:r>
    </w:p>
    <w:p w:rsidR="00962AA0" w:rsidRPr="003039CD" w:rsidRDefault="00962AA0" w:rsidP="00962AA0">
      <w:pPr>
        <w:pStyle w:val="Numberbullet0"/>
        <w:numPr>
          <w:ilvl w:val="0"/>
          <w:numId w:val="25"/>
        </w:numPr>
      </w:pPr>
      <w:r w:rsidRPr="003039CD">
        <w:t xml:space="preserve">Can the sponsor please provide the estimates of </w:t>
      </w:r>
      <w:proofErr w:type="spellStart"/>
      <w:r w:rsidRPr="003039CD">
        <w:t>ivacaftor</w:t>
      </w:r>
      <w:proofErr w:type="spellEnd"/>
      <w:r w:rsidRPr="003039CD">
        <w:t xml:space="preserve"> </w:t>
      </w:r>
      <w:proofErr w:type="spellStart"/>
      <w:r w:rsidRPr="003039CD">
        <w:t>C</w:t>
      </w:r>
      <w:r w:rsidRPr="003039CD">
        <w:rPr>
          <w:vertAlign w:val="subscript"/>
        </w:rPr>
        <w:t>min</w:t>
      </w:r>
      <w:proofErr w:type="spellEnd"/>
      <w:r w:rsidRPr="003039CD">
        <w:t xml:space="preserve"> and AUC for Studies 007 and 010, which were undertaken in healthy subjects, as they have done for the</w:t>
      </w:r>
      <w:r w:rsidR="00E242DD">
        <w:t xml:space="preserve"> studies in patients with CF (</w:t>
      </w:r>
      <w:r>
        <w:t>Tables 4 and 5</w:t>
      </w:r>
      <w:r w:rsidR="00E242DD">
        <w:t xml:space="preserve"> in Attachment 2)</w:t>
      </w:r>
      <w:r w:rsidRPr="003039CD">
        <w:t>?</w:t>
      </w:r>
    </w:p>
    <w:p w:rsidR="00962AA0" w:rsidRDefault="00962AA0" w:rsidP="00962AA0">
      <w:pPr>
        <w:pStyle w:val="Numberbullet0"/>
        <w:numPr>
          <w:ilvl w:val="0"/>
          <w:numId w:val="25"/>
        </w:numPr>
      </w:pPr>
      <w:r>
        <w:t xml:space="preserve">As it is difficult to judge whether </w:t>
      </w:r>
      <w:proofErr w:type="spellStart"/>
      <w:r>
        <w:t>ivacaftor</w:t>
      </w:r>
      <w:proofErr w:type="spellEnd"/>
      <w:r>
        <w:t xml:space="preserve"> PKs are consistent across both CF populations (that is reference CF subjects and subjects with the </w:t>
      </w:r>
      <w:r w:rsidRPr="00BE3AAE">
        <w:t>R117H</w:t>
      </w:r>
      <w:r>
        <w:t xml:space="preserve"> mutation) a full non</w:t>
      </w:r>
      <w:r>
        <w:noBreakHyphen/>
        <w:t xml:space="preserve">compartmental PK analysis of the results of Study 110, which includes typical PK parameters such </w:t>
      </w:r>
      <w:r w:rsidR="00901DB5">
        <w:t>the time taken to reach the maximum concentration (</w:t>
      </w:r>
      <w:r>
        <w:t>T</w:t>
      </w:r>
      <w:r w:rsidRPr="005E0481">
        <w:rPr>
          <w:vertAlign w:val="subscript"/>
        </w:rPr>
        <w:t>max</w:t>
      </w:r>
      <w:r w:rsidR="00901DB5" w:rsidRPr="00901DB5">
        <w:t>)</w:t>
      </w:r>
      <w:r>
        <w:t xml:space="preserve">, </w:t>
      </w:r>
      <w:r w:rsidR="00901DB5">
        <w:t>maximum concentration (</w:t>
      </w:r>
      <w:proofErr w:type="spellStart"/>
      <w:r>
        <w:t>C</w:t>
      </w:r>
      <w:r w:rsidRPr="005E0481">
        <w:rPr>
          <w:vertAlign w:val="subscript"/>
        </w:rPr>
        <w:t>max</w:t>
      </w:r>
      <w:proofErr w:type="spellEnd"/>
      <w:r w:rsidR="00901DB5" w:rsidRPr="00901DB5">
        <w:t>)</w:t>
      </w:r>
      <w:r>
        <w:t xml:space="preserve">, AUC, </w:t>
      </w:r>
      <w:r w:rsidR="00CE2543">
        <w:t xml:space="preserve">plasma </w:t>
      </w:r>
      <w:r w:rsidR="00157452">
        <w:t>half-life</w:t>
      </w:r>
      <w:r w:rsidR="00CE2543">
        <w:t xml:space="preserve"> of the drug</w:t>
      </w:r>
      <w:r w:rsidR="00901DB5">
        <w:t xml:space="preserve"> (</w:t>
      </w:r>
      <w:r>
        <w:t>t</w:t>
      </w:r>
      <w:r w:rsidRPr="005E0481">
        <w:rPr>
          <w:sz w:val="14"/>
          <w:szCs w:val="14"/>
          <w:vertAlign w:val="subscript"/>
        </w:rPr>
        <w:t>1/2</w:t>
      </w:r>
      <w:r w:rsidR="00CE2543" w:rsidRPr="00CE2543">
        <w:t>)</w:t>
      </w:r>
      <w:r w:rsidR="00CE2543">
        <w:rPr>
          <w:sz w:val="14"/>
          <w:szCs w:val="14"/>
          <w:vertAlign w:val="subscript"/>
        </w:rPr>
        <w:t xml:space="preserve"> </w:t>
      </w:r>
      <w:r w:rsidR="00CE2543">
        <w:t>and so on</w:t>
      </w:r>
      <w:r>
        <w:t xml:space="preserve"> may help answer this question. Therefore, can the sponsor please provide a full non</w:t>
      </w:r>
      <w:r>
        <w:noBreakHyphen/>
        <w:t xml:space="preserve">compartmental analysis of the </w:t>
      </w:r>
      <w:proofErr w:type="spellStart"/>
      <w:r>
        <w:t>ivacaftor</w:t>
      </w:r>
      <w:proofErr w:type="spellEnd"/>
      <w:r>
        <w:t xml:space="preserve"> PK parameters for Study 110?</w:t>
      </w:r>
    </w:p>
    <w:p w:rsidR="008E7846" w:rsidRDefault="008E7846" w:rsidP="008E7846">
      <w:pPr>
        <w:pStyle w:val="Heading3"/>
      </w:pPr>
      <w:bookmarkStart w:id="57" w:name="_Toc196046481"/>
      <w:bookmarkStart w:id="58" w:name="_Toc247691520"/>
      <w:bookmarkStart w:id="59" w:name="_Toc314842503"/>
      <w:bookmarkStart w:id="60" w:name="_Toc472521786"/>
      <w:r w:rsidRPr="00254787">
        <w:t>Pharmacodynamics</w:t>
      </w:r>
      <w:bookmarkEnd w:id="46"/>
      <w:bookmarkEnd w:id="57"/>
      <w:bookmarkEnd w:id="58"/>
      <w:bookmarkEnd w:id="59"/>
      <w:bookmarkEnd w:id="60"/>
    </w:p>
    <w:p w:rsidR="00905D1F" w:rsidRPr="00870FB3" w:rsidRDefault="00905D1F" w:rsidP="00905D1F">
      <w:r w:rsidRPr="00870FB3">
        <w:t xml:space="preserve">No new studies specifically examined </w:t>
      </w:r>
      <w:proofErr w:type="spellStart"/>
      <w:r w:rsidRPr="00870FB3">
        <w:t>ivacaftor</w:t>
      </w:r>
      <w:proofErr w:type="spellEnd"/>
      <w:r w:rsidRPr="00870FB3">
        <w:t xml:space="preserve"> PDs in the current submission.</w:t>
      </w:r>
    </w:p>
    <w:p w:rsidR="008E7846" w:rsidRDefault="00605AD4" w:rsidP="00605AD4">
      <w:pPr>
        <w:pStyle w:val="Heading3"/>
      </w:pPr>
      <w:bookmarkStart w:id="61" w:name="_Toc472521787"/>
      <w:r>
        <w:t>Dosage selection for the pivotal studies</w:t>
      </w:r>
      <w:bookmarkEnd w:id="61"/>
    </w:p>
    <w:p w:rsidR="00ED1A97" w:rsidRPr="00870FB3" w:rsidRDefault="00ED1A97" w:rsidP="00ED1A97">
      <w:r w:rsidRPr="00870FB3">
        <w:t xml:space="preserve">Studies 102, 103, and 111 evaluated </w:t>
      </w:r>
      <w:proofErr w:type="spellStart"/>
      <w:r w:rsidRPr="00870FB3">
        <w:t>ivacaftor</w:t>
      </w:r>
      <w:proofErr w:type="spellEnd"/>
      <w:r w:rsidRPr="00870FB3">
        <w:t xml:space="preserve"> 150 mg </w:t>
      </w:r>
      <w:r w:rsidR="00CE2543">
        <w:t xml:space="preserve">every </w:t>
      </w:r>
      <w:r w:rsidRPr="00870FB3">
        <w:t xml:space="preserve">12h </w:t>
      </w:r>
      <w:r w:rsidR="00CE2543">
        <w:t xml:space="preserve">(q12h) </w:t>
      </w:r>
      <w:r w:rsidRPr="00870FB3">
        <w:t xml:space="preserve">which is the recommended </w:t>
      </w:r>
      <w:proofErr w:type="spellStart"/>
      <w:r>
        <w:t>ivacaftor</w:t>
      </w:r>
      <w:proofErr w:type="spellEnd"/>
      <w:r>
        <w:t xml:space="preserve"> (</w:t>
      </w:r>
      <w:proofErr w:type="spellStart"/>
      <w:r w:rsidR="00CE2543">
        <w:t>Kaldyeco</w:t>
      </w:r>
      <w:proofErr w:type="spellEnd"/>
      <w:r>
        <w:t>)</w:t>
      </w:r>
      <w:r w:rsidRPr="00870FB3">
        <w:t xml:space="preserve"> dosage for CF pat</w:t>
      </w:r>
      <w:r>
        <w:t>ients 6 years of age and older.</w:t>
      </w:r>
    </w:p>
    <w:p w:rsidR="00ED1A97" w:rsidRPr="00870FB3" w:rsidRDefault="00ED1A97" w:rsidP="00ED1A97">
      <w:r w:rsidRPr="00870FB3">
        <w:lastRenderedPageBreak/>
        <w:t xml:space="preserve">Similar PK parameter estimates between healthy subjects and subjects with CF suggested that exposure to </w:t>
      </w:r>
      <w:proofErr w:type="spellStart"/>
      <w:r w:rsidRPr="00870FB3">
        <w:t>ivacaftor</w:t>
      </w:r>
      <w:proofErr w:type="spellEnd"/>
      <w:r w:rsidRPr="00870FB3">
        <w:t xml:space="preserve"> in subjects with the </w:t>
      </w:r>
      <w:r w:rsidRPr="00BE3AAE">
        <w:t>R117H-CFTR</w:t>
      </w:r>
      <w:r w:rsidRPr="00870FB3">
        <w:t xml:space="preserve"> mutation would be similar to the exposure in subjects with other CFTR mutations. The in vitro potency of </w:t>
      </w:r>
      <w:proofErr w:type="spellStart"/>
      <w:r w:rsidRPr="00870FB3">
        <w:t>ivacaftor</w:t>
      </w:r>
      <w:proofErr w:type="spellEnd"/>
      <w:r w:rsidRPr="00870FB3">
        <w:t xml:space="preserve"> towards the </w:t>
      </w:r>
      <w:r w:rsidRPr="00BE3AAE">
        <w:t>R117H</w:t>
      </w:r>
      <w:r w:rsidRPr="00870FB3">
        <w:t xml:space="preserve"> mutation relative to other mutations that cause gating defects, as well as the efficacy and safety results obtained in Studies 102, 103, and 111 </w:t>
      </w:r>
      <w:r w:rsidR="00CE2543">
        <w:t>supported evaluation of 150 mg q12h in S</w:t>
      </w:r>
      <w:r w:rsidRPr="00870FB3">
        <w:t xml:space="preserve">tudy </w:t>
      </w:r>
      <w:r w:rsidR="00CE2543">
        <w:t>110. Hence, the dose of 150 mg q</w:t>
      </w:r>
      <w:r w:rsidRPr="00870FB3">
        <w:t>12h, which was well tolerated and resulted in robust treatment effects in subjects with other CFTR mutatio</w:t>
      </w:r>
      <w:r>
        <w:t>ns that cause gating defects, was</w:t>
      </w:r>
      <w:r w:rsidRPr="00870FB3">
        <w:t xml:space="preserve"> chosen for pivotal study 110 in CF patients with </w:t>
      </w:r>
      <w:r w:rsidR="00CA5E1A">
        <w:t>R117H</w:t>
      </w:r>
      <w:r w:rsidR="00CA5E1A">
        <w:noBreakHyphen/>
      </w:r>
      <w:r w:rsidRPr="00BE3AAE">
        <w:t>CFTR</w:t>
      </w:r>
      <w:r w:rsidRPr="00870FB3">
        <w:t xml:space="preserve"> mutation.</w:t>
      </w:r>
    </w:p>
    <w:p w:rsidR="008E7846" w:rsidRDefault="008E7846" w:rsidP="008E7846">
      <w:pPr>
        <w:pStyle w:val="Heading3"/>
      </w:pPr>
      <w:bookmarkStart w:id="62" w:name="_Toc163441372"/>
      <w:bookmarkStart w:id="63" w:name="_Toc196046485"/>
      <w:bookmarkStart w:id="64" w:name="_Toc247691521"/>
      <w:bookmarkStart w:id="65" w:name="_Toc314842504"/>
      <w:bookmarkStart w:id="66" w:name="_Toc472521788"/>
      <w:r w:rsidRPr="00254787">
        <w:t>Efficacy</w:t>
      </w:r>
      <w:bookmarkEnd w:id="62"/>
      <w:bookmarkEnd w:id="63"/>
      <w:bookmarkEnd w:id="64"/>
      <w:bookmarkEnd w:id="65"/>
      <w:bookmarkEnd w:id="66"/>
    </w:p>
    <w:p w:rsidR="00ED1A97" w:rsidRPr="00ED1A97" w:rsidRDefault="00ED1A97" w:rsidP="00ED1A97">
      <w:pPr>
        <w:pStyle w:val="Heading4"/>
      </w:pPr>
      <w:bookmarkStart w:id="67" w:name="_Toc459290731"/>
      <w:r w:rsidRPr="00ED1A97">
        <w:t>Indication 1</w:t>
      </w:r>
      <w:bookmarkEnd w:id="67"/>
    </w:p>
    <w:p w:rsidR="00ED1A97" w:rsidRPr="00870FB3" w:rsidRDefault="00ED1A97" w:rsidP="00ED1A97">
      <w:proofErr w:type="spellStart"/>
      <w:r>
        <w:t>Ivacaftor</w:t>
      </w:r>
      <w:proofErr w:type="spellEnd"/>
      <w:r>
        <w:t xml:space="preserve"> (</w:t>
      </w:r>
      <w:proofErr w:type="spellStart"/>
      <w:r w:rsidR="004F7727">
        <w:t>Kaldyeco</w:t>
      </w:r>
      <w:proofErr w:type="spellEnd"/>
      <w:r>
        <w:t>)</w:t>
      </w:r>
      <w:r w:rsidRPr="00870FB3">
        <w:t xml:space="preserve"> is indicated for the treatment of cystic fibrosis (CF) in patients: aged 6 years and older who have an </w:t>
      </w:r>
      <w:r w:rsidRPr="00BE3AAE">
        <w:t>R117H</w:t>
      </w:r>
      <w:r w:rsidRPr="00870FB3">
        <w:t xml:space="preserve"> mutation in the CFTR gene.</w:t>
      </w:r>
    </w:p>
    <w:p w:rsidR="00ED1A97" w:rsidRPr="00870FB3" w:rsidRDefault="00ED1A97" w:rsidP="00ED1A97">
      <w:r w:rsidRPr="00870FB3">
        <w:t xml:space="preserve">Two clinical studies evaluated the efficacy of </w:t>
      </w:r>
      <w:proofErr w:type="spellStart"/>
      <w:r w:rsidRPr="00870FB3">
        <w:t>ivacaftor</w:t>
      </w:r>
      <w:proofErr w:type="spellEnd"/>
      <w:r w:rsidRPr="00870FB3">
        <w:t xml:space="preserve"> in subjects with an </w:t>
      </w:r>
      <w:r w:rsidRPr="00BE3AAE">
        <w:t>R117H-CFTR</w:t>
      </w:r>
      <w:r w:rsidRPr="00870FB3">
        <w:t xml:space="preserve"> mutation. Study 110 was a placebo-controlled study a</w:t>
      </w:r>
      <w:r>
        <w:t>nd Stud</w:t>
      </w:r>
      <w:r w:rsidR="00820221">
        <w:t>y 112 is an ongoing open</w:t>
      </w:r>
      <w:r w:rsidR="00820221">
        <w:noBreakHyphen/>
      </w:r>
      <w:r w:rsidRPr="00870FB3">
        <w:t>label rollover study in which subjects from Study 110 could enrol. Results of the final analysis of Study 110 and interim analysis of Study 112 are included in this submission.</w:t>
      </w:r>
    </w:p>
    <w:p w:rsidR="00ED1A97" w:rsidRPr="00ED1A97" w:rsidRDefault="004F7727" w:rsidP="00ED1A97">
      <w:pPr>
        <w:pStyle w:val="Heading5"/>
        <w:rPr>
          <w:rFonts w:eastAsia="MS Mincho"/>
        </w:rPr>
      </w:pPr>
      <w:r>
        <w:rPr>
          <w:rFonts w:eastAsia="MS Mincho"/>
        </w:rPr>
        <w:t>S</w:t>
      </w:r>
      <w:r w:rsidR="00ED1A97" w:rsidRPr="00ED1A97">
        <w:rPr>
          <w:rFonts w:eastAsia="MS Mincho"/>
        </w:rPr>
        <w:t>tudy 110</w:t>
      </w:r>
    </w:p>
    <w:p w:rsidR="00ED1A97" w:rsidRDefault="00ED1A97" w:rsidP="00ED1A97">
      <w:r>
        <w:t>For details see Attachment 2.</w:t>
      </w:r>
    </w:p>
    <w:p w:rsidR="00ED1A97" w:rsidRDefault="00ED1A97" w:rsidP="00ED1A97">
      <w:pPr>
        <w:pStyle w:val="Heading4"/>
      </w:pPr>
      <w:r>
        <w:t>Studies providing efficacy data</w:t>
      </w:r>
    </w:p>
    <w:p w:rsidR="00ED1A97" w:rsidRDefault="00ED1A97" w:rsidP="00ED1A97">
      <w:pPr>
        <w:pStyle w:val="Heading5"/>
        <w:rPr>
          <w:rFonts w:eastAsia="MS Mincho"/>
        </w:rPr>
      </w:pPr>
      <w:r>
        <w:rPr>
          <w:rFonts w:eastAsia="MS Mincho"/>
        </w:rPr>
        <w:t>Study 112</w:t>
      </w:r>
    </w:p>
    <w:p w:rsidR="00ED1A97" w:rsidRDefault="00ED1A97" w:rsidP="00ED1A97">
      <w:r>
        <w:t>For details see Attachment 2.</w:t>
      </w:r>
    </w:p>
    <w:p w:rsidR="00ED1A97" w:rsidRDefault="00ED1A97" w:rsidP="00ED1A97">
      <w:pPr>
        <w:pStyle w:val="Heading4"/>
      </w:pPr>
      <w:bookmarkStart w:id="68" w:name="_Toc184439992"/>
      <w:bookmarkStart w:id="69" w:name="_Toc184440279"/>
      <w:bookmarkStart w:id="70" w:name="_Toc184444657"/>
      <w:bookmarkStart w:id="71" w:name="_Toc196046487"/>
      <w:r>
        <w:t>Evaluator’s conclusions on efficacy</w:t>
      </w:r>
    </w:p>
    <w:bookmarkEnd w:id="68"/>
    <w:bookmarkEnd w:id="69"/>
    <w:bookmarkEnd w:id="70"/>
    <w:bookmarkEnd w:id="71"/>
    <w:p w:rsidR="00ED1A97" w:rsidRPr="00ED1A97" w:rsidRDefault="00ED1A97" w:rsidP="00ED1A97">
      <w:r w:rsidRPr="00ED1A97">
        <w:t xml:space="preserve">The pivotal study submitted to support use of </w:t>
      </w:r>
      <w:proofErr w:type="spellStart"/>
      <w:r w:rsidRPr="00ED1A97">
        <w:t>ivacaftor</w:t>
      </w:r>
      <w:proofErr w:type="spellEnd"/>
      <w:r w:rsidRPr="00ED1A97">
        <w:t xml:space="preserve"> for the extended indication was a well</w:t>
      </w:r>
      <w:r w:rsidRPr="00ED1A97">
        <w:noBreakHyphen/>
        <w:t xml:space="preserve">conducted, Phase III, double-blind, placebo-controlled, parallel group study in 69 CF patients aged &gt; 6years with R117H-CFTR mutation. The dose of </w:t>
      </w:r>
      <w:proofErr w:type="spellStart"/>
      <w:r w:rsidRPr="00ED1A97">
        <w:t>ivacaftor</w:t>
      </w:r>
      <w:proofErr w:type="spellEnd"/>
      <w:r w:rsidRPr="00ED1A97">
        <w:t xml:space="preserve"> (15</w:t>
      </w:r>
      <w:r w:rsidR="006C3669">
        <w:t>0 mg</w:t>
      </w:r>
      <w:r w:rsidRPr="00ED1A97">
        <w:t xml:space="preserve"> 12 hourly for 24 weeks) was the same as that approved for tre</w:t>
      </w:r>
      <w:r w:rsidR="00146B07">
        <w:t>atment of CF in patients aged &gt; </w:t>
      </w:r>
      <w:r w:rsidRPr="00ED1A97">
        <w:t>6 yea</w:t>
      </w:r>
      <w:r w:rsidR="004F7727">
        <w:t>rs with G551D or other gating (C</w:t>
      </w:r>
      <w:r w:rsidRPr="00ED1A97">
        <w:t xml:space="preserve">lass III) mutations. The efficacy endpoints evaluated effect of </w:t>
      </w:r>
      <w:proofErr w:type="spellStart"/>
      <w:r w:rsidRPr="00ED1A97">
        <w:t>ivacaftor</w:t>
      </w:r>
      <w:proofErr w:type="spellEnd"/>
      <w:r w:rsidRPr="00ED1A97">
        <w:t xml:space="preserve"> on lung function (change from baseline in % predicted FEV</w:t>
      </w:r>
      <w:r w:rsidRPr="00ED1A97">
        <w:rPr>
          <w:vertAlign w:val="subscript"/>
        </w:rPr>
        <w:t>1</w:t>
      </w:r>
      <w:r w:rsidRPr="00ED1A97">
        <w:t xml:space="preserve"> was primary endpoint) as well as effects on growth/ nutrition (change in BMI), markers of CF such as sweat chloride, pulmonary exacerbations and inflammatory markers. The study design and endpoints complied with the </w:t>
      </w:r>
      <w:r w:rsidR="004F7727">
        <w:t>European Medicines Agency (EME)</w:t>
      </w:r>
      <w:r w:rsidRPr="00ED1A97">
        <w:t xml:space="preserve"> guidelines on evaluation of drugs for treatment of cystic fibrosis.</w:t>
      </w:r>
    </w:p>
    <w:p w:rsidR="00ED1A97" w:rsidRPr="00ED1A97" w:rsidRDefault="00ED1A97" w:rsidP="00ED1A97">
      <w:pPr>
        <w:rPr>
          <w:b/>
          <w:bCs/>
        </w:rPr>
      </w:pPr>
      <w:r w:rsidRPr="00ED1A97">
        <w:t>Results for the primary endpoint (the absolute change in percent predicted FEV</w:t>
      </w:r>
      <w:r w:rsidRPr="00ED1A97">
        <w:rPr>
          <w:vertAlign w:val="subscript"/>
        </w:rPr>
        <w:t>1</w:t>
      </w:r>
      <w:r w:rsidRPr="00ED1A97">
        <w:t xml:space="preserve"> through Week 24 in </w:t>
      </w:r>
      <w:r w:rsidR="00D734DF">
        <w:t>full analysis set [</w:t>
      </w:r>
      <w:r w:rsidRPr="00ED1A97">
        <w:t>FAS</w:t>
      </w:r>
      <w:r w:rsidR="00D734DF">
        <w:t>]</w:t>
      </w:r>
      <w:r w:rsidRPr="00ED1A97">
        <w:t xml:space="preserve">) favoured </w:t>
      </w:r>
      <w:proofErr w:type="spellStart"/>
      <w:r w:rsidRPr="00ED1A97">
        <w:t>ivacaftor</w:t>
      </w:r>
      <w:proofErr w:type="spellEnd"/>
      <w:r w:rsidRPr="00ED1A97">
        <w:t xml:space="preserve"> but failed to reach statistical significance (</w:t>
      </w:r>
      <w:proofErr w:type="spellStart"/>
      <w:r w:rsidRPr="00ED1A97">
        <w:t>ivacaftor</w:t>
      </w:r>
      <w:proofErr w:type="spellEnd"/>
      <w:r w:rsidRPr="00ED1A97">
        <w:t>-placebo treatment difference</w:t>
      </w:r>
      <w:r w:rsidR="00146B07">
        <w:t xml:space="preserve"> </w:t>
      </w:r>
      <w:r w:rsidRPr="00ED1A97">
        <w:t>=</w:t>
      </w:r>
      <w:r w:rsidR="00146B07">
        <w:t xml:space="preserve"> </w:t>
      </w:r>
      <w:r w:rsidR="00981CDD">
        <w:t>2.1%, 95% CI: 1.13, 5.35, p </w:t>
      </w:r>
      <w:r w:rsidRPr="00ED1A97">
        <w:t>=</w:t>
      </w:r>
      <w:r w:rsidR="00A737C4">
        <w:t> </w:t>
      </w:r>
      <w:r w:rsidRPr="00ED1A97">
        <w:t>0.1979). Similarly, results for the secondary endpoints</w:t>
      </w:r>
      <w:r w:rsidR="00981CDD">
        <w:t xml:space="preserve"> rate of change in BMI and time</w:t>
      </w:r>
      <w:r w:rsidR="00981CDD">
        <w:noBreakHyphen/>
      </w:r>
      <w:r w:rsidRPr="00ED1A97">
        <w:t xml:space="preserve">to-first pulmonary exacerbation favoured </w:t>
      </w:r>
      <w:proofErr w:type="spellStart"/>
      <w:r w:rsidRPr="00ED1A97">
        <w:t>ivacaftor</w:t>
      </w:r>
      <w:proofErr w:type="spellEnd"/>
      <w:r w:rsidRPr="00ED1A97">
        <w:t xml:space="preserve">, but treatment differences were not statistically significant. However, there were statistically significant and clinically relevant improvements in secondary endpoints of sweat chloride and </w:t>
      </w:r>
      <w:r w:rsidR="00C308CD" w:rsidRPr="00C308CD">
        <w:t>Revised Cystic</w:t>
      </w:r>
      <w:r w:rsidR="00C308CD">
        <w:rPr>
          <w:sz w:val="20"/>
          <w:szCs w:val="20"/>
        </w:rPr>
        <w:t xml:space="preserve"> </w:t>
      </w:r>
      <w:r w:rsidR="00C308CD" w:rsidRPr="00C308CD">
        <w:t>Fibrosis Questionnaire</w:t>
      </w:r>
      <w:r w:rsidR="00C308CD">
        <w:rPr>
          <w:sz w:val="20"/>
          <w:szCs w:val="20"/>
        </w:rPr>
        <w:t xml:space="preserve"> (</w:t>
      </w:r>
      <w:r w:rsidRPr="00ED1A97">
        <w:t>CFQ-R</w:t>
      </w:r>
      <w:r w:rsidR="00C308CD">
        <w:t>)</w:t>
      </w:r>
      <w:r w:rsidRPr="00ED1A97">
        <w:t xml:space="preserve"> respiratory domain score </w:t>
      </w:r>
      <w:r w:rsidRPr="00ED1A97">
        <w:rPr>
          <w:bCs/>
        </w:rPr>
        <w:t>(Table 50</w:t>
      </w:r>
      <w:r w:rsidR="00146B07">
        <w:rPr>
          <w:bCs/>
        </w:rPr>
        <w:t xml:space="preserve"> in Attachment 2</w:t>
      </w:r>
      <w:r w:rsidRPr="00ED1A97">
        <w:rPr>
          <w:bCs/>
        </w:rPr>
        <w:t>).</w:t>
      </w:r>
    </w:p>
    <w:p w:rsidR="00ED1A97" w:rsidRPr="00ED1A97" w:rsidRDefault="00ED1A97" w:rsidP="00ED1A97">
      <w:bookmarkStart w:id="72" w:name="bookmark0"/>
      <w:bookmarkStart w:id="73" w:name="Table_7.3.1:"/>
      <w:bookmarkEnd w:id="72"/>
      <w:bookmarkEnd w:id="73"/>
      <w:r w:rsidRPr="00ED1A97">
        <w:t xml:space="preserve">Results favouring </w:t>
      </w:r>
      <w:proofErr w:type="spellStart"/>
      <w:r w:rsidRPr="00ED1A97">
        <w:t>ivacaftor</w:t>
      </w:r>
      <w:proofErr w:type="spellEnd"/>
      <w:r w:rsidRPr="00ED1A97">
        <w:t xml:space="preserve"> treatment were observed for event rate for pulmonary exacerbations, number of pulmonary ex</w:t>
      </w:r>
      <w:r w:rsidR="00BF4DCC">
        <w:t>acerbations requiring hospitalis</w:t>
      </w:r>
      <w:r w:rsidRPr="00ED1A97">
        <w:t>ation or IV antibiotics, duration of pulmonary exacerbations, cha</w:t>
      </w:r>
      <w:r w:rsidR="00B62317">
        <w:t xml:space="preserve">nges from baseline in CFQ-R </w:t>
      </w:r>
      <w:r w:rsidR="00B62317">
        <w:lastRenderedPageBreak/>
        <w:t>non</w:t>
      </w:r>
      <w:r w:rsidR="00B62317">
        <w:noBreakHyphen/>
      </w:r>
      <w:r w:rsidRPr="00ED1A97">
        <w:t xml:space="preserve">respiratory domain scores, weight, </w:t>
      </w:r>
      <w:proofErr w:type="spellStart"/>
      <w:r w:rsidR="00C308CD">
        <w:t>i</w:t>
      </w:r>
      <w:r w:rsidR="00C308CD" w:rsidRPr="00C308CD">
        <w:t>mmunoreactive</w:t>
      </w:r>
      <w:proofErr w:type="spellEnd"/>
      <w:r w:rsidR="00C308CD" w:rsidRPr="00C308CD">
        <w:t xml:space="preserve"> </w:t>
      </w:r>
      <w:proofErr w:type="spellStart"/>
      <w:r w:rsidR="00C308CD" w:rsidRPr="00C308CD">
        <w:t>trypsinogen</w:t>
      </w:r>
      <w:proofErr w:type="spellEnd"/>
      <w:r w:rsidR="00C308CD" w:rsidRPr="00ED1A97">
        <w:t xml:space="preserve"> </w:t>
      </w:r>
      <w:r w:rsidR="00C308CD">
        <w:t>(</w:t>
      </w:r>
      <w:r w:rsidRPr="00ED1A97">
        <w:t>IRT</w:t>
      </w:r>
      <w:r w:rsidR="00C308CD">
        <w:t>)</w:t>
      </w:r>
      <w:r w:rsidRPr="00ED1A97">
        <w:t>, faecal elastase-1</w:t>
      </w:r>
      <w:r w:rsidR="00C666F7">
        <w:t>-</w:t>
      </w:r>
      <w:r w:rsidRPr="00ED1A97">
        <w:t>, and inflammatory mediator concentrations. The treatment effect was statistically significant for the CFQ-R emotion, social, and eating domains (Table 51</w:t>
      </w:r>
      <w:r w:rsidR="00146B07">
        <w:t xml:space="preserve"> in Attachment 2</w:t>
      </w:r>
      <w:r w:rsidRPr="00ED1A97">
        <w:t>). No analysis of CF-related complications was performed because no episodes of pancreatitis or DIOS occurred during the study.</w:t>
      </w:r>
    </w:p>
    <w:p w:rsidR="00ED1A97" w:rsidRPr="00ED1A97" w:rsidRDefault="00ED1A97" w:rsidP="00ED1A97">
      <w:bookmarkStart w:id="74" w:name="Table_7.3.2:"/>
      <w:bookmarkEnd w:id="74"/>
      <w:r w:rsidRPr="00ED1A97">
        <w:t>Despite the lack of statistical significance for absolute change from baseline in the primary endpoint of percent predicted FEV</w:t>
      </w:r>
      <w:r w:rsidRPr="00ED1A97">
        <w:rPr>
          <w:vertAlign w:val="subscript"/>
        </w:rPr>
        <w:t>1</w:t>
      </w:r>
      <w:r w:rsidRPr="00ED1A97">
        <w:t xml:space="preserve">, the </w:t>
      </w:r>
      <w:r w:rsidR="00C666F7">
        <w:t>following results from S</w:t>
      </w:r>
      <w:r w:rsidRPr="00ED1A97">
        <w:t xml:space="preserve">tudy 110 suggested a beneficial effect of </w:t>
      </w:r>
      <w:proofErr w:type="spellStart"/>
      <w:r w:rsidRPr="00ED1A97">
        <w:t>ivacaftor</w:t>
      </w:r>
      <w:proofErr w:type="spellEnd"/>
      <w:r w:rsidRPr="00ED1A97">
        <w:t xml:space="preserve"> on lung function:</w:t>
      </w:r>
    </w:p>
    <w:p w:rsidR="00ED1A97" w:rsidRPr="00ED1A97" w:rsidRDefault="00ED1A97" w:rsidP="00C666F7">
      <w:pPr>
        <w:pStyle w:val="ListBullet"/>
      </w:pPr>
      <w:r w:rsidRPr="00ED1A97">
        <w:t xml:space="preserve">Treatment differences for the FAS favoured </w:t>
      </w:r>
      <w:proofErr w:type="spellStart"/>
      <w:r w:rsidRPr="00ED1A97">
        <w:t>ivacaftor</w:t>
      </w:r>
      <w:proofErr w:type="spellEnd"/>
      <w:r w:rsidRPr="00ED1A97">
        <w:t xml:space="preserve"> at all treatment period time points during the 24-week study.</w:t>
      </w:r>
    </w:p>
    <w:p w:rsidR="00ED1A97" w:rsidRPr="00ED1A97" w:rsidRDefault="00ED1A97" w:rsidP="00C666F7">
      <w:pPr>
        <w:pStyle w:val="ListBullet"/>
      </w:pPr>
      <w:r w:rsidRPr="00ED1A97">
        <w:t>The percent predicted FEV</w:t>
      </w:r>
      <w:r w:rsidRPr="00ED1A97">
        <w:rPr>
          <w:vertAlign w:val="subscript"/>
        </w:rPr>
        <w:t>1</w:t>
      </w:r>
      <w:r w:rsidRPr="00ED1A97">
        <w:t xml:space="preserve"> responder analysis of showed that the number of responders favoured </w:t>
      </w:r>
      <w:proofErr w:type="spellStart"/>
      <w:r w:rsidRPr="00ED1A97">
        <w:t>ivacaftor</w:t>
      </w:r>
      <w:proofErr w:type="spellEnd"/>
      <w:r w:rsidRPr="00ED1A97">
        <w:t xml:space="preserve"> at all thresholds (3.5%, 5%, 7.5%, and 10%), with approximately twice as many responders in the </w:t>
      </w:r>
      <w:proofErr w:type="spellStart"/>
      <w:r w:rsidRPr="00ED1A97">
        <w:t>ivacaftor</w:t>
      </w:r>
      <w:proofErr w:type="spellEnd"/>
      <w:r w:rsidRPr="00ED1A97">
        <w:t xml:space="preserve"> group as the placebo group.</w:t>
      </w:r>
    </w:p>
    <w:p w:rsidR="00ED1A97" w:rsidRPr="00ED1A97" w:rsidRDefault="00ED1A97" w:rsidP="00C666F7">
      <w:pPr>
        <w:pStyle w:val="ListBullet"/>
      </w:pPr>
      <w:r w:rsidRPr="00ED1A97">
        <w:t>Gains in percent predicted FEV</w:t>
      </w:r>
      <w:r w:rsidRPr="00ED1A97">
        <w:rPr>
          <w:vertAlign w:val="subscript"/>
        </w:rPr>
        <w:t>1</w:t>
      </w:r>
      <w:r w:rsidRPr="00ED1A97">
        <w:t xml:space="preserve"> in the </w:t>
      </w:r>
      <w:proofErr w:type="spellStart"/>
      <w:r w:rsidRPr="00ED1A97">
        <w:t>ivacaftor</w:t>
      </w:r>
      <w:proofErr w:type="spellEnd"/>
      <w:r w:rsidRPr="00ED1A97">
        <w:t xml:space="preserve"> group during the Treatment Period reversed in the Follow-up Period when the subjects were no longer receiving </w:t>
      </w:r>
      <w:proofErr w:type="spellStart"/>
      <w:r w:rsidRPr="00ED1A97">
        <w:t>ivacaftor</w:t>
      </w:r>
      <w:proofErr w:type="spellEnd"/>
      <w:r w:rsidRPr="00ED1A97">
        <w:t>.</w:t>
      </w:r>
    </w:p>
    <w:p w:rsidR="00ED1A97" w:rsidRPr="00ED1A97" w:rsidRDefault="00ED1A97" w:rsidP="00C666F7">
      <w:pPr>
        <w:pStyle w:val="ListBullet"/>
      </w:pPr>
      <w:r w:rsidRPr="00ED1A97">
        <w:t>Analyses of additional spirometry parameters including absolute and relative change from baseline through Week 24 in FEV</w:t>
      </w:r>
      <w:r w:rsidRPr="00ED1A97">
        <w:rPr>
          <w:vertAlign w:val="subscript"/>
        </w:rPr>
        <w:t>1</w:t>
      </w:r>
      <w:r w:rsidR="00C666F7">
        <w:t xml:space="preserve"> (L), FVC (L), FEF25% to </w:t>
      </w:r>
      <w:r w:rsidRPr="00ED1A97">
        <w:t>75% (L/sec), FEV</w:t>
      </w:r>
      <w:r w:rsidRPr="00ED1A97">
        <w:rPr>
          <w:vertAlign w:val="subscript"/>
        </w:rPr>
        <w:t>1</w:t>
      </w:r>
      <w:r w:rsidRPr="00ED1A97">
        <w:t>/FVC, percent predicted FVC, percent pr</w:t>
      </w:r>
      <w:r w:rsidR="00C666F7">
        <w:t xml:space="preserve">edicted FEF25% to </w:t>
      </w:r>
      <w:r w:rsidRPr="00ED1A97">
        <w:t>75%, and percent predicted FEV</w:t>
      </w:r>
      <w:r w:rsidRPr="00ED1A97">
        <w:rPr>
          <w:vertAlign w:val="subscript"/>
        </w:rPr>
        <w:t>1</w:t>
      </w:r>
      <w:r w:rsidRPr="00ED1A97">
        <w:t xml:space="preserve">/FVC showed greater mean changes from baseline through Week 24 for the </w:t>
      </w:r>
      <w:proofErr w:type="spellStart"/>
      <w:r w:rsidRPr="00ED1A97">
        <w:t>ivacaftor</w:t>
      </w:r>
      <w:proofErr w:type="spellEnd"/>
      <w:r w:rsidRPr="00ED1A97">
        <w:t xml:space="preserve"> group than the placebo group; other</w:t>
      </w:r>
      <w:r w:rsidR="00C666F7">
        <w:t xml:space="preserve"> than relative change in FEF25% to </w:t>
      </w:r>
      <w:r w:rsidRPr="00ED1A97">
        <w:t>7</w:t>
      </w:r>
      <w:r w:rsidR="00C666F7">
        <w:t xml:space="preserve">5% and percent predicted FEF25% to </w:t>
      </w:r>
      <w:r w:rsidRPr="00ED1A97">
        <w:t>75% these differences were not statistically significant.</w:t>
      </w:r>
    </w:p>
    <w:p w:rsidR="00ED1A97" w:rsidRPr="00ED1A97" w:rsidRDefault="00ED1A97" w:rsidP="00ED1A97">
      <w:r w:rsidRPr="00ED1A97">
        <w:t>In the pre-defined subgroup of subjects aged &gt; 18 years, improvements in spirometry were statistically and clinically significant, rapid in onset</w:t>
      </w:r>
      <w:r w:rsidR="007E1DFF">
        <w:t>-</w:t>
      </w:r>
      <w:r w:rsidRPr="00ED1A97">
        <w:t>, and durable through Week 24. Statistically significant treatment differences for percent predicted FEV</w:t>
      </w:r>
      <w:r w:rsidRPr="00ED1A97">
        <w:rPr>
          <w:vertAlign w:val="subscript"/>
        </w:rPr>
        <w:t>1</w:t>
      </w:r>
      <w:r w:rsidRPr="00ED1A97">
        <w:t xml:space="preserve"> were observed by Week 2 (first post-baseline time point assessed) and were sustained through Week 24. There was a statistically significant difference in the responder rate between placebo and </w:t>
      </w:r>
      <w:proofErr w:type="spellStart"/>
      <w:r w:rsidRPr="00ED1A97">
        <w:t>ivacaftor</w:t>
      </w:r>
      <w:proofErr w:type="spellEnd"/>
      <w:r w:rsidRPr="00ED1A97">
        <w:t xml:space="preserve"> at the thresholds of 3.5% (P = 0.0176), 5% (P = 0.0066)</w:t>
      </w:r>
      <w:r w:rsidR="007E1DFF">
        <w:t>-</w:t>
      </w:r>
      <w:r w:rsidRPr="00ED1A97">
        <w:t xml:space="preserve">, and 7.5% (P = 0.0094). Results for the secondary endpoints rate of change in BMI and time-to-first pulmonary exacerbation favoured </w:t>
      </w:r>
      <w:proofErr w:type="spellStart"/>
      <w:r w:rsidRPr="00ED1A97">
        <w:t>ivacaftor</w:t>
      </w:r>
      <w:proofErr w:type="spellEnd"/>
      <w:r w:rsidRPr="00ED1A97">
        <w:t xml:space="preserve">, but treatment relevant and consistent improvements in the secondary endpoints of absolute change from baseline in sweat chloride and the CFQ-R respiratory domain score; in fact the treatment difference for </w:t>
      </w:r>
      <w:proofErr w:type="spellStart"/>
      <w:r w:rsidRPr="00ED1A97">
        <w:t>ivacaftor</w:t>
      </w:r>
      <w:proofErr w:type="spellEnd"/>
      <w:r w:rsidRPr="00ED1A97">
        <w:t xml:space="preserve"> versus placebo in mean absolute change from baseline in the CFQ-R respiratory domain score through Week 24 for subjects aged ≥ 18 years was 12.64 points, which is more than triple the defined </w:t>
      </w:r>
      <w:r w:rsidR="007E1DFF" w:rsidRPr="007E1DFF">
        <w:t>minimal clinically important difference</w:t>
      </w:r>
      <w:r w:rsidR="007E1DFF" w:rsidRPr="00ED1A97">
        <w:t xml:space="preserve"> </w:t>
      </w:r>
      <w:r w:rsidR="007E1DFF">
        <w:t>(</w:t>
      </w:r>
      <w:r w:rsidRPr="00ED1A97">
        <w:t>MCID</w:t>
      </w:r>
      <w:r w:rsidR="007E1DFF">
        <w:t>)</w:t>
      </w:r>
      <w:r w:rsidRPr="00ED1A97">
        <w:t xml:space="preserve"> of 4 points (Table 52</w:t>
      </w:r>
      <w:r w:rsidR="00146B07">
        <w:t xml:space="preserve"> in Attachment 2</w:t>
      </w:r>
      <w:r w:rsidRPr="00ED1A97">
        <w:t>). The efficacy in subjects aged 6 to 11 years was summarised in Table 53</w:t>
      </w:r>
      <w:r w:rsidR="00146B07">
        <w:t xml:space="preserve"> in Attachment 2</w:t>
      </w:r>
      <w:r w:rsidRPr="00ED1A97">
        <w:t xml:space="preserve"> and </w:t>
      </w:r>
      <w:proofErr w:type="spellStart"/>
      <w:r w:rsidRPr="00ED1A97">
        <w:t>ivacaftor</w:t>
      </w:r>
      <w:proofErr w:type="spellEnd"/>
      <w:r w:rsidRPr="00ED1A97">
        <w:t xml:space="preserve"> failed to show evidence of efficacy for any of the primary or secondary endpoints with exception of reduction in sweat chloride levels.</w:t>
      </w:r>
    </w:p>
    <w:p w:rsidR="00ED1A97" w:rsidRPr="00ED1A97" w:rsidRDefault="00ED1A97" w:rsidP="00ED1A97">
      <w:r w:rsidRPr="00ED1A97">
        <w:t>Analysis of efficacy in subgroups based on demographics and baseline disease characteristics showed the following trends:</w:t>
      </w:r>
    </w:p>
    <w:p w:rsidR="00ED1A97" w:rsidRPr="00ED1A97" w:rsidRDefault="00ED1A97" w:rsidP="006C3669">
      <w:pPr>
        <w:pStyle w:val="ListBullet"/>
      </w:pPr>
      <w:proofErr w:type="gramStart"/>
      <w:r w:rsidRPr="00ED1A97">
        <w:t>absolute</w:t>
      </w:r>
      <w:proofErr w:type="gramEnd"/>
      <w:r w:rsidRPr="00ED1A97">
        <w:t xml:space="preserve"> and relative change in percent predicted FEV</w:t>
      </w:r>
      <w:r w:rsidRPr="00ED1A97">
        <w:rPr>
          <w:vertAlign w:val="subscript"/>
        </w:rPr>
        <w:t>1</w:t>
      </w:r>
      <w:r w:rsidRPr="00ED1A97">
        <w:t xml:space="preserve"> favoured </w:t>
      </w:r>
      <w:proofErr w:type="spellStart"/>
      <w:r w:rsidRPr="00ED1A97">
        <w:t>ivacaftor</w:t>
      </w:r>
      <w:proofErr w:type="spellEnd"/>
      <w:r w:rsidRPr="00ED1A97">
        <w:t xml:space="preserve"> treatment across subgroups, with the exception of the baseline percent predicted FEV</w:t>
      </w:r>
      <w:r w:rsidRPr="00ED1A97">
        <w:rPr>
          <w:vertAlign w:val="subscript"/>
        </w:rPr>
        <w:t>1</w:t>
      </w:r>
      <w:r w:rsidRPr="00ED1A97">
        <w:t xml:space="preserve"> &gt; 90% subgroup.</w:t>
      </w:r>
    </w:p>
    <w:p w:rsidR="00ED1A97" w:rsidRPr="00ED1A97" w:rsidRDefault="00ED1A97" w:rsidP="006C3669">
      <w:pPr>
        <w:pStyle w:val="ListBullet"/>
      </w:pPr>
      <w:proofErr w:type="gramStart"/>
      <w:r w:rsidRPr="00ED1A97">
        <w:t>sweat</w:t>
      </w:r>
      <w:proofErr w:type="gramEnd"/>
      <w:r w:rsidRPr="00ED1A97">
        <w:t xml:space="preserve"> chloride response was consistent across all subgroups</w:t>
      </w:r>
      <w:r w:rsidR="00DB6816">
        <w:t>.</w:t>
      </w:r>
    </w:p>
    <w:p w:rsidR="00ED1A97" w:rsidRPr="00ED1A97" w:rsidRDefault="00ED1A97" w:rsidP="006C3669">
      <w:pPr>
        <w:pStyle w:val="ListBullet"/>
      </w:pPr>
      <w:r w:rsidRPr="00ED1A97">
        <w:t xml:space="preserve">absolute change in the CFQ-R respiratory domain favoured </w:t>
      </w:r>
      <w:proofErr w:type="spellStart"/>
      <w:r w:rsidRPr="00ED1A97">
        <w:t>ivacaftor</w:t>
      </w:r>
      <w:proofErr w:type="spellEnd"/>
      <w:r w:rsidRPr="00ED1A97">
        <w:t xml:space="preserve"> treatment across subgroups, with the exception of the baseline percent predicted FEV</w:t>
      </w:r>
      <w:r w:rsidRPr="00ED1A97">
        <w:rPr>
          <w:vertAlign w:val="subscript"/>
        </w:rPr>
        <w:t>1</w:t>
      </w:r>
      <w:r w:rsidRPr="00ED1A97">
        <w:t xml:space="preserve"> &gt; 90% subgroup no significant BMI or BMI-for-age z-score treatments differences were found in any of the subgroups the </w:t>
      </w:r>
      <w:proofErr w:type="spellStart"/>
      <w:r w:rsidRPr="00ED1A97">
        <w:t>ivacaftor</w:t>
      </w:r>
      <w:proofErr w:type="spellEnd"/>
      <w:r w:rsidRPr="00ED1A97">
        <w:t xml:space="preserve"> treatment effect was larger for subjects with the R117H-5T variant than for subjects with the R117H-7T variant mean absolute change from </w:t>
      </w:r>
      <w:r w:rsidRPr="00ED1A97">
        <w:lastRenderedPageBreak/>
        <w:t xml:space="preserve">baseline in percent predicted FEV1 from subjects ≥ 18 years of age by R117H poly-T variant suggest evidence of a response to </w:t>
      </w:r>
      <w:proofErr w:type="spellStart"/>
      <w:r w:rsidRPr="00ED1A97">
        <w:t>ivacaftor</w:t>
      </w:r>
      <w:proofErr w:type="spellEnd"/>
      <w:r w:rsidRPr="00ED1A97">
        <w:t xml:space="preserve"> therapy in both R117H poly</w:t>
      </w:r>
      <w:r w:rsidR="00DB6816">
        <w:noBreakHyphen/>
      </w:r>
      <w:r w:rsidRPr="00ED1A97">
        <w:t xml:space="preserve">T variant subgroups. The response was larger in subjects with the R117H-5T variant than in subjects with the R117H-7T variant. No evidence of a spirometry response to </w:t>
      </w:r>
      <w:proofErr w:type="spellStart"/>
      <w:r w:rsidRPr="00ED1A97">
        <w:t>ivacaftor</w:t>
      </w:r>
      <w:proofErr w:type="spellEnd"/>
      <w:r w:rsidRPr="00ED1A97">
        <w:t xml:space="preserve"> therapy was seen in subjects 6 to 11 years of age with either of the R117H poly-T variants.</w:t>
      </w:r>
    </w:p>
    <w:p w:rsidR="00ED1A97" w:rsidRPr="00ED1A97" w:rsidRDefault="00ED1A97" w:rsidP="00ED1A97">
      <w:r w:rsidRPr="00ED1A97">
        <w:t>The results from the subgroup analyses reflected the significant differences in spirometry and CFQ-R respiratory domain scores observed in subjects aged ≥ 18 years and those aged 6 to 11 years. Overall, subgroups including a significant number of subjects 6 to 11 years of age had smaller spirometry and CFQ-R respiratory domain treatment benefits. The demographics and baseline characteristics of subjects 6 to 11 years of age showed that these patients appeared to have more favourable features and lesser underlyin</w:t>
      </w:r>
      <w:r w:rsidR="00CA7DAF">
        <w:t>g lung dysfunction as follows:</w:t>
      </w:r>
      <w:r w:rsidRPr="00ED1A97">
        <w:t xml:space="preserve"> 12 </w:t>
      </w:r>
      <w:r w:rsidR="00CA7DAF">
        <w:t xml:space="preserve">out </w:t>
      </w:r>
      <w:r w:rsidRPr="00ED1A97">
        <w:t>of 13 subjects with baseline percent predicted FEV</w:t>
      </w:r>
      <w:r w:rsidRPr="00ED1A97">
        <w:rPr>
          <w:vertAlign w:val="subscript"/>
        </w:rPr>
        <w:t>1</w:t>
      </w:r>
      <w:r w:rsidRPr="00ED1A97">
        <w:t xml:space="preserve"> &gt; 90%: were 6 to 11 years of age; 15 of 35 patients with no P aeruginosa infection status at baseline were 6 to 11 years of age and 8 of 19 patients with the less severe Poly-T variant, 7T were 6 to 11 years of age.</w:t>
      </w:r>
    </w:p>
    <w:p w:rsidR="00ED1A97" w:rsidRPr="00ED1A97" w:rsidRDefault="00ED1A97" w:rsidP="00ED1A97">
      <w:r w:rsidRPr="00ED1A97">
        <w:t>Supportive evidence for efficacy was provided by results fr</w:t>
      </w:r>
      <w:r w:rsidR="00DB6816">
        <w:t>om an interim analysis of Study </w:t>
      </w:r>
      <w:r w:rsidR="00CA7DAF">
        <w:t xml:space="preserve">112. After a 3 to 4 </w:t>
      </w:r>
      <w:r w:rsidRPr="00ED1A97">
        <w:t xml:space="preserve">week washout period at the end of Study 110, the positive treatment effect of </w:t>
      </w:r>
      <w:proofErr w:type="spellStart"/>
      <w:r w:rsidRPr="00ED1A97">
        <w:t>ivacaftor</w:t>
      </w:r>
      <w:proofErr w:type="spellEnd"/>
      <w:r w:rsidRPr="00ED1A97">
        <w:t xml:space="preserve"> in these subjects who were previously treated with </w:t>
      </w:r>
      <w:proofErr w:type="spellStart"/>
      <w:r w:rsidRPr="00ED1A97">
        <w:t>ivacaftor</w:t>
      </w:r>
      <w:proofErr w:type="spellEnd"/>
      <w:r w:rsidRPr="00ED1A97">
        <w:t xml:space="preserve"> in Study 110 was replicated in Study 112; treatment response was also observed in </w:t>
      </w:r>
      <w:proofErr w:type="spellStart"/>
      <w:r w:rsidRPr="00ED1A97">
        <w:t>ivacaftor</w:t>
      </w:r>
      <w:proofErr w:type="spellEnd"/>
      <w:r w:rsidRPr="00ED1A97">
        <w:t>-naïve subjects in Study 112 (that is, subjects who were treated with placebo in Study 110). However, the interim analysis was conducted after only 12 weeks of treatment, while the study duration is 104 weeks.</w:t>
      </w:r>
    </w:p>
    <w:p w:rsidR="00ED1A97" w:rsidRDefault="00ED1A97" w:rsidP="00ED1A97">
      <w:r w:rsidRPr="00ED1A97">
        <w:t xml:space="preserve">Overall, there was adequate evidence to support use of </w:t>
      </w:r>
      <w:proofErr w:type="spellStart"/>
      <w:r w:rsidRPr="00ED1A97">
        <w:t>ivacaftor</w:t>
      </w:r>
      <w:proofErr w:type="spellEnd"/>
      <w:r w:rsidRPr="00ED1A97">
        <w:t xml:space="preserve"> for treatment of CF patients aged &gt; 6 years with a R117H gene defect, especially in patients aged &gt; 18 years with significant underlying lung disease. In patients aged 6 to 11 years, </w:t>
      </w:r>
      <w:proofErr w:type="spellStart"/>
      <w:r w:rsidRPr="00ED1A97">
        <w:t>ivacaftor</w:t>
      </w:r>
      <w:proofErr w:type="spellEnd"/>
      <w:r w:rsidRPr="00ED1A97">
        <w:t xml:space="preserve"> did not show any improvement in any of the lung function or other efficacy endpoints (with exception of improved sweat chloride levels); interpretation may have been confounded by fact that the younger patients did not have significant underlying lung disease or other symptoms as CF with R117H is a progressive disease with more symptoms as patients age.</w:t>
      </w:r>
    </w:p>
    <w:p w:rsidR="008E7846" w:rsidRPr="002E238E" w:rsidRDefault="008E7846" w:rsidP="008E7846">
      <w:pPr>
        <w:pStyle w:val="Heading3"/>
      </w:pPr>
      <w:bookmarkStart w:id="75" w:name="_Toc163441378"/>
      <w:bookmarkStart w:id="76" w:name="_Toc196046495"/>
      <w:bookmarkStart w:id="77" w:name="_Toc247691522"/>
      <w:bookmarkStart w:id="78" w:name="_Toc314842505"/>
      <w:bookmarkStart w:id="79" w:name="_Toc472521789"/>
      <w:r w:rsidRPr="002E238E">
        <w:t>Safety</w:t>
      </w:r>
      <w:bookmarkEnd w:id="75"/>
      <w:bookmarkEnd w:id="76"/>
      <w:bookmarkEnd w:id="77"/>
      <w:bookmarkEnd w:id="78"/>
      <w:bookmarkEnd w:id="79"/>
    </w:p>
    <w:p w:rsidR="00605AD4" w:rsidRDefault="00605AD4" w:rsidP="00605AD4">
      <w:pPr>
        <w:pStyle w:val="Heading4"/>
      </w:pPr>
      <w:bookmarkStart w:id="80" w:name="_Toc163441390"/>
      <w:bookmarkStart w:id="81" w:name="_Toc247691524"/>
      <w:bookmarkStart w:id="82" w:name="_Toc314842508"/>
      <w:bookmarkStart w:id="83" w:name="_Toc196046504"/>
      <w:r w:rsidRPr="00605AD4">
        <w:t>Studies providing safety data</w:t>
      </w:r>
    </w:p>
    <w:p w:rsidR="00734925" w:rsidRPr="005B2520" w:rsidRDefault="00734925" w:rsidP="00734925">
      <w:r w:rsidRPr="005B2520">
        <w:t>The following studies provided evaluable safety data:</w:t>
      </w:r>
    </w:p>
    <w:p w:rsidR="00734925" w:rsidRPr="005B2520" w:rsidRDefault="00734925" w:rsidP="00734925">
      <w:pPr>
        <w:pStyle w:val="ListBullet"/>
        <w:numPr>
          <w:ilvl w:val="0"/>
          <w:numId w:val="3"/>
        </w:numPr>
      </w:pPr>
      <w:r w:rsidRPr="005B2520">
        <w:t>One completed placebo-con</w:t>
      </w:r>
      <w:r>
        <w:t>trol</w:t>
      </w:r>
      <w:r w:rsidR="008C0B1E">
        <w:t>led, parallel-group, Phase III S</w:t>
      </w:r>
      <w:r>
        <w:t>tudy 110</w:t>
      </w:r>
    </w:p>
    <w:p w:rsidR="00734925" w:rsidRDefault="00734925" w:rsidP="00734925">
      <w:pPr>
        <w:pStyle w:val="ListBullet"/>
        <w:numPr>
          <w:ilvl w:val="0"/>
          <w:numId w:val="3"/>
        </w:numPr>
      </w:pPr>
      <w:r w:rsidRPr="005B2520">
        <w:t xml:space="preserve">Interim </w:t>
      </w:r>
      <w:r>
        <w:t>analysis from an ongoing Phase III, multicentre, 2-arm, open-</w:t>
      </w:r>
      <w:r w:rsidRPr="005B2520">
        <w:t>label study (112) in subjects with CF who participated in Studies 110, 111, or 113. The duration of Study 112 is approximately 104 weeks. Interim results (12 weeks tr</w:t>
      </w:r>
      <w:r>
        <w:t>eatment) were provided till cut-</w:t>
      </w:r>
      <w:r w:rsidRPr="005B2520">
        <w:t>off at 07 April 2014.</w:t>
      </w:r>
    </w:p>
    <w:p w:rsidR="00605AD4" w:rsidRDefault="00605AD4" w:rsidP="00605AD4">
      <w:pPr>
        <w:pStyle w:val="Heading4"/>
      </w:pPr>
      <w:r w:rsidRPr="00605AD4">
        <w:t>Patient exposure</w:t>
      </w:r>
    </w:p>
    <w:p w:rsidR="00522F37" w:rsidRPr="00522F37" w:rsidRDefault="00522F37" w:rsidP="00522F37">
      <w:r w:rsidRPr="00522F37">
        <w:t>This submission includes safety data from 69 subjects with CF who received at least 1 dose o</w:t>
      </w:r>
      <w:r w:rsidR="008C0B1E">
        <w:t>f study drug in S</w:t>
      </w:r>
      <w:r w:rsidRPr="00522F37">
        <w:t xml:space="preserve">tudy 110: 34 subjects received </w:t>
      </w:r>
      <w:proofErr w:type="spellStart"/>
      <w:r w:rsidRPr="00522F37">
        <w:t>ivacaftor</w:t>
      </w:r>
      <w:proofErr w:type="spellEnd"/>
      <w:r w:rsidRPr="00522F37">
        <w:t xml:space="preserve">, and 35 subjects received placebo. As of 07 April 2014, all 35 subjects who received placebo in Study 110 enrolled in the ongoing extension study (Study 112) and received at least 1 dose of </w:t>
      </w:r>
      <w:proofErr w:type="spellStart"/>
      <w:r w:rsidRPr="00522F37">
        <w:t>ivacaftor</w:t>
      </w:r>
      <w:proofErr w:type="spellEnd"/>
      <w:r w:rsidRPr="00522F37">
        <w:t>.</w:t>
      </w:r>
    </w:p>
    <w:p w:rsidR="00522F37" w:rsidRPr="00522F37" w:rsidRDefault="008C0B1E" w:rsidP="00522F37">
      <w:r>
        <w:t>In the S</w:t>
      </w:r>
      <w:r w:rsidR="00522F37" w:rsidRPr="00522F37">
        <w:t xml:space="preserve">tudy 110, the mean (SD) treatment duration was similar for placebo (155.8 [40.00] days) and </w:t>
      </w:r>
      <w:proofErr w:type="spellStart"/>
      <w:r w:rsidR="00522F37" w:rsidRPr="00522F37">
        <w:t>ivacaftor</w:t>
      </w:r>
      <w:proofErr w:type="spellEnd"/>
      <w:r w:rsidR="00522F37" w:rsidRPr="00522F37">
        <w:t xml:space="preserve"> (151.1 [46.18] days). The maximum study drug exposure was 193 days for placebo and 192 days for </w:t>
      </w:r>
      <w:proofErr w:type="spellStart"/>
      <w:r w:rsidR="00522F37" w:rsidRPr="00522F37">
        <w:t>ivacaftor</w:t>
      </w:r>
      <w:proofErr w:type="spellEnd"/>
      <w:r w:rsidR="00522F37" w:rsidRPr="00522F37">
        <w:t xml:space="preserve">. Most subjects received at least 24 weeks of </w:t>
      </w:r>
      <w:r w:rsidR="00522F37" w:rsidRPr="00522F37">
        <w:lastRenderedPageBreak/>
        <w:t xml:space="preserve">treatment; all but 3 subjects received at least 4 weeks of treatment. A total of 67 subjects (32 in the </w:t>
      </w:r>
      <w:proofErr w:type="spellStart"/>
      <w:r w:rsidR="00522F37" w:rsidRPr="00522F37">
        <w:t>ivacaftor</w:t>
      </w:r>
      <w:proofErr w:type="spellEnd"/>
      <w:r w:rsidR="00522F37" w:rsidRPr="00522F37">
        <w:t xml:space="preserve"> group and 35 in the placebo group) completed their full assigned duration of dosing (Table</w:t>
      </w:r>
      <w:r>
        <w:t xml:space="preserve">s 54 to </w:t>
      </w:r>
      <w:r w:rsidR="00522F37" w:rsidRPr="00522F37">
        <w:t>55</w:t>
      </w:r>
      <w:r w:rsidR="00DB6816">
        <w:t xml:space="preserve"> in Attachment 2</w:t>
      </w:r>
      <w:r w:rsidR="00522F37" w:rsidRPr="00522F37">
        <w:t xml:space="preserve">). Two subjects in the </w:t>
      </w:r>
      <w:proofErr w:type="spellStart"/>
      <w:r w:rsidR="00522F37" w:rsidRPr="00522F37">
        <w:t>ivacaftor</w:t>
      </w:r>
      <w:proofErr w:type="spellEnd"/>
      <w:r w:rsidR="00522F37" w:rsidRPr="00522F37">
        <w:t xml:space="preserve"> group discontinued treatment prematurely: 1 because of noncompliance with the ophthalmologic examination, and 1 because of pregnancy. Of the 67 subjects who completed the assigned duration of dosing, 59 subjects (28 in the </w:t>
      </w:r>
      <w:proofErr w:type="spellStart"/>
      <w:r w:rsidR="00522F37" w:rsidRPr="00522F37">
        <w:t>ivacaftor</w:t>
      </w:r>
      <w:proofErr w:type="spellEnd"/>
      <w:r w:rsidR="00522F37" w:rsidRPr="00522F37">
        <w:t xml:space="preserve"> group and 31 subjects in the place</w:t>
      </w:r>
      <w:r>
        <w:t xml:space="preserve">bo group) completed the full 24 </w:t>
      </w:r>
      <w:proofErr w:type="gramStart"/>
      <w:r w:rsidR="00522F37" w:rsidRPr="00522F37">
        <w:t>week</w:t>
      </w:r>
      <w:proofErr w:type="gramEnd"/>
      <w:r w:rsidR="00522F37" w:rsidRPr="00522F37">
        <w:t xml:space="preserve"> Treatment Period. The remaining 8 subjects had not completed 24 weeks of treatment at the time the sponsor stopped the study; however, these subjects were considered to have completed their assigned treatment duration and were eligible to enrol in Study 112.</w:t>
      </w:r>
    </w:p>
    <w:p w:rsidR="00522F37" w:rsidRPr="00522F37" w:rsidRDefault="00522F37" w:rsidP="00522F37">
      <w:r w:rsidRPr="00522F37">
        <w:t xml:space="preserve">A total of 65 subjects from Study 110 (35 subjects from the placebo arm and 30 subjects from the </w:t>
      </w:r>
      <w:proofErr w:type="spellStart"/>
      <w:r w:rsidRPr="00522F37">
        <w:t>ivacaftor</w:t>
      </w:r>
      <w:proofErr w:type="spellEnd"/>
      <w:r w:rsidRPr="00522F37">
        <w:t xml:space="preserve"> arm) enrolled in Study 112 and all 65 subjects enrolled in the </w:t>
      </w:r>
      <w:proofErr w:type="spellStart"/>
      <w:r w:rsidRPr="00522F37">
        <w:t>ivacaftor</w:t>
      </w:r>
      <w:proofErr w:type="spellEnd"/>
      <w:r w:rsidRPr="00522F37">
        <w:t xml:space="preserve"> arm.</w:t>
      </w:r>
    </w:p>
    <w:p w:rsidR="00605AD4" w:rsidRDefault="00605AD4" w:rsidP="00605AD4">
      <w:pPr>
        <w:pStyle w:val="Heading4"/>
      </w:pPr>
      <w:r w:rsidRPr="00605AD4">
        <w:t>Safety issues with the potential for major regulatory impact</w:t>
      </w:r>
    </w:p>
    <w:p w:rsidR="00522F37" w:rsidRPr="00522F37" w:rsidRDefault="00522F37" w:rsidP="00522F37">
      <w:pPr>
        <w:pStyle w:val="Heading5"/>
        <w:rPr>
          <w:rFonts w:eastAsia="MS Mincho"/>
        </w:rPr>
      </w:pPr>
      <w:r w:rsidRPr="00522F37">
        <w:rPr>
          <w:rFonts w:eastAsia="MS Mincho"/>
        </w:rPr>
        <w:t>Liver toxicity</w:t>
      </w:r>
    </w:p>
    <w:p w:rsidR="00522F37" w:rsidRPr="00BE0F35" w:rsidRDefault="008C0B1E" w:rsidP="00522F37">
      <w:r>
        <w:t>In the pivotal S</w:t>
      </w:r>
      <w:r w:rsidR="00522F37" w:rsidRPr="00BE0F35">
        <w:t xml:space="preserve">tudy 110, </w:t>
      </w:r>
      <w:r>
        <w:t>adverse events (</w:t>
      </w:r>
      <w:r w:rsidR="00522F37" w:rsidRPr="00BE0F35">
        <w:t>AEs</w:t>
      </w:r>
      <w:r>
        <w:t>)</w:t>
      </w:r>
      <w:r w:rsidR="00522F37" w:rsidRPr="00BE0F35">
        <w:t xml:space="preserve"> associated with abnormal liver function tests (LFTs) occurred in 3 (8.6%) subjects in the placebo group and 1 (2.9%) subject in the </w:t>
      </w:r>
      <w:proofErr w:type="spellStart"/>
      <w:r w:rsidR="00522F37" w:rsidRPr="00BE0F35">
        <w:t>ivacaftor</w:t>
      </w:r>
      <w:proofErr w:type="spellEnd"/>
      <w:r w:rsidR="00522F37" w:rsidRPr="00BE0F35">
        <w:t xml:space="preserve"> group. At the majority of visits through Week 24, mean absolute changes from baseline in all LFT parameters (</w:t>
      </w:r>
      <w:r w:rsidRPr="008C0B1E">
        <w:t>alanine aminotransferase</w:t>
      </w:r>
      <w:r w:rsidRPr="00BE0F35">
        <w:t xml:space="preserve"> </w:t>
      </w:r>
      <w:r w:rsidR="0064049F">
        <w:t>[</w:t>
      </w:r>
      <w:r>
        <w:t>ALT</w:t>
      </w:r>
      <w:r w:rsidR="0064049F">
        <w:t>]</w:t>
      </w:r>
      <w:r w:rsidRPr="0064049F">
        <w:t xml:space="preserve">, aspartate aminotransferase </w:t>
      </w:r>
      <w:r w:rsidR="0064049F">
        <w:t>[</w:t>
      </w:r>
      <w:r w:rsidRPr="0064049F">
        <w:t>A</w:t>
      </w:r>
      <w:r>
        <w:t>S</w:t>
      </w:r>
      <w:r w:rsidR="00522F37" w:rsidRPr="00BE0F35">
        <w:t>T</w:t>
      </w:r>
      <w:r w:rsidR="0064049F">
        <w:t>]</w:t>
      </w:r>
      <w:r w:rsidR="00522F37" w:rsidRPr="00BE0F35">
        <w:t xml:space="preserve">, total bilirubin and </w:t>
      </w:r>
      <w:r w:rsidR="0064049F" w:rsidRPr="0064049F">
        <w:t xml:space="preserve">gamma </w:t>
      </w:r>
      <w:proofErr w:type="spellStart"/>
      <w:r w:rsidR="0064049F" w:rsidRPr="0064049F">
        <w:t>glutamyl</w:t>
      </w:r>
      <w:proofErr w:type="spellEnd"/>
      <w:r w:rsidR="0064049F" w:rsidRPr="0064049F">
        <w:t xml:space="preserve"> </w:t>
      </w:r>
      <w:proofErr w:type="spellStart"/>
      <w:r w:rsidR="0064049F" w:rsidRPr="0064049F">
        <w:t>transpeptidase</w:t>
      </w:r>
      <w:proofErr w:type="spellEnd"/>
      <w:r w:rsidR="0064049F" w:rsidRPr="0064049F">
        <w:t xml:space="preserve"> </w:t>
      </w:r>
      <w:r w:rsidR="0064049F">
        <w:t>[</w:t>
      </w:r>
      <w:r w:rsidR="00522F37" w:rsidRPr="0064049F">
        <w:t>GGT</w:t>
      </w:r>
      <w:r w:rsidR="0064049F">
        <w:t>]</w:t>
      </w:r>
      <w:r w:rsidR="00522F37" w:rsidRPr="00BE0F35">
        <w:t xml:space="preserve">) were minimal and were generally comparable between the </w:t>
      </w:r>
      <w:proofErr w:type="spellStart"/>
      <w:r w:rsidR="00522F37" w:rsidRPr="00BE0F35">
        <w:t>ivacaftor</w:t>
      </w:r>
      <w:proofErr w:type="spellEnd"/>
      <w:r w:rsidR="00522F37" w:rsidRPr="00BE0F35">
        <w:t xml:space="preserve"> and placebo groups. No subjects in either </w:t>
      </w:r>
      <w:proofErr w:type="spellStart"/>
      <w:r w:rsidR="00522F37" w:rsidRPr="00BE0F35">
        <w:t>ivacaftor</w:t>
      </w:r>
      <w:proofErr w:type="spellEnd"/>
      <w:r w:rsidR="00522F37" w:rsidRPr="00BE0F35">
        <w:t xml:space="preserve"> or placebo group had a maximum ALT or AST value that was &gt;</w:t>
      </w:r>
      <w:r w:rsidR="00522F37">
        <w:t xml:space="preserve"> </w:t>
      </w:r>
      <w:r w:rsidR="0064049F">
        <w:t>5 x</w:t>
      </w:r>
      <w:r w:rsidR="00522F37" w:rsidRPr="00BE0F35">
        <w:t xml:space="preserve"> </w:t>
      </w:r>
      <w:r w:rsidR="0064049F">
        <w:t>upper level of normal (</w:t>
      </w:r>
      <w:r w:rsidR="00522F37" w:rsidRPr="00BE0F35">
        <w:t>ULN</w:t>
      </w:r>
      <w:r w:rsidR="0064049F">
        <w:t>)</w:t>
      </w:r>
      <w:r w:rsidR="00522F37" w:rsidRPr="00BE0F35">
        <w:t xml:space="preserve"> or a maximum total bilirubin value that was &gt;</w:t>
      </w:r>
      <w:r w:rsidR="00522F37">
        <w:t xml:space="preserve"> </w:t>
      </w:r>
      <w:r w:rsidR="0064049F">
        <w:t>2 x</w:t>
      </w:r>
      <w:r w:rsidR="00522F37" w:rsidRPr="00BE0F35">
        <w:t xml:space="preserve"> ULN.</w:t>
      </w:r>
    </w:p>
    <w:p w:rsidR="00605AD4" w:rsidRDefault="00605AD4" w:rsidP="00605AD4">
      <w:pPr>
        <w:pStyle w:val="Heading4"/>
      </w:pPr>
      <w:r w:rsidRPr="00605AD4">
        <w:t>Postmarketing data</w:t>
      </w:r>
    </w:p>
    <w:p w:rsidR="00522F37" w:rsidRPr="00A666A7" w:rsidRDefault="00522F37" w:rsidP="00522F37">
      <w:pPr>
        <w:autoSpaceDE w:val="0"/>
        <w:autoSpaceDN w:val="0"/>
        <w:adjustRightInd w:val="0"/>
        <w:spacing w:before="0" w:after="0" w:line="240" w:lineRule="auto"/>
        <w:rPr>
          <w:rFonts w:eastAsiaTheme="minorHAnsi" w:cs="Cambria"/>
          <w:color w:val="000000"/>
        </w:rPr>
      </w:pPr>
      <w:r w:rsidRPr="00A666A7">
        <w:t>A cumulative and interval summary tabulation of serious and non</w:t>
      </w:r>
      <w:r>
        <w:t>-</w:t>
      </w:r>
      <w:r w:rsidRPr="00A666A7">
        <w:t>serious adverse reactions was provided</w:t>
      </w:r>
      <w:r w:rsidR="000E72C5">
        <w:t xml:space="preserve"> by the sponsor</w:t>
      </w:r>
      <w:r w:rsidRPr="00A666A7">
        <w:t>. A total of 1954 su</w:t>
      </w:r>
      <w:r w:rsidR="006045E4">
        <w:t xml:space="preserve">bjects (747970 person-days) </w:t>
      </w:r>
      <w:r w:rsidRPr="00A666A7">
        <w:t xml:space="preserve">received at least 1 dose of </w:t>
      </w:r>
      <w:proofErr w:type="spellStart"/>
      <w:r w:rsidRPr="00A666A7">
        <w:t>ivacaftor</w:t>
      </w:r>
      <w:proofErr w:type="spellEnd"/>
      <w:r w:rsidRPr="00A666A7">
        <w:t xml:space="preserve"> during the time period from t</w:t>
      </w:r>
      <w:r w:rsidR="000E72C5">
        <w:t>he International B</w:t>
      </w:r>
      <w:r>
        <w:t xml:space="preserve">irth Date of </w:t>
      </w:r>
      <w:proofErr w:type="spellStart"/>
      <w:r>
        <w:t>i</w:t>
      </w:r>
      <w:r w:rsidRPr="00A666A7">
        <w:t>vacaftor</w:t>
      </w:r>
      <w:proofErr w:type="spellEnd"/>
      <w:r w:rsidRPr="00A666A7">
        <w:t xml:space="preserve"> (31 January 2012) to 23 January 2014. The post-marketing data are consistent with those from clinical studies and the established safety profile of </w:t>
      </w:r>
      <w:proofErr w:type="spellStart"/>
      <w:r w:rsidRPr="00A666A7">
        <w:t>ivacaftor</w:t>
      </w:r>
      <w:proofErr w:type="spellEnd"/>
      <w:r w:rsidRPr="00A666A7">
        <w:t xml:space="preserve"> and no new safety concerns</w:t>
      </w:r>
      <w:r>
        <w:rPr>
          <w:rFonts w:eastAsiaTheme="minorHAnsi" w:cs="Cambria"/>
          <w:color w:val="000000"/>
        </w:rPr>
        <w:t xml:space="preserve"> identified.</w:t>
      </w:r>
    </w:p>
    <w:p w:rsidR="00605AD4" w:rsidRPr="00605AD4" w:rsidRDefault="00605AD4" w:rsidP="00605AD4">
      <w:pPr>
        <w:pStyle w:val="Heading4"/>
      </w:pPr>
      <w:r w:rsidRPr="00605AD4">
        <w:t>Evaluator’s conclusions on safety</w:t>
      </w:r>
    </w:p>
    <w:p w:rsidR="00B97314" w:rsidRPr="00F239E9" w:rsidRDefault="00B97314" w:rsidP="00B97314">
      <w:proofErr w:type="spellStart"/>
      <w:r w:rsidRPr="00F239E9">
        <w:t>Ivacaftor</w:t>
      </w:r>
      <w:proofErr w:type="spellEnd"/>
      <w:r w:rsidRPr="00F239E9">
        <w:t xml:space="preserve"> was well tolerated when administered at 150 mg q12h for 24 weeks to 69 subjects in the target patient population of subjects with the R117H-CFTR mutation. The overall incidence of AEs was 94.1% in the </w:t>
      </w:r>
      <w:proofErr w:type="spellStart"/>
      <w:r w:rsidRPr="00F239E9">
        <w:t>ivacaftor</w:t>
      </w:r>
      <w:proofErr w:type="spellEnd"/>
      <w:r w:rsidRPr="00F239E9">
        <w:t xml:space="preserve"> group and 100% in the placebo group. The most commonly occurring AEs were consistent with those expected for patients with CF including infective pulmonary exacerbation of CF (</w:t>
      </w:r>
      <w:proofErr w:type="spellStart"/>
      <w:r w:rsidRPr="00F239E9">
        <w:t>ivaca</w:t>
      </w:r>
      <w:r>
        <w:t>ftor</w:t>
      </w:r>
      <w:proofErr w:type="spellEnd"/>
      <w:r>
        <w:t xml:space="preserve"> versus placebo 38.2% versus 40.0%) and cough (29.4% versus</w:t>
      </w:r>
      <w:r w:rsidRPr="00F239E9">
        <w:t xml:space="preserve"> 25.7%).</w:t>
      </w:r>
    </w:p>
    <w:p w:rsidR="00B97314" w:rsidRDefault="00B97314" w:rsidP="00B97314">
      <w:r w:rsidRPr="00F239E9">
        <w:t xml:space="preserve">The number of subjects evaluated for safety of </w:t>
      </w:r>
      <w:proofErr w:type="spellStart"/>
      <w:r w:rsidRPr="00F239E9">
        <w:t>ivacaftor</w:t>
      </w:r>
      <w:proofErr w:type="spellEnd"/>
      <w:r w:rsidRPr="00F239E9">
        <w:t xml:space="preserve"> for the proposed indication was adequate considering the low prevalenc</w:t>
      </w:r>
      <w:r w:rsidR="00627639">
        <w:t xml:space="preserve">e of this specific form of CF (about </w:t>
      </w:r>
      <w:r w:rsidRPr="00F239E9">
        <w:t xml:space="preserve">90 CF patients with R117H mutation in Australia); however, the duration of exposure was not adequate (only 24 weeks) and only limited interim results (up to 12 more weeks) was available to evaluate long term safety of </w:t>
      </w:r>
      <w:proofErr w:type="spellStart"/>
      <w:r w:rsidRPr="00F239E9">
        <w:t>ivacaftor</w:t>
      </w:r>
      <w:proofErr w:type="spellEnd"/>
      <w:r w:rsidRPr="00F239E9">
        <w:t xml:space="preserve"> for propose</w:t>
      </w:r>
      <w:r>
        <w:t xml:space="preserve">d indication. However, the open </w:t>
      </w:r>
      <w:r w:rsidR="00E064E2">
        <w:t>label S</w:t>
      </w:r>
      <w:r w:rsidRPr="00F239E9">
        <w:t>tudy 112 is still ongoing with expected duration of up to 104 weeks and should provide additional data on long term safety which should be submitted by the sponsors when available.</w:t>
      </w:r>
    </w:p>
    <w:p w:rsidR="00B97314" w:rsidRPr="00F239E9" w:rsidRDefault="00B97314" w:rsidP="00B97314">
      <w:r w:rsidRPr="00F239E9">
        <w:t xml:space="preserve">The favourable safety profile of </w:t>
      </w:r>
      <w:proofErr w:type="spellStart"/>
      <w:r w:rsidRPr="00F239E9">
        <w:t>ivacaftor</w:t>
      </w:r>
      <w:proofErr w:type="spellEnd"/>
      <w:r w:rsidRPr="00F239E9">
        <w:t xml:space="preserve"> was evident by the lower incidence of AEs, severe AEs and SAEs in the </w:t>
      </w:r>
      <w:proofErr w:type="spellStart"/>
      <w:r w:rsidRPr="00F239E9">
        <w:t>ivacaftor</w:t>
      </w:r>
      <w:proofErr w:type="spellEnd"/>
      <w:r w:rsidRPr="00F239E9">
        <w:t xml:space="preserve"> group as compared to the placebo group and was also </w:t>
      </w:r>
      <w:r w:rsidRPr="00F239E9">
        <w:lastRenderedPageBreak/>
        <w:t xml:space="preserve">supported by the fact that there were no deaths and no subjects discontinued study drug or withdrew from the study for a safety-related reason. Most AEs were of mild or moderate severity in both treatment groups and were considered by the investigator to be unlikely related or not related to the study drug. The incidence of </w:t>
      </w:r>
      <w:r w:rsidR="00E064E2">
        <w:t>serious AEs (</w:t>
      </w:r>
      <w:r w:rsidRPr="00F239E9">
        <w:t>SAEs</w:t>
      </w:r>
      <w:r w:rsidR="00E064E2">
        <w:t>)</w:t>
      </w:r>
      <w:r w:rsidRPr="00F239E9">
        <w:t xml:space="preserve"> was lower in the </w:t>
      </w:r>
      <w:proofErr w:type="spellStart"/>
      <w:r w:rsidRPr="00F239E9">
        <w:t>ivacaftor</w:t>
      </w:r>
      <w:proofErr w:type="spellEnd"/>
      <w:r w:rsidRPr="00F239E9">
        <w:t xml:space="preserve"> group (11.8%) than in the placebo group (17.1%). The most common SAE in both treatment groups was infective pulmonary exacerbation of CF (8.8% [3 subjects] in the </w:t>
      </w:r>
      <w:proofErr w:type="spellStart"/>
      <w:r w:rsidRPr="00F239E9">
        <w:t>ivacaftor</w:t>
      </w:r>
      <w:proofErr w:type="spellEnd"/>
      <w:r w:rsidRPr="00F239E9">
        <w:t xml:space="preserve"> group and 17.1% [6 subjects] in the placebo group). All SAEs of infective pulmonary exacerbation of CF resolved without study drug discontinuation and none were considered to be related to the study drug.</w:t>
      </w:r>
    </w:p>
    <w:p w:rsidR="00B97314" w:rsidRPr="00F239E9" w:rsidRDefault="00E064E2" w:rsidP="00B97314">
      <w:r>
        <w:t>In S</w:t>
      </w:r>
      <w:r w:rsidR="00B97314" w:rsidRPr="00F239E9">
        <w:t>tudy 110, subgroup analyses did not suggest any notable treatment-related differences in safety based on age, sex, baseline FEV</w:t>
      </w:r>
      <w:r w:rsidR="00B97314" w:rsidRPr="00F239E9">
        <w:rPr>
          <w:vertAlign w:val="subscript"/>
        </w:rPr>
        <w:t>1</w:t>
      </w:r>
      <w:r w:rsidR="00B97314" w:rsidRPr="00F239E9">
        <w:t xml:space="preserve"> </w:t>
      </w:r>
      <w:r w:rsidR="00B97314">
        <w:t>severity, or geographic region.</w:t>
      </w:r>
    </w:p>
    <w:p w:rsidR="00B97314" w:rsidRPr="00F239E9" w:rsidRDefault="00B97314" w:rsidP="00B97314">
      <w:r w:rsidRPr="00F239E9">
        <w:t>The safety profile of the ≥</w:t>
      </w:r>
      <w:r>
        <w:t xml:space="preserve"> </w:t>
      </w:r>
      <w:r w:rsidRPr="00F239E9">
        <w:t xml:space="preserve">18 years subgroup was consistent with expectations for patients with CF and with the safety profile established in previous clinical studies. Similar to the overall population, the incidence of AEs and SAEs was lower in the </w:t>
      </w:r>
      <w:proofErr w:type="spellStart"/>
      <w:r w:rsidRPr="00F239E9">
        <w:t>ivacaftor</w:t>
      </w:r>
      <w:proofErr w:type="spellEnd"/>
      <w:r w:rsidRPr="00F239E9">
        <w:t xml:space="preserve"> group than in the placebo group. In the </w:t>
      </w:r>
      <w:r w:rsidR="00D962DD">
        <w:t>≥</w:t>
      </w:r>
      <w:r>
        <w:t xml:space="preserve"> </w:t>
      </w:r>
      <w:r w:rsidRPr="00F239E9">
        <w:t xml:space="preserve">18 years subgroup the most common AEs in the </w:t>
      </w:r>
      <w:proofErr w:type="spellStart"/>
      <w:r w:rsidRPr="00F239E9">
        <w:t>ivacaftor</w:t>
      </w:r>
      <w:proofErr w:type="spellEnd"/>
      <w:r w:rsidRPr="00F239E9">
        <w:t xml:space="preserve"> group were infective pulmonar</w:t>
      </w:r>
      <w:r>
        <w:t>y exacerbation of CF and cough.</w:t>
      </w:r>
    </w:p>
    <w:p w:rsidR="00B97314" w:rsidRPr="00F239E9" w:rsidRDefault="00B97314" w:rsidP="00B97314">
      <w:r w:rsidRPr="00F239E9">
        <w:t xml:space="preserve">The safety profile of the 6 to 11 years subgroup was also consistent with the safety profile established in previous clinical studies. All subjects in the 6 to 11 years subgroup had at least 1 AE; none of the AEs occurred in more than 2 subjects in either the </w:t>
      </w:r>
      <w:proofErr w:type="spellStart"/>
      <w:r w:rsidRPr="00F239E9">
        <w:t>ivacaftor</w:t>
      </w:r>
      <w:proofErr w:type="spellEnd"/>
      <w:r w:rsidRPr="00F239E9">
        <w:t xml:space="preserve"> or placebo treatment group. The incidence of infective pulmonary exacerbation of CF and cough was lower in the 6 to 11 years subgroup than in the ≥</w:t>
      </w:r>
      <w:r>
        <w:t xml:space="preserve"> </w:t>
      </w:r>
      <w:r w:rsidRPr="00F239E9">
        <w:t xml:space="preserve">18 years subgroup, which is not unexpected given the greater baseline disease severity for subjects </w:t>
      </w:r>
      <w:r w:rsidR="00E064E2">
        <w:t xml:space="preserve">that are </w:t>
      </w:r>
      <w:r w:rsidRPr="00F239E9">
        <w:t>≥</w:t>
      </w:r>
      <w:r>
        <w:t xml:space="preserve"> </w:t>
      </w:r>
      <w:r w:rsidRPr="00F239E9">
        <w:t>18 years.</w:t>
      </w:r>
    </w:p>
    <w:p w:rsidR="00B97314" w:rsidRPr="005E2A3D" w:rsidRDefault="00B97314" w:rsidP="00B97314">
      <w:r w:rsidRPr="005E2A3D">
        <w:t>As expected, the incidence of infective pulmonary exacerbation of CF and cough was higher in the FEV</w:t>
      </w:r>
      <w:r w:rsidRPr="005E2A3D">
        <w:rPr>
          <w:vertAlign w:val="subscript"/>
        </w:rPr>
        <w:t>1</w:t>
      </w:r>
      <w:r w:rsidRPr="005E2A3D">
        <w:t xml:space="preserve"> &lt;</w:t>
      </w:r>
      <w:r>
        <w:t xml:space="preserve"> </w:t>
      </w:r>
      <w:r w:rsidRPr="005E2A3D">
        <w:t>70% predicted subgroup than in the FEV</w:t>
      </w:r>
      <w:r w:rsidRPr="005E2A3D">
        <w:rPr>
          <w:vertAlign w:val="subscript"/>
        </w:rPr>
        <w:t>1</w:t>
      </w:r>
      <w:r w:rsidRPr="005E2A3D">
        <w:t xml:space="preserve"> ≥</w:t>
      </w:r>
      <w:r>
        <w:t xml:space="preserve"> </w:t>
      </w:r>
      <w:r w:rsidRPr="005E2A3D">
        <w:t>70% to ≤</w:t>
      </w:r>
      <w:r>
        <w:t xml:space="preserve"> </w:t>
      </w:r>
      <w:r w:rsidRPr="005E2A3D">
        <w:t>90% predicted subgroup and the FEV</w:t>
      </w:r>
      <w:r w:rsidRPr="005E2A3D">
        <w:rPr>
          <w:vertAlign w:val="subscript"/>
        </w:rPr>
        <w:t>1</w:t>
      </w:r>
      <w:r w:rsidRPr="005E2A3D">
        <w:t xml:space="preserve"> &gt;</w:t>
      </w:r>
      <w:r>
        <w:t xml:space="preserve"> </w:t>
      </w:r>
      <w:r w:rsidRPr="005E2A3D">
        <w:t>90% predicted subgroup. The incidence of haemoptysis was higher among subjects treated with placebo in the FEV</w:t>
      </w:r>
      <w:r w:rsidRPr="005E2A3D">
        <w:rPr>
          <w:vertAlign w:val="subscript"/>
        </w:rPr>
        <w:t>1</w:t>
      </w:r>
      <w:r w:rsidRPr="005E2A3D">
        <w:t xml:space="preserve"> &lt;</w:t>
      </w:r>
      <w:r>
        <w:t xml:space="preserve"> </w:t>
      </w:r>
      <w:r w:rsidRPr="005E2A3D">
        <w:t>70% predicted subgroup than in the ≥</w:t>
      </w:r>
      <w:r>
        <w:t xml:space="preserve"> </w:t>
      </w:r>
      <w:r w:rsidRPr="005E2A3D">
        <w:t>70 subgroup and an interpretation of these differences in AEs were confounded b</w:t>
      </w:r>
      <w:r>
        <w:t>y the small number of subjects.</w:t>
      </w:r>
    </w:p>
    <w:p w:rsidR="00B97314" w:rsidRPr="005E2A3D" w:rsidRDefault="00B97314" w:rsidP="00B97314">
      <w:r w:rsidRPr="005E2A3D">
        <w:t>The incidence of LFT elevations was low and similar in both treatment groups. The majority of subjects had maximum on-treatment ALT and AST results &gt;</w:t>
      </w:r>
      <w:r>
        <w:t xml:space="preserve"> </w:t>
      </w:r>
      <w:r w:rsidR="00E064E2">
        <w:t>2 x</w:t>
      </w:r>
      <w:r w:rsidRPr="005E2A3D">
        <w:t xml:space="preserve"> ULN. There were no total bilirubin values &gt;</w:t>
      </w:r>
      <w:r>
        <w:t xml:space="preserve"> </w:t>
      </w:r>
      <w:r w:rsidR="00E064E2">
        <w:t>2 x</w:t>
      </w:r>
      <w:r w:rsidRPr="005E2A3D">
        <w:t xml:space="preserve"> ULN. Results of the other laboratory assessments, vital signs, and ECGs were generally similar in the </w:t>
      </w:r>
      <w:proofErr w:type="spellStart"/>
      <w:r w:rsidRPr="005E2A3D">
        <w:t>ivacaftor</w:t>
      </w:r>
      <w:proofErr w:type="spellEnd"/>
      <w:r w:rsidRPr="005E2A3D">
        <w:t xml:space="preserve"> and placebo groups, were consistent with the results of other clinical trials, and did not raise any safety concerns.</w:t>
      </w:r>
    </w:p>
    <w:p w:rsidR="00B97314" w:rsidRDefault="00B97314" w:rsidP="00B97314">
      <w:r w:rsidRPr="00B53D62">
        <w:t xml:space="preserve">A total of 1954 subjects (747970 person-days) received at least 1 dose of </w:t>
      </w:r>
      <w:proofErr w:type="spellStart"/>
      <w:r w:rsidRPr="00B53D62">
        <w:t>ivacaftor</w:t>
      </w:r>
      <w:proofErr w:type="spellEnd"/>
      <w:r w:rsidRPr="00B53D62">
        <w:t xml:space="preserve"> during the time period from the International Birth Date of </w:t>
      </w:r>
      <w:proofErr w:type="spellStart"/>
      <w:r w:rsidRPr="00B53D62">
        <w:t>ivacaftor</w:t>
      </w:r>
      <w:proofErr w:type="spellEnd"/>
      <w:r w:rsidRPr="00B53D62">
        <w:t xml:space="preserve"> (31 January 2012) to 23 January 2014. The postmarketing safety data are consistent with those from clinical studies and the established safety profile of </w:t>
      </w:r>
      <w:proofErr w:type="spellStart"/>
      <w:r w:rsidRPr="00B53D62">
        <w:t>ivacaftor</w:t>
      </w:r>
      <w:proofErr w:type="spellEnd"/>
      <w:r w:rsidRPr="00B53D62">
        <w:t xml:space="preserve"> with no new safety concerns.</w:t>
      </w:r>
    </w:p>
    <w:p w:rsidR="00B97314" w:rsidRPr="00B53D62" w:rsidRDefault="00B97314" w:rsidP="00B97314">
      <w:r w:rsidRPr="00B53D62">
        <w:t xml:space="preserve">As expected based on </w:t>
      </w:r>
      <w:proofErr w:type="spellStart"/>
      <w:r w:rsidRPr="00B53D62">
        <w:t>ivacaftor’s</w:t>
      </w:r>
      <w:proofErr w:type="spellEnd"/>
      <w:r w:rsidRPr="00B53D62">
        <w:t xml:space="preserve"> mechanism of action, the safety profile of </w:t>
      </w:r>
      <w:proofErr w:type="spellStart"/>
      <w:r w:rsidRPr="00B53D62">
        <w:t>ivacaftor</w:t>
      </w:r>
      <w:proofErr w:type="spellEnd"/>
      <w:r w:rsidRPr="00B53D62">
        <w:t xml:space="preserve"> in subjects with the R117H-CFTR mutation was similar to the safety profile of </w:t>
      </w:r>
      <w:proofErr w:type="spellStart"/>
      <w:r w:rsidRPr="00B53D62">
        <w:t>ivacaftor</w:t>
      </w:r>
      <w:proofErr w:type="spellEnd"/>
      <w:r w:rsidRPr="00B53D62">
        <w:t xml:space="preserve"> in subjects with the G551D-CFTR mutation and other mutations that cause se</w:t>
      </w:r>
      <w:r>
        <w:t>vere defects in channel gating.</w:t>
      </w:r>
    </w:p>
    <w:p w:rsidR="00605AD4" w:rsidRPr="00605AD4" w:rsidRDefault="00605AD4" w:rsidP="00605AD4">
      <w:pPr>
        <w:pStyle w:val="Heading3"/>
        <w:rPr>
          <w:rFonts w:eastAsia="Cambria"/>
        </w:rPr>
      </w:pPr>
      <w:bookmarkStart w:id="84" w:name="_Toc472521790"/>
      <w:r w:rsidRPr="00605AD4">
        <w:rPr>
          <w:rFonts w:eastAsia="Cambria"/>
        </w:rPr>
        <w:t xml:space="preserve">First </w:t>
      </w:r>
      <w:r w:rsidR="00157452" w:rsidRPr="00605AD4">
        <w:rPr>
          <w:rFonts w:eastAsia="Cambria"/>
        </w:rPr>
        <w:t>round benefit-risk assessment</w:t>
      </w:r>
      <w:bookmarkEnd w:id="84"/>
    </w:p>
    <w:p w:rsidR="00605AD4" w:rsidRDefault="00605AD4" w:rsidP="00157452">
      <w:pPr>
        <w:pStyle w:val="Heading4"/>
      </w:pPr>
      <w:r w:rsidRPr="00605AD4">
        <w:t>First round assessment of benefits</w:t>
      </w:r>
    </w:p>
    <w:p w:rsidR="00B97314" w:rsidRPr="00B53D62" w:rsidRDefault="00B97314" w:rsidP="00B97314">
      <w:r w:rsidRPr="00B53D62">
        <w:t xml:space="preserve">The benefits of </w:t>
      </w:r>
      <w:proofErr w:type="spellStart"/>
      <w:r w:rsidRPr="00B53D62">
        <w:t>ivacaftor</w:t>
      </w:r>
      <w:proofErr w:type="spellEnd"/>
      <w:r w:rsidRPr="00B53D62">
        <w:t xml:space="preserve"> in the proposed usage are:</w:t>
      </w:r>
    </w:p>
    <w:p w:rsidR="00B97314" w:rsidRPr="00B53D62" w:rsidRDefault="00B97314" w:rsidP="00B97314">
      <w:pPr>
        <w:pStyle w:val="ListBullet"/>
        <w:numPr>
          <w:ilvl w:val="0"/>
          <w:numId w:val="3"/>
        </w:numPr>
      </w:pPr>
      <w:proofErr w:type="spellStart"/>
      <w:r w:rsidRPr="00B53D62">
        <w:t>Ivacaftor</w:t>
      </w:r>
      <w:proofErr w:type="spellEnd"/>
      <w:r w:rsidRPr="00B53D62">
        <w:t xml:space="preserve"> produced clinically relevant and statistically significant improvements in percent predicted FEV</w:t>
      </w:r>
      <w:r w:rsidRPr="00B53D62">
        <w:rPr>
          <w:vertAlign w:val="subscript"/>
        </w:rPr>
        <w:t>1</w:t>
      </w:r>
      <w:r w:rsidRPr="00B53D62">
        <w:t xml:space="preserve">, CFQ-R respiratory domain and sweat chloride in subjects with sufficient disease severity (in subjects </w:t>
      </w:r>
      <w:r w:rsidR="00E064E2">
        <w:t xml:space="preserve">that were </w:t>
      </w:r>
      <w:r w:rsidRPr="00B53D62">
        <w:t>≥</w:t>
      </w:r>
      <w:r>
        <w:t xml:space="preserve"> </w:t>
      </w:r>
      <w:r w:rsidRPr="00B53D62">
        <w:t xml:space="preserve">18 years of age). The lack of benefit </w:t>
      </w:r>
      <w:r w:rsidRPr="00B53D62">
        <w:lastRenderedPageBreak/>
        <w:t>in subjects 6 to 11 years of age may be due to lack of significant lung disease at baseline in this age group due to progressive nature of a milder di</w:t>
      </w:r>
      <w:r>
        <w:t>sease profile in this subgroup.</w:t>
      </w:r>
    </w:p>
    <w:p w:rsidR="00B97314" w:rsidRPr="00B53D62" w:rsidRDefault="00B97314" w:rsidP="00B97314">
      <w:pPr>
        <w:pStyle w:val="ListBullet"/>
        <w:numPr>
          <w:ilvl w:val="0"/>
          <w:numId w:val="3"/>
        </w:numPr>
      </w:pPr>
      <w:r w:rsidRPr="00B53D62">
        <w:t xml:space="preserve">Treatment differences for the FAS favoured </w:t>
      </w:r>
      <w:proofErr w:type="spellStart"/>
      <w:r w:rsidRPr="00B53D62">
        <w:t>ivacaftor</w:t>
      </w:r>
      <w:proofErr w:type="spellEnd"/>
      <w:r w:rsidRPr="00B53D62">
        <w:t xml:space="preserve"> at all treatment period time points during the 24-week pivotal study and there were twice as many responders (with &gt;</w:t>
      </w:r>
      <w:r>
        <w:t xml:space="preserve"> </w:t>
      </w:r>
      <w:r w:rsidRPr="00B53D62">
        <w:t>3.5%, 5%, 7.5%, and 10% improvement in percent predicted FEV</w:t>
      </w:r>
      <w:r w:rsidRPr="00B53D62">
        <w:rPr>
          <w:vertAlign w:val="subscript"/>
        </w:rPr>
        <w:t>1</w:t>
      </w:r>
      <w:r w:rsidRPr="00B53D62">
        <w:t xml:space="preserve"> over placebo) in the </w:t>
      </w:r>
      <w:proofErr w:type="spellStart"/>
      <w:r w:rsidRPr="00B53D62">
        <w:t>ivaca</w:t>
      </w:r>
      <w:r>
        <w:t>ftor</w:t>
      </w:r>
      <w:proofErr w:type="spellEnd"/>
      <w:r>
        <w:t xml:space="preserve"> group as the placebo group.</w:t>
      </w:r>
    </w:p>
    <w:p w:rsidR="00B97314" w:rsidRPr="00A42C00" w:rsidRDefault="00B97314" w:rsidP="00B97314">
      <w:pPr>
        <w:pStyle w:val="ListBullet"/>
        <w:numPr>
          <w:ilvl w:val="0"/>
          <w:numId w:val="3"/>
        </w:numPr>
      </w:pPr>
      <w:r w:rsidRPr="00A42C00">
        <w:t>Gains in percent predicted FEV</w:t>
      </w:r>
      <w:r w:rsidRPr="00A42C00">
        <w:rPr>
          <w:vertAlign w:val="subscript"/>
        </w:rPr>
        <w:t>1</w:t>
      </w:r>
      <w:r w:rsidRPr="00A42C00">
        <w:t xml:space="preserve"> in </w:t>
      </w:r>
      <w:r>
        <w:t xml:space="preserve">the </w:t>
      </w:r>
      <w:proofErr w:type="spellStart"/>
      <w:r>
        <w:t>ivacaftor</w:t>
      </w:r>
      <w:proofErr w:type="spellEnd"/>
      <w:r>
        <w:t xml:space="preserve"> group during the T</w:t>
      </w:r>
      <w:r w:rsidRPr="00A42C00">
        <w:t xml:space="preserve">reatment </w:t>
      </w:r>
      <w:r>
        <w:t>P</w:t>
      </w:r>
      <w:r w:rsidRPr="00A42C00">
        <w:t>eriod reversed in the Follow-up Period when the subjects were</w:t>
      </w:r>
      <w:r>
        <w:t xml:space="preserve"> no longer receiving </w:t>
      </w:r>
      <w:proofErr w:type="spellStart"/>
      <w:r>
        <w:t>ivacaftor</w:t>
      </w:r>
      <w:proofErr w:type="spellEnd"/>
      <w:r>
        <w:t>.</w:t>
      </w:r>
    </w:p>
    <w:p w:rsidR="00B97314" w:rsidRPr="00A42C00" w:rsidRDefault="00B97314" w:rsidP="00B97314">
      <w:pPr>
        <w:pStyle w:val="ListBullet"/>
        <w:numPr>
          <w:ilvl w:val="0"/>
          <w:numId w:val="3"/>
        </w:numPr>
      </w:pPr>
      <w:r w:rsidRPr="00A42C00">
        <w:t>Supportive evidence for efficacy was provided by results from an interim analysis of Study 112. However, the interim analysis was conducted after only 12 weeks of treatment, while th</w:t>
      </w:r>
      <w:r>
        <w:t>e study duration was 104 weeks.</w:t>
      </w:r>
    </w:p>
    <w:p w:rsidR="00B97314" w:rsidRPr="00A42C00" w:rsidRDefault="00B97314" w:rsidP="00B97314">
      <w:pPr>
        <w:pStyle w:val="ListBullet"/>
        <w:numPr>
          <w:ilvl w:val="0"/>
          <w:numId w:val="3"/>
        </w:numPr>
      </w:pPr>
      <w:r w:rsidRPr="00A42C00">
        <w:t xml:space="preserve">No new safety concerns or </w:t>
      </w:r>
      <w:r w:rsidR="005C1059">
        <w:t>adverse drug reactions (</w:t>
      </w:r>
      <w:r w:rsidRPr="00A42C00">
        <w:t>ADRs</w:t>
      </w:r>
      <w:r w:rsidR="005C1059">
        <w:t>)</w:t>
      </w:r>
      <w:r w:rsidRPr="00A42C00">
        <w:t xml:space="preserve"> were identified following 24 weeks treatment with </w:t>
      </w:r>
      <w:proofErr w:type="spellStart"/>
      <w:r w:rsidRPr="00A42C00">
        <w:t>ivacaftor</w:t>
      </w:r>
      <w:proofErr w:type="spellEnd"/>
      <w:r w:rsidRPr="00A42C00">
        <w:t xml:space="preserve"> 150 mg q12h to 69 subjects with CF who hav</w:t>
      </w:r>
      <w:r w:rsidR="00F144E0">
        <w:t>e at least 1 allele of an R117H</w:t>
      </w:r>
      <w:r w:rsidR="00F144E0">
        <w:noBreakHyphen/>
      </w:r>
      <w:r w:rsidRPr="00A42C00">
        <w:t xml:space="preserve">CFTR mutation. Compared with placebo treatment, treatment with </w:t>
      </w:r>
      <w:proofErr w:type="spellStart"/>
      <w:r w:rsidRPr="00A42C00">
        <w:t>ivacaftor</w:t>
      </w:r>
      <w:proofErr w:type="spellEnd"/>
      <w:r w:rsidRPr="00A42C00">
        <w:t xml:space="preserve"> led to lower incidences of serious and non-serious AEs. The observed AEs were consistent with the known safety profile of </w:t>
      </w:r>
      <w:proofErr w:type="spellStart"/>
      <w:r w:rsidRPr="00A42C00">
        <w:t>ivacaftor</w:t>
      </w:r>
      <w:proofErr w:type="spellEnd"/>
      <w:r w:rsidRPr="00A42C00">
        <w:t xml:space="preserve"> and of patients with CF. </w:t>
      </w:r>
      <w:proofErr w:type="gramStart"/>
      <w:r w:rsidRPr="00A42C00">
        <w:t>The</w:t>
      </w:r>
      <w:proofErr w:type="gramEnd"/>
      <w:r w:rsidRPr="00A42C00">
        <w:t xml:space="preserve"> safety profile </w:t>
      </w:r>
      <w:r w:rsidR="00E064E2">
        <w:t xml:space="preserve">of </w:t>
      </w:r>
      <w:proofErr w:type="spellStart"/>
      <w:r w:rsidR="00E064E2">
        <w:t>Kaldyeco</w:t>
      </w:r>
      <w:proofErr w:type="spellEnd"/>
      <w:r w:rsidR="00E064E2">
        <w:t xml:space="preserve"> </w:t>
      </w:r>
      <w:r w:rsidRPr="00A42C00">
        <w:t>was consistent and comparable across the age subgr</w:t>
      </w:r>
      <w:r>
        <w:t>oups.</w:t>
      </w:r>
    </w:p>
    <w:p w:rsidR="00605AD4" w:rsidRDefault="00605AD4" w:rsidP="00605AD4">
      <w:pPr>
        <w:pStyle w:val="Heading4"/>
      </w:pPr>
      <w:r w:rsidRPr="00605AD4">
        <w:t>First round assessment of risks</w:t>
      </w:r>
    </w:p>
    <w:p w:rsidR="00B97314" w:rsidRPr="00A42C00" w:rsidRDefault="00B97314" w:rsidP="00B97314">
      <w:r w:rsidRPr="00A42C00">
        <w:t xml:space="preserve">The risks of </w:t>
      </w:r>
      <w:proofErr w:type="spellStart"/>
      <w:r w:rsidRPr="00A42C00">
        <w:t>ivacaftor</w:t>
      </w:r>
      <w:proofErr w:type="spellEnd"/>
      <w:r w:rsidRPr="00A42C00">
        <w:t xml:space="preserve"> in the proposed usage are:</w:t>
      </w:r>
    </w:p>
    <w:p w:rsidR="00B97314" w:rsidRPr="00A42C00" w:rsidRDefault="00B97314" w:rsidP="00B97314">
      <w:pPr>
        <w:pStyle w:val="ListBullet"/>
        <w:numPr>
          <w:ilvl w:val="0"/>
          <w:numId w:val="3"/>
        </w:numPr>
      </w:pPr>
      <w:r w:rsidRPr="00A42C00">
        <w:t xml:space="preserve">Common AEs include </w:t>
      </w:r>
      <w:proofErr w:type="spellStart"/>
      <w:r w:rsidRPr="00A42C00">
        <w:t>nasopharyngitis</w:t>
      </w:r>
      <w:proofErr w:type="spellEnd"/>
      <w:r w:rsidRPr="00A42C00">
        <w:t xml:space="preserve">, </w:t>
      </w:r>
      <w:r w:rsidR="00E064E2">
        <w:t>upper respiratory tract infection (</w:t>
      </w:r>
      <w:r w:rsidRPr="00A42C00">
        <w:t>URTI</w:t>
      </w:r>
      <w:r w:rsidR="00E064E2">
        <w:t>)</w:t>
      </w:r>
      <w:r w:rsidRPr="00A42C00">
        <w:t xml:space="preserve">, headache, nasal congestion, oropharyngeal pain, rash, abdominal pain and diarrhoea. Most of these are mild to moderate in severity, did not result in </w:t>
      </w:r>
      <w:proofErr w:type="spellStart"/>
      <w:r w:rsidRPr="00A42C00">
        <w:t>ivacaftor</w:t>
      </w:r>
      <w:proofErr w:type="spellEnd"/>
      <w:r w:rsidRPr="00A42C00">
        <w:t xml:space="preserve"> discontinuation, and resolved s</w:t>
      </w:r>
      <w:r>
        <w:t>pontaneously without treatment.</w:t>
      </w:r>
    </w:p>
    <w:p w:rsidR="00B97314" w:rsidRDefault="00B97314" w:rsidP="00B97314">
      <w:pPr>
        <w:pStyle w:val="ListBullet"/>
        <w:numPr>
          <w:ilvl w:val="0"/>
          <w:numId w:val="3"/>
        </w:numPr>
      </w:pPr>
      <w:r w:rsidRPr="00A42C00">
        <w:t xml:space="preserve">Other potential risks include elevated transaminases and drug-drug interactions. Therefore, the product labelling specifically recommends close monitoring of unexplained elevations in transaminase levels until resolution and proper dose adjustments when </w:t>
      </w:r>
      <w:proofErr w:type="spellStart"/>
      <w:r w:rsidRPr="00A42C00">
        <w:t>ivacaftor</w:t>
      </w:r>
      <w:proofErr w:type="spellEnd"/>
      <w:r w:rsidRPr="00A42C00">
        <w:t xml:space="preserve"> is used concomitantly with moderate or strong cytoc</w:t>
      </w:r>
      <w:r>
        <w:t>hrome P450 (CYP) 3A inhibitors.</w:t>
      </w:r>
    </w:p>
    <w:p w:rsidR="00B97314" w:rsidRPr="00A42C00" w:rsidRDefault="00B97314" w:rsidP="00B97314">
      <w:pPr>
        <w:pStyle w:val="ListBullet"/>
        <w:numPr>
          <w:ilvl w:val="0"/>
          <w:numId w:val="3"/>
        </w:numPr>
      </w:pPr>
      <w:r w:rsidRPr="00A42C00">
        <w:t>Study 110 failed to meet the primary outcome measure (a statistically significant absolute change from baseline through 24 weeks of treatment in percent predicted FEV</w:t>
      </w:r>
      <w:r w:rsidRPr="00A42C00">
        <w:rPr>
          <w:vertAlign w:val="subscript"/>
        </w:rPr>
        <w:t>1</w:t>
      </w:r>
      <w:r>
        <w:t>).</w:t>
      </w:r>
    </w:p>
    <w:p w:rsidR="00B97314" w:rsidRPr="00A42C00" w:rsidRDefault="00B97314" w:rsidP="00B97314">
      <w:pPr>
        <w:pStyle w:val="ListBullet"/>
        <w:numPr>
          <w:ilvl w:val="0"/>
          <w:numId w:val="3"/>
        </w:numPr>
      </w:pPr>
      <w:r w:rsidRPr="00A42C00">
        <w:t>There was no evidence of</w:t>
      </w:r>
      <w:r>
        <w:t xml:space="preserve"> efficacy in CF patients aged 6 to </w:t>
      </w:r>
      <w:r w:rsidRPr="00A42C00">
        <w:t>11 years and only 2 subjects aged 12</w:t>
      </w:r>
      <w:r>
        <w:t xml:space="preserve"> to </w:t>
      </w:r>
      <w:r w:rsidRPr="00A42C00">
        <w:t>17 years were evaluated in the submitted clinical st</w:t>
      </w:r>
      <w:r>
        <w:t>udies.</w:t>
      </w:r>
    </w:p>
    <w:p w:rsidR="00B97314" w:rsidRPr="00A42C00" w:rsidRDefault="00B97314" w:rsidP="00B97314">
      <w:pPr>
        <w:pStyle w:val="ListBullet"/>
        <w:numPr>
          <w:ilvl w:val="0"/>
          <w:numId w:val="3"/>
        </w:numPr>
      </w:pPr>
      <w:r>
        <w:t xml:space="preserve">Lack of evidence for long </w:t>
      </w:r>
      <w:r w:rsidRPr="00A42C00">
        <w:t xml:space="preserve">term efficacy and safety of </w:t>
      </w:r>
      <w:proofErr w:type="spellStart"/>
      <w:r w:rsidRPr="00A42C00">
        <w:t>ivacaftor</w:t>
      </w:r>
      <w:proofErr w:type="spellEnd"/>
      <w:r w:rsidRPr="00A42C00">
        <w:t xml:space="preserve"> when used for treatment of CF patients wi</w:t>
      </w:r>
      <w:r w:rsidR="00E064E2">
        <w:t>th R117H mutation. The pivotal S</w:t>
      </w:r>
      <w:r w:rsidRPr="00A42C00">
        <w:t xml:space="preserve">tudy 110 had only 24 week treatment period compared to 48-week studies submitted for </w:t>
      </w:r>
      <w:proofErr w:type="spellStart"/>
      <w:r w:rsidRPr="00A42C00">
        <w:t>ivacaftor</w:t>
      </w:r>
      <w:proofErr w:type="spellEnd"/>
      <w:r w:rsidRPr="00A42C00">
        <w:t xml:space="preserve"> in CF patients with G551D and other gating mutations. There is an on</w:t>
      </w:r>
      <w:r>
        <w:t xml:space="preserve">going long term (104 weeks) open </w:t>
      </w:r>
      <w:r w:rsidR="00E064E2">
        <w:t>label S</w:t>
      </w:r>
      <w:r w:rsidRPr="00A42C00">
        <w:t>tudy 112, but this submission only included results o</w:t>
      </w:r>
      <w:r w:rsidR="00E064E2">
        <w:t xml:space="preserve">f the 12 </w:t>
      </w:r>
      <w:r>
        <w:t>week interim analysis.</w:t>
      </w:r>
    </w:p>
    <w:p w:rsidR="00605AD4" w:rsidRPr="00605AD4" w:rsidRDefault="00605AD4" w:rsidP="00605AD4">
      <w:pPr>
        <w:pStyle w:val="Heading4"/>
      </w:pPr>
      <w:r w:rsidRPr="00605AD4">
        <w:t>First round assessment of benefit-risk balance</w:t>
      </w:r>
    </w:p>
    <w:p w:rsidR="00B97314" w:rsidRDefault="00B97314" w:rsidP="00B97314">
      <w:r w:rsidRPr="002F356B">
        <w:t xml:space="preserve">CF is an autosomal recessive disease with serious, chronically debilitating morbidities and high premature mortality and there is no available cure for CF at present. Although the R117H mutation is in the less severe spectrum of CF, it is associated with severe disease when compared to a normal population and there remains a clear and substantial unmet </w:t>
      </w:r>
      <w:r w:rsidRPr="002F356B">
        <w:lastRenderedPageBreak/>
        <w:t>need in this population. These patients demonstrate progression of disease with advancing age and have a decreased life expectancy.</w:t>
      </w:r>
    </w:p>
    <w:p w:rsidR="00B97314" w:rsidRPr="002F356B" w:rsidRDefault="00E064E2" w:rsidP="00B97314">
      <w:r>
        <w:t>S</w:t>
      </w:r>
      <w:r w:rsidR="00B97314" w:rsidRPr="002F356B">
        <w:t xml:space="preserve">tudy 110 evaluated efficacy and safety of </w:t>
      </w:r>
      <w:proofErr w:type="spellStart"/>
      <w:r w:rsidR="00B97314" w:rsidRPr="002F356B">
        <w:t>ivacaftor</w:t>
      </w:r>
      <w:proofErr w:type="spellEnd"/>
      <w:r w:rsidR="00B97314" w:rsidRPr="002F356B">
        <w:t xml:space="preserve"> 150</w:t>
      </w:r>
      <w:r w:rsidR="006C3669">
        <w:t xml:space="preserve"> </w:t>
      </w:r>
      <w:r w:rsidR="00B97314" w:rsidRPr="002F356B">
        <w:t xml:space="preserve">mg </w:t>
      </w:r>
      <w:r>
        <w:t>twice a day (</w:t>
      </w:r>
      <w:r w:rsidR="00B97314" w:rsidRPr="002F356B">
        <w:t>bid</w:t>
      </w:r>
      <w:r>
        <w:t>)</w:t>
      </w:r>
      <w:r w:rsidR="00B97314" w:rsidRPr="002F356B">
        <w:t xml:space="preserve"> for 24 weeks in 69 subjects (50 were aged &gt;</w:t>
      </w:r>
      <w:r w:rsidR="00B97314">
        <w:t xml:space="preserve"> 18 years and 19 were 6 to </w:t>
      </w:r>
      <w:r w:rsidR="00B97314" w:rsidRPr="002F356B">
        <w:t>17 years old) with CF with a R117H mutation in the CFTR gene. Results of the primary endpoint (change in % predicted FEV</w:t>
      </w:r>
      <w:r w:rsidR="00B97314" w:rsidRPr="002F356B">
        <w:rPr>
          <w:vertAlign w:val="subscript"/>
        </w:rPr>
        <w:t>1</w:t>
      </w:r>
      <w:r w:rsidR="00B97314" w:rsidRPr="002F356B">
        <w:t xml:space="preserve">) favoured </w:t>
      </w:r>
      <w:proofErr w:type="spellStart"/>
      <w:r w:rsidR="00B97314" w:rsidRPr="002F356B">
        <w:t>ivacaftor</w:t>
      </w:r>
      <w:proofErr w:type="spellEnd"/>
      <w:r w:rsidR="00B97314" w:rsidRPr="002F356B">
        <w:t xml:space="preserve"> compared with placebo but treatment difference was not statistically significant for the FAS. However, responder analysis revealed that the proportion of patients showing &gt;</w:t>
      </w:r>
      <w:r w:rsidR="00B97314">
        <w:t xml:space="preserve"> </w:t>
      </w:r>
      <w:r w:rsidR="00B97314" w:rsidRPr="002F356B">
        <w:t>5% and 7.5% and 10% improvement in % predicted FEV</w:t>
      </w:r>
      <w:r w:rsidR="00B97314" w:rsidRPr="00730E9D">
        <w:rPr>
          <w:vertAlign w:val="subscript"/>
        </w:rPr>
        <w:t>1</w:t>
      </w:r>
      <w:r w:rsidR="00B97314" w:rsidRPr="002F356B">
        <w:t xml:space="preserve"> following 24 weeks treatment with </w:t>
      </w:r>
      <w:proofErr w:type="spellStart"/>
      <w:r w:rsidR="00B97314" w:rsidRPr="002F356B">
        <w:t>ivacaftor</w:t>
      </w:r>
      <w:proofErr w:type="spellEnd"/>
      <w:r w:rsidR="00B97314" w:rsidRPr="002F356B">
        <w:t xml:space="preserve"> was almost double that observed with placebo. Statistically, clinically relevant and consistent treatment effects were observed in the secondary endpoints of absolute change from baseline in sweat chloride and CFQ-R respiratory domain score. However, there were no statistically significant improvements in BMI, pulmonary exacerbations or other endpoints.</w:t>
      </w:r>
    </w:p>
    <w:p w:rsidR="00B97314" w:rsidRPr="00730E9D" w:rsidRDefault="00B97314" w:rsidP="00B97314">
      <w:r w:rsidRPr="00730E9D">
        <w:t>In the pre-defined subgroup analysis in subjects aged ≥</w:t>
      </w:r>
      <w:r>
        <w:t xml:space="preserve"> </w:t>
      </w:r>
      <w:r w:rsidRPr="00730E9D">
        <w:t xml:space="preserve">18 years, </w:t>
      </w:r>
      <w:proofErr w:type="spellStart"/>
      <w:r w:rsidRPr="00730E9D">
        <w:t>ivacaftor</w:t>
      </w:r>
      <w:proofErr w:type="spellEnd"/>
      <w:r w:rsidRPr="00730E9D">
        <w:t xml:space="preserve"> resulted in a robust, positive, clinically relevant, and statistically significant improv</w:t>
      </w:r>
      <w:r w:rsidR="00FB5600">
        <w:t xml:space="preserve">ements in pulmonary function (% </w:t>
      </w:r>
      <w:r w:rsidRPr="00730E9D">
        <w:t>predicted FEV</w:t>
      </w:r>
      <w:r w:rsidRPr="00730E9D">
        <w:rPr>
          <w:vertAlign w:val="subscript"/>
        </w:rPr>
        <w:t>1</w:t>
      </w:r>
      <w:r w:rsidRPr="00730E9D">
        <w:t xml:space="preserve">) compared to placebo through 24 weeks of treatment. Treatment with </w:t>
      </w:r>
      <w:proofErr w:type="spellStart"/>
      <w:r w:rsidRPr="00730E9D">
        <w:t>ivacaftor</w:t>
      </w:r>
      <w:proofErr w:type="spellEnd"/>
      <w:r w:rsidRPr="00730E9D">
        <w:t xml:space="preserve"> also resulted in substantial and statistically significant improvements in CFTR activity as measured by sweat chloride, and in respiratory symptoms as measured by the CFQ-R respiratory domain score, compared to placebo through 24 weeks of treatment.</w:t>
      </w:r>
    </w:p>
    <w:p w:rsidR="00B97314" w:rsidRPr="00730E9D" w:rsidRDefault="00B97314" w:rsidP="00B97314">
      <w:r w:rsidRPr="00730E9D">
        <w:t xml:space="preserve">Although the subgroup of subjects 6 to 11 years of age showed a comparable sweat chloride response to the </w:t>
      </w:r>
      <w:r w:rsidR="00E064E2">
        <w:t xml:space="preserve">patients aged </w:t>
      </w:r>
      <w:r w:rsidRPr="00730E9D">
        <w:t>≥</w:t>
      </w:r>
      <w:r>
        <w:t xml:space="preserve"> </w:t>
      </w:r>
      <w:r w:rsidRPr="00730E9D">
        <w:t xml:space="preserve">18 year subgroup, this age group did not show any other meaningful response to </w:t>
      </w:r>
      <w:proofErr w:type="spellStart"/>
      <w:r w:rsidRPr="00730E9D">
        <w:t>ivacaftor</w:t>
      </w:r>
      <w:proofErr w:type="spellEnd"/>
      <w:r w:rsidRPr="00730E9D">
        <w:t xml:space="preserve"> treatmen</w:t>
      </w:r>
      <w:r w:rsidR="00037637">
        <w:t xml:space="preserve">t. Results for the 6 to 11 year </w:t>
      </w:r>
      <w:r w:rsidRPr="00730E9D">
        <w:t>old subjects did not show any safety signal but it is not known if CFTR default correction actually translates into a long-lasting clinical benefit in these younger patients with well-preserved lung function.</w:t>
      </w:r>
    </w:p>
    <w:p w:rsidR="00B97314" w:rsidRPr="006D3319" w:rsidRDefault="00B97314" w:rsidP="00B97314">
      <w:r w:rsidRPr="006D3319">
        <w:t xml:space="preserve">Overall, results from the subgroup analyses indicated that </w:t>
      </w:r>
      <w:proofErr w:type="spellStart"/>
      <w:r w:rsidRPr="006D3319">
        <w:t>ivacaftor</w:t>
      </w:r>
      <w:proofErr w:type="spellEnd"/>
      <w:r w:rsidRPr="006D3319">
        <w:t xml:space="preserve"> was able to show a positive clinical benefit in subjects who have sufficient underlying disease that can be mo</w:t>
      </w:r>
      <w:r>
        <w:t xml:space="preserve">dulated by </w:t>
      </w:r>
      <w:proofErr w:type="spellStart"/>
      <w:r>
        <w:t>ivacaftor</w:t>
      </w:r>
      <w:proofErr w:type="spellEnd"/>
      <w:r>
        <w:t xml:space="preserve"> treatment.</w:t>
      </w:r>
    </w:p>
    <w:p w:rsidR="00B97314" w:rsidRPr="006D3319" w:rsidRDefault="00B97314" w:rsidP="00B97314">
      <w:r w:rsidRPr="006D3319">
        <w:t>Improvement in pulmonary function was observed in the o</w:t>
      </w:r>
      <w:r w:rsidR="00E064E2">
        <w:t>pen-label, long-term, rollover S</w:t>
      </w:r>
      <w:r w:rsidRPr="006D3319">
        <w:t>tudy 112 for subjects in the ≥</w:t>
      </w:r>
      <w:r>
        <w:t xml:space="preserve"> </w:t>
      </w:r>
      <w:r w:rsidRPr="006D3319">
        <w:t>18 years subgroup regardless of study drug treatment in Study 110. These improvements were consistent with what was observed in Study 110. Improvements in sweat chloride and CFQ-R respiratory domain scores observed from summary statistics in Study 112 were consistent with those observed in Study 110. However, this submission only included interim analysis foll</w:t>
      </w:r>
      <w:r w:rsidR="00E064E2">
        <w:t>owing 12 weeks of treatment in S</w:t>
      </w:r>
      <w:r w:rsidRPr="006D3319">
        <w:t>tudy 112. Hence, long term maintenance of efficacy will have to be confirmed by evaluation of the final results</w:t>
      </w:r>
      <w:r w:rsidR="00E064E2">
        <w:t xml:space="preserve"> from S</w:t>
      </w:r>
      <w:r w:rsidRPr="006D3319">
        <w:t>tudy 112 (with proposed duration of 104 weeks) which should be provided by the sponsors when the study is completed.</w:t>
      </w:r>
    </w:p>
    <w:p w:rsidR="00B97314" w:rsidRPr="006D3319" w:rsidRDefault="00B97314" w:rsidP="00B97314">
      <w:r w:rsidRPr="006D3319">
        <w:t xml:space="preserve">Results from Study 110 and Study 112 did not reveal any new ADRs or any additional risks associated with </w:t>
      </w:r>
      <w:proofErr w:type="spellStart"/>
      <w:r w:rsidRPr="006D3319">
        <w:t>ivacaftor</w:t>
      </w:r>
      <w:proofErr w:type="spellEnd"/>
      <w:r w:rsidRPr="006D3319">
        <w:t xml:space="preserve"> treatment. Compared with placebo treatment, treatment with </w:t>
      </w:r>
      <w:proofErr w:type="spellStart"/>
      <w:r w:rsidRPr="006D3319">
        <w:t>ivacaftor</w:t>
      </w:r>
      <w:proofErr w:type="spellEnd"/>
      <w:r w:rsidRPr="006D3319">
        <w:t xml:space="preserve"> led to lower incidences of serious and non-serious AEs. The common AEs associated with </w:t>
      </w:r>
      <w:proofErr w:type="spellStart"/>
      <w:r w:rsidRPr="006D3319">
        <w:t>ivacaftor</w:t>
      </w:r>
      <w:proofErr w:type="spellEnd"/>
      <w:r w:rsidRPr="006D3319">
        <w:t xml:space="preserve"> treatment were URTI, headache, nasal congestion, oropharyngeal pain, rash, abdominal pain and diarrhoea. Most of these are mild to moderate in severity and did not result in </w:t>
      </w:r>
      <w:proofErr w:type="spellStart"/>
      <w:r w:rsidRPr="006D3319">
        <w:t>ivacaftor</w:t>
      </w:r>
      <w:proofErr w:type="spellEnd"/>
      <w:r w:rsidRPr="006D3319">
        <w:t xml:space="preserve"> discontinuation, and resolved spontaneously without treatment. No treatment</w:t>
      </w:r>
      <w:r>
        <w:noBreakHyphen/>
      </w:r>
      <w:r w:rsidRPr="006D3319">
        <w:t xml:space="preserve">limiting toxicities were identified, although the size of the safety database may have precluded detection of rare or uncommon events. No age-specific risks were identified. Other potential risks include elevated transaminases and drug-drug interactions. Therefore, the product labelling specifically recommends close monitoring of unexplained elevations in transaminase levels until resolution and proper dose adjustments when </w:t>
      </w:r>
      <w:proofErr w:type="spellStart"/>
      <w:r w:rsidRPr="006D3319">
        <w:t>ivacaftor</w:t>
      </w:r>
      <w:proofErr w:type="spellEnd"/>
      <w:r w:rsidRPr="006D3319">
        <w:t xml:space="preserve"> is used concomitantly with moderate or strong CYP 3A inhibitors. The ADRs and potential risks are readily identified clinically or with routine </w:t>
      </w:r>
      <w:r w:rsidRPr="006D3319">
        <w:lastRenderedPageBreak/>
        <w:t xml:space="preserve">laboratory monitoring. The safety profile of </w:t>
      </w:r>
      <w:proofErr w:type="spellStart"/>
      <w:r w:rsidRPr="006D3319">
        <w:t>iva</w:t>
      </w:r>
      <w:r w:rsidR="00D019E7">
        <w:t>caftor</w:t>
      </w:r>
      <w:proofErr w:type="spellEnd"/>
      <w:r w:rsidR="00D019E7">
        <w:t xml:space="preserve"> has been well characteris</w:t>
      </w:r>
      <w:r w:rsidRPr="006D3319">
        <w:t xml:space="preserve">ed. The observed AEs were consistent with the known safety profile of </w:t>
      </w:r>
      <w:proofErr w:type="spellStart"/>
      <w:r w:rsidRPr="006D3319">
        <w:t>ivacaftor</w:t>
      </w:r>
      <w:proofErr w:type="spellEnd"/>
      <w:r w:rsidRPr="006D3319">
        <w:t xml:space="preserve"> and of patients with CF.</w:t>
      </w:r>
    </w:p>
    <w:p w:rsidR="00B97314" w:rsidRPr="006D3319" w:rsidRDefault="00B97314" w:rsidP="00B97314">
      <w:r w:rsidRPr="006D3319">
        <w:t xml:space="preserve">Treatment with </w:t>
      </w:r>
      <w:proofErr w:type="spellStart"/>
      <w:r w:rsidRPr="006D3319">
        <w:t>ivacaftor</w:t>
      </w:r>
      <w:proofErr w:type="spellEnd"/>
      <w:r w:rsidRPr="006D3319">
        <w:t xml:space="preserve"> targets the underlying pathophysiology of CF and has systemic benefit including substantial improvements in pulmonary measures with corresponding improvements in CFTR function (indicated by significant reduction in sweat chloride levels). Although </w:t>
      </w:r>
      <w:proofErr w:type="spellStart"/>
      <w:r w:rsidRPr="006D3319">
        <w:t>ivacaftor</w:t>
      </w:r>
      <w:proofErr w:type="spellEnd"/>
      <w:r w:rsidRPr="006D3319">
        <w:t xml:space="preserve"> did not produce statistically significant improvements in primary efficacy endpoint in the pivotal study, there was enough evidence to suggest it could provide clinical benefits in subjects who have sufficient underlying disease as shown by subgroup analysis in patients aged &gt; 18 years who had significantly greater disease manifestations comp</w:t>
      </w:r>
      <w:r>
        <w:t xml:space="preserve">ared to the younger patients (6 to </w:t>
      </w:r>
      <w:r w:rsidRPr="006D3319">
        <w:t>17years).</w:t>
      </w:r>
    </w:p>
    <w:p w:rsidR="00B97314" w:rsidRPr="006D3319" w:rsidRDefault="00B97314" w:rsidP="00B97314">
      <w:r w:rsidRPr="006D3319">
        <w:t>CF patients with an R117H-CFTR mutation demonstrate progression of disease with advancing age and have a decreased life expectancy.</w:t>
      </w:r>
      <w:r w:rsidR="00F144E0">
        <w:t xml:space="preserve"> Many individuals with an R117H</w:t>
      </w:r>
      <w:r w:rsidR="00F144E0">
        <w:noBreakHyphen/>
      </w:r>
      <w:r w:rsidRPr="006D3319">
        <w:t xml:space="preserve">CFTR mutation were not diagnosed with CF until the late childhood or adult years, when the disease had progressed and symptoms became much more evident although this has changed recently due to advances in newborn screening for CFTR mutations. However, there is no drug currently approved to treat the underlying cause of CF in this population and </w:t>
      </w:r>
      <w:proofErr w:type="spellStart"/>
      <w:r w:rsidRPr="006D3319">
        <w:t>ivacaftor</w:t>
      </w:r>
      <w:proofErr w:type="spellEnd"/>
      <w:r w:rsidRPr="006D3319">
        <w:t xml:space="preserve"> would provide a useful option to improve the treatment and outlook for CF patients with this CFTR </w:t>
      </w:r>
      <w:r>
        <w:t>mutation.</w:t>
      </w:r>
    </w:p>
    <w:p w:rsidR="00B97314" w:rsidRPr="006D3319" w:rsidRDefault="00B97314" w:rsidP="00B97314">
      <w:r w:rsidRPr="006D3319">
        <w:t xml:space="preserve">Overall, the benefit-risk profile of </w:t>
      </w:r>
      <w:proofErr w:type="spellStart"/>
      <w:r w:rsidRPr="006D3319">
        <w:t>ivacaftor</w:t>
      </w:r>
      <w:proofErr w:type="spellEnd"/>
      <w:r w:rsidRPr="006D3319">
        <w:t xml:space="preserve"> is favourable for proposed use in CF patients aged 6 years or older with a R117H-CFTR mutation.</w:t>
      </w:r>
    </w:p>
    <w:p w:rsidR="00605AD4" w:rsidRPr="00605AD4" w:rsidRDefault="00605AD4" w:rsidP="00605AD4">
      <w:pPr>
        <w:pStyle w:val="Heading3"/>
        <w:rPr>
          <w:rFonts w:eastAsia="Cambria"/>
        </w:rPr>
      </w:pPr>
      <w:bookmarkStart w:id="85" w:name="_Toc472521791"/>
      <w:r w:rsidRPr="00605AD4">
        <w:rPr>
          <w:rFonts w:eastAsia="Cambria"/>
        </w:rPr>
        <w:t xml:space="preserve">First </w:t>
      </w:r>
      <w:r w:rsidR="00157452" w:rsidRPr="00605AD4">
        <w:rPr>
          <w:rFonts w:eastAsia="Cambria"/>
        </w:rPr>
        <w:t>round recommendation regarding authorisation</w:t>
      </w:r>
      <w:bookmarkEnd w:id="85"/>
    </w:p>
    <w:p w:rsidR="000732A1" w:rsidRPr="006341E0" w:rsidRDefault="000732A1" w:rsidP="000732A1">
      <w:r w:rsidRPr="006341E0">
        <w:t xml:space="preserve">It is recommended that application for marketing of </w:t>
      </w:r>
      <w:proofErr w:type="spellStart"/>
      <w:r w:rsidRPr="006341E0">
        <w:t>ivacaftor</w:t>
      </w:r>
      <w:proofErr w:type="spellEnd"/>
      <w:r w:rsidRPr="006341E0">
        <w:t xml:space="preserve"> for proposed indication </w:t>
      </w:r>
      <w:r w:rsidRPr="00F144E0">
        <w:rPr>
          <w:i/>
        </w:rPr>
        <w:t xml:space="preserve">‘for the treatment of cystic fibrosis (CF) in patients aged 6 years and older who have an R117H mutation in the CFTR gene’ </w:t>
      </w:r>
      <w:r w:rsidRPr="006341E0">
        <w:t>be approved. However, approval should be</w:t>
      </w:r>
      <w:r>
        <w:t xml:space="preserve"> conditional to the following:</w:t>
      </w:r>
    </w:p>
    <w:p w:rsidR="000732A1" w:rsidRPr="006341E0" w:rsidRDefault="00D019E7" w:rsidP="000732A1">
      <w:pPr>
        <w:pStyle w:val="ListBullet"/>
        <w:numPr>
          <w:ilvl w:val="0"/>
          <w:numId w:val="3"/>
        </w:numPr>
      </w:pPr>
      <w:r>
        <w:t>Amendments</w:t>
      </w:r>
      <w:r w:rsidR="00FB5600">
        <w:t xml:space="preserve"> to the proposed PI</w:t>
      </w:r>
    </w:p>
    <w:p w:rsidR="000732A1" w:rsidRPr="006341E0" w:rsidRDefault="00D019E7" w:rsidP="000732A1">
      <w:pPr>
        <w:pStyle w:val="ListBullet"/>
        <w:numPr>
          <w:ilvl w:val="0"/>
          <w:numId w:val="3"/>
        </w:numPr>
      </w:pPr>
      <w:r>
        <w:t>A</w:t>
      </w:r>
      <w:r w:rsidR="000732A1" w:rsidRPr="006341E0">
        <w:t>dequate respo</w:t>
      </w:r>
      <w:r w:rsidR="00F144E0">
        <w:t xml:space="preserve">nse to questions </w:t>
      </w:r>
      <w:r w:rsidR="000732A1">
        <w:t>of this evalu</w:t>
      </w:r>
      <w:r w:rsidR="00FB5600">
        <w:t>ation report</w:t>
      </w:r>
    </w:p>
    <w:p w:rsidR="000732A1" w:rsidRDefault="00D019E7" w:rsidP="000732A1">
      <w:pPr>
        <w:pStyle w:val="ListBullet"/>
        <w:numPr>
          <w:ilvl w:val="0"/>
          <w:numId w:val="3"/>
        </w:numPr>
      </w:pPr>
      <w:r>
        <w:t>S</w:t>
      </w:r>
      <w:r w:rsidR="000732A1" w:rsidRPr="006341E0">
        <w:t>ponsor agree</w:t>
      </w:r>
      <w:r>
        <w:t>s</w:t>
      </w:r>
      <w:r w:rsidR="000732A1" w:rsidRPr="006341E0">
        <w:t xml:space="preserve"> to provide final results of lo</w:t>
      </w:r>
      <w:r>
        <w:t>ng-term (104 weeks) open label S</w:t>
      </w:r>
      <w:r w:rsidR="000732A1" w:rsidRPr="006341E0">
        <w:t>tudy 112 for evaluati</w:t>
      </w:r>
      <w:r w:rsidR="000732A1">
        <w:t>on when the study is completed.</w:t>
      </w:r>
    </w:p>
    <w:p w:rsidR="00605AD4" w:rsidRPr="00605AD4" w:rsidRDefault="00605AD4" w:rsidP="00605AD4">
      <w:pPr>
        <w:pStyle w:val="Heading3"/>
        <w:rPr>
          <w:rFonts w:eastAsia="Cambria"/>
        </w:rPr>
      </w:pPr>
      <w:bookmarkStart w:id="86" w:name="_Toc472521792"/>
      <w:r w:rsidRPr="00605AD4">
        <w:rPr>
          <w:rFonts w:eastAsia="Cambria"/>
        </w:rPr>
        <w:t xml:space="preserve">Clinical </w:t>
      </w:r>
      <w:r w:rsidR="00157452">
        <w:rPr>
          <w:rFonts w:eastAsia="Cambria"/>
        </w:rPr>
        <w:t>q</w:t>
      </w:r>
      <w:r w:rsidRPr="00605AD4">
        <w:rPr>
          <w:rFonts w:eastAsia="Cambria"/>
        </w:rPr>
        <w:t>uestions</w:t>
      </w:r>
      <w:bookmarkEnd w:id="86"/>
    </w:p>
    <w:p w:rsidR="000732A1" w:rsidRPr="000732A1" w:rsidRDefault="000732A1" w:rsidP="000732A1">
      <w:pPr>
        <w:pStyle w:val="Heading4"/>
      </w:pPr>
      <w:bookmarkStart w:id="87" w:name="_Toc459290752"/>
      <w:r w:rsidRPr="000732A1">
        <w:t>Pharmacokinetics</w:t>
      </w:r>
      <w:bookmarkEnd w:id="87"/>
    </w:p>
    <w:p w:rsidR="00632B17" w:rsidRPr="00632B17" w:rsidRDefault="00632B17" w:rsidP="00632B17">
      <w:pPr>
        <w:pStyle w:val="Heading5"/>
        <w:rPr>
          <w:rFonts w:eastAsia="MS Mincho"/>
        </w:rPr>
      </w:pPr>
      <w:r w:rsidRPr="00632B17">
        <w:rPr>
          <w:rFonts w:eastAsia="MS Mincho"/>
        </w:rPr>
        <w:t>Question1</w:t>
      </w:r>
    </w:p>
    <w:p w:rsidR="00632B17" w:rsidRDefault="00632B17" w:rsidP="00632B17">
      <w:r w:rsidRPr="00EF7A9D">
        <w:t xml:space="preserve">Can the sponsor please provide the estimates of </w:t>
      </w:r>
      <w:proofErr w:type="spellStart"/>
      <w:r w:rsidRPr="00EF7A9D">
        <w:t>ivacaftor</w:t>
      </w:r>
      <w:proofErr w:type="spellEnd"/>
      <w:r w:rsidRPr="00EF7A9D">
        <w:t xml:space="preserve"> </w:t>
      </w:r>
      <w:proofErr w:type="spellStart"/>
      <w:r w:rsidRPr="00EF7A9D">
        <w:t>C</w:t>
      </w:r>
      <w:r w:rsidRPr="00EF7A9D">
        <w:rPr>
          <w:vertAlign w:val="subscript"/>
        </w:rPr>
        <w:t>min</w:t>
      </w:r>
      <w:proofErr w:type="spellEnd"/>
      <w:r w:rsidRPr="00EF7A9D">
        <w:t xml:space="preserve"> and AUC for Studies 007 and 010, which were undertaken in healthy subjects, as they have done for the</w:t>
      </w:r>
      <w:r w:rsidR="00D019E7">
        <w:t xml:space="preserve"> studies in patients with CF (T</w:t>
      </w:r>
      <w:r w:rsidRPr="00FA6E3D">
        <w:t>ab</w:t>
      </w:r>
      <w:r w:rsidR="00FA6E3D" w:rsidRPr="00FA6E3D">
        <w:t>les 4 and 5</w:t>
      </w:r>
      <w:r w:rsidR="00FA6E3D">
        <w:t xml:space="preserve"> in Attachment 2)?</w:t>
      </w:r>
    </w:p>
    <w:p w:rsidR="008D5504" w:rsidRPr="008D5504" w:rsidRDefault="008D5504" w:rsidP="008D5504">
      <w:pPr>
        <w:pStyle w:val="Heading5"/>
        <w:rPr>
          <w:rFonts w:eastAsia="MS Mincho"/>
        </w:rPr>
      </w:pPr>
      <w:r w:rsidRPr="008D5504">
        <w:rPr>
          <w:rFonts w:eastAsia="MS Mincho"/>
        </w:rPr>
        <w:t>Question2</w:t>
      </w:r>
    </w:p>
    <w:p w:rsidR="00605AD4" w:rsidRDefault="008D5504" w:rsidP="00605AD4">
      <w:r w:rsidRPr="00EF7A9D">
        <w:t xml:space="preserve">As it is difficult to judge whether </w:t>
      </w:r>
      <w:proofErr w:type="spellStart"/>
      <w:r w:rsidRPr="00EF7A9D">
        <w:t>ivacaftor</w:t>
      </w:r>
      <w:proofErr w:type="spellEnd"/>
      <w:r w:rsidRPr="00EF7A9D">
        <w:t xml:space="preserve"> PKs are consistent across both CF populations (</w:t>
      </w:r>
      <w:r>
        <w:t>that is</w:t>
      </w:r>
      <w:r w:rsidRPr="00EF7A9D">
        <w:t xml:space="preserve"> reference CF subjects and subjects with</w:t>
      </w:r>
      <w:r w:rsidR="00FA6E3D">
        <w:t xml:space="preserve"> the R117H mutation) a full non</w:t>
      </w:r>
      <w:r w:rsidR="00FA6E3D">
        <w:noBreakHyphen/>
      </w:r>
      <w:r w:rsidRPr="00EF7A9D">
        <w:t>compartmental PK analysis of the results of Study 110, which includes typical PK parameters such T</w:t>
      </w:r>
      <w:r w:rsidRPr="00EF7A9D">
        <w:rPr>
          <w:vertAlign w:val="subscript"/>
        </w:rPr>
        <w:t>max</w:t>
      </w:r>
      <w:r w:rsidRPr="00EF7A9D">
        <w:t>, C</w:t>
      </w:r>
      <w:r w:rsidRPr="00EF7A9D">
        <w:rPr>
          <w:vertAlign w:val="subscript"/>
        </w:rPr>
        <w:t>max</w:t>
      </w:r>
      <w:r w:rsidRPr="00EF7A9D">
        <w:t>, AUC, t</w:t>
      </w:r>
      <w:r w:rsidRPr="00EF7A9D">
        <w:rPr>
          <w:vertAlign w:val="subscript"/>
        </w:rPr>
        <w:t xml:space="preserve">1/2 </w:t>
      </w:r>
      <w:r w:rsidRPr="00EF7A9D">
        <w:t>etc may help answer this question. Therefore, can the sp</w:t>
      </w:r>
      <w:r>
        <w:t>onsor please provide a full non</w:t>
      </w:r>
      <w:r>
        <w:noBreakHyphen/>
      </w:r>
      <w:r w:rsidRPr="00EF7A9D">
        <w:t xml:space="preserve">compartmental analysis of the </w:t>
      </w:r>
      <w:proofErr w:type="spellStart"/>
      <w:r w:rsidRPr="00EF7A9D">
        <w:t>ivacaftor</w:t>
      </w:r>
      <w:proofErr w:type="spellEnd"/>
      <w:r w:rsidRPr="00EF7A9D">
        <w:t xml:space="preserve"> PK parameters for Study 110?</w:t>
      </w:r>
    </w:p>
    <w:p w:rsidR="008D5504" w:rsidRPr="008D5504" w:rsidRDefault="008D5504" w:rsidP="008D5504">
      <w:pPr>
        <w:pStyle w:val="Heading4"/>
      </w:pPr>
      <w:bookmarkStart w:id="88" w:name="_Toc459290753"/>
      <w:r w:rsidRPr="008D5504">
        <w:lastRenderedPageBreak/>
        <w:t>Pharmacodynamics</w:t>
      </w:r>
      <w:bookmarkEnd w:id="88"/>
    </w:p>
    <w:p w:rsidR="008D5504" w:rsidRPr="008D5504" w:rsidRDefault="00D019E7" w:rsidP="008D5504">
      <w:r>
        <w:t>No questions posed.</w:t>
      </w:r>
    </w:p>
    <w:p w:rsidR="008D5504" w:rsidRPr="008D5504" w:rsidRDefault="008D5504" w:rsidP="008D5504">
      <w:pPr>
        <w:pStyle w:val="Heading4"/>
      </w:pPr>
      <w:bookmarkStart w:id="89" w:name="_Toc459290754"/>
      <w:r w:rsidRPr="008D5504">
        <w:t>Efficacy</w:t>
      </w:r>
      <w:bookmarkEnd w:id="89"/>
    </w:p>
    <w:p w:rsidR="008D5504" w:rsidRPr="008D5504" w:rsidRDefault="008D5504" w:rsidP="008D5504">
      <w:pPr>
        <w:pStyle w:val="Heading5"/>
        <w:rPr>
          <w:rFonts w:eastAsia="MS Mincho"/>
        </w:rPr>
      </w:pPr>
      <w:r w:rsidRPr="008D5504">
        <w:rPr>
          <w:rFonts w:eastAsia="MS Mincho"/>
        </w:rPr>
        <w:t>Question1</w:t>
      </w:r>
    </w:p>
    <w:p w:rsidR="008D5504" w:rsidRPr="00A17BD5" w:rsidRDefault="00D019E7" w:rsidP="008D5504">
      <w:r>
        <w:t>In the S</w:t>
      </w:r>
      <w:r w:rsidR="008D5504" w:rsidRPr="00A17BD5">
        <w:t xml:space="preserve">tudy 110, the baseline characteristics seem to indicate that patients in the </w:t>
      </w:r>
      <w:proofErr w:type="spellStart"/>
      <w:r w:rsidR="008D5504" w:rsidRPr="00A17BD5">
        <w:t>ivacaftor</w:t>
      </w:r>
      <w:proofErr w:type="spellEnd"/>
      <w:r w:rsidR="008D5504" w:rsidRPr="00A17BD5">
        <w:t xml:space="preserve"> group had a slightly better profile with less severe disease manifestations at baseline (higher precent predicted FEV</w:t>
      </w:r>
      <w:r w:rsidR="008D5504" w:rsidRPr="00A17BD5">
        <w:rPr>
          <w:vertAlign w:val="subscript"/>
        </w:rPr>
        <w:t>1</w:t>
      </w:r>
      <w:r w:rsidR="008D5504" w:rsidRPr="00A17BD5">
        <w:t>, BMI, lower sweat chloride and P. aeruginosa infection and lower prevalence of the more severe R117H-5T variant) (</w:t>
      </w:r>
      <w:r w:rsidR="008D5504" w:rsidRPr="00FA6E3D">
        <w:t>Table 9</w:t>
      </w:r>
      <w:r w:rsidR="00FA6E3D">
        <w:t xml:space="preserve"> in Attachment 2</w:t>
      </w:r>
      <w:r w:rsidR="008D5504" w:rsidRPr="00A17BD5">
        <w:t>). Could the sponsors clarify if this slight imbalance had any effect on the efficacy results?</w:t>
      </w:r>
    </w:p>
    <w:p w:rsidR="008D5504" w:rsidRPr="008D5504" w:rsidRDefault="008D5504" w:rsidP="008D5504">
      <w:pPr>
        <w:pStyle w:val="Heading5"/>
        <w:rPr>
          <w:rFonts w:eastAsia="MS Mincho"/>
        </w:rPr>
      </w:pPr>
      <w:r w:rsidRPr="008D5504">
        <w:rPr>
          <w:rFonts w:eastAsia="MS Mincho"/>
        </w:rPr>
        <w:t>Question2</w:t>
      </w:r>
    </w:p>
    <w:p w:rsidR="008D5504" w:rsidRDefault="008D5504" w:rsidP="008D5504">
      <w:pPr>
        <w:rPr>
          <w:lang w:eastAsia="ja-JP"/>
        </w:rPr>
      </w:pPr>
      <w:r>
        <w:t>The efficacy and safety data from ongoing, l</w:t>
      </w:r>
      <w:r w:rsidR="00D019E7">
        <w:t>ong-term, 104 week, open-label S</w:t>
      </w:r>
      <w:r>
        <w:t>tudy 112 must be provided for evaluation when the study is completed.</w:t>
      </w:r>
    </w:p>
    <w:p w:rsidR="008D5504" w:rsidRPr="008D5504" w:rsidRDefault="008D5504" w:rsidP="008D5504">
      <w:pPr>
        <w:pStyle w:val="Heading4"/>
      </w:pPr>
      <w:bookmarkStart w:id="90" w:name="_Toc459290755"/>
      <w:r w:rsidRPr="008D5504">
        <w:t>Safety</w:t>
      </w:r>
      <w:bookmarkEnd w:id="90"/>
    </w:p>
    <w:p w:rsidR="008D5504" w:rsidRDefault="00D019E7" w:rsidP="008D5504">
      <w:r>
        <w:t>No questions posed.</w:t>
      </w:r>
    </w:p>
    <w:p w:rsidR="008D5504" w:rsidRPr="008D5504" w:rsidRDefault="008D5504" w:rsidP="008D5504">
      <w:pPr>
        <w:pStyle w:val="Heading4"/>
      </w:pPr>
      <w:bookmarkStart w:id="91" w:name="_Toc459290756"/>
      <w:r w:rsidRPr="008D5504">
        <w:t>PI and CMI</w:t>
      </w:r>
      <w:bookmarkEnd w:id="91"/>
    </w:p>
    <w:p w:rsidR="008D5504" w:rsidRPr="00A17BD5" w:rsidRDefault="00D019E7" w:rsidP="008D5504">
      <w:r>
        <w:t>The evaluator proposed amendments to the PI but these are beyond the scope of this AusPAR.</w:t>
      </w:r>
    </w:p>
    <w:p w:rsidR="00605AD4" w:rsidRPr="00605AD4" w:rsidRDefault="00605AD4" w:rsidP="00605AD4">
      <w:pPr>
        <w:pStyle w:val="Heading3"/>
        <w:rPr>
          <w:rFonts w:eastAsia="Cambria"/>
        </w:rPr>
      </w:pPr>
      <w:bookmarkStart w:id="92" w:name="_Toc472521793"/>
      <w:r w:rsidRPr="00605AD4">
        <w:rPr>
          <w:rFonts w:eastAsia="Cambria"/>
        </w:rPr>
        <w:t xml:space="preserve">Second </w:t>
      </w:r>
      <w:r w:rsidR="00157452" w:rsidRPr="00605AD4">
        <w:rPr>
          <w:rFonts w:eastAsia="Cambria"/>
        </w:rPr>
        <w:t xml:space="preserve">round evaluation </w:t>
      </w:r>
      <w:r w:rsidRPr="00605AD4">
        <w:rPr>
          <w:rFonts w:eastAsia="Cambria"/>
        </w:rPr>
        <w:t>of clinical data submitted in response to questions</w:t>
      </w:r>
      <w:bookmarkEnd w:id="92"/>
    </w:p>
    <w:p w:rsidR="006136D7" w:rsidRPr="00605AD4" w:rsidRDefault="006136D7" w:rsidP="006136D7">
      <w:r>
        <w:t>For details of the sponsor’s responses and the evaluation of these responses please see Attachment 2.</w:t>
      </w:r>
    </w:p>
    <w:p w:rsidR="00605AD4" w:rsidRPr="00605AD4" w:rsidRDefault="00605AD4" w:rsidP="00546154">
      <w:pPr>
        <w:pStyle w:val="Heading3"/>
        <w:rPr>
          <w:rFonts w:eastAsia="Cambria"/>
        </w:rPr>
      </w:pPr>
      <w:bookmarkStart w:id="93" w:name="_Toc472521794"/>
      <w:r w:rsidRPr="00605AD4">
        <w:rPr>
          <w:rFonts w:eastAsia="Cambria"/>
        </w:rPr>
        <w:t xml:space="preserve">Second </w:t>
      </w:r>
      <w:r w:rsidR="00157452" w:rsidRPr="00605AD4">
        <w:rPr>
          <w:rFonts w:eastAsia="Cambria"/>
        </w:rPr>
        <w:t>round benefit-risk assessment</w:t>
      </w:r>
      <w:bookmarkEnd w:id="93"/>
    </w:p>
    <w:p w:rsidR="008D5504" w:rsidRPr="008D5504" w:rsidRDefault="008D5504" w:rsidP="008D5504">
      <w:pPr>
        <w:pStyle w:val="Heading4"/>
      </w:pPr>
      <w:bookmarkStart w:id="94" w:name="_Toc459290761"/>
      <w:r w:rsidRPr="008D5504">
        <w:t>Second round assessment of benefits</w:t>
      </w:r>
      <w:bookmarkEnd w:id="94"/>
    </w:p>
    <w:p w:rsidR="008D5504" w:rsidRPr="008D5504" w:rsidRDefault="008D5504" w:rsidP="008D5504">
      <w:pPr>
        <w:rPr>
          <w:lang w:eastAsia="ja-JP"/>
        </w:rPr>
      </w:pPr>
      <w:r w:rsidRPr="008D5504">
        <w:t xml:space="preserve">After consideration of the responses to clinical questions, the benefits of </w:t>
      </w:r>
      <w:proofErr w:type="spellStart"/>
      <w:r w:rsidRPr="008D5504">
        <w:t>ivacaftor</w:t>
      </w:r>
      <w:proofErr w:type="spellEnd"/>
      <w:r w:rsidRPr="008D5504">
        <w:t xml:space="preserve"> in the proposed usage are unchanged from those identified in </w:t>
      </w:r>
      <w:r w:rsidR="000A0D37">
        <w:t>the first round assessment.</w:t>
      </w:r>
    </w:p>
    <w:p w:rsidR="008D5504" w:rsidRPr="008D5504" w:rsidRDefault="008D5504" w:rsidP="008D5504">
      <w:pPr>
        <w:pStyle w:val="Heading4"/>
      </w:pPr>
      <w:bookmarkStart w:id="95" w:name="_Toc459290762"/>
      <w:r w:rsidRPr="008D5504">
        <w:t>Second round assessment of risks</w:t>
      </w:r>
      <w:bookmarkEnd w:id="95"/>
    </w:p>
    <w:p w:rsidR="008D5504" w:rsidRPr="008D5504" w:rsidRDefault="008D5504" w:rsidP="008D5504">
      <w:r w:rsidRPr="008D5504">
        <w:t xml:space="preserve">After consideration of the responses to clinical questions, the risks of </w:t>
      </w:r>
      <w:proofErr w:type="spellStart"/>
      <w:r w:rsidRPr="008D5504">
        <w:t>Ivacaftor</w:t>
      </w:r>
      <w:proofErr w:type="spellEnd"/>
      <w:r w:rsidRPr="008D5504">
        <w:t xml:space="preserve"> in the proposed usage are unchanged from those identified in </w:t>
      </w:r>
      <w:r w:rsidR="000A0D37">
        <w:t>the first round assessment.</w:t>
      </w:r>
    </w:p>
    <w:p w:rsidR="008D5504" w:rsidRPr="008D5504" w:rsidRDefault="008D5504" w:rsidP="008D5504">
      <w:pPr>
        <w:pStyle w:val="Heading4"/>
      </w:pPr>
      <w:bookmarkStart w:id="96" w:name="_Toc459290763"/>
      <w:r w:rsidRPr="008D5504">
        <w:t>Second round assessment of benefit-risk balance</w:t>
      </w:r>
      <w:bookmarkEnd w:id="96"/>
    </w:p>
    <w:p w:rsidR="008D5504" w:rsidRPr="008D5504" w:rsidRDefault="008D5504" w:rsidP="008D5504">
      <w:r w:rsidRPr="008D5504">
        <w:t xml:space="preserve">The benefit-risk balance of </w:t>
      </w:r>
      <w:proofErr w:type="spellStart"/>
      <w:r w:rsidRPr="008D5504">
        <w:t>ivacaftor</w:t>
      </w:r>
      <w:proofErr w:type="spellEnd"/>
      <w:r w:rsidRPr="008D5504">
        <w:t xml:space="preserve"> in the proposed usage is favourable.</w:t>
      </w:r>
    </w:p>
    <w:p w:rsidR="008E7846" w:rsidRPr="00E41208" w:rsidRDefault="008E7846" w:rsidP="00546154">
      <w:pPr>
        <w:pStyle w:val="Heading2"/>
      </w:pPr>
      <w:bookmarkStart w:id="97" w:name="_Toc472521795"/>
      <w:r w:rsidRPr="00E41208">
        <w:lastRenderedPageBreak/>
        <w:t xml:space="preserve">V. Pharmacovigilance </w:t>
      </w:r>
      <w:r>
        <w:t>f</w:t>
      </w:r>
      <w:r w:rsidRPr="00E41208">
        <w:t>indings</w:t>
      </w:r>
      <w:bookmarkEnd w:id="81"/>
      <w:bookmarkEnd w:id="82"/>
      <w:bookmarkEnd w:id="97"/>
    </w:p>
    <w:p w:rsidR="008E7846" w:rsidRDefault="00386150" w:rsidP="008E7846">
      <w:pPr>
        <w:pStyle w:val="Heading3"/>
        <w:rPr>
          <w:lang w:eastAsia="en-AU"/>
        </w:rPr>
      </w:pPr>
      <w:bookmarkStart w:id="98" w:name="_Toc247691526"/>
      <w:bookmarkStart w:id="99" w:name="_Toc314842509"/>
      <w:bookmarkStart w:id="100" w:name="_Toc472521796"/>
      <w:r>
        <w:rPr>
          <w:lang w:eastAsia="en-AU"/>
        </w:rPr>
        <w:t>Risk m</w:t>
      </w:r>
      <w:r w:rsidR="008E7846">
        <w:rPr>
          <w:lang w:eastAsia="en-AU"/>
        </w:rPr>
        <w:t xml:space="preserve">anagement </w:t>
      </w:r>
      <w:r>
        <w:rPr>
          <w:lang w:eastAsia="en-AU"/>
        </w:rPr>
        <w:t>p</w:t>
      </w:r>
      <w:r w:rsidR="008E7846">
        <w:rPr>
          <w:lang w:eastAsia="en-AU"/>
        </w:rPr>
        <w:t>lan</w:t>
      </w:r>
      <w:bookmarkEnd w:id="98"/>
      <w:bookmarkEnd w:id="99"/>
      <w:r w:rsidR="00B96C82">
        <w:rPr>
          <w:lang w:eastAsia="en-AU"/>
        </w:rPr>
        <w:t xml:space="preserve"> (RMP)</w:t>
      </w:r>
      <w:bookmarkEnd w:id="100"/>
    </w:p>
    <w:p w:rsidR="00E242DD" w:rsidRPr="00E242DD" w:rsidRDefault="00E242DD" w:rsidP="00E242DD">
      <w:pPr>
        <w:rPr>
          <w:lang w:eastAsia="en-AU"/>
        </w:rPr>
      </w:pPr>
      <w:r>
        <w:rPr>
          <w:lang w:eastAsia="en-AU"/>
        </w:rPr>
        <w:t>The sponsor submitted a Risk Management Plan (EU-RMP version 3.0 dated 27 July 2014 (data lock point 23 July 2013) with Australian Specific Annex version 2.0 dated 31 March 2015 which was reviewed by the 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w:t>
      </w:r>
      <w:r w:rsidRPr="006A18ED">
        <w:rPr>
          <w:lang w:eastAsia="en-AU"/>
        </w:rPr>
        <w:t xml:space="preserve">at </w:t>
      </w:r>
      <w:r w:rsidR="006A18ED" w:rsidRPr="006A18ED">
        <w:rPr>
          <w:lang w:eastAsia="en-AU"/>
        </w:rPr>
        <w:t>Table 4</w:t>
      </w:r>
      <w:r w:rsidRPr="006A18ED">
        <w:rPr>
          <w:lang w:eastAsia="en-AU"/>
        </w:rPr>
        <w:t>.</w:t>
      </w:r>
    </w:p>
    <w:p w:rsidR="00641A24" w:rsidRDefault="006A18ED" w:rsidP="00641A24">
      <w:pPr>
        <w:pStyle w:val="Tabletitle0"/>
        <w:rPr>
          <w:lang w:eastAsia="en-AU"/>
        </w:rPr>
      </w:pPr>
      <w:r>
        <w:rPr>
          <w:lang w:eastAsia="en-AU"/>
        </w:rPr>
        <w:t>Table 4:</w:t>
      </w:r>
      <w:r w:rsidR="00641A24">
        <w:rPr>
          <w:lang w:eastAsia="en-AU"/>
        </w:rPr>
        <w:t xml:space="preserve"> </w:t>
      </w:r>
      <w:r w:rsidR="00B34123">
        <w:rPr>
          <w:lang w:eastAsia="en-AU"/>
        </w:rPr>
        <w:t>S</w:t>
      </w:r>
      <w:r w:rsidR="00F26DBD">
        <w:rPr>
          <w:lang w:eastAsia="en-AU"/>
        </w:rPr>
        <w:t xml:space="preserve">ummary of </w:t>
      </w:r>
      <w:r w:rsidR="008E5BE9">
        <w:rPr>
          <w:lang w:eastAsia="en-AU"/>
        </w:rPr>
        <w:t xml:space="preserve">ongoing </w:t>
      </w:r>
      <w:r w:rsidR="00F26DBD">
        <w:rPr>
          <w:lang w:eastAsia="en-AU"/>
        </w:rPr>
        <w:t>safety concerns</w:t>
      </w:r>
    </w:p>
    <w:tbl>
      <w:tblPr>
        <w:tblStyle w:val="TableTGAblue"/>
        <w:tblW w:w="0" w:type="auto"/>
        <w:tblLook w:val="04A0" w:firstRow="1" w:lastRow="0" w:firstColumn="1" w:lastColumn="0" w:noHBand="0" w:noVBand="1"/>
      </w:tblPr>
      <w:tblGrid>
        <w:gridCol w:w="4360"/>
        <w:gridCol w:w="4360"/>
      </w:tblGrid>
      <w:tr w:rsidR="008E5BE9" w:rsidTr="008E5BE9">
        <w:trPr>
          <w:cnfStyle w:val="100000000000" w:firstRow="1" w:lastRow="0" w:firstColumn="0" w:lastColumn="0" w:oddVBand="0" w:evenVBand="0" w:oddHBand="0" w:evenHBand="0" w:firstRowFirstColumn="0" w:firstRowLastColumn="0" w:lastRowFirstColumn="0" w:lastRowLastColumn="0"/>
        </w:trPr>
        <w:tc>
          <w:tcPr>
            <w:tcW w:w="4360" w:type="dxa"/>
          </w:tcPr>
          <w:p w:rsidR="008E5BE9" w:rsidRPr="008E5BE9" w:rsidRDefault="008E5BE9" w:rsidP="00157452">
            <w:r>
              <w:t>Safety concerns</w:t>
            </w:r>
          </w:p>
        </w:tc>
        <w:tc>
          <w:tcPr>
            <w:tcW w:w="4360" w:type="dxa"/>
          </w:tcPr>
          <w:p w:rsidR="008E5BE9" w:rsidRPr="008E5BE9" w:rsidRDefault="008E5BE9" w:rsidP="00157452"/>
        </w:tc>
      </w:tr>
      <w:tr w:rsidR="006C3669" w:rsidTr="008E5BE9">
        <w:tc>
          <w:tcPr>
            <w:tcW w:w="4360" w:type="dxa"/>
          </w:tcPr>
          <w:p w:rsidR="006C3669" w:rsidRPr="008E5BE9" w:rsidRDefault="006C3669" w:rsidP="00157452">
            <w:r w:rsidRPr="008E5BE9">
              <w:t>Important identified risks</w:t>
            </w:r>
          </w:p>
        </w:tc>
        <w:tc>
          <w:tcPr>
            <w:tcW w:w="4360" w:type="dxa"/>
          </w:tcPr>
          <w:p w:rsidR="006C3669" w:rsidRPr="008E5BE9" w:rsidRDefault="006C3669" w:rsidP="00157452">
            <w:r w:rsidRPr="008E5BE9">
              <w:t>None</w:t>
            </w:r>
          </w:p>
        </w:tc>
      </w:tr>
      <w:tr w:rsidR="006C3669" w:rsidTr="008E5BE9">
        <w:tc>
          <w:tcPr>
            <w:tcW w:w="4360" w:type="dxa"/>
          </w:tcPr>
          <w:p w:rsidR="006C3669" w:rsidRPr="008E5BE9" w:rsidRDefault="006C3669" w:rsidP="00157452">
            <w:r w:rsidRPr="008E5BE9">
              <w:t>Important potential risks</w:t>
            </w:r>
          </w:p>
        </w:tc>
        <w:tc>
          <w:tcPr>
            <w:tcW w:w="4360" w:type="dxa"/>
          </w:tcPr>
          <w:p w:rsidR="006C3669" w:rsidRPr="008E5BE9" w:rsidRDefault="006C3669" w:rsidP="00157452">
            <w:r w:rsidRPr="008E5BE9">
              <w:t>Effects on liver function tests</w:t>
            </w:r>
          </w:p>
          <w:p w:rsidR="006C3669" w:rsidRPr="008E5BE9" w:rsidRDefault="006C3669" w:rsidP="00157452">
            <w:r w:rsidRPr="008E5BE9">
              <w:t>Cataract</w:t>
            </w:r>
          </w:p>
          <w:p w:rsidR="006C3669" w:rsidRPr="008E5BE9" w:rsidRDefault="006C3669" w:rsidP="00157452">
            <w:r w:rsidRPr="008E5BE9">
              <w:t xml:space="preserve">Concomitant use of </w:t>
            </w:r>
            <w:proofErr w:type="spellStart"/>
            <w:r w:rsidRPr="008E5BE9">
              <w:t>ivacaftor</w:t>
            </w:r>
            <w:proofErr w:type="spellEnd"/>
            <w:r w:rsidRPr="008E5BE9">
              <w:t xml:space="preserve"> with strong CYP3A inhibitors or inducers</w:t>
            </w:r>
          </w:p>
          <w:p w:rsidR="006C3669" w:rsidRPr="008E5BE9" w:rsidRDefault="006C3669" w:rsidP="00157452">
            <w:r w:rsidRPr="008E5BE9">
              <w:t>Cardiac arrhythmias</w:t>
            </w:r>
          </w:p>
          <w:p w:rsidR="006C3669" w:rsidRPr="008E5BE9" w:rsidRDefault="006C3669" w:rsidP="00157452">
            <w:r w:rsidRPr="008E5BE9">
              <w:t xml:space="preserve">Off-label use in children not of an approved age and in patients without an approved </w:t>
            </w:r>
            <w:r w:rsidRPr="008E5BE9">
              <w:rPr>
                <w:i/>
              </w:rPr>
              <w:t>CFTR</w:t>
            </w:r>
            <w:r w:rsidRPr="008E5BE9">
              <w:t xml:space="preserve"> mutation</w:t>
            </w:r>
          </w:p>
        </w:tc>
      </w:tr>
      <w:tr w:rsidR="006C3669" w:rsidTr="008E5BE9">
        <w:tc>
          <w:tcPr>
            <w:tcW w:w="4360" w:type="dxa"/>
          </w:tcPr>
          <w:p w:rsidR="006C3669" w:rsidRPr="008E5BE9" w:rsidRDefault="006C3669" w:rsidP="00157452">
            <w:r w:rsidRPr="008E5BE9">
              <w:t>Missing information</w:t>
            </w:r>
          </w:p>
        </w:tc>
        <w:tc>
          <w:tcPr>
            <w:tcW w:w="4360" w:type="dxa"/>
          </w:tcPr>
          <w:p w:rsidR="006C3669" w:rsidRPr="008E5BE9" w:rsidRDefault="006C3669" w:rsidP="00157452">
            <w:r w:rsidRPr="008E5BE9">
              <w:t>Use in pregnant and lactating women</w:t>
            </w:r>
          </w:p>
          <w:p w:rsidR="006C3669" w:rsidRPr="008E5BE9" w:rsidRDefault="006C3669" w:rsidP="00157452">
            <w:r w:rsidRPr="008E5BE9">
              <w:t xml:space="preserve">Pulmonary exacerbations and bacterial sputum colonization with long-term </w:t>
            </w:r>
            <w:proofErr w:type="spellStart"/>
            <w:r w:rsidRPr="008E5BE9">
              <w:t>ivacaftor</w:t>
            </w:r>
            <w:proofErr w:type="spellEnd"/>
            <w:r w:rsidRPr="008E5BE9">
              <w:t xml:space="preserve"> treatment</w:t>
            </w:r>
          </w:p>
          <w:p w:rsidR="006C3669" w:rsidRPr="008E5BE9" w:rsidRDefault="006C3669" w:rsidP="00157452">
            <w:r w:rsidRPr="008E5BE9">
              <w:t>Use in children between 6 to 11 years old</w:t>
            </w:r>
          </w:p>
          <w:p w:rsidR="006C3669" w:rsidRPr="008E5BE9" w:rsidRDefault="006C3669" w:rsidP="00157452">
            <w:r w:rsidRPr="008E5BE9">
              <w:t>Patients with FEV1 &lt;40%</w:t>
            </w:r>
          </w:p>
          <w:p w:rsidR="006C3669" w:rsidRPr="008E5BE9" w:rsidRDefault="006C3669" w:rsidP="00157452">
            <w:r w:rsidRPr="008E5BE9">
              <w:t>Safety in patients with cardiac disease</w:t>
            </w:r>
          </w:p>
          <w:p w:rsidR="006C3669" w:rsidRPr="008E5BE9" w:rsidRDefault="006C3669" w:rsidP="00157452">
            <w:r w:rsidRPr="008E5BE9">
              <w:t>Long-term safety</w:t>
            </w:r>
          </w:p>
          <w:p w:rsidR="006C3669" w:rsidRPr="008E5BE9" w:rsidRDefault="006C3669" w:rsidP="00157452">
            <w:r w:rsidRPr="008E5BE9">
              <w:t>Clinical relevance of P-</w:t>
            </w:r>
            <w:proofErr w:type="spellStart"/>
            <w:r w:rsidRPr="008E5BE9">
              <w:t>gp</w:t>
            </w:r>
            <w:proofErr w:type="spellEnd"/>
            <w:r w:rsidRPr="008E5BE9">
              <w:t xml:space="preserve"> inhibition by </w:t>
            </w:r>
            <w:proofErr w:type="spellStart"/>
            <w:r w:rsidRPr="008E5BE9">
              <w:t>ivacaftor</w:t>
            </w:r>
            <w:proofErr w:type="spellEnd"/>
          </w:p>
          <w:p w:rsidR="006C3669" w:rsidRPr="008E5BE9" w:rsidRDefault="006C3669" w:rsidP="00157452">
            <w:r w:rsidRPr="008E5BE9">
              <w:t>Patients with moderate or severe hepatic impairment</w:t>
            </w:r>
          </w:p>
        </w:tc>
      </w:tr>
    </w:tbl>
    <w:p w:rsidR="00F26DBD" w:rsidRDefault="00F26DBD" w:rsidP="00F26DBD">
      <w:pPr>
        <w:pStyle w:val="TableDescription"/>
        <w:rPr>
          <w:lang w:eastAsia="en-AU"/>
        </w:rPr>
      </w:pPr>
      <w:r>
        <w:rPr>
          <w:lang w:eastAsia="en-AU"/>
        </w:rPr>
        <w:t>CFTR: cystic fibrosis transmem</w:t>
      </w:r>
      <w:r w:rsidR="00423202">
        <w:rPr>
          <w:lang w:eastAsia="en-AU"/>
        </w:rPr>
        <w:t>bran</w:t>
      </w:r>
      <w:r>
        <w:rPr>
          <w:lang w:eastAsia="en-AU"/>
        </w:rPr>
        <w:t>e conductance regulator; CYP: cytochrome P450; FEV</w:t>
      </w:r>
      <w:r w:rsidRPr="004922EB">
        <w:rPr>
          <w:vertAlign w:val="subscript"/>
          <w:lang w:eastAsia="en-AU"/>
        </w:rPr>
        <w:t>1</w:t>
      </w:r>
      <w:r>
        <w:rPr>
          <w:lang w:eastAsia="en-AU"/>
        </w:rPr>
        <w:t>: forced expiratory volume in 1 second; P-gp: permeability glycoprotein</w:t>
      </w:r>
    </w:p>
    <w:p w:rsidR="00AA7E37" w:rsidRDefault="00AA7E37" w:rsidP="00AA7E37">
      <w:pPr>
        <w:pStyle w:val="Heading4"/>
        <w:rPr>
          <w:lang w:eastAsia="en-AU"/>
        </w:rPr>
      </w:pPr>
      <w:r>
        <w:rPr>
          <w:lang w:eastAsia="en-AU"/>
        </w:rPr>
        <w:t>Pharmacovigilance plan</w:t>
      </w:r>
    </w:p>
    <w:p w:rsidR="00AA7E37" w:rsidRPr="00641A24" w:rsidRDefault="00AA7E37" w:rsidP="00AA7E37">
      <w:pPr>
        <w:pStyle w:val="Heading5"/>
      </w:pPr>
      <w:r w:rsidRPr="00641A24">
        <w:t>Proposed pharmacovigilance activitie</w:t>
      </w:r>
      <w:r>
        <w:t>s</w:t>
      </w:r>
    </w:p>
    <w:p w:rsidR="00AA7E37" w:rsidRDefault="00C22B9A" w:rsidP="00AA7E37">
      <w:r w:rsidRPr="00C22B9A">
        <w:t>Table</w:t>
      </w:r>
      <w:r>
        <w:t xml:space="preserve"> 5</w:t>
      </w:r>
      <w:r w:rsidR="00AA7E37">
        <w:t xml:space="preserve"> </w:t>
      </w:r>
      <w:r w:rsidR="007F465F">
        <w:t>and 6 summarise</w:t>
      </w:r>
      <w:r w:rsidR="00AA7E37" w:rsidRPr="000F03F6">
        <w:t xml:space="preserve"> the pharmacovigilance activities. The content of the table</w:t>
      </w:r>
      <w:r w:rsidR="007F465F">
        <w:t>s are</w:t>
      </w:r>
      <w:r w:rsidR="00AA7E37" w:rsidRPr="000F03F6">
        <w:t xml:space="preserve"> based on the information provided in the EU-RMP and the ASA:</w:t>
      </w:r>
    </w:p>
    <w:p w:rsidR="00AA7E37" w:rsidRDefault="00C22B9A" w:rsidP="00AA7E37">
      <w:pPr>
        <w:pStyle w:val="Tabletitle0"/>
      </w:pPr>
      <w:r>
        <w:lastRenderedPageBreak/>
        <w:t xml:space="preserve">Table 5: </w:t>
      </w:r>
      <w:r w:rsidR="00273A2B">
        <w:t>P</w:t>
      </w:r>
      <w:r w:rsidR="000E31EF">
        <w:t>harmacovigilance activities (</w:t>
      </w:r>
      <w:r>
        <w:t>i</w:t>
      </w:r>
      <w:r w:rsidR="00AA7E37">
        <w:t>mportant identified risks</w:t>
      </w:r>
      <w:r w:rsidR="000E31EF">
        <w:t>)</w:t>
      </w:r>
    </w:p>
    <w:tbl>
      <w:tblPr>
        <w:tblStyle w:val="TableTGAblue"/>
        <w:tblW w:w="0" w:type="auto"/>
        <w:tblLook w:val="04A0" w:firstRow="1" w:lastRow="0" w:firstColumn="1" w:lastColumn="0" w:noHBand="0" w:noVBand="1"/>
      </w:tblPr>
      <w:tblGrid>
        <w:gridCol w:w="4360"/>
        <w:gridCol w:w="4360"/>
      </w:tblGrid>
      <w:tr w:rsidR="00AA7E37" w:rsidTr="00C243FE">
        <w:trPr>
          <w:cnfStyle w:val="100000000000" w:firstRow="1" w:lastRow="0" w:firstColumn="0" w:lastColumn="0" w:oddVBand="0" w:evenVBand="0" w:oddHBand="0" w:evenHBand="0" w:firstRowFirstColumn="0" w:firstRowLastColumn="0" w:lastRowFirstColumn="0" w:lastRowLastColumn="0"/>
        </w:trPr>
        <w:tc>
          <w:tcPr>
            <w:tcW w:w="4360" w:type="dxa"/>
          </w:tcPr>
          <w:p w:rsidR="00AA7E37" w:rsidRDefault="00AA7E37" w:rsidP="00157452">
            <w:r>
              <w:t>Important identified risk</w:t>
            </w:r>
          </w:p>
        </w:tc>
        <w:tc>
          <w:tcPr>
            <w:tcW w:w="4360" w:type="dxa"/>
          </w:tcPr>
          <w:p w:rsidR="00AA7E37" w:rsidRDefault="00AA7E37" w:rsidP="00157452">
            <w:r>
              <w:t>Pharmacovigilance activities</w:t>
            </w:r>
          </w:p>
        </w:tc>
      </w:tr>
      <w:tr w:rsidR="00AA7E37" w:rsidTr="00C243FE">
        <w:tc>
          <w:tcPr>
            <w:tcW w:w="4360" w:type="dxa"/>
          </w:tcPr>
          <w:p w:rsidR="00AA7E37" w:rsidRPr="007A52E1" w:rsidRDefault="00AA7E37" w:rsidP="00157452">
            <w:pPr>
              <w:rPr>
                <w:sz w:val="19"/>
                <w:szCs w:val="19"/>
              </w:rPr>
            </w:pPr>
            <w:r w:rsidRPr="007A52E1">
              <w:rPr>
                <w:sz w:val="19"/>
                <w:szCs w:val="19"/>
              </w:rPr>
              <w:t>Effects on liver test function tests</w:t>
            </w:r>
          </w:p>
        </w:tc>
        <w:tc>
          <w:tcPr>
            <w:tcW w:w="4360" w:type="dxa"/>
          </w:tcPr>
          <w:p w:rsidR="00AA7E37" w:rsidRPr="007A52E1" w:rsidRDefault="00AA7E37" w:rsidP="00157452">
            <w:pPr>
              <w:pStyle w:val="ListBullet"/>
            </w:pPr>
            <w:r w:rsidRPr="007A52E1">
              <w:t>Routine pharmacovigilance;</w:t>
            </w:r>
          </w:p>
          <w:p w:rsidR="00AA7E37" w:rsidRPr="007A52E1" w:rsidRDefault="007F465F" w:rsidP="00157452">
            <w:pPr>
              <w:pStyle w:val="ListBullet"/>
            </w:pPr>
            <w:r>
              <w:t>Study 105, two-year follow-up S</w:t>
            </w:r>
            <w:r w:rsidR="00AA7E37" w:rsidRPr="007A52E1">
              <w:t>tudy 102, 103, 104.</w:t>
            </w:r>
          </w:p>
        </w:tc>
      </w:tr>
      <w:tr w:rsidR="00AA7E37" w:rsidTr="00C243FE">
        <w:tc>
          <w:tcPr>
            <w:tcW w:w="4360" w:type="dxa"/>
          </w:tcPr>
          <w:p w:rsidR="00AA7E37" w:rsidRPr="007A52E1" w:rsidRDefault="00AA7E37" w:rsidP="00157452">
            <w:pPr>
              <w:rPr>
                <w:sz w:val="19"/>
                <w:szCs w:val="19"/>
              </w:rPr>
            </w:pPr>
            <w:r w:rsidRPr="007A52E1">
              <w:rPr>
                <w:sz w:val="19"/>
                <w:szCs w:val="19"/>
              </w:rPr>
              <w:t>Cataract</w:t>
            </w:r>
          </w:p>
        </w:tc>
        <w:tc>
          <w:tcPr>
            <w:tcW w:w="4360" w:type="dxa"/>
          </w:tcPr>
          <w:p w:rsidR="00AA7E37" w:rsidRPr="007A52E1" w:rsidRDefault="00AA7E37" w:rsidP="00157452">
            <w:pPr>
              <w:pStyle w:val="ListBullet"/>
            </w:pPr>
            <w:r w:rsidRPr="007A52E1">
              <w:t>Routine pharmacovigilance;</w:t>
            </w:r>
          </w:p>
          <w:p w:rsidR="00AA7E37" w:rsidRPr="007A52E1" w:rsidRDefault="00AA7E37" w:rsidP="00157452">
            <w:pPr>
              <w:pStyle w:val="ListBullet"/>
            </w:pPr>
            <w:r w:rsidRPr="007A52E1">
              <w:t>Study 115;</w:t>
            </w:r>
          </w:p>
          <w:p w:rsidR="00AA7E37" w:rsidRPr="007A52E1" w:rsidRDefault="00AA7E37" w:rsidP="00157452">
            <w:pPr>
              <w:pStyle w:val="ListBullet"/>
            </w:pPr>
            <w:r w:rsidRPr="007A52E1">
              <w:t xml:space="preserve">Detailed </w:t>
            </w:r>
            <w:proofErr w:type="spellStart"/>
            <w:r w:rsidRPr="007A52E1">
              <w:t>opthalmological</w:t>
            </w:r>
            <w:proofErr w:type="spellEnd"/>
            <w:r w:rsidRPr="007A52E1">
              <w:t xml:space="preserve"> examinations introduced to the clinical development plan</w:t>
            </w:r>
          </w:p>
        </w:tc>
      </w:tr>
      <w:tr w:rsidR="00AA7E37" w:rsidRPr="009E44D6" w:rsidTr="00C243FE">
        <w:tc>
          <w:tcPr>
            <w:tcW w:w="4360" w:type="dxa"/>
          </w:tcPr>
          <w:p w:rsidR="00AA7E37" w:rsidRPr="009E44D6" w:rsidRDefault="00AA7E37" w:rsidP="00157452">
            <w:pPr>
              <w:rPr>
                <w:sz w:val="19"/>
                <w:szCs w:val="19"/>
              </w:rPr>
            </w:pPr>
            <w:r w:rsidRPr="009E44D6">
              <w:rPr>
                <w:sz w:val="19"/>
                <w:szCs w:val="19"/>
              </w:rPr>
              <w:t xml:space="preserve">Concomitant use of </w:t>
            </w:r>
            <w:proofErr w:type="spellStart"/>
            <w:r w:rsidRPr="009E44D6">
              <w:rPr>
                <w:sz w:val="19"/>
                <w:szCs w:val="19"/>
              </w:rPr>
              <w:t>ivacaftor</w:t>
            </w:r>
            <w:proofErr w:type="spellEnd"/>
            <w:r w:rsidRPr="009E44D6">
              <w:rPr>
                <w:sz w:val="19"/>
                <w:szCs w:val="19"/>
              </w:rPr>
              <w:t xml:space="preserve"> with strong CYP3A inhibitors or inducers</w:t>
            </w:r>
          </w:p>
        </w:tc>
        <w:tc>
          <w:tcPr>
            <w:tcW w:w="4360" w:type="dxa"/>
          </w:tcPr>
          <w:p w:rsidR="00AA7E37" w:rsidRPr="009E44D6" w:rsidRDefault="00AA7E37" w:rsidP="00157452">
            <w:pPr>
              <w:pStyle w:val="ListBullet"/>
            </w:pPr>
            <w:r w:rsidRPr="009E44D6">
              <w:t>Routine pharmacovigilance;</w:t>
            </w:r>
          </w:p>
          <w:p w:rsidR="00AA7E37" w:rsidRPr="009E44D6" w:rsidRDefault="00AA7E37" w:rsidP="00157452">
            <w:pPr>
              <w:pStyle w:val="ListBullet"/>
            </w:pPr>
            <w:r w:rsidRPr="009E44D6">
              <w:t>Study 105, two-year follow-up from Study 102, 103, 104;</w:t>
            </w:r>
          </w:p>
          <w:p w:rsidR="00AA7E37" w:rsidRPr="009E44D6" w:rsidRDefault="00AA7E37" w:rsidP="00157452">
            <w:pPr>
              <w:pStyle w:val="ListBullet"/>
            </w:pPr>
            <w:r w:rsidRPr="009E44D6">
              <w:t>An obser</w:t>
            </w:r>
            <w:r w:rsidR="007F465F">
              <w:t>vational study to evaluate long</w:t>
            </w:r>
            <w:r w:rsidR="007F465F">
              <w:noBreakHyphen/>
            </w:r>
            <w:r w:rsidRPr="009E44D6">
              <w:t>term, safety.</w:t>
            </w:r>
          </w:p>
        </w:tc>
      </w:tr>
      <w:tr w:rsidR="00AA7E37" w:rsidRPr="009E44D6" w:rsidTr="00C243FE">
        <w:tc>
          <w:tcPr>
            <w:tcW w:w="4360" w:type="dxa"/>
          </w:tcPr>
          <w:p w:rsidR="00AA7E37" w:rsidRPr="009E44D6" w:rsidRDefault="00AA7E37" w:rsidP="00157452">
            <w:pPr>
              <w:rPr>
                <w:sz w:val="19"/>
                <w:szCs w:val="19"/>
              </w:rPr>
            </w:pPr>
            <w:r w:rsidRPr="009E44D6">
              <w:rPr>
                <w:sz w:val="19"/>
                <w:szCs w:val="19"/>
              </w:rPr>
              <w:t>Off-label use in children not of an approved age and in patients without an approved CFTR mutation.</w:t>
            </w:r>
          </w:p>
        </w:tc>
        <w:tc>
          <w:tcPr>
            <w:tcW w:w="4360" w:type="dxa"/>
          </w:tcPr>
          <w:p w:rsidR="00AA7E37" w:rsidRPr="009E44D6" w:rsidRDefault="00AA7E37" w:rsidP="00157452">
            <w:pPr>
              <w:pStyle w:val="ListBullet"/>
            </w:pPr>
            <w:r w:rsidRPr="009E44D6">
              <w:t>Routine pharmacovigilance;</w:t>
            </w:r>
          </w:p>
          <w:p w:rsidR="00AA7E37" w:rsidRPr="009E44D6" w:rsidRDefault="00AA7E37" w:rsidP="00157452">
            <w:pPr>
              <w:pStyle w:val="ListBullet"/>
            </w:pPr>
            <w:r w:rsidRPr="009E44D6">
              <w:t>An obser</w:t>
            </w:r>
            <w:r w:rsidR="007F465F">
              <w:t>vational study to evaluate long</w:t>
            </w:r>
            <w:r w:rsidR="007F465F">
              <w:noBreakHyphen/>
            </w:r>
            <w:r w:rsidRPr="009E44D6">
              <w:t>term, safety.</w:t>
            </w:r>
          </w:p>
        </w:tc>
      </w:tr>
    </w:tbl>
    <w:p w:rsidR="00AA7E37" w:rsidRDefault="007F465F" w:rsidP="00AA7E37">
      <w:pPr>
        <w:pStyle w:val="Tabletitle0"/>
      </w:pPr>
      <w:r>
        <w:t xml:space="preserve">Table 6: </w:t>
      </w:r>
      <w:r w:rsidR="00273A2B">
        <w:t>P</w:t>
      </w:r>
      <w:r w:rsidR="007B1BB3">
        <w:t>harmacovigilance activities (</w:t>
      </w:r>
      <w:r>
        <w:t>missing information</w:t>
      </w:r>
      <w:r w:rsidR="007B1BB3">
        <w:t>)</w:t>
      </w:r>
    </w:p>
    <w:tbl>
      <w:tblPr>
        <w:tblStyle w:val="TableTGAblue"/>
        <w:tblW w:w="0" w:type="auto"/>
        <w:tblLook w:val="04A0" w:firstRow="1" w:lastRow="0" w:firstColumn="1" w:lastColumn="0" w:noHBand="0" w:noVBand="1"/>
      </w:tblPr>
      <w:tblGrid>
        <w:gridCol w:w="4360"/>
        <w:gridCol w:w="4360"/>
      </w:tblGrid>
      <w:tr w:rsidR="00AA7E37" w:rsidRPr="00157452" w:rsidTr="00C243FE">
        <w:trPr>
          <w:cnfStyle w:val="100000000000" w:firstRow="1" w:lastRow="0" w:firstColumn="0" w:lastColumn="0" w:oddVBand="0" w:evenVBand="0" w:oddHBand="0" w:evenHBand="0" w:firstRowFirstColumn="0" w:firstRowLastColumn="0" w:lastRowFirstColumn="0" w:lastRowLastColumn="0"/>
        </w:trPr>
        <w:tc>
          <w:tcPr>
            <w:tcW w:w="4360" w:type="dxa"/>
          </w:tcPr>
          <w:p w:rsidR="00AA7E37" w:rsidRPr="00157452" w:rsidRDefault="00AA7E37" w:rsidP="00157452">
            <w:pPr>
              <w:rPr>
                <w:szCs w:val="22"/>
              </w:rPr>
            </w:pPr>
            <w:r w:rsidRPr="00157452">
              <w:rPr>
                <w:szCs w:val="22"/>
              </w:rPr>
              <w:t>Missing information</w:t>
            </w:r>
          </w:p>
        </w:tc>
        <w:tc>
          <w:tcPr>
            <w:tcW w:w="4360" w:type="dxa"/>
          </w:tcPr>
          <w:p w:rsidR="00AA7E37" w:rsidRPr="00157452" w:rsidRDefault="00AA7E37" w:rsidP="00157452">
            <w:pPr>
              <w:rPr>
                <w:szCs w:val="22"/>
              </w:rPr>
            </w:pPr>
            <w:r w:rsidRPr="00157452">
              <w:rPr>
                <w:szCs w:val="22"/>
              </w:rPr>
              <w:t>Pharmacovigilance activities</w:t>
            </w:r>
          </w:p>
        </w:tc>
      </w:tr>
      <w:tr w:rsidR="00AA7E37" w:rsidRPr="00157452" w:rsidTr="00C243FE">
        <w:tc>
          <w:tcPr>
            <w:tcW w:w="4360" w:type="dxa"/>
          </w:tcPr>
          <w:p w:rsidR="00AA7E37" w:rsidRPr="00157452" w:rsidRDefault="00AA7E37" w:rsidP="00157452">
            <w:pPr>
              <w:rPr>
                <w:szCs w:val="22"/>
              </w:rPr>
            </w:pPr>
            <w:r w:rsidRPr="00157452">
              <w:rPr>
                <w:szCs w:val="22"/>
              </w:rPr>
              <w:t>Use in pregnant and lactating women</w:t>
            </w:r>
          </w:p>
        </w:tc>
        <w:tc>
          <w:tcPr>
            <w:tcW w:w="4360" w:type="dxa"/>
          </w:tcPr>
          <w:p w:rsidR="00AA7E37" w:rsidRPr="00157452" w:rsidRDefault="00AA7E37" w:rsidP="00157452">
            <w:pPr>
              <w:pStyle w:val="ListBullet"/>
            </w:pPr>
            <w:r w:rsidRPr="00157452">
              <w:t>Routine pharmacovigilance;</w:t>
            </w:r>
          </w:p>
          <w:p w:rsidR="00AA7E37" w:rsidRPr="00157452" w:rsidRDefault="00AA7E37" w:rsidP="00157452">
            <w:pPr>
              <w:pStyle w:val="ListBullet"/>
            </w:pPr>
            <w:r w:rsidRPr="00157452">
              <w:t>An obser</w:t>
            </w:r>
            <w:r w:rsidR="00A21933" w:rsidRPr="00157452">
              <w:t>vational study to evaluate long</w:t>
            </w:r>
            <w:r w:rsidR="00A21933" w:rsidRPr="00157452">
              <w:noBreakHyphen/>
            </w:r>
            <w:r w:rsidRPr="00157452">
              <w:t>term, safety.</w:t>
            </w:r>
          </w:p>
        </w:tc>
      </w:tr>
      <w:tr w:rsidR="00AA7E37" w:rsidRPr="00157452" w:rsidTr="00C243FE">
        <w:tc>
          <w:tcPr>
            <w:tcW w:w="4360" w:type="dxa"/>
          </w:tcPr>
          <w:p w:rsidR="00AA7E37" w:rsidRPr="00157452" w:rsidRDefault="00AA7E37" w:rsidP="00157452">
            <w:pPr>
              <w:rPr>
                <w:szCs w:val="22"/>
              </w:rPr>
            </w:pPr>
            <w:r w:rsidRPr="00157452">
              <w:rPr>
                <w:szCs w:val="22"/>
              </w:rPr>
              <w:t xml:space="preserve">Pulmonary exacerbations and bacterial sputum colonisation with long-term </w:t>
            </w:r>
            <w:proofErr w:type="spellStart"/>
            <w:r w:rsidRPr="00157452">
              <w:rPr>
                <w:szCs w:val="22"/>
              </w:rPr>
              <w:t>ivacaftor</w:t>
            </w:r>
            <w:proofErr w:type="spellEnd"/>
            <w:r w:rsidRPr="00157452">
              <w:rPr>
                <w:szCs w:val="22"/>
              </w:rPr>
              <w:t xml:space="preserve"> treatment.</w:t>
            </w:r>
          </w:p>
        </w:tc>
        <w:tc>
          <w:tcPr>
            <w:tcW w:w="4360" w:type="dxa"/>
          </w:tcPr>
          <w:p w:rsidR="00AA7E37" w:rsidRPr="00157452" w:rsidRDefault="00AA7E37" w:rsidP="00157452">
            <w:pPr>
              <w:pStyle w:val="ListBullet"/>
            </w:pPr>
            <w:r w:rsidRPr="00157452">
              <w:t>Routine pharmacovigilance;</w:t>
            </w:r>
          </w:p>
          <w:p w:rsidR="00AA7E37" w:rsidRPr="00157452" w:rsidRDefault="00AA7E37" w:rsidP="00157452">
            <w:pPr>
              <w:pStyle w:val="ListBullet"/>
            </w:pPr>
            <w:r w:rsidRPr="00157452">
              <w:t>Study 105, two-year follow-up from Study 102, 103, 104;</w:t>
            </w:r>
          </w:p>
          <w:p w:rsidR="00AA7E37" w:rsidRPr="00157452" w:rsidRDefault="00AA7E37" w:rsidP="00157452">
            <w:pPr>
              <w:pStyle w:val="ListBullet"/>
            </w:pPr>
            <w:r w:rsidRPr="00157452">
              <w:t>An obser</w:t>
            </w:r>
            <w:r w:rsidR="00A21933" w:rsidRPr="00157452">
              <w:t>vational study to evaluate long</w:t>
            </w:r>
            <w:r w:rsidR="00A21933" w:rsidRPr="00157452">
              <w:noBreakHyphen/>
            </w:r>
            <w:r w:rsidRPr="00157452">
              <w:t>term, safety.</w:t>
            </w:r>
          </w:p>
        </w:tc>
      </w:tr>
      <w:tr w:rsidR="00AA7E37" w:rsidRPr="00157452" w:rsidTr="00C243FE">
        <w:tc>
          <w:tcPr>
            <w:tcW w:w="4360" w:type="dxa"/>
          </w:tcPr>
          <w:p w:rsidR="00AA7E37" w:rsidRPr="00157452" w:rsidRDefault="00AA7E37" w:rsidP="00157452">
            <w:pPr>
              <w:rPr>
                <w:szCs w:val="22"/>
              </w:rPr>
            </w:pPr>
            <w:r w:rsidRPr="00157452">
              <w:rPr>
                <w:szCs w:val="22"/>
              </w:rPr>
              <w:t>Use in children between 6 and 11 years of age</w:t>
            </w:r>
          </w:p>
        </w:tc>
        <w:tc>
          <w:tcPr>
            <w:tcW w:w="4360" w:type="dxa"/>
          </w:tcPr>
          <w:p w:rsidR="00AA7E37" w:rsidRPr="00157452" w:rsidRDefault="00AA7E37" w:rsidP="00157452">
            <w:pPr>
              <w:pStyle w:val="ListBullet"/>
            </w:pPr>
            <w:r w:rsidRPr="00157452">
              <w:t>Routine pharmacovigilance;</w:t>
            </w:r>
          </w:p>
          <w:p w:rsidR="00AA7E37" w:rsidRPr="00157452" w:rsidRDefault="00AA7E37" w:rsidP="00157452">
            <w:pPr>
              <w:pStyle w:val="ListBullet"/>
            </w:pPr>
            <w:r w:rsidRPr="00157452">
              <w:t>Study 105, two-year follow-up from Study 102, 103, 104, Study 110, Study 111, Study 112;</w:t>
            </w:r>
          </w:p>
          <w:p w:rsidR="00AA7E37" w:rsidRPr="00157452" w:rsidRDefault="00AA7E37" w:rsidP="00157452">
            <w:pPr>
              <w:pStyle w:val="ListBullet"/>
            </w:pPr>
            <w:r w:rsidRPr="00157452">
              <w:t>Analysis of PK data from studies on the need to perform a dose-finding study in children 6 to 11 years of age;</w:t>
            </w:r>
          </w:p>
          <w:p w:rsidR="00AA7E37" w:rsidRPr="00157452" w:rsidRDefault="00AA7E37" w:rsidP="00157452">
            <w:pPr>
              <w:pStyle w:val="ListBullet"/>
            </w:pPr>
            <w:r w:rsidRPr="00157452">
              <w:t>An obser</w:t>
            </w:r>
            <w:r w:rsidR="00A21933" w:rsidRPr="00157452">
              <w:t>vational study to evaluate long</w:t>
            </w:r>
            <w:r w:rsidR="00A21933" w:rsidRPr="00157452">
              <w:noBreakHyphen/>
            </w:r>
            <w:r w:rsidRPr="00157452">
              <w:t>term, safety.</w:t>
            </w:r>
          </w:p>
        </w:tc>
      </w:tr>
    </w:tbl>
    <w:p w:rsidR="00B63D18" w:rsidRDefault="00AA7E37" w:rsidP="00AA7E37">
      <w:pPr>
        <w:pStyle w:val="Heading4"/>
        <w:rPr>
          <w:lang w:eastAsia="en-AU"/>
        </w:rPr>
      </w:pPr>
      <w:r w:rsidRPr="006F25B8">
        <w:rPr>
          <w:lang w:eastAsia="en-AU"/>
        </w:rPr>
        <w:lastRenderedPageBreak/>
        <w:t>Reconciliation of issues outlined in the RMP report</w:t>
      </w:r>
    </w:p>
    <w:p w:rsidR="00E778C4" w:rsidRPr="00E778C4" w:rsidRDefault="00E778C4" w:rsidP="00E778C4">
      <w:r w:rsidRPr="00E778C4">
        <w:t>Table</w:t>
      </w:r>
      <w:r>
        <w:t xml:space="preserve"> 7</w:t>
      </w:r>
      <w:r w:rsidRPr="00E778C4">
        <w:t xml:space="preserve"> summarises recommendation of the RMP evaluation report and the sponsor’s responses to </w:t>
      </w:r>
      <w:r w:rsidR="008E5BE9">
        <w:t xml:space="preserve">the </w:t>
      </w:r>
      <w:r w:rsidRPr="00E778C4">
        <w:t xml:space="preserve">issues </w:t>
      </w:r>
      <w:proofErr w:type="gramStart"/>
      <w:r w:rsidRPr="00E778C4">
        <w:t>raised</w:t>
      </w:r>
      <w:proofErr w:type="gramEnd"/>
      <w:r w:rsidRPr="00E778C4">
        <w:t>.</w:t>
      </w:r>
    </w:p>
    <w:p w:rsidR="00F26DBD" w:rsidRPr="00F26DBD" w:rsidRDefault="00157988" w:rsidP="00AA7E37">
      <w:pPr>
        <w:pStyle w:val="Tabletitle0"/>
        <w:rPr>
          <w:lang w:eastAsia="en-AU"/>
        </w:rPr>
      </w:pPr>
      <w:r>
        <w:t>Table 7:</w:t>
      </w:r>
      <w:r w:rsidR="00AA7E37" w:rsidRPr="00AA7E37">
        <w:rPr>
          <w:lang w:eastAsia="en-AU"/>
        </w:rPr>
        <w:t xml:space="preserve"> </w:t>
      </w:r>
      <w:r w:rsidR="007D1401">
        <w:rPr>
          <w:lang w:eastAsia="en-AU"/>
        </w:rPr>
        <w:t>R</w:t>
      </w:r>
      <w:r w:rsidR="00AA7E37">
        <w:rPr>
          <w:lang w:eastAsia="en-AU"/>
        </w:rPr>
        <w:t>econciliation issues outlined in the RMP Evaluation Report</w:t>
      </w:r>
    </w:p>
    <w:tbl>
      <w:tblPr>
        <w:tblStyle w:val="TableTGAblue"/>
        <w:tblW w:w="0" w:type="auto"/>
        <w:tblLook w:val="04A0" w:firstRow="1" w:lastRow="0" w:firstColumn="1" w:lastColumn="0" w:noHBand="0" w:noVBand="1"/>
      </w:tblPr>
      <w:tblGrid>
        <w:gridCol w:w="3936"/>
        <w:gridCol w:w="3080"/>
        <w:gridCol w:w="1704"/>
      </w:tblGrid>
      <w:tr w:rsidR="008D5504" w:rsidRPr="00157452" w:rsidTr="00E92D49">
        <w:trPr>
          <w:cnfStyle w:val="100000000000" w:firstRow="1" w:lastRow="0" w:firstColumn="0" w:lastColumn="0" w:oddVBand="0" w:evenVBand="0" w:oddHBand="0" w:evenHBand="0" w:firstRowFirstColumn="0" w:firstRowLastColumn="0" w:lastRowFirstColumn="0" w:lastRowLastColumn="0"/>
        </w:trPr>
        <w:tc>
          <w:tcPr>
            <w:tcW w:w="3936" w:type="dxa"/>
          </w:tcPr>
          <w:p w:rsidR="008D5504" w:rsidRPr="00157452" w:rsidRDefault="00157452" w:rsidP="00157452">
            <w:pPr>
              <w:ind w:left="0"/>
              <w:rPr>
                <w:szCs w:val="22"/>
              </w:rPr>
            </w:pPr>
            <w:r w:rsidRPr="00157452">
              <w:rPr>
                <w:szCs w:val="22"/>
              </w:rPr>
              <w:t>Recommendation in RMP evaluation report</w:t>
            </w:r>
          </w:p>
        </w:tc>
        <w:tc>
          <w:tcPr>
            <w:tcW w:w="3080" w:type="dxa"/>
          </w:tcPr>
          <w:p w:rsidR="008D5504" w:rsidRPr="00157452" w:rsidRDefault="001F0C93" w:rsidP="00157452">
            <w:pPr>
              <w:ind w:left="65"/>
              <w:rPr>
                <w:szCs w:val="22"/>
              </w:rPr>
            </w:pPr>
            <w:r w:rsidRPr="00157452">
              <w:rPr>
                <w:szCs w:val="22"/>
              </w:rPr>
              <w:t>Sponsor’s response</w:t>
            </w:r>
          </w:p>
        </w:tc>
        <w:tc>
          <w:tcPr>
            <w:tcW w:w="1704" w:type="dxa"/>
          </w:tcPr>
          <w:p w:rsidR="008D5504" w:rsidRPr="00157452" w:rsidRDefault="001F0C93" w:rsidP="00157452">
            <w:pPr>
              <w:ind w:left="72"/>
              <w:rPr>
                <w:szCs w:val="22"/>
              </w:rPr>
            </w:pPr>
            <w:r w:rsidRPr="00157452">
              <w:rPr>
                <w:szCs w:val="22"/>
              </w:rPr>
              <w:t xml:space="preserve">RMP evaluator’s comment </w:t>
            </w:r>
          </w:p>
        </w:tc>
      </w:tr>
      <w:tr w:rsidR="008D5504" w:rsidRPr="00157452" w:rsidTr="00E92D49">
        <w:tc>
          <w:tcPr>
            <w:tcW w:w="3936" w:type="dxa"/>
          </w:tcPr>
          <w:p w:rsidR="008D5504" w:rsidRPr="00157452" w:rsidRDefault="001F0C93" w:rsidP="00157452">
            <w:pPr>
              <w:ind w:left="0"/>
              <w:rPr>
                <w:szCs w:val="22"/>
              </w:rPr>
            </w:pPr>
            <w:r w:rsidRPr="00157452">
              <w:rPr>
                <w:szCs w:val="22"/>
              </w:rPr>
              <w:t>1. Safety considerations may be raised by the non-clinical and clinical evaluators through the consolidated</w:t>
            </w:r>
            <w:r w:rsidR="00FE5253" w:rsidRPr="00157452">
              <w:rPr>
                <w:szCs w:val="22"/>
              </w:rPr>
              <w:t xml:space="preserve"> section 31 request and/or the n</w:t>
            </w:r>
            <w:r w:rsidRPr="00157452">
              <w:rPr>
                <w:szCs w:val="22"/>
              </w:rPr>
              <w:t>on</w:t>
            </w:r>
            <w:r w:rsidR="00FE5253" w:rsidRPr="00157452">
              <w:rPr>
                <w:szCs w:val="22"/>
              </w:rPr>
              <w:noBreakHyphen/>
              <w:t>clinical and c</w:t>
            </w:r>
            <w:r w:rsidRPr="00157452">
              <w:rPr>
                <w:szCs w:val="22"/>
              </w:rPr>
              <w:t xml:space="preserve">linical </w:t>
            </w:r>
            <w:r w:rsidR="00FE5253" w:rsidRPr="00157452">
              <w:rPr>
                <w:szCs w:val="22"/>
              </w:rPr>
              <w:t>e</w:t>
            </w:r>
            <w:r w:rsidRPr="00157452">
              <w:rPr>
                <w:szCs w:val="22"/>
              </w:rPr>
              <w:t xml:space="preserve">valuation </w:t>
            </w:r>
            <w:r w:rsidR="00FE5253" w:rsidRPr="00157452">
              <w:rPr>
                <w:szCs w:val="22"/>
              </w:rPr>
              <w:t>r</w:t>
            </w:r>
            <w:r w:rsidRPr="00157452">
              <w:rPr>
                <w:szCs w:val="22"/>
              </w:rPr>
              <w:t xml:space="preserve">eports respectively. It is important to ensure that the information provided in response to these includes a consideration of the relevance for </w:t>
            </w:r>
            <w:r w:rsidR="00B96C82" w:rsidRPr="00157452">
              <w:rPr>
                <w:szCs w:val="22"/>
              </w:rPr>
              <w:t>the RMP</w:t>
            </w:r>
            <w:r w:rsidRPr="00157452">
              <w:rPr>
                <w:szCs w:val="22"/>
              </w:rPr>
              <w:t>, and any specific information needed to address this issue in the RMP. For any safety considerations so raised, the sponsor should provide information that is relevant and necessary to</w:t>
            </w:r>
            <w:r w:rsidR="008B6043" w:rsidRPr="00157452">
              <w:rPr>
                <w:szCs w:val="22"/>
              </w:rPr>
              <w:t xml:space="preserve"> address the issue in the RMP.</w:t>
            </w:r>
          </w:p>
        </w:tc>
        <w:tc>
          <w:tcPr>
            <w:tcW w:w="3080" w:type="dxa"/>
          </w:tcPr>
          <w:p w:rsidR="008D5504" w:rsidRPr="00157452" w:rsidRDefault="001F0C93" w:rsidP="00157452">
            <w:pPr>
              <w:ind w:left="65"/>
              <w:rPr>
                <w:szCs w:val="22"/>
              </w:rPr>
            </w:pPr>
            <w:r w:rsidRPr="00157452">
              <w:rPr>
                <w:szCs w:val="22"/>
              </w:rPr>
              <w:t>Vertex has taken the comments of the non</w:t>
            </w:r>
            <w:r w:rsidR="00B96C82" w:rsidRPr="00157452">
              <w:rPr>
                <w:szCs w:val="22"/>
              </w:rPr>
              <w:noBreakHyphen/>
            </w:r>
            <w:r w:rsidRPr="00157452">
              <w:rPr>
                <w:szCs w:val="22"/>
              </w:rPr>
              <w:t>clinical and clinical evaluators into consideration and there are n</w:t>
            </w:r>
            <w:r w:rsidR="008B6043" w:rsidRPr="00157452">
              <w:rPr>
                <w:szCs w:val="22"/>
              </w:rPr>
              <w:t>o resulting changes to the RMP.</w:t>
            </w:r>
          </w:p>
        </w:tc>
        <w:tc>
          <w:tcPr>
            <w:tcW w:w="1704" w:type="dxa"/>
          </w:tcPr>
          <w:p w:rsidR="008D5504" w:rsidRPr="00157452" w:rsidRDefault="001F0C93" w:rsidP="00157452">
            <w:pPr>
              <w:ind w:left="72"/>
              <w:rPr>
                <w:szCs w:val="22"/>
              </w:rPr>
            </w:pPr>
            <w:r w:rsidRPr="00157452">
              <w:rPr>
                <w:szCs w:val="22"/>
              </w:rPr>
              <w:t xml:space="preserve">The sponsor’s response is satisfactory. </w:t>
            </w:r>
          </w:p>
        </w:tc>
      </w:tr>
      <w:tr w:rsidR="008D5504" w:rsidRPr="00157452" w:rsidTr="00E92D49">
        <w:tc>
          <w:tcPr>
            <w:tcW w:w="3936" w:type="dxa"/>
          </w:tcPr>
          <w:p w:rsidR="008D5504" w:rsidRPr="00157452" w:rsidRDefault="001F0C93" w:rsidP="00157452">
            <w:pPr>
              <w:ind w:left="0"/>
              <w:rPr>
                <w:szCs w:val="22"/>
              </w:rPr>
            </w:pPr>
            <w:r w:rsidRPr="00157452">
              <w:rPr>
                <w:szCs w:val="22"/>
              </w:rPr>
              <w:t>2. The sponsor should provide an update to the status of its overseas applications. Explanations need to be provided for any decision of rej</w:t>
            </w:r>
            <w:r w:rsidR="00423202" w:rsidRPr="00157452">
              <w:rPr>
                <w:szCs w:val="22"/>
              </w:rPr>
              <w:t>ection, deferral or withdrawal.</w:t>
            </w:r>
          </w:p>
        </w:tc>
        <w:tc>
          <w:tcPr>
            <w:tcW w:w="3080" w:type="dxa"/>
          </w:tcPr>
          <w:p w:rsidR="008D5504" w:rsidRPr="00157452" w:rsidRDefault="00017EF8" w:rsidP="00157452">
            <w:pPr>
              <w:ind w:left="65"/>
              <w:rPr>
                <w:rFonts w:eastAsia="MS Mincho"/>
                <w:szCs w:val="22"/>
              </w:rPr>
            </w:pPr>
            <w:r w:rsidRPr="00157452">
              <w:rPr>
                <w:szCs w:val="22"/>
              </w:rPr>
              <w:t>A</w:t>
            </w:r>
            <w:r w:rsidR="00B96C82" w:rsidRPr="00157452">
              <w:rPr>
                <w:szCs w:val="22"/>
              </w:rPr>
              <w:t>n updated foreign regulatory s</w:t>
            </w:r>
            <w:r w:rsidR="005B3B4F" w:rsidRPr="00157452">
              <w:rPr>
                <w:szCs w:val="22"/>
              </w:rPr>
              <w:t>tatus table</w:t>
            </w:r>
            <w:r w:rsidRPr="00157452">
              <w:rPr>
                <w:szCs w:val="22"/>
              </w:rPr>
              <w:t xml:space="preserve"> was submitted</w:t>
            </w:r>
            <w:r w:rsidR="005B3B4F" w:rsidRPr="00157452">
              <w:rPr>
                <w:szCs w:val="22"/>
              </w:rPr>
              <w:t>. No applications have been rejected, deferred or withdrawn internat</w:t>
            </w:r>
            <w:r w:rsidR="00B96C82" w:rsidRPr="00157452">
              <w:rPr>
                <w:szCs w:val="22"/>
              </w:rPr>
              <w:t xml:space="preserve">ionally with respect to </w:t>
            </w:r>
            <w:proofErr w:type="spellStart"/>
            <w:r w:rsidRPr="00157452">
              <w:rPr>
                <w:szCs w:val="22"/>
              </w:rPr>
              <w:t>Kaldyeco</w:t>
            </w:r>
            <w:proofErr w:type="spellEnd"/>
            <w:r w:rsidR="008B6043" w:rsidRPr="00157452">
              <w:rPr>
                <w:szCs w:val="22"/>
              </w:rPr>
              <w:t xml:space="preserve"> 15</w:t>
            </w:r>
            <w:r w:rsidR="006C3669" w:rsidRPr="00157452">
              <w:rPr>
                <w:szCs w:val="22"/>
              </w:rPr>
              <w:t>0 mg</w:t>
            </w:r>
            <w:r w:rsidR="008B6043" w:rsidRPr="00157452">
              <w:rPr>
                <w:szCs w:val="22"/>
              </w:rPr>
              <w:t xml:space="preserve"> film</w:t>
            </w:r>
            <w:r w:rsidR="005B3B4F" w:rsidRPr="00157452">
              <w:rPr>
                <w:rFonts w:eastAsia="MS Mincho" w:cs="MS Mincho"/>
                <w:szCs w:val="22"/>
              </w:rPr>
              <w:t>‐</w:t>
            </w:r>
            <w:r w:rsidR="008B6043" w:rsidRPr="00157452">
              <w:rPr>
                <w:rFonts w:eastAsia="MS Mincho"/>
                <w:szCs w:val="22"/>
              </w:rPr>
              <w:t>coated tablets.</w:t>
            </w:r>
          </w:p>
        </w:tc>
        <w:tc>
          <w:tcPr>
            <w:tcW w:w="1704" w:type="dxa"/>
          </w:tcPr>
          <w:p w:rsidR="008D5504" w:rsidRPr="00157452" w:rsidRDefault="00E93BCE" w:rsidP="00157452">
            <w:pPr>
              <w:ind w:left="72"/>
              <w:rPr>
                <w:szCs w:val="22"/>
              </w:rPr>
            </w:pPr>
            <w:r w:rsidRPr="00157452">
              <w:rPr>
                <w:szCs w:val="22"/>
              </w:rPr>
              <w:t>The evaluator has noted the update of overseas regulatory status. Similar applications have been approved in the EU and Canada. The spon</w:t>
            </w:r>
            <w:r w:rsidR="008B6043" w:rsidRPr="00157452">
              <w:rPr>
                <w:szCs w:val="22"/>
              </w:rPr>
              <w:t>sor’s response is satisfactory.</w:t>
            </w:r>
          </w:p>
        </w:tc>
      </w:tr>
      <w:tr w:rsidR="008D5504" w:rsidRPr="00157452" w:rsidTr="00E92D49">
        <w:tc>
          <w:tcPr>
            <w:tcW w:w="3936" w:type="dxa"/>
          </w:tcPr>
          <w:p w:rsidR="008D5504" w:rsidRPr="00157452" w:rsidRDefault="00E93BCE" w:rsidP="00157452">
            <w:pPr>
              <w:ind w:left="0"/>
              <w:rPr>
                <w:szCs w:val="22"/>
              </w:rPr>
            </w:pPr>
            <w:r w:rsidRPr="00157452">
              <w:rPr>
                <w:szCs w:val="22"/>
              </w:rPr>
              <w:t xml:space="preserve">3. As the TGA has previously evaluated RMPs for </w:t>
            </w:r>
            <w:proofErr w:type="spellStart"/>
            <w:r w:rsidRPr="00157452">
              <w:rPr>
                <w:szCs w:val="22"/>
              </w:rPr>
              <w:t>ivacaftor</w:t>
            </w:r>
            <w:proofErr w:type="spellEnd"/>
            <w:r w:rsidRPr="00157452">
              <w:rPr>
                <w:szCs w:val="22"/>
              </w:rPr>
              <w:t xml:space="preserve"> </w:t>
            </w:r>
            <w:r w:rsidR="00B96C82" w:rsidRPr="00157452">
              <w:rPr>
                <w:szCs w:val="22"/>
              </w:rPr>
              <w:t>(</w:t>
            </w:r>
            <w:proofErr w:type="spellStart"/>
            <w:r w:rsidR="00017EF8" w:rsidRPr="00157452">
              <w:rPr>
                <w:szCs w:val="22"/>
              </w:rPr>
              <w:t>Kaldyeco</w:t>
            </w:r>
            <w:proofErr w:type="spellEnd"/>
            <w:r w:rsidR="00B96C82" w:rsidRPr="00157452">
              <w:rPr>
                <w:szCs w:val="22"/>
              </w:rPr>
              <w:t>) (the latest submission is PM</w:t>
            </w:r>
            <w:r w:rsidR="00B96C82" w:rsidRPr="00157452">
              <w:rPr>
                <w:szCs w:val="22"/>
              </w:rPr>
              <w:noBreakHyphen/>
            </w:r>
            <w:r w:rsidRPr="00157452">
              <w:rPr>
                <w:szCs w:val="22"/>
              </w:rPr>
              <w:t>2013</w:t>
            </w:r>
            <w:r w:rsidR="00B96C82" w:rsidRPr="00157452">
              <w:rPr>
                <w:szCs w:val="22"/>
              </w:rPr>
              <w:noBreakHyphen/>
            </w:r>
            <w:r w:rsidRPr="00157452">
              <w:rPr>
                <w:szCs w:val="22"/>
              </w:rPr>
              <w:t>03648-1-5), the focus of this evaluation is on the differences between the RMP versions that could have an impact on the safety profile and any new safety related informa</w:t>
            </w:r>
            <w:r w:rsidR="008B6043" w:rsidRPr="00157452">
              <w:rPr>
                <w:szCs w:val="22"/>
              </w:rPr>
              <w:t>tion since the last evaluation.</w:t>
            </w:r>
          </w:p>
        </w:tc>
        <w:tc>
          <w:tcPr>
            <w:tcW w:w="3080" w:type="dxa"/>
          </w:tcPr>
          <w:p w:rsidR="008D5504" w:rsidRPr="00157452" w:rsidRDefault="008B6043" w:rsidP="00157452">
            <w:pPr>
              <w:ind w:left="65"/>
              <w:rPr>
                <w:szCs w:val="22"/>
              </w:rPr>
            </w:pPr>
            <w:r w:rsidRPr="00157452">
              <w:rPr>
                <w:szCs w:val="22"/>
              </w:rPr>
              <w:t>TGA comments are noted.</w:t>
            </w:r>
            <w:r w:rsidR="00157452" w:rsidRPr="00157452">
              <w:rPr>
                <w:szCs w:val="22"/>
              </w:rPr>
              <w:t xml:space="preserve"> </w:t>
            </w:r>
          </w:p>
        </w:tc>
        <w:tc>
          <w:tcPr>
            <w:tcW w:w="1704" w:type="dxa"/>
          </w:tcPr>
          <w:p w:rsidR="008D5504" w:rsidRPr="00157452" w:rsidRDefault="00E93BCE" w:rsidP="00157452">
            <w:pPr>
              <w:ind w:left="72"/>
              <w:rPr>
                <w:szCs w:val="22"/>
              </w:rPr>
            </w:pPr>
            <w:r w:rsidRPr="00157452">
              <w:rPr>
                <w:szCs w:val="22"/>
              </w:rPr>
              <w:t>n/a</w:t>
            </w:r>
          </w:p>
        </w:tc>
      </w:tr>
      <w:tr w:rsidR="008D5504" w:rsidRPr="00157452" w:rsidTr="00E92D49">
        <w:tc>
          <w:tcPr>
            <w:tcW w:w="3936" w:type="dxa"/>
          </w:tcPr>
          <w:p w:rsidR="008D5504" w:rsidRPr="00157452" w:rsidRDefault="00E93BCE" w:rsidP="00157452">
            <w:pPr>
              <w:ind w:left="0"/>
              <w:rPr>
                <w:szCs w:val="22"/>
              </w:rPr>
            </w:pPr>
            <w:r w:rsidRPr="00157452">
              <w:rPr>
                <w:szCs w:val="22"/>
              </w:rPr>
              <w:lastRenderedPageBreak/>
              <w:t>4. As outlined in the ASA, all the studies listed as additional pharmacovigilance activit</w:t>
            </w:r>
            <w:r w:rsidR="00017EF8" w:rsidRPr="00157452">
              <w:rPr>
                <w:szCs w:val="22"/>
              </w:rPr>
              <w:t>ies have been completed except Study 112, S</w:t>
            </w:r>
            <w:r w:rsidRPr="00157452">
              <w:rPr>
                <w:szCs w:val="22"/>
              </w:rPr>
              <w:t xml:space="preserve">tudy 115 and the observational long-term safety study, which are ongoing. The sponsor should provide an update on any significant safety findings from studies since 23 July </w:t>
            </w:r>
            <w:r w:rsidR="00B96C82" w:rsidRPr="00157452">
              <w:rPr>
                <w:szCs w:val="22"/>
              </w:rPr>
              <w:t>2013 (data lock point of the EU</w:t>
            </w:r>
            <w:r w:rsidR="00B96C82" w:rsidRPr="00157452">
              <w:rPr>
                <w:szCs w:val="22"/>
              </w:rPr>
              <w:noBreakHyphen/>
            </w:r>
            <w:r w:rsidRPr="00157452">
              <w:rPr>
                <w:szCs w:val="22"/>
              </w:rPr>
              <w:t>RMP).</w:t>
            </w:r>
          </w:p>
        </w:tc>
        <w:tc>
          <w:tcPr>
            <w:tcW w:w="3080" w:type="dxa"/>
          </w:tcPr>
          <w:p w:rsidR="00E93BCE" w:rsidRPr="00157452" w:rsidRDefault="00B96C82" w:rsidP="00157452">
            <w:pPr>
              <w:ind w:left="65"/>
              <w:rPr>
                <w:szCs w:val="22"/>
              </w:rPr>
            </w:pPr>
            <w:r w:rsidRPr="00157452">
              <w:rPr>
                <w:szCs w:val="22"/>
              </w:rPr>
              <w:t>Study 112, Study 115, and the observational l</w:t>
            </w:r>
            <w:r w:rsidR="00E93BCE" w:rsidRPr="00157452">
              <w:rPr>
                <w:szCs w:val="22"/>
              </w:rPr>
              <w:t>ong</w:t>
            </w:r>
            <w:r w:rsidRPr="00157452">
              <w:rPr>
                <w:szCs w:val="22"/>
              </w:rPr>
              <w:noBreakHyphen/>
            </w:r>
            <w:r w:rsidR="00E93BCE" w:rsidRPr="00157452">
              <w:rPr>
                <w:szCs w:val="22"/>
              </w:rPr>
              <w:t xml:space="preserve">term safety study are ongoing. However, the first and second </w:t>
            </w:r>
            <w:r w:rsidRPr="00157452">
              <w:rPr>
                <w:szCs w:val="22"/>
              </w:rPr>
              <w:t>annual interim analysis of the l</w:t>
            </w:r>
            <w:r w:rsidR="00E93BCE" w:rsidRPr="00157452">
              <w:rPr>
                <w:szCs w:val="22"/>
              </w:rPr>
              <w:t>ong‐term safety study were submitted to the TGA on 1 July 2015, and the second annual interim analysis of Study 115 was submitted</w:t>
            </w:r>
            <w:r w:rsidR="00215A08" w:rsidRPr="00157452">
              <w:rPr>
                <w:szCs w:val="22"/>
              </w:rPr>
              <w:t xml:space="preserve"> to the TGA on 30 October 2015.</w:t>
            </w:r>
          </w:p>
          <w:p w:rsidR="00B63D18" w:rsidRPr="00157452" w:rsidRDefault="00E93BCE" w:rsidP="00157452">
            <w:pPr>
              <w:ind w:left="65"/>
              <w:rPr>
                <w:szCs w:val="22"/>
              </w:rPr>
            </w:pPr>
            <w:r w:rsidRPr="00157452">
              <w:rPr>
                <w:szCs w:val="22"/>
              </w:rPr>
              <w:t>A summary of relevant safety finding from the studies are below</w:t>
            </w:r>
            <w:r w:rsidR="00B63D18" w:rsidRPr="00157452">
              <w:rPr>
                <w:szCs w:val="22"/>
              </w:rPr>
              <w:t>.</w:t>
            </w:r>
          </w:p>
          <w:p w:rsidR="00E93BCE" w:rsidRPr="00157452" w:rsidRDefault="00E93BCE" w:rsidP="00157452">
            <w:pPr>
              <w:ind w:left="65"/>
              <w:rPr>
                <w:b/>
                <w:szCs w:val="22"/>
              </w:rPr>
            </w:pPr>
            <w:r w:rsidRPr="00157452">
              <w:rPr>
                <w:b/>
                <w:szCs w:val="22"/>
              </w:rPr>
              <w:t>Study VX1</w:t>
            </w:r>
            <w:r w:rsidR="00B96C82" w:rsidRPr="00157452">
              <w:rPr>
                <w:b/>
                <w:szCs w:val="22"/>
              </w:rPr>
              <w:t>2‐770‐115 (o</w:t>
            </w:r>
            <w:r w:rsidRPr="00157452">
              <w:rPr>
                <w:b/>
                <w:szCs w:val="22"/>
              </w:rPr>
              <w:t>cular safety study)</w:t>
            </w:r>
          </w:p>
          <w:p w:rsidR="00E93BCE" w:rsidRPr="00157452" w:rsidRDefault="00E93BCE" w:rsidP="00157452">
            <w:pPr>
              <w:ind w:left="65"/>
              <w:rPr>
                <w:szCs w:val="22"/>
              </w:rPr>
            </w:pPr>
            <w:r w:rsidRPr="00157452">
              <w:rPr>
                <w:szCs w:val="22"/>
              </w:rPr>
              <w:t>The second annual interim analysis of Study 115 was completed in September 2015. The primary objective of the study is to evaluate the risk of cataracts (lens opacities) and associated visi</w:t>
            </w:r>
            <w:r w:rsidR="00017EF8" w:rsidRPr="00157452">
              <w:rPr>
                <w:szCs w:val="22"/>
              </w:rPr>
              <w:t xml:space="preserve">on‐related effects in </w:t>
            </w:r>
            <w:proofErr w:type="spellStart"/>
            <w:r w:rsidR="00017EF8" w:rsidRPr="00157452">
              <w:rPr>
                <w:szCs w:val="22"/>
              </w:rPr>
              <w:t>ivacaftor</w:t>
            </w:r>
            <w:proofErr w:type="spellEnd"/>
            <w:r w:rsidR="00017EF8" w:rsidRPr="00157452">
              <w:rPr>
                <w:szCs w:val="22"/>
              </w:rPr>
              <w:t xml:space="preserve"> </w:t>
            </w:r>
            <w:r w:rsidRPr="00157452">
              <w:rPr>
                <w:szCs w:val="22"/>
              </w:rPr>
              <w:t xml:space="preserve">treated paediatric patients with </w:t>
            </w:r>
            <w:r w:rsidR="00B96C82" w:rsidRPr="00157452">
              <w:rPr>
                <w:szCs w:val="22"/>
              </w:rPr>
              <w:t>CF</w:t>
            </w:r>
            <w:r w:rsidRPr="00157452">
              <w:rPr>
                <w:szCs w:val="22"/>
              </w:rPr>
              <w:t xml:space="preserve"> who are ≤</w:t>
            </w:r>
            <w:r w:rsidR="00215A08" w:rsidRPr="00157452">
              <w:rPr>
                <w:szCs w:val="22"/>
              </w:rPr>
              <w:t> </w:t>
            </w:r>
            <w:r w:rsidRPr="00157452">
              <w:rPr>
                <w:szCs w:val="22"/>
              </w:rPr>
              <w:t>11 years of age.</w:t>
            </w:r>
          </w:p>
          <w:p w:rsidR="00E93BCE" w:rsidRPr="00157452" w:rsidRDefault="00E93BCE" w:rsidP="00157452">
            <w:pPr>
              <w:ind w:left="65"/>
              <w:rPr>
                <w:szCs w:val="22"/>
              </w:rPr>
            </w:pPr>
            <w:r w:rsidRPr="00157452">
              <w:rPr>
                <w:szCs w:val="22"/>
              </w:rPr>
              <w:t>Cumulatively, 19 subjects had vision related adverse events (AEs), including 17 subjects with cataracts, and 2 subjects with other vision related AEs (blurred vision and vitreous degeneration), without cataract. Of the 17 subjects with cataract, 12 were diagnosed at Day 1, with 6 considered congenital in nature. The remaining 5 subjects had cataracts diagnosed after Day 1, with 1 c</w:t>
            </w:r>
            <w:r w:rsidR="00215A08" w:rsidRPr="00157452">
              <w:rPr>
                <w:szCs w:val="22"/>
              </w:rPr>
              <w:t>onsidered congenital in nature.</w:t>
            </w:r>
          </w:p>
          <w:p w:rsidR="00384A0E" w:rsidRPr="00157452" w:rsidRDefault="00E93BCE" w:rsidP="00157452">
            <w:pPr>
              <w:ind w:left="65"/>
              <w:rPr>
                <w:szCs w:val="22"/>
              </w:rPr>
            </w:pPr>
            <w:r w:rsidRPr="00157452">
              <w:rPr>
                <w:szCs w:val="22"/>
              </w:rPr>
              <w:t xml:space="preserve">None of the cataracts were </w:t>
            </w:r>
            <w:r w:rsidRPr="00157452">
              <w:rPr>
                <w:szCs w:val="22"/>
              </w:rPr>
              <w:lastRenderedPageBreak/>
              <w:t xml:space="preserve">visually significant, all subjects continued with </w:t>
            </w:r>
            <w:proofErr w:type="spellStart"/>
            <w:r w:rsidRPr="00157452">
              <w:rPr>
                <w:szCs w:val="22"/>
              </w:rPr>
              <w:t>ivacaftor</w:t>
            </w:r>
            <w:proofErr w:type="spellEnd"/>
            <w:r w:rsidRPr="00157452">
              <w:rPr>
                <w:szCs w:val="22"/>
              </w:rPr>
              <w:t xml:space="preserve"> treatment, and there was no evidence of increased prevalence of cataract with increased duration of prior </w:t>
            </w:r>
            <w:proofErr w:type="spellStart"/>
            <w:r w:rsidRPr="00157452">
              <w:rPr>
                <w:szCs w:val="22"/>
              </w:rPr>
              <w:t>ivacaftor</w:t>
            </w:r>
            <w:proofErr w:type="spellEnd"/>
            <w:r w:rsidRPr="00157452">
              <w:rPr>
                <w:szCs w:val="22"/>
              </w:rPr>
              <w:t xml:space="preserve"> exposure. In 3 subjects with Day 1 diagnosis of cataract, the lens was reported as normal in follow‐up ophthalmological exams. Risk factors were present in subjects with non</w:t>
            </w:r>
            <w:r w:rsidR="00B96C82" w:rsidRPr="00157452">
              <w:rPr>
                <w:szCs w:val="22"/>
              </w:rPr>
              <w:noBreakHyphen/>
            </w:r>
            <w:r w:rsidR="00384A0E" w:rsidRPr="00157452">
              <w:rPr>
                <w:szCs w:val="22"/>
              </w:rPr>
              <w:t>congenital cataract.</w:t>
            </w:r>
          </w:p>
          <w:p w:rsidR="00384A0E" w:rsidRPr="00157452" w:rsidRDefault="00384A0E" w:rsidP="00157452">
            <w:pPr>
              <w:ind w:left="65"/>
              <w:rPr>
                <w:szCs w:val="22"/>
              </w:rPr>
            </w:pPr>
            <w:r w:rsidRPr="00157452">
              <w:rPr>
                <w:szCs w:val="22"/>
              </w:rPr>
              <w:t xml:space="preserve">Additionally, there was no difference in LOCS III (Lens Opacity Classification System) scores on Day 1 among subjects with different durations of prior </w:t>
            </w:r>
            <w:proofErr w:type="spellStart"/>
            <w:r w:rsidRPr="00157452">
              <w:rPr>
                <w:szCs w:val="22"/>
              </w:rPr>
              <w:t>ivacaftor</w:t>
            </w:r>
            <w:proofErr w:type="spellEnd"/>
            <w:r w:rsidRPr="00157452">
              <w:rPr>
                <w:szCs w:val="22"/>
              </w:rPr>
              <w:t xml:space="preserve"> therapy, and no worsening in average LOCS III scores from Day 1 at the Months 6, 12, or 18 Ophthalmological Exams (OE). Similarly, there was no worsening of best‐corrected visual acuity from D</w:t>
            </w:r>
            <w:r w:rsidR="00215A08" w:rsidRPr="00157452">
              <w:rPr>
                <w:szCs w:val="22"/>
              </w:rPr>
              <w:t>ay 1 at Month 6, 12, or 18 OEs.</w:t>
            </w:r>
          </w:p>
          <w:p w:rsidR="00384A0E" w:rsidRPr="00157452" w:rsidRDefault="00384A0E" w:rsidP="00157452">
            <w:pPr>
              <w:ind w:left="65"/>
              <w:rPr>
                <w:szCs w:val="22"/>
              </w:rPr>
            </w:pPr>
            <w:r w:rsidRPr="00157452">
              <w:rPr>
                <w:szCs w:val="22"/>
              </w:rPr>
              <w:t xml:space="preserve">While the role of </w:t>
            </w:r>
            <w:proofErr w:type="spellStart"/>
            <w:r w:rsidRPr="00157452">
              <w:rPr>
                <w:szCs w:val="22"/>
              </w:rPr>
              <w:t>ivacaftor</w:t>
            </w:r>
            <w:proofErr w:type="spellEnd"/>
            <w:r w:rsidRPr="00157452">
              <w:rPr>
                <w:szCs w:val="22"/>
              </w:rPr>
              <w:t xml:space="preserve"> in contributing to cataract development in subjects with non‐congenital cataract reports cannot be fully excluded, their clinical characteristics did not follow any apparent pattern and did not suggest any similarity with the nonclinical juvenile rat findings. In all of the subjects with non</w:t>
            </w:r>
            <w:r w:rsidR="00B96C82" w:rsidRPr="00157452">
              <w:rPr>
                <w:szCs w:val="22"/>
              </w:rPr>
              <w:noBreakHyphen/>
            </w:r>
            <w:r w:rsidRPr="00157452">
              <w:rPr>
                <w:szCs w:val="22"/>
              </w:rPr>
              <w:t xml:space="preserve">congenital cataracts, cataract </w:t>
            </w:r>
            <w:r w:rsidR="00215A08" w:rsidRPr="00157452">
              <w:rPr>
                <w:szCs w:val="22"/>
              </w:rPr>
              <w:t>aetiology</w:t>
            </w:r>
            <w:r w:rsidRPr="00157452">
              <w:rPr>
                <w:szCs w:val="22"/>
              </w:rPr>
              <w:t xml:space="preserve"> was confounded by a number of risk factors including prolonged steroid use, </w:t>
            </w:r>
            <w:r w:rsidRPr="00157452">
              <w:rPr>
                <w:szCs w:val="22"/>
              </w:rPr>
              <w:lastRenderedPageBreak/>
              <w:t xml:space="preserve">impaired glucose tolerance, radiation exposure, or family history of cataract. Coupled with the high background prevalence of lens opacities in CF patients, the subtlety of the ophthalmological findings with no impact on visual acuity, and, most importantly, lack of progression based on the sensitive and more objective LOCS III grading, the non-congenital lens abnormalities identified may represent background findings rather than suggest an association with </w:t>
            </w:r>
            <w:proofErr w:type="spellStart"/>
            <w:r w:rsidRPr="00157452">
              <w:rPr>
                <w:szCs w:val="22"/>
              </w:rPr>
              <w:t>ivacaftor</w:t>
            </w:r>
            <w:proofErr w:type="spellEnd"/>
            <w:r w:rsidRPr="00157452">
              <w:rPr>
                <w:szCs w:val="22"/>
              </w:rPr>
              <w:t>.</w:t>
            </w:r>
          </w:p>
          <w:p w:rsidR="00384A0E" w:rsidRPr="00157452" w:rsidRDefault="00384A0E" w:rsidP="00157452">
            <w:pPr>
              <w:ind w:left="65"/>
              <w:rPr>
                <w:b/>
                <w:szCs w:val="22"/>
              </w:rPr>
            </w:pPr>
            <w:r w:rsidRPr="00157452">
              <w:rPr>
                <w:b/>
                <w:szCs w:val="22"/>
              </w:rPr>
              <w:t>Observationa</w:t>
            </w:r>
            <w:r w:rsidR="00215A08" w:rsidRPr="00157452">
              <w:rPr>
                <w:b/>
                <w:szCs w:val="22"/>
              </w:rPr>
              <w:t>l Long‐term safety study (LTSS)</w:t>
            </w:r>
          </w:p>
          <w:p w:rsidR="00384A0E" w:rsidRPr="00157452" w:rsidRDefault="00384A0E" w:rsidP="00157452">
            <w:pPr>
              <w:ind w:left="65"/>
              <w:rPr>
                <w:szCs w:val="22"/>
              </w:rPr>
            </w:pPr>
            <w:r w:rsidRPr="00157452">
              <w:rPr>
                <w:szCs w:val="22"/>
              </w:rPr>
              <w:t xml:space="preserve">The second annual report of the 5‐year LTSS was completed in December 2014. The primary objectives of the second annual LTSS report are to evaluate the safety of </w:t>
            </w:r>
            <w:proofErr w:type="spellStart"/>
            <w:r w:rsidRPr="00157452">
              <w:rPr>
                <w:szCs w:val="22"/>
              </w:rPr>
              <w:t>ivacaftor</w:t>
            </w:r>
            <w:proofErr w:type="spellEnd"/>
            <w:r w:rsidRPr="00157452">
              <w:rPr>
                <w:szCs w:val="22"/>
              </w:rPr>
              <w:t xml:space="preserve"> in patients with CF, the outcomes of pregnancy in </w:t>
            </w:r>
            <w:proofErr w:type="spellStart"/>
            <w:r w:rsidRPr="00157452">
              <w:rPr>
                <w:szCs w:val="22"/>
              </w:rPr>
              <w:t>ivacaftor</w:t>
            </w:r>
            <w:proofErr w:type="spellEnd"/>
            <w:r w:rsidRPr="00157452">
              <w:rPr>
                <w:szCs w:val="22"/>
              </w:rPr>
              <w:t xml:space="preserve"> treated patients, to examine </w:t>
            </w:r>
            <w:proofErr w:type="spellStart"/>
            <w:r w:rsidRPr="00157452">
              <w:rPr>
                <w:szCs w:val="22"/>
              </w:rPr>
              <w:t>ivacaftor</w:t>
            </w:r>
            <w:proofErr w:type="spellEnd"/>
            <w:r w:rsidRPr="00157452">
              <w:rPr>
                <w:szCs w:val="22"/>
              </w:rPr>
              <w:t xml:space="preserve"> drug utilisation in 2013 and CF disease progression</w:t>
            </w:r>
            <w:r w:rsidR="00017EF8" w:rsidRPr="00157452">
              <w:rPr>
                <w:szCs w:val="22"/>
              </w:rPr>
              <w:t xml:space="preserve"> in </w:t>
            </w:r>
            <w:proofErr w:type="spellStart"/>
            <w:r w:rsidR="00017EF8" w:rsidRPr="00157452">
              <w:rPr>
                <w:szCs w:val="22"/>
              </w:rPr>
              <w:t>ivacaftor</w:t>
            </w:r>
            <w:proofErr w:type="spellEnd"/>
            <w:r w:rsidR="00017EF8" w:rsidRPr="00157452">
              <w:rPr>
                <w:szCs w:val="22"/>
              </w:rPr>
              <w:t xml:space="preserve"> </w:t>
            </w:r>
            <w:r w:rsidR="00215A08" w:rsidRPr="00157452">
              <w:rPr>
                <w:szCs w:val="22"/>
              </w:rPr>
              <w:t>treated patients.</w:t>
            </w:r>
          </w:p>
          <w:p w:rsidR="00384A0E" w:rsidRPr="00157452" w:rsidRDefault="00384A0E" w:rsidP="00157452">
            <w:pPr>
              <w:ind w:left="65"/>
              <w:rPr>
                <w:szCs w:val="22"/>
              </w:rPr>
            </w:pPr>
            <w:r w:rsidRPr="00157452">
              <w:rPr>
                <w:szCs w:val="22"/>
              </w:rPr>
              <w:t>The UK CF Registry and the US CFF (Cystic Fibrosis Foundation) Patient Registry data from 2013 were used to addr</w:t>
            </w:r>
            <w:r w:rsidR="00215A08" w:rsidRPr="00157452">
              <w:rPr>
                <w:szCs w:val="22"/>
              </w:rPr>
              <w:t xml:space="preserve">ess all the primary objectives. </w:t>
            </w:r>
            <w:r w:rsidRPr="00157452">
              <w:rPr>
                <w:szCs w:val="22"/>
              </w:rPr>
              <w:t xml:space="preserve">Additionally, 2013 data from CF Patient Registries in Ireland and France were used to address the drug utilization patterns </w:t>
            </w:r>
            <w:r w:rsidRPr="00157452">
              <w:rPr>
                <w:szCs w:val="22"/>
              </w:rPr>
              <w:lastRenderedPageBreak/>
              <w:t>obj</w:t>
            </w:r>
            <w:r w:rsidR="00215A08" w:rsidRPr="00157452">
              <w:rPr>
                <w:szCs w:val="22"/>
              </w:rPr>
              <w:t>ective.</w:t>
            </w:r>
          </w:p>
          <w:p w:rsidR="00384A0E" w:rsidRPr="00157452" w:rsidRDefault="00384A0E" w:rsidP="00157452">
            <w:pPr>
              <w:ind w:left="65"/>
              <w:rPr>
                <w:szCs w:val="22"/>
              </w:rPr>
            </w:pPr>
            <w:r w:rsidRPr="00157452">
              <w:rPr>
                <w:szCs w:val="22"/>
              </w:rPr>
              <w:t xml:space="preserve">In the UK </w:t>
            </w:r>
            <w:proofErr w:type="spellStart"/>
            <w:r w:rsidRPr="00157452">
              <w:rPr>
                <w:szCs w:val="22"/>
              </w:rPr>
              <w:t>Ivacaftor</w:t>
            </w:r>
            <w:proofErr w:type="spellEnd"/>
            <w:r w:rsidRPr="00157452">
              <w:rPr>
                <w:szCs w:val="22"/>
              </w:rPr>
              <w:t xml:space="preserve"> Safety Cohort, the risk of death, or</w:t>
            </w:r>
            <w:r w:rsidR="00017EF8" w:rsidRPr="00157452">
              <w:rPr>
                <w:szCs w:val="22"/>
              </w:rPr>
              <w:t>gan transplantations, hospitalis</w:t>
            </w:r>
            <w:r w:rsidRPr="00157452">
              <w:rPr>
                <w:szCs w:val="22"/>
              </w:rPr>
              <w:t>ations, pulmonary exacerbations, and the composite measure of serious safety outcomes tended to be lower, relative to the Comparator Safety Cohort (results did not reach statistical significance). There was no difference in the risk of complications</w:t>
            </w:r>
            <w:r w:rsidR="00017EF8" w:rsidRPr="00157452">
              <w:rPr>
                <w:szCs w:val="22"/>
              </w:rPr>
              <w:t>-</w:t>
            </w:r>
            <w:r w:rsidRPr="00157452">
              <w:rPr>
                <w:szCs w:val="22"/>
              </w:rPr>
              <w:t>, and no statistically significant differences in the frequency of pregnancy or pregnanc</w:t>
            </w:r>
            <w:r w:rsidR="00215A08" w:rsidRPr="00157452">
              <w:rPr>
                <w:szCs w:val="22"/>
              </w:rPr>
              <w:t>y outcomes between the cohorts.</w:t>
            </w:r>
          </w:p>
          <w:p w:rsidR="00384A0E" w:rsidRPr="00157452" w:rsidRDefault="00B96C82" w:rsidP="00157452">
            <w:pPr>
              <w:ind w:left="65"/>
              <w:rPr>
                <w:szCs w:val="22"/>
              </w:rPr>
            </w:pPr>
            <w:r w:rsidRPr="00157452">
              <w:rPr>
                <w:szCs w:val="22"/>
              </w:rPr>
              <w:t>The mean percent predicted FEV</w:t>
            </w:r>
            <w:r w:rsidRPr="00157452">
              <w:rPr>
                <w:szCs w:val="22"/>
                <w:vertAlign w:val="subscript"/>
              </w:rPr>
              <w:t>1</w:t>
            </w:r>
            <w:r w:rsidR="00384A0E" w:rsidRPr="00157452">
              <w:rPr>
                <w:szCs w:val="22"/>
              </w:rPr>
              <w:t xml:space="preserve"> </w:t>
            </w:r>
            <w:r w:rsidRPr="00157452">
              <w:rPr>
                <w:szCs w:val="22"/>
              </w:rPr>
              <w:t>(</w:t>
            </w:r>
            <w:r w:rsidR="00384A0E" w:rsidRPr="00157452">
              <w:rPr>
                <w:szCs w:val="22"/>
              </w:rPr>
              <w:t>annual</w:t>
            </w:r>
            <w:r w:rsidRPr="00157452">
              <w:rPr>
                <w:szCs w:val="22"/>
              </w:rPr>
              <w:t xml:space="preserve"> assessment value for each year)</w:t>
            </w:r>
            <w:r w:rsidR="00384A0E" w:rsidRPr="00157452">
              <w:rPr>
                <w:szCs w:val="22"/>
              </w:rPr>
              <w:t xml:space="preserve"> improved in the </w:t>
            </w:r>
            <w:proofErr w:type="spellStart"/>
            <w:r w:rsidR="00384A0E" w:rsidRPr="00157452">
              <w:rPr>
                <w:szCs w:val="22"/>
              </w:rPr>
              <w:t>Ivacaftor</w:t>
            </w:r>
            <w:proofErr w:type="spellEnd"/>
            <w:r w:rsidR="00384A0E" w:rsidRPr="00157452">
              <w:rPr>
                <w:szCs w:val="22"/>
              </w:rPr>
              <w:t xml:space="preserve"> Disease Progression Cohort from 69.9% in 2012 to 75.2% in 2013, while it decreased from 70.5% in 2012 to 69.7% in 2013 in the Comparator Disease Progression Cohort.</w:t>
            </w:r>
          </w:p>
          <w:p w:rsidR="00384A0E" w:rsidRPr="00157452" w:rsidRDefault="00384A0E" w:rsidP="00157452">
            <w:pPr>
              <w:ind w:left="65"/>
              <w:rPr>
                <w:szCs w:val="22"/>
              </w:rPr>
            </w:pPr>
            <w:r w:rsidRPr="00157452">
              <w:rPr>
                <w:szCs w:val="22"/>
              </w:rPr>
              <w:t xml:space="preserve">In the US </w:t>
            </w:r>
            <w:proofErr w:type="spellStart"/>
            <w:r w:rsidRPr="00157452">
              <w:rPr>
                <w:szCs w:val="22"/>
              </w:rPr>
              <w:t>Ivacaftor</w:t>
            </w:r>
            <w:proofErr w:type="spellEnd"/>
            <w:r w:rsidRPr="00157452">
              <w:rPr>
                <w:szCs w:val="22"/>
              </w:rPr>
              <w:t xml:space="preserve"> Safety Cohort, the risk of death, or</w:t>
            </w:r>
            <w:r w:rsidR="00017EF8" w:rsidRPr="00157452">
              <w:rPr>
                <w:szCs w:val="22"/>
              </w:rPr>
              <w:t>gan transplantations, hospitalis</w:t>
            </w:r>
            <w:r w:rsidRPr="00157452">
              <w:rPr>
                <w:szCs w:val="22"/>
              </w:rPr>
              <w:t xml:space="preserve">ations, pulmonary exacerbations, complications, and the composite measure of serious safety outcomes, were all statistically significantly lower relative to the Comparator Safety Cohort. In addition, the risk of depression in the </w:t>
            </w:r>
            <w:proofErr w:type="spellStart"/>
            <w:r w:rsidRPr="00157452">
              <w:rPr>
                <w:szCs w:val="22"/>
              </w:rPr>
              <w:t>Ivacaftor</w:t>
            </w:r>
            <w:proofErr w:type="spellEnd"/>
            <w:r w:rsidRPr="00157452">
              <w:rPr>
                <w:szCs w:val="22"/>
              </w:rPr>
              <w:t xml:space="preserve"> Safety Cohort was lower than that in the Comparator Safety Cohort. There were no statistically </w:t>
            </w:r>
            <w:r w:rsidRPr="00157452">
              <w:rPr>
                <w:szCs w:val="22"/>
              </w:rPr>
              <w:lastRenderedPageBreak/>
              <w:t>significant differences in the frequency of pregnancy or pregnanc</w:t>
            </w:r>
            <w:r w:rsidR="00AB03B5" w:rsidRPr="00157452">
              <w:rPr>
                <w:szCs w:val="22"/>
              </w:rPr>
              <w:t>y outcomes between the cohorts.</w:t>
            </w:r>
          </w:p>
          <w:p w:rsidR="00384A0E" w:rsidRPr="00157452" w:rsidRDefault="00384A0E" w:rsidP="00157452">
            <w:pPr>
              <w:ind w:left="65"/>
              <w:rPr>
                <w:szCs w:val="22"/>
              </w:rPr>
            </w:pPr>
            <w:r w:rsidRPr="00157452">
              <w:rPr>
                <w:szCs w:val="22"/>
              </w:rPr>
              <w:t>The mean percent predicted FEV</w:t>
            </w:r>
            <w:r w:rsidRPr="00157452">
              <w:rPr>
                <w:szCs w:val="22"/>
                <w:vertAlign w:val="subscript"/>
              </w:rPr>
              <w:t>1</w:t>
            </w:r>
            <w:r w:rsidRPr="00157452">
              <w:rPr>
                <w:szCs w:val="22"/>
              </w:rPr>
              <w:t xml:space="preserve"> (best available value for each year) improved in the </w:t>
            </w:r>
            <w:proofErr w:type="spellStart"/>
            <w:r w:rsidRPr="00157452">
              <w:rPr>
                <w:szCs w:val="22"/>
              </w:rPr>
              <w:t>Ivacaftor</w:t>
            </w:r>
            <w:proofErr w:type="spellEnd"/>
            <w:r w:rsidRPr="00157452">
              <w:rPr>
                <w:szCs w:val="22"/>
              </w:rPr>
              <w:t xml:space="preserve"> Disease Progression Cohort from 79.3% in 2011 (pre‐</w:t>
            </w:r>
            <w:proofErr w:type="spellStart"/>
            <w:r w:rsidRPr="00157452">
              <w:rPr>
                <w:szCs w:val="22"/>
              </w:rPr>
              <w:t>ivacaftor</w:t>
            </w:r>
            <w:proofErr w:type="spellEnd"/>
            <w:r w:rsidRPr="00157452">
              <w:rPr>
                <w:szCs w:val="22"/>
              </w:rPr>
              <w:t xml:space="preserve"> baseline) to 81.7% in 2012, and 82.6% in 2013, while it decreased from 79.3% in 2011 to 78.2% in 2012 and 76.5% in 2013 in the Compara</w:t>
            </w:r>
            <w:r w:rsidR="00423202" w:rsidRPr="00157452">
              <w:rPr>
                <w:szCs w:val="22"/>
              </w:rPr>
              <w:t>tor Disease Progression Cohort.</w:t>
            </w:r>
          </w:p>
          <w:p w:rsidR="00384A0E" w:rsidRPr="00157452" w:rsidRDefault="00384A0E" w:rsidP="00157452">
            <w:pPr>
              <w:ind w:left="65"/>
              <w:rPr>
                <w:szCs w:val="22"/>
              </w:rPr>
            </w:pPr>
            <w:r w:rsidRPr="00157452">
              <w:rPr>
                <w:szCs w:val="22"/>
              </w:rPr>
              <w:t xml:space="preserve">The results of this second annual LTSS report from both UK and US registries revealed consistent </w:t>
            </w:r>
            <w:r w:rsidR="00B96C82" w:rsidRPr="00157452">
              <w:rPr>
                <w:szCs w:val="22"/>
              </w:rPr>
              <w:t>favourable</w:t>
            </w:r>
            <w:r w:rsidRPr="00157452">
              <w:rPr>
                <w:szCs w:val="22"/>
              </w:rPr>
              <w:t xml:space="preserve"> findings with respect to clinically important outcomes in </w:t>
            </w:r>
            <w:proofErr w:type="spellStart"/>
            <w:r w:rsidRPr="00157452">
              <w:rPr>
                <w:szCs w:val="22"/>
              </w:rPr>
              <w:t>ivacaftor</w:t>
            </w:r>
            <w:proofErr w:type="spellEnd"/>
            <w:r w:rsidRPr="00157452">
              <w:rPr>
                <w:szCs w:val="22"/>
              </w:rPr>
              <w:t xml:space="preserve"> treated patients and indicated no new safety concerns. In both UK and US registries, patients who were treated with </w:t>
            </w:r>
            <w:proofErr w:type="spellStart"/>
            <w:r w:rsidRPr="00157452">
              <w:rPr>
                <w:szCs w:val="22"/>
              </w:rPr>
              <w:t>ivacaftor</w:t>
            </w:r>
            <w:proofErr w:type="spellEnd"/>
            <w:r w:rsidRPr="00157452">
              <w:rPr>
                <w:szCs w:val="22"/>
              </w:rPr>
              <w:t xml:space="preserve"> demonstrated improved lung function as compared with the comparator cohorts. Findings are consistent with the current understanding of the </w:t>
            </w:r>
            <w:proofErr w:type="spellStart"/>
            <w:r w:rsidRPr="00157452">
              <w:rPr>
                <w:szCs w:val="22"/>
              </w:rPr>
              <w:t>ivacaftor</w:t>
            </w:r>
            <w:proofErr w:type="spellEnd"/>
            <w:r w:rsidRPr="00157452">
              <w:rPr>
                <w:szCs w:val="22"/>
              </w:rPr>
              <w:t xml:space="preserve"> safety profile and clinical benefits, and for the first time, demonstrate a statistically significant reduction in the risk of death (US CFF Patient Registry only), as well as positive effects against disease progression, supporting disease </w:t>
            </w:r>
            <w:r w:rsidR="00AB03B5" w:rsidRPr="00157452">
              <w:rPr>
                <w:szCs w:val="22"/>
              </w:rPr>
              <w:t>modification in real‐world use.</w:t>
            </w:r>
          </w:p>
          <w:p w:rsidR="00B63D18" w:rsidRPr="00157452" w:rsidRDefault="00384A0E" w:rsidP="00157452">
            <w:pPr>
              <w:ind w:left="65"/>
              <w:rPr>
                <w:b/>
                <w:szCs w:val="22"/>
              </w:rPr>
            </w:pPr>
            <w:r w:rsidRPr="00157452">
              <w:rPr>
                <w:b/>
                <w:szCs w:val="22"/>
              </w:rPr>
              <w:lastRenderedPageBreak/>
              <w:t>Study VX12‐770‐112</w:t>
            </w:r>
          </w:p>
          <w:p w:rsidR="00384A0E" w:rsidRPr="00157452" w:rsidRDefault="00384A0E" w:rsidP="00157452">
            <w:pPr>
              <w:ind w:left="65"/>
              <w:rPr>
                <w:szCs w:val="22"/>
              </w:rPr>
            </w:pPr>
            <w:r w:rsidRPr="00157452">
              <w:rPr>
                <w:szCs w:val="22"/>
              </w:rPr>
              <w:t xml:space="preserve">The primary objective of the study is to evaluate the safety of long‐term </w:t>
            </w:r>
            <w:proofErr w:type="spellStart"/>
            <w:r w:rsidRPr="00157452">
              <w:rPr>
                <w:szCs w:val="22"/>
              </w:rPr>
              <w:t>ivacaftor</w:t>
            </w:r>
            <w:proofErr w:type="spellEnd"/>
            <w:r w:rsidRPr="00157452">
              <w:rPr>
                <w:szCs w:val="22"/>
              </w:rPr>
              <w:t xml:space="preserve"> treatment in subjects 6 years of age and older with CF and a non‐G551D CFTR mutation. Study 112 enrolled subjects from previously completed Studies 110, 111 or 113, for treatment with </w:t>
            </w:r>
            <w:proofErr w:type="spellStart"/>
            <w:r w:rsidRPr="00157452">
              <w:rPr>
                <w:szCs w:val="22"/>
              </w:rPr>
              <w:t>ivacaftor</w:t>
            </w:r>
            <w:proofErr w:type="spellEnd"/>
            <w:r w:rsidRPr="00157452">
              <w:rPr>
                <w:szCs w:val="22"/>
              </w:rPr>
              <w:t xml:space="preserve"> or in the observational arm for a period up to 108 weeks, or until commercial availability and reimbursement of </w:t>
            </w:r>
            <w:proofErr w:type="spellStart"/>
            <w:r w:rsidR="00017EF8" w:rsidRPr="00157452">
              <w:rPr>
                <w:szCs w:val="22"/>
              </w:rPr>
              <w:t>Kaldyeco</w:t>
            </w:r>
            <w:proofErr w:type="spellEnd"/>
            <w:r w:rsidR="00AB03B5" w:rsidRPr="00157452">
              <w:rPr>
                <w:szCs w:val="22"/>
              </w:rPr>
              <w:t>.</w:t>
            </w:r>
          </w:p>
          <w:p w:rsidR="00384A0E" w:rsidRPr="00157452" w:rsidRDefault="00017EF8" w:rsidP="00157452">
            <w:pPr>
              <w:ind w:left="65"/>
              <w:rPr>
                <w:szCs w:val="22"/>
              </w:rPr>
            </w:pPr>
            <w:r w:rsidRPr="00157452">
              <w:rPr>
                <w:szCs w:val="22"/>
              </w:rPr>
              <w:t xml:space="preserve">Through </w:t>
            </w:r>
            <w:r w:rsidR="00384A0E" w:rsidRPr="00157452">
              <w:rPr>
                <w:szCs w:val="22"/>
              </w:rPr>
              <w:t xml:space="preserve">6 October 2015, 26 subjects had completed at least 104 weeks of </w:t>
            </w:r>
            <w:proofErr w:type="spellStart"/>
            <w:r w:rsidR="00384A0E" w:rsidRPr="00157452">
              <w:rPr>
                <w:szCs w:val="22"/>
              </w:rPr>
              <w:t>ivacaftor</w:t>
            </w:r>
            <w:proofErr w:type="spellEnd"/>
            <w:r w:rsidR="00384A0E" w:rsidRPr="00157452">
              <w:rPr>
                <w:szCs w:val="22"/>
              </w:rPr>
              <w:t xml:space="preserve"> (final protocol‐defined study visit), and 59 subjects transitioned to commercial </w:t>
            </w:r>
            <w:proofErr w:type="spellStart"/>
            <w:r w:rsidR="00384A0E" w:rsidRPr="00157452">
              <w:rPr>
                <w:szCs w:val="22"/>
              </w:rPr>
              <w:t>ivacaftor</w:t>
            </w:r>
            <w:proofErr w:type="spellEnd"/>
            <w:r w:rsidR="00384A0E" w:rsidRPr="00157452">
              <w:rPr>
                <w:szCs w:val="22"/>
              </w:rPr>
              <w:t xml:space="preserve">. Twenty subjects remain on </w:t>
            </w:r>
            <w:proofErr w:type="spellStart"/>
            <w:r w:rsidR="00384A0E" w:rsidRPr="00157452">
              <w:rPr>
                <w:szCs w:val="22"/>
              </w:rPr>
              <w:t>iv</w:t>
            </w:r>
            <w:r w:rsidR="00AB03B5" w:rsidRPr="00157452">
              <w:rPr>
                <w:szCs w:val="22"/>
              </w:rPr>
              <w:t>acaftor</w:t>
            </w:r>
            <w:proofErr w:type="spellEnd"/>
            <w:r w:rsidR="00AB03B5" w:rsidRPr="00157452">
              <w:rPr>
                <w:szCs w:val="22"/>
              </w:rPr>
              <w:t xml:space="preserve"> treatment in the study.</w:t>
            </w:r>
          </w:p>
          <w:p w:rsidR="00384A0E" w:rsidRPr="00157452" w:rsidRDefault="00384A0E" w:rsidP="00157452">
            <w:pPr>
              <w:ind w:left="65"/>
              <w:rPr>
                <w:szCs w:val="22"/>
              </w:rPr>
            </w:pPr>
            <w:r w:rsidRPr="00157452">
              <w:rPr>
                <w:szCs w:val="22"/>
              </w:rPr>
              <w:t xml:space="preserve">Safety in subjects from Study 112 was evaluated by examining serious adverse events (SAEs) reported in the Vertex Global </w:t>
            </w:r>
            <w:r w:rsidR="00017EF8" w:rsidRPr="00157452">
              <w:rPr>
                <w:szCs w:val="22"/>
              </w:rPr>
              <w:t xml:space="preserve">Patient Safety Database. As of </w:t>
            </w:r>
            <w:r w:rsidRPr="00157452">
              <w:rPr>
                <w:szCs w:val="22"/>
              </w:rPr>
              <w:t xml:space="preserve">6 October 2015 a total of 52 SAEs were reported in subjects participating in the </w:t>
            </w:r>
            <w:proofErr w:type="spellStart"/>
            <w:r w:rsidRPr="00157452">
              <w:rPr>
                <w:szCs w:val="22"/>
              </w:rPr>
              <w:t>ivacaftor</w:t>
            </w:r>
            <w:proofErr w:type="spellEnd"/>
            <w:r w:rsidRPr="00157452">
              <w:rPr>
                <w:szCs w:val="22"/>
              </w:rPr>
              <w:t xml:space="preserve"> treatment arm of the study. The most commonly reported SAEs (≥ 2) were: Infective pulmonary exacerbation of </w:t>
            </w:r>
            <w:r w:rsidR="00B96C82" w:rsidRPr="00157452">
              <w:rPr>
                <w:szCs w:val="22"/>
              </w:rPr>
              <w:t>CF (33), p</w:t>
            </w:r>
            <w:r w:rsidRPr="00157452">
              <w:rPr>
                <w:szCs w:val="22"/>
              </w:rPr>
              <w:t xml:space="preserve">neumonia (3), </w:t>
            </w:r>
            <w:r w:rsidR="00B96C82" w:rsidRPr="00157452">
              <w:rPr>
                <w:szCs w:val="22"/>
              </w:rPr>
              <w:t>a</w:t>
            </w:r>
            <w:r w:rsidRPr="00157452">
              <w:rPr>
                <w:szCs w:val="22"/>
              </w:rPr>
              <w:t xml:space="preserve">ngioedema (2), and </w:t>
            </w:r>
            <w:r w:rsidR="00B96C82" w:rsidRPr="00157452">
              <w:rPr>
                <w:szCs w:val="22"/>
              </w:rPr>
              <w:t>g</w:t>
            </w:r>
            <w:r w:rsidRPr="00157452">
              <w:rPr>
                <w:szCs w:val="22"/>
              </w:rPr>
              <w:t xml:space="preserve">astroenteritis (2). All SAEs were considered not related to </w:t>
            </w:r>
            <w:proofErr w:type="spellStart"/>
            <w:r w:rsidRPr="00157452">
              <w:rPr>
                <w:szCs w:val="22"/>
              </w:rPr>
              <w:t>ivacaftor</w:t>
            </w:r>
            <w:proofErr w:type="spellEnd"/>
            <w:r w:rsidRPr="00157452">
              <w:rPr>
                <w:szCs w:val="22"/>
              </w:rPr>
              <w:t xml:space="preserve"> by study investigators, with the exception of 1 SAE of </w:t>
            </w:r>
            <w:r w:rsidRPr="00157452">
              <w:rPr>
                <w:szCs w:val="22"/>
              </w:rPr>
              <w:lastRenderedPageBreak/>
              <w:t xml:space="preserve">Infective pulmonary exacerbation of CF. Subjects recovered or were recovering in all cases, and </w:t>
            </w:r>
            <w:proofErr w:type="spellStart"/>
            <w:r w:rsidRPr="00157452">
              <w:rPr>
                <w:szCs w:val="22"/>
              </w:rPr>
              <w:t>ivacaftor</w:t>
            </w:r>
            <w:proofErr w:type="spellEnd"/>
            <w:r w:rsidRPr="00157452">
              <w:rPr>
                <w:szCs w:val="22"/>
              </w:rPr>
              <w:t xml:space="preserve"> treatment was continued in nearly all reports. One subject with prior medical history of idiopathic angioedema, had 2 SAEs of </w:t>
            </w:r>
            <w:r w:rsidR="00B96C82" w:rsidRPr="00157452">
              <w:rPr>
                <w:szCs w:val="22"/>
              </w:rPr>
              <w:t>a</w:t>
            </w:r>
            <w:r w:rsidRPr="00157452">
              <w:rPr>
                <w:szCs w:val="22"/>
              </w:rPr>
              <w:t xml:space="preserve">ngioedema during Study 112, both considered not related to </w:t>
            </w:r>
            <w:proofErr w:type="spellStart"/>
            <w:r w:rsidRPr="00157452">
              <w:rPr>
                <w:szCs w:val="22"/>
              </w:rPr>
              <w:t>ivacaftor</w:t>
            </w:r>
            <w:proofErr w:type="spellEnd"/>
            <w:r w:rsidRPr="00157452">
              <w:rPr>
                <w:szCs w:val="22"/>
              </w:rPr>
              <w:t>.</w:t>
            </w:r>
          </w:p>
          <w:p w:rsidR="00E93BCE" w:rsidRPr="00157452" w:rsidRDefault="00384A0E" w:rsidP="00157452">
            <w:pPr>
              <w:ind w:left="65"/>
              <w:rPr>
                <w:szCs w:val="22"/>
              </w:rPr>
            </w:pPr>
            <w:r w:rsidRPr="00157452">
              <w:rPr>
                <w:szCs w:val="22"/>
              </w:rPr>
              <w:t xml:space="preserve">The safety profile of </w:t>
            </w:r>
            <w:proofErr w:type="spellStart"/>
            <w:r w:rsidRPr="00157452">
              <w:rPr>
                <w:szCs w:val="22"/>
              </w:rPr>
              <w:t>ivacaftor</w:t>
            </w:r>
            <w:proofErr w:type="spellEnd"/>
            <w:r w:rsidRPr="00157452">
              <w:rPr>
                <w:szCs w:val="22"/>
              </w:rPr>
              <w:t xml:space="preserve"> in Study 112 is consistent with the safety profile observed in Studies 110, 111 and 113, and with previous studies of </w:t>
            </w:r>
            <w:proofErr w:type="spellStart"/>
            <w:r w:rsidRPr="00157452">
              <w:rPr>
                <w:szCs w:val="22"/>
              </w:rPr>
              <w:t>ivacaftor</w:t>
            </w:r>
            <w:proofErr w:type="spellEnd"/>
            <w:r w:rsidRPr="00157452">
              <w:rPr>
                <w:szCs w:val="22"/>
              </w:rPr>
              <w:t xml:space="preserve"> in CF subjects, and no new s</w:t>
            </w:r>
            <w:r w:rsidR="00236CBA" w:rsidRPr="00157452">
              <w:rPr>
                <w:szCs w:val="22"/>
              </w:rPr>
              <w:t>afety findings were identified.</w:t>
            </w:r>
          </w:p>
        </w:tc>
        <w:tc>
          <w:tcPr>
            <w:tcW w:w="1704" w:type="dxa"/>
          </w:tcPr>
          <w:p w:rsidR="008D5504" w:rsidRPr="00157452" w:rsidRDefault="008D5504" w:rsidP="00157452">
            <w:pPr>
              <w:ind w:left="72"/>
              <w:rPr>
                <w:szCs w:val="22"/>
              </w:rPr>
            </w:pPr>
          </w:p>
        </w:tc>
      </w:tr>
    </w:tbl>
    <w:p w:rsidR="00C63B16" w:rsidRPr="00C63B16" w:rsidRDefault="00C63B16" w:rsidP="00C63B16">
      <w:pPr>
        <w:pStyle w:val="Heading4"/>
      </w:pPr>
      <w:bookmarkStart w:id="101" w:name="_Toc247691527"/>
      <w:r>
        <w:lastRenderedPageBreak/>
        <w:t>Outstanding issues</w:t>
      </w:r>
    </w:p>
    <w:p w:rsidR="00B63D18" w:rsidRDefault="00C63B16" w:rsidP="00C63B16">
      <w:pPr>
        <w:pStyle w:val="Heading5"/>
        <w:rPr>
          <w:rFonts w:eastAsiaTheme="minorHAnsi"/>
        </w:rPr>
      </w:pPr>
      <w:r w:rsidRPr="00C63B16">
        <w:rPr>
          <w:rFonts w:eastAsiaTheme="minorHAnsi"/>
        </w:rPr>
        <w:t>Issues in relation to the RMP</w:t>
      </w:r>
    </w:p>
    <w:p w:rsidR="00C63B16" w:rsidRDefault="00C63B16" w:rsidP="00C63B16">
      <w:r w:rsidRPr="00C63B16">
        <w:t>There are no outstanding issues in relation to the RMP for this submission.</w:t>
      </w:r>
    </w:p>
    <w:p w:rsidR="00C63B16" w:rsidRDefault="00C63B16" w:rsidP="00C63B16">
      <w:pPr>
        <w:pStyle w:val="Heading5"/>
        <w:rPr>
          <w:rFonts w:eastAsiaTheme="minorHAnsi"/>
        </w:rPr>
      </w:pPr>
      <w:r w:rsidRPr="00C63B16">
        <w:rPr>
          <w:rFonts w:eastAsiaTheme="minorHAnsi"/>
        </w:rPr>
        <w:t>Advice from the Advisory Committee on the Safety of Medicines (ACSOM</w:t>
      </w:r>
      <w:r>
        <w:rPr>
          <w:rFonts w:eastAsiaTheme="minorHAnsi"/>
        </w:rPr>
        <w:t>)</w:t>
      </w:r>
    </w:p>
    <w:p w:rsidR="00C63B16" w:rsidRPr="00C63B16" w:rsidRDefault="00C63B16" w:rsidP="00C63B16">
      <w:r w:rsidRPr="00C63B16">
        <w:t>ACSOM advice was not sought for this submission.</w:t>
      </w:r>
    </w:p>
    <w:p w:rsidR="00A347E4" w:rsidRDefault="00A347E4" w:rsidP="00A347E4">
      <w:pPr>
        <w:pStyle w:val="Heading4"/>
      </w:pPr>
      <w:r w:rsidRPr="00A347E4">
        <w:t>Suggested wording</w:t>
      </w:r>
      <w:r>
        <w:t xml:space="preserve"> for conditions of registration</w:t>
      </w:r>
    </w:p>
    <w:p w:rsidR="00A347E4" w:rsidRPr="00A347E4" w:rsidRDefault="00A347E4" w:rsidP="00A347E4">
      <w:pPr>
        <w:pStyle w:val="Heading5"/>
        <w:rPr>
          <w:rFonts w:eastAsiaTheme="minorHAnsi"/>
        </w:rPr>
      </w:pPr>
      <w:r>
        <w:rPr>
          <w:rFonts w:eastAsiaTheme="minorHAnsi"/>
        </w:rPr>
        <w:t>RMP</w:t>
      </w:r>
    </w:p>
    <w:p w:rsidR="00A347E4" w:rsidRPr="00A347E4" w:rsidRDefault="00A347E4" w:rsidP="00A347E4">
      <w:r w:rsidRPr="00A347E4">
        <w:t>Any changes to which the sponsor agreed become part of the risk management system, whether they are included in the currently available version of the RMP document, or not included, inadvertently or otherwise.</w:t>
      </w:r>
    </w:p>
    <w:p w:rsidR="00A347E4" w:rsidRDefault="00A347E4" w:rsidP="00A347E4">
      <w:r w:rsidRPr="00A347E4">
        <w:t>The suggested wording is:</w:t>
      </w:r>
    </w:p>
    <w:p w:rsidR="00A347E4" w:rsidRPr="003A6364" w:rsidRDefault="00A347E4" w:rsidP="008E5BE9">
      <w:pPr>
        <w:ind w:left="720"/>
        <w:rPr>
          <w:i/>
        </w:rPr>
      </w:pPr>
      <w:r w:rsidRPr="003A6364">
        <w:rPr>
          <w:i/>
        </w:rPr>
        <w:t>Implement EU-RMP version 3.0 dated 27 July 2014 (data lock point 23 July 2013) with Australian Specific Annex version 2.0 dated 31 March 2015 and any future updates as a condition of registration.</w:t>
      </w:r>
    </w:p>
    <w:p w:rsidR="008E7846" w:rsidRPr="00792A32" w:rsidRDefault="008E7846" w:rsidP="008E7846">
      <w:pPr>
        <w:pStyle w:val="Heading2"/>
      </w:pPr>
      <w:bookmarkStart w:id="102" w:name="_Toc314842510"/>
      <w:bookmarkStart w:id="103" w:name="_Toc472521797"/>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3"/>
      <w:bookmarkEnd w:id="101"/>
      <w:bookmarkEnd w:id="102"/>
      <w:bookmarkEnd w:id="103"/>
    </w:p>
    <w:p w:rsidR="008E7846" w:rsidRDefault="008E7846" w:rsidP="008E7846">
      <w:bookmarkStart w:id="104"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05" w:name="_Toc314842511"/>
      <w:bookmarkStart w:id="106" w:name="_Toc472521798"/>
      <w:r>
        <w:lastRenderedPageBreak/>
        <w:t>Quality</w:t>
      </w:r>
      <w:bookmarkEnd w:id="104"/>
      <w:bookmarkEnd w:id="105"/>
      <w:bookmarkEnd w:id="106"/>
    </w:p>
    <w:p w:rsidR="00E45619" w:rsidRDefault="008E7846" w:rsidP="003A7F6C">
      <w:r>
        <w:t>There was no requirement for a quality evaluation in a submission of this type.</w:t>
      </w:r>
    </w:p>
    <w:p w:rsidR="008E7846" w:rsidRDefault="008E7846" w:rsidP="008E7846">
      <w:pPr>
        <w:pStyle w:val="Heading3"/>
      </w:pPr>
      <w:bookmarkStart w:id="107" w:name="_Toc314842512"/>
      <w:bookmarkStart w:id="108" w:name="_Toc472521799"/>
      <w:r>
        <w:t>Nonclinical</w:t>
      </w:r>
      <w:bookmarkEnd w:id="107"/>
      <w:bookmarkEnd w:id="108"/>
    </w:p>
    <w:p w:rsidR="00C3656F" w:rsidRDefault="003A6364" w:rsidP="00C3656F">
      <w:r>
        <w:t>The non</w:t>
      </w:r>
      <w:r w:rsidR="00C3656F" w:rsidRPr="00C3656F">
        <w:t>clinical evaluator recommended approval conditional on amendments to the PI.</w:t>
      </w:r>
    </w:p>
    <w:p w:rsidR="00C3656F" w:rsidRDefault="00C3656F" w:rsidP="00C3656F">
      <w:r w:rsidRPr="00C3656F">
        <w:t xml:space="preserve">One new primary pharmacology study and two previously evaluated pharmacology studies were submitted. </w:t>
      </w:r>
      <w:proofErr w:type="spellStart"/>
      <w:r w:rsidRPr="00C3656F">
        <w:t>Ivacaftor</w:t>
      </w:r>
      <w:proofErr w:type="spellEnd"/>
      <w:r w:rsidRPr="00C3656F">
        <w:t xml:space="preserve"> was shown to increase chloride transport by the R117H mutant form of CFTR by almost 50% (from a background of 26% of normal CFTR to 38%) in in-vitro experiments with transfected cells. The drug increased the open-probability of the ion channel (gating) of R117H CFTR without affecting chloride ion conductance. The EC</w:t>
      </w:r>
      <w:r w:rsidRPr="00975E56">
        <w:rPr>
          <w:vertAlign w:val="subscript"/>
        </w:rPr>
        <w:t>50</w:t>
      </w:r>
      <w:r w:rsidRPr="00C3656F">
        <w:t xml:space="preserve"> value for the increase in chloride transport was comparable to that previously reported for the </w:t>
      </w:r>
      <w:proofErr w:type="spellStart"/>
      <w:r w:rsidRPr="00C3656F">
        <w:t>Ivacaftor</w:t>
      </w:r>
      <w:proofErr w:type="spellEnd"/>
      <w:r w:rsidRPr="00C3656F">
        <w:t xml:space="preserve"> at the G551D mutant form of CFTR.</w:t>
      </w:r>
    </w:p>
    <w:p w:rsidR="00C3656F" w:rsidRDefault="00C3656F" w:rsidP="00C3656F">
      <w:r w:rsidRPr="00C3656F">
        <w:t>The R117H mutation of CFTR is classified as both a Class III and Class IV mutation as both gating and conductance are decreased.</w:t>
      </w:r>
    </w:p>
    <w:p w:rsidR="00C3656F" w:rsidRPr="00C3656F" w:rsidRDefault="00C3656F" w:rsidP="00C3656F">
      <w:proofErr w:type="spellStart"/>
      <w:r w:rsidRPr="00C3656F">
        <w:t>Ivacaftor</w:t>
      </w:r>
      <w:proofErr w:type="spellEnd"/>
      <w:r w:rsidRPr="00C3656F">
        <w:t xml:space="preserve"> increased total chloride transport in Fischer rat</w:t>
      </w:r>
      <w:r>
        <w:t xml:space="preserve"> thyroid cells expressing R117H</w:t>
      </w:r>
      <w:r>
        <w:noBreakHyphen/>
      </w:r>
      <w:r w:rsidRPr="00C3656F">
        <w:t>CFTR with an EC</w:t>
      </w:r>
      <w:r w:rsidRPr="00C3656F">
        <w:rPr>
          <w:vertAlign w:val="subscript"/>
        </w:rPr>
        <w:t>50</w:t>
      </w:r>
      <w:r w:rsidRPr="00C3656F">
        <w:t xml:space="preserve"> </w:t>
      </w:r>
      <w:r>
        <w:t xml:space="preserve">of 82 to </w:t>
      </w:r>
      <w:r w:rsidRPr="00C3656F">
        <w:t xml:space="preserve">151nM. The increase in total chloride transport was due to an increase in the open probability of the channel gate (from 22 to 42% of normal in the presence of 3μM </w:t>
      </w:r>
      <w:proofErr w:type="spellStart"/>
      <w:r w:rsidRPr="00C3656F">
        <w:t>Ivac</w:t>
      </w:r>
      <w:r>
        <w:t>aftor</w:t>
      </w:r>
      <w:proofErr w:type="spellEnd"/>
      <w:r>
        <w:t xml:space="preserve">). There was no effect of </w:t>
      </w:r>
      <w:proofErr w:type="spellStart"/>
      <w:r>
        <w:t>i</w:t>
      </w:r>
      <w:r w:rsidRPr="00C3656F">
        <w:t>vacaftor</w:t>
      </w:r>
      <w:proofErr w:type="spellEnd"/>
      <w:r w:rsidRPr="00C3656F">
        <w:t xml:space="preserve"> on conductance. In contrast, in cells expressing t</w:t>
      </w:r>
      <w:r>
        <w:t xml:space="preserve">he G551D mutant forms of CFTR, </w:t>
      </w:r>
      <w:proofErr w:type="spellStart"/>
      <w:r>
        <w:t>i</w:t>
      </w:r>
      <w:r w:rsidRPr="00C3656F">
        <w:t>vacaftor</w:t>
      </w:r>
      <w:proofErr w:type="spellEnd"/>
      <w:r w:rsidRPr="00C3656F">
        <w:t xml:space="preserve"> increased chloride transport with EC</w:t>
      </w:r>
      <w:r w:rsidRPr="00C3656F">
        <w:rPr>
          <w:vertAlign w:val="subscript"/>
        </w:rPr>
        <w:t>50</w:t>
      </w:r>
      <w:r w:rsidRPr="00C3656F">
        <w:t xml:space="preserve"> </w:t>
      </w:r>
      <w:r>
        <w:t xml:space="preserve">values ranging from 36 to </w:t>
      </w:r>
      <w:r w:rsidRPr="00C3656F">
        <w:t>312nM, with total chloride transport increased from 5% of normal CFTR to 48%.</w:t>
      </w:r>
    </w:p>
    <w:p w:rsidR="008E7846" w:rsidRDefault="008E7846" w:rsidP="008E7846">
      <w:pPr>
        <w:pStyle w:val="Heading3"/>
      </w:pPr>
      <w:bookmarkStart w:id="109" w:name="_Toc247691530"/>
      <w:bookmarkStart w:id="110" w:name="_Toc314842513"/>
      <w:bookmarkStart w:id="111" w:name="_Toc472521800"/>
      <w:r>
        <w:t>Clinical</w:t>
      </w:r>
      <w:bookmarkEnd w:id="109"/>
      <w:bookmarkEnd w:id="110"/>
      <w:bookmarkEnd w:id="111"/>
    </w:p>
    <w:p w:rsidR="009D5085" w:rsidRPr="009D5085" w:rsidRDefault="009D5085" w:rsidP="009D5085">
      <w:bookmarkStart w:id="112" w:name="_Toc314842514"/>
      <w:r w:rsidRPr="009D5085">
        <w:t>The clinical evaluator recommended approval for the proposed indication.</w:t>
      </w:r>
    </w:p>
    <w:p w:rsidR="009D5085" w:rsidRPr="009D5085" w:rsidRDefault="009D5085" w:rsidP="009D5085">
      <w:pPr>
        <w:pStyle w:val="Heading4"/>
      </w:pPr>
      <w:r w:rsidRPr="009D5085">
        <w:t>Pharmacology</w:t>
      </w:r>
    </w:p>
    <w:p w:rsidR="009D5085" w:rsidRDefault="009D5085" w:rsidP="009D5085">
      <w:r w:rsidRPr="009D5085">
        <w:t>The new data submitted included a population PK study in subjects with R117H mutation. The population PK study was conducted using a two-compartment model with zero-order delivery to the absorption compartment and su</w:t>
      </w:r>
      <w:r>
        <w:t>bsequen</w:t>
      </w:r>
      <w:r w:rsidR="00AB03B5">
        <w:t>t first order absorption (Table 8</w:t>
      </w:r>
      <w:r>
        <w:t>)</w:t>
      </w:r>
      <w:r w:rsidR="00AB03B5">
        <w:t>.</w:t>
      </w:r>
    </w:p>
    <w:p w:rsidR="009D5085" w:rsidRPr="00AB03B5" w:rsidRDefault="009D5085" w:rsidP="00AB03B5">
      <w:pPr>
        <w:pStyle w:val="Tabletitle0"/>
      </w:pPr>
      <w:r w:rsidRPr="00AB03B5">
        <w:t>Table</w:t>
      </w:r>
      <w:r w:rsidR="00AB03B5" w:rsidRPr="00AB03B5">
        <w:t xml:space="preserve"> 8: </w:t>
      </w:r>
      <w:r w:rsidR="00975E56">
        <w:t>P</w:t>
      </w:r>
      <w:r w:rsidR="00E95E7D">
        <w:t>opulation PK study</w:t>
      </w:r>
    </w:p>
    <w:tbl>
      <w:tblPr>
        <w:tblStyle w:val="TableTGAblue"/>
        <w:tblW w:w="0" w:type="auto"/>
        <w:tblInd w:w="108" w:type="dxa"/>
        <w:tblLayout w:type="fixed"/>
        <w:tblLook w:val="04A0" w:firstRow="1" w:lastRow="0" w:firstColumn="1" w:lastColumn="0" w:noHBand="0" w:noVBand="1"/>
      </w:tblPr>
      <w:tblGrid>
        <w:gridCol w:w="1701"/>
        <w:gridCol w:w="1418"/>
        <w:gridCol w:w="1417"/>
        <w:gridCol w:w="1843"/>
        <w:gridCol w:w="2233"/>
      </w:tblGrid>
      <w:tr w:rsidR="00BC1F69" w:rsidRPr="00E92D49" w:rsidTr="00E92D49">
        <w:trPr>
          <w:cnfStyle w:val="100000000000" w:firstRow="1" w:lastRow="0" w:firstColumn="0" w:lastColumn="0" w:oddVBand="0" w:evenVBand="0" w:oddHBand="0" w:evenHBand="0" w:firstRowFirstColumn="0" w:firstRowLastColumn="0" w:lastRowFirstColumn="0" w:lastRowLastColumn="0"/>
        </w:trPr>
        <w:tc>
          <w:tcPr>
            <w:tcW w:w="1701" w:type="dxa"/>
          </w:tcPr>
          <w:p w:rsidR="00BC1F69" w:rsidRPr="00E92D49" w:rsidRDefault="00BC1F69" w:rsidP="00E92D49">
            <w:pPr>
              <w:ind w:left="34"/>
              <w:rPr>
                <w:sz w:val="19"/>
                <w:szCs w:val="19"/>
              </w:rPr>
            </w:pPr>
          </w:p>
        </w:tc>
        <w:tc>
          <w:tcPr>
            <w:tcW w:w="2835" w:type="dxa"/>
            <w:gridSpan w:val="2"/>
          </w:tcPr>
          <w:p w:rsidR="00BC1F69" w:rsidRPr="00E92D49" w:rsidRDefault="00AB03B5" w:rsidP="00E92D49">
            <w:pPr>
              <w:ind w:left="34"/>
              <w:rPr>
                <w:sz w:val="19"/>
                <w:szCs w:val="19"/>
              </w:rPr>
            </w:pPr>
            <w:r w:rsidRPr="00E92D49">
              <w:rPr>
                <w:sz w:val="19"/>
                <w:szCs w:val="19"/>
              </w:rPr>
              <w:t>Conventional studies</w:t>
            </w:r>
          </w:p>
        </w:tc>
        <w:tc>
          <w:tcPr>
            <w:tcW w:w="4076" w:type="dxa"/>
            <w:gridSpan w:val="2"/>
          </w:tcPr>
          <w:p w:rsidR="00BC1F69" w:rsidRPr="00E92D49" w:rsidRDefault="00AB03B5" w:rsidP="00E92D49">
            <w:pPr>
              <w:rPr>
                <w:sz w:val="19"/>
                <w:szCs w:val="19"/>
              </w:rPr>
            </w:pPr>
            <w:r w:rsidRPr="00E92D49">
              <w:rPr>
                <w:sz w:val="19"/>
                <w:szCs w:val="19"/>
              </w:rPr>
              <w:t>Population PK</w:t>
            </w:r>
          </w:p>
        </w:tc>
      </w:tr>
      <w:tr w:rsidR="00BC1F69" w:rsidRPr="00E92D49" w:rsidTr="00E92D49">
        <w:trPr>
          <w:cantSplit/>
        </w:trPr>
        <w:tc>
          <w:tcPr>
            <w:tcW w:w="1701" w:type="dxa"/>
          </w:tcPr>
          <w:p w:rsidR="00BC1F69" w:rsidRPr="00E92D49" w:rsidRDefault="00BC1F69" w:rsidP="00E92D49">
            <w:pPr>
              <w:ind w:left="34"/>
              <w:rPr>
                <w:sz w:val="19"/>
                <w:szCs w:val="19"/>
              </w:rPr>
            </w:pPr>
          </w:p>
        </w:tc>
        <w:tc>
          <w:tcPr>
            <w:tcW w:w="1418" w:type="dxa"/>
          </w:tcPr>
          <w:p w:rsidR="00BC1F69" w:rsidRPr="00E92D49" w:rsidRDefault="00AB03B5" w:rsidP="00E92D49">
            <w:pPr>
              <w:ind w:left="34"/>
              <w:rPr>
                <w:sz w:val="19"/>
                <w:szCs w:val="19"/>
              </w:rPr>
            </w:pPr>
            <w:r w:rsidRPr="00E92D49">
              <w:rPr>
                <w:sz w:val="19"/>
                <w:szCs w:val="19"/>
              </w:rPr>
              <w:t>Healthy subjects</w:t>
            </w:r>
          </w:p>
        </w:tc>
        <w:tc>
          <w:tcPr>
            <w:tcW w:w="1417" w:type="dxa"/>
          </w:tcPr>
          <w:p w:rsidR="00BC1F69" w:rsidRPr="00E92D49" w:rsidRDefault="00AB03B5" w:rsidP="00E92D49">
            <w:pPr>
              <w:ind w:left="34"/>
              <w:rPr>
                <w:sz w:val="19"/>
                <w:szCs w:val="19"/>
              </w:rPr>
            </w:pPr>
            <w:r w:rsidRPr="00E92D49">
              <w:rPr>
                <w:sz w:val="19"/>
                <w:szCs w:val="19"/>
              </w:rPr>
              <w:t>Other CF subjects</w:t>
            </w:r>
          </w:p>
        </w:tc>
        <w:tc>
          <w:tcPr>
            <w:tcW w:w="1843" w:type="dxa"/>
          </w:tcPr>
          <w:p w:rsidR="00BC1F69" w:rsidRPr="00E92D49" w:rsidRDefault="00AB03B5" w:rsidP="00E92D49">
            <w:pPr>
              <w:rPr>
                <w:sz w:val="19"/>
                <w:szCs w:val="19"/>
              </w:rPr>
            </w:pPr>
            <w:r w:rsidRPr="00E92D49">
              <w:rPr>
                <w:sz w:val="19"/>
                <w:szCs w:val="19"/>
              </w:rPr>
              <w:t>Other CF</w:t>
            </w:r>
          </w:p>
        </w:tc>
        <w:tc>
          <w:tcPr>
            <w:tcW w:w="2233" w:type="dxa"/>
          </w:tcPr>
          <w:p w:rsidR="00BC1F69" w:rsidRPr="00E92D49" w:rsidRDefault="00AB03B5" w:rsidP="00E92D49">
            <w:pPr>
              <w:rPr>
                <w:sz w:val="19"/>
                <w:szCs w:val="19"/>
              </w:rPr>
            </w:pPr>
            <w:r w:rsidRPr="00E92D49">
              <w:rPr>
                <w:sz w:val="19"/>
                <w:szCs w:val="19"/>
              </w:rPr>
              <w:t>R117H</w:t>
            </w:r>
          </w:p>
        </w:tc>
      </w:tr>
      <w:tr w:rsidR="00AB03B5" w:rsidRPr="00E92D49" w:rsidTr="00E92D49">
        <w:trPr>
          <w:cantSplit/>
        </w:trPr>
        <w:tc>
          <w:tcPr>
            <w:tcW w:w="1701" w:type="dxa"/>
          </w:tcPr>
          <w:p w:rsidR="00AB03B5" w:rsidRPr="00E92D49" w:rsidRDefault="00AB03B5" w:rsidP="00E92D49">
            <w:pPr>
              <w:ind w:left="34"/>
              <w:rPr>
                <w:sz w:val="19"/>
                <w:szCs w:val="19"/>
              </w:rPr>
            </w:pPr>
            <w:r w:rsidRPr="00E92D49">
              <w:rPr>
                <w:sz w:val="19"/>
                <w:szCs w:val="19"/>
              </w:rPr>
              <w:t>C</w:t>
            </w:r>
            <w:r w:rsidRPr="00E92D49">
              <w:rPr>
                <w:sz w:val="19"/>
                <w:szCs w:val="19"/>
                <w:vertAlign w:val="subscript"/>
              </w:rPr>
              <w:t>max</w:t>
            </w:r>
            <w:r w:rsidR="009A2CCD" w:rsidRPr="00E92D49">
              <w:rPr>
                <w:sz w:val="19"/>
                <w:szCs w:val="19"/>
              </w:rPr>
              <w:t xml:space="preserve"> (ng/mL</w:t>
            </w:r>
            <w:r w:rsidRPr="00E92D49">
              <w:rPr>
                <w:sz w:val="19"/>
                <w:szCs w:val="19"/>
              </w:rPr>
              <w:t>)</w:t>
            </w:r>
          </w:p>
        </w:tc>
        <w:tc>
          <w:tcPr>
            <w:tcW w:w="2835" w:type="dxa"/>
            <w:gridSpan w:val="2"/>
          </w:tcPr>
          <w:p w:rsidR="00AB03B5" w:rsidRPr="00E92D49" w:rsidRDefault="00AB03B5" w:rsidP="00E92D49">
            <w:pPr>
              <w:ind w:left="34"/>
              <w:rPr>
                <w:sz w:val="19"/>
                <w:szCs w:val="19"/>
              </w:rPr>
            </w:pPr>
            <w:r w:rsidRPr="00E92D49">
              <w:rPr>
                <w:sz w:val="19"/>
                <w:szCs w:val="19"/>
              </w:rPr>
              <w:t>768 (± 233)</w:t>
            </w:r>
          </w:p>
        </w:tc>
        <w:tc>
          <w:tcPr>
            <w:tcW w:w="1843" w:type="dxa"/>
          </w:tcPr>
          <w:p w:rsidR="00AB03B5" w:rsidRPr="00E92D49" w:rsidRDefault="00AB03B5" w:rsidP="00E92D49">
            <w:pPr>
              <w:rPr>
                <w:sz w:val="19"/>
                <w:szCs w:val="19"/>
              </w:rPr>
            </w:pPr>
          </w:p>
        </w:tc>
        <w:tc>
          <w:tcPr>
            <w:tcW w:w="2233" w:type="dxa"/>
          </w:tcPr>
          <w:p w:rsidR="00AB03B5" w:rsidRPr="00E92D49" w:rsidRDefault="00AB03B5" w:rsidP="00E92D49">
            <w:pPr>
              <w:rPr>
                <w:sz w:val="19"/>
                <w:szCs w:val="19"/>
              </w:rPr>
            </w:pPr>
          </w:p>
        </w:tc>
      </w:tr>
      <w:tr w:rsidR="009A2CCD" w:rsidRPr="00E92D49" w:rsidTr="00E92D49">
        <w:trPr>
          <w:cantSplit/>
        </w:trPr>
        <w:tc>
          <w:tcPr>
            <w:tcW w:w="1701" w:type="dxa"/>
          </w:tcPr>
          <w:p w:rsidR="009A2CCD" w:rsidRPr="00E92D49" w:rsidRDefault="009A2CCD" w:rsidP="00E92D49">
            <w:pPr>
              <w:ind w:left="34"/>
              <w:rPr>
                <w:sz w:val="19"/>
                <w:szCs w:val="19"/>
              </w:rPr>
            </w:pPr>
            <w:r w:rsidRPr="00E92D49">
              <w:rPr>
                <w:sz w:val="19"/>
                <w:szCs w:val="19"/>
              </w:rPr>
              <w:t>C</w:t>
            </w:r>
            <w:r w:rsidRPr="00E92D49">
              <w:rPr>
                <w:sz w:val="19"/>
                <w:szCs w:val="19"/>
                <w:vertAlign w:val="subscript"/>
              </w:rPr>
              <w:t>min</w:t>
            </w:r>
            <w:r w:rsidRPr="00E92D49">
              <w:rPr>
                <w:sz w:val="19"/>
                <w:szCs w:val="19"/>
              </w:rPr>
              <w:t xml:space="preserve"> (ng/mL)</w:t>
            </w:r>
          </w:p>
        </w:tc>
        <w:tc>
          <w:tcPr>
            <w:tcW w:w="1418" w:type="dxa"/>
          </w:tcPr>
          <w:p w:rsidR="009A2CCD" w:rsidRPr="00E92D49" w:rsidRDefault="009A2CCD" w:rsidP="00E92D49">
            <w:pPr>
              <w:ind w:left="34"/>
              <w:rPr>
                <w:sz w:val="19"/>
                <w:szCs w:val="19"/>
              </w:rPr>
            </w:pPr>
          </w:p>
        </w:tc>
        <w:tc>
          <w:tcPr>
            <w:tcW w:w="1417" w:type="dxa"/>
          </w:tcPr>
          <w:p w:rsidR="009A2CCD" w:rsidRPr="00E92D49" w:rsidRDefault="009A2CCD" w:rsidP="00E92D49">
            <w:pPr>
              <w:ind w:left="34"/>
              <w:rPr>
                <w:sz w:val="19"/>
                <w:szCs w:val="19"/>
              </w:rPr>
            </w:pPr>
          </w:p>
        </w:tc>
        <w:tc>
          <w:tcPr>
            <w:tcW w:w="1843" w:type="dxa"/>
          </w:tcPr>
          <w:p w:rsidR="009A2CCD" w:rsidRPr="00E92D49" w:rsidRDefault="00A94338" w:rsidP="00E92D49">
            <w:pPr>
              <w:rPr>
                <w:sz w:val="19"/>
                <w:szCs w:val="19"/>
              </w:rPr>
            </w:pPr>
            <w:r w:rsidRPr="00E92D49">
              <w:rPr>
                <w:sz w:val="19"/>
                <w:szCs w:val="19"/>
              </w:rPr>
              <w:t xml:space="preserve">545 to </w:t>
            </w:r>
            <w:r w:rsidR="009A2CCD" w:rsidRPr="00E92D49">
              <w:rPr>
                <w:sz w:val="19"/>
                <w:szCs w:val="19"/>
              </w:rPr>
              <w:t>1190</w:t>
            </w:r>
          </w:p>
        </w:tc>
        <w:tc>
          <w:tcPr>
            <w:tcW w:w="2233" w:type="dxa"/>
          </w:tcPr>
          <w:p w:rsidR="009A2CCD" w:rsidRPr="00E92D49" w:rsidRDefault="009A2CCD" w:rsidP="00E92D49">
            <w:pPr>
              <w:rPr>
                <w:sz w:val="19"/>
                <w:szCs w:val="19"/>
              </w:rPr>
            </w:pPr>
            <w:r w:rsidRPr="00E92D49">
              <w:rPr>
                <w:sz w:val="19"/>
                <w:szCs w:val="19"/>
              </w:rPr>
              <w:t>810</w:t>
            </w:r>
          </w:p>
        </w:tc>
      </w:tr>
      <w:tr w:rsidR="009A2CCD" w:rsidRPr="00E92D49" w:rsidTr="00E92D49">
        <w:trPr>
          <w:cantSplit/>
        </w:trPr>
        <w:tc>
          <w:tcPr>
            <w:tcW w:w="1701" w:type="dxa"/>
          </w:tcPr>
          <w:p w:rsidR="009A2CCD" w:rsidRPr="00E92D49" w:rsidRDefault="009A2CCD" w:rsidP="00E92D49">
            <w:pPr>
              <w:ind w:left="34"/>
              <w:rPr>
                <w:sz w:val="19"/>
                <w:szCs w:val="19"/>
              </w:rPr>
            </w:pPr>
            <w:r w:rsidRPr="00E92D49">
              <w:rPr>
                <w:sz w:val="19"/>
                <w:szCs w:val="19"/>
              </w:rPr>
              <w:t>AUC ng*hr/mL</w:t>
            </w:r>
          </w:p>
        </w:tc>
        <w:tc>
          <w:tcPr>
            <w:tcW w:w="1418" w:type="dxa"/>
          </w:tcPr>
          <w:p w:rsidR="009A2CCD" w:rsidRPr="00E92D49" w:rsidRDefault="009A2CCD" w:rsidP="00E92D49">
            <w:pPr>
              <w:ind w:left="34"/>
              <w:rPr>
                <w:sz w:val="19"/>
                <w:szCs w:val="19"/>
              </w:rPr>
            </w:pPr>
            <w:r w:rsidRPr="00E92D49">
              <w:rPr>
                <w:sz w:val="19"/>
                <w:szCs w:val="19"/>
              </w:rPr>
              <w:t>10600 (±5260)</w:t>
            </w:r>
          </w:p>
        </w:tc>
        <w:tc>
          <w:tcPr>
            <w:tcW w:w="1417" w:type="dxa"/>
          </w:tcPr>
          <w:p w:rsidR="009A2CCD" w:rsidRPr="00E92D49" w:rsidRDefault="009A2CCD" w:rsidP="00E92D49">
            <w:pPr>
              <w:ind w:left="34"/>
              <w:rPr>
                <w:sz w:val="19"/>
                <w:szCs w:val="19"/>
              </w:rPr>
            </w:pPr>
          </w:p>
        </w:tc>
        <w:tc>
          <w:tcPr>
            <w:tcW w:w="1843" w:type="dxa"/>
          </w:tcPr>
          <w:p w:rsidR="009A2CCD" w:rsidRPr="00E92D49" w:rsidRDefault="00A94338" w:rsidP="00E92D49">
            <w:pPr>
              <w:rPr>
                <w:sz w:val="19"/>
                <w:szCs w:val="19"/>
              </w:rPr>
            </w:pPr>
            <w:r w:rsidRPr="00E92D49">
              <w:rPr>
                <w:sz w:val="19"/>
                <w:szCs w:val="19"/>
              </w:rPr>
              <w:t xml:space="preserve">8550 to </w:t>
            </w:r>
            <w:r w:rsidR="009A2CCD" w:rsidRPr="00E92D49">
              <w:rPr>
                <w:sz w:val="19"/>
                <w:szCs w:val="19"/>
              </w:rPr>
              <w:t>18400</w:t>
            </w:r>
          </w:p>
        </w:tc>
        <w:tc>
          <w:tcPr>
            <w:tcW w:w="2233" w:type="dxa"/>
          </w:tcPr>
          <w:p w:rsidR="009A2CCD" w:rsidRPr="00E92D49" w:rsidRDefault="009A2CCD" w:rsidP="00E92D49">
            <w:pPr>
              <w:rPr>
                <w:sz w:val="19"/>
                <w:szCs w:val="19"/>
              </w:rPr>
            </w:pPr>
            <w:r w:rsidRPr="00E92D49">
              <w:rPr>
                <w:sz w:val="19"/>
                <w:szCs w:val="19"/>
              </w:rPr>
              <w:t>12100</w:t>
            </w:r>
          </w:p>
        </w:tc>
      </w:tr>
      <w:tr w:rsidR="009A2CCD" w:rsidRPr="00E92D49" w:rsidTr="00E92D49">
        <w:trPr>
          <w:cantSplit/>
        </w:trPr>
        <w:tc>
          <w:tcPr>
            <w:tcW w:w="1701" w:type="dxa"/>
          </w:tcPr>
          <w:p w:rsidR="009A2CCD" w:rsidRPr="00E92D49" w:rsidRDefault="009A2CCD" w:rsidP="00E92D49">
            <w:pPr>
              <w:ind w:left="34"/>
              <w:rPr>
                <w:sz w:val="19"/>
                <w:szCs w:val="19"/>
              </w:rPr>
            </w:pPr>
            <w:r w:rsidRPr="00E92D49">
              <w:rPr>
                <w:sz w:val="19"/>
                <w:szCs w:val="19"/>
              </w:rPr>
              <w:t>V</w:t>
            </w:r>
            <w:r w:rsidRPr="00E92D49">
              <w:rPr>
                <w:sz w:val="19"/>
                <w:szCs w:val="19"/>
                <w:vertAlign w:val="subscript"/>
              </w:rPr>
              <w:t>d</w:t>
            </w:r>
          </w:p>
        </w:tc>
        <w:tc>
          <w:tcPr>
            <w:tcW w:w="1418" w:type="dxa"/>
          </w:tcPr>
          <w:p w:rsidR="009A2CCD" w:rsidRPr="00E92D49" w:rsidRDefault="009A2CCD" w:rsidP="00E92D49">
            <w:pPr>
              <w:ind w:left="34"/>
              <w:rPr>
                <w:sz w:val="19"/>
                <w:szCs w:val="19"/>
              </w:rPr>
            </w:pPr>
            <w:r w:rsidRPr="00E92D49">
              <w:rPr>
                <w:sz w:val="19"/>
                <w:szCs w:val="19"/>
              </w:rPr>
              <w:t>353L</w:t>
            </w:r>
          </w:p>
        </w:tc>
        <w:tc>
          <w:tcPr>
            <w:tcW w:w="1417" w:type="dxa"/>
          </w:tcPr>
          <w:p w:rsidR="009A2CCD" w:rsidRPr="00E92D49" w:rsidRDefault="009A2CCD" w:rsidP="00E92D49">
            <w:pPr>
              <w:ind w:left="34"/>
              <w:rPr>
                <w:sz w:val="19"/>
                <w:szCs w:val="19"/>
              </w:rPr>
            </w:pPr>
          </w:p>
        </w:tc>
        <w:tc>
          <w:tcPr>
            <w:tcW w:w="1843" w:type="dxa"/>
          </w:tcPr>
          <w:p w:rsidR="009A2CCD" w:rsidRPr="00E92D49" w:rsidRDefault="009A2CCD" w:rsidP="00E92D49">
            <w:pPr>
              <w:rPr>
                <w:sz w:val="19"/>
                <w:szCs w:val="19"/>
              </w:rPr>
            </w:pPr>
          </w:p>
        </w:tc>
        <w:tc>
          <w:tcPr>
            <w:tcW w:w="2233" w:type="dxa"/>
          </w:tcPr>
          <w:p w:rsidR="009A2CCD" w:rsidRPr="00E92D49" w:rsidRDefault="009A2CCD" w:rsidP="00E92D49">
            <w:pPr>
              <w:rPr>
                <w:sz w:val="19"/>
                <w:szCs w:val="19"/>
              </w:rPr>
            </w:pPr>
            <w:r w:rsidRPr="00E92D49">
              <w:rPr>
                <w:sz w:val="19"/>
                <w:szCs w:val="19"/>
              </w:rPr>
              <w:t>Central 246L</w:t>
            </w:r>
            <w:r w:rsidR="00E92D49" w:rsidRPr="00E92D49">
              <w:rPr>
                <w:sz w:val="19"/>
                <w:szCs w:val="19"/>
              </w:rPr>
              <w:t xml:space="preserve"> </w:t>
            </w:r>
            <w:r w:rsidRPr="00E92D49">
              <w:rPr>
                <w:sz w:val="19"/>
                <w:szCs w:val="19"/>
              </w:rPr>
              <w:t>Peripheral 150L</w:t>
            </w:r>
          </w:p>
        </w:tc>
      </w:tr>
      <w:tr w:rsidR="009A2CCD" w:rsidRPr="00E92D49" w:rsidTr="00E92D49">
        <w:trPr>
          <w:cantSplit/>
        </w:trPr>
        <w:tc>
          <w:tcPr>
            <w:tcW w:w="1701" w:type="dxa"/>
          </w:tcPr>
          <w:p w:rsidR="009A2CCD" w:rsidRPr="00E92D49" w:rsidRDefault="009A2CCD" w:rsidP="00E92D49">
            <w:pPr>
              <w:ind w:left="34"/>
              <w:rPr>
                <w:sz w:val="19"/>
                <w:szCs w:val="19"/>
              </w:rPr>
            </w:pPr>
            <w:r w:rsidRPr="00E92D49">
              <w:rPr>
                <w:sz w:val="19"/>
                <w:szCs w:val="19"/>
              </w:rPr>
              <w:t>T</w:t>
            </w:r>
            <w:r w:rsidRPr="00E92D49">
              <w:rPr>
                <w:sz w:val="19"/>
                <w:szCs w:val="19"/>
                <w:vertAlign w:val="subscript"/>
              </w:rPr>
              <w:t>max</w:t>
            </w:r>
            <w:r w:rsidRPr="00E92D49">
              <w:rPr>
                <w:sz w:val="19"/>
                <w:szCs w:val="19"/>
              </w:rPr>
              <w:t xml:space="preserve"> (fed)</w:t>
            </w:r>
          </w:p>
        </w:tc>
        <w:tc>
          <w:tcPr>
            <w:tcW w:w="2835" w:type="dxa"/>
            <w:gridSpan w:val="2"/>
          </w:tcPr>
          <w:p w:rsidR="009A2CCD" w:rsidRPr="00E92D49" w:rsidRDefault="009A2CCD" w:rsidP="00E92D49">
            <w:pPr>
              <w:ind w:left="34"/>
              <w:rPr>
                <w:sz w:val="19"/>
                <w:szCs w:val="19"/>
              </w:rPr>
            </w:pPr>
            <w:r w:rsidRPr="00E92D49">
              <w:rPr>
                <w:sz w:val="19"/>
                <w:szCs w:val="19"/>
              </w:rPr>
              <w:t>4 hours</w:t>
            </w:r>
          </w:p>
        </w:tc>
        <w:tc>
          <w:tcPr>
            <w:tcW w:w="1843" w:type="dxa"/>
          </w:tcPr>
          <w:p w:rsidR="009A2CCD" w:rsidRPr="00E92D49" w:rsidRDefault="009A2CCD" w:rsidP="00E92D49">
            <w:pPr>
              <w:rPr>
                <w:sz w:val="19"/>
                <w:szCs w:val="19"/>
              </w:rPr>
            </w:pPr>
          </w:p>
        </w:tc>
        <w:tc>
          <w:tcPr>
            <w:tcW w:w="2233" w:type="dxa"/>
          </w:tcPr>
          <w:p w:rsidR="009A2CCD" w:rsidRPr="00E92D49" w:rsidRDefault="009A2CCD" w:rsidP="00E92D49">
            <w:pPr>
              <w:rPr>
                <w:sz w:val="19"/>
                <w:szCs w:val="19"/>
              </w:rPr>
            </w:pPr>
          </w:p>
        </w:tc>
      </w:tr>
      <w:tr w:rsidR="009A2CCD" w:rsidRPr="00E92D49" w:rsidTr="00E92D49">
        <w:trPr>
          <w:cantSplit/>
        </w:trPr>
        <w:tc>
          <w:tcPr>
            <w:tcW w:w="1701" w:type="dxa"/>
          </w:tcPr>
          <w:p w:rsidR="009A2CCD" w:rsidRPr="00E92D49" w:rsidRDefault="009A2CCD" w:rsidP="00E92D49">
            <w:pPr>
              <w:ind w:left="34"/>
              <w:rPr>
                <w:sz w:val="19"/>
                <w:szCs w:val="19"/>
              </w:rPr>
            </w:pPr>
            <w:r w:rsidRPr="00E92D49">
              <w:rPr>
                <w:sz w:val="19"/>
                <w:szCs w:val="19"/>
              </w:rPr>
              <w:lastRenderedPageBreak/>
              <w:t>Clearance</w:t>
            </w:r>
          </w:p>
        </w:tc>
        <w:tc>
          <w:tcPr>
            <w:tcW w:w="2835" w:type="dxa"/>
            <w:gridSpan w:val="2"/>
          </w:tcPr>
          <w:p w:rsidR="009A2CCD" w:rsidRPr="00E92D49" w:rsidRDefault="009A2CCD" w:rsidP="00E92D49">
            <w:pPr>
              <w:ind w:left="34"/>
              <w:rPr>
                <w:sz w:val="19"/>
                <w:szCs w:val="19"/>
              </w:rPr>
            </w:pPr>
            <w:r w:rsidRPr="00E92D49">
              <w:rPr>
                <w:sz w:val="19"/>
                <w:szCs w:val="19"/>
              </w:rPr>
              <w:t>17.3 (children 10)</w:t>
            </w:r>
          </w:p>
        </w:tc>
        <w:tc>
          <w:tcPr>
            <w:tcW w:w="1843" w:type="dxa"/>
          </w:tcPr>
          <w:p w:rsidR="009A2CCD" w:rsidRPr="00E92D49" w:rsidRDefault="009A2CCD" w:rsidP="00E92D49">
            <w:pPr>
              <w:rPr>
                <w:sz w:val="19"/>
                <w:szCs w:val="19"/>
              </w:rPr>
            </w:pPr>
            <w:r w:rsidRPr="00E92D49">
              <w:rPr>
                <w:sz w:val="19"/>
                <w:szCs w:val="19"/>
              </w:rPr>
              <w:t>18.2</w:t>
            </w:r>
          </w:p>
        </w:tc>
        <w:tc>
          <w:tcPr>
            <w:tcW w:w="2233" w:type="dxa"/>
          </w:tcPr>
          <w:p w:rsidR="009A2CCD" w:rsidRPr="00E92D49" w:rsidRDefault="009A2CCD" w:rsidP="00E92D49">
            <w:pPr>
              <w:rPr>
                <w:sz w:val="19"/>
                <w:szCs w:val="19"/>
              </w:rPr>
            </w:pPr>
            <w:r w:rsidRPr="00E92D49">
              <w:rPr>
                <w:sz w:val="19"/>
                <w:szCs w:val="19"/>
              </w:rPr>
              <w:t>14.3</w:t>
            </w:r>
          </w:p>
        </w:tc>
      </w:tr>
    </w:tbl>
    <w:p w:rsidR="00C00174" w:rsidRPr="00C00174" w:rsidRDefault="00C00174" w:rsidP="00C00174">
      <w:proofErr w:type="spellStart"/>
      <w:r w:rsidRPr="00C00174">
        <w:t>Ivacaftor</w:t>
      </w:r>
      <w:proofErr w:type="spellEnd"/>
      <w:r w:rsidRPr="00C00174">
        <w:t xml:space="preserve"> Cl/F was reduced by 21% in patients with the R117H mutation compared to CF subjects with the gating mutation, this change is not claime</w:t>
      </w:r>
      <w:r>
        <w:t>d to be clinically significant.</w:t>
      </w:r>
    </w:p>
    <w:p w:rsidR="00C00174" w:rsidRPr="00C00174" w:rsidRDefault="00C00174" w:rsidP="00C00174">
      <w:r w:rsidRPr="00C00174">
        <w:t>Body weight is the m</w:t>
      </w:r>
      <w:r w:rsidR="003A6364">
        <w:t xml:space="preserve">ost important factor affecting </w:t>
      </w:r>
      <w:proofErr w:type="spellStart"/>
      <w:r w:rsidR="003A6364">
        <w:t>i</w:t>
      </w:r>
      <w:r w:rsidRPr="00C00174">
        <w:t>vacaftor</w:t>
      </w:r>
      <w:proofErr w:type="spellEnd"/>
      <w:r w:rsidRPr="00C00174">
        <w:t xml:space="preserve"> disposition. C</w:t>
      </w:r>
      <w:r w:rsidRPr="00C00174">
        <w:rPr>
          <w:vertAlign w:val="subscript"/>
        </w:rPr>
        <w:t>min</w:t>
      </w:r>
      <w:r w:rsidRPr="00C00174">
        <w:t xml:space="preserve"> and AUC were higher in children </w:t>
      </w:r>
      <w:r>
        <w:t>than in adolescents and adults.</w:t>
      </w:r>
    </w:p>
    <w:p w:rsidR="009D5085" w:rsidRPr="00C00174" w:rsidRDefault="00C00174" w:rsidP="00C00174">
      <w:proofErr w:type="spellStart"/>
      <w:r w:rsidRPr="00C00174">
        <w:t>Ivacaftor</w:t>
      </w:r>
      <w:proofErr w:type="spellEnd"/>
      <w:r w:rsidRPr="00C00174">
        <w:t xml:space="preserve"> is 99% bound to plasma proteins, primarily to alpha 1 acid glycoprotein and albumin. It is extensively metabolised in humans, primarily by CYP3A. M1 and M6 are the major metabolites. M1 has one sixth of the potency and considered pharmacologically active. M6 has less than one fifth of the potency and is considered pharmacologically inactive.</w:t>
      </w:r>
    </w:p>
    <w:p w:rsidR="00C00174" w:rsidRDefault="00C00174" w:rsidP="00C00174">
      <w:r w:rsidRPr="00C00174">
        <w:t>Followi</w:t>
      </w:r>
      <w:r>
        <w:t xml:space="preserve">ng oral administration, 88% of </w:t>
      </w:r>
      <w:proofErr w:type="spellStart"/>
      <w:r>
        <w:t>i</w:t>
      </w:r>
      <w:r w:rsidRPr="00C00174">
        <w:t>vacaftor</w:t>
      </w:r>
      <w:proofErr w:type="spellEnd"/>
      <w:r w:rsidRPr="00C00174">
        <w:t xml:space="preserve"> is eliminated in the faeces after metabolic conversion. There is negligible urinary excret</w:t>
      </w:r>
      <w:r>
        <w:t>ion. The apparent terminal half-</w:t>
      </w:r>
      <w:r w:rsidRPr="00C00174">
        <w:t>life is 12 hours.</w:t>
      </w:r>
    </w:p>
    <w:p w:rsidR="00C00174" w:rsidRDefault="00C00174" w:rsidP="00C00174">
      <w:r w:rsidRPr="00C00174">
        <w:t xml:space="preserve">Clinical effects of </w:t>
      </w:r>
      <w:proofErr w:type="spellStart"/>
      <w:r w:rsidRPr="00C00174">
        <w:t>Ivacaftor</w:t>
      </w:r>
      <w:proofErr w:type="spellEnd"/>
      <w:r w:rsidRPr="00C00174">
        <w:t xml:space="preserve"> do not correlate with the pharmacody</w:t>
      </w:r>
      <w:r>
        <w:t>namic ef</w:t>
      </w:r>
      <w:r w:rsidR="00E95E7D">
        <w:t>fects on sweat chloride (Table 9</w:t>
      </w:r>
      <w:r>
        <w:t>)</w:t>
      </w:r>
      <w:r w:rsidR="00E95E7D">
        <w:t>.</w:t>
      </w:r>
    </w:p>
    <w:p w:rsidR="00C00174" w:rsidRDefault="00C308CD" w:rsidP="00C00174">
      <w:pPr>
        <w:pStyle w:val="Tabletitle0"/>
      </w:pPr>
      <w:r>
        <w:t xml:space="preserve">Table 9: </w:t>
      </w:r>
      <w:proofErr w:type="spellStart"/>
      <w:r>
        <w:t>I</w:t>
      </w:r>
      <w:r w:rsidR="00C00174">
        <w:t>vacaftor</w:t>
      </w:r>
      <w:proofErr w:type="spellEnd"/>
      <w:r w:rsidR="00C00174">
        <w:t xml:space="preserve"> treatment effects</w:t>
      </w:r>
    </w:p>
    <w:tbl>
      <w:tblPr>
        <w:tblStyle w:val="TableTGAblue"/>
        <w:tblW w:w="0" w:type="auto"/>
        <w:tblLayout w:type="fixed"/>
        <w:tblLook w:val="04A0" w:firstRow="1" w:lastRow="0" w:firstColumn="1" w:lastColumn="0" w:noHBand="0" w:noVBand="1"/>
      </w:tblPr>
      <w:tblGrid>
        <w:gridCol w:w="1242"/>
        <w:gridCol w:w="851"/>
        <w:gridCol w:w="567"/>
        <w:gridCol w:w="1134"/>
        <w:gridCol w:w="1134"/>
        <w:gridCol w:w="1134"/>
        <w:gridCol w:w="1134"/>
        <w:gridCol w:w="1524"/>
      </w:tblGrid>
      <w:tr w:rsidR="007B2E13" w:rsidRPr="00E92D49" w:rsidTr="00EA72AB">
        <w:trPr>
          <w:cnfStyle w:val="100000000000" w:firstRow="1" w:lastRow="0" w:firstColumn="0" w:lastColumn="0" w:oddVBand="0" w:evenVBand="0" w:oddHBand="0" w:evenHBand="0" w:firstRowFirstColumn="0" w:firstRowLastColumn="0" w:lastRowFirstColumn="0" w:lastRowLastColumn="0"/>
        </w:trPr>
        <w:tc>
          <w:tcPr>
            <w:tcW w:w="1242" w:type="dxa"/>
          </w:tcPr>
          <w:p w:rsidR="00C00174" w:rsidRPr="00E92D49" w:rsidRDefault="00C00174" w:rsidP="00E92D49">
            <w:pPr>
              <w:ind w:left="0"/>
              <w:rPr>
                <w:sz w:val="19"/>
                <w:szCs w:val="19"/>
              </w:rPr>
            </w:pPr>
            <w:r w:rsidRPr="00E92D49">
              <w:rPr>
                <w:sz w:val="19"/>
                <w:szCs w:val="19"/>
              </w:rPr>
              <w:t>Study pop</w:t>
            </w:r>
            <w:r w:rsidR="005A2CBB" w:rsidRPr="00E92D49">
              <w:rPr>
                <w:sz w:val="19"/>
                <w:szCs w:val="19"/>
              </w:rPr>
              <w:t>ulation</w:t>
            </w:r>
          </w:p>
        </w:tc>
        <w:tc>
          <w:tcPr>
            <w:tcW w:w="851" w:type="dxa"/>
          </w:tcPr>
          <w:p w:rsidR="00C00174" w:rsidRPr="00E92D49" w:rsidRDefault="00C00174" w:rsidP="00E92D49">
            <w:pPr>
              <w:ind w:left="0"/>
              <w:rPr>
                <w:sz w:val="19"/>
                <w:szCs w:val="19"/>
              </w:rPr>
            </w:pPr>
            <w:r w:rsidRPr="00E92D49">
              <w:rPr>
                <w:sz w:val="19"/>
                <w:szCs w:val="19"/>
              </w:rPr>
              <w:t xml:space="preserve">Study </w:t>
            </w:r>
            <w:r w:rsidR="003A6364" w:rsidRPr="00E92D49">
              <w:rPr>
                <w:sz w:val="19"/>
                <w:szCs w:val="19"/>
              </w:rPr>
              <w:t>length</w:t>
            </w:r>
          </w:p>
        </w:tc>
        <w:tc>
          <w:tcPr>
            <w:tcW w:w="567" w:type="dxa"/>
          </w:tcPr>
          <w:p w:rsidR="00C00174" w:rsidRPr="00E92D49" w:rsidRDefault="00C00174" w:rsidP="00E92D49">
            <w:pPr>
              <w:ind w:left="0"/>
              <w:rPr>
                <w:sz w:val="19"/>
                <w:szCs w:val="19"/>
              </w:rPr>
            </w:pPr>
            <w:r w:rsidRPr="00E92D49">
              <w:rPr>
                <w:sz w:val="19"/>
                <w:szCs w:val="19"/>
              </w:rPr>
              <w:t>N</w:t>
            </w:r>
            <w:r w:rsidR="00C308CD" w:rsidRPr="00E92D49">
              <w:rPr>
                <w:sz w:val="19"/>
                <w:szCs w:val="19"/>
              </w:rPr>
              <w:t>o</w:t>
            </w:r>
          </w:p>
        </w:tc>
        <w:tc>
          <w:tcPr>
            <w:tcW w:w="1134" w:type="dxa"/>
          </w:tcPr>
          <w:p w:rsidR="00C00174" w:rsidRPr="00E92D49" w:rsidRDefault="003A6364" w:rsidP="00E92D49">
            <w:pPr>
              <w:ind w:left="0"/>
              <w:rPr>
                <w:sz w:val="19"/>
                <w:szCs w:val="19"/>
              </w:rPr>
            </w:pPr>
            <w:r w:rsidRPr="00E92D49">
              <w:rPr>
                <w:sz w:val="19"/>
                <w:szCs w:val="19"/>
              </w:rPr>
              <w:t>Sweat chloride mmol/L</w:t>
            </w:r>
          </w:p>
        </w:tc>
        <w:tc>
          <w:tcPr>
            <w:tcW w:w="1134" w:type="dxa"/>
          </w:tcPr>
          <w:p w:rsidR="00C00174" w:rsidRPr="00E92D49" w:rsidRDefault="005A2CBB" w:rsidP="00E92D49">
            <w:pPr>
              <w:ind w:left="34"/>
              <w:rPr>
                <w:sz w:val="19"/>
                <w:szCs w:val="19"/>
              </w:rPr>
            </w:pPr>
            <w:r w:rsidRPr="00E92D49">
              <w:rPr>
                <w:sz w:val="19"/>
                <w:szCs w:val="19"/>
              </w:rPr>
              <w:t>PP FEV1</w:t>
            </w:r>
            <w:r w:rsidR="00F77E22" w:rsidRPr="00E92D49">
              <w:rPr>
                <w:sz w:val="19"/>
                <w:szCs w:val="19"/>
                <w:vertAlign w:val="superscript"/>
              </w:rPr>
              <w:fldChar w:fldCharType="begin"/>
            </w:r>
            <w:r w:rsidR="00F77E22" w:rsidRPr="00E92D49">
              <w:rPr>
                <w:sz w:val="19"/>
                <w:szCs w:val="19"/>
                <w:vertAlign w:val="superscript"/>
              </w:rPr>
              <w:instrText xml:space="preserve"> NOTEREF _Ref468113540  \* MERGEFORMAT </w:instrText>
            </w:r>
            <w:r w:rsidR="00F77E22" w:rsidRPr="00E92D49">
              <w:rPr>
                <w:sz w:val="19"/>
                <w:szCs w:val="19"/>
                <w:vertAlign w:val="superscript"/>
              </w:rPr>
              <w:fldChar w:fldCharType="separate"/>
            </w:r>
            <w:r w:rsidR="008A4A7C" w:rsidRPr="00E92D49">
              <w:rPr>
                <w:sz w:val="19"/>
                <w:szCs w:val="19"/>
                <w:vertAlign w:val="superscript"/>
              </w:rPr>
              <w:t>5</w:t>
            </w:r>
            <w:r w:rsidR="00F77E22" w:rsidRPr="00E92D49">
              <w:rPr>
                <w:sz w:val="19"/>
                <w:szCs w:val="19"/>
                <w:vertAlign w:val="superscript"/>
              </w:rPr>
              <w:fldChar w:fldCharType="end"/>
            </w:r>
            <w:r w:rsidR="00C00174" w:rsidRPr="00E92D49">
              <w:rPr>
                <w:sz w:val="19"/>
                <w:szCs w:val="19"/>
              </w:rPr>
              <w:t xml:space="preserve"> </w:t>
            </w:r>
          </w:p>
        </w:tc>
        <w:tc>
          <w:tcPr>
            <w:tcW w:w="1134" w:type="dxa"/>
          </w:tcPr>
          <w:p w:rsidR="00C00174" w:rsidRPr="00E92D49" w:rsidRDefault="001B0328" w:rsidP="00E92D49">
            <w:pPr>
              <w:ind w:left="0"/>
              <w:rPr>
                <w:sz w:val="19"/>
                <w:szCs w:val="19"/>
              </w:rPr>
            </w:pPr>
            <w:r w:rsidRPr="00E92D49">
              <w:rPr>
                <w:sz w:val="19"/>
                <w:szCs w:val="19"/>
              </w:rPr>
              <w:t>CFQ-RSS</w:t>
            </w:r>
            <w:r w:rsidR="005A2CBB" w:rsidRPr="00E92D49">
              <w:rPr>
                <w:rStyle w:val="FootnoteReference"/>
                <w:sz w:val="19"/>
                <w:szCs w:val="19"/>
              </w:rPr>
              <w:footnoteReference w:id="10"/>
            </w:r>
          </w:p>
        </w:tc>
        <w:tc>
          <w:tcPr>
            <w:tcW w:w="1134" w:type="dxa"/>
          </w:tcPr>
          <w:p w:rsidR="00C00174" w:rsidRPr="00E92D49" w:rsidRDefault="00C00174" w:rsidP="00E92D49">
            <w:pPr>
              <w:ind w:left="34"/>
              <w:rPr>
                <w:sz w:val="19"/>
                <w:szCs w:val="19"/>
              </w:rPr>
            </w:pPr>
            <w:r w:rsidRPr="00E92D49">
              <w:rPr>
                <w:sz w:val="19"/>
                <w:szCs w:val="19"/>
              </w:rPr>
              <w:t>Weight</w:t>
            </w:r>
            <w:r w:rsidR="00E92D49" w:rsidRPr="00E92D49">
              <w:rPr>
                <w:sz w:val="19"/>
                <w:szCs w:val="19"/>
              </w:rPr>
              <w:t xml:space="preserve"> </w:t>
            </w:r>
            <w:r w:rsidRPr="00E92D49">
              <w:rPr>
                <w:sz w:val="19"/>
                <w:szCs w:val="19"/>
              </w:rPr>
              <w:t>(BMI)</w:t>
            </w:r>
          </w:p>
        </w:tc>
        <w:tc>
          <w:tcPr>
            <w:tcW w:w="1524" w:type="dxa"/>
          </w:tcPr>
          <w:p w:rsidR="00C00174" w:rsidRPr="00E92D49" w:rsidRDefault="00EA72AB" w:rsidP="00E92D49">
            <w:pPr>
              <w:ind w:left="0"/>
              <w:rPr>
                <w:sz w:val="19"/>
                <w:szCs w:val="19"/>
              </w:rPr>
            </w:pPr>
            <w:r w:rsidRPr="00E92D49">
              <w:rPr>
                <w:sz w:val="19"/>
                <w:szCs w:val="19"/>
              </w:rPr>
              <w:t>Relative risk</w:t>
            </w:r>
            <w:r w:rsidR="001B0328" w:rsidRPr="00E92D49">
              <w:rPr>
                <w:sz w:val="19"/>
                <w:szCs w:val="19"/>
              </w:rPr>
              <w:t xml:space="preserve"> of e</w:t>
            </w:r>
            <w:r w:rsidR="00C00174" w:rsidRPr="00E92D49">
              <w:rPr>
                <w:sz w:val="19"/>
                <w:szCs w:val="19"/>
              </w:rPr>
              <w:t>xac</w:t>
            </w:r>
            <w:r w:rsidRPr="00E92D49">
              <w:rPr>
                <w:sz w:val="19"/>
                <w:szCs w:val="19"/>
              </w:rPr>
              <w:t>erbations</w:t>
            </w:r>
          </w:p>
        </w:tc>
      </w:tr>
      <w:tr w:rsidR="007B2E13" w:rsidRPr="00E92D49" w:rsidTr="00EA72AB">
        <w:tc>
          <w:tcPr>
            <w:tcW w:w="1242" w:type="dxa"/>
          </w:tcPr>
          <w:p w:rsidR="00C00174" w:rsidRPr="00E92D49" w:rsidRDefault="00C00174" w:rsidP="00E92D49">
            <w:pPr>
              <w:ind w:left="0"/>
              <w:rPr>
                <w:sz w:val="19"/>
                <w:szCs w:val="19"/>
              </w:rPr>
            </w:pPr>
            <w:r w:rsidRPr="00E92D49">
              <w:rPr>
                <w:sz w:val="19"/>
                <w:szCs w:val="19"/>
              </w:rPr>
              <w:t>G551D</w:t>
            </w:r>
          </w:p>
          <w:p w:rsidR="00C00174" w:rsidRPr="00E92D49" w:rsidRDefault="00C00174" w:rsidP="00E92D49">
            <w:pPr>
              <w:ind w:left="0"/>
              <w:rPr>
                <w:sz w:val="19"/>
                <w:szCs w:val="19"/>
              </w:rPr>
            </w:pPr>
            <w:r w:rsidRPr="00E92D49">
              <w:rPr>
                <w:sz w:val="19"/>
                <w:szCs w:val="19"/>
              </w:rPr>
              <w:t>≥</w:t>
            </w:r>
            <w:r w:rsidR="00C308CD" w:rsidRPr="00E92D49">
              <w:rPr>
                <w:sz w:val="19"/>
                <w:szCs w:val="19"/>
              </w:rPr>
              <w:t xml:space="preserve"> </w:t>
            </w:r>
            <w:r w:rsidR="007B2E13" w:rsidRPr="00E92D49">
              <w:rPr>
                <w:sz w:val="19"/>
                <w:szCs w:val="19"/>
              </w:rPr>
              <w:t xml:space="preserve">12 </w:t>
            </w:r>
            <w:proofErr w:type="spellStart"/>
            <w:r w:rsidR="007B2E13" w:rsidRPr="00E92D49">
              <w:rPr>
                <w:sz w:val="19"/>
                <w:szCs w:val="19"/>
              </w:rPr>
              <w:t>yo</w:t>
            </w:r>
            <w:proofErr w:type="spellEnd"/>
          </w:p>
        </w:tc>
        <w:tc>
          <w:tcPr>
            <w:tcW w:w="851" w:type="dxa"/>
          </w:tcPr>
          <w:p w:rsidR="00C00174" w:rsidRPr="00E92D49" w:rsidRDefault="00C00174" w:rsidP="00E92D49">
            <w:pPr>
              <w:ind w:left="0"/>
              <w:rPr>
                <w:sz w:val="19"/>
                <w:szCs w:val="19"/>
              </w:rPr>
            </w:pPr>
            <w:r w:rsidRPr="00E92D49">
              <w:rPr>
                <w:sz w:val="19"/>
                <w:szCs w:val="19"/>
              </w:rPr>
              <w:t xml:space="preserve">48 </w:t>
            </w:r>
            <w:proofErr w:type="spellStart"/>
            <w:r w:rsidRPr="00E92D49">
              <w:rPr>
                <w:sz w:val="19"/>
                <w:szCs w:val="19"/>
              </w:rPr>
              <w:t>wks</w:t>
            </w:r>
            <w:r w:rsidRPr="00E92D49">
              <w:rPr>
                <w:sz w:val="19"/>
                <w:szCs w:val="19"/>
                <w:vertAlign w:val="superscript"/>
              </w:rPr>
              <w:t>a</w:t>
            </w:r>
            <w:proofErr w:type="spellEnd"/>
          </w:p>
        </w:tc>
        <w:tc>
          <w:tcPr>
            <w:tcW w:w="567" w:type="dxa"/>
          </w:tcPr>
          <w:p w:rsidR="00C00174" w:rsidRPr="00E92D49" w:rsidRDefault="00C00174" w:rsidP="00E92D49">
            <w:pPr>
              <w:ind w:left="0"/>
              <w:rPr>
                <w:sz w:val="19"/>
                <w:szCs w:val="19"/>
              </w:rPr>
            </w:pPr>
            <w:r w:rsidRPr="00E92D49">
              <w:rPr>
                <w:sz w:val="19"/>
                <w:szCs w:val="19"/>
              </w:rPr>
              <w:t>213</w:t>
            </w:r>
          </w:p>
        </w:tc>
        <w:tc>
          <w:tcPr>
            <w:tcW w:w="1134" w:type="dxa"/>
          </w:tcPr>
          <w:p w:rsidR="00C00174" w:rsidRPr="00E92D49" w:rsidRDefault="00C00174" w:rsidP="00E92D49">
            <w:pPr>
              <w:ind w:left="0"/>
              <w:rPr>
                <w:sz w:val="19"/>
                <w:szCs w:val="19"/>
              </w:rPr>
            </w:pPr>
            <w:r w:rsidRPr="00E92D49">
              <w:rPr>
                <w:sz w:val="19"/>
                <w:szCs w:val="19"/>
              </w:rPr>
              <w:t>-48</w:t>
            </w:r>
            <w:r w:rsidR="00E92D49">
              <w:rPr>
                <w:sz w:val="19"/>
                <w:szCs w:val="19"/>
              </w:rPr>
              <w:t xml:space="preserve"> </w:t>
            </w:r>
            <w:r w:rsidRPr="00E92D49">
              <w:rPr>
                <w:sz w:val="19"/>
                <w:szCs w:val="19"/>
              </w:rPr>
              <w:t>(-51, -45)</w:t>
            </w:r>
          </w:p>
        </w:tc>
        <w:tc>
          <w:tcPr>
            <w:tcW w:w="1134" w:type="dxa"/>
          </w:tcPr>
          <w:p w:rsidR="00C00174" w:rsidRPr="00E92D49" w:rsidRDefault="00C00174" w:rsidP="00E92D49">
            <w:pPr>
              <w:ind w:left="34"/>
              <w:rPr>
                <w:sz w:val="19"/>
                <w:szCs w:val="19"/>
              </w:rPr>
            </w:pPr>
            <w:r w:rsidRPr="00E92D49">
              <w:rPr>
                <w:sz w:val="19"/>
                <w:szCs w:val="19"/>
              </w:rPr>
              <w:t>10.6%</w:t>
            </w:r>
            <w:r w:rsidR="00E92D49">
              <w:rPr>
                <w:sz w:val="19"/>
                <w:szCs w:val="19"/>
              </w:rPr>
              <w:t xml:space="preserve"> </w:t>
            </w:r>
            <w:r w:rsidRPr="00E92D49">
              <w:rPr>
                <w:sz w:val="19"/>
                <w:szCs w:val="19"/>
              </w:rPr>
              <w:t>(8.6,</w:t>
            </w:r>
            <w:r w:rsidR="007B2E13" w:rsidRPr="00E92D49">
              <w:rPr>
                <w:sz w:val="19"/>
                <w:szCs w:val="19"/>
              </w:rPr>
              <w:t xml:space="preserve"> </w:t>
            </w:r>
            <w:r w:rsidRPr="00E92D49">
              <w:rPr>
                <w:sz w:val="19"/>
                <w:szCs w:val="19"/>
              </w:rPr>
              <w:t>12.6)</w:t>
            </w:r>
          </w:p>
        </w:tc>
        <w:tc>
          <w:tcPr>
            <w:tcW w:w="1134" w:type="dxa"/>
          </w:tcPr>
          <w:p w:rsidR="007B2E13" w:rsidRPr="00E92D49" w:rsidRDefault="007B2E13" w:rsidP="00E92D49">
            <w:pPr>
              <w:ind w:left="0"/>
              <w:rPr>
                <w:sz w:val="19"/>
                <w:szCs w:val="19"/>
              </w:rPr>
            </w:pPr>
            <w:r w:rsidRPr="00E92D49">
              <w:rPr>
                <w:sz w:val="19"/>
                <w:szCs w:val="19"/>
              </w:rPr>
              <w:t>8.1</w:t>
            </w:r>
            <w:r w:rsidR="00E92D49">
              <w:rPr>
                <w:sz w:val="19"/>
                <w:szCs w:val="19"/>
              </w:rPr>
              <w:t xml:space="preserve"> </w:t>
            </w:r>
            <w:r w:rsidRPr="00E92D49">
              <w:rPr>
                <w:sz w:val="19"/>
                <w:szCs w:val="19"/>
              </w:rPr>
              <w:t>(4.7, 11.4)</w:t>
            </w:r>
          </w:p>
        </w:tc>
        <w:tc>
          <w:tcPr>
            <w:tcW w:w="1134" w:type="dxa"/>
          </w:tcPr>
          <w:p w:rsidR="00C00174" w:rsidRPr="00E92D49" w:rsidRDefault="007B2E13" w:rsidP="00E92D49">
            <w:pPr>
              <w:ind w:left="34"/>
              <w:rPr>
                <w:sz w:val="19"/>
                <w:szCs w:val="19"/>
              </w:rPr>
            </w:pPr>
            <w:r w:rsidRPr="00E92D49">
              <w:rPr>
                <w:sz w:val="19"/>
                <w:szCs w:val="19"/>
              </w:rPr>
              <w:t>+2.8 kg</w:t>
            </w:r>
            <w:r w:rsidR="00E92D49" w:rsidRPr="00E92D49">
              <w:rPr>
                <w:sz w:val="19"/>
                <w:szCs w:val="19"/>
              </w:rPr>
              <w:t xml:space="preserve"> </w:t>
            </w:r>
            <w:r w:rsidRPr="00E92D49">
              <w:rPr>
                <w:sz w:val="19"/>
                <w:szCs w:val="19"/>
              </w:rPr>
              <w:t>(1.8, 3.7)</w:t>
            </w:r>
          </w:p>
        </w:tc>
        <w:tc>
          <w:tcPr>
            <w:tcW w:w="1524" w:type="dxa"/>
          </w:tcPr>
          <w:p w:rsidR="007B2E13" w:rsidRPr="00E92D49" w:rsidRDefault="007B2E13" w:rsidP="00E92D49">
            <w:pPr>
              <w:ind w:left="0"/>
              <w:rPr>
                <w:sz w:val="19"/>
                <w:szCs w:val="19"/>
              </w:rPr>
            </w:pPr>
            <w:r w:rsidRPr="00E92D49">
              <w:rPr>
                <w:sz w:val="19"/>
                <w:szCs w:val="19"/>
              </w:rPr>
              <w:t>RR</w:t>
            </w:r>
            <w:r w:rsidR="00C308CD" w:rsidRPr="00E92D49">
              <w:rPr>
                <w:sz w:val="19"/>
                <w:szCs w:val="19"/>
              </w:rPr>
              <w:t xml:space="preserve"> </w:t>
            </w:r>
            <w:r w:rsidRPr="00E92D49">
              <w:rPr>
                <w:sz w:val="19"/>
                <w:szCs w:val="19"/>
              </w:rPr>
              <w:t>=</w:t>
            </w:r>
            <w:r w:rsidR="00C308CD" w:rsidRPr="00E92D49">
              <w:rPr>
                <w:sz w:val="19"/>
                <w:szCs w:val="19"/>
              </w:rPr>
              <w:t xml:space="preserve"> </w:t>
            </w:r>
            <w:r w:rsidRPr="00E92D49">
              <w:rPr>
                <w:sz w:val="19"/>
                <w:szCs w:val="19"/>
              </w:rPr>
              <w:t>0.4b</w:t>
            </w:r>
            <w:r w:rsidR="00E92D49" w:rsidRPr="00E92D49">
              <w:rPr>
                <w:sz w:val="19"/>
                <w:szCs w:val="19"/>
              </w:rPr>
              <w:t xml:space="preserve"> </w:t>
            </w:r>
            <w:r w:rsidRPr="00E92D49">
              <w:rPr>
                <w:sz w:val="19"/>
                <w:szCs w:val="19"/>
              </w:rPr>
              <w:t>(0.23, 0.71)</w:t>
            </w:r>
          </w:p>
        </w:tc>
      </w:tr>
      <w:tr w:rsidR="007B2E13" w:rsidRPr="00E92D49" w:rsidTr="00EA72AB">
        <w:tc>
          <w:tcPr>
            <w:tcW w:w="1242" w:type="dxa"/>
          </w:tcPr>
          <w:p w:rsidR="007B2E13" w:rsidRPr="00E92D49" w:rsidRDefault="007B2E13" w:rsidP="00E92D49">
            <w:pPr>
              <w:ind w:left="0"/>
              <w:rPr>
                <w:sz w:val="19"/>
                <w:szCs w:val="19"/>
              </w:rPr>
            </w:pPr>
            <w:r w:rsidRPr="00E92D49">
              <w:rPr>
                <w:sz w:val="19"/>
                <w:szCs w:val="19"/>
              </w:rPr>
              <w:t>G5551D</w:t>
            </w:r>
          </w:p>
          <w:p w:rsidR="00C00174" w:rsidRPr="00E92D49" w:rsidRDefault="007B2E13" w:rsidP="00E92D49">
            <w:pPr>
              <w:ind w:left="0"/>
              <w:rPr>
                <w:sz w:val="19"/>
                <w:szCs w:val="19"/>
              </w:rPr>
            </w:pPr>
            <w:r w:rsidRPr="00E92D49">
              <w:rPr>
                <w:sz w:val="19"/>
                <w:szCs w:val="19"/>
              </w:rPr>
              <w:t xml:space="preserve">6 to 11 </w:t>
            </w:r>
            <w:proofErr w:type="spellStart"/>
            <w:r w:rsidRPr="00E92D49">
              <w:rPr>
                <w:sz w:val="19"/>
                <w:szCs w:val="19"/>
              </w:rPr>
              <w:t>yo</w:t>
            </w:r>
            <w:proofErr w:type="spellEnd"/>
          </w:p>
        </w:tc>
        <w:tc>
          <w:tcPr>
            <w:tcW w:w="851" w:type="dxa"/>
          </w:tcPr>
          <w:p w:rsidR="00C00174" w:rsidRPr="00E92D49" w:rsidRDefault="007B2E13" w:rsidP="00E92D49">
            <w:pPr>
              <w:ind w:left="0"/>
              <w:rPr>
                <w:sz w:val="19"/>
                <w:szCs w:val="19"/>
              </w:rPr>
            </w:pPr>
            <w:r w:rsidRPr="00E92D49">
              <w:rPr>
                <w:sz w:val="19"/>
                <w:szCs w:val="19"/>
              </w:rPr>
              <w:t xml:space="preserve">48 </w:t>
            </w:r>
            <w:proofErr w:type="spellStart"/>
            <w:r w:rsidRPr="00E92D49">
              <w:rPr>
                <w:sz w:val="19"/>
                <w:szCs w:val="19"/>
              </w:rPr>
              <w:t>wks</w:t>
            </w:r>
            <w:r w:rsidRPr="00E92D49">
              <w:rPr>
                <w:sz w:val="19"/>
                <w:szCs w:val="19"/>
                <w:vertAlign w:val="superscript"/>
              </w:rPr>
              <w:t>a</w:t>
            </w:r>
            <w:proofErr w:type="spellEnd"/>
          </w:p>
        </w:tc>
        <w:tc>
          <w:tcPr>
            <w:tcW w:w="567" w:type="dxa"/>
          </w:tcPr>
          <w:p w:rsidR="00C00174" w:rsidRPr="00E92D49" w:rsidRDefault="007B2E13" w:rsidP="00E92D49">
            <w:pPr>
              <w:ind w:left="0"/>
              <w:rPr>
                <w:sz w:val="19"/>
                <w:szCs w:val="19"/>
              </w:rPr>
            </w:pPr>
            <w:r w:rsidRPr="00E92D49">
              <w:rPr>
                <w:sz w:val="19"/>
                <w:szCs w:val="19"/>
              </w:rPr>
              <w:t>52</w:t>
            </w:r>
          </w:p>
        </w:tc>
        <w:tc>
          <w:tcPr>
            <w:tcW w:w="1134" w:type="dxa"/>
          </w:tcPr>
          <w:p w:rsidR="007B2E13" w:rsidRPr="00E92D49" w:rsidRDefault="007B2E13" w:rsidP="00E92D49">
            <w:pPr>
              <w:ind w:left="0"/>
              <w:rPr>
                <w:sz w:val="19"/>
                <w:szCs w:val="19"/>
              </w:rPr>
            </w:pPr>
            <w:r w:rsidRPr="00E92D49">
              <w:rPr>
                <w:sz w:val="19"/>
                <w:szCs w:val="19"/>
              </w:rPr>
              <w:t>-54</w:t>
            </w:r>
            <w:r w:rsidR="00E92D49">
              <w:rPr>
                <w:sz w:val="19"/>
                <w:szCs w:val="19"/>
              </w:rPr>
              <w:t xml:space="preserve"> </w:t>
            </w:r>
            <w:r w:rsidRPr="00E92D49">
              <w:rPr>
                <w:sz w:val="19"/>
                <w:szCs w:val="19"/>
              </w:rPr>
              <w:t>(-62, -47)</w:t>
            </w:r>
          </w:p>
        </w:tc>
        <w:tc>
          <w:tcPr>
            <w:tcW w:w="1134" w:type="dxa"/>
          </w:tcPr>
          <w:p w:rsidR="007B2E13" w:rsidRPr="00E92D49" w:rsidRDefault="007B2E13" w:rsidP="00E92D49">
            <w:pPr>
              <w:ind w:left="34"/>
              <w:rPr>
                <w:sz w:val="19"/>
                <w:szCs w:val="19"/>
              </w:rPr>
            </w:pPr>
            <w:r w:rsidRPr="00E92D49">
              <w:rPr>
                <w:sz w:val="19"/>
                <w:szCs w:val="19"/>
              </w:rPr>
              <w:t>12.5%</w:t>
            </w:r>
            <w:r w:rsidR="00E92D49">
              <w:rPr>
                <w:sz w:val="19"/>
                <w:szCs w:val="19"/>
              </w:rPr>
              <w:t xml:space="preserve"> </w:t>
            </w:r>
            <w:r w:rsidRPr="00E92D49">
              <w:rPr>
                <w:sz w:val="19"/>
                <w:szCs w:val="19"/>
              </w:rPr>
              <w:t>(6.6, 18.3)</w:t>
            </w:r>
          </w:p>
        </w:tc>
        <w:tc>
          <w:tcPr>
            <w:tcW w:w="1134" w:type="dxa"/>
          </w:tcPr>
          <w:p w:rsidR="007B2E13" w:rsidRPr="00E92D49" w:rsidRDefault="007B2E13" w:rsidP="00E92D49">
            <w:pPr>
              <w:ind w:left="0"/>
              <w:rPr>
                <w:sz w:val="19"/>
                <w:szCs w:val="19"/>
              </w:rPr>
            </w:pPr>
            <w:r w:rsidRPr="00E92D49">
              <w:rPr>
                <w:sz w:val="19"/>
                <w:szCs w:val="19"/>
              </w:rPr>
              <w:t>6.1</w:t>
            </w:r>
            <w:r w:rsidR="00E92D49">
              <w:rPr>
                <w:sz w:val="19"/>
                <w:szCs w:val="19"/>
              </w:rPr>
              <w:t xml:space="preserve"> </w:t>
            </w:r>
            <w:r w:rsidRPr="00E92D49">
              <w:rPr>
                <w:sz w:val="19"/>
                <w:szCs w:val="19"/>
              </w:rPr>
              <w:t>(-1.4, 13.5)</w:t>
            </w:r>
          </w:p>
        </w:tc>
        <w:tc>
          <w:tcPr>
            <w:tcW w:w="1134" w:type="dxa"/>
          </w:tcPr>
          <w:p w:rsidR="007B2E13" w:rsidRPr="00E92D49" w:rsidRDefault="007B2E13" w:rsidP="00E92D49">
            <w:pPr>
              <w:ind w:left="34"/>
              <w:rPr>
                <w:sz w:val="19"/>
                <w:szCs w:val="19"/>
              </w:rPr>
            </w:pPr>
            <w:r w:rsidRPr="00E92D49">
              <w:rPr>
                <w:sz w:val="19"/>
                <w:szCs w:val="19"/>
              </w:rPr>
              <w:t>+1.9 kg</w:t>
            </w:r>
            <w:r w:rsidR="00E92D49">
              <w:rPr>
                <w:sz w:val="19"/>
                <w:szCs w:val="19"/>
              </w:rPr>
              <w:t xml:space="preserve"> </w:t>
            </w:r>
            <w:r w:rsidRPr="00E92D49">
              <w:rPr>
                <w:sz w:val="19"/>
                <w:szCs w:val="19"/>
              </w:rPr>
              <w:t>(0.9, 2.9)</w:t>
            </w:r>
          </w:p>
        </w:tc>
        <w:tc>
          <w:tcPr>
            <w:tcW w:w="1524" w:type="dxa"/>
          </w:tcPr>
          <w:p w:rsidR="00C00174" w:rsidRPr="00E92D49" w:rsidRDefault="007B2E13" w:rsidP="00E92D49">
            <w:pPr>
              <w:ind w:left="0"/>
              <w:rPr>
                <w:sz w:val="19"/>
                <w:szCs w:val="19"/>
              </w:rPr>
            </w:pPr>
            <w:r w:rsidRPr="00E92D49">
              <w:rPr>
                <w:sz w:val="19"/>
                <w:szCs w:val="19"/>
              </w:rPr>
              <w:t>NA</w:t>
            </w:r>
          </w:p>
        </w:tc>
      </w:tr>
      <w:tr w:rsidR="007B2E13" w:rsidRPr="00E92D49" w:rsidTr="00EA72AB">
        <w:tc>
          <w:tcPr>
            <w:tcW w:w="1242" w:type="dxa"/>
          </w:tcPr>
          <w:p w:rsidR="00C00174" w:rsidRPr="00E92D49" w:rsidRDefault="007B2E13" w:rsidP="00E92D49">
            <w:pPr>
              <w:ind w:left="0"/>
              <w:rPr>
                <w:sz w:val="19"/>
                <w:szCs w:val="19"/>
              </w:rPr>
            </w:pPr>
            <w:r w:rsidRPr="00E92D49">
              <w:rPr>
                <w:sz w:val="19"/>
                <w:szCs w:val="19"/>
              </w:rPr>
              <w:t>Other gating</w:t>
            </w:r>
          </w:p>
          <w:p w:rsidR="007B2E13" w:rsidRPr="00E92D49" w:rsidRDefault="007B2E13" w:rsidP="00E92D49">
            <w:pPr>
              <w:ind w:left="0"/>
              <w:rPr>
                <w:sz w:val="19"/>
                <w:szCs w:val="19"/>
              </w:rPr>
            </w:pPr>
            <w:r w:rsidRPr="00E92D49">
              <w:rPr>
                <w:sz w:val="19"/>
                <w:szCs w:val="19"/>
              </w:rPr>
              <w:t xml:space="preserve">≥ 6 </w:t>
            </w:r>
            <w:proofErr w:type="spellStart"/>
            <w:r w:rsidRPr="00E92D49">
              <w:rPr>
                <w:sz w:val="19"/>
                <w:szCs w:val="19"/>
              </w:rPr>
              <w:t>yo</w:t>
            </w:r>
            <w:r w:rsidRPr="00E92D49">
              <w:rPr>
                <w:sz w:val="19"/>
                <w:szCs w:val="19"/>
                <w:vertAlign w:val="superscript"/>
              </w:rPr>
              <w:t>d</w:t>
            </w:r>
            <w:proofErr w:type="spellEnd"/>
          </w:p>
        </w:tc>
        <w:tc>
          <w:tcPr>
            <w:tcW w:w="851" w:type="dxa"/>
          </w:tcPr>
          <w:p w:rsidR="00C00174" w:rsidRPr="00E92D49" w:rsidRDefault="007B2E13" w:rsidP="00E92D49">
            <w:pPr>
              <w:ind w:left="0"/>
              <w:rPr>
                <w:sz w:val="19"/>
                <w:szCs w:val="19"/>
              </w:rPr>
            </w:pPr>
            <w:r w:rsidRPr="00E92D49">
              <w:rPr>
                <w:sz w:val="19"/>
                <w:szCs w:val="19"/>
              </w:rPr>
              <w:t xml:space="preserve">8 </w:t>
            </w:r>
            <w:proofErr w:type="spellStart"/>
            <w:r w:rsidRPr="00E92D49">
              <w:rPr>
                <w:sz w:val="19"/>
                <w:szCs w:val="19"/>
              </w:rPr>
              <w:t>wks</w:t>
            </w:r>
            <w:proofErr w:type="spellEnd"/>
          </w:p>
        </w:tc>
        <w:tc>
          <w:tcPr>
            <w:tcW w:w="567" w:type="dxa"/>
          </w:tcPr>
          <w:p w:rsidR="00C00174" w:rsidRPr="00E92D49" w:rsidRDefault="007B2E13" w:rsidP="00E92D49">
            <w:pPr>
              <w:ind w:left="0"/>
              <w:rPr>
                <w:sz w:val="19"/>
                <w:szCs w:val="19"/>
              </w:rPr>
            </w:pPr>
            <w:r w:rsidRPr="00E92D49">
              <w:rPr>
                <w:sz w:val="19"/>
                <w:szCs w:val="19"/>
              </w:rPr>
              <w:t>39</w:t>
            </w:r>
          </w:p>
        </w:tc>
        <w:tc>
          <w:tcPr>
            <w:tcW w:w="1134" w:type="dxa"/>
          </w:tcPr>
          <w:p w:rsidR="001A34D9" w:rsidRPr="00E92D49" w:rsidRDefault="001A34D9" w:rsidP="00E92D49">
            <w:pPr>
              <w:ind w:left="0"/>
              <w:rPr>
                <w:sz w:val="19"/>
                <w:szCs w:val="19"/>
              </w:rPr>
            </w:pPr>
            <w:r w:rsidRPr="00E92D49">
              <w:rPr>
                <w:sz w:val="19"/>
                <w:szCs w:val="19"/>
              </w:rPr>
              <w:t>-49</w:t>
            </w:r>
            <w:r w:rsidR="00E92D49">
              <w:rPr>
                <w:sz w:val="19"/>
                <w:szCs w:val="19"/>
              </w:rPr>
              <w:t xml:space="preserve"> </w:t>
            </w:r>
            <w:r w:rsidRPr="00E92D49">
              <w:rPr>
                <w:sz w:val="19"/>
                <w:szCs w:val="19"/>
              </w:rPr>
              <w:t>(-57, -41)</w:t>
            </w:r>
          </w:p>
        </w:tc>
        <w:tc>
          <w:tcPr>
            <w:tcW w:w="1134" w:type="dxa"/>
          </w:tcPr>
          <w:p w:rsidR="001A34D9" w:rsidRPr="00E92D49" w:rsidRDefault="001A34D9" w:rsidP="00E92D49">
            <w:pPr>
              <w:ind w:left="34"/>
              <w:rPr>
                <w:sz w:val="19"/>
                <w:szCs w:val="19"/>
              </w:rPr>
            </w:pPr>
            <w:r w:rsidRPr="00E92D49">
              <w:rPr>
                <w:sz w:val="19"/>
                <w:szCs w:val="19"/>
              </w:rPr>
              <w:t>13.8%</w:t>
            </w:r>
            <w:r w:rsidR="00E92D49">
              <w:rPr>
                <w:sz w:val="19"/>
                <w:szCs w:val="19"/>
              </w:rPr>
              <w:t xml:space="preserve"> </w:t>
            </w:r>
            <w:r w:rsidRPr="00E92D49">
              <w:rPr>
                <w:sz w:val="19"/>
                <w:szCs w:val="19"/>
              </w:rPr>
              <w:t>(9.9, 17.6)</w:t>
            </w:r>
          </w:p>
        </w:tc>
        <w:tc>
          <w:tcPr>
            <w:tcW w:w="1134" w:type="dxa"/>
          </w:tcPr>
          <w:p w:rsidR="001A34D9" w:rsidRPr="00E92D49" w:rsidRDefault="001A34D9" w:rsidP="00E92D49">
            <w:pPr>
              <w:ind w:left="0"/>
              <w:rPr>
                <w:sz w:val="19"/>
                <w:szCs w:val="19"/>
              </w:rPr>
            </w:pPr>
            <w:r w:rsidRPr="00E92D49">
              <w:rPr>
                <w:sz w:val="19"/>
                <w:szCs w:val="19"/>
              </w:rPr>
              <w:t>12.8</w:t>
            </w:r>
            <w:r w:rsidR="00E92D49">
              <w:rPr>
                <w:sz w:val="19"/>
                <w:szCs w:val="19"/>
              </w:rPr>
              <w:t xml:space="preserve"> </w:t>
            </w:r>
            <w:r w:rsidRPr="00E92D49">
              <w:rPr>
                <w:sz w:val="19"/>
                <w:szCs w:val="19"/>
              </w:rPr>
              <w:t>(6.7, 18.9)</w:t>
            </w:r>
          </w:p>
        </w:tc>
        <w:tc>
          <w:tcPr>
            <w:tcW w:w="1134" w:type="dxa"/>
          </w:tcPr>
          <w:p w:rsidR="001A34D9" w:rsidRPr="00E92D49" w:rsidRDefault="001A34D9" w:rsidP="00E92D49">
            <w:pPr>
              <w:ind w:left="34"/>
              <w:rPr>
                <w:sz w:val="19"/>
                <w:szCs w:val="19"/>
              </w:rPr>
            </w:pPr>
            <w:r w:rsidRPr="00E92D49">
              <w:rPr>
                <w:sz w:val="19"/>
                <w:szCs w:val="19"/>
              </w:rPr>
              <w:t>+0.66 kg/m</w:t>
            </w:r>
            <w:r w:rsidRPr="00E92D49">
              <w:rPr>
                <w:sz w:val="19"/>
                <w:szCs w:val="19"/>
                <w:vertAlign w:val="superscript"/>
              </w:rPr>
              <w:t>2</w:t>
            </w:r>
            <w:r w:rsidR="00E92D49">
              <w:rPr>
                <w:sz w:val="19"/>
                <w:szCs w:val="19"/>
                <w:vertAlign w:val="superscript"/>
              </w:rPr>
              <w:t xml:space="preserve"> </w:t>
            </w:r>
            <w:r w:rsidRPr="00E92D49">
              <w:rPr>
                <w:sz w:val="19"/>
                <w:szCs w:val="19"/>
              </w:rPr>
              <w:t>(0.34, 1.32)</w:t>
            </w:r>
          </w:p>
        </w:tc>
        <w:tc>
          <w:tcPr>
            <w:tcW w:w="1524" w:type="dxa"/>
          </w:tcPr>
          <w:p w:rsidR="00C00174" w:rsidRPr="00E92D49" w:rsidRDefault="001A34D9" w:rsidP="00E92D49">
            <w:pPr>
              <w:ind w:left="0"/>
              <w:rPr>
                <w:sz w:val="19"/>
                <w:szCs w:val="19"/>
              </w:rPr>
            </w:pPr>
            <w:r w:rsidRPr="00E92D49">
              <w:rPr>
                <w:sz w:val="19"/>
                <w:szCs w:val="19"/>
              </w:rPr>
              <w:t>NA</w:t>
            </w:r>
          </w:p>
        </w:tc>
      </w:tr>
      <w:tr w:rsidR="007B2E13" w:rsidRPr="00E92D49" w:rsidTr="00EA72AB">
        <w:tc>
          <w:tcPr>
            <w:tcW w:w="1242" w:type="dxa"/>
          </w:tcPr>
          <w:p w:rsidR="007B2E13" w:rsidRPr="00E92D49" w:rsidRDefault="007B2E13" w:rsidP="00E92D49">
            <w:pPr>
              <w:ind w:left="0"/>
              <w:rPr>
                <w:sz w:val="19"/>
                <w:szCs w:val="19"/>
              </w:rPr>
            </w:pPr>
            <w:r w:rsidRPr="00E92D49">
              <w:rPr>
                <w:sz w:val="19"/>
                <w:szCs w:val="19"/>
              </w:rPr>
              <w:t>F508 del</w:t>
            </w:r>
            <w:r w:rsidR="00E92D49">
              <w:rPr>
                <w:sz w:val="19"/>
                <w:szCs w:val="19"/>
              </w:rPr>
              <w:t xml:space="preserve"> </w:t>
            </w:r>
            <w:r w:rsidRPr="00E92D49">
              <w:rPr>
                <w:sz w:val="19"/>
                <w:szCs w:val="19"/>
              </w:rPr>
              <w:t xml:space="preserve">≥ 12 </w:t>
            </w:r>
            <w:proofErr w:type="spellStart"/>
            <w:r w:rsidRPr="00E92D49">
              <w:rPr>
                <w:sz w:val="19"/>
                <w:szCs w:val="19"/>
              </w:rPr>
              <w:t>yo</w:t>
            </w:r>
            <w:proofErr w:type="spellEnd"/>
          </w:p>
        </w:tc>
        <w:tc>
          <w:tcPr>
            <w:tcW w:w="851" w:type="dxa"/>
          </w:tcPr>
          <w:p w:rsidR="00C00174" w:rsidRPr="00E92D49" w:rsidRDefault="007B2E13" w:rsidP="00E92D49">
            <w:pPr>
              <w:ind w:left="0"/>
              <w:rPr>
                <w:sz w:val="19"/>
                <w:szCs w:val="19"/>
              </w:rPr>
            </w:pPr>
            <w:r w:rsidRPr="00E92D49">
              <w:rPr>
                <w:sz w:val="19"/>
                <w:szCs w:val="19"/>
              </w:rPr>
              <w:t xml:space="preserve">16 </w:t>
            </w:r>
            <w:proofErr w:type="spellStart"/>
            <w:r w:rsidRPr="00E92D49">
              <w:rPr>
                <w:sz w:val="19"/>
                <w:szCs w:val="19"/>
              </w:rPr>
              <w:t>wks</w:t>
            </w:r>
            <w:proofErr w:type="spellEnd"/>
          </w:p>
        </w:tc>
        <w:tc>
          <w:tcPr>
            <w:tcW w:w="567" w:type="dxa"/>
          </w:tcPr>
          <w:p w:rsidR="00C00174" w:rsidRPr="00E92D49" w:rsidRDefault="007B2E13" w:rsidP="00E92D49">
            <w:pPr>
              <w:ind w:left="0"/>
              <w:rPr>
                <w:sz w:val="19"/>
                <w:szCs w:val="19"/>
              </w:rPr>
            </w:pPr>
            <w:r w:rsidRPr="00E92D49">
              <w:rPr>
                <w:sz w:val="19"/>
                <w:szCs w:val="19"/>
              </w:rPr>
              <w:t>112</w:t>
            </w:r>
          </w:p>
        </w:tc>
        <w:tc>
          <w:tcPr>
            <w:tcW w:w="1134" w:type="dxa"/>
          </w:tcPr>
          <w:p w:rsidR="001A34D9" w:rsidRPr="00E92D49" w:rsidRDefault="001A34D9" w:rsidP="00E92D49">
            <w:pPr>
              <w:ind w:left="0"/>
              <w:rPr>
                <w:sz w:val="19"/>
                <w:szCs w:val="19"/>
              </w:rPr>
            </w:pPr>
            <w:r w:rsidRPr="00E92D49">
              <w:rPr>
                <w:sz w:val="19"/>
                <w:szCs w:val="19"/>
              </w:rPr>
              <w:t>-2.9</w:t>
            </w:r>
            <w:r w:rsidR="00E92D49">
              <w:rPr>
                <w:sz w:val="19"/>
                <w:szCs w:val="19"/>
              </w:rPr>
              <w:t xml:space="preserve"> </w:t>
            </w:r>
            <w:r w:rsidRPr="00E92D49">
              <w:rPr>
                <w:sz w:val="19"/>
                <w:szCs w:val="19"/>
              </w:rPr>
              <w:t>(-5.6, -0.2)</w:t>
            </w:r>
          </w:p>
        </w:tc>
        <w:tc>
          <w:tcPr>
            <w:tcW w:w="1134" w:type="dxa"/>
          </w:tcPr>
          <w:p w:rsidR="001A34D9" w:rsidRPr="00E92D49" w:rsidRDefault="001A34D9" w:rsidP="00E92D49">
            <w:pPr>
              <w:ind w:left="34"/>
              <w:rPr>
                <w:sz w:val="19"/>
                <w:szCs w:val="19"/>
              </w:rPr>
            </w:pPr>
            <w:r w:rsidRPr="00E92D49">
              <w:rPr>
                <w:sz w:val="19"/>
                <w:szCs w:val="19"/>
              </w:rPr>
              <w:t>1.7%</w:t>
            </w:r>
            <w:r w:rsidR="00E92D49">
              <w:rPr>
                <w:sz w:val="19"/>
                <w:szCs w:val="19"/>
              </w:rPr>
              <w:t xml:space="preserve"> </w:t>
            </w:r>
            <w:r w:rsidRPr="00E92D49">
              <w:rPr>
                <w:sz w:val="19"/>
                <w:szCs w:val="19"/>
              </w:rPr>
              <w:t>(-0.6, 4.1)</w:t>
            </w:r>
          </w:p>
        </w:tc>
        <w:tc>
          <w:tcPr>
            <w:tcW w:w="1134" w:type="dxa"/>
          </w:tcPr>
          <w:p w:rsidR="001A34D9" w:rsidRPr="00E92D49" w:rsidRDefault="001A34D9" w:rsidP="00E92D49">
            <w:pPr>
              <w:ind w:left="0"/>
              <w:rPr>
                <w:sz w:val="19"/>
                <w:szCs w:val="19"/>
              </w:rPr>
            </w:pPr>
            <w:r w:rsidRPr="00E92D49">
              <w:rPr>
                <w:sz w:val="19"/>
                <w:szCs w:val="19"/>
              </w:rPr>
              <w:t>1.3</w:t>
            </w:r>
            <w:r w:rsidR="00E92D49">
              <w:rPr>
                <w:sz w:val="19"/>
                <w:szCs w:val="19"/>
              </w:rPr>
              <w:t xml:space="preserve"> </w:t>
            </w:r>
            <w:r w:rsidRPr="00E92D49">
              <w:rPr>
                <w:sz w:val="19"/>
                <w:szCs w:val="19"/>
              </w:rPr>
              <w:t>(-2.9, 5.6)</w:t>
            </w:r>
          </w:p>
        </w:tc>
        <w:tc>
          <w:tcPr>
            <w:tcW w:w="1134" w:type="dxa"/>
          </w:tcPr>
          <w:p w:rsidR="001A34D9" w:rsidRPr="00E92D49" w:rsidRDefault="001A34D9" w:rsidP="00E92D49">
            <w:pPr>
              <w:ind w:left="34"/>
              <w:rPr>
                <w:sz w:val="19"/>
                <w:szCs w:val="19"/>
              </w:rPr>
            </w:pPr>
            <w:r w:rsidRPr="00E92D49">
              <w:rPr>
                <w:sz w:val="19"/>
                <w:szCs w:val="19"/>
              </w:rPr>
              <w:t>-0.16 kg</w:t>
            </w:r>
            <w:r w:rsidR="00E92D49">
              <w:rPr>
                <w:sz w:val="19"/>
                <w:szCs w:val="19"/>
              </w:rPr>
              <w:t xml:space="preserve"> </w:t>
            </w:r>
            <w:r w:rsidRPr="00E92D49">
              <w:rPr>
                <w:sz w:val="19"/>
                <w:szCs w:val="19"/>
              </w:rPr>
              <w:t>(-1.1, -0.7)</w:t>
            </w:r>
          </w:p>
        </w:tc>
        <w:tc>
          <w:tcPr>
            <w:tcW w:w="1524" w:type="dxa"/>
          </w:tcPr>
          <w:p w:rsidR="00C00174" w:rsidRPr="00E92D49" w:rsidRDefault="001A34D9" w:rsidP="00E92D49">
            <w:pPr>
              <w:ind w:left="0"/>
              <w:rPr>
                <w:sz w:val="19"/>
                <w:szCs w:val="19"/>
              </w:rPr>
            </w:pPr>
            <w:r w:rsidRPr="00E92D49">
              <w:rPr>
                <w:sz w:val="19"/>
                <w:szCs w:val="19"/>
              </w:rPr>
              <w:t>NA</w:t>
            </w:r>
          </w:p>
        </w:tc>
      </w:tr>
      <w:tr w:rsidR="007B2E13" w:rsidRPr="00E92D49" w:rsidTr="00EA72AB">
        <w:tc>
          <w:tcPr>
            <w:tcW w:w="1242" w:type="dxa"/>
          </w:tcPr>
          <w:p w:rsidR="007B2E13" w:rsidRPr="00E92D49" w:rsidRDefault="007B2E13" w:rsidP="00E92D49">
            <w:pPr>
              <w:ind w:left="0"/>
              <w:rPr>
                <w:sz w:val="19"/>
                <w:szCs w:val="19"/>
              </w:rPr>
            </w:pPr>
            <w:r w:rsidRPr="00E92D49">
              <w:rPr>
                <w:sz w:val="19"/>
                <w:szCs w:val="19"/>
              </w:rPr>
              <w:t>R117H6</w:t>
            </w:r>
            <w:r w:rsidR="00E92D49" w:rsidRPr="00E92D49">
              <w:rPr>
                <w:sz w:val="19"/>
                <w:szCs w:val="19"/>
              </w:rPr>
              <w:t xml:space="preserve"> </w:t>
            </w:r>
            <w:r w:rsidRPr="00E92D49">
              <w:rPr>
                <w:sz w:val="19"/>
                <w:szCs w:val="19"/>
              </w:rPr>
              <w:t xml:space="preserve">11 </w:t>
            </w:r>
            <w:proofErr w:type="spellStart"/>
            <w:r w:rsidRPr="00E92D49">
              <w:rPr>
                <w:sz w:val="19"/>
                <w:szCs w:val="19"/>
              </w:rPr>
              <w:t>yo</w:t>
            </w:r>
            <w:proofErr w:type="spellEnd"/>
          </w:p>
        </w:tc>
        <w:tc>
          <w:tcPr>
            <w:tcW w:w="851" w:type="dxa"/>
          </w:tcPr>
          <w:p w:rsidR="00C00174" w:rsidRPr="00E92D49" w:rsidRDefault="007B2E13" w:rsidP="00E92D49">
            <w:pPr>
              <w:ind w:left="0"/>
              <w:rPr>
                <w:sz w:val="19"/>
                <w:szCs w:val="19"/>
              </w:rPr>
            </w:pPr>
            <w:r w:rsidRPr="00E92D49">
              <w:rPr>
                <w:sz w:val="19"/>
                <w:szCs w:val="19"/>
              </w:rPr>
              <w:t xml:space="preserve">24 </w:t>
            </w:r>
            <w:proofErr w:type="spellStart"/>
            <w:r w:rsidRPr="00E92D49">
              <w:rPr>
                <w:sz w:val="19"/>
                <w:szCs w:val="19"/>
              </w:rPr>
              <w:t>wks</w:t>
            </w:r>
            <w:proofErr w:type="spellEnd"/>
          </w:p>
        </w:tc>
        <w:tc>
          <w:tcPr>
            <w:tcW w:w="567" w:type="dxa"/>
          </w:tcPr>
          <w:p w:rsidR="00C00174" w:rsidRPr="00E92D49" w:rsidRDefault="007B2E13" w:rsidP="00E92D49">
            <w:pPr>
              <w:ind w:left="0"/>
              <w:rPr>
                <w:sz w:val="19"/>
                <w:szCs w:val="19"/>
              </w:rPr>
            </w:pPr>
            <w:r w:rsidRPr="00E92D49">
              <w:rPr>
                <w:sz w:val="19"/>
                <w:szCs w:val="19"/>
              </w:rPr>
              <w:t>69</w:t>
            </w:r>
          </w:p>
        </w:tc>
        <w:tc>
          <w:tcPr>
            <w:tcW w:w="1134" w:type="dxa"/>
          </w:tcPr>
          <w:p w:rsidR="001A34D9" w:rsidRPr="00E92D49" w:rsidRDefault="001A34D9" w:rsidP="00E92D49">
            <w:pPr>
              <w:ind w:left="0"/>
              <w:rPr>
                <w:sz w:val="19"/>
                <w:szCs w:val="19"/>
              </w:rPr>
            </w:pPr>
            <w:r w:rsidRPr="00E92D49">
              <w:rPr>
                <w:sz w:val="19"/>
                <w:szCs w:val="19"/>
              </w:rPr>
              <w:t>-24</w:t>
            </w:r>
            <w:r w:rsidR="00E92D49">
              <w:rPr>
                <w:sz w:val="19"/>
                <w:szCs w:val="19"/>
              </w:rPr>
              <w:t xml:space="preserve"> </w:t>
            </w:r>
            <w:r w:rsidRPr="00E92D49">
              <w:rPr>
                <w:sz w:val="19"/>
                <w:szCs w:val="19"/>
              </w:rPr>
              <w:t>(-28, -20)</w:t>
            </w:r>
          </w:p>
        </w:tc>
        <w:tc>
          <w:tcPr>
            <w:tcW w:w="1134" w:type="dxa"/>
          </w:tcPr>
          <w:p w:rsidR="001A34D9" w:rsidRPr="00E92D49" w:rsidRDefault="001A34D9" w:rsidP="00E92D49">
            <w:pPr>
              <w:ind w:left="34"/>
              <w:rPr>
                <w:sz w:val="19"/>
                <w:szCs w:val="19"/>
              </w:rPr>
            </w:pPr>
            <w:r w:rsidRPr="00E92D49">
              <w:rPr>
                <w:sz w:val="19"/>
                <w:szCs w:val="19"/>
              </w:rPr>
              <w:t>2.1</w:t>
            </w:r>
            <w:r w:rsidR="00E92D49">
              <w:rPr>
                <w:sz w:val="19"/>
                <w:szCs w:val="19"/>
              </w:rPr>
              <w:t xml:space="preserve"> </w:t>
            </w:r>
            <w:r w:rsidRPr="00E92D49">
              <w:rPr>
                <w:sz w:val="19"/>
                <w:szCs w:val="19"/>
              </w:rPr>
              <w:t>(-1.1, 5.4)</w:t>
            </w:r>
          </w:p>
        </w:tc>
        <w:tc>
          <w:tcPr>
            <w:tcW w:w="1134" w:type="dxa"/>
          </w:tcPr>
          <w:p w:rsidR="001A34D9" w:rsidRPr="00E92D49" w:rsidRDefault="001A34D9" w:rsidP="00E92D49">
            <w:pPr>
              <w:ind w:left="0"/>
              <w:rPr>
                <w:sz w:val="19"/>
                <w:szCs w:val="19"/>
              </w:rPr>
            </w:pPr>
            <w:r w:rsidRPr="00E92D49">
              <w:rPr>
                <w:sz w:val="19"/>
                <w:szCs w:val="19"/>
              </w:rPr>
              <w:t>8.4</w:t>
            </w:r>
            <w:r w:rsidR="00E92D49">
              <w:rPr>
                <w:sz w:val="19"/>
                <w:szCs w:val="19"/>
              </w:rPr>
              <w:t xml:space="preserve"> </w:t>
            </w:r>
            <w:r w:rsidRPr="00E92D49">
              <w:rPr>
                <w:sz w:val="19"/>
                <w:szCs w:val="19"/>
              </w:rPr>
              <w:t>(2.2, 14.6)</w:t>
            </w:r>
          </w:p>
        </w:tc>
        <w:tc>
          <w:tcPr>
            <w:tcW w:w="1134" w:type="dxa"/>
          </w:tcPr>
          <w:p w:rsidR="001A34D9" w:rsidRPr="00E92D49" w:rsidRDefault="001A34D9" w:rsidP="00E92D49">
            <w:pPr>
              <w:ind w:left="34"/>
              <w:rPr>
                <w:sz w:val="19"/>
                <w:szCs w:val="19"/>
              </w:rPr>
            </w:pPr>
            <w:r w:rsidRPr="00E92D49">
              <w:rPr>
                <w:sz w:val="19"/>
                <w:szCs w:val="19"/>
              </w:rPr>
              <w:t>+0.26 kg/m</w:t>
            </w:r>
            <w:r w:rsidRPr="00E92D49">
              <w:rPr>
                <w:sz w:val="19"/>
                <w:szCs w:val="19"/>
                <w:vertAlign w:val="superscript"/>
              </w:rPr>
              <w:t>2</w:t>
            </w:r>
            <w:r w:rsidR="00E92D49" w:rsidRPr="00E92D49">
              <w:rPr>
                <w:sz w:val="19"/>
                <w:szCs w:val="19"/>
                <w:vertAlign w:val="superscript"/>
              </w:rPr>
              <w:t xml:space="preserve"> </w:t>
            </w:r>
            <w:r w:rsidRPr="00E92D49">
              <w:rPr>
                <w:sz w:val="19"/>
                <w:szCs w:val="19"/>
              </w:rPr>
              <w:t>(-1.6, 2.1)</w:t>
            </w:r>
          </w:p>
        </w:tc>
        <w:tc>
          <w:tcPr>
            <w:tcW w:w="1524" w:type="dxa"/>
          </w:tcPr>
          <w:p w:rsidR="00C00174" w:rsidRPr="00E92D49" w:rsidRDefault="001A34D9" w:rsidP="00E92D49">
            <w:pPr>
              <w:ind w:left="0"/>
              <w:rPr>
                <w:sz w:val="19"/>
                <w:szCs w:val="19"/>
              </w:rPr>
            </w:pPr>
            <w:r w:rsidRPr="00E92D49">
              <w:rPr>
                <w:sz w:val="19"/>
                <w:szCs w:val="19"/>
              </w:rPr>
              <w:t>HR</w:t>
            </w:r>
            <w:r w:rsidR="00C308CD" w:rsidRPr="00E92D49">
              <w:rPr>
                <w:sz w:val="19"/>
                <w:szCs w:val="19"/>
              </w:rPr>
              <w:t xml:space="preserve"> </w:t>
            </w:r>
            <w:r w:rsidRPr="00E92D49">
              <w:rPr>
                <w:sz w:val="19"/>
                <w:szCs w:val="19"/>
              </w:rPr>
              <w:t>=</w:t>
            </w:r>
            <w:r w:rsidR="00C308CD" w:rsidRPr="00E92D49">
              <w:rPr>
                <w:sz w:val="19"/>
                <w:szCs w:val="19"/>
              </w:rPr>
              <w:t xml:space="preserve"> </w:t>
            </w:r>
            <w:r w:rsidRPr="00E92D49">
              <w:rPr>
                <w:sz w:val="19"/>
                <w:szCs w:val="19"/>
              </w:rPr>
              <w:t>0.93</w:t>
            </w:r>
            <w:r w:rsidRPr="00E92D49">
              <w:rPr>
                <w:sz w:val="19"/>
                <w:szCs w:val="19"/>
                <w:vertAlign w:val="superscript"/>
              </w:rPr>
              <w:t>c</w:t>
            </w:r>
          </w:p>
        </w:tc>
      </w:tr>
    </w:tbl>
    <w:p w:rsidR="00C00174" w:rsidRDefault="001A34D9" w:rsidP="00004022">
      <w:pPr>
        <w:pStyle w:val="TableDescription"/>
      </w:pPr>
      <w:proofErr w:type="gramStart"/>
      <w:r>
        <w:t>a</w:t>
      </w:r>
      <w:proofErr w:type="gramEnd"/>
      <w:r>
        <w:t>: Primary efficacy was assessed at Week 24 b: relative risk of exacerbation c: time-to-</w:t>
      </w:r>
      <w:r w:rsidR="00004022">
        <w:t xml:space="preserve">first exacerbation, hazard ratio d: includes G1244E, G1349D, G178R, G551S, S1251N, S1255P, S549N or S549R mutations in the CFTR gene. (Sources: </w:t>
      </w:r>
      <w:proofErr w:type="spellStart"/>
      <w:r w:rsidR="00004022">
        <w:t>ivac</w:t>
      </w:r>
      <w:r w:rsidR="00E95E7D">
        <w:t>aftor</w:t>
      </w:r>
      <w:proofErr w:type="spellEnd"/>
      <w:r w:rsidR="00E95E7D">
        <w:t xml:space="preserve"> patient labelling</w:t>
      </w:r>
      <w:r w:rsidR="00004022">
        <w:t>: NDA 2093-188 Primary clinical review dated Jan 17, 2012 and Primary Statistical Review Jan 13 2012. FDA statistical analyses)</w:t>
      </w:r>
    </w:p>
    <w:p w:rsidR="00004022" w:rsidRDefault="00004022" w:rsidP="00004022">
      <w:pPr>
        <w:pStyle w:val="Tabletitle0"/>
      </w:pPr>
      <w:r>
        <w:lastRenderedPageBreak/>
        <w:t>Efficacy in patients aged 6 years and older with R117H mutations in the CFTR gene</w:t>
      </w:r>
    </w:p>
    <w:p w:rsidR="00004022" w:rsidRDefault="002E6D10" w:rsidP="00004022">
      <w:r>
        <w:t>Studies</w:t>
      </w:r>
      <w:r w:rsidR="00BF0A6F">
        <w:t xml:space="preserve"> 110</w:t>
      </w:r>
      <w:r>
        <w:t xml:space="preserve"> and 112 are</w:t>
      </w:r>
      <w:r w:rsidR="00BF0A6F">
        <w:t xml:space="preserve"> summarised in Table 10</w:t>
      </w:r>
      <w:r>
        <w:t xml:space="preserve"> and 11 respectively</w:t>
      </w:r>
      <w:r w:rsidR="00BF0A6F">
        <w:t>.</w:t>
      </w:r>
    </w:p>
    <w:p w:rsidR="00004022" w:rsidRDefault="00004022" w:rsidP="00004022">
      <w:pPr>
        <w:pStyle w:val="Tabletitle0"/>
      </w:pPr>
      <w:r>
        <w:t xml:space="preserve">Table </w:t>
      </w:r>
      <w:r w:rsidR="00BF0A6F">
        <w:t>10:</w:t>
      </w:r>
      <w:r>
        <w:t xml:space="preserve"> Study 110</w:t>
      </w:r>
    </w:p>
    <w:tbl>
      <w:tblPr>
        <w:tblStyle w:val="TableTGAblue"/>
        <w:tblW w:w="0" w:type="auto"/>
        <w:tblLook w:val="04A0" w:firstRow="1" w:lastRow="0" w:firstColumn="1" w:lastColumn="0" w:noHBand="0" w:noVBand="1"/>
      </w:tblPr>
      <w:tblGrid>
        <w:gridCol w:w="1659"/>
        <w:gridCol w:w="7061"/>
      </w:tblGrid>
      <w:tr w:rsidR="00004022" w:rsidRPr="00E92D49" w:rsidTr="00320230">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004022" w:rsidRPr="00E92D49" w:rsidRDefault="00F77E22" w:rsidP="00E92D49">
            <w:pPr>
              <w:rPr>
                <w:szCs w:val="22"/>
              </w:rPr>
            </w:pPr>
            <w:r w:rsidRPr="00E92D49">
              <w:rPr>
                <w:szCs w:val="22"/>
              </w:rPr>
              <w:t xml:space="preserve">Summary of </w:t>
            </w:r>
            <w:r w:rsidR="00004022" w:rsidRPr="00E92D49">
              <w:rPr>
                <w:szCs w:val="22"/>
              </w:rPr>
              <w:t>Study 110</w:t>
            </w:r>
          </w:p>
        </w:tc>
      </w:tr>
      <w:tr w:rsidR="00004022" w:rsidRPr="00E92D49" w:rsidTr="00BF0A6F">
        <w:trPr>
          <w:cantSplit/>
        </w:trPr>
        <w:tc>
          <w:tcPr>
            <w:tcW w:w="1668" w:type="dxa"/>
          </w:tcPr>
          <w:p w:rsidR="00004022" w:rsidRPr="00E92D49" w:rsidRDefault="00E92D49" w:rsidP="00E92D49">
            <w:pPr>
              <w:rPr>
                <w:szCs w:val="22"/>
              </w:rPr>
            </w:pPr>
            <w:r w:rsidRPr="00E92D49">
              <w:rPr>
                <w:szCs w:val="22"/>
              </w:rPr>
              <w:t>Design</w:t>
            </w:r>
          </w:p>
        </w:tc>
        <w:tc>
          <w:tcPr>
            <w:tcW w:w="7052" w:type="dxa"/>
          </w:tcPr>
          <w:p w:rsidR="00004022" w:rsidRPr="00E92D49" w:rsidRDefault="00004022" w:rsidP="00E92D49">
            <w:pPr>
              <w:rPr>
                <w:szCs w:val="22"/>
              </w:rPr>
            </w:pPr>
            <w:r w:rsidRPr="00E92D49">
              <w:rPr>
                <w:szCs w:val="22"/>
              </w:rPr>
              <w:t>Phase III, randomised, double blind, placebo controlled, parallel group study.</w:t>
            </w:r>
          </w:p>
          <w:p w:rsidR="00004022" w:rsidRPr="00E92D49" w:rsidRDefault="00004022" w:rsidP="00E92D49">
            <w:pPr>
              <w:rPr>
                <w:szCs w:val="22"/>
              </w:rPr>
            </w:pPr>
            <w:r w:rsidRPr="00E92D49">
              <w:rPr>
                <w:szCs w:val="22"/>
              </w:rPr>
              <w:t>The study was conducted between July 2012 and October 2013 at</w:t>
            </w:r>
            <w:r w:rsidR="00D734DF" w:rsidRPr="00E92D49">
              <w:rPr>
                <w:szCs w:val="22"/>
              </w:rPr>
              <w:t xml:space="preserve"> 27 sites in the USA and Europe.</w:t>
            </w:r>
          </w:p>
        </w:tc>
      </w:tr>
      <w:tr w:rsidR="00004022" w:rsidRPr="00E92D49" w:rsidTr="00012185">
        <w:tc>
          <w:tcPr>
            <w:tcW w:w="1668" w:type="dxa"/>
          </w:tcPr>
          <w:p w:rsidR="00004022" w:rsidRPr="00E92D49" w:rsidRDefault="0039474E" w:rsidP="00E92D49">
            <w:pPr>
              <w:rPr>
                <w:szCs w:val="22"/>
              </w:rPr>
            </w:pPr>
            <w:r w:rsidRPr="00E92D49">
              <w:rPr>
                <w:szCs w:val="22"/>
              </w:rPr>
              <w:t>Aims</w:t>
            </w:r>
          </w:p>
        </w:tc>
        <w:tc>
          <w:tcPr>
            <w:tcW w:w="7052" w:type="dxa"/>
          </w:tcPr>
          <w:p w:rsidR="0039474E" w:rsidRPr="00E92D49" w:rsidRDefault="0039474E" w:rsidP="00E92D49">
            <w:pPr>
              <w:rPr>
                <w:szCs w:val="22"/>
              </w:rPr>
            </w:pPr>
            <w:r w:rsidRPr="00E92D49">
              <w:rPr>
                <w:szCs w:val="22"/>
              </w:rPr>
              <w:t>1. Efficacy- primary endpoint was absolute change from baseline in FEV</w:t>
            </w:r>
            <w:r w:rsidRPr="00E92D49">
              <w:rPr>
                <w:szCs w:val="22"/>
                <w:vertAlign w:val="subscript"/>
              </w:rPr>
              <w:t>1</w:t>
            </w:r>
            <w:r w:rsidR="00C308CD" w:rsidRPr="00E92D49">
              <w:rPr>
                <w:szCs w:val="22"/>
              </w:rPr>
              <w:t>.</w:t>
            </w:r>
            <w:r w:rsidRPr="00E92D49">
              <w:rPr>
                <w:szCs w:val="22"/>
              </w:rPr>
              <w:t xml:space="preserve"> Secondary endpoints were absolute change in sweat chloride, change in BMI, time to first exacerbation, CFQ-R. Tertiary endpoints included pulmonary exacerbations, CF related complications, IRT,</w:t>
            </w:r>
            <w:r w:rsidR="00BF0A6F" w:rsidRPr="00E92D49">
              <w:rPr>
                <w:szCs w:val="22"/>
              </w:rPr>
              <w:t xml:space="preserve"> faecal elastase</w:t>
            </w:r>
            <w:r w:rsidR="00D734DF" w:rsidRPr="00E92D49">
              <w:rPr>
                <w:szCs w:val="22"/>
              </w:rPr>
              <w:t>.</w:t>
            </w:r>
          </w:p>
          <w:p w:rsidR="0039474E" w:rsidRPr="00E92D49" w:rsidRDefault="00BF0A6F" w:rsidP="00E92D49">
            <w:pPr>
              <w:rPr>
                <w:szCs w:val="22"/>
              </w:rPr>
            </w:pPr>
            <w:r w:rsidRPr="00E92D49">
              <w:rPr>
                <w:szCs w:val="22"/>
              </w:rPr>
              <w:t>2.</w:t>
            </w:r>
            <w:r w:rsidR="00C308CD" w:rsidRPr="00E92D49">
              <w:rPr>
                <w:szCs w:val="22"/>
              </w:rPr>
              <w:t xml:space="preserve"> </w:t>
            </w:r>
            <w:r w:rsidRPr="00E92D49">
              <w:rPr>
                <w:szCs w:val="22"/>
              </w:rPr>
              <w:t>Safety</w:t>
            </w:r>
            <w:r w:rsidR="00D734DF" w:rsidRPr="00E92D49">
              <w:rPr>
                <w:szCs w:val="22"/>
              </w:rPr>
              <w:t>.</w:t>
            </w:r>
          </w:p>
          <w:p w:rsidR="00004022" w:rsidRPr="00E92D49" w:rsidRDefault="0039474E" w:rsidP="00E92D49">
            <w:pPr>
              <w:rPr>
                <w:szCs w:val="22"/>
              </w:rPr>
            </w:pPr>
            <w:r w:rsidRPr="00E92D49">
              <w:rPr>
                <w:szCs w:val="22"/>
              </w:rPr>
              <w:t xml:space="preserve">3. PK at steady state of </w:t>
            </w:r>
            <w:proofErr w:type="spellStart"/>
            <w:r w:rsidRPr="00E92D49">
              <w:rPr>
                <w:szCs w:val="22"/>
              </w:rPr>
              <w:t>Ivac</w:t>
            </w:r>
            <w:r w:rsidR="00BE0DE1" w:rsidRPr="00E92D49">
              <w:rPr>
                <w:szCs w:val="22"/>
              </w:rPr>
              <w:t>aftor</w:t>
            </w:r>
            <w:proofErr w:type="spellEnd"/>
            <w:r w:rsidR="00BE0DE1" w:rsidRPr="00E92D49">
              <w:rPr>
                <w:szCs w:val="22"/>
              </w:rPr>
              <w:t xml:space="preserve"> and M1 and M6 metabolites</w:t>
            </w:r>
            <w:r w:rsidR="00D734DF" w:rsidRPr="00E92D49">
              <w:rPr>
                <w:szCs w:val="22"/>
              </w:rPr>
              <w:t>.</w:t>
            </w:r>
          </w:p>
        </w:tc>
      </w:tr>
      <w:tr w:rsidR="00004022" w:rsidRPr="00E92D49" w:rsidTr="00012185">
        <w:tc>
          <w:tcPr>
            <w:tcW w:w="1668" w:type="dxa"/>
          </w:tcPr>
          <w:p w:rsidR="00004022" w:rsidRPr="00E92D49" w:rsidRDefault="00BF0A6F" w:rsidP="00E92D49">
            <w:pPr>
              <w:rPr>
                <w:szCs w:val="22"/>
              </w:rPr>
            </w:pPr>
            <w:r w:rsidRPr="00E92D49">
              <w:rPr>
                <w:szCs w:val="22"/>
              </w:rPr>
              <w:t>Treatment</w:t>
            </w:r>
          </w:p>
        </w:tc>
        <w:tc>
          <w:tcPr>
            <w:tcW w:w="7052" w:type="dxa"/>
          </w:tcPr>
          <w:p w:rsidR="0039474E" w:rsidRPr="00E92D49" w:rsidRDefault="00BE0DE1" w:rsidP="00E92D49">
            <w:pPr>
              <w:rPr>
                <w:szCs w:val="22"/>
              </w:rPr>
            </w:pPr>
            <w:r w:rsidRPr="00E92D49">
              <w:rPr>
                <w:szCs w:val="22"/>
              </w:rPr>
              <w:t xml:space="preserve">Placebo or </w:t>
            </w:r>
            <w:proofErr w:type="spellStart"/>
            <w:r w:rsidRPr="00E92D49">
              <w:rPr>
                <w:szCs w:val="22"/>
              </w:rPr>
              <w:t>i</w:t>
            </w:r>
            <w:r w:rsidR="0039474E" w:rsidRPr="00E92D49">
              <w:rPr>
                <w:szCs w:val="22"/>
              </w:rPr>
              <w:t>vaca</w:t>
            </w:r>
            <w:r w:rsidR="00BF0A6F" w:rsidRPr="00E92D49">
              <w:rPr>
                <w:szCs w:val="22"/>
              </w:rPr>
              <w:t>ftor</w:t>
            </w:r>
            <w:proofErr w:type="spellEnd"/>
            <w:r w:rsidR="00BF0A6F" w:rsidRPr="00E92D49">
              <w:rPr>
                <w:szCs w:val="22"/>
              </w:rPr>
              <w:t xml:space="preserve"> 15</w:t>
            </w:r>
            <w:r w:rsidR="006C3669" w:rsidRPr="00E92D49">
              <w:rPr>
                <w:szCs w:val="22"/>
              </w:rPr>
              <w:t>0 mg</w:t>
            </w:r>
            <w:r w:rsidR="00BF0A6F" w:rsidRPr="00E92D49">
              <w:rPr>
                <w:szCs w:val="22"/>
              </w:rPr>
              <w:t xml:space="preserve"> q12 hr for 24 weeks.</w:t>
            </w:r>
          </w:p>
          <w:p w:rsidR="00004022" w:rsidRPr="00E92D49" w:rsidRDefault="0039474E" w:rsidP="00E92D49">
            <w:pPr>
              <w:rPr>
                <w:szCs w:val="22"/>
              </w:rPr>
            </w:pPr>
            <w:r w:rsidRPr="00E92D49">
              <w:rPr>
                <w:szCs w:val="22"/>
              </w:rPr>
              <w:t>And usual CF treatme</w:t>
            </w:r>
            <w:r w:rsidR="00BF0A6F" w:rsidRPr="00E92D49">
              <w:rPr>
                <w:szCs w:val="22"/>
              </w:rPr>
              <w:t>nt (which was to remain stable)</w:t>
            </w:r>
            <w:r w:rsidR="00D734DF" w:rsidRPr="00E92D49">
              <w:rPr>
                <w:szCs w:val="22"/>
              </w:rPr>
              <w:t>.</w:t>
            </w:r>
          </w:p>
        </w:tc>
      </w:tr>
      <w:tr w:rsidR="00004022" w:rsidRPr="00E92D49" w:rsidTr="00012185">
        <w:tc>
          <w:tcPr>
            <w:tcW w:w="1668" w:type="dxa"/>
          </w:tcPr>
          <w:p w:rsidR="00004022" w:rsidRPr="00E92D49" w:rsidRDefault="005F28AC" w:rsidP="00E92D49">
            <w:pPr>
              <w:rPr>
                <w:szCs w:val="22"/>
              </w:rPr>
            </w:pPr>
            <w:r w:rsidRPr="00E92D49">
              <w:rPr>
                <w:szCs w:val="22"/>
              </w:rPr>
              <w:t>Inclusion criteria</w:t>
            </w:r>
          </w:p>
        </w:tc>
        <w:tc>
          <w:tcPr>
            <w:tcW w:w="7052" w:type="dxa"/>
          </w:tcPr>
          <w:p w:rsidR="00012185" w:rsidRPr="00E92D49" w:rsidRDefault="00012185" w:rsidP="00E92D49">
            <w:pPr>
              <w:rPr>
                <w:szCs w:val="22"/>
              </w:rPr>
            </w:pPr>
            <w:r w:rsidRPr="00E92D49">
              <w:rPr>
                <w:szCs w:val="22"/>
              </w:rPr>
              <w:t xml:space="preserve">1. Male and female subjects aged ≥ 6 years who had the R117H-CFTR mutation on at least 1 allele and a confirmed diagnosis of CF, defined as chronic </w:t>
            </w:r>
            <w:proofErr w:type="spellStart"/>
            <w:r w:rsidRPr="00E92D49">
              <w:rPr>
                <w:szCs w:val="22"/>
              </w:rPr>
              <w:t>sinopulmonary</w:t>
            </w:r>
            <w:proofErr w:type="spellEnd"/>
            <w:r w:rsidRPr="00E92D49">
              <w:rPr>
                <w:szCs w:val="22"/>
              </w:rPr>
              <w:t xml:space="preserve"> disease and a sweat chloride ≥ 60mmol/L by quantitative </w:t>
            </w:r>
            <w:proofErr w:type="spellStart"/>
            <w:r w:rsidRPr="00E92D49">
              <w:rPr>
                <w:szCs w:val="22"/>
              </w:rPr>
              <w:t>pilocarpine</w:t>
            </w:r>
            <w:proofErr w:type="spellEnd"/>
            <w:r w:rsidRPr="00E92D49">
              <w:rPr>
                <w:szCs w:val="22"/>
              </w:rPr>
              <w:t xml:space="preserve"> </w:t>
            </w:r>
            <w:proofErr w:type="spellStart"/>
            <w:r w:rsidRPr="00E92D49">
              <w:rPr>
                <w:szCs w:val="22"/>
              </w:rPr>
              <w:t>iontophores</w:t>
            </w:r>
            <w:r w:rsidR="00BE0DE1" w:rsidRPr="00E92D49">
              <w:rPr>
                <w:szCs w:val="22"/>
              </w:rPr>
              <w:t>is</w:t>
            </w:r>
            <w:proofErr w:type="spellEnd"/>
            <w:r w:rsidR="00BE0DE1" w:rsidRPr="00E92D49">
              <w:rPr>
                <w:szCs w:val="22"/>
              </w:rPr>
              <w:t xml:space="preserve"> or two CF causing mutations.</w:t>
            </w:r>
          </w:p>
          <w:p w:rsidR="00004022" w:rsidRPr="00E92D49" w:rsidRDefault="00012185" w:rsidP="00E92D49">
            <w:pPr>
              <w:rPr>
                <w:szCs w:val="22"/>
              </w:rPr>
            </w:pPr>
            <w:r w:rsidRPr="00E92D49">
              <w:rPr>
                <w:szCs w:val="22"/>
              </w:rPr>
              <w:t>2. FEV</w:t>
            </w:r>
            <w:r w:rsidRPr="00E92D49">
              <w:rPr>
                <w:szCs w:val="22"/>
                <w:vertAlign w:val="subscript"/>
              </w:rPr>
              <w:t>1</w:t>
            </w:r>
            <w:r w:rsidR="004A6786" w:rsidRPr="00E92D49">
              <w:rPr>
                <w:szCs w:val="22"/>
              </w:rPr>
              <w:t xml:space="preserve"> 40 to</w:t>
            </w:r>
            <w:r w:rsidRPr="00E92D49">
              <w:rPr>
                <w:szCs w:val="22"/>
              </w:rPr>
              <w:t xml:space="preserve"> 90% for subjects &gt; 12 years; 4</w:t>
            </w:r>
            <w:r w:rsidR="004A6786" w:rsidRPr="00E92D49">
              <w:rPr>
                <w:szCs w:val="22"/>
              </w:rPr>
              <w:t>0 to 105% for subjects 6 to</w:t>
            </w:r>
            <w:r w:rsidR="00BF0A6F" w:rsidRPr="00E92D49">
              <w:rPr>
                <w:szCs w:val="22"/>
              </w:rPr>
              <w:t>11 years</w:t>
            </w:r>
            <w:r w:rsidR="00D734DF" w:rsidRPr="00E92D49">
              <w:rPr>
                <w:szCs w:val="22"/>
              </w:rPr>
              <w:t>.</w:t>
            </w:r>
          </w:p>
        </w:tc>
      </w:tr>
      <w:tr w:rsidR="00004022" w:rsidRPr="00E92D49" w:rsidTr="00012185">
        <w:tc>
          <w:tcPr>
            <w:tcW w:w="1668" w:type="dxa"/>
          </w:tcPr>
          <w:p w:rsidR="00004022" w:rsidRPr="00E92D49" w:rsidRDefault="00BF0A6F" w:rsidP="00E92D49">
            <w:pPr>
              <w:rPr>
                <w:szCs w:val="22"/>
              </w:rPr>
            </w:pPr>
            <w:r w:rsidRPr="00E92D49">
              <w:rPr>
                <w:szCs w:val="22"/>
              </w:rPr>
              <w:t>Exclusion criteria</w:t>
            </w:r>
          </w:p>
        </w:tc>
        <w:tc>
          <w:tcPr>
            <w:tcW w:w="7052" w:type="dxa"/>
          </w:tcPr>
          <w:p w:rsidR="00012185" w:rsidRPr="00E92D49" w:rsidRDefault="00BF0A6F" w:rsidP="00E92D49">
            <w:pPr>
              <w:rPr>
                <w:szCs w:val="22"/>
              </w:rPr>
            </w:pPr>
            <w:r w:rsidRPr="00E92D49">
              <w:rPr>
                <w:szCs w:val="22"/>
              </w:rPr>
              <w:t>Other CFTR mutations</w:t>
            </w:r>
            <w:r w:rsidR="00D734DF" w:rsidRPr="00E92D49">
              <w:rPr>
                <w:szCs w:val="22"/>
              </w:rPr>
              <w:t>.</w:t>
            </w:r>
          </w:p>
          <w:p w:rsidR="00004022" w:rsidRPr="00E92D49" w:rsidRDefault="00012185" w:rsidP="00E92D49">
            <w:pPr>
              <w:rPr>
                <w:szCs w:val="22"/>
              </w:rPr>
            </w:pPr>
            <w:r w:rsidRPr="00E92D49">
              <w:rPr>
                <w:szCs w:val="22"/>
              </w:rPr>
              <w:t>Acute respiratory infection in the past 4 weeks</w:t>
            </w:r>
            <w:r w:rsidR="00D734DF" w:rsidRPr="00E92D49">
              <w:rPr>
                <w:szCs w:val="22"/>
              </w:rPr>
              <w:t>.</w:t>
            </w:r>
          </w:p>
        </w:tc>
      </w:tr>
      <w:tr w:rsidR="00012185" w:rsidRPr="00E92D49" w:rsidTr="00012185">
        <w:tc>
          <w:tcPr>
            <w:tcW w:w="1668" w:type="dxa"/>
          </w:tcPr>
          <w:p w:rsidR="00012185" w:rsidRPr="00E92D49" w:rsidRDefault="00BF0A6F" w:rsidP="00E92D49">
            <w:pPr>
              <w:rPr>
                <w:szCs w:val="22"/>
              </w:rPr>
            </w:pPr>
            <w:r w:rsidRPr="00E92D49">
              <w:rPr>
                <w:szCs w:val="22"/>
              </w:rPr>
              <w:t>Populations</w:t>
            </w:r>
          </w:p>
        </w:tc>
        <w:tc>
          <w:tcPr>
            <w:tcW w:w="7052" w:type="dxa"/>
          </w:tcPr>
          <w:p w:rsidR="00012185" w:rsidRPr="00E92D49" w:rsidRDefault="005250D8" w:rsidP="00E92D49">
            <w:pPr>
              <w:rPr>
                <w:szCs w:val="22"/>
              </w:rPr>
            </w:pPr>
            <w:r w:rsidRPr="00E92D49">
              <w:rPr>
                <w:szCs w:val="22"/>
              </w:rPr>
              <w:t>Full analysis set</w:t>
            </w:r>
            <w:r w:rsidR="00D734DF" w:rsidRPr="00E92D49">
              <w:rPr>
                <w:szCs w:val="22"/>
              </w:rPr>
              <w:t xml:space="preserve"> and </w:t>
            </w:r>
            <w:r w:rsidR="00151DE3" w:rsidRPr="00E92D49">
              <w:rPr>
                <w:szCs w:val="22"/>
              </w:rPr>
              <w:t>safety set</w:t>
            </w:r>
            <w:r w:rsidRPr="00E92D49">
              <w:rPr>
                <w:szCs w:val="22"/>
              </w:rPr>
              <w:t>:</w:t>
            </w:r>
            <w:r w:rsidR="00151DE3" w:rsidRPr="00E92D49">
              <w:rPr>
                <w:szCs w:val="22"/>
              </w:rPr>
              <w:t xml:space="preserve"> </w:t>
            </w:r>
            <w:r w:rsidR="00D734DF" w:rsidRPr="00E92D49">
              <w:rPr>
                <w:szCs w:val="22"/>
              </w:rPr>
              <w:t>69 subjects.</w:t>
            </w:r>
          </w:p>
          <w:p w:rsidR="00012185" w:rsidRPr="00E92D49" w:rsidRDefault="005250D8" w:rsidP="00E92D49">
            <w:pPr>
              <w:rPr>
                <w:szCs w:val="22"/>
              </w:rPr>
            </w:pPr>
            <w:r w:rsidRPr="00E92D49">
              <w:rPr>
                <w:szCs w:val="22"/>
              </w:rPr>
              <w:t>Per protocol set:</w:t>
            </w:r>
            <w:r w:rsidR="00012185" w:rsidRPr="00E92D49">
              <w:rPr>
                <w:szCs w:val="22"/>
              </w:rPr>
              <w:t xml:space="preserve"> 63 subjects wi</w:t>
            </w:r>
            <w:r w:rsidR="00D734DF" w:rsidRPr="00E92D49">
              <w:rPr>
                <w:szCs w:val="22"/>
              </w:rPr>
              <w:t>thout major protocol variations.</w:t>
            </w:r>
          </w:p>
          <w:p w:rsidR="00012185" w:rsidRPr="00E92D49" w:rsidRDefault="005A4C7C" w:rsidP="00E92D49">
            <w:pPr>
              <w:rPr>
                <w:szCs w:val="22"/>
              </w:rPr>
            </w:pPr>
            <w:r w:rsidRPr="00E92D49">
              <w:rPr>
                <w:szCs w:val="22"/>
              </w:rPr>
              <w:t>Clinical case set</w:t>
            </w:r>
            <w:r w:rsidR="005250D8" w:rsidRPr="00E92D49">
              <w:rPr>
                <w:szCs w:val="22"/>
              </w:rPr>
              <w:t>:</w:t>
            </w:r>
            <w:r w:rsidR="00687120" w:rsidRPr="00E92D49">
              <w:rPr>
                <w:szCs w:val="22"/>
              </w:rPr>
              <w:t xml:space="preserve"> </w:t>
            </w:r>
            <w:r w:rsidR="00012185" w:rsidRPr="00E92D49">
              <w:rPr>
                <w:szCs w:val="22"/>
              </w:rPr>
              <w:t>61 patients who completed treatment. 8 subjects did not complete 24 weeks of treatment as the study was terminated early by the sponsor. (The rationale given was that th</w:t>
            </w:r>
            <w:r w:rsidR="00151DE3" w:rsidRPr="00E92D49">
              <w:rPr>
                <w:szCs w:val="22"/>
              </w:rPr>
              <w:t xml:space="preserve">ey had achieved their aim of 40 to </w:t>
            </w:r>
            <w:r w:rsidR="00012185" w:rsidRPr="00E92D49">
              <w:rPr>
                <w:szCs w:val="22"/>
              </w:rPr>
              <w:t>80 patients in each arm, and now had recruited around 18% of the eligibl</w:t>
            </w:r>
            <w:r w:rsidR="00D734DF" w:rsidRPr="00E92D49">
              <w:rPr>
                <w:szCs w:val="22"/>
              </w:rPr>
              <w:t xml:space="preserve">e population in the </w:t>
            </w:r>
            <w:r w:rsidR="00012185" w:rsidRPr="00E92D49">
              <w:rPr>
                <w:szCs w:val="22"/>
              </w:rPr>
              <w:t xml:space="preserve">centres where the study was being conducted. The </w:t>
            </w:r>
            <w:r w:rsidR="00151DE3" w:rsidRPr="00E92D49">
              <w:rPr>
                <w:szCs w:val="22"/>
              </w:rPr>
              <w:t>Committee for Medicinal Products for Human Use (</w:t>
            </w:r>
            <w:r w:rsidR="00012185" w:rsidRPr="00E92D49">
              <w:rPr>
                <w:szCs w:val="22"/>
              </w:rPr>
              <w:t>CHMP</w:t>
            </w:r>
            <w:r w:rsidR="00151DE3" w:rsidRPr="00E92D49">
              <w:rPr>
                <w:szCs w:val="22"/>
              </w:rPr>
              <w:t>)</w:t>
            </w:r>
            <w:r w:rsidR="00012185" w:rsidRPr="00E92D49">
              <w:rPr>
                <w:szCs w:val="22"/>
              </w:rPr>
              <w:t xml:space="preserve"> disagreed with this decision as it me</w:t>
            </w:r>
            <w:r w:rsidR="00D734DF" w:rsidRPr="00E92D49">
              <w:rPr>
                <w:szCs w:val="22"/>
              </w:rPr>
              <w:t>ant the study was underpowered).</w:t>
            </w:r>
          </w:p>
          <w:p w:rsidR="00012185" w:rsidRPr="00E92D49" w:rsidRDefault="00012185" w:rsidP="00E92D49">
            <w:pPr>
              <w:rPr>
                <w:szCs w:val="22"/>
              </w:rPr>
            </w:pPr>
            <w:r w:rsidRPr="00E92D49">
              <w:rPr>
                <w:szCs w:val="22"/>
              </w:rPr>
              <w:t>The sample size had a 70% power to detect an improvement of at least 5% in predicted FEV</w:t>
            </w:r>
            <w:r w:rsidRPr="00E92D49">
              <w:rPr>
                <w:szCs w:val="22"/>
                <w:vertAlign w:val="subscript"/>
              </w:rPr>
              <w:t>1</w:t>
            </w:r>
            <w:r w:rsidR="00D734DF" w:rsidRPr="00E92D49">
              <w:rPr>
                <w:szCs w:val="22"/>
              </w:rPr>
              <w:t xml:space="preserve"> with </w:t>
            </w:r>
            <w:proofErr w:type="spellStart"/>
            <w:r w:rsidR="00D734DF" w:rsidRPr="00E92D49">
              <w:rPr>
                <w:szCs w:val="22"/>
              </w:rPr>
              <w:t>i</w:t>
            </w:r>
            <w:r w:rsidRPr="00E92D49">
              <w:rPr>
                <w:szCs w:val="22"/>
              </w:rPr>
              <w:t>vacaftor</w:t>
            </w:r>
            <w:proofErr w:type="spellEnd"/>
            <w:r w:rsidRPr="00E92D49">
              <w:rPr>
                <w:szCs w:val="22"/>
              </w:rPr>
              <w:t xml:space="preserve"> over p</w:t>
            </w:r>
            <w:r w:rsidR="00D734DF" w:rsidRPr="00E92D49">
              <w:rPr>
                <w:szCs w:val="22"/>
              </w:rPr>
              <w:t>lacebo.</w:t>
            </w:r>
          </w:p>
        </w:tc>
      </w:tr>
      <w:tr w:rsidR="00012185" w:rsidRPr="00E92D49" w:rsidTr="00012185">
        <w:tc>
          <w:tcPr>
            <w:tcW w:w="1668" w:type="dxa"/>
          </w:tcPr>
          <w:p w:rsidR="00012185" w:rsidRPr="00E92D49" w:rsidRDefault="005F28AC" w:rsidP="00E92D49">
            <w:pPr>
              <w:rPr>
                <w:szCs w:val="22"/>
              </w:rPr>
            </w:pPr>
            <w:r w:rsidRPr="00E92D49">
              <w:rPr>
                <w:szCs w:val="22"/>
              </w:rPr>
              <w:t>Baseline data</w:t>
            </w:r>
          </w:p>
        </w:tc>
        <w:tc>
          <w:tcPr>
            <w:tcW w:w="7052" w:type="dxa"/>
          </w:tcPr>
          <w:p w:rsidR="00012185" w:rsidRPr="00E92D49" w:rsidRDefault="00012185" w:rsidP="00E92D49">
            <w:pPr>
              <w:rPr>
                <w:szCs w:val="22"/>
              </w:rPr>
            </w:pPr>
            <w:r w:rsidRPr="00E92D49">
              <w:rPr>
                <w:szCs w:val="22"/>
              </w:rPr>
              <w:t>Med</w:t>
            </w:r>
            <w:r w:rsidR="00D734DF" w:rsidRPr="00E92D49">
              <w:rPr>
                <w:szCs w:val="22"/>
              </w:rPr>
              <w:t xml:space="preserve">ian age was 32.7 years (range 6 to </w:t>
            </w:r>
            <w:r w:rsidRPr="00E92D49">
              <w:rPr>
                <w:szCs w:val="22"/>
              </w:rPr>
              <w:t>68 years) for the placeb</w:t>
            </w:r>
            <w:r w:rsidR="00D734DF" w:rsidRPr="00E92D49">
              <w:rPr>
                <w:szCs w:val="22"/>
              </w:rPr>
              <w:t xml:space="preserve">o group and 29.2 years (range 6 to </w:t>
            </w:r>
            <w:r w:rsidRPr="00E92D49">
              <w:rPr>
                <w:szCs w:val="22"/>
              </w:rPr>
              <w:t xml:space="preserve">55 years) for the </w:t>
            </w:r>
            <w:proofErr w:type="spellStart"/>
            <w:r w:rsidR="00DA04C0" w:rsidRPr="00E92D49">
              <w:rPr>
                <w:szCs w:val="22"/>
              </w:rPr>
              <w:t>ivacaftor</w:t>
            </w:r>
            <w:proofErr w:type="spellEnd"/>
            <w:r w:rsidRPr="00E92D49">
              <w:rPr>
                <w:szCs w:val="22"/>
              </w:rPr>
              <w:t xml:space="preserve"> group. A </w:t>
            </w:r>
            <w:r w:rsidRPr="00E92D49">
              <w:rPr>
                <w:szCs w:val="22"/>
              </w:rPr>
              <w:lastRenderedPageBreak/>
              <w:t>total of 19 were less than 18 years. Overall, 76.8%</w:t>
            </w:r>
            <w:r w:rsidR="00760ED7" w:rsidRPr="00E92D49">
              <w:rPr>
                <w:szCs w:val="22"/>
              </w:rPr>
              <w:t xml:space="preserve"> had F508 in the second allele.</w:t>
            </w:r>
          </w:p>
          <w:p w:rsidR="00012185" w:rsidRPr="00E92D49" w:rsidRDefault="00DA04C0" w:rsidP="00E92D49">
            <w:pPr>
              <w:rPr>
                <w:szCs w:val="22"/>
              </w:rPr>
            </w:pPr>
            <w:r w:rsidRPr="00E92D49">
              <w:rPr>
                <w:szCs w:val="22"/>
              </w:rPr>
              <w:t xml:space="preserve">The </w:t>
            </w:r>
            <w:proofErr w:type="spellStart"/>
            <w:r w:rsidRPr="00E92D49">
              <w:rPr>
                <w:szCs w:val="22"/>
              </w:rPr>
              <w:t>ivacaftor</w:t>
            </w:r>
            <w:proofErr w:type="spellEnd"/>
            <w:r w:rsidR="00012185" w:rsidRPr="00E92D49">
              <w:rPr>
                <w:szCs w:val="22"/>
              </w:rPr>
              <w:t xml:space="preserve"> and placebo groups were not well matched in terms of baseline disease characteristics, those in the </w:t>
            </w:r>
            <w:proofErr w:type="spellStart"/>
            <w:r w:rsidRPr="00E92D49">
              <w:rPr>
                <w:szCs w:val="22"/>
              </w:rPr>
              <w:t>ivacaftor</w:t>
            </w:r>
            <w:proofErr w:type="spellEnd"/>
            <w:r w:rsidR="00012185" w:rsidRPr="00E92D49">
              <w:rPr>
                <w:szCs w:val="22"/>
              </w:rPr>
              <w:t xml:space="preserve"> group tended to have higher FEV</w:t>
            </w:r>
            <w:r w:rsidR="00012185" w:rsidRPr="00E92D49">
              <w:rPr>
                <w:szCs w:val="22"/>
                <w:vertAlign w:val="subscript"/>
              </w:rPr>
              <w:t>1</w:t>
            </w:r>
            <w:r w:rsidR="00012185" w:rsidRPr="00E92D49">
              <w:rPr>
                <w:szCs w:val="22"/>
              </w:rPr>
              <w:t xml:space="preserve"> and lower sweat chloride. There were more subjects with the 5T variant in the placebo group. The average FEV</w:t>
            </w:r>
            <w:r w:rsidR="00012185" w:rsidRPr="00E92D49">
              <w:rPr>
                <w:szCs w:val="22"/>
                <w:vertAlign w:val="subscript"/>
              </w:rPr>
              <w:t>1</w:t>
            </w:r>
            <w:r w:rsidR="00012185" w:rsidRPr="00E92D49">
              <w:rPr>
                <w:szCs w:val="22"/>
              </w:rPr>
              <w:t xml:space="preserve"> in the adults &gt; 18 years was 65.4% at baseline, where as in</w:t>
            </w:r>
            <w:r w:rsidR="0000362B" w:rsidRPr="00E92D49">
              <w:rPr>
                <w:szCs w:val="22"/>
              </w:rPr>
              <w:t xml:space="preserve"> those &lt; 18 years it was 95.8%.</w:t>
            </w:r>
          </w:p>
        </w:tc>
      </w:tr>
      <w:tr w:rsidR="00012185" w:rsidRPr="00E92D49" w:rsidTr="00012185">
        <w:tc>
          <w:tcPr>
            <w:tcW w:w="1668" w:type="dxa"/>
          </w:tcPr>
          <w:p w:rsidR="00012185" w:rsidRPr="00E92D49" w:rsidRDefault="00E92D49" w:rsidP="00E92D49">
            <w:pPr>
              <w:rPr>
                <w:szCs w:val="22"/>
              </w:rPr>
            </w:pPr>
            <w:r w:rsidRPr="00E92D49">
              <w:rPr>
                <w:rFonts w:eastAsiaTheme="minorHAnsi" w:cs="Cambria"/>
                <w:color w:val="000000"/>
                <w:szCs w:val="22"/>
              </w:rPr>
              <w:lastRenderedPageBreak/>
              <w:t>Primary efficacy</w:t>
            </w:r>
          </w:p>
        </w:tc>
        <w:tc>
          <w:tcPr>
            <w:tcW w:w="7052" w:type="dxa"/>
          </w:tcPr>
          <w:p w:rsidR="00656021" w:rsidRPr="00E92D49" w:rsidRDefault="00656021" w:rsidP="00E92D49">
            <w:pPr>
              <w:rPr>
                <w:szCs w:val="22"/>
              </w:rPr>
            </w:pPr>
            <w:r w:rsidRPr="00E92D49">
              <w:rPr>
                <w:szCs w:val="22"/>
              </w:rPr>
              <w:t>The mean absolute change from baseline in ppFEV</w:t>
            </w:r>
            <w:r w:rsidRPr="00E92D49">
              <w:rPr>
                <w:szCs w:val="22"/>
                <w:vertAlign w:val="subscript"/>
              </w:rPr>
              <w:t>1</w:t>
            </w:r>
            <w:r w:rsidRPr="00E92D49">
              <w:rPr>
                <w:szCs w:val="22"/>
              </w:rPr>
              <w:t xml:space="preserve"> through to </w:t>
            </w:r>
            <w:r w:rsidR="00F77E22" w:rsidRPr="00E92D49">
              <w:rPr>
                <w:szCs w:val="22"/>
              </w:rPr>
              <w:t>W</w:t>
            </w:r>
            <w:r w:rsidRPr="00E92D49">
              <w:rPr>
                <w:szCs w:val="22"/>
              </w:rPr>
              <w:t xml:space="preserve">eek 24 was numerically but not statistically greater in the </w:t>
            </w:r>
            <w:proofErr w:type="spellStart"/>
            <w:r w:rsidRPr="00E92D49">
              <w:rPr>
                <w:szCs w:val="22"/>
              </w:rPr>
              <w:t>Ivacaftor</w:t>
            </w:r>
            <w:proofErr w:type="spellEnd"/>
            <w:r w:rsidRPr="00E92D49">
              <w:rPr>
                <w:szCs w:val="22"/>
              </w:rPr>
              <w:t xml:space="preserve"> group t</w:t>
            </w:r>
            <w:r w:rsidR="00476C77" w:rsidRPr="00E92D49">
              <w:rPr>
                <w:szCs w:val="22"/>
              </w:rPr>
              <w:t>han placebo (2.57 versus 0.46</w:t>
            </w:r>
            <w:r w:rsidR="0099563D" w:rsidRPr="00E92D49">
              <w:rPr>
                <w:szCs w:val="22"/>
              </w:rPr>
              <w:t xml:space="preserve"> percentage point [pp]</w:t>
            </w:r>
            <w:r w:rsidRPr="00E92D49">
              <w:rPr>
                <w:szCs w:val="22"/>
              </w:rPr>
              <w:t>). The gains were reversed when treatment was stopped.</w:t>
            </w:r>
          </w:p>
          <w:p w:rsidR="00012185" w:rsidRPr="00E92D49" w:rsidRDefault="00656021" w:rsidP="00E92D49">
            <w:pPr>
              <w:rPr>
                <w:szCs w:val="22"/>
              </w:rPr>
            </w:pPr>
            <w:r w:rsidRPr="00E92D49">
              <w:rPr>
                <w:noProof/>
                <w:szCs w:val="22"/>
              </w:rPr>
              <w:drawing>
                <wp:inline distT="0" distB="0" distL="0" distR="0" wp14:anchorId="4618CCA0" wp14:editId="406EFC67">
                  <wp:extent cx="4191000" cy="1086257"/>
                  <wp:effectExtent l="0" t="0" r="0" b="0"/>
                  <wp:docPr id="13" name="Picture 13" descr="The mean absolute change from baseline in ppFEV1 through to Week 24 was numerically but not statistically greater in the Ivacaftor group than placebo (2.57 versus 0.46 percentage point [pp]). The gains were reversed when treatment was st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91000" cy="1086257"/>
                          </a:xfrm>
                          <a:prstGeom prst="rect">
                            <a:avLst/>
                          </a:prstGeom>
                        </pic:spPr>
                      </pic:pic>
                    </a:graphicData>
                  </a:graphic>
                </wp:inline>
              </w:drawing>
            </w:r>
          </w:p>
          <w:p w:rsidR="00656021" w:rsidRPr="00E92D49" w:rsidRDefault="00F77E22" w:rsidP="00E92D49">
            <w:pPr>
              <w:rPr>
                <w:szCs w:val="22"/>
              </w:rPr>
            </w:pPr>
            <w:r w:rsidRPr="00E92D49">
              <w:rPr>
                <w:szCs w:val="22"/>
              </w:rPr>
              <w:t>Mixed-effects model for repeated measures (</w:t>
            </w:r>
            <w:r w:rsidR="00656021" w:rsidRPr="00E92D49">
              <w:rPr>
                <w:szCs w:val="22"/>
              </w:rPr>
              <w:t>MMRM</w:t>
            </w:r>
            <w:r w:rsidRPr="00E92D49">
              <w:rPr>
                <w:szCs w:val="22"/>
              </w:rPr>
              <w:t>)</w:t>
            </w:r>
            <w:r w:rsidR="00656021" w:rsidRPr="00E92D49">
              <w:rPr>
                <w:szCs w:val="22"/>
              </w:rPr>
              <w:t xml:space="preserve"> analysis with treatment, age, week, baseline value, treatment by week, and subject a</w:t>
            </w:r>
            <w:r w:rsidR="00476C77" w:rsidRPr="00E92D49">
              <w:rPr>
                <w:szCs w:val="22"/>
              </w:rPr>
              <w:t>s a random effect. Source: FDA statistician.</w:t>
            </w:r>
          </w:p>
          <w:p w:rsidR="00656021" w:rsidRPr="00E92D49" w:rsidRDefault="008A12A1" w:rsidP="00E92D49">
            <w:pPr>
              <w:rPr>
                <w:szCs w:val="22"/>
              </w:rPr>
            </w:pPr>
            <w:r w:rsidRPr="00E92D49">
              <w:rPr>
                <w:szCs w:val="22"/>
              </w:rPr>
              <w:t>Modelled</w:t>
            </w:r>
            <w:r w:rsidR="00656021" w:rsidRPr="00E92D49">
              <w:rPr>
                <w:szCs w:val="22"/>
              </w:rPr>
              <w:t xml:space="preserve"> absolute change from baseline in percent predicted FEV</w:t>
            </w:r>
            <w:r w:rsidR="00656021" w:rsidRPr="00E92D49">
              <w:rPr>
                <w:szCs w:val="22"/>
                <w:vertAlign w:val="subscript"/>
              </w:rPr>
              <w:t>1</w:t>
            </w:r>
            <w:r w:rsidR="00656021" w:rsidRPr="00E92D49">
              <w:rPr>
                <w:szCs w:val="22"/>
              </w:rPr>
              <w:t xml:space="preserve"> by treatment up to follow-up visit, full analysis set</w:t>
            </w:r>
          </w:p>
          <w:p w:rsidR="00656021" w:rsidRPr="00E92D49" w:rsidRDefault="00656021" w:rsidP="00E92D49">
            <w:pPr>
              <w:rPr>
                <w:szCs w:val="22"/>
              </w:rPr>
            </w:pPr>
            <w:r w:rsidRPr="00E92D49">
              <w:rPr>
                <w:noProof/>
                <w:szCs w:val="22"/>
              </w:rPr>
              <w:drawing>
                <wp:inline distT="0" distB="0" distL="0" distR="0" wp14:anchorId="7CD5D2EE" wp14:editId="3209FAA9">
                  <wp:extent cx="3721999" cy="2241550"/>
                  <wp:effectExtent l="0" t="0" r="0" b="6350"/>
                  <wp:docPr id="14" name="Picture 14" descr="Modelled absolute change from baseline in percent predicted FEV1 by treatment up to follow-up visit,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24082" cy="2242804"/>
                          </a:xfrm>
                          <a:prstGeom prst="rect">
                            <a:avLst/>
                          </a:prstGeom>
                        </pic:spPr>
                      </pic:pic>
                    </a:graphicData>
                  </a:graphic>
                </wp:inline>
              </w:drawing>
            </w:r>
          </w:p>
        </w:tc>
      </w:tr>
      <w:tr w:rsidR="00012185" w:rsidRPr="00E92D49" w:rsidTr="00012185">
        <w:tc>
          <w:tcPr>
            <w:tcW w:w="1668" w:type="dxa"/>
          </w:tcPr>
          <w:p w:rsidR="00012185" w:rsidRPr="00E92D49" w:rsidRDefault="00E92D49" w:rsidP="00E92D49">
            <w:pPr>
              <w:rPr>
                <w:szCs w:val="22"/>
              </w:rPr>
            </w:pPr>
            <w:r w:rsidRPr="00E92D49">
              <w:rPr>
                <w:rFonts w:eastAsiaTheme="minorHAnsi" w:cs="Cambria"/>
                <w:color w:val="000000"/>
                <w:szCs w:val="22"/>
              </w:rPr>
              <w:t>Secondary endpoints</w:t>
            </w:r>
          </w:p>
        </w:tc>
        <w:tc>
          <w:tcPr>
            <w:tcW w:w="7052" w:type="dxa"/>
          </w:tcPr>
          <w:p w:rsidR="00656021" w:rsidRPr="00E92D49" w:rsidRDefault="00656021" w:rsidP="00E92D49">
            <w:pPr>
              <w:rPr>
                <w:szCs w:val="22"/>
              </w:rPr>
            </w:pPr>
            <w:r w:rsidRPr="00E92D49">
              <w:rPr>
                <w:szCs w:val="22"/>
              </w:rPr>
              <w:t xml:space="preserve">The mean absolute change from baseline in sweat </w:t>
            </w:r>
            <w:r w:rsidR="0095429C" w:rsidRPr="00E92D49">
              <w:rPr>
                <w:szCs w:val="22"/>
              </w:rPr>
              <w:t xml:space="preserve">chloride decreased more in the </w:t>
            </w:r>
            <w:proofErr w:type="spellStart"/>
            <w:r w:rsidR="0095429C" w:rsidRPr="00E92D49">
              <w:rPr>
                <w:szCs w:val="22"/>
              </w:rPr>
              <w:t>i</w:t>
            </w:r>
            <w:r w:rsidRPr="00E92D49">
              <w:rPr>
                <w:szCs w:val="22"/>
              </w:rPr>
              <w:t>vacaftor</w:t>
            </w:r>
            <w:proofErr w:type="spellEnd"/>
            <w:r w:rsidRPr="00E92D49">
              <w:rPr>
                <w:szCs w:val="22"/>
              </w:rPr>
              <w:t xml:space="preserve"> than the placebo groups (-26.28 versus -2.31mmol/L, p</w:t>
            </w:r>
            <w:r w:rsidR="00615DE3" w:rsidRPr="00E92D49">
              <w:rPr>
                <w:szCs w:val="22"/>
              </w:rPr>
              <w:t xml:space="preserve"> </w:t>
            </w:r>
            <w:r w:rsidRPr="00E92D49">
              <w:rPr>
                <w:szCs w:val="22"/>
              </w:rPr>
              <w:t xml:space="preserve">&lt; 0.0001). These effects reversed </w:t>
            </w:r>
            <w:r w:rsidR="00476C77" w:rsidRPr="00E92D49">
              <w:rPr>
                <w:szCs w:val="22"/>
              </w:rPr>
              <w:t>when treatment was stopped.</w:t>
            </w:r>
          </w:p>
          <w:p w:rsidR="00656021" w:rsidRPr="00E92D49" w:rsidRDefault="00656021" w:rsidP="00E92D49">
            <w:pPr>
              <w:rPr>
                <w:szCs w:val="22"/>
              </w:rPr>
            </w:pPr>
            <w:r w:rsidRPr="00E92D49">
              <w:rPr>
                <w:szCs w:val="22"/>
              </w:rPr>
              <w:t>There were non-significant trends to g</w:t>
            </w:r>
            <w:r w:rsidR="00615DE3" w:rsidRPr="00E92D49">
              <w:rPr>
                <w:szCs w:val="22"/>
              </w:rPr>
              <w:t xml:space="preserve">reater increases in BMI in the </w:t>
            </w:r>
            <w:proofErr w:type="spellStart"/>
            <w:r w:rsidR="00615DE3" w:rsidRPr="00E92D49">
              <w:rPr>
                <w:szCs w:val="22"/>
              </w:rPr>
              <w:t>i</w:t>
            </w:r>
            <w:r w:rsidR="00476C77" w:rsidRPr="00E92D49">
              <w:rPr>
                <w:szCs w:val="22"/>
              </w:rPr>
              <w:t>vacaftor</w:t>
            </w:r>
            <w:proofErr w:type="spellEnd"/>
            <w:r w:rsidR="00476C77" w:rsidRPr="00E92D49">
              <w:rPr>
                <w:szCs w:val="22"/>
              </w:rPr>
              <w:t xml:space="preserve"> groups.</w:t>
            </w:r>
          </w:p>
          <w:p w:rsidR="00656021" w:rsidRPr="00E92D49" w:rsidRDefault="00656021" w:rsidP="00E92D49">
            <w:pPr>
              <w:rPr>
                <w:szCs w:val="22"/>
              </w:rPr>
            </w:pPr>
            <w:r w:rsidRPr="00E92D49">
              <w:rPr>
                <w:szCs w:val="22"/>
              </w:rPr>
              <w:t>The calculated hazard ratio of 0.928 for time to first p</w:t>
            </w:r>
            <w:r w:rsidR="00615DE3" w:rsidRPr="00E92D49">
              <w:rPr>
                <w:szCs w:val="22"/>
              </w:rPr>
              <w:t xml:space="preserve">ulmonary exacerbation favoured </w:t>
            </w:r>
            <w:proofErr w:type="spellStart"/>
            <w:r w:rsidR="00615DE3" w:rsidRPr="00E92D49">
              <w:rPr>
                <w:szCs w:val="22"/>
              </w:rPr>
              <w:t>i</w:t>
            </w:r>
            <w:r w:rsidRPr="00E92D49">
              <w:rPr>
                <w:szCs w:val="22"/>
              </w:rPr>
              <w:t>vacaftor</w:t>
            </w:r>
            <w:proofErr w:type="spellEnd"/>
            <w:r w:rsidRPr="00E92D49">
              <w:rPr>
                <w:szCs w:val="22"/>
              </w:rPr>
              <w:t xml:space="preserve">, but was not statistically significant. Survival curves by treatment group for time-to-first pulmonary </w:t>
            </w:r>
            <w:r w:rsidRPr="00E92D49">
              <w:rPr>
                <w:szCs w:val="22"/>
              </w:rPr>
              <w:lastRenderedPageBreak/>
              <w:t>exacerbation, pulmonary exacerbation requiring hospitalization, and pul</w:t>
            </w:r>
            <w:r w:rsidR="00476C77" w:rsidRPr="00E92D49">
              <w:rPr>
                <w:szCs w:val="22"/>
              </w:rPr>
              <w:t>monary exacerbation requiring intravenous</w:t>
            </w:r>
            <w:r w:rsidRPr="00E92D49">
              <w:rPr>
                <w:szCs w:val="22"/>
              </w:rPr>
              <w:t xml:space="preserve"> antibiotics showed no </w:t>
            </w:r>
            <w:r w:rsidR="00476C77" w:rsidRPr="00E92D49">
              <w:rPr>
                <w:szCs w:val="22"/>
              </w:rPr>
              <w:t xml:space="preserve">significant difference between </w:t>
            </w:r>
            <w:proofErr w:type="spellStart"/>
            <w:r w:rsidR="00476C77" w:rsidRPr="00E92D49">
              <w:rPr>
                <w:szCs w:val="22"/>
              </w:rPr>
              <w:t>i</w:t>
            </w:r>
            <w:r w:rsidRPr="00E92D49">
              <w:rPr>
                <w:szCs w:val="22"/>
              </w:rPr>
              <w:t>vacaftor</w:t>
            </w:r>
            <w:proofErr w:type="spellEnd"/>
            <w:r w:rsidRPr="00E92D49">
              <w:rPr>
                <w:szCs w:val="22"/>
              </w:rPr>
              <w:t xml:space="preserve"> and plac</w:t>
            </w:r>
            <w:r w:rsidR="00615DE3" w:rsidRPr="00E92D49">
              <w:rPr>
                <w:szCs w:val="22"/>
              </w:rPr>
              <w:t>ebo groups.</w:t>
            </w:r>
          </w:p>
          <w:p w:rsidR="00656021" w:rsidRPr="00E92D49" w:rsidRDefault="00656021" w:rsidP="00E92D49">
            <w:pPr>
              <w:rPr>
                <w:szCs w:val="22"/>
              </w:rPr>
            </w:pPr>
            <w:r w:rsidRPr="00E92D49">
              <w:rPr>
                <w:szCs w:val="22"/>
              </w:rPr>
              <w:t>The mean absolute change from baseline in the pooled CFQ-R respiratory domain wa</w:t>
            </w:r>
            <w:r w:rsidR="00615DE3" w:rsidRPr="00E92D49">
              <w:rPr>
                <w:szCs w:val="22"/>
              </w:rPr>
              <w:t xml:space="preserve">s significantly greater in the </w:t>
            </w:r>
            <w:proofErr w:type="spellStart"/>
            <w:r w:rsidR="00615DE3" w:rsidRPr="00E92D49">
              <w:rPr>
                <w:szCs w:val="22"/>
              </w:rPr>
              <w:t>i</w:t>
            </w:r>
            <w:r w:rsidRPr="00E92D49">
              <w:rPr>
                <w:szCs w:val="22"/>
              </w:rPr>
              <w:t>vacaftor</w:t>
            </w:r>
            <w:proofErr w:type="spellEnd"/>
            <w:r w:rsidR="00855F92" w:rsidRPr="00E92D49">
              <w:rPr>
                <w:szCs w:val="22"/>
              </w:rPr>
              <w:t xml:space="preserve"> </w:t>
            </w:r>
            <w:r w:rsidRPr="00E92D49">
              <w:rPr>
                <w:szCs w:val="22"/>
              </w:rPr>
              <w:t>(7.56 points) than the placebo group (-0.83). When analysed for age, the differences were significant for adults but not children. These differences were reversed when patient</w:t>
            </w:r>
            <w:r w:rsidR="00615DE3" w:rsidRPr="00E92D49">
              <w:rPr>
                <w:szCs w:val="22"/>
              </w:rPr>
              <w:t xml:space="preserve">s no longer received </w:t>
            </w:r>
            <w:proofErr w:type="spellStart"/>
            <w:r w:rsidR="00615DE3" w:rsidRPr="00E92D49">
              <w:rPr>
                <w:szCs w:val="22"/>
              </w:rPr>
              <w:t>ivacaftor</w:t>
            </w:r>
            <w:proofErr w:type="spellEnd"/>
            <w:r w:rsidR="00615DE3" w:rsidRPr="00E92D49">
              <w:rPr>
                <w:szCs w:val="22"/>
              </w:rPr>
              <w:t>.</w:t>
            </w:r>
          </w:p>
          <w:p w:rsidR="00012185" w:rsidRPr="00E92D49" w:rsidRDefault="00855F92" w:rsidP="00E92D49">
            <w:pPr>
              <w:rPr>
                <w:szCs w:val="22"/>
              </w:rPr>
            </w:pPr>
            <w:r w:rsidRPr="00E92D49">
              <w:rPr>
                <w:szCs w:val="22"/>
              </w:rPr>
              <w:t xml:space="preserve">There were </w:t>
            </w:r>
            <w:r w:rsidR="00656021" w:rsidRPr="00E92D49">
              <w:rPr>
                <w:szCs w:val="22"/>
              </w:rPr>
              <w:t>greater small decreases in</w:t>
            </w:r>
            <w:r w:rsidRPr="00E92D49">
              <w:rPr>
                <w:szCs w:val="22"/>
              </w:rPr>
              <w:t xml:space="preserve"> inflammatory mediators in the </w:t>
            </w:r>
            <w:proofErr w:type="spellStart"/>
            <w:r w:rsidRPr="00E92D49">
              <w:rPr>
                <w:szCs w:val="22"/>
              </w:rPr>
              <w:t>i</w:t>
            </w:r>
            <w:r w:rsidR="00656021" w:rsidRPr="00E92D49">
              <w:rPr>
                <w:szCs w:val="22"/>
              </w:rPr>
              <w:t>va</w:t>
            </w:r>
            <w:r w:rsidR="00615DE3" w:rsidRPr="00E92D49">
              <w:rPr>
                <w:szCs w:val="22"/>
              </w:rPr>
              <w:t>caftor</w:t>
            </w:r>
            <w:proofErr w:type="spellEnd"/>
            <w:r w:rsidR="00615DE3" w:rsidRPr="00E92D49">
              <w:rPr>
                <w:szCs w:val="22"/>
              </w:rPr>
              <w:t xml:space="preserve"> than the placebo group.</w:t>
            </w:r>
          </w:p>
        </w:tc>
      </w:tr>
      <w:tr w:rsidR="00656021" w:rsidRPr="00E92D49" w:rsidTr="00012185">
        <w:tc>
          <w:tcPr>
            <w:tcW w:w="1668" w:type="dxa"/>
          </w:tcPr>
          <w:p w:rsidR="00656021" w:rsidRPr="00E92D49" w:rsidRDefault="00615DE3" w:rsidP="00E92D49">
            <w:pPr>
              <w:rPr>
                <w:szCs w:val="22"/>
              </w:rPr>
            </w:pPr>
            <w:r w:rsidRPr="00E92D49">
              <w:rPr>
                <w:szCs w:val="22"/>
              </w:rPr>
              <w:lastRenderedPageBreak/>
              <w:t>Subgroup analysis</w:t>
            </w:r>
          </w:p>
        </w:tc>
        <w:tc>
          <w:tcPr>
            <w:tcW w:w="7052" w:type="dxa"/>
          </w:tcPr>
          <w:p w:rsidR="00656021" w:rsidRPr="00E92D49" w:rsidRDefault="00F77E22" w:rsidP="00E92D49">
            <w:pPr>
              <w:rPr>
                <w:szCs w:val="22"/>
              </w:rPr>
            </w:pPr>
            <w:r w:rsidRPr="00E92D49">
              <w:rPr>
                <w:szCs w:val="22"/>
              </w:rPr>
              <w:t>Age</w:t>
            </w:r>
            <w:r w:rsidR="00656021" w:rsidRPr="00E92D49">
              <w:rPr>
                <w:szCs w:val="22"/>
              </w:rPr>
              <w:t>: The mean absolute change from baseline in percent predicted FEV</w:t>
            </w:r>
            <w:r w:rsidR="00656021" w:rsidRPr="00E92D49">
              <w:rPr>
                <w:szCs w:val="22"/>
                <w:vertAlign w:val="subscript"/>
              </w:rPr>
              <w:t>1</w:t>
            </w:r>
            <w:r w:rsidR="00656021" w:rsidRPr="00E92D49">
              <w:rPr>
                <w:szCs w:val="22"/>
              </w:rPr>
              <w:t xml:space="preserve"> through Week 24 for the 50 subjects ≥</w:t>
            </w:r>
            <w:r w:rsidR="00615DE3" w:rsidRPr="00E92D49">
              <w:rPr>
                <w:szCs w:val="22"/>
              </w:rPr>
              <w:t xml:space="preserve"> </w:t>
            </w:r>
            <w:r w:rsidR="00656021" w:rsidRPr="00E92D49">
              <w:rPr>
                <w:szCs w:val="22"/>
              </w:rPr>
              <w:t xml:space="preserve">18 years of age was statistically and clinically significantly greater for the </w:t>
            </w:r>
            <w:proofErr w:type="spellStart"/>
            <w:r w:rsidR="00656021" w:rsidRPr="00E92D49">
              <w:rPr>
                <w:szCs w:val="22"/>
              </w:rPr>
              <w:t>Ivacaftor</w:t>
            </w:r>
            <w:proofErr w:type="spellEnd"/>
            <w:r w:rsidR="00656021" w:rsidRPr="00E92D49">
              <w:rPr>
                <w:szCs w:val="22"/>
              </w:rPr>
              <w:t xml:space="preserve"> group </w:t>
            </w:r>
            <w:r w:rsidR="00615DE3" w:rsidRPr="00E92D49">
              <w:rPr>
                <w:szCs w:val="22"/>
              </w:rPr>
              <w:t>than the placebo group (4.51% versus</w:t>
            </w:r>
            <w:r w:rsidR="00656021" w:rsidRPr="00E92D49">
              <w:rPr>
                <w:szCs w:val="22"/>
              </w:rPr>
              <w:t xml:space="preserve"> 0.46%; treatment difference</w:t>
            </w:r>
            <w:r w:rsidR="00615DE3" w:rsidRPr="00E92D49">
              <w:rPr>
                <w:szCs w:val="22"/>
              </w:rPr>
              <w:t xml:space="preserve"> = 4.96%</w:t>
            </w:r>
            <w:r w:rsidR="00656021" w:rsidRPr="00E92D49">
              <w:rPr>
                <w:szCs w:val="22"/>
              </w:rPr>
              <w:t xml:space="preserve">; 95% CI: 1.15, 8.78; p = </w:t>
            </w:r>
            <w:r w:rsidR="00615DE3" w:rsidRPr="00E92D49">
              <w:rPr>
                <w:szCs w:val="22"/>
              </w:rPr>
              <w:t xml:space="preserve">0.0119). In children 6 to </w:t>
            </w:r>
            <w:r w:rsidR="00656021" w:rsidRPr="00E92D49">
              <w:rPr>
                <w:szCs w:val="22"/>
              </w:rPr>
              <w:t>11 years, the absolute change from baseline in FEV</w:t>
            </w:r>
            <w:r w:rsidR="00656021" w:rsidRPr="00E92D49">
              <w:rPr>
                <w:szCs w:val="22"/>
                <w:vertAlign w:val="subscript"/>
              </w:rPr>
              <w:t>1</w:t>
            </w:r>
            <w:r w:rsidR="00656021" w:rsidRPr="00E92D49">
              <w:rPr>
                <w:szCs w:val="22"/>
              </w:rPr>
              <w:t xml:space="preserve"> was 2.82% for the placebo group (n</w:t>
            </w:r>
            <w:r w:rsidR="00615DE3" w:rsidRPr="00E92D49">
              <w:rPr>
                <w:szCs w:val="22"/>
              </w:rPr>
              <w:t xml:space="preserve"> </w:t>
            </w:r>
            <w:r w:rsidR="00656021" w:rsidRPr="00E92D49">
              <w:rPr>
                <w:szCs w:val="22"/>
              </w:rPr>
              <w:t>=</w:t>
            </w:r>
            <w:r w:rsidR="00615DE3" w:rsidRPr="00E92D49">
              <w:rPr>
                <w:szCs w:val="22"/>
              </w:rPr>
              <w:t xml:space="preserve"> 8) and -3.51% for the </w:t>
            </w:r>
            <w:proofErr w:type="spellStart"/>
            <w:r w:rsidR="00615DE3" w:rsidRPr="00E92D49">
              <w:rPr>
                <w:szCs w:val="22"/>
              </w:rPr>
              <w:t>i</w:t>
            </w:r>
            <w:r w:rsidR="00656021" w:rsidRPr="00E92D49">
              <w:rPr>
                <w:szCs w:val="22"/>
              </w:rPr>
              <w:t>vacaftor</w:t>
            </w:r>
            <w:proofErr w:type="spellEnd"/>
            <w:r w:rsidR="00656021" w:rsidRPr="00E92D49">
              <w:rPr>
                <w:szCs w:val="22"/>
              </w:rPr>
              <w:t xml:space="preserve"> group (n</w:t>
            </w:r>
            <w:r w:rsidR="00615DE3" w:rsidRPr="00E92D49">
              <w:rPr>
                <w:szCs w:val="22"/>
              </w:rPr>
              <w:t xml:space="preserve"> </w:t>
            </w:r>
            <w:r w:rsidR="00656021" w:rsidRPr="00E92D49">
              <w:rPr>
                <w:szCs w:val="22"/>
              </w:rPr>
              <w:t>=</w:t>
            </w:r>
            <w:r w:rsidR="00615DE3" w:rsidRPr="00E92D49">
              <w:rPr>
                <w:szCs w:val="22"/>
              </w:rPr>
              <w:t xml:space="preserve"> </w:t>
            </w:r>
            <w:r w:rsidR="00656021" w:rsidRPr="00E92D49">
              <w:rPr>
                <w:szCs w:val="22"/>
              </w:rPr>
              <w:t xml:space="preserve">9) </w:t>
            </w:r>
            <w:r w:rsidR="00615DE3" w:rsidRPr="00E92D49">
              <w:rPr>
                <w:szCs w:val="22"/>
              </w:rPr>
              <w:t>that is worse in the treatment group.</w:t>
            </w:r>
          </w:p>
          <w:p w:rsidR="00656021" w:rsidRPr="00E92D49" w:rsidRDefault="00656021" w:rsidP="00E92D49">
            <w:pPr>
              <w:rPr>
                <w:rFonts w:cstheme="minorBidi"/>
                <w:color w:val="auto"/>
                <w:szCs w:val="22"/>
              </w:rPr>
            </w:pPr>
            <w:r w:rsidRPr="00E92D49">
              <w:rPr>
                <w:noProof/>
                <w:szCs w:val="22"/>
              </w:rPr>
              <w:drawing>
                <wp:inline distT="0" distB="0" distL="0" distR="0" wp14:anchorId="43E1E529" wp14:editId="4C211F79">
                  <wp:extent cx="4078336" cy="1682750"/>
                  <wp:effectExtent l="0" t="0" r="0" b="0"/>
                  <wp:docPr id="15" name="Picture 15" descr="Age: The mean absolute change from baseline in percent predicted FEV1 through Week 24 for the 50 subjects ≥ 18 years of age was statistically and clinically significantly greater for the Ivacaftor group than the placebo group (4.51% versus 0.46%; treatment difference = 4.96%; 95% CI: 1.15, 8.78; p = 0.0119). In children 6 to 11 years, the absolute change from baseline in FEV1 was 2.82% for the placebo group (n = 8) and -3.51% for the ivacaftor group (n = 9) that is worse in the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80450" cy="1683622"/>
                          </a:xfrm>
                          <a:prstGeom prst="rect">
                            <a:avLst/>
                          </a:prstGeom>
                        </pic:spPr>
                      </pic:pic>
                    </a:graphicData>
                  </a:graphic>
                </wp:inline>
              </w:drawing>
            </w:r>
          </w:p>
          <w:p w:rsidR="00656021" w:rsidRDefault="00656021" w:rsidP="00E92D49">
            <w:pPr>
              <w:rPr>
                <w:szCs w:val="22"/>
              </w:rPr>
            </w:pPr>
            <w:r w:rsidRPr="00E92D49">
              <w:rPr>
                <w:szCs w:val="22"/>
              </w:rPr>
              <w:t>MMRM analysis with treatment, age, week, baseline value, treatment by week, and subject as a random effect.</w:t>
            </w:r>
          </w:p>
          <w:p w:rsidR="00E92D49" w:rsidRPr="00E92D49" w:rsidRDefault="00E92D49" w:rsidP="00E92D49">
            <w:pPr>
              <w:rPr>
                <w:rFonts w:eastAsiaTheme="minorHAnsi" w:cs="Cambria"/>
                <w:color w:val="000000"/>
                <w:szCs w:val="22"/>
              </w:rPr>
            </w:pPr>
            <w:r w:rsidRPr="00E92D49">
              <w:rPr>
                <w:rFonts w:eastAsiaTheme="minorHAnsi" w:cs="Cambria"/>
                <w:color w:val="000000"/>
                <w:szCs w:val="22"/>
              </w:rPr>
              <w:t xml:space="preserve">Pseudomonas: Subjects without </w:t>
            </w:r>
            <w:proofErr w:type="spellStart"/>
            <w:r w:rsidRPr="00E92D49">
              <w:rPr>
                <w:rFonts w:eastAsiaTheme="minorHAnsi" w:cs="Cambria"/>
                <w:i/>
                <w:iCs/>
                <w:color w:val="000000"/>
                <w:szCs w:val="22"/>
              </w:rPr>
              <w:t>p.aeruginosa</w:t>
            </w:r>
            <w:proofErr w:type="spellEnd"/>
            <w:r w:rsidRPr="00E92D49">
              <w:rPr>
                <w:rFonts w:eastAsiaTheme="minorHAnsi" w:cs="Cambria"/>
                <w:i/>
                <w:iCs/>
                <w:color w:val="000000"/>
                <w:szCs w:val="22"/>
              </w:rPr>
              <w:t xml:space="preserve"> </w:t>
            </w:r>
            <w:r w:rsidRPr="00E92D49">
              <w:rPr>
                <w:rFonts w:eastAsiaTheme="minorHAnsi" w:cs="Cambria"/>
                <w:color w:val="000000"/>
                <w:szCs w:val="22"/>
              </w:rPr>
              <w:t>at baseline had a slightly larger treatment difference (infected 4.32% versus not infected 5.73%).</w:t>
            </w:r>
          </w:p>
          <w:p w:rsidR="00E92D49" w:rsidRPr="00E92D49" w:rsidRDefault="00E92D49" w:rsidP="00E92D49">
            <w:pPr>
              <w:rPr>
                <w:szCs w:val="22"/>
              </w:rPr>
            </w:pPr>
            <w:r w:rsidRPr="00E92D49">
              <w:rPr>
                <w:rFonts w:eastAsiaTheme="minorHAnsi" w:cs="Cambria"/>
                <w:color w:val="000000"/>
                <w:szCs w:val="22"/>
              </w:rPr>
              <w:t>Lung function: The greatest gains in FEV</w:t>
            </w:r>
            <w:r w:rsidRPr="00E92D49">
              <w:rPr>
                <w:rFonts w:eastAsiaTheme="minorHAnsi" w:cs="Cambria"/>
                <w:color w:val="000000"/>
                <w:szCs w:val="22"/>
                <w:vertAlign w:val="subscript"/>
              </w:rPr>
              <w:t>1</w:t>
            </w:r>
            <w:r w:rsidRPr="00E92D49">
              <w:rPr>
                <w:rFonts w:eastAsiaTheme="minorHAnsi" w:cs="Cambria"/>
                <w:color w:val="000000"/>
                <w:szCs w:val="22"/>
              </w:rPr>
              <w:t xml:space="preserve"> were seen in those with FEV</w:t>
            </w:r>
            <w:r w:rsidRPr="00E92D49">
              <w:rPr>
                <w:rFonts w:eastAsiaTheme="minorHAnsi" w:cs="Cambria"/>
                <w:color w:val="000000"/>
                <w:szCs w:val="22"/>
                <w:vertAlign w:val="subscript"/>
              </w:rPr>
              <w:t>1</w:t>
            </w:r>
            <w:r w:rsidRPr="00E92D49">
              <w:rPr>
                <w:rFonts w:eastAsiaTheme="minorHAnsi" w:cs="Cambria"/>
                <w:color w:val="000000"/>
                <w:szCs w:val="22"/>
              </w:rPr>
              <w:t xml:space="preserve"> &lt; 70% predicted.</w:t>
            </w:r>
          </w:p>
          <w:p w:rsidR="00656021" w:rsidRPr="00E92D49" w:rsidRDefault="00656021" w:rsidP="00E92D49">
            <w:pPr>
              <w:rPr>
                <w:rFonts w:cstheme="minorBidi"/>
                <w:color w:val="auto"/>
                <w:szCs w:val="22"/>
              </w:rPr>
            </w:pPr>
            <w:r w:rsidRPr="00E92D49">
              <w:rPr>
                <w:noProof/>
                <w:szCs w:val="22"/>
              </w:rPr>
              <w:drawing>
                <wp:inline distT="0" distB="0" distL="0" distR="0" wp14:anchorId="2DC14D09" wp14:editId="6BB51135">
                  <wp:extent cx="4046794" cy="1738909"/>
                  <wp:effectExtent l="0" t="0" r="0" b="0"/>
                  <wp:docPr id="16" name="Picture 16" descr="Pseudomonas: Subjects without p.aeruginosa at baseline had a slightly larger treatment difference (infected 4.32% versus not infected 5.73%).&#10;Lung function: The greatest gains in FEV1 were seen in those with FEV1 &lt; 70% predi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51968" cy="1741132"/>
                          </a:xfrm>
                          <a:prstGeom prst="rect">
                            <a:avLst/>
                          </a:prstGeom>
                        </pic:spPr>
                      </pic:pic>
                    </a:graphicData>
                  </a:graphic>
                </wp:inline>
              </w:drawing>
            </w:r>
          </w:p>
          <w:p w:rsidR="00E92D49" w:rsidRPr="00E92D49" w:rsidRDefault="00E92D49" w:rsidP="00E92D49">
            <w:pPr>
              <w:rPr>
                <w:rFonts w:eastAsiaTheme="minorHAnsi" w:cs="Cambria"/>
                <w:color w:val="000000"/>
                <w:szCs w:val="22"/>
              </w:rPr>
            </w:pPr>
            <w:r w:rsidRPr="00E92D49">
              <w:rPr>
                <w:rFonts w:eastAsiaTheme="minorHAnsi" w:cs="Cambria"/>
                <w:color w:val="000000"/>
                <w:szCs w:val="22"/>
              </w:rPr>
              <w:lastRenderedPageBreak/>
              <w:t>Site: Larger treatment differences in clinical outcomes were observed in Europe versus North America (possibly as there were more children in the American cohort).</w:t>
            </w:r>
          </w:p>
          <w:p w:rsidR="00E92D49" w:rsidRDefault="00E92D49" w:rsidP="00E92D49">
            <w:pPr>
              <w:rPr>
                <w:rFonts w:cstheme="minorBidi"/>
                <w:color w:val="auto"/>
                <w:szCs w:val="22"/>
              </w:rPr>
            </w:pPr>
            <w:r w:rsidRPr="00E92D49">
              <w:rPr>
                <w:rFonts w:eastAsiaTheme="minorHAnsi" w:cs="Cambria"/>
                <w:color w:val="000000"/>
                <w:szCs w:val="22"/>
              </w:rPr>
              <w:t>Genetics: The changes in sweat chloride were the same for the R117H-5T and -7T variants, however changes in FEV</w:t>
            </w:r>
            <w:r w:rsidRPr="00E92D49">
              <w:rPr>
                <w:rFonts w:eastAsiaTheme="minorHAnsi" w:cs="Cambria"/>
                <w:color w:val="000000"/>
                <w:szCs w:val="22"/>
                <w:vertAlign w:val="subscript"/>
              </w:rPr>
              <w:t>1</w:t>
            </w:r>
            <w:r w:rsidRPr="00E92D49">
              <w:rPr>
                <w:rFonts w:eastAsiaTheme="minorHAnsi" w:cs="Cambria"/>
                <w:color w:val="000000"/>
                <w:szCs w:val="22"/>
              </w:rPr>
              <w:t xml:space="preserve"> and CFQ-R were greater in those with the -5T variant.</w:t>
            </w:r>
          </w:p>
          <w:p w:rsidR="00656021" w:rsidRPr="00E92D49" w:rsidRDefault="00656021" w:rsidP="00E92D49">
            <w:pPr>
              <w:rPr>
                <w:rFonts w:cstheme="minorBidi"/>
                <w:color w:val="auto"/>
                <w:szCs w:val="22"/>
              </w:rPr>
            </w:pPr>
            <w:r w:rsidRPr="00E92D49">
              <w:rPr>
                <w:noProof/>
                <w:szCs w:val="22"/>
              </w:rPr>
              <w:drawing>
                <wp:inline distT="0" distB="0" distL="0" distR="0" wp14:anchorId="063F5F3A" wp14:editId="4834F9FA">
                  <wp:extent cx="3949700" cy="1235969"/>
                  <wp:effectExtent l="0" t="0" r="0" b="2540"/>
                  <wp:docPr id="17" name="Picture 17" descr="Site: Larger treatment differences in clinical outcomes were observed in Europe versus North America (possibly as there were more children in the American cohort).&#10;Genetics: The changes in sweat chloride were the same for the R117H-5T and -7T variants, however changes in FEV1 and CFQ-R were greater in those with the -5T vari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49700" cy="1235969"/>
                          </a:xfrm>
                          <a:prstGeom prst="rect">
                            <a:avLst/>
                          </a:prstGeom>
                        </pic:spPr>
                      </pic:pic>
                    </a:graphicData>
                  </a:graphic>
                </wp:inline>
              </w:drawing>
            </w:r>
          </w:p>
        </w:tc>
      </w:tr>
    </w:tbl>
    <w:p w:rsidR="00004022" w:rsidRDefault="002E6D10" w:rsidP="002E6D10">
      <w:pPr>
        <w:pStyle w:val="Tabletitle0"/>
      </w:pPr>
      <w:r>
        <w:lastRenderedPageBreak/>
        <w:t>Table 11: Study 112</w:t>
      </w:r>
    </w:p>
    <w:tbl>
      <w:tblPr>
        <w:tblStyle w:val="TableTGAblue"/>
        <w:tblW w:w="0" w:type="auto"/>
        <w:tblLayout w:type="fixed"/>
        <w:tblLook w:val="04A0" w:firstRow="1" w:lastRow="0" w:firstColumn="1" w:lastColumn="0" w:noHBand="0" w:noVBand="1"/>
      </w:tblPr>
      <w:tblGrid>
        <w:gridCol w:w="1526"/>
        <w:gridCol w:w="7194"/>
      </w:tblGrid>
      <w:tr w:rsidR="001455B0" w:rsidRPr="00E92D49" w:rsidTr="00CF38FF">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1455B0" w:rsidRPr="00E92D49" w:rsidRDefault="00F77E22" w:rsidP="00E92D49">
            <w:pPr>
              <w:rPr>
                <w:szCs w:val="22"/>
              </w:rPr>
            </w:pPr>
            <w:r w:rsidRPr="00E92D49">
              <w:rPr>
                <w:szCs w:val="22"/>
              </w:rPr>
              <w:t xml:space="preserve">Summary of </w:t>
            </w:r>
            <w:r w:rsidR="001455B0" w:rsidRPr="00E92D49">
              <w:rPr>
                <w:szCs w:val="22"/>
              </w:rPr>
              <w:t>Study 112</w:t>
            </w:r>
          </w:p>
        </w:tc>
      </w:tr>
      <w:tr w:rsidR="001455B0" w:rsidRPr="00E92D49" w:rsidTr="00CF38FF">
        <w:tc>
          <w:tcPr>
            <w:tcW w:w="1526" w:type="dxa"/>
          </w:tcPr>
          <w:p w:rsidR="001455B0" w:rsidRPr="00E92D49" w:rsidRDefault="00E92D49" w:rsidP="00E92D49">
            <w:pPr>
              <w:rPr>
                <w:szCs w:val="22"/>
              </w:rPr>
            </w:pPr>
            <w:r w:rsidRPr="00E92D49">
              <w:rPr>
                <w:rFonts w:eastAsiaTheme="minorHAnsi" w:cs="Cambria"/>
                <w:color w:val="000000"/>
                <w:szCs w:val="22"/>
              </w:rPr>
              <w:t>Design</w:t>
            </w:r>
          </w:p>
        </w:tc>
        <w:tc>
          <w:tcPr>
            <w:tcW w:w="7194" w:type="dxa"/>
          </w:tcPr>
          <w:p w:rsidR="001455B0" w:rsidRPr="00E92D49" w:rsidRDefault="001455B0" w:rsidP="00E92D49">
            <w:pPr>
              <w:rPr>
                <w:szCs w:val="22"/>
              </w:rPr>
            </w:pPr>
            <w:r w:rsidRPr="00E92D49">
              <w:rPr>
                <w:szCs w:val="22"/>
              </w:rPr>
              <w:t>Phase III, ongoing, multicentre, roll over study. Results from 13/2/2013 until 25/4/2014 are reported below</w:t>
            </w:r>
          </w:p>
        </w:tc>
      </w:tr>
      <w:tr w:rsidR="001455B0" w:rsidRPr="00E92D49" w:rsidTr="00CF38FF">
        <w:tc>
          <w:tcPr>
            <w:tcW w:w="1526" w:type="dxa"/>
          </w:tcPr>
          <w:p w:rsidR="001455B0" w:rsidRPr="00E92D49" w:rsidRDefault="001455B0" w:rsidP="00E92D49">
            <w:pPr>
              <w:rPr>
                <w:szCs w:val="22"/>
              </w:rPr>
            </w:pPr>
            <w:r w:rsidRPr="00E92D49">
              <w:rPr>
                <w:szCs w:val="22"/>
              </w:rPr>
              <w:t>Inclusion criteria</w:t>
            </w:r>
            <w:r w:rsidR="00CF38FF" w:rsidRPr="00E92D49">
              <w:rPr>
                <w:szCs w:val="22"/>
              </w:rPr>
              <w:t>:</w:t>
            </w:r>
          </w:p>
        </w:tc>
        <w:tc>
          <w:tcPr>
            <w:tcW w:w="7194" w:type="dxa"/>
          </w:tcPr>
          <w:p w:rsidR="001455B0" w:rsidRPr="00E92D49" w:rsidRDefault="001455B0" w:rsidP="00E92D49">
            <w:pPr>
              <w:rPr>
                <w:szCs w:val="22"/>
              </w:rPr>
            </w:pPr>
            <w:r w:rsidRPr="00E92D49">
              <w:rPr>
                <w:szCs w:val="22"/>
              </w:rPr>
              <w:t>Subjects from VX11-77</w:t>
            </w:r>
            <w:r w:rsidR="00CF38FF" w:rsidRPr="00E92D49">
              <w:rPr>
                <w:szCs w:val="22"/>
              </w:rPr>
              <w:t>0-11</w:t>
            </w:r>
            <w:r w:rsidR="005250D8" w:rsidRPr="00E92D49">
              <w:rPr>
                <w:szCs w:val="22"/>
              </w:rPr>
              <w:t>0</w:t>
            </w:r>
            <w:r w:rsidR="00CF38FF" w:rsidRPr="00E92D49">
              <w:rPr>
                <w:szCs w:val="22"/>
              </w:rPr>
              <w:t xml:space="preserve"> with R117H-CFTR mutation</w:t>
            </w:r>
          </w:p>
          <w:p w:rsidR="001455B0" w:rsidRPr="00E92D49" w:rsidRDefault="001455B0" w:rsidP="00E92D49">
            <w:pPr>
              <w:rPr>
                <w:szCs w:val="22"/>
              </w:rPr>
            </w:pPr>
            <w:r w:rsidRPr="00E92D49">
              <w:rPr>
                <w:szCs w:val="22"/>
              </w:rPr>
              <w:t>VX12-770-11</w:t>
            </w:r>
            <w:r w:rsidR="005250D8" w:rsidRPr="00E92D49">
              <w:rPr>
                <w:szCs w:val="22"/>
              </w:rPr>
              <w:t>1</w:t>
            </w:r>
            <w:r w:rsidR="00CF38FF" w:rsidRPr="00E92D49">
              <w:rPr>
                <w:szCs w:val="22"/>
              </w:rPr>
              <w:t xml:space="preserve"> with non-G551D-CFTR mutation</w:t>
            </w:r>
          </w:p>
          <w:p w:rsidR="001455B0" w:rsidRPr="00E92D49" w:rsidRDefault="005250D8" w:rsidP="00E92D49">
            <w:pPr>
              <w:rPr>
                <w:szCs w:val="22"/>
              </w:rPr>
            </w:pPr>
            <w:r w:rsidRPr="00E92D49">
              <w:rPr>
                <w:szCs w:val="22"/>
              </w:rPr>
              <w:t>VX12-770-113</w:t>
            </w:r>
            <w:r w:rsidR="001455B0" w:rsidRPr="00E92D49">
              <w:rPr>
                <w:szCs w:val="22"/>
              </w:rPr>
              <w:t xml:space="preserve"> with phenotypic or molecular evidence of residual CFTR function</w:t>
            </w:r>
          </w:p>
        </w:tc>
      </w:tr>
      <w:tr w:rsidR="001455B0" w:rsidRPr="00E92D49" w:rsidTr="00CF38FF">
        <w:tc>
          <w:tcPr>
            <w:tcW w:w="1526" w:type="dxa"/>
          </w:tcPr>
          <w:p w:rsidR="001455B0" w:rsidRPr="00E92D49" w:rsidRDefault="00CF38FF" w:rsidP="00E92D49">
            <w:pPr>
              <w:rPr>
                <w:szCs w:val="22"/>
              </w:rPr>
            </w:pPr>
            <w:r w:rsidRPr="00E92D49">
              <w:rPr>
                <w:szCs w:val="22"/>
              </w:rPr>
              <w:t>Objectives</w:t>
            </w:r>
          </w:p>
        </w:tc>
        <w:tc>
          <w:tcPr>
            <w:tcW w:w="7194" w:type="dxa"/>
          </w:tcPr>
          <w:p w:rsidR="001455B0" w:rsidRPr="00E92D49" w:rsidRDefault="001455B0" w:rsidP="00E92D49">
            <w:pPr>
              <w:rPr>
                <w:szCs w:val="22"/>
              </w:rPr>
            </w:pPr>
            <w:r w:rsidRPr="00E92D49">
              <w:rPr>
                <w:szCs w:val="22"/>
              </w:rPr>
              <w:t xml:space="preserve">Safety and long term efficacy </w:t>
            </w:r>
          </w:p>
        </w:tc>
      </w:tr>
      <w:tr w:rsidR="001455B0" w:rsidRPr="00E92D49" w:rsidTr="00CF38FF">
        <w:tc>
          <w:tcPr>
            <w:tcW w:w="1526" w:type="dxa"/>
          </w:tcPr>
          <w:p w:rsidR="001455B0" w:rsidRPr="00E92D49" w:rsidRDefault="001455B0" w:rsidP="00E92D49">
            <w:pPr>
              <w:rPr>
                <w:szCs w:val="22"/>
              </w:rPr>
            </w:pPr>
            <w:r w:rsidRPr="00E92D49">
              <w:rPr>
                <w:szCs w:val="22"/>
              </w:rPr>
              <w:t xml:space="preserve">Groups </w:t>
            </w:r>
          </w:p>
        </w:tc>
        <w:tc>
          <w:tcPr>
            <w:tcW w:w="7194" w:type="dxa"/>
          </w:tcPr>
          <w:p w:rsidR="001455B0" w:rsidRPr="00E92D49" w:rsidRDefault="001455B0" w:rsidP="00E92D49">
            <w:pPr>
              <w:rPr>
                <w:szCs w:val="22"/>
              </w:rPr>
            </w:pPr>
            <w:proofErr w:type="spellStart"/>
            <w:r w:rsidRPr="00E92D49">
              <w:rPr>
                <w:bCs/>
                <w:szCs w:val="22"/>
              </w:rPr>
              <w:t>Ivacaftor</w:t>
            </w:r>
            <w:proofErr w:type="spellEnd"/>
            <w:r w:rsidRPr="00E92D49">
              <w:rPr>
                <w:bCs/>
                <w:szCs w:val="22"/>
              </w:rPr>
              <w:t xml:space="preserve"> arm: </w:t>
            </w:r>
            <w:r w:rsidRPr="00E92D49">
              <w:rPr>
                <w:szCs w:val="22"/>
              </w:rPr>
              <w:t xml:space="preserve">Subjects </w:t>
            </w:r>
            <w:r w:rsidR="00CF38FF" w:rsidRPr="00E92D49">
              <w:rPr>
                <w:szCs w:val="22"/>
              </w:rPr>
              <w:t xml:space="preserve">receive </w:t>
            </w:r>
            <w:proofErr w:type="spellStart"/>
            <w:r w:rsidR="00CF38FF" w:rsidRPr="00E92D49">
              <w:rPr>
                <w:szCs w:val="22"/>
              </w:rPr>
              <w:t>i</w:t>
            </w:r>
            <w:r w:rsidR="005250D8" w:rsidRPr="00E92D49">
              <w:rPr>
                <w:szCs w:val="22"/>
              </w:rPr>
              <w:t>vacaftor</w:t>
            </w:r>
            <w:proofErr w:type="spellEnd"/>
            <w:r w:rsidR="005250D8" w:rsidRPr="00E92D49">
              <w:rPr>
                <w:szCs w:val="22"/>
              </w:rPr>
              <w:t xml:space="preserve"> 15</w:t>
            </w:r>
            <w:r w:rsidR="006C3669" w:rsidRPr="00E92D49">
              <w:rPr>
                <w:szCs w:val="22"/>
              </w:rPr>
              <w:t>0 mg</w:t>
            </w:r>
            <w:r w:rsidR="005250D8" w:rsidRPr="00E92D49">
              <w:rPr>
                <w:szCs w:val="22"/>
              </w:rPr>
              <w:t xml:space="preserve"> BD</w:t>
            </w:r>
            <w:r w:rsidRPr="00E92D49">
              <w:rPr>
                <w:szCs w:val="22"/>
              </w:rPr>
              <w:t>, included subjects previously treated and those in the placebo arm from 110 or 111, who completed all study related treatments and met at least 1 re</w:t>
            </w:r>
            <w:r w:rsidR="00CF38FF" w:rsidRPr="00E92D49">
              <w:rPr>
                <w:szCs w:val="22"/>
              </w:rPr>
              <w:t>sponder criteria from study 113.</w:t>
            </w:r>
          </w:p>
          <w:p w:rsidR="001455B0" w:rsidRPr="00E92D49" w:rsidRDefault="001455B0" w:rsidP="00E92D49">
            <w:pPr>
              <w:rPr>
                <w:szCs w:val="22"/>
              </w:rPr>
            </w:pPr>
            <w:r w:rsidRPr="00E92D49">
              <w:rPr>
                <w:bCs/>
                <w:szCs w:val="22"/>
              </w:rPr>
              <w:t xml:space="preserve">Observational arm: </w:t>
            </w:r>
            <w:r w:rsidRPr="00E92D49">
              <w:rPr>
                <w:szCs w:val="22"/>
              </w:rPr>
              <w:t>Thi</w:t>
            </w:r>
            <w:r w:rsidR="00CC3CB9" w:rsidRPr="00E92D49">
              <w:rPr>
                <w:szCs w:val="22"/>
              </w:rPr>
              <w:t>s group included patients from Studies</w:t>
            </w:r>
            <w:r w:rsidRPr="00E92D49">
              <w:rPr>
                <w:szCs w:val="22"/>
              </w:rPr>
              <w:t xml:space="preserve"> 110 and 111 who either prematurely discontinued after receiving at least 4 weeks of treatment; completed the previous study and enrolled in the observational arm; completed the previous study but did not re</w:t>
            </w:r>
            <w:r w:rsidR="00CF38FF" w:rsidRPr="00E92D49">
              <w:rPr>
                <w:szCs w:val="22"/>
              </w:rPr>
              <w:t xml:space="preserve">ach inclusion criteria for the </w:t>
            </w:r>
            <w:proofErr w:type="spellStart"/>
            <w:r w:rsidR="00CF38FF" w:rsidRPr="00E92D49">
              <w:rPr>
                <w:szCs w:val="22"/>
              </w:rPr>
              <w:t>i</w:t>
            </w:r>
            <w:r w:rsidRPr="00E92D49">
              <w:rPr>
                <w:szCs w:val="22"/>
              </w:rPr>
              <w:t>vacaftor</w:t>
            </w:r>
            <w:proofErr w:type="spellEnd"/>
            <w:r w:rsidRPr="00E92D49">
              <w:rPr>
                <w:szCs w:val="22"/>
              </w:rPr>
              <w:t xml:space="preserve"> arm. </w:t>
            </w:r>
          </w:p>
        </w:tc>
      </w:tr>
      <w:tr w:rsidR="001455B0" w:rsidRPr="00E92D49" w:rsidTr="00CF38FF">
        <w:tc>
          <w:tcPr>
            <w:tcW w:w="1526" w:type="dxa"/>
          </w:tcPr>
          <w:p w:rsidR="001455B0" w:rsidRPr="00E92D49" w:rsidRDefault="001455B0" w:rsidP="00E92D49">
            <w:pPr>
              <w:rPr>
                <w:szCs w:val="22"/>
              </w:rPr>
            </w:pPr>
            <w:r w:rsidRPr="00E92D49">
              <w:rPr>
                <w:szCs w:val="22"/>
              </w:rPr>
              <w:t xml:space="preserve">Results </w:t>
            </w:r>
          </w:p>
        </w:tc>
        <w:tc>
          <w:tcPr>
            <w:tcW w:w="7194" w:type="dxa"/>
          </w:tcPr>
          <w:p w:rsidR="001455B0" w:rsidRPr="00E92D49" w:rsidRDefault="001455B0" w:rsidP="00E92D49">
            <w:pPr>
              <w:rPr>
                <w:szCs w:val="22"/>
              </w:rPr>
            </w:pPr>
            <w:r w:rsidRPr="00E92D49">
              <w:rPr>
                <w:szCs w:val="22"/>
              </w:rPr>
              <w:t>** These should be interpreted with caution due to the small numbers and short (12 week) period of follow up.</w:t>
            </w:r>
          </w:p>
          <w:p w:rsidR="001455B0" w:rsidRPr="00E92D49" w:rsidRDefault="001455B0" w:rsidP="00E92D49">
            <w:pPr>
              <w:rPr>
                <w:szCs w:val="22"/>
              </w:rPr>
            </w:pPr>
            <w:r w:rsidRPr="00E92D49">
              <w:rPr>
                <w:szCs w:val="22"/>
              </w:rPr>
              <w:t>Of the 69 subject</w:t>
            </w:r>
            <w:r w:rsidR="00CC3CB9" w:rsidRPr="00E92D49">
              <w:rPr>
                <w:szCs w:val="22"/>
              </w:rPr>
              <w:t>s in S</w:t>
            </w:r>
            <w:r w:rsidR="005250D8" w:rsidRPr="00E92D49">
              <w:rPr>
                <w:szCs w:val="22"/>
              </w:rPr>
              <w:t xml:space="preserve">tudy 110, 65 entered the </w:t>
            </w:r>
            <w:proofErr w:type="spellStart"/>
            <w:r w:rsidR="005250D8" w:rsidRPr="00E92D49">
              <w:rPr>
                <w:szCs w:val="22"/>
              </w:rPr>
              <w:t>i</w:t>
            </w:r>
            <w:r w:rsidRPr="00E92D49">
              <w:rPr>
                <w:szCs w:val="22"/>
              </w:rPr>
              <w:t>vacaftor</w:t>
            </w:r>
            <w:proofErr w:type="spellEnd"/>
            <w:r w:rsidRPr="00E92D49">
              <w:rPr>
                <w:szCs w:val="22"/>
              </w:rPr>
              <w:t xml:space="preserve"> group, 2 the observational group, and 2 did not enrol.</w:t>
            </w:r>
          </w:p>
          <w:p w:rsidR="001455B0" w:rsidRPr="00E92D49" w:rsidRDefault="001455B0" w:rsidP="00E92D49">
            <w:pPr>
              <w:rPr>
                <w:szCs w:val="22"/>
              </w:rPr>
            </w:pPr>
            <w:r w:rsidRPr="00E92D49">
              <w:rPr>
                <w:szCs w:val="22"/>
              </w:rPr>
              <w:t>Absolute change from Baseline to Week 2 and Week 12 in percent predicted FEV</w:t>
            </w:r>
            <w:r w:rsidRPr="00E92D49">
              <w:rPr>
                <w:szCs w:val="22"/>
                <w:vertAlign w:val="subscript"/>
              </w:rPr>
              <w:t>1</w:t>
            </w:r>
            <w:r w:rsidRPr="00E92D49">
              <w:rPr>
                <w:szCs w:val="22"/>
              </w:rPr>
              <w:t>, full analysis set</w:t>
            </w:r>
          </w:p>
          <w:p w:rsidR="001455B0" w:rsidRPr="00E92D49" w:rsidRDefault="001455B0" w:rsidP="00E92D49">
            <w:pPr>
              <w:rPr>
                <w:szCs w:val="22"/>
              </w:rPr>
            </w:pPr>
            <w:r w:rsidRPr="00E92D49">
              <w:rPr>
                <w:noProof/>
                <w:szCs w:val="22"/>
              </w:rPr>
              <w:lastRenderedPageBreak/>
              <w:drawing>
                <wp:inline distT="0" distB="0" distL="0" distR="0" wp14:anchorId="75C5693A" wp14:editId="3162C45E">
                  <wp:extent cx="4313694" cy="1060450"/>
                  <wp:effectExtent l="0" t="0" r="0" b="6350"/>
                  <wp:docPr id="18" name="Picture 18"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23450" cy="1062848"/>
                          </a:xfrm>
                          <a:prstGeom prst="rect">
                            <a:avLst/>
                          </a:prstGeom>
                        </pic:spPr>
                      </pic:pic>
                    </a:graphicData>
                  </a:graphic>
                </wp:inline>
              </w:drawing>
            </w:r>
          </w:p>
          <w:p w:rsidR="001455B0" w:rsidRPr="00E92D49" w:rsidRDefault="00700FFC" w:rsidP="00E92D49">
            <w:pPr>
              <w:rPr>
                <w:szCs w:val="22"/>
              </w:rPr>
            </w:pPr>
            <w:r w:rsidRPr="00E92D49">
              <w:rPr>
                <w:szCs w:val="22"/>
              </w:rPr>
              <w:t>Absolute change from Baseline to Week 2 and Week 12 in percent predicted FEV</w:t>
            </w:r>
            <w:r w:rsidRPr="00E92D49">
              <w:rPr>
                <w:szCs w:val="22"/>
                <w:vertAlign w:val="subscript"/>
              </w:rPr>
              <w:t>1</w:t>
            </w:r>
            <w:r w:rsidRPr="00E92D49">
              <w:rPr>
                <w:szCs w:val="22"/>
              </w:rPr>
              <w:t xml:space="preserve">; full analysis </w:t>
            </w:r>
            <w:r w:rsidR="005250D8" w:rsidRPr="00E92D49">
              <w:rPr>
                <w:szCs w:val="22"/>
              </w:rPr>
              <w:t>s</w:t>
            </w:r>
            <w:r w:rsidRPr="00E92D49">
              <w:rPr>
                <w:szCs w:val="22"/>
              </w:rPr>
              <w:t>et, subjects 6 to 11 years.</w:t>
            </w:r>
          </w:p>
          <w:p w:rsidR="00700FFC" w:rsidRPr="00E92D49" w:rsidRDefault="00096C45" w:rsidP="00E92D49">
            <w:pPr>
              <w:rPr>
                <w:szCs w:val="22"/>
              </w:rPr>
            </w:pPr>
            <w:r w:rsidRPr="00E92D49">
              <w:rPr>
                <w:noProof/>
                <w:szCs w:val="22"/>
              </w:rPr>
              <w:drawing>
                <wp:inline distT="0" distB="0" distL="0" distR="0" wp14:anchorId="35140C03" wp14:editId="5D1D9BF7">
                  <wp:extent cx="4313735" cy="1047094"/>
                  <wp:effectExtent l="0" t="0" r="0" b="1270"/>
                  <wp:docPr id="23" name="Picture 2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26456" cy="1050182"/>
                          </a:xfrm>
                          <a:prstGeom prst="rect">
                            <a:avLst/>
                          </a:prstGeom>
                        </pic:spPr>
                      </pic:pic>
                    </a:graphicData>
                  </a:graphic>
                </wp:inline>
              </w:drawing>
            </w:r>
          </w:p>
        </w:tc>
      </w:tr>
    </w:tbl>
    <w:p w:rsidR="001455B0" w:rsidRDefault="0096103E" w:rsidP="0096103E">
      <w:pPr>
        <w:pStyle w:val="Heading3"/>
      </w:pPr>
      <w:bookmarkStart w:id="113" w:name="_Toc472521801"/>
      <w:r>
        <w:lastRenderedPageBreak/>
        <w:t>Safety</w:t>
      </w:r>
      <w:bookmarkEnd w:id="113"/>
    </w:p>
    <w:p w:rsidR="0096103E" w:rsidRPr="0096103E" w:rsidRDefault="0096103E" w:rsidP="0096103E">
      <w:r w:rsidRPr="0096103E">
        <w:t xml:space="preserve">Additional </w:t>
      </w:r>
      <w:r w:rsidR="00D430C8">
        <w:t>safety data was available from S</w:t>
      </w:r>
      <w:r w:rsidRPr="0096103E">
        <w:t>tudy 110 a</w:t>
      </w:r>
      <w:r>
        <w:t>nd the interim analysis of 112.</w:t>
      </w:r>
    </w:p>
    <w:p w:rsidR="0096103E" w:rsidRPr="0096103E" w:rsidRDefault="0096103E" w:rsidP="0096103E">
      <w:r w:rsidRPr="0096103E">
        <w:t>Overall, ther</w:t>
      </w:r>
      <w:r w:rsidR="00EC2EB9">
        <w:t xml:space="preserve">e were less AE in those taking </w:t>
      </w:r>
      <w:proofErr w:type="spellStart"/>
      <w:r w:rsidR="00EC2EB9">
        <w:t>i</w:t>
      </w:r>
      <w:r w:rsidRPr="0096103E">
        <w:t>vacaftor</w:t>
      </w:r>
      <w:proofErr w:type="spellEnd"/>
      <w:r w:rsidRPr="0096103E">
        <w:t xml:space="preserve"> than those in the placebo arm. The most common reported AE were symptoms or signs seen commonly in patients with CF. There were no problems with LFT’s, ophthalmological examinations or </w:t>
      </w:r>
      <w:r w:rsidR="00D430C8">
        <w:t>electrocardiogram (ECG)</w:t>
      </w:r>
      <w:r w:rsidRPr="0096103E">
        <w:t>.</w:t>
      </w:r>
    </w:p>
    <w:p w:rsidR="0096103E" w:rsidRPr="0096103E" w:rsidRDefault="0096103E" w:rsidP="0096103E">
      <w:r w:rsidRPr="0096103E">
        <w:t>AE for which the inciden</w:t>
      </w:r>
      <w:r w:rsidR="00EC2EB9">
        <w:t xml:space="preserve">ce was at least 5% higher with </w:t>
      </w:r>
      <w:proofErr w:type="spellStart"/>
      <w:r w:rsidR="00EC2EB9">
        <w:t>i</w:t>
      </w:r>
      <w:r w:rsidRPr="0096103E">
        <w:t>vacaftor</w:t>
      </w:r>
      <w:proofErr w:type="spellEnd"/>
      <w:r w:rsidRPr="0096103E">
        <w:t xml:space="preserve"> treatment than with placebo treatment included nasal congestion, oropharyngeal pain, wheezing, and upper airway cough syndrome.</w:t>
      </w:r>
    </w:p>
    <w:p w:rsidR="0096103E" w:rsidRPr="0096103E" w:rsidRDefault="0096103E" w:rsidP="0096103E">
      <w:r w:rsidRPr="0096103E">
        <w:t>The sponsor also submitted a cumulative and interval summary tabulation of serious and non-serious adverse reactions. A total of 1954 subjects (747 970 person-days) w</w:t>
      </w:r>
      <w:r w:rsidR="00EC2EB9">
        <w:t xml:space="preserve">ho received at least 1 dose of </w:t>
      </w:r>
      <w:proofErr w:type="spellStart"/>
      <w:r w:rsidR="00EC2EB9">
        <w:t>i</w:t>
      </w:r>
      <w:r w:rsidRPr="0096103E">
        <w:t>vacaftor</w:t>
      </w:r>
      <w:proofErr w:type="spellEnd"/>
      <w:r w:rsidRPr="0096103E">
        <w:t xml:space="preserve"> during the time period from t</w:t>
      </w:r>
      <w:r w:rsidR="00EC2EB9">
        <w:t xml:space="preserve">he international birth date of </w:t>
      </w:r>
      <w:proofErr w:type="spellStart"/>
      <w:r w:rsidR="00EC2EB9">
        <w:t>i</w:t>
      </w:r>
      <w:r w:rsidRPr="0096103E">
        <w:t>vacaftor</w:t>
      </w:r>
      <w:proofErr w:type="spellEnd"/>
      <w:r w:rsidRPr="0096103E">
        <w:t xml:space="preserve"> (31 January 2012) to 23 January 2014. Post marketing data are consistent with those from clinical studies and the</w:t>
      </w:r>
      <w:r w:rsidR="00EC2EB9">
        <w:t xml:space="preserve"> established safety profile of </w:t>
      </w:r>
      <w:proofErr w:type="spellStart"/>
      <w:r w:rsidR="00EC2EB9">
        <w:t>ivacaftor</w:t>
      </w:r>
      <w:proofErr w:type="spellEnd"/>
      <w:r w:rsidR="00EC2EB9">
        <w:t xml:space="preserve">. </w:t>
      </w:r>
      <w:r w:rsidRPr="0096103E">
        <w:t>No new safety concerns were</w:t>
      </w:r>
      <w:r>
        <w:t xml:space="preserve"> identified.</w:t>
      </w:r>
    </w:p>
    <w:p w:rsidR="0096103E" w:rsidRPr="0096103E" w:rsidRDefault="0096103E" w:rsidP="0096103E">
      <w:pPr>
        <w:pStyle w:val="Heading4"/>
      </w:pPr>
      <w:r w:rsidRPr="0096103E">
        <w:t>Additional details from the EU report</w:t>
      </w:r>
    </w:p>
    <w:p w:rsidR="0096103E" w:rsidRPr="0096103E" w:rsidRDefault="0096103E" w:rsidP="0096103E">
      <w:pPr>
        <w:pStyle w:val="ListBullet"/>
      </w:pPr>
      <w:r w:rsidRPr="0096103E">
        <w:t>There were a number of patients in the placebo group who had large changes in sweat chloride. This may be due to variability in the measurement. (However the accuracy of this outcome could be questioned).</w:t>
      </w:r>
    </w:p>
    <w:p w:rsidR="0096103E" w:rsidRPr="0096103E" w:rsidRDefault="0096103E" w:rsidP="0096103E">
      <w:pPr>
        <w:pStyle w:val="ListBullet"/>
      </w:pPr>
      <w:r w:rsidRPr="0096103E">
        <w:t xml:space="preserve">Genetics of the R117H mutation: The clinical and functional analysis of the R117H mutation shows that it has variable expression or penetrance. This may be due to the presence of </w:t>
      </w:r>
      <w:proofErr w:type="spellStart"/>
      <w:r w:rsidRPr="0096103E">
        <w:t>polypyrimidine</w:t>
      </w:r>
      <w:proofErr w:type="spellEnd"/>
      <w:r w:rsidRPr="0096103E">
        <w:t xml:space="preserve"> (poly tract) variant located in another region of the CFTR gene in cis with R117H. There are three forms, 5T, 7T, or 9T. The 5T variant is the more severe form. The 9T variant is usually phenotypically normal. The 7T variant has variable phenotypes. It was not possible to collect information on the phase of the poly-T variant in all subjects. Subgroup analysis showed a greater treatment difference in FEV</w:t>
      </w:r>
      <w:r w:rsidRPr="009B170E">
        <w:rPr>
          <w:vertAlign w:val="subscript"/>
        </w:rPr>
        <w:t>1</w:t>
      </w:r>
      <w:r w:rsidRPr="0096103E">
        <w:t xml:space="preserve"> in those with the 5T variant (5.3 pp) compared with the 7T variant (0.2</w:t>
      </w:r>
      <w:r w:rsidR="00601936">
        <w:t xml:space="preserve"> </w:t>
      </w:r>
      <w:r w:rsidRPr="0096103E">
        <w:t xml:space="preserve">pp). The EU considered excluding those with the 7T phenotype from the indications, but </w:t>
      </w:r>
      <w:r w:rsidRPr="0096103E">
        <w:lastRenderedPageBreak/>
        <w:t>instead has issued a warning to physicians that there may be less t</w:t>
      </w:r>
      <w:r w:rsidR="00601936">
        <w:t>reatment benefit in this group.</w:t>
      </w:r>
    </w:p>
    <w:p w:rsidR="0096103E" w:rsidRPr="0096103E" w:rsidRDefault="0096103E" w:rsidP="0096103E">
      <w:pPr>
        <w:pStyle w:val="ListBullet"/>
      </w:pPr>
      <w:r w:rsidRPr="0096103E">
        <w:t>The EU noted the trial was underpowered and failed in terms of showing a significant different in primary efficacy outcome. There was a decision to register it in adults as subgroup analysis showed a benefit in this population</w:t>
      </w:r>
      <w:r w:rsidR="00E76985">
        <w:t>.</w:t>
      </w:r>
    </w:p>
    <w:p w:rsidR="008E7846" w:rsidRDefault="00386150" w:rsidP="007B6132">
      <w:pPr>
        <w:pStyle w:val="Heading3"/>
        <w:rPr>
          <w:lang w:eastAsia="en-AU"/>
        </w:rPr>
      </w:pPr>
      <w:bookmarkStart w:id="114" w:name="_Toc472521802"/>
      <w:r>
        <w:rPr>
          <w:lang w:eastAsia="en-AU"/>
        </w:rPr>
        <w:t>Risk m</w:t>
      </w:r>
      <w:r w:rsidR="008E7846">
        <w:rPr>
          <w:lang w:eastAsia="en-AU"/>
        </w:rPr>
        <w:t xml:space="preserve">anagement </w:t>
      </w:r>
      <w:r>
        <w:rPr>
          <w:lang w:eastAsia="en-AU"/>
        </w:rPr>
        <w:t>p</w:t>
      </w:r>
      <w:r w:rsidR="008E7846">
        <w:rPr>
          <w:lang w:eastAsia="en-AU"/>
        </w:rPr>
        <w:t>lan</w:t>
      </w:r>
      <w:bookmarkEnd w:id="112"/>
      <w:bookmarkEnd w:id="114"/>
    </w:p>
    <w:p w:rsidR="00D430C8" w:rsidRDefault="00D430C8" w:rsidP="0096103E">
      <w:r>
        <w:t>The EU-RMP version 3.0 dated 27 July with ASA version 2.0 dated 31 March 2015 was evaluated. Routine and additional pharmacovigilance activities have been proposed to monitor the safety concerns. Studies 112, 115 and an observationa</w:t>
      </w:r>
      <w:r w:rsidR="00762324">
        <w:t>l</w:t>
      </w:r>
      <w:r>
        <w:t xml:space="preserve"> long term safety study are ongoing. The summary of safety concerns are in Table 4.</w:t>
      </w:r>
    </w:p>
    <w:p w:rsidR="0096103E" w:rsidRPr="0096103E" w:rsidRDefault="0096103E" w:rsidP="0096103E">
      <w:r w:rsidRPr="0096103E">
        <w:t>There only concerns raised by the RMP evaluator were that the sponsor had not submitted the most recent version of the EU-RMP. This was clarified with the sponsor. The implementation of a RMP satisfactory to the TGA is imposed as a condition of registration; the submitted EU-RMP is applicable without modification in</w:t>
      </w:r>
      <w:r w:rsidR="003D684F">
        <w:t xml:space="preserve"> Australia unless so qualified.</w:t>
      </w:r>
    </w:p>
    <w:p w:rsidR="008E7846" w:rsidRDefault="00AA0ED0" w:rsidP="008E7846">
      <w:pPr>
        <w:pStyle w:val="Heading3"/>
      </w:pPr>
      <w:bookmarkStart w:id="115" w:name="_Toc247691531"/>
      <w:bookmarkStart w:id="116" w:name="_Toc314842515"/>
      <w:bookmarkStart w:id="117" w:name="_Toc196046505"/>
      <w:bookmarkStart w:id="118" w:name="_Toc196046949"/>
      <w:bookmarkStart w:id="119" w:name="_Toc472521803"/>
      <w:r>
        <w:t>Risk-benefit a</w:t>
      </w:r>
      <w:r w:rsidR="008E7846">
        <w:t>nalysis</w:t>
      </w:r>
      <w:bookmarkEnd w:id="115"/>
      <w:bookmarkEnd w:id="116"/>
      <w:bookmarkEnd w:id="119"/>
    </w:p>
    <w:p w:rsidR="00D23139" w:rsidRDefault="00FF0C3F" w:rsidP="00D23139">
      <w:pPr>
        <w:pStyle w:val="Heading4"/>
      </w:pPr>
      <w:r>
        <w:t>Delegate’s considerations</w:t>
      </w:r>
    </w:p>
    <w:p w:rsidR="00FF0C3F" w:rsidRPr="00FF0C3F" w:rsidRDefault="00FF0C3F" w:rsidP="00FF0C3F">
      <w:r w:rsidRPr="00FF0C3F">
        <w:t>There is only a small group of patients in Australia who may benefit from t</w:t>
      </w:r>
      <w:r w:rsidR="001F650B">
        <w:t xml:space="preserve">he extension of indications of </w:t>
      </w:r>
      <w:proofErr w:type="spellStart"/>
      <w:r w:rsidR="001F650B">
        <w:t>i</w:t>
      </w:r>
      <w:r w:rsidRPr="00FF0C3F">
        <w:t>vacaftor</w:t>
      </w:r>
      <w:proofErr w:type="spellEnd"/>
      <w:r w:rsidRPr="00FF0C3F">
        <w:t xml:space="preserve"> into those with the R117H mutation. The sponsor has submitted the results of a clinical trial with a number of limitations: it was underpowered, the follow up period was relatively short, the placebo and treatment groups had significantly different baseline parameters, although there was some correction for multiplicity- the number of different outcomes measured and subgroups evaluated is a concern. Despite significant changes in sweat chloride, there were small and non-statistically significant changes in clinical endpoints in adults. The changes seen in FEV</w:t>
      </w:r>
      <w:r w:rsidRPr="001F650B">
        <w:rPr>
          <w:vertAlign w:val="subscript"/>
        </w:rPr>
        <w:t>1</w:t>
      </w:r>
      <w:r w:rsidRPr="00FF0C3F">
        <w:t xml:space="preserve"> and exacerbations were much le</w:t>
      </w:r>
      <w:r w:rsidR="001F650B">
        <w:t xml:space="preserve">ss than the outcomes seen when </w:t>
      </w:r>
      <w:proofErr w:type="spellStart"/>
      <w:r w:rsidR="001F650B">
        <w:t>i</w:t>
      </w:r>
      <w:r w:rsidRPr="00FF0C3F">
        <w:t>vacaftor</w:t>
      </w:r>
      <w:proofErr w:type="spellEnd"/>
      <w:r w:rsidRPr="00FF0C3F">
        <w:t xml:space="preserve"> is used in other gating mutations and when ORKAMBI is used in the F508 mutation. These changes were most significant in those with more severe lung disease and the -5T genotype.</w:t>
      </w:r>
    </w:p>
    <w:p w:rsidR="00FF0C3F" w:rsidRPr="00FF0C3F" w:rsidRDefault="00FF0C3F" w:rsidP="00FF0C3F">
      <w:r w:rsidRPr="00FF0C3F">
        <w:t>The changes among children were small. However these children had very mild disease at baseline, so significant changes in clinical endpoints would have been difficult to detect, particular</w:t>
      </w:r>
      <w:r>
        <w:t>ly in such a small sample size.</w:t>
      </w:r>
    </w:p>
    <w:p w:rsidR="00FF0C3F" w:rsidRPr="00FF0C3F" w:rsidRDefault="00FF0C3F" w:rsidP="00FF0C3F">
      <w:proofErr w:type="spellStart"/>
      <w:r w:rsidRPr="00FF0C3F">
        <w:t>Ivacaftor</w:t>
      </w:r>
      <w:proofErr w:type="spellEnd"/>
      <w:r w:rsidRPr="00FF0C3F">
        <w:t xml:space="preserve"> was well tolerated. There</w:t>
      </w:r>
      <w:r>
        <w:t xml:space="preserve"> were no major safety concerns.</w:t>
      </w:r>
    </w:p>
    <w:p w:rsidR="00320230" w:rsidRPr="00320230" w:rsidRDefault="00D430C8" w:rsidP="001F650B">
      <w:pPr>
        <w:pStyle w:val="Heading5"/>
      </w:pPr>
      <w:r>
        <w:t>Impression</w:t>
      </w:r>
    </w:p>
    <w:p w:rsidR="00320230" w:rsidRDefault="00320230" w:rsidP="00320230">
      <w:pPr>
        <w:spacing w:before="0" w:after="0" w:line="240" w:lineRule="auto"/>
        <w:rPr>
          <w:rFonts w:asciiTheme="minorHAnsi" w:hAnsiTheme="minorHAnsi"/>
        </w:rPr>
      </w:pPr>
      <w:r w:rsidRPr="00D21D42">
        <w:rPr>
          <w:rFonts w:asciiTheme="minorHAnsi" w:hAnsiTheme="minorHAnsi"/>
        </w:rPr>
        <w:t>The inability of the clinical trial to demonstrate a benefit may have been due to the design of the trial rather than any lack of true benefit of the drug. Of particular</w:t>
      </w:r>
      <w:r w:rsidR="001F650B">
        <w:rPr>
          <w:rFonts w:asciiTheme="minorHAnsi" w:hAnsiTheme="minorHAnsi"/>
        </w:rPr>
        <w:t xml:space="preserve"> importance is the efficacy of </w:t>
      </w:r>
      <w:proofErr w:type="spellStart"/>
      <w:r w:rsidR="001F650B">
        <w:rPr>
          <w:rFonts w:asciiTheme="minorHAnsi" w:hAnsiTheme="minorHAnsi"/>
        </w:rPr>
        <w:t>i</w:t>
      </w:r>
      <w:r w:rsidRPr="00D21D42">
        <w:rPr>
          <w:rFonts w:asciiTheme="minorHAnsi" w:hAnsiTheme="minorHAnsi"/>
        </w:rPr>
        <w:t>vacaftor</w:t>
      </w:r>
      <w:proofErr w:type="spellEnd"/>
      <w:r w:rsidRPr="00D21D42">
        <w:rPr>
          <w:rFonts w:asciiTheme="minorHAnsi" w:hAnsiTheme="minorHAnsi"/>
        </w:rPr>
        <w:t xml:space="preserve"> on long term lung function, which was not assessed.</w:t>
      </w:r>
    </w:p>
    <w:p w:rsidR="00320230" w:rsidRDefault="00320230" w:rsidP="00320230">
      <w:pPr>
        <w:spacing w:before="0" w:after="0" w:line="240" w:lineRule="auto"/>
        <w:rPr>
          <w:rFonts w:asciiTheme="minorHAnsi" w:hAnsiTheme="minorHAnsi"/>
        </w:rPr>
      </w:pPr>
      <w:r>
        <w:rPr>
          <w:rFonts w:asciiTheme="minorHAnsi" w:hAnsiTheme="minorHAnsi"/>
        </w:rPr>
        <w:t>The ris</w:t>
      </w:r>
      <w:r w:rsidR="001F650B">
        <w:rPr>
          <w:rFonts w:asciiTheme="minorHAnsi" w:hAnsiTheme="minorHAnsi"/>
        </w:rPr>
        <w:t xml:space="preserve">k benefit ratio for the use of </w:t>
      </w:r>
      <w:proofErr w:type="spellStart"/>
      <w:r w:rsidR="001F650B">
        <w:rPr>
          <w:rFonts w:asciiTheme="minorHAnsi" w:hAnsiTheme="minorHAnsi"/>
        </w:rPr>
        <w:t>i</w:t>
      </w:r>
      <w:r>
        <w:rPr>
          <w:rFonts w:asciiTheme="minorHAnsi" w:hAnsiTheme="minorHAnsi"/>
        </w:rPr>
        <w:t>vacaftor</w:t>
      </w:r>
      <w:proofErr w:type="spellEnd"/>
      <w:r>
        <w:rPr>
          <w:rFonts w:asciiTheme="minorHAnsi" w:hAnsiTheme="minorHAnsi"/>
        </w:rPr>
        <w:t xml:space="preserve"> in patients &gt; 18 years in favourable based on the trend to improvements in FEV</w:t>
      </w:r>
      <w:r w:rsidRPr="00F64C71">
        <w:rPr>
          <w:rFonts w:asciiTheme="minorHAnsi" w:hAnsiTheme="minorHAnsi"/>
          <w:vertAlign w:val="subscript"/>
        </w:rPr>
        <w:t xml:space="preserve">1 </w:t>
      </w:r>
      <w:r>
        <w:rPr>
          <w:rFonts w:asciiTheme="minorHAnsi" w:hAnsiTheme="minorHAnsi"/>
        </w:rPr>
        <w:t>and CFQ-R. This is different to the risk-ben</w:t>
      </w:r>
      <w:r w:rsidR="001F650B">
        <w:rPr>
          <w:rFonts w:asciiTheme="minorHAnsi" w:hAnsiTheme="minorHAnsi"/>
        </w:rPr>
        <w:t xml:space="preserve">efit balance in children aged 6 to </w:t>
      </w:r>
      <w:r>
        <w:rPr>
          <w:rFonts w:asciiTheme="minorHAnsi" w:hAnsiTheme="minorHAnsi"/>
        </w:rPr>
        <w:t>11 years where there were no significant clinical benefits observed, despite an improvement in sweat chloride. However the lack of efficacy in children may have been due to the relatively good lung function in this group.</w:t>
      </w:r>
    </w:p>
    <w:p w:rsidR="00D23139" w:rsidRPr="001F650B" w:rsidRDefault="00D23139" w:rsidP="00D23139">
      <w:pPr>
        <w:pStyle w:val="Heading4"/>
      </w:pPr>
      <w:r w:rsidRPr="001F650B">
        <w:t>Proposed action</w:t>
      </w:r>
    </w:p>
    <w:p w:rsidR="0028076C" w:rsidRPr="00237B5E" w:rsidRDefault="0028076C" w:rsidP="0028076C">
      <w:pPr>
        <w:rPr>
          <w:rFonts w:cs="Arial"/>
        </w:rPr>
      </w:pPr>
      <w:r w:rsidRPr="00237B5E">
        <w:rPr>
          <w:bCs/>
        </w:rPr>
        <w:t xml:space="preserve">The Delegate had no reason to say, at the time, that the application for </w:t>
      </w:r>
      <w:proofErr w:type="spellStart"/>
      <w:r w:rsidR="001F650B">
        <w:rPr>
          <w:bCs/>
        </w:rPr>
        <w:t>ivacaftor</w:t>
      </w:r>
      <w:proofErr w:type="spellEnd"/>
      <w:r w:rsidR="001F650B">
        <w:rPr>
          <w:bCs/>
        </w:rPr>
        <w:t xml:space="preserve"> (</w:t>
      </w:r>
      <w:r w:rsidRPr="00237B5E">
        <w:rPr>
          <w:bCs/>
          <w:caps/>
        </w:rPr>
        <w:t>Kalydeco</w:t>
      </w:r>
      <w:r w:rsidR="001F650B">
        <w:rPr>
          <w:bCs/>
          <w:caps/>
        </w:rPr>
        <w:t>)</w:t>
      </w:r>
      <w:r w:rsidRPr="00237B5E">
        <w:rPr>
          <w:bCs/>
        </w:rPr>
        <w:t xml:space="preserve"> as an extension of indications to include patients with R117H mutation </w:t>
      </w:r>
      <w:r w:rsidRPr="00237B5E">
        <w:rPr>
          <w:bCs/>
        </w:rPr>
        <w:lastRenderedPageBreak/>
        <w:t>should not be approved for registration, pending advice on specific details of the indications and labelling.</w:t>
      </w:r>
    </w:p>
    <w:p w:rsidR="00B63D18" w:rsidRDefault="0028076C" w:rsidP="0028076C">
      <w:pPr>
        <w:spacing w:after="0"/>
        <w:rPr>
          <w:rFonts w:cs="Arial"/>
        </w:rPr>
      </w:pPr>
      <w:r w:rsidRPr="00237B5E">
        <w:rPr>
          <w:rFonts w:cs="Arial"/>
        </w:rPr>
        <w:t>Proposed conditions of registration:</w:t>
      </w:r>
    </w:p>
    <w:p w:rsidR="0028076C" w:rsidRPr="00237B5E" w:rsidRDefault="0028076C" w:rsidP="00527E90">
      <w:pPr>
        <w:pStyle w:val="ListBullet"/>
        <w:rPr>
          <w:rFonts w:cs="Arial"/>
        </w:rPr>
      </w:pPr>
      <w:r w:rsidRPr="00237B5E">
        <w:rPr>
          <w:rFonts w:cs="Arial"/>
        </w:rPr>
        <w:t xml:space="preserve">Submission </w:t>
      </w:r>
      <w:r w:rsidRPr="00237B5E">
        <w:t xml:space="preserve">to the TGA with </w:t>
      </w:r>
      <w:r w:rsidRPr="00237B5E">
        <w:rPr>
          <w:rFonts w:cs="Arial"/>
        </w:rPr>
        <w:t xml:space="preserve">the </w:t>
      </w:r>
      <w:r w:rsidRPr="00237B5E">
        <w:t xml:space="preserve">outcomes of long term clinical studies </w:t>
      </w:r>
      <w:r w:rsidRPr="00237B5E">
        <w:rPr>
          <w:rFonts w:cs="Arial"/>
        </w:rPr>
        <w:t>when available.</w:t>
      </w:r>
    </w:p>
    <w:p w:rsidR="0028076C" w:rsidRPr="00237B5E" w:rsidRDefault="0028076C" w:rsidP="00527E90">
      <w:pPr>
        <w:pStyle w:val="ListBullet"/>
      </w:pPr>
      <w:r w:rsidRPr="00237B5E">
        <w:t>Implementation of the Risk Management Plan version most recently approved by the TGA’s Office of Product Review.</w:t>
      </w:r>
    </w:p>
    <w:p w:rsidR="0028076C" w:rsidRPr="00237B5E" w:rsidRDefault="0028076C" w:rsidP="00527E90">
      <w:pPr>
        <w:pStyle w:val="ListBullet"/>
      </w:pPr>
      <w:r w:rsidRPr="00237B5E">
        <w:t>Finalisation of the Product Information to the satisfaction of the TGA.</w:t>
      </w:r>
    </w:p>
    <w:p w:rsidR="0028076C" w:rsidRPr="00237B5E" w:rsidRDefault="0028076C" w:rsidP="0028076C">
      <w:pPr>
        <w:rPr>
          <w:rFonts w:cs="Arial"/>
        </w:rPr>
      </w:pPr>
      <w:r w:rsidRPr="00237B5E">
        <w:rPr>
          <w:rFonts w:cs="Arial"/>
        </w:rPr>
        <w:t xml:space="preserve">Amendments as proposed to the </w:t>
      </w:r>
      <w:r w:rsidR="00D962DD" w:rsidRPr="00237B5E">
        <w:t>Clinical Trials</w:t>
      </w:r>
      <w:r w:rsidR="00D962DD" w:rsidRPr="00237B5E">
        <w:rPr>
          <w:rFonts w:cs="Arial"/>
        </w:rPr>
        <w:t xml:space="preserve"> </w:t>
      </w:r>
      <w:r w:rsidRPr="00237B5E">
        <w:rPr>
          <w:rFonts w:cs="Arial"/>
        </w:rPr>
        <w:t xml:space="preserve">and </w:t>
      </w:r>
      <w:r w:rsidR="00D962DD" w:rsidRPr="00237B5E">
        <w:t>Precautions</w:t>
      </w:r>
      <w:r w:rsidR="00D962DD" w:rsidRPr="00237B5E">
        <w:rPr>
          <w:rFonts w:cs="Arial"/>
        </w:rPr>
        <w:t xml:space="preserve"> </w:t>
      </w:r>
      <w:r w:rsidRPr="00237B5E">
        <w:rPr>
          <w:rFonts w:cs="Arial"/>
        </w:rPr>
        <w:t>sections of the PI as detailed.</w:t>
      </w:r>
    </w:p>
    <w:p w:rsidR="00D23139" w:rsidRDefault="00D23139" w:rsidP="00D23139">
      <w:pPr>
        <w:pStyle w:val="Heading4"/>
      </w:pPr>
      <w:r w:rsidRPr="00184AB3">
        <w:t>Request for ACPM advice</w:t>
      </w:r>
    </w:p>
    <w:p w:rsidR="0028076C" w:rsidRPr="00237B5E" w:rsidRDefault="0028076C" w:rsidP="0028076C">
      <w:pPr>
        <w:rPr>
          <w:bCs/>
        </w:rPr>
      </w:pPr>
      <w:r w:rsidRPr="00237B5E">
        <w:rPr>
          <w:rFonts w:cs="Arial"/>
        </w:rPr>
        <w:t>The Delegate stated that p</w:t>
      </w:r>
      <w:r w:rsidRPr="00237B5E">
        <w:rPr>
          <w:bCs/>
        </w:rPr>
        <w:t>atients with CF and the R117H allele represent only a small number of patients with CF in Australia (around 90 of 3100). In general it is a mild to moderate phenotype.</w:t>
      </w:r>
    </w:p>
    <w:p w:rsidR="0028076C" w:rsidRPr="00237B5E" w:rsidRDefault="0028076C" w:rsidP="0028076C">
      <w:pPr>
        <w:spacing w:after="0"/>
        <w:rPr>
          <w:bCs/>
        </w:rPr>
      </w:pPr>
      <w:r w:rsidRPr="00237B5E">
        <w:rPr>
          <w:bCs/>
        </w:rPr>
        <w:t>In the Delegate’s</w:t>
      </w:r>
      <w:r w:rsidR="00726086">
        <w:rPr>
          <w:bCs/>
        </w:rPr>
        <w:t xml:space="preserve"> view the issues of concern are:</w:t>
      </w:r>
    </w:p>
    <w:p w:rsidR="0028076C" w:rsidRPr="00237B5E" w:rsidRDefault="0028076C" w:rsidP="00D962DD">
      <w:pPr>
        <w:pStyle w:val="ListBullet"/>
      </w:pPr>
      <w:r w:rsidRPr="00237B5E">
        <w:t>The pivotal efficacy/safety study was small (69 subjects)</w:t>
      </w:r>
    </w:p>
    <w:p w:rsidR="0028076C" w:rsidRPr="00237B5E" w:rsidRDefault="0028076C" w:rsidP="00D962DD">
      <w:pPr>
        <w:pStyle w:val="ListBullet"/>
      </w:pPr>
      <w:r w:rsidRPr="00237B5E">
        <w:t>There were small gains in efficacy (sweat chloride, FEV</w:t>
      </w:r>
      <w:r w:rsidRPr="00184AB3">
        <w:rPr>
          <w:vertAlign w:val="subscript"/>
        </w:rPr>
        <w:t>1</w:t>
      </w:r>
      <w:r w:rsidRPr="00237B5E">
        <w:t>, CFQ-R) in adults</w:t>
      </w:r>
    </w:p>
    <w:p w:rsidR="0028076C" w:rsidRDefault="0028076C" w:rsidP="00D962DD">
      <w:pPr>
        <w:pStyle w:val="ListBullet"/>
      </w:pPr>
      <w:r w:rsidRPr="00237B5E">
        <w:t>In children &lt; 18 years, there was no significant change in any efficacy parameters except for sweat chloride</w:t>
      </w:r>
      <w:r w:rsidR="00726086">
        <w:t>.</w:t>
      </w:r>
    </w:p>
    <w:p w:rsidR="0028076C" w:rsidRPr="0028076C" w:rsidRDefault="0028076C" w:rsidP="0028076C">
      <w:r w:rsidRPr="0028076C">
        <w:t>The Delegate requested ACPM advice on any other issues that the ACPM thinks may be relevant to a decision on whether or not to approve this application, including the proposed changes to the Product Information (PI) and Consumer Medicine Information (CMI); the requirements for an acceptable Risk Management Plan (RMP), the clinical significance and likely place of the product in clinical prac</w:t>
      </w:r>
      <w:r w:rsidR="00184AB3">
        <w:t>tice and the comments from the s</w:t>
      </w:r>
      <w:r w:rsidRPr="0028076C">
        <w:t>ponsor in the pre-ACPM response.</w:t>
      </w:r>
    </w:p>
    <w:p w:rsidR="0028076C" w:rsidRPr="0028076C" w:rsidRDefault="0028076C" w:rsidP="0028076C">
      <w:r w:rsidRPr="0028076C">
        <w:t>In addition, the Delegate requested advice on the following spec</w:t>
      </w:r>
      <w:r w:rsidR="00D430C8">
        <w:t>ific issues from the committee:</w:t>
      </w:r>
    </w:p>
    <w:p w:rsidR="0028076C" w:rsidRPr="0028076C" w:rsidRDefault="0028076C" w:rsidP="00D962DD">
      <w:pPr>
        <w:pStyle w:val="ListBullet"/>
      </w:pPr>
      <w:r w:rsidRPr="0028076C">
        <w:t xml:space="preserve">The </w:t>
      </w:r>
      <w:proofErr w:type="gramStart"/>
      <w:r w:rsidR="00184AB3" w:rsidRPr="0028076C">
        <w:t>need to restrict the indic</w:t>
      </w:r>
      <w:r w:rsidR="00D430C8">
        <w:t>ations further to better define</w:t>
      </w:r>
      <w:proofErr w:type="gramEnd"/>
      <w:r w:rsidRPr="0028076C">
        <w:t xml:space="preserve"> the patient population </w:t>
      </w:r>
      <w:r w:rsidR="00D962DD">
        <w:t xml:space="preserve">that is </w:t>
      </w:r>
      <w:r w:rsidRPr="0028076C">
        <w:t>more likely to benefit.</w:t>
      </w:r>
    </w:p>
    <w:p w:rsidR="00D23139" w:rsidRDefault="00320230" w:rsidP="00D23139">
      <w:pPr>
        <w:pStyle w:val="Heading4"/>
      </w:pPr>
      <w:r>
        <w:t xml:space="preserve">Response from </w:t>
      </w:r>
      <w:r w:rsidR="008E5BE9">
        <w:t>s</w:t>
      </w:r>
      <w:r>
        <w:t>ponsor</w:t>
      </w:r>
    </w:p>
    <w:p w:rsidR="00320230" w:rsidRPr="00320230" w:rsidRDefault="00320230" w:rsidP="00320230">
      <w:pPr>
        <w:pStyle w:val="Heading5"/>
      </w:pPr>
      <w:r w:rsidRPr="00320230">
        <w:rPr>
          <w:rFonts w:eastAsiaTheme="minorHAnsi"/>
        </w:rPr>
        <w:t>Patients with CF and the R117H allele represent only a small number of patients with CF</w:t>
      </w:r>
      <w:r w:rsidRPr="00320230">
        <w:t xml:space="preserve"> </w:t>
      </w:r>
      <w:r w:rsidRPr="00320230">
        <w:rPr>
          <w:rFonts w:eastAsiaTheme="minorHAnsi"/>
        </w:rPr>
        <w:t>in Australia (around 90 of 3100). In general it is a mild/moderate phenotype.</w:t>
      </w:r>
    </w:p>
    <w:p w:rsidR="00320230" w:rsidRPr="00320230" w:rsidRDefault="00320230" w:rsidP="00320230">
      <w:r w:rsidRPr="00320230">
        <w:t>Although the disease expression is relatively heterogeneous, the R117H-CFTR mutation is associated with reduced lung function, gradually progressive obstructive lung disease, recurrent sinusitis and bronchitis, and in</w:t>
      </w:r>
      <w:r w:rsidR="00D430C8">
        <w:t>creasing frequency of hospitalis</w:t>
      </w:r>
      <w:r w:rsidRPr="00320230">
        <w:t xml:space="preserve">ations over the course of the lifespan due to pulmonary disease. As illustrated in </w:t>
      </w:r>
      <w:r w:rsidR="002E6D10" w:rsidRPr="002E6D10">
        <w:t>Figure</w:t>
      </w:r>
      <w:r w:rsidR="002E6D10">
        <w:t xml:space="preserve"> 2</w:t>
      </w:r>
      <w:r w:rsidRPr="00320230">
        <w:t xml:space="preserve"> below, which plots the</w:t>
      </w:r>
      <w:r>
        <w:t xml:space="preserve"> </w:t>
      </w:r>
      <w:r w:rsidRPr="00320230">
        <w:t>distributions of percent predicted FEV</w:t>
      </w:r>
      <w:r w:rsidRPr="00E50E73">
        <w:rPr>
          <w:vertAlign w:val="subscript"/>
        </w:rPr>
        <w:t>1</w:t>
      </w:r>
      <w:r w:rsidRPr="00320230">
        <w:t xml:space="preserve"> in individuals with an </w:t>
      </w:r>
      <w:r>
        <w:t>R117H</w:t>
      </w:r>
      <w:r>
        <w:noBreakHyphen/>
      </w:r>
      <w:r w:rsidRPr="00320230">
        <w:t xml:space="preserve">CFTR </w:t>
      </w:r>
      <w:r>
        <w:t xml:space="preserve">mutation by age </w:t>
      </w:r>
      <w:r w:rsidRPr="00320230">
        <w:t xml:space="preserve">cohorts in the US Cystic Fibrosis Foundation (CFF) Registry (used </w:t>
      </w:r>
      <w:r>
        <w:t xml:space="preserve">as the largest single source of </w:t>
      </w:r>
      <w:r w:rsidRPr="00320230">
        <w:t>such data), there is an evident progression in lung function decline (as measured by percent</w:t>
      </w:r>
      <w:r>
        <w:t xml:space="preserve"> </w:t>
      </w:r>
      <w:r w:rsidRPr="00320230">
        <w:t>predicted FEV</w:t>
      </w:r>
      <w:r w:rsidRPr="00E50E73">
        <w:rPr>
          <w:vertAlign w:val="subscript"/>
        </w:rPr>
        <w:t>1</w:t>
      </w:r>
      <w:r w:rsidRPr="00320230">
        <w:t>) with age. Among CF patient</w:t>
      </w:r>
      <w:r w:rsidR="00E50E73">
        <w:t>s with an R117H</w:t>
      </w:r>
      <w:r w:rsidR="00E50E73">
        <w:noBreakHyphen/>
      </w:r>
      <w:r w:rsidRPr="00320230">
        <w:t>CFTR mutation who are 19 to</w:t>
      </w:r>
      <w:r>
        <w:t xml:space="preserve"> </w:t>
      </w:r>
      <w:r w:rsidRPr="00320230">
        <w:t>30 years of age, 34% of patients have a percent predicted FEV</w:t>
      </w:r>
      <w:r w:rsidRPr="00947FB7">
        <w:rPr>
          <w:vertAlign w:val="subscript"/>
        </w:rPr>
        <w:t>1</w:t>
      </w:r>
      <w:r w:rsidRPr="00320230">
        <w:t xml:space="preserve"> &lt;</w:t>
      </w:r>
      <w:r w:rsidR="00D06FFD">
        <w:t xml:space="preserve"> </w:t>
      </w:r>
      <w:r w:rsidRPr="00320230">
        <w:t>80%, and that number increases</w:t>
      </w:r>
      <w:r>
        <w:t xml:space="preserve"> </w:t>
      </w:r>
      <w:r w:rsidRPr="00320230">
        <w:t>to 55% for patients aged more than 30 years.</w:t>
      </w:r>
    </w:p>
    <w:p w:rsidR="00320230" w:rsidRDefault="00320230" w:rsidP="00320230">
      <w:r w:rsidRPr="00320230">
        <w:t>Additional US CFF registry data also show a clear progression of CF-related symptoms as</w:t>
      </w:r>
      <w:r>
        <w:t xml:space="preserve"> </w:t>
      </w:r>
      <w:r w:rsidRPr="00320230">
        <w:t>patients with an R117H-CFTR mutation age. Among patients aged</w:t>
      </w:r>
      <w:r>
        <w:t xml:space="preserve"> 6 to 11 years, 54% have </w:t>
      </w:r>
      <w:r w:rsidRPr="00320230">
        <w:lastRenderedPageBreak/>
        <w:t>CF-related symptoms, while among patients 18 year</w:t>
      </w:r>
      <w:r w:rsidR="00EF65BA">
        <w:t>s of age and older, 93% have CF</w:t>
      </w:r>
      <w:r w:rsidR="00EF65BA">
        <w:noBreakHyphen/>
      </w:r>
      <w:r w:rsidRPr="00320230">
        <w:t>related</w:t>
      </w:r>
      <w:r>
        <w:t xml:space="preserve"> </w:t>
      </w:r>
      <w:r w:rsidRPr="00320230">
        <w:t>symptoms. A decrease in lung function is also observed over time in these patients, with 90% of</w:t>
      </w:r>
      <w:r>
        <w:t xml:space="preserve"> </w:t>
      </w:r>
      <w:r w:rsidRPr="00320230">
        <w:t>patients 18 years of age and older having respiratory disease compared with 48% of patients</w:t>
      </w:r>
      <w:r>
        <w:t xml:space="preserve"> </w:t>
      </w:r>
      <w:r w:rsidRPr="00320230">
        <w:t>aged 6 to 11 years.</w:t>
      </w:r>
    </w:p>
    <w:p w:rsidR="00EF65BA" w:rsidRPr="00EF65BA" w:rsidRDefault="00EF65BA" w:rsidP="00EF65BA">
      <w:r w:rsidRPr="00EF65BA">
        <w:t>Available data about life expectancy in CF patients with a less severe CF phenotype, such as</w:t>
      </w:r>
      <w:r w:rsidR="00E50E73">
        <w:t xml:space="preserve"> </w:t>
      </w:r>
      <w:r w:rsidRPr="00EF65BA">
        <w:t>those with the R117H-CFTR, also have a markedly reduced</w:t>
      </w:r>
      <w:r w:rsidR="00E50E73">
        <w:t xml:space="preserve"> median life expectancy of just </w:t>
      </w:r>
      <w:r w:rsidRPr="00EF65BA">
        <w:t>50 years with the median age of death being 38 years in t</w:t>
      </w:r>
      <w:r w:rsidR="00947FB7">
        <w:t>he US and 32 years in the UK.</w:t>
      </w:r>
      <w:r w:rsidRPr="00EF65BA">
        <w:t xml:space="preserve"> </w:t>
      </w:r>
      <w:r>
        <w:t xml:space="preserve">In </w:t>
      </w:r>
      <w:r w:rsidRPr="00EF65BA">
        <w:t>contrast, the life expectancy for non-Hispanic white males in the US is 76 years, and for males</w:t>
      </w:r>
      <w:r>
        <w:t xml:space="preserve"> </w:t>
      </w:r>
      <w:r w:rsidR="00947FB7">
        <w:t>in Europe is 72 years.</w:t>
      </w:r>
      <w:r w:rsidRPr="00EF65BA">
        <w:t xml:space="preserve"> Due to the small number of CF patients with an R117H-CFTR mutation</w:t>
      </w:r>
      <w:r>
        <w:t xml:space="preserve"> </w:t>
      </w:r>
      <w:r w:rsidRPr="00EF65BA">
        <w:t>who have contributed data to searchable registries and the likelihood that many subjects with</w:t>
      </w:r>
      <w:r>
        <w:t xml:space="preserve"> </w:t>
      </w:r>
      <w:r w:rsidRPr="00EF65BA">
        <w:t>mild CF are not genotyped at their time of death; it is difficult to estimate the impact of the</w:t>
      </w:r>
      <w:r>
        <w:t xml:space="preserve"> </w:t>
      </w:r>
      <w:r w:rsidRPr="00EF65BA">
        <w:t>R117H-CFTR mutation on life expectancy. Based on a simple numerical comparison, CFTR</w:t>
      </w:r>
      <w:r>
        <w:t xml:space="preserve"> </w:t>
      </w:r>
      <w:r w:rsidRPr="00EF65BA">
        <w:t>mutations associated with a less severe phenotype appear to result in a disease process that is</w:t>
      </w:r>
      <w:r>
        <w:t xml:space="preserve"> </w:t>
      </w:r>
      <w:r w:rsidRPr="00EF65BA">
        <w:t>approximately 10 years slower than for CF patients who have mutations associated with severe</w:t>
      </w:r>
      <w:r>
        <w:t xml:space="preserve"> </w:t>
      </w:r>
      <w:r w:rsidRPr="00EF65BA">
        <w:t>disease (approximate median age of de</w:t>
      </w:r>
      <w:r w:rsidR="00947FB7">
        <w:t>ath of 26 years for severe CF,</w:t>
      </w:r>
      <w:r w:rsidRPr="00EF65BA">
        <w:t xml:space="preserve"> and 38 years for less</w:t>
      </w:r>
      <w:r>
        <w:t xml:space="preserve"> </w:t>
      </w:r>
      <w:r w:rsidRPr="00EF65BA">
        <w:t>severe CF)</w:t>
      </w:r>
      <w:r w:rsidR="00947FB7">
        <w:t>.</w:t>
      </w:r>
      <w:r w:rsidRPr="00EF65BA">
        <w:t xml:space="preserve"> Thus, while the R117H mutation is in the less severe part of the spectrum of CF, it</w:t>
      </w:r>
      <w:r>
        <w:t xml:space="preserve"> </w:t>
      </w:r>
      <w:r w:rsidRPr="00EF65BA">
        <w:t>is associated with severe disease when compared to a normal population. There is therefore a</w:t>
      </w:r>
      <w:r>
        <w:t xml:space="preserve"> </w:t>
      </w:r>
      <w:r w:rsidRPr="00EF65BA">
        <w:t>clear and substantial unmet need in this population. Although less devastating than some CFTR mutations, the R117H mutation is associated with clear evidence of premature mortality. It is</w:t>
      </w:r>
      <w:r>
        <w:t xml:space="preserve"> </w:t>
      </w:r>
      <w:r w:rsidRPr="00EF65BA">
        <w:t xml:space="preserve">useful to note that currently there are 6 R117H patients in Australia receiving </w:t>
      </w:r>
      <w:proofErr w:type="spellStart"/>
      <w:r w:rsidRPr="00EF65BA">
        <w:t>ivacaftor</w:t>
      </w:r>
      <w:proofErr w:type="spellEnd"/>
      <w:r w:rsidRPr="00EF65BA">
        <w:t xml:space="preserve"> through a</w:t>
      </w:r>
      <w:r>
        <w:t xml:space="preserve"> </w:t>
      </w:r>
      <w:r w:rsidRPr="00EF65BA">
        <w:t>compassionate use program due to the severity of their disease.</w:t>
      </w:r>
    </w:p>
    <w:p w:rsidR="00EF65BA" w:rsidRDefault="00EF65BA" w:rsidP="00EF65BA">
      <w:r w:rsidRPr="00EF65BA">
        <w:t>Although patients with CF and the R117H allele represent only 3.8% of the total Australian CF</w:t>
      </w:r>
      <w:r>
        <w:t xml:space="preserve"> </w:t>
      </w:r>
      <w:r w:rsidRPr="00EF65BA">
        <w:t>population, there remains a considerable high unmet medical need. Considering that there is no</w:t>
      </w:r>
      <w:r>
        <w:t xml:space="preserve"> </w:t>
      </w:r>
      <w:r w:rsidRPr="00EF65BA">
        <w:t>drug currently approved to treat the underlying cause of CF in this population in Australia, there</w:t>
      </w:r>
      <w:r>
        <w:t xml:space="preserve"> </w:t>
      </w:r>
      <w:r w:rsidRPr="00EF65BA">
        <w:t>is a substantial need to improve the treatment and outlook for CF patients with this CFTR</w:t>
      </w:r>
      <w:r>
        <w:t xml:space="preserve"> </w:t>
      </w:r>
      <w:r w:rsidRPr="00EF65BA">
        <w:t>mutation. As described above, these patients demonstrate progression of disease with advancing</w:t>
      </w:r>
      <w:r>
        <w:t xml:space="preserve"> </w:t>
      </w:r>
      <w:r w:rsidRPr="00EF65BA">
        <w:t>age and have a decreased life expectancy.</w:t>
      </w:r>
    </w:p>
    <w:p w:rsidR="00D2099D" w:rsidRDefault="002E6D10" w:rsidP="00D2099D">
      <w:pPr>
        <w:pStyle w:val="FigureTitle"/>
      </w:pPr>
      <w:r>
        <w:t xml:space="preserve">Figure 2: </w:t>
      </w:r>
      <w:r w:rsidR="00C23803">
        <w:t>P</w:t>
      </w:r>
      <w:r w:rsidR="00D2099D">
        <w:t>ercent predicted FEV</w:t>
      </w:r>
      <w:r w:rsidR="00D2099D" w:rsidRPr="00947FB7">
        <w:rPr>
          <w:vertAlign w:val="subscript"/>
        </w:rPr>
        <w:t>1</w:t>
      </w:r>
      <w:r w:rsidR="00D2099D">
        <w:t xml:space="preserve"> by age cohort</w:t>
      </w:r>
      <w:r w:rsidR="00947FB7">
        <w:t>s for CF patients with an R117H</w:t>
      </w:r>
      <w:r w:rsidR="00947FB7">
        <w:noBreakHyphen/>
      </w:r>
      <w:r w:rsidR="00D2099D">
        <w:t>CFTR mutation</w:t>
      </w:r>
    </w:p>
    <w:p w:rsidR="00D2099D" w:rsidRDefault="00D2099D" w:rsidP="00EF65BA">
      <w:r>
        <w:rPr>
          <w:noProof/>
          <w:lang w:eastAsia="en-AU"/>
        </w:rPr>
        <w:drawing>
          <wp:inline distT="0" distB="0" distL="0" distR="0" wp14:anchorId="022DAA33" wp14:editId="2CE708C5">
            <wp:extent cx="3898852" cy="3168650"/>
            <wp:effectExtent l="0" t="0" r="6985" b="0"/>
            <wp:docPr id="19" name="Picture 19" descr="Figure 2: Percent predicted FEV1 by age cohorts for CF patients with an R117H CFTR m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00687" cy="3170141"/>
                    </a:xfrm>
                    <a:prstGeom prst="rect">
                      <a:avLst/>
                    </a:prstGeom>
                  </pic:spPr>
                </pic:pic>
              </a:graphicData>
            </a:graphic>
          </wp:inline>
        </w:drawing>
      </w:r>
    </w:p>
    <w:p w:rsidR="00D2099D" w:rsidRDefault="00D2099D" w:rsidP="00D2099D">
      <w:pPr>
        <w:pStyle w:val="Heading5"/>
        <w:rPr>
          <w:rFonts w:eastAsiaTheme="minorHAnsi"/>
        </w:rPr>
      </w:pPr>
      <w:r w:rsidRPr="00D2099D">
        <w:rPr>
          <w:rFonts w:eastAsiaTheme="minorHAnsi"/>
        </w:rPr>
        <w:lastRenderedPageBreak/>
        <w:t>The pivotal efficacy/safety study was small (69 subjects).</w:t>
      </w:r>
    </w:p>
    <w:p w:rsidR="00D2099D" w:rsidRDefault="00D2099D" w:rsidP="00D2099D">
      <w:r w:rsidRPr="00D2099D">
        <w:t>Given the rarity of this disease and population, the study size is consistent with expectations for an orphan drug. Further, the total number of subjects in Study 110 is equivalent to approximately 75% of the relevant eligible Australian population. The study therefore represents a substantial part of the available patient population. Furthermore, the study was sufficiently large to demonstrate changes in the adult population in key end points such as percent predicted FEV</w:t>
      </w:r>
      <w:r w:rsidRPr="00D2099D">
        <w:rPr>
          <w:vertAlign w:val="subscript"/>
        </w:rPr>
        <w:t>1</w:t>
      </w:r>
      <w:r w:rsidRPr="00D2099D">
        <w:t xml:space="preserve"> and sweat chloride associated with p &lt;</w:t>
      </w:r>
      <w:r>
        <w:t xml:space="preserve"> </w:t>
      </w:r>
      <w:r w:rsidRPr="00D2099D">
        <w:t>0.05. The study may therefore be regarded as of sufficient</w:t>
      </w:r>
      <w:r>
        <w:t xml:space="preserve"> </w:t>
      </w:r>
      <w:r w:rsidRPr="00D2099D">
        <w:t>size in a mutation which represents about 3.8% of a small orphan disease population.</w:t>
      </w:r>
    </w:p>
    <w:p w:rsidR="00D2099D" w:rsidRPr="00D2099D" w:rsidRDefault="00D2099D" w:rsidP="00D2099D">
      <w:pPr>
        <w:pStyle w:val="Heading5"/>
      </w:pPr>
      <w:r w:rsidRPr="00D2099D">
        <w:rPr>
          <w:rFonts w:eastAsiaTheme="minorHAnsi"/>
        </w:rPr>
        <w:t>There were small gains in efficacy (sweat chloride, FEV</w:t>
      </w:r>
      <w:r w:rsidR="00947FB7" w:rsidRPr="00947FB7">
        <w:rPr>
          <w:rFonts w:eastAsiaTheme="minorHAnsi"/>
          <w:vertAlign w:val="subscript"/>
        </w:rPr>
        <w:t>1</w:t>
      </w:r>
      <w:r w:rsidRPr="00D2099D">
        <w:rPr>
          <w:rFonts w:eastAsiaTheme="minorHAnsi"/>
        </w:rPr>
        <w:t>, CFQ-R) in adults.</w:t>
      </w:r>
    </w:p>
    <w:p w:rsidR="00D2099D" w:rsidRPr="00D2099D" w:rsidRDefault="00D2099D" w:rsidP="00D2099D">
      <w:r w:rsidRPr="00D2099D">
        <w:t>The efficacy gains in adults were substantial in the context of a severe life-shortening disease for</w:t>
      </w:r>
      <w:r>
        <w:t xml:space="preserve"> </w:t>
      </w:r>
      <w:r w:rsidRPr="00D2099D">
        <w:t>which there is nothing to address the underlyi</w:t>
      </w:r>
      <w:r>
        <w:t xml:space="preserve">ng cause of the disease. </w:t>
      </w:r>
      <w:r w:rsidRPr="00947FB7">
        <w:t xml:space="preserve">Table </w:t>
      </w:r>
      <w:r w:rsidR="00947FB7" w:rsidRPr="00947FB7">
        <w:t>12</w:t>
      </w:r>
      <w:r w:rsidRPr="00D2099D">
        <w:t xml:space="preserve"> provides a</w:t>
      </w:r>
      <w:r>
        <w:t xml:space="preserve"> </w:t>
      </w:r>
      <w:r w:rsidRPr="00D2099D">
        <w:t>summary of the results for adults in Study VX-770-110.</w:t>
      </w:r>
    </w:p>
    <w:p w:rsidR="00D2099D" w:rsidRDefault="00D2099D" w:rsidP="00D2099D">
      <w:pPr>
        <w:pStyle w:val="Tabletitle0"/>
      </w:pPr>
      <w:r>
        <w:t xml:space="preserve">Table </w:t>
      </w:r>
      <w:r w:rsidR="00844FE5">
        <w:t xml:space="preserve">12: </w:t>
      </w:r>
      <w:r w:rsidR="008233A0">
        <w:t>Study 110-</w:t>
      </w:r>
      <w:r>
        <w:t xml:space="preserve"> efficacy endpoint results, full analysis set, subjects ≥ 18 years of age</w:t>
      </w:r>
    </w:p>
    <w:p w:rsidR="00D2099D" w:rsidRDefault="00D2099D" w:rsidP="00D2099D">
      <w:r>
        <w:rPr>
          <w:noProof/>
          <w:lang w:eastAsia="en-AU"/>
        </w:rPr>
        <w:drawing>
          <wp:inline distT="0" distB="0" distL="0" distR="0" wp14:anchorId="364847C9" wp14:editId="0DF6A8D0">
            <wp:extent cx="4902200" cy="2467860"/>
            <wp:effectExtent l="0" t="0" r="0" b="8890"/>
            <wp:docPr id="20" name="Picture 20" descr="Table 12: Study 110- efficacy endpoint results, full analysis set, subjects ≥ 18 years of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04507" cy="2469021"/>
                    </a:xfrm>
                    <a:prstGeom prst="rect">
                      <a:avLst/>
                    </a:prstGeom>
                  </pic:spPr>
                </pic:pic>
              </a:graphicData>
            </a:graphic>
          </wp:inline>
        </w:drawing>
      </w:r>
    </w:p>
    <w:p w:rsidR="00D2099D" w:rsidRDefault="00D2099D" w:rsidP="00D2099D">
      <w:pPr>
        <w:pStyle w:val="TableDescription"/>
      </w:pPr>
      <w:proofErr w:type="gramStart"/>
      <w:r>
        <w:t>vs</w:t>
      </w:r>
      <w:proofErr w:type="gramEnd"/>
      <w:r>
        <w:t xml:space="preserve">: versus. </w:t>
      </w:r>
      <w:proofErr w:type="gramStart"/>
      <w:r>
        <w:t>a</w:t>
      </w:r>
      <w:proofErr w:type="gramEnd"/>
      <w:r>
        <w:t>: Pooled was defined as all questionnaire versions except for the Parent/Caregiver version.</w:t>
      </w:r>
    </w:p>
    <w:p w:rsidR="00D2099D" w:rsidRDefault="00D2099D" w:rsidP="00D2099D">
      <w:r w:rsidRPr="00D2099D">
        <w:t>The absolute increase in percent predicted FEV</w:t>
      </w:r>
      <w:r w:rsidRPr="00E85C1D">
        <w:rPr>
          <w:vertAlign w:val="subscript"/>
        </w:rPr>
        <w:t>1</w:t>
      </w:r>
      <w:r w:rsidRPr="00D2099D">
        <w:t xml:space="preserve"> in adults is larger than observed for treatments</w:t>
      </w:r>
      <w:r>
        <w:t xml:space="preserve"> </w:t>
      </w:r>
      <w:r w:rsidRPr="00D2099D">
        <w:t xml:space="preserve">such as inhaled tobramycin and </w:t>
      </w:r>
      <w:proofErr w:type="spellStart"/>
      <w:r w:rsidRPr="00D2099D">
        <w:t>DNAse</w:t>
      </w:r>
      <w:proofErr w:type="spellEnd"/>
      <w:r w:rsidRPr="00D2099D">
        <w:t xml:space="preserve">. For comparison, </w:t>
      </w:r>
      <w:r w:rsidRPr="00A45077">
        <w:t xml:space="preserve">Table </w:t>
      </w:r>
      <w:r w:rsidR="00844FE5" w:rsidRPr="00A45077">
        <w:t>13</w:t>
      </w:r>
      <w:r w:rsidRPr="00D2099D">
        <w:t xml:space="preserve"> presents pulmonary outcomes</w:t>
      </w:r>
      <w:r>
        <w:t xml:space="preserve"> </w:t>
      </w:r>
      <w:r w:rsidRPr="00D2099D">
        <w:t>in well-established treatments for the symptoms of CF. The majority of measures are reported as</w:t>
      </w:r>
      <w:r>
        <w:t xml:space="preserve"> </w:t>
      </w:r>
      <w:r w:rsidRPr="00D2099D">
        <w:t>relative change in percent predicted FEV</w:t>
      </w:r>
      <w:r w:rsidRPr="00D2099D">
        <w:rPr>
          <w:vertAlign w:val="subscript"/>
        </w:rPr>
        <w:t>1</w:t>
      </w:r>
      <w:r w:rsidRPr="00D2099D">
        <w:t xml:space="preserve"> but absolute change in percent predicted FEV</w:t>
      </w:r>
      <w:r w:rsidRPr="00D2099D">
        <w:rPr>
          <w:vertAlign w:val="subscript"/>
        </w:rPr>
        <w:t>1</w:t>
      </w:r>
      <w:r w:rsidRPr="00D2099D">
        <w:t xml:space="preserve"> is</w:t>
      </w:r>
      <w:r>
        <w:t xml:space="preserve"> </w:t>
      </w:r>
      <w:r w:rsidRPr="00D2099D">
        <w:t>provided when available.</w:t>
      </w:r>
    </w:p>
    <w:p w:rsidR="00D2099D" w:rsidRDefault="00D2099D" w:rsidP="00D2099D">
      <w:pPr>
        <w:pStyle w:val="Tabletitle0"/>
      </w:pPr>
      <w:r>
        <w:t xml:space="preserve">Table </w:t>
      </w:r>
      <w:r w:rsidR="008233A0">
        <w:t>13: P</w:t>
      </w:r>
      <w:r>
        <w:t>ulmonary outcomes in well-established treatments for the symptoms of CF measured as relative change in percent predicted FEV</w:t>
      </w:r>
      <w:r w:rsidRPr="00D2099D">
        <w:rPr>
          <w:vertAlign w:val="subscript"/>
        </w:rPr>
        <w:t>1</w:t>
      </w:r>
    </w:p>
    <w:p w:rsidR="00D2099D" w:rsidRDefault="00D2099D" w:rsidP="00D2099D">
      <w:r>
        <w:rPr>
          <w:noProof/>
          <w:lang w:eastAsia="en-AU"/>
        </w:rPr>
        <w:drawing>
          <wp:inline distT="0" distB="0" distL="0" distR="0" wp14:anchorId="4AB6EF48" wp14:editId="67066E14">
            <wp:extent cx="4686300" cy="782052"/>
            <wp:effectExtent l="0" t="0" r="0" b="0"/>
            <wp:docPr id="24" name="Picture 24" descr="Table 13: Pulmonary outcomes in well-established treatments for the symptoms of CF measured as relative change in percent predicted FE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88505" cy="782420"/>
                    </a:xfrm>
                    <a:prstGeom prst="rect">
                      <a:avLst/>
                    </a:prstGeom>
                  </pic:spPr>
                </pic:pic>
              </a:graphicData>
            </a:graphic>
          </wp:inline>
        </w:drawing>
      </w:r>
    </w:p>
    <w:p w:rsidR="008958DF" w:rsidRDefault="008958DF" w:rsidP="008958DF">
      <w:pPr>
        <w:pStyle w:val="Tabletitle0"/>
      </w:pPr>
      <w:r>
        <w:lastRenderedPageBreak/>
        <w:t xml:space="preserve">Table </w:t>
      </w:r>
      <w:r w:rsidR="00BE57F0">
        <w:t>13:</w:t>
      </w:r>
      <w:r>
        <w:t xml:space="preserve"> cont.</w:t>
      </w:r>
    </w:p>
    <w:p w:rsidR="00D2099D" w:rsidRDefault="008958DF" w:rsidP="00D2099D">
      <w:r>
        <w:rPr>
          <w:noProof/>
          <w:lang w:eastAsia="en-AU"/>
        </w:rPr>
        <w:drawing>
          <wp:inline distT="0" distB="0" distL="0" distR="0" wp14:anchorId="7CB9D5B2" wp14:editId="0048051B">
            <wp:extent cx="4629580" cy="3613150"/>
            <wp:effectExtent l="0" t="0" r="0" b="6350"/>
            <wp:docPr id="25" name="Picture 25" descr="Table 13: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31759" cy="3614850"/>
                    </a:xfrm>
                    <a:prstGeom prst="rect">
                      <a:avLst/>
                    </a:prstGeom>
                  </pic:spPr>
                </pic:pic>
              </a:graphicData>
            </a:graphic>
          </wp:inline>
        </w:drawing>
      </w:r>
    </w:p>
    <w:p w:rsidR="008958DF" w:rsidRDefault="008958DF" w:rsidP="00254B77">
      <w:pPr>
        <w:pStyle w:val="TableDescription"/>
      </w:pPr>
      <w:r>
        <w:t xml:space="preserve">NA: not available; NR: not reported; </w:t>
      </w:r>
      <w:proofErr w:type="spellStart"/>
      <w:r>
        <w:t>qd</w:t>
      </w:r>
      <w:proofErr w:type="spellEnd"/>
      <w:r>
        <w:t xml:space="preserve">: once daily; bid: twice daily a: </w:t>
      </w:r>
      <w:r w:rsidR="00254B77">
        <w:t xml:space="preserve">azithromycin is not approved in the US or the EU to treat CF but is approved in both regions to treat bacterial infections caused by microorganism sensitive </w:t>
      </w:r>
      <w:r w:rsidR="00197A69">
        <w:t xml:space="preserve">to azithromycin. </w:t>
      </w:r>
      <w:proofErr w:type="gramStart"/>
      <w:r w:rsidR="00197A69">
        <w:t>b</w:t>
      </w:r>
      <w:proofErr w:type="gramEnd"/>
      <w:r w:rsidR="00254B77">
        <w:t>: Study was in patients chronicall</w:t>
      </w:r>
      <w:r w:rsidR="00197A69">
        <w:t xml:space="preserve">y infected with P. aeruginosa. </w:t>
      </w:r>
      <w:proofErr w:type="gramStart"/>
      <w:r w:rsidR="00197A69">
        <w:t>c</w:t>
      </w:r>
      <w:proofErr w:type="gramEnd"/>
      <w:r w:rsidR="00254B77">
        <w:t xml:space="preserve">: </w:t>
      </w:r>
      <w:proofErr w:type="spellStart"/>
      <w:r w:rsidR="00254B77">
        <w:t>Bronchitol</w:t>
      </w:r>
      <w:proofErr w:type="spellEnd"/>
      <w:r w:rsidR="00254B77">
        <w:t xml:space="preserve"> is an approved therapy for CF in Australia,</w:t>
      </w:r>
      <w:r w:rsidR="00BE57F0">
        <w:t xml:space="preserve"> and the EU but not in the US. </w:t>
      </w:r>
      <w:proofErr w:type="gramStart"/>
      <w:r w:rsidR="00BE57F0">
        <w:t>d</w:t>
      </w:r>
      <w:proofErr w:type="gramEnd"/>
      <w:r w:rsidR="00254B77">
        <w:t>:</w:t>
      </w:r>
      <w:r w:rsidR="00BE57F0">
        <w:t> </w:t>
      </w:r>
      <w:r w:rsidR="00254B77">
        <w:t>Approved therapy for CF in Australia, Canada, the EU and the US.</w:t>
      </w:r>
    </w:p>
    <w:p w:rsidR="00254B77" w:rsidRPr="00254B77" w:rsidRDefault="00254B77" w:rsidP="00254B77">
      <w:r w:rsidRPr="00254B77">
        <w:t>The improvement in sweat chloride is of a magnitude expected to be associated with clinical</w:t>
      </w:r>
      <w:r>
        <w:t xml:space="preserve"> </w:t>
      </w:r>
      <w:r w:rsidRPr="00254B77">
        <w:t>benefit (-22 mmol/L) and the population mean on treatment was only just above the diagnostic</w:t>
      </w:r>
      <w:r>
        <w:t xml:space="preserve"> threshold (that is</w:t>
      </w:r>
      <w:r w:rsidRPr="00254B77">
        <w:t>, dropping from 71 mmol/L to a range of 41 to 47 mmol/L during treatment). The</w:t>
      </w:r>
      <w:r>
        <w:t xml:space="preserve"> </w:t>
      </w:r>
      <w:r w:rsidRPr="00254B77">
        <w:t>CFQ-R gain in adults was triple the minimal clinically important difference of 4 points which</w:t>
      </w:r>
      <w:r>
        <w:t xml:space="preserve"> </w:t>
      </w:r>
      <w:r w:rsidR="008B33D3">
        <w:t>should not be characteris</w:t>
      </w:r>
      <w:r w:rsidRPr="00254B77">
        <w:t>ed as small.</w:t>
      </w:r>
    </w:p>
    <w:p w:rsidR="00254B77" w:rsidRPr="00254B77" w:rsidRDefault="00254B77" w:rsidP="00254B77">
      <w:r w:rsidRPr="00254B77">
        <w:t>Thus the gains in efficacy are clinically important improvements. In addition, there is growing</w:t>
      </w:r>
      <w:r>
        <w:t xml:space="preserve"> </w:t>
      </w:r>
      <w:r w:rsidRPr="00254B77">
        <w:t>evidence in a real-world setting that the ability to treat the underlying cause of the disease by</w:t>
      </w:r>
      <w:r>
        <w:t xml:space="preserve"> </w:t>
      </w:r>
      <w:r w:rsidRPr="00254B77">
        <w:t xml:space="preserve">correcting CFTR function is associated with both systemic benefits (such as improving </w:t>
      </w:r>
      <w:r w:rsidR="008B33D3">
        <w:t>gastrointestinal [</w:t>
      </w:r>
      <w:r w:rsidRPr="00254B77">
        <w:t>GI</w:t>
      </w:r>
      <w:r w:rsidR="008B33D3">
        <w:t>]</w:t>
      </w:r>
      <w:r>
        <w:t xml:space="preserve"> </w:t>
      </w:r>
      <w:r w:rsidRPr="00254B77">
        <w:t>disease) and also reducing the rate of lung function decline and improving mortality. These data</w:t>
      </w:r>
      <w:r>
        <w:t xml:space="preserve"> </w:t>
      </w:r>
      <w:r w:rsidRPr="00254B77">
        <w:t xml:space="preserve">are represented in </w:t>
      </w:r>
      <w:r w:rsidR="00BE57F0" w:rsidRPr="00BE57F0">
        <w:t xml:space="preserve">Figure </w:t>
      </w:r>
      <w:r w:rsidR="00BE57F0">
        <w:t>3</w:t>
      </w:r>
      <w:r w:rsidRPr="00254B77">
        <w:t xml:space="preserve"> below.</w:t>
      </w:r>
    </w:p>
    <w:p w:rsidR="00254B77" w:rsidRDefault="00254B77" w:rsidP="00BE57F0">
      <w:pPr>
        <w:pStyle w:val="FigureTitle"/>
        <w:rPr>
          <w:noProof/>
          <w:lang w:eastAsia="en-AU"/>
        </w:rPr>
      </w:pPr>
      <w:r>
        <w:t xml:space="preserve">Figure </w:t>
      </w:r>
      <w:r w:rsidR="00BE57F0">
        <w:t xml:space="preserve">3: </w:t>
      </w:r>
      <w:proofErr w:type="spellStart"/>
      <w:r w:rsidR="00BE57F0">
        <w:t>Ivacaftor</w:t>
      </w:r>
      <w:proofErr w:type="spellEnd"/>
      <w:r w:rsidR="00BE57F0">
        <w:t xml:space="preserve"> modifies course of disease</w:t>
      </w:r>
    </w:p>
    <w:p w:rsidR="00BE57F0" w:rsidRDefault="00BE57F0" w:rsidP="00527E90">
      <w:r>
        <w:rPr>
          <w:noProof/>
          <w:lang w:eastAsia="en-AU"/>
        </w:rPr>
        <w:drawing>
          <wp:inline distT="0" distB="0" distL="0" distR="0" wp14:anchorId="2279F663" wp14:editId="3BEDF920">
            <wp:extent cx="4599920" cy="1790823"/>
            <wp:effectExtent l="0" t="0" r="0" b="0"/>
            <wp:docPr id="1" name="Picture 1" descr="Figure 3: Ivacaftor modifies course of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02760" cy="1791929"/>
                    </a:xfrm>
                    <a:prstGeom prst="rect">
                      <a:avLst/>
                    </a:prstGeom>
                  </pic:spPr>
                </pic:pic>
              </a:graphicData>
            </a:graphic>
          </wp:inline>
        </w:drawing>
      </w:r>
    </w:p>
    <w:p w:rsidR="00254B77" w:rsidRDefault="00BE57F0" w:rsidP="00527E90">
      <w:pPr>
        <w:pStyle w:val="FigureDescription"/>
      </w:pPr>
      <w:r>
        <w:t xml:space="preserve">Additional clinical benefits of </w:t>
      </w:r>
      <w:proofErr w:type="spellStart"/>
      <w:r>
        <w:t>ivacaftor</w:t>
      </w:r>
      <w:proofErr w:type="spellEnd"/>
      <w:r>
        <w:t>: i</w:t>
      </w:r>
      <w:r w:rsidR="00254B77">
        <w:t>mproved FEV</w:t>
      </w:r>
      <w:r w:rsidR="00254B77" w:rsidRPr="00BE57F0">
        <w:rPr>
          <w:vertAlign w:val="subscript"/>
        </w:rPr>
        <w:t>1</w:t>
      </w:r>
      <w:r w:rsidR="00254B77">
        <w:t>, decreased rate of lung function decline (FEV</w:t>
      </w:r>
      <w:r w:rsidR="00254B77" w:rsidRPr="00BE57F0">
        <w:rPr>
          <w:vertAlign w:val="subscript"/>
        </w:rPr>
        <w:t>1</w:t>
      </w:r>
      <w:r w:rsidR="00254B77">
        <w:t>), improved nutritional status, reduced P. aeruginosa culture rate</w:t>
      </w:r>
    </w:p>
    <w:p w:rsidR="00254B77" w:rsidRPr="00254B77" w:rsidRDefault="00254B77" w:rsidP="00254B77">
      <w:r w:rsidRPr="00254B77">
        <w:lastRenderedPageBreak/>
        <w:t>Due to the high treatment burden, morbidity, and shortened life-expectancy of R117H CF</w:t>
      </w:r>
      <w:r>
        <w:t xml:space="preserve"> </w:t>
      </w:r>
      <w:proofErr w:type="gramStart"/>
      <w:r w:rsidRPr="00254B77">
        <w:t>patients</w:t>
      </w:r>
      <w:proofErr w:type="gramEnd"/>
      <w:r w:rsidRPr="00254B77">
        <w:t>, there remains a significant unmet medical need for more effective treatments. Attempts</w:t>
      </w:r>
      <w:r>
        <w:t xml:space="preserve"> </w:t>
      </w:r>
      <w:r w:rsidRPr="00254B77">
        <w:t>to correct the underlying defect in CF through gene therapy have shown limited success to date.</w:t>
      </w:r>
      <w:r>
        <w:t xml:space="preserve"> </w:t>
      </w:r>
      <w:r w:rsidRPr="00254B77">
        <w:t>Treatments that target the underlying ion-transport defect by restoring the function of the CFTR</w:t>
      </w:r>
      <w:r>
        <w:t xml:space="preserve"> </w:t>
      </w:r>
      <w:r w:rsidRPr="00254B77">
        <w:t>protein may decrease the morbidity and increase the lifespan of individuals with CF. In addition,</w:t>
      </w:r>
      <w:r>
        <w:t xml:space="preserve"> </w:t>
      </w:r>
      <w:r w:rsidRPr="00254B77">
        <w:t>the opportunity to intervene at an earlier stage in the progression of disease may further limit</w:t>
      </w:r>
      <w:r>
        <w:t xml:space="preserve"> </w:t>
      </w:r>
      <w:r w:rsidRPr="00254B77">
        <w:t>organ damage, further reduce the morbidity, and prolong life. Additionally, chronic use of</w:t>
      </w:r>
      <w:r>
        <w:t xml:space="preserve"> </w:t>
      </w:r>
      <w:r w:rsidRPr="00254B77">
        <w:t>interventional therapies approved for improvement in FEV</w:t>
      </w:r>
      <w:r w:rsidRPr="00A46048">
        <w:rPr>
          <w:vertAlign w:val="subscript"/>
        </w:rPr>
        <w:t>1</w:t>
      </w:r>
      <w:r w:rsidRPr="00254B77">
        <w:t xml:space="preserve"> and reduction in pulmonary</w:t>
      </w:r>
      <w:r>
        <w:t xml:space="preserve"> </w:t>
      </w:r>
      <w:r w:rsidR="00A46048">
        <w:t>exacerbation rate (that is</w:t>
      </w:r>
      <w:r w:rsidRPr="00254B77">
        <w:t xml:space="preserve"> mannitol and </w:t>
      </w:r>
      <w:proofErr w:type="spellStart"/>
      <w:r w:rsidRPr="00254B77">
        <w:t>dornase</w:t>
      </w:r>
      <w:proofErr w:type="spellEnd"/>
      <w:r w:rsidRPr="00254B77">
        <w:t xml:space="preserve"> </w:t>
      </w:r>
      <w:proofErr w:type="spellStart"/>
      <w:r w:rsidRPr="00254B77">
        <w:t>alfa</w:t>
      </w:r>
      <w:proofErr w:type="spellEnd"/>
      <w:r w:rsidRPr="00254B77">
        <w:t>) have subsequently been associated with</w:t>
      </w:r>
      <w:r>
        <w:t xml:space="preserve"> </w:t>
      </w:r>
      <w:r w:rsidRPr="00254B77">
        <w:t>reduced mortality</w:t>
      </w:r>
      <w:r w:rsidR="00EF5305">
        <w:t>.</w:t>
      </w:r>
    </w:p>
    <w:p w:rsidR="00254B77" w:rsidRDefault="00A46048" w:rsidP="00A46048">
      <w:pPr>
        <w:pStyle w:val="Heading5"/>
        <w:rPr>
          <w:rFonts w:eastAsiaTheme="minorHAnsi"/>
        </w:rPr>
      </w:pPr>
      <w:r w:rsidRPr="00A46048">
        <w:rPr>
          <w:rFonts w:eastAsiaTheme="minorHAnsi"/>
        </w:rPr>
        <w:t>In children &lt;</w:t>
      </w:r>
      <w:r w:rsidR="00E85C1D">
        <w:rPr>
          <w:rFonts w:eastAsiaTheme="minorHAnsi"/>
        </w:rPr>
        <w:t xml:space="preserve"> </w:t>
      </w:r>
      <w:r w:rsidRPr="00A46048">
        <w:rPr>
          <w:rFonts w:eastAsiaTheme="minorHAnsi"/>
        </w:rPr>
        <w:t>18 years, there was no significant change in any efficacy parameters except</w:t>
      </w:r>
      <w:r>
        <w:rPr>
          <w:rFonts w:eastAsiaTheme="minorHAnsi"/>
        </w:rPr>
        <w:t xml:space="preserve"> </w:t>
      </w:r>
      <w:r w:rsidRPr="00A46048">
        <w:rPr>
          <w:rFonts w:eastAsiaTheme="minorHAnsi"/>
        </w:rPr>
        <w:t>for sweat chloride.</w:t>
      </w:r>
    </w:p>
    <w:p w:rsidR="00A46048" w:rsidRPr="00A46048" w:rsidRDefault="00A46048" w:rsidP="00A46048">
      <w:r w:rsidRPr="00A46048">
        <w:t>This is accepted and was addressed within the submission documents.</w:t>
      </w:r>
    </w:p>
    <w:p w:rsidR="00A46048" w:rsidRPr="00A46048" w:rsidRDefault="00A46048" w:rsidP="00A46048">
      <w:r w:rsidRPr="00A46048">
        <w:t xml:space="preserve">The data indicate that </w:t>
      </w:r>
      <w:proofErr w:type="spellStart"/>
      <w:r w:rsidRPr="00A46048">
        <w:t>ivacaftor</w:t>
      </w:r>
      <w:proofErr w:type="spellEnd"/>
      <w:r w:rsidRPr="00A46048">
        <w:t xml:space="preserve"> is effective in treating the underlying cause of the disease (CFTR</w:t>
      </w:r>
      <w:r>
        <w:t xml:space="preserve"> </w:t>
      </w:r>
      <w:r w:rsidRPr="00A46048">
        <w:t>dysfunction, as shown by the sweat chloride improvement). Efficacy may be extrapolated from</w:t>
      </w:r>
      <w:r>
        <w:t xml:space="preserve"> </w:t>
      </w:r>
      <w:r w:rsidRPr="00A46048">
        <w:t>the older patients in whom the disease process in sufficiently established to permit clinical</w:t>
      </w:r>
      <w:r>
        <w:t xml:space="preserve"> </w:t>
      </w:r>
      <w:r w:rsidRPr="00A46048">
        <w:t>changes to be demonstrated, whereas such data could not be readily demonstrated in the small</w:t>
      </w:r>
      <w:r>
        <w:t xml:space="preserve"> </w:t>
      </w:r>
      <w:r w:rsidRPr="00A46048">
        <w:t>population in the 6 to 11 age group with well-preserved lung function.</w:t>
      </w:r>
    </w:p>
    <w:p w:rsidR="00A46048" w:rsidRPr="00A46048" w:rsidRDefault="00A46048" w:rsidP="00A46048">
      <w:r w:rsidRPr="00A46048">
        <w:t>Vertex believes that the data support extrapolation of efficacy to the 6 to 11 age group. This is</w:t>
      </w:r>
      <w:r>
        <w:t xml:space="preserve"> </w:t>
      </w:r>
      <w:r w:rsidRPr="00A46048">
        <w:t>also supported by the data from the GOAL-E2 study presented by S Rowe at NACF 2015</w:t>
      </w:r>
      <w:r w:rsidR="004A53AA">
        <w:rPr>
          <w:rStyle w:val="FootnoteReference"/>
        </w:rPr>
        <w:footnoteReference w:id="11"/>
      </w:r>
      <w:r w:rsidR="00E85C1D">
        <w:t xml:space="preserve"> </w:t>
      </w:r>
      <w:r w:rsidRPr="00A46048">
        <w:t xml:space="preserve">which showed a positive response to </w:t>
      </w:r>
      <w:proofErr w:type="spellStart"/>
      <w:r w:rsidRPr="00A46048">
        <w:t>ivacaftor</w:t>
      </w:r>
      <w:proofErr w:type="spellEnd"/>
      <w:r w:rsidRPr="00A46048">
        <w:t xml:space="preserve"> treatment in the real world setting in the US.</w:t>
      </w:r>
    </w:p>
    <w:p w:rsidR="00A46048" w:rsidRPr="00A46048" w:rsidRDefault="00A46048" w:rsidP="00A46048">
      <w:r w:rsidRPr="00A46048">
        <w:t xml:space="preserve">These data are presented in the </w:t>
      </w:r>
      <w:r w:rsidR="00E85C1D" w:rsidRPr="00E85C1D">
        <w:t>Figure</w:t>
      </w:r>
      <w:r w:rsidR="00E85C1D">
        <w:t xml:space="preserve"> 4</w:t>
      </w:r>
      <w:r>
        <w:t xml:space="preserve"> </w:t>
      </w:r>
      <w:r w:rsidRPr="00A46048">
        <w:t>graphic below and provide evidence that clinicians are able to</w:t>
      </w:r>
      <w:r>
        <w:t xml:space="preserve"> </w:t>
      </w:r>
      <w:r w:rsidRPr="00A46048">
        <w:t>select and successfully treat children with the R117H mutation in real world clinical practice.</w:t>
      </w:r>
    </w:p>
    <w:p w:rsidR="00A46048" w:rsidRDefault="00E85C1D" w:rsidP="00A46048">
      <w:pPr>
        <w:pStyle w:val="FigureTitle"/>
      </w:pPr>
      <w:r>
        <w:t>Figure 4:</w:t>
      </w:r>
      <w:r w:rsidR="00A46048" w:rsidRPr="00A46048">
        <w:t xml:space="preserve"> 1 month changes in FEV</w:t>
      </w:r>
      <w:r w:rsidR="00A46048" w:rsidRPr="00E85C1D">
        <w:rPr>
          <w:vertAlign w:val="subscript"/>
        </w:rPr>
        <w:t>1</w:t>
      </w:r>
      <w:r w:rsidR="00A46048" w:rsidRPr="00A46048">
        <w:t xml:space="preserve"> % by age</w:t>
      </w:r>
    </w:p>
    <w:p w:rsidR="00A46048" w:rsidRDefault="00A46048" w:rsidP="00527E90">
      <w:r>
        <w:rPr>
          <w:noProof/>
          <w:lang w:eastAsia="en-AU"/>
        </w:rPr>
        <w:drawing>
          <wp:inline distT="0" distB="0" distL="0" distR="0" wp14:anchorId="4CA5E29D" wp14:editId="12F3769B">
            <wp:extent cx="3357453" cy="1924437"/>
            <wp:effectExtent l="0" t="0" r="0" b="0"/>
            <wp:docPr id="27" name="Picture 27" descr="Figure 4: 1 month changes in FEV1 %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61603" cy="1926816"/>
                    </a:xfrm>
                    <a:prstGeom prst="rect">
                      <a:avLst/>
                    </a:prstGeom>
                  </pic:spPr>
                </pic:pic>
              </a:graphicData>
            </a:graphic>
          </wp:inline>
        </w:drawing>
      </w:r>
    </w:p>
    <w:p w:rsidR="008E7846" w:rsidRDefault="008E7846" w:rsidP="008E7846">
      <w:pPr>
        <w:pStyle w:val="Heading4"/>
      </w:pPr>
      <w:r>
        <w:t xml:space="preserve">Advisory </w:t>
      </w:r>
      <w:r w:rsidR="00527E90">
        <w:t>committee considerations</w:t>
      </w:r>
    </w:p>
    <w:p w:rsidR="0028076C" w:rsidRPr="00237B5E" w:rsidRDefault="0028076C" w:rsidP="0028076C">
      <w:pPr>
        <w:rPr>
          <w:rFonts w:cs="Calibri"/>
          <w:b/>
        </w:rPr>
      </w:pPr>
      <w:bookmarkStart w:id="120" w:name="_Toc247691532"/>
      <w:bookmarkStart w:id="121" w:name="_Toc314842516"/>
      <w:bookmarkEnd w:id="80"/>
      <w:bookmarkEnd w:id="117"/>
      <w:bookmarkEnd w:id="118"/>
      <w:r w:rsidRPr="00237B5E">
        <w:rPr>
          <w:rFonts w:cs="Calibri"/>
        </w:rPr>
        <w:t xml:space="preserve">The ACPM, taking into account the submitted evidence of efficacy, safety and quality, considered </w:t>
      </w:r>
      <w:r w:rsidRPr="00237B5E">
        <w:rPr>
          <w:bCs/>
        </w:rPr>
        <w:t>KALYDECO</w:t>
      </w:r>
      <w:r w:rsidRPr="00237B5E">
        <w:t xml:space="preserve"> </w:t>
      </w:r>
      <w:r w:rsidRPr="00237B5E">
        <w:rPr>
          <w:bCs/>
        </w:rPr>
        <w:t xml:space="preserve">tablet containing 150 mg of </w:t>
      </w:r>
      <w:proofErr w:type="spellStart"/>
      <w:r w:rsidRPr="00237B5E">
        <w:rPr>
          <w:bCs/>
        </w:rPr>
        <w:t>ivacaftor</w:t>
      </w:r>
      <w:proofErr w:type="spellEnd"/>
      <w:r w:rsidRPr="00237B5E">
        <w:rPr>
          <w:b/>
          <w:bCs/>
        </w:rPr>
        <w:t xml:space="preserve"> </w:t>
      </w:r>
      <w:r w:rsidRPr="00237B5E">
        <w:rPr>
          <w:rFonts w:cs="Calibri"/>
        </w:rPr>
        <w:t>to have an overall positive benefit–risk profile for the amended indication</w:t>
      </w:r>
      <w:r w:rsidR="0002656D">
        <w:rPr>
          <w:rFonts w:cs="Calibri"/>
          <w:b/>
        </w:rPr>
        <w:t>;</w:t>
      </w:r>
    </w:p>
    <w:p w:rsidR="00B63D18" w:rsidRPr="00527E90" w:rsidRDefault="00D962DD" w:rsidP="00527E90">
      <w:pPr>
        <w:pageBreakBefore/>
        <w:ind w:left="720"/>
        <w:rPr>
          <w:i/>
        </w:rPr>
      </w:pPr>
      <w:proofErr w:type="spellStart"/>
      <w:r w:rsidRPr="00527E90">
        <w:rPr>
          <w:i/>
        </w:rPr>
        <w:lastRenderedPageBreak/>
        <w:t>Kalydeco</w:t>
      </w:r>
      <w:proofErr w:type="spellEnd"/>
      <w:r w:rsidRPr="00527E90">
        <w:rPr>
          <w:i/>
        </w:rPr>
        <w:t xml:space="preserve"> </w:t>
      </w:r>
      <w:r w:rsidR="0028076C" w:rsidRPr="00527E90">
        <w:rPr>
          <w:i/>
        </w:rPr>
        <w:t>is indicated for the treatment of cystic fibrosis (CF) in patients:</w:t>
      </w:r>
    </w:p>
    <w:p w:rsidR="00B63D18" w:rsidRDefault="0028076C" w:rsidP="0028076C">
      <w:pPr>
        <w:pStyle w:val="ListParagraph"/>
        <w:numPr>
          <w:ilvl w:val="3"/>
          <w:numId w:val="36"/>
        </w:numPr>
        <w:adjustRightInd w:val="0"/>
        <w:snapToGrid w:val="0"/>
        <w:spacing w:before="0" w:after="240" w:line="240" w:lineRule="auto"/>
        <w:ind w:left="1134" w:hanging="283"/>
        <w:rPr>
          <w:rFonts w:cs="Calibri"/>
          <w:i/>
        </w:rPr>
      </w:pPr>
      <w:r w:rsidRPr="008A4A7C">
        <w:rPr>
          <w:rFonts w:cs="Calibri"/>
          <w:i/>
        </w:rPr>
        <w:t>Age 18 years and older who have an R117H mutation in the CFTR gene</w:t>
      </w:r>
    </w:p>
    <w:p w:rsidR="0028076C" w:rsidRPr="00237B5E" w:rsidRDefault="0028076C" w:rsidP="0028076C">
      <w:pPr>
        <w:rPr>
          <w:bCs/>
          <w:iCs/>
        </w:rPr>
      </w:pPr>
      <w:r w:rsidRPr="00237B5E">
        <w:rPr>
          <w:bCs/>
          <w:iCs/>
        </w:rPr>
        <w:t>In making this recommendation the ACPM noted th</w:t>
      </w:r>
      <w:r w:rsidR="0002656D">
        <w:rPr>
          <w:bCs/>
          <w:iCs/>
        </w:rPr>
        <w:t xml:space="preserve">at </w:t>
      </w:r>
      <w:r w:rsidRPr="00237B5E">
        <w:rPr>
          <w:bCs/>
          <w:iCs/>
        </w:rPr>
        <w:t xml:space="preserve">Study </w:t>
      </w:r>
      <w:proofErr w:type="gramStart"/>
      <w:r w:rsidRPr="00237B5E">
        <w:rPr>
          <w:bCs/>
          <w:iCs/>
        </w:rPr>
        <w:t>110,</w:t>
      </w:r>
      <w:proofErr w:type="gramEnd"/>
      <w:r w:rsidRPr="00237B5E">
        <w:rPr>
          <w:bCs/>
          <w:iCs/>
        </w:rPr>
        <w:t xml:space="preserve"> was terminated early by the sponsor. The reasoning for this was unclear.</w:t>
      </w:r>
    </w:p>
    <w:p w:rsidR="0028076C" w:rsidRPr="00237B5E" w:rsidRDefault="0028076C" w:rsidP="0028076C">
      <w:pPr>
        <w:spacing w:after="0"/>
        <w:rPr>
          <w:b/>
          <w:bCs/>
          <w:i/>
          <w:u w:val="single"/>
        </w:rPr>
      </w:pPr>
      <w:r w:rsidRPr="00237B5E">
        <w:rPr>
          <w:b/>
          <w:bCs/>
          <w:i/>
        </w:rPr>
        <w:t>Proposed Product Information (PI)/Consumer Medicine Information (CMI) amendments</w:t>
      </w:r>
    </w:p>
    <w:p w:rsidR="00B63D18" w:rsidRDefault="0028076C" w:rsidP="0028076C">
      <w:pPr>
        <w:spacing w:after="0"/>
        <w:rPr>
          <w:bCs/>
        </w:rPr>
      </w:pPr>
      <w:r w:rsidRPr="00237B5E">
        <w:rPr>
          <w:bCs/>
        </w:rPr>
        <w:t>The ACPM agreed with th</w:t>
      </w:r>
      <w:r w:rsidR="008B33D3">
        <w:rPr>
          <w:bCs/>
        </w:rPr>
        <w:t>e D</w:t>
      </w:r>
      <w:r w:rsidRPr="00237B5E">
        <w:rPr>
          <w:bCs/>
        </w:rPr>
        <w:t>elegate to the proposed amendments to the Product Information (PI) and Consumer Medicine Information (CMI) and specifically advised on the inclusion of the following;</w:t>
      </w:r>
    </w:p>
    <w:p w:rsidR="0028076C" w:rsidRPr="00237B5E" w:rsidRDefault="0028076C" w:rsidP="00527E90">
      <w:pPr>
        <w:pStyle w:val="ListBullet"/>
      </w:pPr>
      <w:r w:rsidRPr="00237B5E">
        <w:t>the indication could include a statement that tr</w:t>
      </w:r>
      <w:r w:rsidR="00E85C1D">
        <w:t>eatment should be ceased in non</w:t>
      </w:r>
      <w:r w:rsidR="00E85C1D">
        <w:noBreakHyphen/>
      </w:r>
      <w:r w:rsidRPr="00237B5E">
        <w:t>responders (those showing no response at 12 weeks)</w:t>
      </w:r>
    </w:p>
    <w:p w:rsidR="0028076C" w:rsidRPr="00237B5E" w:rsidRDefault="0028076C" w:rsidP="00527E90">
      <w:pPr>
        <w:pStyle w:val="ListBullet"/>
      </w:pPr>
      <w:r w:rsidRPr="00237B5E">
        <w:t xml:space="preserve">a statement in the PI and relevant sections of the CMI to highlight that there may be less treatment benefit in the poly T7 group, similar to that in the EU </w:t>
      </w:r>
      <w:proofErr w:type="spellStart"/>
      <w:r w:rsidRPr="00237B5E">
        <w:t>SmPc</w:t>
      </w:r>
      <w:proofErr w:type="spellEnd"/>
      <w:r w:rsidR="00BC0A8D">
        <w:rPr>
          <w:rStyle w:val="FootnoteReference"/>
          <w:bCs/>
        </w:rPr>
        <w:footnoteReference w:id="12"/>
      </w:r>
    </w:p>
    <w:p w:rsidR="0028076C" w:rsidRPr="00237B5E" w:rsidRDefault="0028076C" w:rsidP="00527E90">
      <w:pPr>
        <w:pStyle w:val="ListBullet"/>
      </w:pPr>
      <w:proofErr w:type="gramStart"/>
      <w:r w:rsidRPr="00237B5E">
        <w:t>a</w:t>
      </w:r>
      <w:proofErr w:type="gramEnd"/>
      <w:r w:rsidRPr="00237B5E">
        <w:t xml:space="preserve"> table in the PI showing the efficacy in patients with the various </w:t>
      </w:r>
      <w:proofErr w:type="spellStart"/>
      <w:r w:rsidRPr="00237B5E">
        <w:t>polyT</w:t>
      </w:r>
      <w:proofErr w:type="spellEnd"/>
      <w:r w:rsidRPr="00237B5E">
        <w:t xml:space="preserve"> polymorphisms would be potentially useful to prescribers. The ACPM agreed with the CHMP advice that the PI should contain a stat</w:t>
      </w:r>
      <w:r w:rsidR="0002656D">
        <w:t>ement</w:t>
      </w:r>
    </w:p>
    <w:p w:rsidR="0028076C" w:rsidRPr="00237B5E" w:rsidRDefault="0028076C" w:rsidP="00527E90">
      <w:pPr>
        <w:pStyle w:val="ListBullet"/>
      </w:pPr>
      <w:proofErr w:type="gramStart"/>
      <w:r w:rsidRPr="00237B5E">
        <w:t>the</w:t>
      </w:r>
      <w:proofErr w:type="gramEnd"/>
      <w:r w:rsidRPr="00237B5E">
        <w:t xml:space="preserve"> statement of use in pregnancy was considered to be poorly worded.</w:t>
      </w:r>
    </w:p>
    <w:p w:rsidR="0028076C" w:rsidRPr="00237B5E" w:rsidRDefault="0028076C" w:rsidP="0028076C">
      <w:pPr>
        <w:pStyle w:val="ListParagraph"/>
        <w:spacing w:after="0"/>
        <w:ind w:left="0"/>
        <w:contextualSpacing w:val="0"/>
        <w:rPr>
          <w:b/>
          <w:bCs/>
          <w:i/>
          <w:iCs/>
          <w:highlight w:val="yellow"/>
        </w:rPr>
      </w:pPr>
      <w:r w:rsidRPr="00237B5E">
        <w:rPr>
          <w:b/>
          <w:bCs/>
          <w:i/>
          <w:iCs/>
        </w:rPr>
        <w:t xml:space="preserve">Specific </w:t>
      </w:r>
      <w:r w:rsidR="00527E90">
        <w:rPr>
          <w:b/>
          <w:bCs/>
          <w:i/>
          <w:iCs/>
        </w:rPr>
        <w:t>a</w:t>
      </w:r>
      <w:r w:rsidRPr="00237B5E">
        <w:rPr>
          <w:b/>
          <w:bCs/>
          <w:i/>
          <w:iCs/>
        </w:rPr>
        <w:t>dvice</w:t>
      </w:r>
    </w:p>
    <w:p w:rsidR="0028076C" w:rsidRPr="00237B5E" w:rsidRDefault="0028076C" w:rsidP="0028076C">
      <w:pPr>
        <w:spacing w:after="0"/>
        <w:rPr>
          <w:b/>
          <w:bCs/>
          <w:iCs/>
          <w:highlight w:val="yellow"/>
        </w:rPr>
      </w:pPr>
      <w:r w:rsidRPr="00237B5E">
        <w:rPr>
          <w:rFonts w:cs="Arial"/>
        </w:rPr>
        <w:t>The ACPM advised th</w:t>
      </w:r>
      <w:r w:rsidR="008B33D3">
        <w:rPr>
          <w:rFonts w:cs="Arial"/>
        </w:rPr>
        <w:t>e following in response to the D</w:t>
      </w:r>
      <w:r w:rsidRPr="00237B5E">
        <w:rPr>
          <w:rFonts w:cs="Arial"/>
        </w:rPr>
        <w:t>elegate’s specific questions on this submission:</w:t>
      </w:r>
    </w:p>
    <w:p w:rsidR="0028076C" w:rsidRPr="00527E90" w:rsidRDefault="0028076C" w:rsidP="00527E90">
      <w:pPr>
        <w:pStyle w:val="ListBullet"/>
        <w:rPr>
          <w:i/>
        </w:rPr>
      </w:pPr>
      <w:r w:rsidRPr="00527E90">
        <w:rPr>
          <w:i/>
        </w:rPr>
        <w:t>Does the committee advice the need to restrict the indications further?</w:t>
      </w:r>
    </w:p>
    <w:p w:rsidR="0028076C" w:rsidRPr="00237B5E" w:rsidRDefault="0028076C" w:rsidP="00527E90">
      <w:r w:rsidRPr="00237B5E">
        <w:t>The ACPM noted that, overall, the absolute change from baseline FEV</w:t>
      </w:r>
      <w:r w:rsidRPr="00237B5E">
        <w:rPr>
          <w:vertAlign w:val="subscript"/>
        </w:rPr>
        <w:t>1</w:t>
      </w:r>
      <w:r w:rsidRPr="00237B5E">
        <w:t xml:space="preserve"> (the primary efficacy end</w:t>
      </w:r>
      <w:r w:rsidR="008B33D3">
        <w:t>point) through W</w:t>
      </w:r>
      <w:r w:rsidRPr="00237B5E">
        <w:t xml:space="preserve">eek 24 was numerically but not statistically greater in </w:t>
      </w:r>
      <w:proofErr w:type="spellStart"/>
      <w:r w:rsidRPr="00237B5E">
        <w:t>ivacaftor</w:t>
      </w:r>
      <w:proofErr w:type="spellEnd"/>
      <w:r w:rsidRPr="00237B5E">
        <w:t xml:space="preserve"> group compared to the placebo group. Secondary endpoints were also not significant. The data demonstrates no clinically meaningful efficacy in the paediatric patients but some in the adults. The submitted evidence provided supports only efficacy in adults 18 years and over who h</w:t>
      </w:r>
      <w:r w:rsidR="0002656D">
        <w:t>ave the R117H CF gene mutation.</w:t>
      </w:r>
    </w:p>
    <w:p w:rsidR="0028076C" w:rsidRPr="00237B5E" w:rsidRDefault="0028076C" w:rsidP="0028076C">
      <w:pPr>
        <w:pStyle w:val="ListParagraph"/>
        <w:ind w:left="0"/>
        <w:contextualSpacing w:val="0"/>
        <w:rPr>
          <w:bCs/>
          <w:iCs/>
        </w:rPr>
      </w:pPr>
      <w:r w:rsidRPr="00237B5E">
        <w:t>It was not possible to collect information on the poly-T variant in all subjects in the trial. However, subgroup analysis showed a greater treatment difference in FEV</w:t>
      </w:r>
      <w:r w:rsidRPr="00E85C1D">
        <w:rPr>
          <w:vertAlign w:val="subscript"/>
        </w:rPr>
        <w:t>1</w:t>
      </w:r>
      <w:r w:rsidRPr="00237B5E">
        <w:t xml:space="preserve"> in those with the 5T variant (5.3 pp) compared with the 7T variant (0.2pp).</w:t>
      </w:r>
    </w:p>
    <w:p w:rsidR="0028076C" w:rsidRPr="00237B5E" w:rsidRDefault="0028076C" w:rsidP="0028076C">
      <w:pPr>
        <w:pStyle w:val="ListParagraph"/>
        <w:ind w:left="0"/>
        <w:contextualSpacing w:val="0"/>
        <w:rPr>
          <w:rFonts w:cs="Calibri"/>
        </w:rPr>
      </w:pPr>
      <w:r w:rsidRPr="00237B5E">
        <w:rPr>
          <w:rFonts w:cs="Calibri"/>
        </w:rPr>
        <w:t>Due t</w:t>
      </w:r>
      <w:r w:rsidR="00BC0A8D">
        <w:rPr>
          <w:rFonts w:cs="Calibri"/>
        </w:rPr>
        <w:t>o the variability in penetrance/</w:t>
      </w:r>
      <w:r w:rsidRPr="00237B5E">
        <w:rPr>
          <w:rFonts w:cs="Calibri"/>
        </w:rPr>
        <w:t xml:space="preserve">expression of the R117H gene mutation the ACPM was of the view that the decision on the use of the proposed treatment should be based on objective symptomatic grounds rather than only genotyping. So it was considered necessary that there should be evidence of chronic </w:t>
      </w:r>
      <w:proofErr w:type="spellStart"/>
      <w:r w:rsidRPr="00237B5E">
        <w:rPr>
          <w:bCs/>
          <w:iCs/>
        </w:rPr>
        <w:t>suppurative</w:t>
      </w:r>
      <w:proofErr w:type="spellEnd"/>
      <w:r w:rsidRPr="00237B5E">
        <w:rPr>
          <w:bCs/>
          <w:iCs/>
        </w:rPr>
        <w:t xml:space="preserve"> lung disease as well as genotyping to support the decision</w:t>
      </w:r>
      <w:r w:rsidRPr="00237B5E">
        <w:rPr>
          <w:rFonts w:cs="Calibri"/>
        </w:rPr>
        <w:t>.</w:t>
      </w:r>
    </w:p>
    <w:p w:rsidR="0028076C" w:rsidRPr="00237B5E" w:rsidRDefault="0028076C" w:rsidP="0028076C">
      <w:pPr>
        <w:pStyle w:val="ListParagraph"/>
        <w:ind w:left="0"/>
        <w:contextualSpacing w:val="0"/>
        <w:rPr>
          <w:bCs/>
          <w:iCs/>
        </w:rPr>
      </w:pPr>
      <w:r w:rsidRPr="00237B5E">
        <w:rPr>
          <w:bCs/>
          <w:iCs/>
        </w:rPr>
        <w:t xml:space="preserve">A table in the PI showing the efficacy in patients with the various </w:t>
      </w:r>
      <w:proofErr w:type="spellStart"/>
      <w:r w:rsidRPr="00237B5E">
        <w:rPr>
          <w:bCs/>
          <w:iCs/>
        </w:rPr>
        <w:t>polyT</w:t>
      </w:r>
      <w:proofErr w:type="spellEnd"/>
      <w:r w:rsidRPr="00237B5E">
        <w:rPr>
          <w:bCs/>
          <w:iCs/>
        </w:rPr>
        <w:t xml:space="preserve"> polymorphisms would be potentially useful to prescribers. The ACPM agreed with the CHMP advice that the PI should contain a statement </w:t>
      </w:r>
      <w:r w:rsidRPr="00237B5E">
        <w:t>that there may be less treatment benefit in the T7 group.</w:t>
      </w:r>
    </w:p>
    <w:p w:rsidR="0028076C" w:rsidRPr="00237B5E" w:rsidRDefault="0028076C" w:rsidP="0028076C">
      <w:pPr>
        <w:pStyle w:val="ListParagraph"/>
        <w:ind w:left="0"/>
        <w:contextualSpacing w:val="0"/>
        <w:rPr>
          <w:bCs/>
          <w:iCs/>
        </w:rPr>
      </w:pPr>
      <w:r w:rsidRPr="00237B5E">
        <w:rPr>
          <w:bCs/>
          <w:iCs/>
        </w:rPr>
        <w:t xml:space="preserve">The ACPM was of the view that the small changes in sweat chloride seen in this mutation, and considered this not be clinically significant. The committee noted the very modest improvements in parameters compared to the effects of </w:t>
      </w:r>
      <w:proofErr w:type="spellStart"/>
      <w:r w:rsidRPr="00237B5E">
        <w:rPr>
          <w:bCs/>
          <w:iCs/>
        </w:rPr>
        <w:t>ivacaftor</w:t>
      </w:r>
      <w:proofErr w:type="spellEnd"/>
      <w:r w:rsidRPr="00237B5E">
        <w:rPr>
          <w:bCs/>
          <w:iCs/>
        </w:rPr>
        <w:t xml:space="preserve"> on gating mutations.</w:t>
      </w:r>
    </w:p>
    <w:p w:rsidR="0028076C" w:rsidRPr="00237B5E" w:rsidRDefault="0028076C" w:rsidP="0028076C">
      <w:pPr>
        <w:rPr>
          <w:bCs/>
        </w:rPr>
      </w:pPr>
      <w:r w:rsidRPr="00237B5E">
        <w:rPr>
          <w:bCs/>
        </w:rPr>
        <w:lastRenderedPageBreak/>
        <w:t>The ACPM advised that implementation by the sponsor of the recommendations outlined above to the satisfaction of the TGA, in addition to the evidence of efficacy and safety provided would support the safe and</w:t>
      </w:r>
      <w:r w:rsidR="00E85C1D">
        <w:rPr>
          <w:bCs/>
        </w:rPr>
        <w:t xml:space="preserve"> effective use of this product.</w:t>
      </w:r>
    </w:p>
    <w:p w:rsidR="008E7846" w:rsidRPr="002E238E" w:rsidRDefault="008E7846" w:rsidP="008E7846">
      <w:pPr>
        <w:pStyle w:val="Heading3"/>
      </w:pPr>
      <w:bookmarkStart w:id="122" w:name="_Toc472521804"/>
      <w:r>
        <w:t>Outcome</w:t>
      </w:r>
      <w:bookmarkEnd w:id="120"/>
      <w:bookmarkEnd w:id="121"/>
      <w:bookmarkEnd w:id="122"/>
    </w:p>
    <w:p w:rsidR="00D23139" w:rsidRPr="00D23139" w:rsidRDefault="00D23139" w:rsidP="00D23139">
      <w:bookmarkStart w:id="123" w:name="_Toc247691533"/>
      <w:bookmarkStart w:id="124" w:name="_Toc314842517"/>
      <w:r w:rsidRPr="00D23139">
        <w:t xml:space="preserve">Based on a review of quality, safety and efficacy, TGA approved the registration of </w:t>
      </w:r>
      <w:proofErr w:type="spellStart"/>
      <w:r w:rsidR="0002656D">
        <w:t>ivacaftor</w:t>
      </w:r>
      <w:proofErr w:type="spellEnd"/>
      <w:r w:rsidR="0002656D">
        <w:t xml:space="preserve"> (</w:t>
      </w:r>
      <w:proofErr w:type="spellStart"/>
      <w:r w:rsidR="00BC0A8D">
        <w:t>Kaldyeco</w:t>
      </w:r>
      <w:proofErr w:type="spellEnd"/>
      <w:r w:rsidR="0002656D">
        <w:t xml:space="preserve">) </w:t>
      </w:r>
      <w:r w:rsidR="001D53BE">
        <w:t>150 mg film coated tablets in</w:t>
      </w:r>
      <w:r w:rsidRPr="00D23139">
        <w:t>dicated for:</w:t>
      </w:r>
    </w:p>
    <w:p w:rsidR="0028076C" w:rsidRPr="00BC0A8D" w:rsidRDefault="00BC0A8D" w:rsidP="00986A8B">
      <w:pPr>
        <w:keepNext/>
        <w:ind w:left="567"/>
        <w:rPr>
          <w:rFonts w:cs="Calibri"/>
          <w:i/>
        </w:rPr>
      </w:pPr>
      <w:r w:rsidRPr="00BC0A8D">
        <w:rPr>
          <w:rFonts w:cs="Calibri"/>
          <w:i/>
        </w:rPr>
        <w:t>T</w:t>
      </w:r>
      <w:r w:rsidR="0028076C" w:rsidRPr="00BC0A8D">
        <w:rPr>
          <w:rFonts w:cs="Calibri"/>
          <w:i/>
        </w:rPr>
        <w:t>he treatment of cy</w:t>
      </w:r>
      <w:r w:rsidR="00986A8B" w:rsidRPr="00BC0A8D">
        <w:rPr>
          <w:rFonts w:cs="Calibri"/>
          <w:i/>
        </w:rPr>
        <w:t xml:space="preserve">stic fibrosis (CF) in patients aged 6 years and older </w:t>
      </w:r>
      <w:r w:rsidR="0028076C" w:rsidRPr="00BC0A8D">
        <w:rPr>
          <w:rFonts w:cs="Calibri"/>
          <w:i/>
        </w:rPr>
        <w:t xml:space="preserve">who have an </w:t>
      </w:r>
      <w:r w:rsidR="00986A8B" w:rsidRPr="00BC0A8D">
        <w:rPr>
          <w:rFonts w:cs="Calibri"/>
          <w:i/>
        </w:rPr>
        <w:t>R117H mutation in the CFTR gene</w:t>
      </w:r>
    </w:p>
    <w:p w:rsidR="00986A8B" w:rsidRDefault="00986A8B" w:rsidP="00986A8B">
      <w:r w:rsidRPr="00986A8B">
        <w:t>The</w:t>
      </w:r>
      <w:r>
        <w:t xml:space="preserve"> full indications are now:</w:t>
      </w:r>
    </w:p>
    <w:p w:rsidR="00986A8B" w:rsidRPr="00BC0A8D" w:rsidRDefault="00BC0A8D" w:rsidP="00986A8B">
      <w:pPr>
        <w:ind w:left="720"/>
        <w:rPr>
          <w:i/>
        </w:rPr>
      </w:pPr>
      <w:proofErr w:type="spellStart"/>
      <w:r w:rsidRPr="00BC0A8D">
        <w:rPr>
          <w:i/>
        </w:rPr>
        <w:t>Kaldyeco</w:t>
      </w:r>
      <w:proofErr w:type="spellEnd"/>
      <w:r w:rsidR="00986A8B" w:rsidRPr="00BC0A8D">
        <w:rPr>
          <w:i/>
        </w:rPr>
        <w:t xml:space="preserve"> is indicated for the treatment of cystic fibrosis (CF) in patients aged 6 years and older who have a G551D or other gating (class III) mutation or an R117H mutation in the CFTR gene.</w:t>
      </w:r>
    </w:p>
    <w:p w:rsidR="00D23139" w:rsidRPr="00D23139" w:rsidRDefault="00D23139" w:rsidP="00D23139">
      <w:pPr>
        <w:pStyle w:val="Heading4"/>
      </w:pPr>
      <w:r w:rsidRPr="00D23139">
        <w:t>Specific conditions of registration applying to these goods</w:t>
      </w:r>
    </w:p>
    <w:p w:rsidR="000111A8" w:rsidRPr="000111A8" w:rsidRDefault="000111A8" w:rsidP="000111A8">
      <w:r w:rsidRPr="000111A8">
        <w:t xml:space="preserve">The </w:t>
      </w:r>
      <w:proofErr w:type="spellStart"/>
      <w:r w:rsidR="008A4A7C" w:rsidRPr="000111A8">
        <w:t>Kalydeco</w:t>
      </w:r>
      <w:proofErr w:type="spellEnd"/>
      <w:r w:rsidR="008A4A7C" w:rsidRPr="000111A8">
        <w:t xml:space="preserve"> </w:t>
      </w:r>
      <w:r w:rsidRPr="000111A8">
        <w:t>(</w:t>
      </w:r>
      <w:proofErr w:type="spellStart"/>
      <w:r w:rsidRPr="000111A8">
        <w:t>ivacaftor</w:t>
      </w:r>
      <w:proofErr w:type="spellEnd"/>
      <w:r w:rsidRPr="000111A8">
        <w:t>) EU Risk Management Plan (RMP) version 3.0 dated</w:t>
      </w:r>
      <w:r>
        <w:t xml:space="preserve"> </w:t>
      </w:r>
      <w:r w:rsidRPr="000111A8">
        <w:t>27 July 2014 (data lock point 23 July 2013) with Australian Specific Annex version 2.0</w:t>
      </w:r>
      <w:r>
        <w:t xml:space="preserve"> </w:t>
      </w:r>
      <w:r w:rsidRPr="000111A8">
        <w:t>dated 31 March 2015, and any subsequent revisions, as agreed with the TGA will be</w:t>
      </w:r>
      <w:r>
        <w:t xml:space="preserve"> implemented in Australia.</w:t>
      </w:r>
    </w:p>
    <w:p w:rsidR="008E7846" w:rsidRDefault="00A80B5B" w:rsidP="000111A8">
      <w:pPr>
        <w:pStyle w:val="Heading2"/>
      </w:pPr>
      <w:bookmarkStart w:id="125" w:name="_Toc472521805"/>
      <w:proofErr w:type="gramStart"/>
      <w:r>
        <w:t>Attachment 1.</w:t>
      </w:r>
      <w:proofErr w:type="gramEnd"/>
      <w:r>
        <w:t xml:space="preserve"> </w:t>
      </w:r>
      <w:r w:rsidR="008E7846">
        <w:t xml:space="preserve">Product </w:t>
      </w:r>
      <w:r w:rsidR="00AA0ED0">
        <w:t>I</w:t>
      </w:r>
      <w:r w:rsidR="008E7846">
        <w:t>nformation</w:t>
      </w:r>
      <w:bookmarkEnd w:id="123"/>
      <w:bookmarkEnd w:id="124"/>
      <w:bookmarkEnd w:id="125"/>
    </w:p>
    <w:p w:rsidR="00C80137" w:rsidRDefault="006136D7" w:rsidP="00C80137">
      <w:pPr>
        <w:rPr>
          <w:color w:val="000000"/>
          <w:lang w:eastAsia="en-AU"/>
        </w:rPr>
      </w:pPr>
      <w:r w:rsidRPr="002B3624">
        <w:t xml:space="preserve">The </w:t>
      </w:r>
      <w:r>
        <w:t>PI</w:t>
      </w:r>
      <w:r w:rsidRPr="002B3624">
        <w:t xml:space="preserve"> for </w:t>
      </w:r>
      <w:proofErr w:type="spellStart"/>
      <w:r w:rsidR="00BC0A8D">
        <w:t>Kaldyeco</w:t>
      </w:r>
      <w:proofErr w:type="spellEnd"/>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0" w:history="1">
        <w:r w:rsidR="007C6B9B" w:rsidRPr="007C6B9B">
          <w:rPr>
            <w:rStyle w:val="Hyperlink"/>
          </w:rPr>
          <w:t>https://www.tga.gov.au/product-information-pi</w:t>
        </w:r>
      </w:hyperlink>
      <w:r w:rsidR="001D53BE">
        <w:t>&gt;.</w:t>
      </w:r>
    </w:p>
    <w:p w:rsidR="00770CAC" w:rsidRDefault="00C80137" w:rsidP="00E7281A">
      <w:pPr>
        <w:pStyle w:val="Heading2"/>
        <w:rPr>
          <w:lang w:eastAsia="en-AU"/>
        </w:rPr>
      </w:pPr>
      <w:bookmarkStart w:id="126" w:name="_Toc472521806"/>
      <w:proofErr w:type="gramStart"/>
      <w:r>
        <w:rPr>
          <w:lang w:eastAsia="en-AU"/>
        </w:rPr>
        <w:t>Attachment 2.</w:t>
      </w:r>
      <w:proofErr w:type="gramEnd"/>
      <w:r w:rsidR="00A80B5B">
        <w:rPr>
          <w:lang w:eastAsia="en-AU"/>
        </w:rPr>
        <w:t xml:space="preserve"> </w:t>
      </w:r>
      <w:r>
        <w:rPr>
          <w:lang w:eastAsia="en-AU"/>
        </w:rPr>
        <w:t>Extract from the Clinical Evaluation Report</w:t>
      </w:r>
      <w:bookmarkEnd w:id="126"/>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31"/>
          <w:headerReference w:type="default" r:id="rId32"/>
          <w:headerReference w:type="first" r:id="rId33"/>
          <w:footerReference w:type="first" r:id="rId34"/>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5" w:history="1">
              <w:r w:rsidRPr="004C239D">
                <w:rPr>
                  <w:rStyle w:val="Hyperlink"/>
                </w:rPr>
                <w:t>info@tga.gov.au</w:t>
              </w:r>
            </w:hyperlink>
            <w:r w:rsidRPr="00487162">
              <w:t xml:space="preserve">  Phone: 1800 020 653  Fax: 02 6232 8605</w:t>
            </w:r>
          </w:p>
          <w:p w:rsidR="001C32CD" w:rsidRPr="004C239D" w:rsidRDefault="00B63D18" w:rsidP="00A05FA4">
            <w:pPr>
              <w:pStyle w:val="Address"/>
              <w:spacing w:line="260" w:lineRule="atLeast"/>
              <w:rPr>
                <w:b/>
                <w:color w:val="0000FF"/>
                <w:u w:val="single"/>
              </w:rPr>
            </w:pPr>
            <w:hyperlink r:id="rId36"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7"/>
      <w:headerReference w:type="default" r:id="rId38"/>
      <w:footerReference w:type="default" r:id="rId39"/>
      <w:headerReference w:type="first" r:id="rId40"/>
      <w:footerReference w:type="first" r:id="rId41"/>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D18" w:rsidRDefault="00B63D18" w:rsidP="00C40A36">
      <w:pPr>
        <w:spacing w:after="0"/>
      </w:pPr>
      <w:r>
        <w:separator/>
      </w:r>
    </w:p>
  </w:endnote>
  <w:endnote w:type="continuationSeparator" w:id="0">
    <w:p w:rsidR="00B63D18" w:rsidRDefault="00B63D1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63D18" w:rsidRPr="00487162" w:rsidTr="00DB750B">
      <w:trPr>
        <w:trHeight w:val="269"/>
      </w:trPr>
      <w:tc>
        <w:tcPr>
          <w:tcW w:w="7371" w:type="dxa"/>
          <w:tcMar>
            <w:top w:w="142" w:type="dxa"/>
            <w:bottom w:w="0" w:type="dxa"/>
          </w:tcMar>
        </w:tcPr>
        <w:p w:rsidR="00B63D18" w:rsidRPr="00487162" w:rsidRDefault="00B63D18" w:rsidP="00D962DD">
          <w:pPr>
            <w:pStyle w:val="Footer"/>
          </w:pPr>
          <w:r w:rsidRPr="00487162">
            <w:t>AusPA</w:t>
          </w:r>
          <w:r>
            <w:t xml:space="preserve">R </w:t>
          </w:r>
          <w:proofErr w:type="spellStart"/>
          <w:r>
            <w:t>Kaldyeco</w:t>
          </w:r>
          <w:proofErr w:type="spellEnd"/>
          <w:r>
            <w:t xml:space="preserve"> (</w:t>
          </w:r>
          <w:proofErr w:type="spellStart"/>
          <w:r>
            <w:t>ivacaftor</w:t>
          </w:r>
          <w:proofErr w:type="spellEnd"/>
          <w:r>
            <w:t>) PM-2014</w:t>
          </w:r>
          <w:r w:rsidRPr="00487162">
            <w:t>-</w:t>
          </w:r>
          <w:r>
            <w:t>04248</w:t>
          </w:r>
          <w:r w:rsidRPr="00487162">
            <w:t>-</w:t>
          </w:r>
          <w:r>
            <w:t>1</w:t>
          </w:r>
          <w:r w:rsidRPr="00487162">
            <w:t>-</w:t>
          </w:r>
          <w:r>
            <w:t>5</w:t>
          </w:r>
          <w:r>
            <w:br/>
            <w:t>Final 5 January 2017</w:t>
          </w:r>
        </w:p>
      </w:tc>
      <w:tc>
        <w:tcPr>
          <w:tcW w:w="1490" w:type="dxa"/>
          <w:tcMar>
            <w:top w:w="142" w:type="dxa"/>
            <w:bottom w:w="0" w:type="dxa"/>
          </w:tcMar>
        </w:tcPr>
        <w:p w:rsidR="00B63D18" w:rsidRPr="00487162" w:rsidRDefault="00B63D18" w:rsidP="00DB750B">
          <w:pPr>
            <w:pStyle w:val="Footer"/>
            <w:jc w:val="right"/>
          </w:pPr>
          <w:r w:rsidRPr="00487162">
            <w:t xml:space="preserve">Page </w:t>
          </w:r>
          <w:r>
            <w:fldChar w:fldCharType="begin"/>
          </w:r>
          <w:r>
            <w:instrText xml:space="preserve"> PAGE  \* Arabic </w:instrText>
          </w:r>
          <w:r>
            <w:fldChar w:fldCharType="separate"/>
          </w:r>
          <w:r w:rsidR="00527E90">
            <w:rPr>
              <w:noProof/>
            </w:rPr>
            <w:t>2</w:t>
          </w:r>
          <w:r>
            <w:fldChar w:fldCharType="end"/>
          </w:r>
          <w:r w:rsidRPr="00487162">
            <w:t xml:space="preserve"> of </w:t>
          </w:r>
          <w:r>
            <w:fldChar w:fldCharType="begin"/>
          </w:r>
          <w:r>
            <w:instrText xml:space="preserve"> NUMPAGES  \* Arabic </w:instrText>
          </w:r>
          <w:r>
            <w:fldChar w:fldCharType="separate"/>
          </w:r>
          <w:r w:rsidR="00527E90">
            <w:rPr>
              <w:noProof/>
            </w:rPr>
            <w:t>53</w:t>
          </w:r>
          <w:r>
            <w:rPr>
              <w:noProof/>
            </w:rPr>
            <w:fldChar w:fldCharType="end"/>
          </w:r>
        </w:p>
      </w:tc>
    </w:tr>
  </w:tbl>
  <w:p w:rsidR="00B63D18" w:rsidRDefault="00B63D18"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63D18" w:rsidRPr="00487162" w:rsidTr="00E45619">
      <w:trPr>
        <w:trHeight w:val="269"/>
      </w:trPr>
      <w:tc>
        <w:tcPr>
          <w:tcW w:w="4519" w:type="dxa"/>
          <w:tcBorders>
            <w:top w:val="single" w:sz="4" w:space="0" w:color="auto"/>
          </w:tcBorders>
          <w:tcMar>
            <w:top w:w="142" w:type="dxa"/>
            <w:bottom w:w="0" w:type="dxa"/>
          </w:tcMar>
        </w:tcPr>
        <w:p w:rsidR="00B63D18" w:rsidRPr="00487162" w:rsidRDefault="00B63D18" w:rsidP="00FE1DEE">
          <w:pPr>
            <w:pStyle w:val="Footer"/>
          </w:pPr>
          <w:r w:rsidRPr="00487162">
            <w:t>Document title, Part #, Section # - Section title</w:t>
          </w:r>
        </w:p>
        <w:p w:rsidR="00B63D18" w:rsidRPr="00487162" w:rsidRDefault="00B63D18" w:rsidP="00FE1DEE">
          <w:pPr>
            <w:pStyle w:val="Footer"/>
          </w:pPr>
          <w:r w:rsidRPr="00487162">
            <w:t>V1.0 October 2010</w:t>
          </w:r>
        </w:p>
      </w:tc>
      <w:tc>
        <w:tcPr>
          <w:tcW w:w="4342" w:type="dxa"/>
          <w:tcBorders>
            <w:top w:val="single" w:sz="4" w:space="0" w:color="auto"/>
          </w:tcBorders>
          <w:tcMar>
            <w:top w:w="142" w:type="dxa"/>
            <w:bottom w:w="0" w:type="dxa"/>
          </w:tcMar>
        </w:tcPr>
        <w:p w:rsidR="00B63D18" w:rsidRPr="00487162" w:rsidRDefault="00B63D1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47</w:t>
          </w:r>
          <w:r>
            <w:rPr>
              <w:noProof/>
            </w:rPr>
            <w:fldChar w:fldCharType="end"/>
          </w:r>
        </w:p>
      </w:tc>
    </w:tr>
  </w:tbl>
  <w:p w:rsidR="00B63D18" w:rsidRDefault="00B63D1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Pr="001C32CD" w:rsidRDefault="00B63D18"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63D18" w:rsidTr="0010601F">
      <w:trPr>
        <w:trHeight w:val="108"/>
      </w:trPr>
      <w:tc>
        <w:tcPr>
          <w:tcW w:w="8875" w:type="dxa"/>
          <w:gridSpan w:val="2"/>
          <w:tcBorders>
            <w:bottom w:val="single" w:sz="4" w:space="0" w:color="auto"/>
          </w:tcBorders>
          <w:tcMar>
            <w:right w:w="284" w:type="dxa"/>
          </w:tcMar>
        </w:tcPr>
        <w:p w:rsidR="00B63D18" w:rsidRDefault="00B63D18" w:rsidP="006E08B3">
          <w:pPr>
            <w:pStyle w:val="Heading3"/>
          </w:pPr>
          <w:r>
            <w:t>Copyright</w:t>
          </w:r>
        </w:p>
        <w:p w:rsidR="00B63D18" w:rsidRDefault="00B63D18" w:rsidP="006E08B3">
          <w:r>
            <w:rPr>
              <w:rFonts w:cs="Arial"/>
            </w:rPr>
            <w:t>©</w:t>
          </w:r>
          <w:r>
            <w:t xml:space="preserve"> Commonwealth of Australia [add year]</w:t>
          </w:r>
        </w:p>
        <w:p w:rsidR="00B63D18" w:rsidRDefault="00B63D18" w:rsidP="006E08B3"/>
        <w:p w:rsidR="00B63D18" w:rsidRDefault="00B63D1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63D18" w:rsidRDefault="00B63D18" w:rsidP="006E08B3"/>
        <w:p w:rsidR="00B63D18" w:rsidRDefault="00B63D18" w:rsidP="006E08B3">
          <w:pPr>
            <w:pStyle w:val="Heading3"/>
          </w:pPr>
          <w:r>
            <w:t>Confidentiality</w:t>
          </w:r>
        </w:p>
        <w:p w:rsidR="00B63D18" w:rsidRDefault="00B63D1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63D18" w:rsidRDefault="00B63D18" w:rsidP="006E08B3"/>
        <w:p w:rsidR="00B63D18" w:rsidRDefault="00B63D18" w:rsidP="006E08B3">
          <w:r>
            <w:t>For submission made by individuals, all personal details, other than your name, will be removed from your submission before it is published on the TGA’s Internet site.</w:t>
          </w:r>
        </w:p>
        <w:p w:rsidR="00B63D18" w:rsidRDefault="00B63D18" w:rsidP="006E08B3"/>
        <w:p w:rsidR="00B63D18" w:rsidRDefault="00B63D18" w:rsidP="006E08B3">
          <w:r>
            <w:t>In addition, a list of parties making submissions will be published. If you do not wish to be identified with your submission you must specifically request this in the space provided ib the submission coversheet.</w:t>
          </w:r>
        </w:p>
      </w:tc>
    </w:tr>
    <w:tr w:rsidR="00B63D18" w:rsidTr="0010601F">
      <w:trPr>
        <w:trHeight w:val="417"/>
      </w:trPr>
      <w:tc>
        <w:tcPr>
          <w:tcW w:w="4519" w:type="dxa"/>
          <w:tcBorders>
            <w:top w:val="single" w:sz="4" w:space="0" w:color="auto"/>
          </w:tcBorders>
          <w:tcMar>
            <w:top w:w="142" w:type="dxa"/>
            <w:bottom w:w="0" w:type="dxa"/>
          </w:tcMar>
        </w:tcPr>
        <w:p w:rsidR="00B63D18" w:rsidRDefault="00B63D18" w:rsidP="006E08B3">
          <w:r>
            <w:t>Document title, Part #, Section # - Section title</w:t>
          </w:r>
        </w:p>
        <w:p w:rsidR="00B63D18" w:rsidRDefault="00B63D18" w:rsidP="006E08B3">
          <w:r>
            <w:t>V1.0 October 2010</w:t>
          </w:r>
        </w:p>
      </w:tc>
      <w:tc>
        <w:tcPr>
          <w:tcW w:w="4356" w:type="dxa"/>
          <w:tcBorders>
            <w:top w:val="single" w:sz="4" w:space="0" w:color="auto"/>
          </w:tcBorders>
          <w:tcMar>
            <w:top w:w="142" w:type="dxa"/>
            <w:bottom w:w="0" w:type="dxa"/>
          </w:tcMar>
        </w:tcPr>
        <w:p w:rsidR="00B63D18" w:rsidRDefault="00B63D1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47</w:t>
          </w:r>
          <w:r>
            <w:rPr>
              <w:noProof/>
            </w:rPr>
            <w:fldChar w:fldCharType="end"/>
          </w:r>
          <w:r>
            <w:t xml:space="preserve">  </w:t>
          </w:r>
        </w:p>
      </w:tc>
    </w:tr>
  </w:tbl>
  <w:p w:rsidR="00B63D18" w:rsidRDefault="00B63D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D18" w:rsidRDefault="00B63D18" w:rsidP="00C40A36">
      <w:pPr>
        <w:spacing w:after="0"/>
      </w:pPr>
      <w:r>
        <w:separator/>
      </w:r>
    </w:p>
  </w:footnote>
  <w:footnote w:type="continuationSeparator" w:id="0">
    <w:p w:rsidR="00B63D18" w:rsidRDefault="00B63D18" w:rsidP="00C40A36">
      <w:pPr>
        <w:spacing w:after="0"/>
      </w:pPr>
      <w:r>
        <w:continuationSeparator/>
      </w:r>
    </w:p>
  </w:footnote>
  <w:footnote w:id="1">
    <w:p w:rsidR="00B63D18" w:rsidRPr="00EA0443" w:rsidRDefault="00B63D18" w:rsidP="00910911">
      <w:pPr>
        <w:pStyle w:val="FootnoteText"/>
        <w:rPr>
          <w:lang w:val="en-US"/>
        </w:rPr>
      </w:pPr>
      <w:r>
        <w:rPr>
          <w:rStyle w:val="FootnoteReference"/>
        </w:rPr>
        <w:footnoteRef/>
      </w:r>
      <w:r>
        <w:t xml:space="preserve"> </w:t>
      </w:r>
      <w:r>
        <w:rPr>
          <w:lang w:val="en-US"/>
        </w:rPr>
        <w:t>CF affects approximately 30.000 individuals in the US, 36000 individuals in the EU and 3900 individuals in Canada</w:t>
      </w:r>
    </w:p>
  </w:footnote>
  <w:footnote w:id="2">
    <w:p w:rsidR="00B63D18" w:rsidRPr="00D53EF5" w:rsidRDefault="00B63D18" w:rsidP="00157452">
      <w:pPr>
        <w:pStyle w:val="FootnoteText"/>
      </w:pPr>
      <w:r>
        <w:rPr>
          <w:rStyle w:val="FootnoteReference"/>
        </w:rPr>
        <w:footnoteRef/>
      </w:r>
      <w:r>
        <w:t xml:space="preserve"> </w:t>
      </w:r>
      <w:r w:rsidRPr="00D53EF5">
        <w:t>Sheppard DN et al. Mutations in CFTR associated with mild-disease-form Cl- channels with altered pore properties.</w:t>
      </w:r>
      <w:r>
        <w:t xml:space="preserve"> </w:t>
      </w:r>
      <w:proofErr w:type="gramStart"/>
      <w:r w:rsidRPr="00D53EF5">
        <w:t>Nature.</w:t>
      </w:r>
      <w:proofErr w:type="gramEnd"/>
      <w:r w:rsidRPr="00D53EF5">
        <w:t xml:space="preserve"> 1993; 362(6416): 160–164.</w:t>
      </w:r>
    </w:p>
  </w:footnote>
  <w:footnote w:id="3">
    <w:p w:rsidR="00B63D18" w:rsidRPr="00D53EF5" w:rsidRDefault="00B63D18" w:rsidP="00157452">
      <w:pPr>
        <w:pStyle w:val="FootnoteText"/>
      </w:pPr>
      <w:r w:rsidRPr="00157452">
        <w:rPr>
          <w:vertAlign w:val="superscript"/>
        </w:rPr>
        <w:footnoteRef/>
      </w:r>
      <w:r w:rsidRPr="00D53EF5">
        <w:t xml:space="preserve"> </w:t>
      </w:r>
      <w:proofErr w:type="spellStart"/>
      <w:r w:rsidRPr="00D53EF5">
        <w:t>Hammerle</w:t>
      </w:r>
      <w:proofErr w:type="spellEnd"/>
      <w:r w:rsidRPr="00D53EF5">
        <w:t xml:space="preserve"> MM et al. Disease-associate mutations in the </w:t>
      </w:r>
      <w:proofErr w:type="spellStart"/>
      <w:r w:rsidRPr="00D53EF5">
        <w:t>extracytoplasmic</w:t>
      </w:r>
      <w:proofErr w:type="spellEnd"/>
      <w:r w:rsidRPr="00D53EF5">
        <w:t xml:space="preserve"> loops of cystic fibrosis transmembrane</w:t>
      </w:r>
      <w:r>
        <w:t xml:space="preserve"> </w:t>
      </w:r>
      <w:r w:rsidRPr="00D53EF5">
        <w:t xml:space="preserve">conductance regulator do not impede biosynthetic processing but impair chloride channel stability. </w:t>
      </w:r>
      <w:proofErr w:type="gramStart"/>
      <w:r>
        <w:t xml:space="preserve">J. Biol. Chem. </w:t>
      </w:r>
      <w:r w:rsidRPr="00D53EF5">
        <w:t>2001; 276: 4848–4854.</w:t>
      </w:r>
      <w:proofErr w:type="gramEnd"/>
    </w:p>
  </w:footnote>
  <w:footnote w:id="4">
    <w:p w:rsidR="00B63D18" w:rsidRPr="00EA0443" w:rsidRDefault="00B63D18" w:rsidP="00157452">
      <w:pPr>
        <w:pStyle w:val="FootnoteText"/>
        <w:rPr>
          <w:lang w:val="en-US"/>
        </w:rPr>
      </w:pPr>
      <w:r>
        <w:rPr>
          <w:rStyle w:val="FootnoteReference"/>
        </w:rPr>
        <w:footnoteRef/>
      </w:r>
      <w:r>
        <w:t xml:space="preserve"> </w:t>
      </w:r>
      <w:r>
        <w:rPr>
          <w:lang w:val="en-US"/>
        </w:rPr>
        <w:t>CF affects approximately 30.000 individuals in the US, 36000 individuals in the EU, 3900 individuals in Canada</w:t>
      </w:r>
    </w:p>
  </w:footnote>
  <w:footnote w:id="5">
    <w:p w:rsidR="00B63D18" w:rsidRPr="00320480" w:rsidRDefault="00B63D18" w:rsidP="00157452">
      <w:pPr>
        <w:pStyle w:val="FootnoteText"/>
        <w:rPr>
          <w:lang w:val="en-US"/>
        </w:rPr>
      </w:pPr>
      <w:r w:rsidRPr="00320480">
        <w:rPr>
          <w:rStyle w:val="FootnoteReference"/>
          <w:szCs w:val="17"/>
        </w:rPr>
        <w:footnoteRef/>
      </w:r>
      <w:r w:rsidRPr="00320480">
        <w:t xml:space="preserve"> </w:t>
      </w:r>
      <w:r w:rsidRPr="00320480">
        <w:rPr>
          <w:lang w:val="en-US"/>
        </w:rPr>
        <w:t>Percent Predicted FEV</w:t>
      </w:r>
      <w:r w:rsidRPr="00320480">
        <w:rPr>
          <w:vertAlign w:val="subscript"/>
          <w:lang w:val="en-US"/>
        </w:rPr>
        <w:t>1</w:t>
      </w:r>
      <w:r w:rsidRPr="00320480">
        <w:rPr>
          <w:lang w:val="en-US"/>
        </w:rPr>
        <w:t xml:space="preserve"> (</w:t>
      </w:r>
      <w:r w:rsidRPr="00320480">
        <w:t>pp</w:t>
      </w:r>
      <w:r>
        <w:t xml:space="preserve"> </w:t>
      </w:r>
      <w:r w:rsidRPr="00320480">
        <w:t>FEV</w:t>
      </w:r>
      <w:r w:rsidRPr="00320480">
        <w:rPr>
          <w:vertAlign w:val="subscript"/>
        </w:rPr>
        <w:t>1</w:t>
      </w:r>
      <w:r w:rsidRPr="00320480">
        <w:t>)</w:t>
      </w:r>
      <w:r w:rsidRPr="00320480">
        <w:rPr>
          <w:lang w:val="en-US"/>
        </w:rPr>
        <w:t>:</w:t>
      </w:r>
      <w:r>
        <w:rPr>
          <w:lang w:val="en-US"/>
        </w:rPr>
        <w:t>FEV</w:t>
      </w:r>
      <w:r w:rsidRPr="00320480">
        <w:rPr>
          <w:vertAlign w:val="subscript"/>
          <w:lang w:val="en-US"/>
        </w:rPr>
        <w:t>1</w:t>
      </w:r>
      <w:r w:rsidRPr="00320480">
        <w:rPr>
          <w:lang w:val="en-US"/>
        </w:rPr>
        <w:t xml:space="preserve"> of the pati</w:t>
      </w:r>
      <w:r>
        <w:rPr>
          <w:lang w:val="en-US"/>
        </w:rPr>
        <w:t>ent divided by the average FEV</w:t>
      </w:r>
      <w:r w:rsidRPr="00320480">
        <w:rPr>
          <w:vertAlign w:val="subscript"/>
          <w:lang w:val="en-US"/>
        </w:rPr>
        <w:t>1</w:t>
      </w:r>
      <w:r w:rsidRPr="00320480">
        <w:rPr>
          <w:lang w:val="en-US"/>
        </w:rPr>
        <w:t xml:space="preserve"> in the population of similar age, sex and body composition</w:t>
      </w:r>
      <w:r>
        <w:rPr>
          <w:lang w:val="en-US"/>
        </w:rPr>
        <w:t xml:space="preserve"> (www</w:t>
      </w:r>
      <w:r w:rsidRPr="00320480">
        <w:rPr>
          <w:lang w:val="en-US"/>
        </w:rPr>
        <w:t>.</w:t>
      </w:r>
      <w:r>
        <w:rPr>
          <w:lang w:val="en-US"/>
        </w:rPr>
        <w:t>nationalasthma.org.au)</w:t>
      </w:r>
    </w:p>
  </w:footnote>
  <w:footnote w:id="6">
    <w:p w:rsidR="00B63D18" w:rsidRPr="00AF019C" w:rsidRDefault="00B63D18" w:rsidP="00157452">
      <w:pPr>
        <w:pStyle w:val="FootnoteText"/>
        <w:rPr>
          <w:lang w:val="en-US"/>
        </w:rPr>
      </w:pPr>
      <w:r>
        <w:rPr>
          <w:rStyle w:val="FootnoteReference"/>
        </w:rPr>
        <w:footnoteRef/>
      </w:r>
      <w:r>
        <w:t xml:space="preserve"> </w:t>
      </w:r>
      <w:proofErr w:type="gramStart"/>
      <w:r>
        <w:rPr>
          <w:lang w:val="en-US"/>
        </w:rPr>
        <w:t>The clinical and functional translation of CFTR (CFTR2).</w:t>
      </w:r>
      <w:proofErr w:type="gramEnd"/>
      <w:r>
        <w:rPr>
          <w:lang w:val="en-US"/>
        </w:rPr>
        <w:t xml:space="preserve"> Available at: </w:t>
      </w:r>
      <w:hyperlink r:id="rId1" w:history="1">
        <w:r w:rsidRPr="00CF0D72">
          <w:rPr>
            <w:rStyle w:val="Hyperlink"/>
            <w:lang w:val="en-US"/>
          </w:rPr>
          <w:t>http://cftr2.org</w:t>
        </w:r>
      </w:hyperlink>
      <w:r>
        <w:rPr>
          <w:lang w:val="en-US"/>
        </w:rPr>
        <w:t xml:space="preserve"> (Accessed 28 May 2014). Nat Genet 2013:45 (10); 1160-7</w:t>
      </w:r>
    </w:p>
  </w:footnote>
  <w:footnote w:id="7">
    <w:p w:rsidR="00B63D18" w:rsidRPr="003978A0" w:rsidRDefault="00B63D18" w:rsidP="00157452">
      <w:pPr>
        <w:pStyle w:val="FootnoteText"/>
        <w:rPr>
          <w:lang w:val="en-US"/>
        </w:rPr>
      </w:pPr>
      <w:r>
        <w:rPr>
          <w:rStyle w:val="FootnoteReference"/>
        </w:rPr>
        <w:footnoteRef/>
      </w:r>
      <w:r>
        <w:t xml:space="preserve"> McCloskey M et al: Clinical features associated with a delayed diagnosis of cystic fibrosis. </w:t>
      </w:r>
      <w:proofErr w:type="gramStart"/>
      <w:r>
        <w:t>Respiration.</w:t>
      </w:r>
      <w:proofErr w:type="gramEnd"/>
      <w:r>
        <w:t xml:space="preserve"> 2000;67:402-7</w:t>
      </w:r>
    </w:p>
  </w:footnote>
  <w:footnote w:id="8">
    <w:p w:rsidR="00B63D18" w:rsidRPr="003978A0" w:rsidRDefault="00B63D18" w:rsidP="00157452">
      <w:pPr>
        <w:pStyle w:val="FootnoteText"/>
        <w:rPr>
          <w:lang w:val="en-US"/>
        </w:rPr>
      </w:pPr>
      <w:r>
        <w:rPr>
          <w:rStyle w:val="FootnoteReference"/>
        </w:rPr>
        <w:footnoteRef/>
      </w:r>
      <w:r>
        <w:t xml:space="preserve"> </w:t>
      </w:r>
      <w:proofErr w:type="spellStart"/>
      <w:r>
        <w:t>McKone</w:t>
      </w:r>
      <w:proofErr w:type="spellEnd"/>
      <w:r>
        <w:t xml:space="preserve"> EF et al: CFTR genotype as a predictor of prognosis in cystic fibrosis. Chest 2006;130:1441-7</w:t>
      </w:r>
    </w:p>
  </w:footnote>
  <w:footnote w:id="9">
    <w:p w:rsidR="00B63D18" w:rsidRPr="003978A0" w:rsidRDefault="00B63D18" w:rsidP="00157452">
      <w:pPr>
        <w:pStyle w:val="FootnoteText"/>
        <w:rPr>
          <w:lang w:val="en-US"/>
        </w:rPr>
      </w:pPr>
      <w:r>
        <w:rPr>
          <w:rStyle w:val="FootnoteReference"/>
        </w:rPr>
        <w:footnoteRef/>
      </w:r>
      <w:r>
        <w:t xml:space="preserve"> </w:t>
      </w:r>
      <w:r>
        <w:rPr>
          <w:lang w:val="en-US"/>
        </w:rPr>
        <w:t>Comer DM et al: Clinical phenotype of cystic fibrosis patients with the G551D mutation. Q J Med. 2009;102:793-98</w:t>
      </w:r>
    </w:p>
  </w:footnote>
  <w:footnote w:id="10">
    <w:p w:rsidR="00B63D18" w:rsidRPr="005A2CBB" w:rsidRDefault="00B63D18" w:rsidP="00E92D49">
      <w:pPr>
        <w:pStyle w:val="FootnoteText"/>
        <w:rPr>
          <w:lang w:val="en-US"/>
        </w:rPr>
      </w:pPr>
      <w:r>
        <w:rPr>
          <w:rStyle w:val="FootnoteReference"/>
        </w:rPr>
        <w:footnoteRef/>
      </w:r>
      <w:r>
        <w:t xml:space="preserve"> CFQ-RSS: Revised Cystic Fibrosis Questionnaire, Respiratory symptoms scale (</w:t>
      </w:r>
      <w:proofErr w:type="spellStart"/>
      <w:r>
        <w:t>Quittner</w:t>
      </w:r>
      <w:proofErr w:type="spellEnd"/>
      <w:r>
        <w:t xml:space="preserve"> AL et al: Psychometric evaluation of the Cystic Fibrosis Questionnaire-Revised in a national, US sample. Qual Life Res 2012</w:t>
      </w:r>
      <w:proofErr w:type="gramStart"/>
      <w:r>
        <w:t>;21:1279</w:t>
      </w:r>
      <w:proofErr w:type="gramEnd"/>
      <w:r>
        <w:t>-1290.</w:t>
      </w:r>
    </w:p>
  </w:footnote>
  <w:footnote w:id="11">
    <w:p w:rsidR="00B63D18" w:rsidRPr="004A53AA" w:rsidRDefault="00B63D18" w:rsidP="00527E90">
      <w:pPr>
        <w:pStyle w:val="FootnoteText"/>
        <w:rPr>
          <w:lang w:val="en-US"/>
        </w:rPr>
      </w:pPr>
      <w:r>
        <w:rPr>
          <w:rStyle w:val="FootnoteReference"/>
        </w:rPr>
        <w:footnoteRef/>
      </w:r>
      <w:r>
        <w:t xml:space="preserve"> </w:t>
      </w:r>
      <w:proofErr w:type="spellStart"/>
      <w:r>
        <w:rPr>
          <w:lang w:val="en-US"/>
        </w:rPr>
        <w:t>Sagel</w:t>
      </w:r>
      <w:proofErr w:type="spellEnd"/>
      <w:r>
        <w:rPr>
          <w:lang w:val="en-US"/>
        </w:rPr>
        <w:t xml:space="preserve"> SD et al: Effect of </w:t>
      </w:r>
      <w:proofErr w:type="spellStart"/>
      <w:r>
        <w:rPr>
          <w:lang w:val="en-US"/>
        </w:rPr>
        <w:t>ivacaftor</w:t>
      </w:r>
      <w:proofErr w:type="spellEnd"/>
      <w:r>
        <w:rPr>
          <w:lang w:val="en-US"/>
        </w:rPr>
        <w:t xml:space="preserve"> in R117H patients following FDA approval: Early results of the G551D observational-expanded and extended (GOAL-E2) study. Poster session Abstracts. </w:t>
      </w:r>
      <w:proofErr w:type="gramStart"/>
      <w:r>
        <w:rPr>
          <w:lang w:val="en-US"/>
        </w:rPr>
        <w:t>Pediatr.</w:t>
      </w:r>
      <w:proofErr w:type="gramEnd"/>
      <w:r>
        <w:rPr>
          <w:lang w:val="en-US"/>
        </w:rPr>
        <w:t xml:space="preserve"> </w:t>
      </w:r>
      <w:proofErr w:type="spellStart"/>
      <w:proofErr w:type="gramStart"/>
      <w:r>
        <w:rPr>
          <w:lang w:val="en-US"/>
        </w:rPr>
        <w:t>Pulmonol</w:t>
      </w:r>
      <w:proofErr w:type="spellEnd"/>
      <w:r>
        <w:rPr>
          <w:lang w:val="en-US"/>
        </w:rPr>
        <w:t>.,</w:t>
      </w:r>
      <w:proofErr w:type="gramEnd"/>
      <w:r>
        <w:rPr>
          <w:lang w:val="en-US"/>
        </w:rPr>
        <w:t xml:space="preserve"> 2015;50(S41): Abstract 190.</w:t>
      </w:r>
    </w:p>
  </w:footnote>
  <w:footnote w:id="12">
    <w:p w:rsidR="00B63D18" w:rsidRPr="00BC0A8D" w:rsidRDefault="00B63D18">
      <w:pPr>
        <w:pStyle w:val="FootnoteText"/>
        <w:rPr>
          <w:lang w:val="en-US"/>
        </w:rPr>
      </w:pPr>
      <w:r>
        <w:rPr>
          <w:rStyle w:val="FootnoteReference"/>
        </w:rPr>
        <w:footnoteRef/>
      </w:r>
      <w:r>
        <w:t xml:space="preserve"> </w:t>
      </w:r>
      <w:r>
        <w:rPr>
          <w:lang w:val="en-US"/>
        </w:rPr>
        <w:t>SmPC: Summary of Product Characteristics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pPr>
      <w:rPr>
        <w:noProof/>
        <w:lang w:eastAsia="en-AU"/>
      </w:rPr>
    </w:pPr>
    <w:r w:rsidRPr="00347824">
      <w:rPr>
        <w:noProof/>
        <w:lang w:eastAsia="en-AU"/>
      </w:rPr>
      <w:drawing>
        <wp:anchor distT="0" distB="0" distL="114300" distR="114300" simplePos="0" relativeHeight="251659264" behindDoc="1" locked="0" layoutInCell="1" allowOverlap="1" wp14:anchorId="1D1D8814" wp14:editId="10FA3C0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63D18" w:rsidRDefault="00B63D18" w:rsidP="00593AD1">
    <w:pPr>
      <w:pStyle w:val="HeaderNoLine"/>
    </w:pPr>
    <w:r>
      <w:rPr>
        <w:noProof/>
        <w:lang w:eastAsia="en-AU"/>
      </w:rPr>
      <w:drawing>
        <wp:inline distT="0" distB="0" distL="0" distR="0" wp14:anchorId="6ADD0346" wp14:editId="3BD3798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D18" w:rsidRDefault="00B63D18" w:rsidP="006E08B3">
    <w:r>
      <w:t>Therapeutic Goods Administration</w:t>
    </w:r>
  </w:p>
  <w:p w:rsidR="00B63D18" w:rsidRDefault="00B63D1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64CFFE6"/>
    <w:lvl w:ilvl="0">
      <w:start w:val="1"/>
      <w:numFmt w:val="decimal"/>
      <w:lvlText w:val="%1."/>
      <w:lvlJc w:val="left"/>
      <w:pPr>
        <w:tabs>
          <w:tab w:val="num" w:pos="1492"/>
        </w:tabs>
        <w:ind w:left="1492" w:hanging="360"/>
      </w:pPr>
    </w:lvl>
  </w:abstractNum>
  <w:abstractNum w:abstractNumId="1">
    <w:nsid w:val="FFFFFF7D"/>
    <w:multiLevelType w:val="singleLevel"/>
    <w:tmpl w:val="92205688"/>
    <w:lvl w:ilvl="0">
      <w:start w:val="1"/>
      <w:numFmt w:val="decimal"/>
      <w:lvlText w:val="%1."/>
      <w:lvlJc w:val="left"/>
      <w:pPr>
        <w:tabs>
          <w:tab w:val="num" w:pos="1209"/>
        </w:tabs>
        <w:ind w:left="1209" w:hanging="360"/>
      </w:pPr>
    </w:lvl>
  </w:abstractNum>
  <w:abstractNum w:abstractNumId="2">
    <w:nsid w:val="FFFFFF7E"/>
    <w:multiLevelType w:val="singleLevel"/>
    <w:tmpl w:val="7CF8AD28"/>
    <w:lvl w:ilvl="0">
      <w:start w:val="1"/>
      <w:numFmt w:val="decimal"/>
      <w:lvlText w:val="%1."/>
      <w:lvlJc w:val="left"/>
      <w:pPr>
        <w:tabs>
          <w:tab w:val="num" w:pos="926"/>
        </w:tabs>
        <w:ind w:left="926" w:hanging="360"/>
      </w:pPr>
    </w:lvl>
  </w:abstractNum>
  <w:abstractNum w:abstractNumId="3">
    <w:nsid w:val="FFFFFF7F"/>
    <w:multiLevelType w:val="singleLevel"/>
    <w:tmpl w:val="A6B63FF0"/>
    <w:lvl w:ilvl="0">
      <w:start w:val="1"/>
      <w:numFmt w:val="decimal"/>
      <w:lvlText w:val="%1."/>
      <w:lvlJc w:val="left"/>
      <w:pPr>
        <w:tabs>
          <w:tab w:val="num" w:pos="643"/>
        </w:tabs>
        <w:ind w:left="643" w:hanging="360"/>
      </w:pPr>
    </w:lvl>
  </w:abstractNum>
  <w:abstractNum w:abstractNumId="4">
    <w:nsid w:val="FFFFFF80"/>
    <w:multiLevelType w:val="singleLevel"/>
    <w:tmpl w:val="A2120F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D462B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269E030E"/>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009B771A"/>
    <w:multiLevelType w:val="hybridMultilevel"/>
    <w:tmpl w:val="AFF870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7B97BFB"/>
    <w:multiLevelType w:val="hybridMultilevel"/>
    <w:tmpl w:val="207C9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0BB0170B"/>
    <w:multiLevelType w:val="hybridMultilevel"/>
    <w:tmpl w:val="86B0B8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C566279"/>
    <w:multiLevelType w:val="hybridMultilevel"/>
    <w:tmpl w:val="EFEE0B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7">
    <w:nsid w:val="3C2C1966"/>
    <w:multiLevelType w:val="hybridMultilevel"/>
    <w:tmpl w:val="166EC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E2136C3"/>
    <w:multiLevelType w:val="hybridMultilevel"/>
    <w:tmpl w:val="6C22F76E"/>
    <w:lvl w:ilvl="0" w:tplc="0C090001">
      <w:start w:val="1"/>
      <w:numFmt w:val="bullet"/>
      <w:lvlText w:val=""/>
      <w:lvlJc w:val="left"/>
      <w:pPr>
        <w:ind w:left="360" w:hanging="360"/>
      </w:pPr>
      <w:rPr>
        <w:rFonts w:ascii="Symbol" w:hAnsi="Symbol" w:hint="default"/>
      </w:rPr>
    </w:lvl>
    <w:lvl w:ilvl="1" w:tplc="E6305ACC">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427F3FBA"/>
    <w:multiLevelType w:val="hybridMultilevel"/>
    <w:tmpl w:val="F65270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0081026"/>
    <w:multiLevelType w:val="hybridMultilevel"/>
    <w:tmpl w:val="2AFA1144"/>
    <w:lvl w:ilvl="0" w:tplc="6F103720">
      <w:start w:val="2"/>
      <w:numFmt w:val="bullet"/>
      <w:lvlText w:val="•"/>
      <w:lvlJc w:val="left"/>
      <w:pPr>
        <w:ind w:left="927" w:hanging="360"/>
      </w:pPr>
      <w:rPr>
        <w:rFonts w:ascii="Cambria" w:eastAsia="Times New Roman" w:hAnsi="Cambria"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nsid w:val="525A1EFF"/>
    <w:multiLevelType w:val="hybridMultilevel"/>
    <w:tmpl w:val="C5C6D2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556B3D00"/>
    <w:multiLevelType w:val="hybridMultilevel"/>
    <w:tmpl w:val="B25CF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643B6F1B"/>
    <w:multiLevelType w:val="hybridMultilevel"/>
    <w:tmpl w:val="3C32D5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61BE1786">
      <w:start w:val="2"/>
      <w:numFmt w:val="bullet"/>
      <w:lvlText w:val="•"/>
      <w:lvlJc w:val="left"/>
      <w:pPr>
        <w:ind w:left="2880" w:hanging="360"/>
      </w:pPr>
      <w:rPr>
        <w:rFonts w:ascii="Cambria" w:eastAsia="MS Mincho" w:hAnsi="Cambria"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470684C"/>
    <w:multiLevelType w:val="hybridMultilevel"/>
    <w:tmpl w:val="0BE00C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6FF27353"/>
    <w:multiLevelType w:val="hybridMultilevel"/>
    <w:tmpl w:val="76924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0827DA1"/>
    <w:multiLevelType w:val="hybridMultilevel"/>
    <w:tmpl w:val="4EA0A8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8466D082">
      <w:start w:val="2"/>
      <w:numFmt w:val="bullet"/>
      <w:lvlText w:val="•"/>
      <w:lvlJc w:val="left"/>
      <w:pPr>
        <w:ind w:left="2880" w:hanging="360"/>
      </w:pPr>
      <w:rPr>
        <w:rFonts w:ascii="Cambria" w:eastAsia="MS Mincho" w:hAnsi="Cambria"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6"/>
  </w:num>
  <w:num w:numId="4">
    <w:abstractNumId w:val="16"/>
  </w:num>
  <w:num w:numId="5">
    <w:abstractNumId w:val="6"/>
  </w:num>
  <w:num w:numId="6">
    <w:abstractNumId w:val="16"/>
  </w:num>
  <w:num w:numId="7">
    <w:abstractNumId w:val="16"/>
  </w:num>
  <w:num w:numId="8">
    <w:abstractNumId w:val="15"/>
  </w:num>
  <w:num w:numId="9">
    <w:abstractNumId w:val="15"/>
  </w:num>
  <w:num w:numId="10">
    <w:abstractNumId w:val="15"/>
  </w:num>
  <w:num w:numId="11">
    <w:abstractNumId w:val="15"/>
  </w:num>
  <w:num w:numId="12">
    <w:abstractNumId w:val="10"/>
    <w:lvlOverride w:ilvl="0">
      <w:lvl w:ilvl="0">
        <w:numFmt w:val="bullet"/>
        <w:lvlText w:val="•"/>
        <w:legacy w:legacy="1" w:legacySpace="0" w:legacyIndent="0"/>
        <w:lvlJc w:val="left"/>
        <w:rPr>
          <w:rFonts w:ascii="Helv" w:hAnsi="Helv" w:hint="default"/>
        </w:rPr>
      </w:lvl>
    </w:lvlOverride>
  </w:num>
  <w:num w:numId="13">
    <w:abstractNumId w:val="16"/>
  </w:num>
  <w:num w:numId="14">
    <w:abstractNumId w:val="16"/>
  </w:num>
  <w:num w:numId="15">
    <w:abstractNumId w:val="16"/>
  </w:num>
  <w:num w:numId="16">
    <w:abstractNumId w:val="15"/>
  </w:num>
  <w:num w:numId="17">
    <w:abstractNumId w:val="15"/>
  </w:num>
  <w:num w:numId="18">
    <w:abstractNumId w:val="15"/>
  </w:num>
  <w:num w:numId="19">
    <w:abstractNumId w:val="16"/>
  </w:num>
  <w:num w:numId="20">
    <w:abstractNumId w:val="16"/>
  </w:num>
  <w:num w:numId="21">
    <w:abstractNumId w:val="16"/>
  </w:num>
  <w:num w:numId="22">
    <w:abstractNumId w:val="15"/>
  </w:num>
  <w:num w:numId="23">
    <w:abstractNumId w:val="15"/>
  </w:num>
  <w:num w:numId="24">
    <w:abstractNumId w:val="15"/>
  </w:num>
  <w:num w:numId="25">
    <w:abstractNumId w:val="1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1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3"/>
  </w:num>
  <w:num w:numId="28">
    <w:abstractNumId w:val="19"/>
  </w:num>
  <w:num w:numId="29">
    <w:abstractNumId w:val="12"/>
  </w:num>
  <w:num w:numId="30">
    <w:abstractNumId w:val="21"/>
  </w:num>
  <w:num w:numId="31">
    <w:abstractNumId w:val="14"/>
  </w:num>
  <w:num w:numId="32">
    <w:abstractNumId w:val="24"/>
  </w:num>
  <w:num w:numId="33">
    <w:abstractNumId w:val="22"/>
  </w:num>
  <w:num w:numId="34">
    <w:abstractNumId w:val="25"/>
  </w:num>
  <w:num w:numId="35">
    <w:abstractNumId w:val="11"/>
  </w:num>
  <w:num w:numId="36">
    <w:abstractNumId w:val="26"/>
  </w:num>
  <w:num w:numId="37">
    <w:abstractNumId w:val="23"/>
  </w:num>
  <w:num w:numId="38">
    <w:abstractNumId w:val="17"/>
  </w:num>
  <w:num w:numId="39">
    <w:abstractNumId w:val="20"/>
  </w:num>
  <w:num w:numId="40">
    <w:abstractNumId w:val="18"/>
  </w:num>
  <w:num w:numId="41">
    <w:abstractNumId w:val="5"/>
  </w:num>
  <w:num w:numId="42">
    <w:abstractNumId w:val="4"/>
  </w:num>
  <w:num w:numId="43">
    <w:abstractNumId w:val="8"/>
  </w:num>
  <w:num w:numId="44">
    <w:abstractNumId w:val="3"/>
  </w:num>
  <w:num w:numId="45">
    <w:abstractNumId w:val="2"/>
  </w:num>
  <w:num w:numId="46">
    <w:abstractNumId w:val="1"/>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4AD"/>
    <w:rsid w:val="00002031"/>
    <w:rsid w:val="0000362B"/>
    <w:rsid w:val="00004022"/>
    <w:rsid w:val="00004734"/>
    <w:rsid w:val="00006B22"/>
    <w:rsid w:val="000111A8"/>
    <w:rsid w:val="00012185"/>
    <w:rsid w:val="0001276A"/>
    <w:rsid w:val="00017EF8"/>
    <w:rsid w:val="000246AE"/>
    <w:rsid w:val="00025C67"/>
    <w:rsid w:val="0002656D"/>
    <w:rsid w:val="00037637"/>
    <w:rsid w:val="00044772"/>
    <w:rsid w:val="0004542F"/>
    <w:rsid w:val="000540D9"/>
    <w:rsid w:val="0005559E"/>
    <w:rsid w:val="000604D6"/>
    <w:rsid w:val="000732A1"/>
    <w:rsid w:val="000734D8"/>
    <w:rsid w:val="00077775"/>
    <w:rsid w:val="00077E45"/>
    <w:rsid w:val="00084FE5"/>
    <w:rsid w:val="00085C48"/>
    <w:rsid w:val="00090471"/>
    <w:rsid w:val="00096AA7"/>
    <w:rsid w:val="00096C45"/>
    <w:rsid w:val="000973BE"/>
    <w:rsid w:val="000A0D37"/>
    <w:rsid w:val="000A133C"/>
    <w:rsid w:val="000A3AED"/>
    <w:rsid w:val="000B3532"/>
    <w:rsid w:val="000B3A75"/>
    <w:rsid w:val="000C00C2"/>
    <w:rsid w:val="000C690F"/>
    <w:rsid w:val="000D1295"/>
    <w:rsid w:val="000D391B"/>
    <w:rsid w:val="000D3D6D"/>
    <w:rsid w:val="000D4A7F"/>
    <w:rsid w:val="000D4FC7"/>
    <w:rsid w:val="000E1743"/>
    <w:rsid w:val="000E31EF"/>
    <w:rsid w:val="000E6196"/>
    <w:rsid w:val="000E72C5"/>
    <w:rsid w:val="000F03F6"/>
    <w:rsid w:val="000F4869"/>
    <w:rsid w:val="000F5B42"/>
    <w:rsid w:val="000F6E6F"/>
    <w:rsid w:val="0010601F"/>
    <w:rsid w:val="0010788A"/>
    <w:rsid w:val="00107A31"/>
    <w:rsid w:val="00110EA5"/>
    <w:rsid w:val="00112F56"/>
    <w:rsid w:val="00113208"/>
    <w:rsid w:val="001142A1"/>
    <w:rsid w:val="00125318"/>
    <w:rsid w:val="001305A2"/>
    <w:rsid w:val="00133238"/>
    <w:rsid w:val="00133A1B"/>
    <w:rsid w:val="0014197B"/>
    <w:rsid w:val="001447CD"/>
    <w:rsid w:val="001455B0"/>
    <w:rsid w:val="00146B07"/>
    <w:rsid w:val="001516B1"/>
    <w:rsid w:val="00151DE3"/>
    <w:rsid w:val="00154EBB"/>
    <w:rsid w:val="00156316"/>
    <w:rsid w:val="00157452"/>
    <w:rsid w:val="00157988"/>
    <w:rsid w:val="00161181"/>
    <w:rsid w:val="00162D14"/>
    <w:rsid w:val="00165389"/>
    <w:rsid w:val="0017693F"/>
    <w:rsid w:val="0018110E"/>
    <w:rsid w:val="00181684"/>
    <w:rsid w:val="001843C6"/>
    <w:rsid w:val="00184533"/>
    <w:rsid w:val="00184AB3"/>
    <w:rsid w:val="001850E0"/>
    <w:rsid w:val="00197A69"/>
    <w:rsid w:val="001A2158"/>
    <w:rsid w:val="001A34D9"/>
    <w:rsid w:val="001A525F"/>
    <w:rsid w:val="001B0328"/>
    <w:rsid w:val="001B09F9"/>
    <w:rsid w:val="001B5688"/>
    <w:rsid w:val="001B5C90"/>
    <w:rsid w:val="001B6448"/>
    <w:rsid w:val="001C32CD"/>
    <w:rsid w:val="001D2984"/>
    <w:rsid w:val="001D53BE"/>
    <w:rsid w:val="001E07CF"/>
    <w:rsid w:val="001E59F1"/>
    <w:rsid w:val="001F0C93"/>
    <w:rsid w:val="001F2CEE"/>
    <w:rsid w:val="001F49EB"/>
    <w:rsid w:val="001F650B"/>
    <w:rsid w:val="001F6821"/>
    <w:rsid w:val="001F6CBA"/>
    <w:rsid w:val="00201D4E"/>
    <w:rsid w:val="002076C9"/>
    <w:rsid w:val="0021527E"/>
    <w:rsid w:val="00215A08"/>
    <w:rsid w:val="00220B8A"/>
    <w:rsid w:val="002257F3"/>
    <w:rsid w:val="00233456"/>
    <w:rsid w:val="002339A5"/>
    <w:rsid w:val="00236CBA"/>
    <w:rsid w:val="002536B1"/>
    <w:rsid w:val="00254B77"/>
    <w:rsid w:val="00257848"/>
    <w:rsid w:val="0027084A"/>
    <w:rsid w:val="00273A2B"/>
    <w:rsid w:val="002779CA"/>
    <w:rsid w:val="0028076C"/>
    <w:rsid w:val="00286434"/>
    <w:rsid w:val="00286C59"/>
    <w:rsid w:val="00291957"/>
    <w:rsid w:val="002942D1"/>
    <w:rsid w:val="0029501A"/>
    <w:rsid w:val="002A3721"/>
    <w:rsid w:val="002B1638"/>
    <w:rsid w:val="002B3624"/>
    <w:rsid w:val="002C1BE9"/>
    <w:rsid w:val="002C4E3B"/>
    <w:rsid w:val="002D0952"/>
    <w:rsid w:val="002E40B3"/>
    <w:rsid w:val="002E440C"/>
    <w:rsid w:val="002E4C9A"/>
    <w:rsid w:val="002E6D10"/>
    <w:rsid w:val="002E7A71"/>
    <w:rsid w:val="002F11F8"/>
    <w:rsid w:val="002F1C52"/>
    <w:rsid w:val="002F3F56"/>
    <w:rsid w:val="002F44B5"/>
    <w:rsid w:val="003007CA"/>
    <w:rsid w:val="00311AC0"/>
    <w:rsid w:val="003176FC"/>
    <w:rsid w:val="00320230"/>
    <w:rsid w:val="00320480"/>
    <w:rsid w:val="0032484D"/>
    <w:rsid w:val="0032583B"/>
    <w:rsid w:val="00327299"/>
    <w:rsid w:val="00327883"/>
    <w:rsid w:val="00334508"/>
    <w:rsid w:val="00335504"/>
    <w:rsid w:val="00340C18"/>
    <w:rsid w:val="003442FD"/>
    <w:rsid w:val="0034583F"/>
    <w:rsid w:val="00346F5D"/>
    <w:rsid w:val="00347824"/>
    <w:rsid w:val="00350567"/>
    <w:rsid w:val="003521E8"/>
    <w:rsid w:val="00370CE3"/>
    <w:rsid w:val="003728F3"/>
    <w:rsid w:val="0037496E"/>
    <w:rsid w:val="003810D7"/>
    <w:rsid w:val="00383221"/>
    <w:rsid w:val="00384A0E"/>
    <w:rsid w:val="00386150"/>
    <w:rsid w:val="003874CE"/>
    <w:rsid w:val="00390900"/>
    <w:rsid w:val="0039474E"/>
    <w:rsid w:val="003978A0"/>
    <w:rsid w:val="003A2E73"/>
    <w:rsid w:val="003A6364"/>
    <w:rsid w:val="003A7F6C"/>
    <w:rsid w:val="003B4D60"/>
    <w:rsid w:val="003B7E39"/>
    <w:rsid w:val="003C58DC"/>
    <w:rsid w:val="003D1E62"/>
    <w:rsid w:val="003D684F"/>
    <w:rsid w:val="003E0B99"/>
    <w:rsid w:val="003E2486"/>
    <w:rsid w:val="003E3208"/>
    <w:rsid w:val="003E5EB5"/>
    <w:rsid w:val="003F0B04"/>
    <w:rsid w:val="0040134E"/>
    <w:rsid w:val="00413DB5"/>
    <w:rsid w:val="00420A16"/>
    <w:rsid w:val="00423202"/>
    <w:rsid w:val="004254EF"/>
    <w:rsid w:val="004334C7"/>
    <w:rsid w:val="00440A2D"/>
    <w:rsid w:val="00441C3F"/>
    <w:rsid w:val="004564A7"/>
    <w:rsid w:val="004617BF"/>
    <w:rsid w:val="00463658"/>
    <w:rsid w:val="004637A0"/>
    <w:rsid w:val="004722CC"/>
    <w:rsid w:val="00476C77"/>
    <w:rsid w:val="004922EB"/>
    <w:rsid w:val="004936E4"/>
    <w:rsid w:val="00494E60"/>
    <w:rsid w:val="00495AB4"/>
    <w:rsid w:val="00497487"/>
    <w:rsid w:val="004A53AA"/>
    <w:rsid w:val="004A6189"/>
    <w:rsid w:val="004A6786"/>
    <w:rsid w:val="004A7390"/>
    <w:rsid w:val="004B5F1C"/>
    <w:rsid w:val="004B7A67"/>
    <w:rsid w:val="004B7B76"/>
    <w:rsid w:val="004C239D"/>
    <w:rsid w:val="004C2DCA"/>
    <w:rsid w:val="004C61D2"/>
    <w:rsid w:val="004F0C4A"/>
    <w:rsid w:val="004F0F38"/>
    <w:rsid w:val="004F47D6"/>
    <w:rsid w:val="004F7727"/>
    <w:rsid w:val="00501921"/>
    <w:rsid w:val="005065E7"/>
    <w:rsid w:val="00522F37"/>
    <w:rsid w:val="005250D8"/>
    <w:rsid w:val="00527E90"/>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44AD"/>
    <w:rsid w:val="00585322"/>
    <w:rsid w:val="005857C6"/>
    <w:rsid w:val="00592F6E"/>
    <w:rsid w:val="00593AD1"/>
    <w:rsid w:val="00597C08"/>
    <w:rsid w:val="005A2CBB"/>
    <w:rsid w:val="005A4C7C"/>
    <w:rsid w:val="005A68B6"/>
    <w:rsid w:val="005B3B4F"/>
    <w:rsid w:val="005B7083"/>
    <w:rsid w:val="005C1059"/>
    <w:rsid w:val="005C5570"/>
    <w:rsid w:val="005C79A4"/>
    <w:rsid w:val="005D5442"/>
    <w:rsid w:val="005F28AC"/>
    <w:rsid w:val="00601936"/>
    <w:rsid w:val="006029FD"/>
    <w:rsid w:val="00603F32"/>
    <w:rsid w:val="006045E4"/>
    <w:rsid w:val="00605AD4"/>
    <w:rsid w:val="006136D7"/>
    <w:rsid w:val="00615DE3"/>
    <w:rsid w:val="00625A6E"/>
    <w:rsid w:val="00627115"/>
    <w:rsid w:val="00627639"/>
    <w:rsid w:val="00632398"/>
    <w:rsid w:val="00632B17"/>
    <w:rsid w:val="0064049F"/>
    <w:rsid w:val="00640904"/>
    <w:rsid w:val="00640FC3"/>
    <w:rsid w:val="00641A24"/>
    <w:rsid w:val="00642020"/>
    <w:rsid w:val="00647F0B"/>
    <w:rsid w:val="0065337B"/>
    <w:rsid w:val="0065419D"/>
    <w:rsid w:val="00656021"/>
    <w:rsid w:val="006604D8"/>
    <w:rsid w:val="00664A5B"/>
    <w:rsid w:val="0066735C"/>
    <w:rsid w:val="006754D2"/>
    <w:rsid w:val="006763D2"/>
    <w:rsid w:val="00676F69"/>
    <w:rsid w:val="00680C08"/>
    <w:rsid w:val="00687120"/>
    <w:rsid w:val="006916A0"/>
    <w:rsid w:val="006931B1"/>
    <w:rsid w:val="006A15C0"/>
    <w:rsid w:val="006A18ED"/>
    <w:rsid w:val="006A75AD"/>
    <w:rsid w:val="006C3669"/>
    <w:rsid w:val="006C3E2A"/>
    <w:rsid w:val="006C642F"/>
    <w:rsid w:val="006D03E5"/>
    <w:rsid w:val="006D5D3E"/>
    <w:rsid w:val="006E08B3"/>
    <w:rsid w:val="006E3A47"/>
    <w:rsid w:val="006F17AC"/>
    <w:rsid w:val="006F2199"/>
    <w:rsid w:val="006F25B8"/>
    <w:rsid w:val="006F572E"/>
    <w:rsid w:val="00700FFC"/>
    <w:rsid w:val="007046D6"/>
    <w:rsid w:val="00705DB0"/>
    <w:rsid w:val="00707F83"/>
    <w:rsid w:val="00710704"/>
    <w:rsid w:val="0072277C"/>
    <w:rsid w:val="00722B57"/>
    <w:rsid w:val="00726086"/>
    <w:rsid w:val="00727E84"/>
    <w:rsid w:val="00730F8A"/>
    <w:rsid w:val="00734925"/>
    <w:rsid w:val="00735A8C"/>
    <w:rsid w:val="00736352"/>
    <w:rsid w:val="0074253D"/>
    <w:rsid w:val="0074429B"/>
    <w:rsid w:val="00760ED7"/>
    <w:rsid w:val="007615BC"/>
    <w:rsid w:val="00762324"/>
    <w:rsid w:val="0076290B"/>
    <w:rsid w:val="00762F05"/>
    <w:rsid w:val="007652FF"/>
    <w:rsid w:val="00767339"/>
    <w:rsid w:val="00770CAC"/>
    <w:rsid w:val="00770EF1"/>
    <w:rsid w:val="00773EF7"/>
    <w:rsid w:val="00774E1D"/>
    <w:rsid w:val="007765D8"/>
    <w:rsid w:val="0077675A"/>
    <w:rsid w:val="00780355"/>
    <w:rsid w:val="007819FD"/>
    <w:rsid w:val="0078446E"/>
    <w:rsid w:val="00785717"/>
    <w:rsid w:val="00785721"/>
    <w:rsid w:val="00793A59"/>
    <w:rsid w:val="007A52E1"/>
    <w:rsid w:val="007B1BB3"/>
    <w:rsid w:val="007B2E13"/>
    <w:rsid w:val="007B6132"/>
    <w:rsid w:val="007B6E9F"/>
    <w:rsid w:val="007C1216"/>
    <w:rsid w:val="007C1AF7"/>
    <w:rsid w:val="007C6B9B"/>
    <w:rsid w:val="007D1401"/>
    <w:rsid w:val="007E1DFF"/>
    <w:rsid w:val="007F3D2E"/>
    <w:rsid w:val="007F465F"/>
    <w:rsid w:val="00805D27"/>
    <w:rsid w:val="00806DCB"/>
    <w:rsid w:val="00820221"/>
    <w:rsid w:val="00821776"/>
    <w:rsid w:val="00821F31"/>
    <w:rsid w:val="008233A0"/>
    <w:rsid w:val="008321F5"/>
    <w:rsid w:val="00832369"/>
    <w:rsid w:val="00834660"/>
    <w:rsid w:val="00836B54"/>
    <w:rsid w:val="00836BC2"/>
    <w:rsid w:val="00844FE5"/>
    <w:rsid w:val="0085156D"/>
    <w:rsid w:val="00855F92"/>
    <w:rsid w:val="0085641B"/>
    <w:rsid w:val="00857136"/>
    <w:rsid w:val="00861894"/>
    <w:rsid w:val="00875A6B"/>
    <w:rsid w:val="00885B11"/>
    <w:rsid w:val="00886D15"/>
    <w:rsid w:val="00887DD8"/>
    <w:rsid w:val="00891404"/>
    <w:rsid w:val="00891BA9"/>
    <w:rsid w:val="008958DF"/>
    <w:rsid w:val="00896018"/>
    <w:rsid w:val="008960DD"/>
    <w:rsid w:val="0089635C"/>
    <w:rsid w:val="008979B9"/>
    <w:rsid w:val="008A12A1"/>
    <w:rsid w:val="008A2B9D"/>
    <w:rsid w:val="008A3D9F"/>
    <w:rsid w:val="008A4A7C"/>
    <w:rsid w:val="008A5E0B"/>
    <w:rsid w:val="008A6D59"/>
    <w:rsid w:val="008A7B0A"/>
    <w:rsid w:val="008B33D3"/>
    <w:rsid w:val="008B4B03"/>
    <w:rsid w:val="008B596F"/>
    <w:rsid w:val="008B6043"/>
    <w:rsid w:val="008C0B1E"/>
    <w:rsid w:val="008C159F"/>
    <w:rsid w:val="008C1623"/>
    <w:rsid w:val="008C1850"/>
    <w:rsid w:val="008C51A9"/>
    <w:rsid w:val="008C5AC0"/>
    <w:rsid w:val="008D3764"/>
    <w:rsid w:val="008D5504"/>
    <w:rsid w:val="008E5BE9"/>
    <w:rsid w:val="008E7846"/>
    <w:rsid w:val="008F02E5"/>
    <w:rsid w:val="008F1CCC"/>
    <w:rsid w:val="008F2967"/>
    <w:rsid w:val="008F6943"/>
    <w:rsid w:val="00901DB5"/>
    <w:rsid w:val="00902A21"/>
    <w:rsid w:val="00905D1F"/>
    <w:rsid w:val="00910911"/>
    <w:rsid w:val="00920330"/>
    <w:rsid w:val="009219D7"/>
    <w:rsid w:val="00922D53"/>
    <w:rsid w:val="00923B70"/>
    <w:rsid w:val="00924482"/>
    <w:rsid w:val="00930237"/>
    <w:rsid w:val="00937C17"/>
    <w:rsid w:val="00940A89"/>
    <w:rsid w:val="0094327A"/>
    <w:rsid w:val="00946EA5"/>
    <w:rsid w:val="00947FB7"/>
    <w:rsid w:val="0095429C"/>
    <w:rsid w:val="0096103E"/>
    <w:rsid w:val="00962AA0"/>
    <w:rsid w:val="00963C08"/>
    <w:rsid w:val="009752A5"/>
    <w:rsid w:val="00975E56"/>
    <w:rsid w:val="00981CDD"/>
    <w:rsid w:val="0098585A"/>
    <w:rsid w:val="00986A8B"/>
    <w:rsid w:val="0099563D"/>
    <w:rsid w:val="009A2CCD"/>
    <w:rsid w:val="009A4CED"/>
    <w:rsid w:val="009A690D"/>
    <w:rsid w:val="009B170E"/>
    <w:rsid w:val="009B1D12"/>
    <w:rsid w:val="009B416B"/>
    <w:rsid w:val="009C4BD5"/>
    <w:rsid w:val="009D4CE6"/>
    <w:rsid w:val="009D5085"/>
    <w:rsid w:val="009D7B77"/>
    <w:rsid w:val="009E0BB0"/>
    <w:rsid w:val="009E1FD0"/>
    <w:rsid w:val="009E3FBB"/>
    <w:rsid w:val="009E44D6"/>
    <w:rsid w:val="009F051E"/>
    <w:rsid w:val="009F7353"/>
    <w:rsid w:val="00A04F85"/>
    <w:rsid w:val="00A05FA4"/>
    <w:rsid w:val="00A102E4"/>
    <w:rsid w:val="00A12C42"/>
    <w:rsid w:val="00A14DF7"/>
    <w:rsid w:val="00A21933"/>
    <w:rsid w:val="00A276F4"/>
    <w:rsid w:val="00A3246D"/>
    <w:rsid w:val="00A3329B"/>
    <w:rsid w:val="00A347E4"/>
    <w:rsid w:val="00A36FA7"/>
    <w:rsid w:val="00A44DDB"/>
    <w:rsid w:val="00A45077"/>
    <w:rsid w:val="00A46048"/>
    <w:rsid w:val="00A475B7"/>
    <w:rsid w:val="00A47AF7"/>
    <w:rsid w:val="00A47C3E"/>
    <w:rsid w:val="00A50140"/>
    <w:rsid w:val="00A50226"/>
    <w:rsid w:val="00A60BAD"/>
    <w:rsid w:val="00A737C4"/>
    <w:rsid w:val="00A80B5B"/>
    <w:rsid w:val="00A818FF"/>
    <w:rsid w:val="00A84E36"/>
    <w:rsid w:val="00A94338"/>
    <w:rsid w:val="00A964D1"/>
    <w:rsid w:val="00AA0ED0"/>
    <w:rsid w:val="00AA7E37"/>
    <w:rsid w:val="00AB03B5"/>
    <w:rsid w:val="00AC0038"/>
    <w:rsid w:val="00AC2B40"/>
    <w:rsid w:val="00AC2BB2"/>
    <w:rsid w:val="00AC2C3C"/>
    <w:rsid w:val="00AC512D"/>
    <w:rsid w:val="00AD0083"/>
    <w:rsid w:val="00AD3935"/>
    <w:rsid w:val="00AD4B76"/>
    <w:rsid w:val="00AE65EB"/>
    <w:rsid w:val="00AE67A7"/>
    <w:rsid w:val="00AF1D94"/>
    <w:rsid w:val="00AF60C5"/>
    <w:rsid w:val="00B009C6"/>
    <w:rsid w:val="00B01548"/>
    <w:rsid w:val="00B13EBD"/>
    <w:rsid w:val="00B21D29"/>
    <w:rsid w:val="00B22858"/>
    <w:rsid w:val="00B25034"/>
    <w:rsid w:val="00B33588"/>
    <w:rsid w:val="00B33863"/>
    <w:rsid w:val="00B34123"/>
    <w:rsid w:val="00B37D17"/>
    <w:rsid w:val="00B4175E"/>
    <w:rsid w:val="00B452CE"/>
    <w:rsid w:val="00B53D48"/>
    <w:rsid w:val="00B54C25"/>
    <w:rsid w:val="00B62317"/>
    <w:rsid w:val="00B63D18"/>
    <w:rsid w:val="00B74EB3"/>
    <w:rsid w:val="00B76B91"/>
    <w:rsid w:val="00B77EB1"/>
    <w:rsid w:val="00B811C6"/>
    <w:rsid w:val="00B845F6"/>
    <w:rsid w:val="00B855B0"/>
    <w:rsid w:val="00B92E08"/>
    <w:rsid w:val="00B96C82"/>
    <w:rsid w:val="00B97314"/>
    <w:rsid w:val="00BC0A8D"/>
    <w:rsid w:val="00BC1F69"/>
    <w:rsid w:val="00BC561D"/>
    <w:rsid w:val="00BC622A"/>
    <w:rsid w:val="00BE0A78"/>
    <w:rsid w:val="00BE0DE1"/>
    <w:rsid w:val="00BE57F0"/>
    <w:rsid w:val="00BE79F0"/>
    <w:rsid w:val="00BF046D"/>
    <w:rsid w:val="00BF0A6F"/>
    <w:rsid w:val="00BF1190"/>
    <w:rsid w:val="00BF4DCC"/>
    <w:rsid w:val="00BF5663"/>
    <w:rsid w:val="00BF5D04"/>
    <w:rsid w:val="00C00174"/>
    <w:rsid w:val="00C009AA"/>
    <w:rsid w:val="00C1164D"/>
    <w:rsid w:val="00C16861"/>
    <w:rsid w:val="00C22B9A"/>
    <w:rsid w:val="00C23803"/>
    <w:rsid w:val="00C243FE"/>
    <w:rsid w:val="00C308CD"/>
    <w:rsid w:val="00C346AB"/>
    <w:rsid w:val="00C3656F"/>
    <w:rsid w:val="00C404A6"/>
    <w:rsid w:val="00C40A36"/>
    <w:rsid w:val="00C44419"/>
    <w:rsid w:val="00C45E7B"/>
    <w:rsid w:val="00C471B1"/>
    <w:rsid w:val="00C6316B"/>
    <w:rsid w:val="00C634A9"/>
    <w:rsid w:val="00C63B16"/>
    <w:rsid w:val="00C64586"/>
    <w:rsid w:val="00C661CA"/>
    <w:rsid w:val="00C666F7"/>
    <w:rsid w:val="00C70D53"/>
    <w:rsid w:val="00C73D0B"/>
    <w:rsid w:val="00C772FF"/>
    <w:rsid w:val="00C77CF7"/>
    <w:rsid w:val="00C80137"/>
    <w:rsid w:val="00C801AF"/>
    <w:rsid w:val="00C80256"/>
    <w:rsid w:val="00C8113E"/>
    <w:rsid w:val="00C94CD4"/>
    <w:rsid w:val="00C9747E"/>
    <w:rsid w:val="00CA1312"/>
    <w:rsid w:val="00CA5E1A"/>
    <w:rsid w:val="00CA7DAF"/>
    <w:rsid w:val="00CB6BC0"/>
    <w:rsid w:val="00CB77B8"/>
    <w:rsid w:val="00CC1B7C"/>
    <w:rsid w:val="00CC3CB9"/>
    <w:rsid w:val="00CC727F"/>
    <w:rsid w:val="00CE2543"/>
    <w:rsid w:val="00CE2B80"/>
    <w:rsid w:val="00CF15C3"/>
    <w:rsid w:val="00CF2B6F"/>
    <w:rsid w:val="00CF2F3E"/>
    <w:rsid w:val="00CF38FF"/>
    <w:rsid w:val="00CF58B6"/>
    <w:rsid w:val="00D0062D"/>
    <w:rsid w:val="00D017ED"/>
    <w:rsid w:val="00D019E7"/>
    <w:rsid w:val="00D040D3"/>
    <w:rsid w:val="00D049C3"/>
    <w:rsid w:val="00D04C65"/>
    <w:rsid w:val="00D06FFD"/>
    <w:rsid w:val="00D201D2"/>
    <w:rsid w:val="00D2099D"/>
    <w:rsid w:val="00D224FE"/>
    <w:rsid w:val="00D23139"/>
    <w:rsid w:val="00D425BB"/>
    <w:rsid w:val="00D430C8"/>
    <w:rsid w:val="00D53EF5"/>
    <w:rsid w:val="00D6405B"/>
    <w:rsid w:val="00D6493E"/>
    <w:rsid w:val="00D7195D"/>
    <w:rsid w:val="00D7301E"/>
    <w:rsid w:val="00D734DF"/>
    <w:rsid w:val="00D81232"/>
    <w:rsid w:val="00D83AE1"/>
    <w:rsid w:val="00D855D4"/>
    <w:rsid w:val="00D902C9"/>
    <w:rsid w:val="00D93466"/>
    <w:rsid w:val="00D962DD"/>
    <w:rsid w:val="00DA04C0"/>
    <w:rsid w:val="00DA1124"/>
    <w:rsid w:val="00DA5520"/>
    <w:rsid w:val="00DB6124"/>
    <w:rsid w:val="00DB6816"/>
    <w:rsid w:val="00DB750B"/>
    <w:rsid w:val="00DB75B7"/>
    <w:rsid w:val="00DC6E02"/>
    <w:rsid w:val="00DD28CD"/>
    <w:rsid w:val="00DE02AE"/>
    <w:rsid w:val="00DF1D7F"/>
    <w:rsid w:val="00DF4BE4"/>
    <w:rsid w:val="00E02FB4"/>
    <w:rsid w:val="00E064E2"/>
    <w:rsid w:val="00E13FC7"/>
    <w:rsid w:val="00E20571"/>
    <w:rsid w:val="00E235F7"/>
    <w:rsid w:val="00E23659"/>
    <w:rsid w:val="00E239D4"/>
    <w:rsid w:val="00E242DD"/>
    <w:rsid w:val="00E26130"/>
    <w:rsid w:val="00E35C2F"/>
    <w:rsid w:val="00E40B22"/>
    <w:rsid w:val="00E44ED1"/>
    <w:rsid w:val="00E45619"/>
    <w:rsid w:val="00E4588F"/>
    <w:rsid w:val="00E46DA3"/>
    <w:rsid w:val="00E50E73"/>
    <w:rsid w:val="00E51BB1"/>
    <w:rsid w:val="00E624A5"/>
    <w:rsid w:val="00E64BA4"/>
    <w:rsid w:val="00E7281A"/>
    <w:rsid w:val="00E7344E"/>
    <w:rsid w:val="00E76985"/>
    <w:rsid w:val="00E778C4"/>
    <w:rsid w:val="00E82665"/>
    <w:rsid w:val="00E85C1D"/>
    <w:rsid w:val="00E865AF"/>
    <w:rsid w:val="00E87E90"/>
    <w:rsid w:val="00E92D49"/>
    <w:rsid w:val="00E93BCE"/>
    <w:rsid w:val="00E95E7D"/>
    <w:rsid w:val="00EA72AB"/>
    <w:rsid w:val="00EB0798"/>
    <w:rsid w:val="00EB40AD"/>
    <w:rsid w:val="00EB586E"/>
    <w:rsid w:val="00EB5FC8"/>
    <w:rsid w:val="00EC2EB9"/>
    <w:rsid w:val="00EC463D"/>
    <w:rsid w:val="00EC7A85"/>
    <w:rsid w:val="00ED1A97"/>
    <w:rsid w:val="00ED2922"/>
    <w:rsid w:val="00ED3CAD"/>
    <w:rsid w:val="00ED5A41"/>
    <w:rsid w:val="00EE1DE8"/>
    <w:rsid w:val="00EE27C2"/>
    <w:rsid w:val="00EF4BAD"/>
    <w:rsid w:val="00EF5305"/>
    <w:rsid w:val="00EF59DC"/>
    <w:rsid w:val="00EF65BA"/>
    <w:rsid w:val="00F033EC"/>
    <w:rsid w:val="00F04F68"/>
    <w:rsid w:val="00F12670"/>
    <w:rsid w:val="00F144E0"/>
    <w:rsid w:val="00F14B27"/>
    <w:rsid w:val="00F26DBD"/>
    <w:rsid w:val="00F3073B"/>
    <w:rsid w:val="00F3148D"/>
    <w:rsid w:val="00F325C5"/>
    <w:rsid w:val="00F32FE0"/>
    <w:rsid w:val="00F35298"/>
    <w:rsid w:val="00F44EB5"/>
    <w:rsid w:val="00F47333"/>
    <w:rsid w:val="00F47E37"/>
    <w:rsid w:val="00F53C07"/>
    <w:rsid w:val="00F54B65"/>
    <w:rsid w:val="00F640B6"/>
    <w:rsid w:val="00F66DF2"/>
    <w:rsid w:val="00F77E22"/>
    <w:rsid w:val="00F80E40"/>
    <w:rsid w:val="00F815BC"/>
    <w:rsid w:val="00F848D9"/>
    <w:rsid w:val="00FA48E7"/>
    <w:rsid w:val="00FA5B82"/>
    <w:rsid w:val="00FA639E"/>
    <w:rsid w:val="00FA6E3D"/>
    <w:rsid w:val="00FB5600"/>
    <w:rsid w:val="00FC1FCA"/>
    <w:rsid w:val="00FC25E4"/>
    <w:rsid w:val="00FC4EF7"/>
    <w:rsid w:val="00FD0824"/>
    <w:rsid w:val="00FD119B"/>
    <w:rsid w:val="00FD1EDC"/>
    <w:rsid w:val="00FE1DEE"/>
    <w:rsid w:val="00FE5253"/>
    <w:rsid w:val="00FF0C3F"/>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5745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table" w:customStyle="1" w:styleId="TableTGAblue1">
    <w:name w:val="Table TGA blue1"/>
    <w:basedOn w:val="TableNormal"/>
    <w:uiPriority w:val="99"/>
    <w:qFormat/>
    <w:rsid w:val="003E5EB5"/>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customStyle="1" w:styleId="Default">
    <w:name w:val="Default"/>
    <w:rsid w:val="003E5EB5"/>
    <w:pPr>
      <w:autoSpaceDE w:val="0"/>
      <w:autoSpaceDN w:val="0"/>
      <w:adjustRightInd w:val="0"/>
      <w:spacing w:after="0" w:line="240" w:lineRule="auto"/>
    </w:pPr>
    <w:rPr>
      <w:rFonts w:ascii="Cambria" w:hAnsi="Cambria" w:cs="Cambria"/>
      <w:color w:val="000000"/>
      <w:sz w:val="24"/>
      <w:szCs w:val="24"/>
    </w:rPr>
  </w:style>
  <w:style w:type="paragraph" w:customStyle="1" w:styleId="Tabletitle0">
    <w:name w:val="Table title"/>
    <w:basedOn w:val="Normal"/>
    <w:next w:val="Normal"/>
    <w:rsid w:val="00962AA0"/>
    <w:pPr>
      <w:keepNext/>
      <w:spacing w:after="180"/>
      <w:outlineLvl w:val="4"/>
    </w:pPr>
    <w:rPr>
      <w:rFonts w:cstheme="minorBidi"/>
      <w:b/>
    </w:rPr>
  </w:style>
  <w:style w:type="table" w:customStyle="1" w:styleId="TableTGAblue2">
    <w:name w:val="Table TGA blue2"/>
    <w:basedOn w:val="TableNormal"/>
    <w:uiPriority w:val="99"/>
    <w:qFormat/>
    <w:rsid w:val="00962AA0"/>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styleId="ListParagraph">
    <w:name w:val="List Paragraph"/>
    <w:basedOn w:val="Normal"/>
    <w:uiPriority w:val="34"/>
    <w:qFormat/>
    <w:rsid w:val="007A52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57452"/>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table" w:customStyle="1" w:styleId="TableTGAblue1">
    <w:name w:val="Table TGA blue1"/>
    <w:basedOn w:val="TableNormal"/>
    <w:uiPriority w:val="99"/>
    <w:qFormat/>
    <w:rsid w:val="003E5EB5"/>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customStyle="1" w:styleId="Default">
    <w:name w:val="Default"/>
    <w:rsid w:val="003E5EB5"/>
    <w:pPr>
      <w:autoSpaceDE w:val="0"/>
      <w:autoSpaceDN w:val="0"/>
      <w:adjustRightInd w:val="0"/>
      <w:spacing w:after="0" w:line="240" w:lineRule="auto"/>
    </w:pPr>
    <w:rPr>
      <w:rFonts w:ascii="Cambria" w:hAnsi="Cambria" w:cs="Cambria"/>
      <w:color w:val="000000"/>
      <w:sz w:val="24"/>
      <w:szCs w:val="24"/>
    </w:rPr>
  </w:style>
  <w:style w:type="paragraph" w:customStyle="1" w:styleId="Tabletitle0">
    <w:name w:val="Table title"/>
    <w:basedOn w:val="Normal"/>
    <w:next w:val="Normal"/>
    <w:rsid w:val="00962AA0"/>
    <w:pPr>
      <w:keepNext/>
      <w:spacing w:after="180"/>
      <w:outlineLvl w:val="4"/>
    </w:pPr>
    <w:rPr>
      <w:rFonts w:cstheme="minorBidi"/>
      <w:b/>
    </w:rPr>
  </w:style>
  <w:style w:type="table" w:customStyle="1" w:styleId="TableTGAblue2">
    <w:name w:val="Table TGA blue2"/>
    <w:basedOn w:val="TableNormal"/>
    <w:uiPriority w:val="99"/>
    <w:qFormat/>
    <w:rsid w:val="00962AA0"/>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paragraph" w:styleId="ListParagraph">
    <w:name w:val="List Paragraph"/>
    <w:basedOn w:val="Normal"/>
    <w:uiPriority w:val="34"/>
    <w:qFormat/>
    <w:rsid w:val="007A52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tga.gov.au/product-information-pi" TargetMode="External"/><Relationship Id="rId35" Type="http://schemas.openxmlformats.org/officeDocument/2006/relationships/hyperlink" Target="mailto:info@tga.gov.au"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cftr2.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Microsoft\Windows\Temporary%20Internet%20Files\Content.Outlook\83AXQRB3\AusPAR-%20KALDYECO-%20ivacaftor-%20Vertex%20Pharmaceuticals%20Australia%20Pty%20Ltd%20PM-2015-00399-1-5%20Version%201.1.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3E1EB-BECC-4C43-8F6F-BBAF9D244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KALDYECO- ivacaftor- Vertex Pharmaceuticals Australia Pty Ltd PM-2015-00399-1-5 Version 1.1</Template>
  <TotalTime>58</TotalTime>
  <Pages>53</Pages>
  <Words>17145</Words>
  <Characters>91728</Characters>
  <Application>Microsoft Office Word</Application>
  <DocSecurity>0</DocSecurity>
  <Lines>1609</Lines>
  <Paragraphs>676</Paragraphs>
  <ScaleCrop>false</ScaleCrop>
  <HeadingPairs>
    <vt:vector size="2" baseType="variant">
      <vt:variant>
        <vt:lpstr>Title</vt:lpstr>
      </vt:variant>
      <vt:variant>
        <vt:i4>1</vt:i4>
      </vt:variant>
    </vt:vector>
  </HeadingPairs>
  <TitlesOfParts>
    <vt:vector size="1" baseType="lpstr">
      <vt:lpstr>Australian Public Assessment Report for Kaldyeco</vt:lpstr>
    </vt:vector>
  </TitlesOfParts>
  <Company>Department of Health</Company>
  <LinksUpToDate>false</LinksUpToDate>
  <CharactersWithSpaces>108197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Kaldyeco</dc:title>
  <dc:subject>prescription medicines</dc:subject>
  <dc:creator> Therapeutic Goods Administration</dc:creator>
  <cp:keywords>AusPARs</cp:keywords>
  <cp:lastModifiedBy>LACK, Janet</cp:lastModifiedBy>
  <cp:revision>4</cp:revision>
  <cp:lastPrinted>2015-09-22T23:39:00Z</cp:lastPrinted>
  <dcterms:created xsi:type="dcterms:W3CDTF">2017-01-04T23:16:00Z</dcterms:created>
  <dcterms:modified xsi:type="dcterms:W3CDTF">2017-01-18T05:54:00Z</dcterms:modified>
  <cp:category/>
</cp:coreProperties>
</file>