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A083D41" w14:textId="77777777" w:rsidTr="00BF1190">
        <w:trPr>
          <w:trHeight w:val="1863"/>
        </w:trPr>
        <w:tc>
          <w:tcPr>
            <w:tcW w:w="3652" w:type="dxa"/>
            <w:tcBorders>
              <w:top w:val="nil"/>
              <w:left w:val="nil"/>
              <w:bottom w:val="nil"/>
              <w:right w:val="nil"/>
            </w:tcBorders>
          </w:tcPr>
          <w:p w14:paraId="7AEE10D2" w14:textId="5089C983" w:rsidR="008E7846" w:rsidRPr="00096AA7" w:rsidRDefault="007B664C" w:rsidP="00096AA7">
            <w:pPr>
              <w:rPr>
                <w:rFonts w:ascii="Arial" w:hAnsi="Arial" w:cs="Arial"/>
                <w:b/>
                <w:color w:val="002C47"/>
                <w:sz w:val="36"/>
                <w:szCs w:val="36"/>
              </w:rPr>
            </w:pPr>
            <w:r>
              <w:rPr>
                <w:rFonts w:ascii="Arial" w:hAnsi="Arial" w:cs="Arial"/>
                <w:b/>
                <w:color w:val="002C47"/>
                <w:sz w:val="36"/>
                <w:szCs w:val="36"/>
              </w:rPr>
              <w:t xml:space="preserve">June </w:t>
            </w:r>
            <w:r w:rsidR="00891665">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29D5213" w14:textId="77777777" w:rsidTr="0032583B">
        <w:trPr>
          <w:trHeight w:val="868"/>
        </w:trPr>
        <w:tc>
          <w:tcPr>
            <w:tcW w:w="9079" w:type="dxa"/>
          </w:tcPr>
          <w:p w14:paraId="4922AEEB" w14:textId="77777777" w:rsidR="0032583B" w:rsidRPr="00A964D1" w:rsidRDefault="0032583B" w:rsidP="00A964D1">
            <w:pPr>
              <w:pStyle w:val="Title"/>
              <w:rPr>
                <w:color w:val="FFFFFF" w:themeColor="background1"/>
              </w:rPr>
            </w:pPr>
            <w:r w:rsidRPr="00A964D1">
              <w:rPr>
                <w:color w:val="FFFFFF" w:themeColor="background1"/>
              </w:rPr>
              <w:t>Australian Pu</w:t>
            </w:r>
            <w:r w:rsidR="00891665">
              <w:rPr>
                <w:color w:val="FFFFFF" w:themeColor="background1"/>
              </w:rPr>
              <w:t xml:space="preserve">blic Assessment Report for </w:t>
            </w:r>
            <w:bookmarkStart w:id="0" w:name="_GoBack"/>
            <w:r w:rsidR="00891665">
              <w:rPr>
                <w:color w:val="FFFFFF" w:themeColor="background1"/>
              </w:rPr>
              <w:t>Ixekizumab</w:t>
            </w:r>
            <w:bookmarkEnd w:id="0"/>
          </w:p>
        </w:tc>
      </w:tr>
      <w:tr w:rsidR="0032583B" w:rsidRPr="00B64760" w14:paraId="76104E6A" w14:textId="77777777" w:rsidTr="0032583B">
        <w:tc>
          <w:tcPr>
            <w:tcW w:w="9079" w:type="dxa"/>
          </w:tcPr>
          <w:p w14:paraId="78628189" w14:textId="3560D40C" w:rsidR="0032583B" w:rsidRPr="008E7846" w:rsidRDefault="006E0060" w:rsidP="0032583B">
            <w:pPr>
              <w:pStyle w:val="Subtitle"/>
              <w:rPr>
                <w:color w:val="FFFFFF" w:themeColor="background1"/>
              </w:rPr>
            </w:pPr>
            <w:r>
              <w:rPr>
                <w:color w:val="FFFFFF" w:themeColor="background1"/>
              </w:rPr>
              <w:t xml:space="preserve">Proprietary Product Name: </w:t>
            </w:r>
            <w:r w:rsidR="00891665">
              <w:rPr>
                <w:color w:val="FFFFFF" w:themeColor="background1"/>
              </w:rPr>
              <w:t>T</w:t>
            </w:r>
            <w:r w:rsidR="00300374">
              <w:rPr>
                <w:color w:val="FFFFFF" w:themeColor="background1"/>
              </w:rPr>
              <w:t>altz</w:t>
            </w:r>
          </w:p>
        </w:tc>
      </w:tr>
      <w:tr w:rsidR="0032583B" w:rsidRPr="00B64760" w14:paraId="2D41E81B" w14:textId="77777777" w:rsidTr="0032583B">
        <w:trPr>
          <w:trHeight w:val="486"/>
        </w:trPr>
        <w:tc>
          <w:tcPr>
            <w:tcW w:w="9079" w:type="dxa"/>
          </w:tcPr>
          <w:p w14:paraId="6A9D3D34" w14:textId="77777777" w:rsidR="0032583B" w:rsidRPr="008E7846" w:rsidRDefault="00891665" w:rsidP="0032583B">
            <w:pPr>
              <w:pStyle w:val="Subtitle"/>
              <w:rPr>
                <w:color w:val="FFFFFF" w:themeColor="background1"/>
              </w:rPr>
            </w:pPr>
            <w:r>
              <w:rPr>
                <w:color w:val="FFFFFF" w:themeColor="background1"/>
              </w:rPr>
              <w:t>Sponsor: Eli Lilly Australia Pty Ltd</w:t>
            </w:r>
          </w:p>
        </w:tc>
      </w:tr>
    </w:tbl>
    <w:p w14:paraId="54722315" w14:textId="77777777" w:rsidR="008E7846" w:rsidRPr="0085156D" w:rsidRDefault="008E7846" w:rsidP="0085156D">
      <w:r w:rsidRPr="0085156D">
        <w:br w:type="page"/>
      </w:r>
    </w:p>
    <w:p w14:paraId="39B8BD36" w14:textId="77777777" w:rsidR="008E7846" w:rsidRPr="001F6CBA" w:rsidRDefault="008E7846" w:rsidP="008E7846">
      <w:pPr>
        <w:pStyle w:val="NonTOCHeading2"/>
      </w:pPr>
      <w:r w:rsidRPr="001F6CBA">
        <w:lastRenderedPageBreak/>
        <w:t>About the Therapeutic Goods Administration (TGA)</w:t>
      </w:r>
    </w:p>
    <w:p w14:paraId="7F3F9F9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6DBA34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312BE44"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11A25C0"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326F1B8"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1813F7D0" w14:textId="77777777" w:rsidR="008E7846" w:rsidRDefault="008E7846" w:rsidP="00875A6B">
      <w:pPr>
        <w:pStyle w:val="NonTOCHeading2"/>
      </w:pPr>
      <w:r>
        <w:t>About AusPARs</w:t>
      </w:r>
    </w:p>
    <w:p w14:paraId="5116A37A"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C8A7302" w14:textId="77777777" w:rsidR="008E7846" w:rsidRDefault="008E7846" w:rsidP="008E7846">
      <w:pPr>
        <w:pStyle w:val="ListBullet"/>
        <w:numPr>
          <w:ilvl w:val="0"/>
          <w:numId w:val="3"/>
        </w:numPr>
        <w:ind w:left="357" w:hanging="357"/>
      </w:pPr>
      <w:r>
        <w:t>AusPARs are prepared and published by the TGA.</w:t>
      </w:r>
    </w:p>
    <w:p w14:paraId="166AFEF4"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1C3876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52EF739"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5CF405D" w14:textId="77777777" w:rsidR="00924482" w:rsidRPr="00DF1D7F" w:rsidRDefault="00924482" w:rsidP="00F54B65">
      <w:pPr>
        <w:pStyle w:val="LegalSubheading"/>
        <w:spacing w:before="3120"/>
      </w:pPr>
      <w:r w:rsidRPr="00DF1D7F">
        <w:t>Copyright</w:t>
      </w:r>
    </w:p>
    <w:p w14:paraId="0AE516E4" w14:textId="300F9536" w:rsidR="00924482" w:rsidRDefault="00924482" w:rsidP="00924482">
      <w:pPr>
        <w:pStyle w:val="LegalCopy"/>
      </w:pPr>
      <w:r w:rsidRPr="00191B3B">
        <w:rPr>
          <w:rFonts w:cs="Arial"/>
          <w:lang w:val="en-GB"/>
        </w:rPr>
        <w:t>© Comm</w:t>
      </w:r>
      <w:r w:rsidR="003851FD">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1ABD9E9"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8D37226" w14:textId="77777777" w:rsidR="0089635C" w:rsidRPr="0089635C" w:rsidRDefault="0089635C" w:rsidP="0010788A">
          <w:pPr>
            <w:pStyle w:val="Contents"/>
          </w:pPr>
          <w:r w:rsidRPr="0010788A">
            <w:t>Contents</w:t>
          </w:r>
        </w:p>
        <w:p w14:paraId="01CEA15E" w14:textId="4F1F3F77" w:rsidR="006B73D3"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1551339" w:history="1">
            <w:r w:rsidR="006B73D3" w:rsidRPr="00212F80">
              <w:rPr>
                <w:rStyle w:val="Hyperlink"/>
                <w:noProof/>
              </w:rPr>
              <w:t>Common abbreviations</w:t>
            </w:r>
            <w:r w:rsidR="006B73D3">
              <w:rPr>
                <w:noProof/>
                <w:webHidden/>
              </w:rPr>
              <w:tab/>
            </w:r>
            <w:r w:rsidR="006B73D3">
              <w:rPr>
                <w:noProof/>
                <w:webHidden/>
              </w:rPr>
              <w:fldChar w:fldCharType="begin"/>
            </w:r>
            <w:r w:rsidR="006B73D3">
              <w:rPr>
                <w:noProof/>
                <w:webHidden/>
              </w:rPr>
              <w:instrText xml:space="preserve"> PAGEREF _Toc41551339 \h </w:instrText>
            </w:r>
            <w:r w:rsidR="006B73D3">
              <w:rPr>
                <w:noProof/>
                <w:webHidden/>
              </w:rPr>
            </w:r>
            <w:r w:rsidR="006B73D3">
              <w:rPr>
                <w:noProof/>
                <w:webHidden/>
              </w:rPr>
              <w:fldChar w:fldCharType="separate"/>
            </w:r>
            <w:r w:rsidR="008E383E">
              <w:rPr>
                <w:noProof/>
                <w:webHidden/>
              </w:rPr>
              <w:t>4</w:t>
            </w:r>
            <w:r w:rsidR="006B73D3">
              <w:rPr>
                <w:noProof/>
                <w:webHidden/>
              </w:rPr>
              <w:fldChar w:fldCharType="end"/>
            </w:r>
          </w:hyperlink>
        </w:p>
        <w:p w14:paraId="6F11492B" w14:textId="37BB915F" w:rsidR="006B73D3" w:rsidRDefault="008F2C62">
          <w:pPr>
            <w:pStyle w:val="TOC2"/>
            <w:rPr>
              <w:rFonts w:asciiTheme="minorHAnsi" w:eastAsiaTheme="minorEastAsia" w:hAnsiTheme="minorHAnsi" w:cstheme="minorBidi"/>
              <w:b w:val="0"/>
              <w:noProof/>
              <w:sz w:val="22"/>
              <w:lang w:eastAsia="en-AU"/>
            </w:rPr>
          </w:pPr>
          <w:hyperlink w:anchor="_Toc41551340" w:history="1">
            <w:r w:rsidR="006B73D3" w:rsidRPr="00212F80">
              <w:rPr>
                <w:rStyle w:val="Hyperlink"/>
                <w:noProof/>
              </w:rPr>
              <w:t>I. Introduction to product submission</w:t>
            </w:r>
            <w:r w:rsidR="006B73D3">
              <w:rPr>
                <w:noProof/>
                <w:webHidden/>
              </w:rPr>
              <w:tab/>
            </w:r>
            <w:r w:rsidR="006B73D3">
              <w:rPr>
                <w:noProof/>
                <w:webHidden/>
              </w:rPr>
              <w:fldChar w:fldCharType="begin"/>
            </w:r>
            <w:r w:rsidR="006B73D3">
              <w:rPr>
                <w:noProof/>
                <w:webHidden/>
              </w:rPr>
              <w:instrText xml:space="preserve"> PAGEREF _Toc41551340 \h </w:instrText>
            </w:r>
            <w:r w:rsidR="006B73D3">
              <w:rPr>
                <w:noProof/>
                <w:webHidden/>
              </w:rPr>
            </w:r>
            <w:r w:rsidR="006B73D3">
              <w:rPr>
                <w:noProof/>
                <w:webHidden/>
              </w:rPr>
              <w:fldChar w:fldCharType="separate"/>
            </w:r>
            <w:r w:rsidR="008E383E">
              <w:rPr>
                <w:noProof/>
                <w:webHidden/>
              </w:rPr>
              <w:t>7</w:t>
            </w:r>
            <w:r w:rsidR="006B73D3">
              <w:rPr>
                <w:noProof/>
                <w:webHidden/>
              </w:rPr>
              <w:fldChar w:fldCharType="end"/>
            </w:r>
          </w:hyperlink>
        </w:p>
        <w:p w14:paraId="0530F568" w14:textId="64BAE30A" w:rsidR="006B73D3" w:rsidRDefault="008F2C62">
          <w:pPr>
            <w:pStyle w:val="TOC3"/>
            <w:rPr>
              <w:rFonts w:asciiTheme="minorHAnsi" w:eastAsiaTheme="minorEastAsia" w:hAnsiTheme="minorHAnsi" w:cstheme="minorBidi"/>
              <w:noProof/>
              <w:lang w:eastAsia="en-AU"/>
            </w:rPr>
          </w:pPr>
          <w:hyperlink w:anchor="_Toc41551341" w:history="1">
            <w:r w:rsidR="006B73D3" w:rsidRPr="00212F80">
              <w:rPr>
                <w:rStyle w:val="Hyperlink"/>
                <w:noProof/>
                <w:lang w:eastAsia="en-AU"/>
              </w:rPr>
              <w:t>Submission details</w:t>
            </w:r>
            <w:r w:rsidR="006B73D3">
              <w:rPr>
                <w:noProof/>
                <w:webHidden/>
              </w:rPr>
              <w:tab/>
            </w:r>
            <w:r w:rsidR="006B73D3">
              <w:rPr>
                <w:noProof/>
                <w:webHidden/>
              </w:rPr>
              <w:fldChar w:fldCharType="begin"/>
            </w:r>
            <w:r w:rsidR="006B73D3">
              <w:rPr>
                <w:noProof/>
                <w:webHidden/>
              </w:rPr>
              <w:instrText xml:space="preserve"> PAGEREF _Toc41551341 \h </w:instrText>
            </w:r>
            <w:r w:rsidR="006B73D3">
              <w:rPr>
                <w:noProof/>
                <w:webHidden/>
              </w:rPr>
            </w:r>
            <w:r w:rsidR="006B73D3">
              <w:rPr>
                <w:noProof/>
                <w:webHidden/>
              </w:rPr>
              <w:fldChar w:fldCharType="separate"/>
            </w:r>
            <w:r w:rsidR="008E383E">
              <w:rPr>
                <w:noProof/>
                <w:webHidden/>
              </w:rPr>
              <w:t>7</w:t>
            </w:r>
            <w:r w:rsidR="006B73D3">
              <w:rPr>
                <w:noProof/>
                <w:webHidden/>
              </w:rPr>
              <w:fldChar w:fldCharType="end"/>
            </w:r>
          </w:hyperlink>
        </w:p>
        <w:p w14:paraId="424347DC" w14:textId="7E2F0001" w:rsidR="006B73D3" w:rsidRDefault="008F2C62">
          <w:pPr>
            <w:pStyle w:val="TOC3"/>
            <w:rPr>
              <w:rFonts w:asciiTheme="minorHAnsi" w:eastAsiaTheme="minorEastAsia" w:hAnsiTheme="minorHAnsi" w:cstheme="minorBidi"/>
              <w:noProof/>
              <w:lang w:eastAsia="en-AU"/>
            </w:rPr>
          </w:pPr>
          <w:hyperlink w:anchor="_Toc41551342" w:history="1">
            <w:r w:rsidR="006B73D3" w:rsidRPr="00212F80">
              <w:rPr>
                <w:rStyle w:val="Hyperlink"/>
                <w:noProof/>
              </w:rPr>
              <w:t>Product background</w:t>
            </w:r>
            <w:r w:rsidR="006B73D3">
              <w:rPr>
                <w:noProof/>
                <w:webHidden/>
              </w:rPr>
              <w:tab/>
            </w:r>
            <w:r w:rsidR="006B73D3">
              <w:rPr>
                <w:noProof/>
                <w:webHidden/>
              </w:rPr>
              <w:fldChar w:fldCharType="begin"/>
            </w:r>
            <w:r w:rsidR="006B73D3">
              <w:rPr>
                <w:noProof/>
                <w:webHidden/>
              </w:rPr>
              <w:instrText xml:space="preserve"> PAGEREF _Toc41551342 \h </w:instrText>
            </w:r>
            <w:r w:rsidR="006B73D3">
              <w:rPr>
                <w:noProof/>
                <w:webHidden/>
              </w:rPr>
            </w:r>
            <w:r w:rsidR="006B73D3">
              <w:rPr>
                <w:noProof/>
                <w:webHidden/>
              </w:rPr>
              <w:fldChar w:fldCharType="separate"/>
            </w:r>
            <w:r w:rsidR="008E383E">
              <w:rPr>
                <w:noProof/>
                <w:webHidden/>
              </w:rPr>
              <w:t>7</w:t>
            </w:r>
            <w:r w:rsidR="006B73D3">
              <w:rPr>
                <w:noProof/>
                <w:webHidden/>
              </w:rPr>
              <w:fldChar w:fldCharType="end"/>
            </w:r>
          </w:hyperlink>
        </w:p>
        <w:p w14:paraId="2A289BCA" w14:textId="285D5B75" w:rsidR="006B73D3" w:rsidRDefault="008F2C62">
          <w:pPr>
            <w:pStyle w:val="TOC3"/>
            <w:rPr>
              <w:rFonts w:asciiTheme="minorHAnsi" w:eastAsiaTheme="minorEastAsia" w:hAnsiTheme="minorHAnsi" w:cstheme="minorBidi"/>
              <w:noProof/>
              <w:lang w:eastAsia="en-AU"/>
            </w:rPr>
          </w:pPr>
          <w:hyperlink w:anchor="_Toc41551343" w:history="1">
            <w:r w:rsidR="006B73D3" w:rsidRPr="00212F80">
              <w:rPr>
                <w:rStyle w:val="Hyperlink"/>
                <w:noProof/>
              </w:rPr>
              <w:t>Regulatory status</w:t>
            </w:r>
            <w:r w:rsidR="006B73D3">
              <w:rPr>
                <w:noProof/>
                <w:webHidden/>
              </w:rPr>
              <w:tab/>
            </w:r>
            <w:r w:rsidR="006B73D3">
              <w:rPr>
                <w:noProof/>
                <w:webHidden/>
              </w:rPr>
              <w:fldChar w:fldCharType="begin"/>
            </w:r>
            <w:r w:rsidR="006B73D3">
              <w:rPr>
                <w:noProof/>
                <w:webHidden/>
              </w:rPr>
              <w:instrText xml:space="preserve"> PAGEREF _Toc41551343 \h </w:instrText>
            </w:r>
            <w:r w:rsidR="006B73D3">
              <w:rPr>
                <w:noProof/>
                <w:webHidden/>
              </w:rPr>
            </w:r>
            <w:r w:rsidR="006B73D3">
              <w:rPr>
                <w:noProof/>
                <w:webHidden/>
              </w:rPr>
              <w:fldChar w:fldCharType="separate"/>
            </w:r>
            <w:r w:rsidR="008E383E">
              <w:rPr>
                <w:noProof/>
                <w:webHidden/>
              </w:rPr>
              <w:t>9</w:t>
            </w:r>
            <w:r w:rsidR="006B73D3">
              <w:rPr>
                <w:noProof/>
                <w:webHidden/>
              </w:rPr>
              <w:fldChar w:fldCharType="end"/>
            </w:r>
          </w:hyperlink>
        </w:p>
        <w:p w14:paraId="72ED5831" w14:textId="7A590C91" w:rsidR="006B73D3" w:rsidRDefault="008F2C62">
          <w:pPr>
            <w:pStyle w:val="TOC3"/>
            <w:rPr>
              <w:rFonts w:asciiTheme="minorHAnsi" w:eastAsiaTheme="minorEastAsia" w:hAnsiTheme="minorHAnsi" w:cstheme="minorBidi"/>
              <w:noProof/>
              <w:lang w:eastAsia="en-AU"/>
            </w:rPr>
          </w:pPr>
          <w:hyperlink w:anchor="_Toc41551344" w:history="1">
            <w:r w:rsidR="006B73D3" w:rsidRPr="00212F80">
              <w:rPr>
                <w:rStyle w:val="Hyperlink"/>
                <w:noProof/>
              </w:rPr>
              <w:t>Product Information</w:t>
            </w:r>
            <w:r w:rsidR="006B73D3">
              <w:rPr>
                <w:noProof/>
                <w:webHidden/>
              </w:rPr>
              <w:tab/>
            </w:r>
            <w:r w:rsidR="006B73D3">
              <w:rPr>
                <w:noProof/>
                <w:webHidden/>
              </w:rPr>
              <w:fldChar w:fldCharType="begin"/>
            </w:r>
            <w:r w:rsidR="006B73D3">
              <w:rPr>
                <w:noProof/>
                <w:webHidden/>
              </w:rPr>
              <w:instrText xml:space="preserve"> PAGEREF _Toc41551344 \h </w:instrText>
            </w:r>
            <w:r w:rsidR="006B73D3">
              <w:rPr>
                <w:noProof/>
                <w:webHidden/>
              </w:rPr>
            </w:r>
            <w:r w:rsidR="006B73D3">
              <w:rPr>
                <w:noProof/>
                <w:webHidden/>
              </w:rPr>
              <w:fldChar w:fldCharType="separate"/>
            </w:r>
            <w:r w:rsidR="008E383E">
              <w:rPr>
                <w:noProof/>
                <w:webHidden/>
              </w:rPr>
              <w:t>10</w:t>
            </w:r>
            <w:r w:rsidR="006B73D3">
              <w:rPr>
                <w:noProof/>
                <w:webHidden/>
              </w:rPr>
              <w:fldChar w:fldCharType="end"/>
            </w:r>
          </w:hyperlink>
        </w:p>
        <w:p w14:paraId="165D3867" w14:textId="61BB35A3" w:rsidR="006B73D3" w:rsidRDefault="008F2C62">
          <w:pPr>
            <w:pStyle w:val="TOC2"/>
            <w:rPr>
              <w:rFonts w:asciiTheme="minorHAnsi" w:eastAsiaTheme="minorEastAsia" w:hAnsiTheme="minorHAnsi" w:cstheme="minorBidi"/>
              <w:b w:val="0"/>
              <w:noProof/>
              <w:sz w:val="22"/>
              <w:lang w:eastAsia="en-AU"/>
            </w:rPr>
          </w:pPr>
          <w:hyperlink w:anchor="_Toc41551345" w:history="1">
            <w:r w:rsidR="006B73D3" w:rsidRPr="00212F80">
              <w:rPr>
                <w:rStyle w:val="Hyperlink"/>
                <w:noProof/>
              </w:rPr>
              <w:t>II. Registration timeline</w:t>
            </w:r>
            <w:r w:rsidR="006B73D3">
              <w:rPr>
                <w:noProof/>
                <w:webHidden/>
              </w:rPr>
              <w:tab/>
            </w:r>
            <w:r w:rsidR="006B73D3">
              <w:rPr>
                <w:noProof/>
                <w:webHidden/>
              </w:rPr>
              <w:fldChar w:fldCharType="begin"/>
            </w:r>
            <w:r w:rsidR="006B73D3">
              <w:rPr>
                <w:noProof/>
                <w:webHidden/>
              </w:rPr>
              <w:instrText xml:space="preserve"> PAGEREF _Toc41551345 \h </w:instrText>
            </w:r>
            <w:r w:rsidR="006B73D3">
              <w:rPr>
                <w:noProof/>
                <w:webHidden/>
              </w:rPr>
            </w:r>
            <w:r w:rsidR="006B73D3">
              <w:rPr>
                <w:noProof/>
                <w:webHidden/>
              </w:rPr>
              <w:fldChar w:fldCharType="separate"/>
            </w:r>
            <w:r w:rsidR="008E383E">
              <w:rPr>
                <w:noProof/>
                <w:webHidden/>
              </w:rPr>
              <w:t>10</w:t>
            </w:r>
            <w:r w:rsidR="006B73D3">
              <w:rPr>
                <w:noProof/>
                <w:webHidden/>
              </w:rPr>
              <w:fldChar w:fldCharType="end"/>
            </w:r>
          </w:hyperlink>
        </w:p>
        <w:p w14:paraId="114990C7" w14:textId="7F3E1BDD" w:rsidR="006B73D3" w:rsidRDefault="008F2C62">
          <w:pPr>
            <w:pStyle w:val="TOC2"/>
            <w:rPr>
              <w:rFonts w:asciiTheme="minorHAnsi" w:eastAsiaTheme="minorEastAsia" w:hAnsiTheme="minorHAnsi" w:cstheme="minorBidi"/>
              <w:b w:val="0"/>
              <w:noProof/>
              <w:sz w:val="22"/>
              <w:lang w:eastAsia="en-AU"/>
            </w:rPr>
          </w:pPr>
          <w:hyperlink w:anchor="_Toc41551346" w:history="1">
            <w:r w:rsidR="006B73D3" w:rsidRPr="00212F80">
              <w:rPr>
                <w:rStyle w:val="Hyperlink"/>
                <w:noProof/>
              </w:rPr>
              <w:t>III. Submission overview and risk/benefit assessment</w:t>
            </w:r>
            <w:r w:rsidR="006B73D3">
              <w:rPr>
                <w:noProof/>
                <w:webHidden/>
              </w:rPr>
              <w:tab/>
            </w:r>
            <w:r w:rsidR="006B73D3">
              <w:rPr>
                <w:noProof/>
                <w:webHidden/>
              </w:rPr>
              <w:fldChar w:fldCharType="begin"/>
            </w:r>
            <w:r w:rsidR="006B73D3">
              <w:rPr>
                <w:noProof/>
                <w:webHidden/>
              </w:rPr>
              <w:instrText xml:space="preserve"> PAGEREF _Toc41551346 \h </w:instrText>
            </w:r>
            <w:r w:rsidR="006B73D3">
              <w:rPr>
                <w:noProof/>
                <w:webHidden/>
              </w:rPr>
            </w:r>
            <w:r w:rsidR="006B73D3">
              <w:rPr>
                <w:noProof/>
                <w:webHidden/>
              </w:rPr>
              <w:fldChar w:fldCharType="separate"/>
            </w:r>
            <w:r w:rsidR="008E383E">
              <w:rPr>
                <w:noProof/>
                <w:webHidden/>
              </w:rPr>
              <w:t>11</w:t>
            </w:r>
            <w:r w:rsidR="006B73D3">
              <w:rPr>
                <w:noProof/>
                <w:webHidden/>
              </w:rPr>
              <w:fldChar w:fldCharType="end"/>
            </w:r>
          </w:hyperlink>
        </w:p>
        <w:p w14:paraId="4E43CF19" w14:textId="39E147EA" w:rsidR="006B73D3" w:rsidRDefault="008F2C62">
          <w:pPr>
            <w:pStyle w:val="TOC3"/>
            <w:rPr>
              <w:rFonts w:asciiTheme="minorHAnsi" w:eastAsiaTheme="minorEastAsia" w:hAnsiTheme="minorHAnsi" w:cstheme="minorBidi"/>
              <w:noProof/>
              <w:lang w:eastAsia="en-AU"/>
            </w:rPr>
          </w:pPr>
          <w:hyperlink w:anchor="_Toc41551347" w:history="1">
            <w:r w:rsidR="006B73D3" w:rsidRPr="00212F80">
              <w:rPr>
                <w:rStyle w:val="Hyperlink"/>
                <w:noProof/>
              </w:rPr>
              <w:t>Quality</w:t>
            </w:r>
            <w:r w:rsidR="006B73D3">
              <w:rPr>
                <w:noProof/>
                <w:webHidden/>
              </w:rPr>
              <w:tab/>
            </w:r>
            <w:r w:rsidR="006B73D3">
              <w:rPr>
                <w:noProof/>
                <w:webHidden/>
              </w:rPr>
              <w:fldChar w:fldCharType="begin"/>
            </w:r>
            <w:r w:rsidR="006B73D3">
              <w:rPr>
                <w:noProof/>
                <w:webHidden/>
              </w:rPr>
              <w:instrText xml:space="preserve"> PAGEREF _Toc41551347 \h </w:instrText>
            </w:r>
            <w:r w:rsidR="006B73D3">
              <w:rPr>
                <w:noProof/>
                <w:webHidden/>
              </w:rPr>
            </w:r>
            <w:r w:rsidR="006B73D3">
              <w:rPr>
                <w:noProof/>
                <w:webHidden/>
              </w:rPr>
              <w:fldChar w:fldCharType="separate"/>
            </w:r>
            <w:r w:rsidR="008E383E">
              <w:rPr>
                <w:noProof/>
                <w:webHidden/>
              </w:rPr>
              <w:t>11</w:t>
            </w:r>
            <w:r w:rsidR="006B73D3">
              <w:rPr>
                <w:noProof/>
                <w:webHidden/>
              </w:rPr>
              <w:fldChar w:fldCharType="end"/>
            </w:r>
          </w:hyperlink>
        </w:p>
        <w:p w14:paraId="1A6CE3C0" w14:textId="532A4830" w:rsidR="006B73D3" w:rsidRDefault="008F2C62">
          <w:pPr>
            <w:pStyle w:val="TOC3"/>
            <w:rPr>
              <w:rFonts w:asciiTheme="minorHAnsi" w:eastAsiaTheme="minorEastAsia" w:hAnsiTheme="minorHAnsi" w:cstheme="minorBidi"/>
              <w:noProof/>
              <w:lang w:eastAsia="en-AU"/>
            </w:rPr>
          </w:pPr>
          <w:hyperlink w:anchor="_Toc41551348" w:history="1">
            <w:r w:rsidR="006B73D3" w:rsidRPr="00212F80">
              <w:rPr>
                <w:rStyle w:val="Hyperlink"/>
                <w:noProof/>
              </w:rPr>
              <w:t>Nonclinical</w:t>
            </w:r>
            <w:r w:rsidR="006B73D3">
              <w:rPr>
                <w:noProof/>
                <w:webHidden/>
              </w:rPr>
              <w:tab/>
            </w:r>
            <w:r w:rsidR="006B73D3">
              <w:rPr>
                <w:noProof/>
                <w:webHidden/>
              </w:rPr>
              <w:fldChar w:fldCharType="begin"/>
            </w:r>
            <w:r w:rsidR="006B73D3">
              <w:rPr>
                <w:noProof/>
                <w:webHidden/>
              </w:rPr>
              <w:instrText xml:space="preserve"> PAGEREF _Toc41551348 \h </w:instrText>
            </w:r>
            <w:r w:rsidR="006B73D3">
              <w:rPr>
                <w:noProof/>
                <w:webHidden/>
              </w:rPr>
            </w:r>
            <w:r w:rsidR="006B73D3">
              <w:rPr>
                <w:noProof/>
                <w:webHidden/>
              </w:rPr>
              <w:fldChar w:fldCharType="separate"/>
            </w:r>
            <w:r w:rsidR="008E383E">
              <w:rPr>
                <w:noProof/>
                <w:webHidden/>
              </w:rPr>
              <w:t>11</w:t>
            </w:r>
            <w:r w:rsidR="006B73D3">
              <w:rPr>
                <w:noProof/>
                <w:webHidden/>
              </w:rPr>
              <w:fldChar w:fldCharType="end"/>
            </w:r>
          </w:hyperlink>
        </w:p>
        <w:p w14:paraId="5E6A0547" w14:textId="2578E6AF" w:rsidR="006B73D3" w:rsidRDefault="008F2C62">
          <w:pPr>
            <w:pStyle w:val="TOC3"/>
            <w:rPr>
              <w:rFonts w:asciiTheme="minorHAnsi" w:eastAsiaTheme="minorEastAsia" w:hAnsiTheme="minorHAnsi" w:cstheme="minorBidi"/>
              <w:noProof/>
              <w:lang w:eastAsia="en-AU"/>
            </w:rPr>
          </w:pPr>
          <w:hyperlink w:anchor="_Toc41551349" w:history="1">
            <w:r w:rsidR="006B73D3" w:rsidRPr="00212F80">
              <w:rPr>
                <w:rStyle w:val="Hyperlink"/>
                <w:noProof/>
              </w:rPr>
              <w:t>Clinical</w:t>
            </w:r>
            <w:r w:rsidR="006B73D3">
              <w:rPr>
                <w:noProof/>
                <w:webHidden/>
              </w:rPr>
              <w:tab/>
            </w:r>
            <w:r w:rsidR="006B73D3">
              <w:rPr>
                <w:noProof/>
                <w:webHidden/>
              </w:rPr>
              <w:fldChar w:fldCharType="begin"/>
            </w:r>
            <w:r w:rsidR="006B73D3">
              <w:rPr>
                <w:noProof/>
                <w:webHidden/>
              </w:rPr>
              <w:instrText xml:space="preserve"> PAGEREF _Toc41551349 \h </w:instrText>
            </w:r>
            <w:r w:rsidR="006B73D3">
              <w:rPr>
                <w:noProof/>
                <w:webHidden/>
              </w:rPr>
            </w:r>
            <w:r w:rsidR="006B73D3">
              <w:rPr>
                <w:noProof/>
                <w:webHidden/>
              </w:rPr>
              <w:fldChar w:fldCharType="separate"/>
            </w:r>
            <w:r w:rsidR="008E383E">
              <w:rPr>
                <w:noProof/>
                <w:webHidden/>
              </w:rPr>
              <w:t>11</w:t>
            </w:r>
            <w:r w:rsidR="006B73D3">
              <w:rPr>
                <w:noProof/>
                <w:webHidden/>
              </w:rPr>
              <w:fldChar w:fldCharType="end"/>
            </w:r>
          </w:hyperlink>
        </w:p>
        <w:p w14:paraId="24596E67" w14:textId="09D5F3F9" w:rsidR="006B73D3" w:rsidRDefault="008F2C62">
          <w:pPr>
            <w:pStyle w:val="TOC3"/>
            <w:rPr>
              <w:rFonts w:asciiTheme="minorHAnsi" w:eastAsiaTheme="minorEastAsia" w:hAnsiTheme="minorHAnsi" w:cstheme="minorBidi"/>
              <w:noProof/>
              <w:lang w:eastAsia="en-AU"/>
            </w:rPr>
          </w:pPr>
          <w:hyperlink w:anchor="_Toc41551350" w:history="1">
            <w:r w:rsidR="006B73D3" w:rsidRPr="00212F80">
              <w:rPr>
                <w:rStyle w:val="Hyperlink"/>
                <w:noProof/>
                <w:lang w:eastAsia="en-AU"/>
              </w:rPr>
              <w:t>Risk management plan</w:t>
            </w:r>
            <w:r w:rsidR="006B73D3">
              <w:rPr>
                <w:noProof/>
                <w:webHidden/>
              </w:rPr>
              <w:tab/>
            </w:r>
            <w:r w:rsidR="006B73D3">
              <w:rPr>
                <w:noProof/>
                <w:webHidden/>
              </w:rPr>
              <w:fldChar w:fldCharType="begin"/>
            </w:r>
            <w:r w:rsidR="006B73D3">
              <w:rPr>
                <w:noProof/>
                <w:webHidden/>
              </w:rPr>
              <w:instrText xml:space="preserve"> PAGEREF _Toc41551350 \h </w:instrText>
            </w:r>
            <w:r w:rsidR="006B73D3">
              <w:rPr>
                <w:noProof/>
                <w:webHidden/>
              </w:rPr>
            </w:r>
            <w:r w:rsidR="006B73D3">
              <w:rPr>
                <w:noProof/>
                <w:webHidden/>
              </w:rPr>
              <w:fldChar w:fldCharType="separate"/>
            </w:r>
            <w:r w:rsidR="008E383E">
              <w:rPr>
                <w:noProof/>
                <w:webHidden/>
              </w:rPr>
              <w:t>21</w:t>
            </w:r>
            <w:r w:rsidR="006B73D3">
              <w:rPr>
                <w:noProof/>
                <w:webHidden/>
              </w:rPr>
              <w:fldChar w:fldCharType="end"/>
            </w:r>
          </w:hyperlink>
        </w:p>
        <w:p w14:paraId="15ED37B1" w14:textId="6286EC20" w:rsidR="006B73D3" w:rsidRDefault="008F2C62">
          <w:pPr>
            <w:pStyle w:val="TOC3"/>
            <w:rPr>
              <w:rFonts w:asciiTheme="minorHAnsi" w:eastAsiaTheme="minorEastAsia" w:hAnsiTheme="minorHAnsi" w:cstheme="minorBidi"/>
              <w:noProof/>
              <w:lang w:eastAsia="en-AU"/>
            </w:rPr>
          </w:pPr>
          <w:hyperlink w:anchor="_Toc41551351" w:history="1">
            <w:r w:rsidR="006B73D3" w:rsidRPr="00212F80">
              <w:rPr>
                <w:rStyle w:val="Hyperlink"/>
                <w:noProof/>
              </w:rPr>
              <w:t>Risk-benefit analysis</w:t>
            </w:r>
            <w:r w:rsidR="006B73D3">
              <w:rPr>
                <w:noProof/>
                <w:webHidden/>
              </w:rPr>
              <w:tab/>
            </w:r>
            <w:r w:rsidR="006B73D3">
              <w:rPr>
                <w:noProof/>
                <w:webHidden/>
              </w:rPr>
              <w:fldChar w:fldCharType="begin"/>
            </w:r>
            <w:r w:rsidR="006B73D3">
              <w:rPr>
                <w:noProof/>
                <w:webHidden/>
              </w:rPr>
              <w:instrText xml:space="preserve"> PAGEREF _Toc41551351 \h </w:instrText>
            </w:r>
            <w:r w:rsidR="006B73D3">
              <w:rPr>
                <w:noProof/>
                <w:webHidden/>
              </w:rPr>
            </w:r>
            <w:r w:rsidR="006B73D3">
              <w:rPr>
                <w:noProof/>
                <w:webHidden/>
              </w:rPr>
              <w:fldChar w:fldCharType="separate"/>
            </w:r>
            <w:r w:rsidR="008E383E">
              <w:rPr>
                <w:noProof/>
                <w:webHidden/>
              </w:rPr>
              <w:t>21</w:t>
            </w:r>
            <w:r w:rsidR="006B73D3">
              <w:rPr>
                <w:noProof/>
                <w:webHidden/>
              </w:rPr>
              <w:fldChar w:fldCharType="end"/>
            </w:r>
          </w:hyperlink>
        </w:p>
        <w:p w14:paraId="487E45B6" w14:textId="1D13CE2E" w:rsidR="006B73D3" w:rsidRDefault="008F2C62">
          <w:pPr>
            <w:pStyle w:val="TOC3"/>
            <w:rPr>
              <w:rFonts w:asciiTheme="minorHAnsi" w:eastAsiaTheme="minorEastAsia" w:hAnsiTheme="minorHAnsi" w:cstheme="minorBidi"/>
              <w:noProof/>
              <w:lang w:eastAsia="en-AU"/>
            </w:rPr>
          </w:pPr>
          <w:hyperlink w:anchor="_Toc41551352" w:history="1">
            <w:r w:rsidR="006B73D3" w:rsidRPr="00212F80">
              <w:rPr>
                <w:rStyle w:val="Hyperlink"/>
                <w:noProof/>
              </w:rPr>
              <w:t>Outcome</w:t>
            </w:r>
            <w:r w:rsidR="006B73D3">
              <w:rPr>
                <w:noProof/>
                <w:webHidden/>
              </w:rPr>
              <w:tab/>
            </w:r>
            <w:r w:rsidR="006B73D3">
              <w:rPr>
                <w:noProof/>
                <w:webHidden/>
              </w:rPr>
              <w:fldChar w:fldCharType="begin"/>
            </w:r>
            <w:r w:rsidR="006B73D3">
              <w:rPr>
                <w:noProof/>
                <w:webHidden/>
              </w:rPr>
              <w:instrText xml:space="preserve"> PAGEREF _Toc41551352 \h </w:instrText>
            </w:r>
            <w:r w:rsidR="006B73D3">
              <w:rPr>
                <w:noProof/>
                <w:webHidden/>
              </w:rPr>
            </w:r>
            <w:r w:rsidR="006B73D3">
              <w:rPr>
                <w:noProof/>
                <w:webHidden/>
              </w:rPr>
              <w:fldChar w:fldCharType="separate"/>
            </w:r>
            <w:r w:rsidR="008E383E">
              <w:rPr>
                <w:noProof/>
                <w:webHidden/>
              </w:rPr>
              <w:t>24</w:t>
            </w:r>
            <w:r w:rsidR="006B73D3">
              <w:rPr>
                <w:noProof/>
                <w:webHidden/>
              </w:rPr>
              <w:fldChar w:fldCharType="end"/>
            </w:r>
          </w:hyperlink>
        </w:p>
        <w:p w14:paraId="2F452ABD" w14:textId="7F147CBA" w:rsidR="006B73D3" w:rsidRDefault="008F2C62">
          <w:pPr>
            <w:pStyle w:val="TOC2"/>
            <w:rPr>
              <w:rFonts w:asciiTheme="minorHAnsi" w:eastAsiaTheme="minorEastAsia" w:hAnsiTheme="minorHAnsi" w:cstheme="minorBidi"/>
              <w:b w:val="0"/>
              <w:noProof/>
              <w:sz w:val="22"/>
              <w:lang w:eastAsia="en-AU"/>
            </w:rPr>
          </w:pPr>
          <w:hyperlink w:anchor="_Toc41551353" w:history="1">
            <w:r w:rsidR="006B73D3" w:rsidRPr="00212F80">
              <w:rPr>
                <w:rStyle w:val="Hyperlink"/>
                <w:noProof/>
              </w:rPr>
              <w:t>Attachment 1. Product Information</w:t>
            </w:r>
            <w:r w:rsidR="006B73D3">
              <w:rPr>
                <w:noProof/>
                <w:webHidden/>
              </w:rPr>
              <w:tab/>
            </w:r>
            <w:r w:rsidR="006B73D3">
              <w:rPr>
                <w:noProof/>
                <w:webHidden/>
              </w:rPr>
              <w:fldChar w:fldCharType="begin"/>
            </w:r>
            <w:r w:rsidR="006B73D3">
              <w:rPr>
                <w:noProof/>
                <w:webHidden/>
              </w:rPr>
              <w:instrText xml:space="preserve"> PAGEREF _Toc41551353 \h </w:instrText>
            </w:r>
            <w:r w:rsidR="006B73D3">
              <w:rPr>
                <w:noProof/>
                <w:webHidden/>
              </w:rPr>
            </w:r>
            <w:r w:rsidR="006B73D3">
              <w:rPr>
                <w:noProof/>
                <w:webHidden/>
              </w:rPr>
              <w:fldChar w:fldCharType="separate"/>
            </w:r>
            <w:r w:rsidR="008E383E">
              <w:rPr>
                <w:noProof/>
                <w:webHidden/>
              </w:rPr>
              <w:t>25</w:t>
            </w:r>
            <w:r w:rsidR="006B73D3">
              <w:rPr>
                <w:noProof/>
                <w:webHidden/>
              </w:rPr>
              <w:fldChar w:fldCharType="end"/>
            </w:r>
          </w:hyperlink>
        </w:p>
        <w:p w14:paraId="16270CA6" w14:textId="13E636BD" w:rsidR="003A7F6C" w:rsidRPr="00B811C6" w:rsidRDefault="00960520" w:rsidP="00B811C6">
          <w:pPr>
            <w:pStyle w:val="TOC2"/>
          </w:pPr>
          <w:r>
            <w:fldChar w:fldCharType="end"/>
          </w:r>
        </w:p>
      </w:sdtContent>
    </w:sdt>
    <w:bookmarkStart w:id="3" w:name="_Toc314842482" w:displacedByCustomXml="prev"/>
    <w:p w14:paraId="731D08E1" w14:textId="77777777" w:rsidR="00FD119B" w:rsidRDefault="00FD119B">
      <w:pPr>
        <w:spacing w:before="0" w:after="200" w:line="0" w:lineRule="auto"/>
      </w:pPr>
      <w:r>
        <w:br w:type="page"/>
      </w:r>
    </w:p>
    <w:p w14:paraId="3BEA9201"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41551339"/>
      <w:r>
        <w:lastRenderedPageBreak/>
        <w:t>Common</w:t>
      </w:r>
      <w:r w:rsidR="00FD119B" w:rsidRPr="00FD119B">
        <w:t xml:space="preserve"> abbreviations</w:t>
      </w:r>
      <w:bookmarkEnd w:id="4"/>
      <w:bookmarkEnd w:id="5"/>
      <w:bookmarkEnd w:id="6"/>
      <w:bookmarkEnd w:id="7"/>
      <w:bookmarkEnd w:id="8"/>
    </w:p>
    <w:tbl>
      <w:tblPr>
        <w:tblStyle w:val="TableTGAblue"/>
        <w:tblW w:w="8505" w:type="dxa"/>
        <w:tblInd w:w="108" w:type="dxa"/>
        <w:tblLook w:val="04A0" w:firstRow="1" w:lastRow="0" w:firstColumn="1" w:lastColumn="0" w:noHBand="0" w:noVBand="1"/>
      </w:tblPr>
      <w:tblGrid>
        <w:gridCol w:w="1890"/>
        <w:gridCol w:w="6615"/>
      </w:tblGrid>
      <w:tr w:rsidR="00E03843" w:rsidRPr="003F157A" w14:paraId="00033463" w14:textId="77777777" w:rsidTr="001658AE">
        <w:trPr>
          <w:cnfStyle w:val="100000000000" w:firstRow="1" w:lastRow="0" w:firstColumn="0" w:lastColumn="0" w:oddVBand="0" w:evenVBand="0" w:oddHBand="0" w:evenHBand="0" w:firstRowFirstColumn="0" w:firstRowLastColumn="0" w:lastRowFirstColumn="0" w:lastRowLastColumn="0"/>
        </w:trPr>
        <w:tc>
          <w:tcPr>
            <w:tcW w:w="1890" w:type="dxa"/>
          </w:tcPr>
          <w:p w14:paraId="5B9DD165" w14:textId="77777777" w:rsidR="00E03843" w:rsidRPr="003F157A" w:rsidRDefault="00E03843" w:rsidP="00F64E7A">
            <w:pPr>
              <w:keepNext w:val="0"/>
              <w:rPr>
                <w:rFonts w:asciiTheme="minorHAnsi" w:hAnsiTheme="minorHAnsi"/>
                <w:szCs w:val="22"/>
                <w:lang w:eastAsia="en-US"/>
              </w:rPr>
            </w:pPr>
            <w:r w:rsidRPr="003F157A">
              <w:rPr>
                <w:rFonts w:asciiTheme="minorHAnsi" w:hAnsiTheme="minorHAnsi"/>
                <w:szCs w:val="22"/>
                <w:lang w:eastAsia="en-US"/>
              </w:rPr>
              <w:t>Abbreviation</w:t>
            </w:r>
          </w:p>
        </w:tc>
        <w:tc>
          <w:tcPr>
            <w:tcW w:w="6615" w:type="dxa"/>
          </w:tcPr>
          <w:p w14:paraId="5076FE36" w14:textId="77777777" w:rsidR="00E03843" w:rsidRPr="003F157A" w:rsidRDefault="00E03843" w:rsidP="00F64E7A">
            <w:pPr>
              <w:keepNext w:val="0"/>
              <w:rPr>
                <w:rFonts w:asciiTheme="minorHAnsi" w:hAnsiTheme="minorHAnsi"/>
                <w:szCs w:val="22"/>
                <w:lang w:eastAsia="en-US"/>
              </w:rPr>
            </w:pPr>
            <w:r w:rsidRPr="003F157A">
              <w:rPr>
                <w:rFonts w:asciiTheme="minorHAnsi" w:hAnsiTheme="minorHAnsi"/>
                <w:szCs w:val="22"/>
                <w:lang w:eastAsia="en-US"/>
              </w:rPr>
              <w:t>Meaning</w:t>
            </w:r>
          </w:p>
        </w:tc>
      </w:tr>
      <w:tr w:rsidR="00E03843" w:rsidRPr="003F157A" w14:paraId="03C6EE66" w14:textId="77777777" w:rsidTr="001658AE">
        <w:tc>
          <w:tcPr>
            <w:tcW w:w="1890" w:type="dxa"/>
          </w:tcPr>
          <w:p w14:paraId="15FD7A7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ACM</w:t>
            </w:r>
          </w:p>
        </w:tc>
        <w:tc>
          <w:tcPr>
            <w:tcW w:w="6615" w:type="dxa"/>
          </w:tcPr>
          <w:p w14:paraId="3850833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Advisory Committee on Medicines</w:t>
            </w:r>
          </w:p>
        </w:tc>
      </w:tr>
      <w:tr w:rsidR="00E03843" w:rsidRPr="003F157A" w14:paraId="080554CF" w14:textId="77777777" w:rsidTr="001658AE">
        <w:tc>
          <w:tcPr>
            <w:tcW w:w="1890" w:type="dxa"/>
          </w:tcPr>
          <w:p w14:paraId="01B48232" w14:textId="77777777" w:rsidR="00E03843" w:rsidRPr="003F157A" w:rsidRDefault="00E03843" w:rsidP="00F64E7A">
            <w:pPr>
              <w:jc w:val="both"/>
              <w:rPr>
                <w:rFonts w:asciiTheme="minorHAnsi" w:hAnsiTheme="minorHAnsi"/>
                <w:szCs w:val="22"/>
              </w:rPr>
            </w:pPr>
            <w:r>
              <w:rPr>
                <w:rFonts w:asciiTheme="minorHAnsi" w:hAnsiTheme="minorHAnsi"/>
                <w:szCs w:val="22"/>
              </w:rPr>
              <w:t>ADA</w:t>
            </w:r>
          </w:p>
        </w:tc>
        <w:tc>
          <w:tcPr>
            <w:tcW w:w="6615" w:type="dxa"/>
          </w:tcPr>
          <w:p w14:paraId="04F3620E" w14:textId="77777777" w:rsidR="00E03843" w:rsidRPr="003F157A" w:rsidRDefault="00E03843" w:rsidP="00F64E7A">
            <w:pPr>
              <w:jc w:val="both"/>
              <w:rPr>
                <w:rFonts w:asciiTheme="minorHAnsi" w:hAnsiTheme="minorHAnsi"/>
                <w:szCs w:val="22"/>
              </w:rPr>
            </w:pPr>
            <w:r>
              <w:rPr>
                <w:rFonts w:asciiTheme="minorHAnsi" w:hAnsiTheme="minorHAnsi"/>
                <w:szCs w:val="22"/>
              </w:rPr>
              <w:t>Anti-drug antibody</w:t>
            </w:r>
          </w:p>
        </w:tc>
      </w:tr>
      <w:tr w:rsidR="00E03843" w:rsidRPr="003F157A" w14:paraId="221AAB91" w14:textId="77777777" w:rsidTr="001658AE">
        <w:tc>
          <w:tcPr>
            <w:tcW w:w="1890" w:type="dxa"/>
          </w:tcPr>
          <w:p w14:paraId="4F9349A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ADR</w:t>
            </w:r>
          </w:p>
        </w:tc>
        <w:tc>
          <w:tcPr>
            <w:tcW w:w="6615" w:type="dxa"/>
          </w:tcPr>
          <w:p w14:paraId="607C782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Adverse drug reaction</w:t>
            </w:r>
          </w:p>
        </w:tc>
      </w:tr>
      <w:tr w:rsidR="00E03843" w:rsidRPr="003F157A" w14:paraId="684825B7" w14:textId="77777777" w:rsidTr="001658AE">
        <w:tc>
          <w:tcPr>
            <w:tcW w:w="1890" w:type="dxa"/>
          </w:tcPr>
          <w:p w14:paraId="7434980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AE</w:t>
            </w:r>
          </w:p>
        </w:tc>
        <w:tc>
          <w:tcPr>
            <w:tcW w:w="6615" w:type="dxa"/>
          </w:tcPr>
          <w:p w14:paraId="20B8B017"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Adverse event</w:t>
            </w:r>
          </w:p>
        </w:tc>
      </w:tr>
      <w:tr w:rsidR="00E03843" w:rsidRPr="003F157A" w14:paraId="66657BBF" w14:textId="77777777" w:rsidTr="001658AE">
        <w:tc>
          <w:tcPr>
            <w:tcW w:w="1890" w:type="dxa"/>
          </w:tcPr>
          <w:p w14:paraId="32DBC2A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ALT</w:t>
            </w:r>
          </w:p>
        </w:tc>
        <w:tc>
          <w:tcPr>
            <w:tcW w:w="6615" w:type="dxa"/>
          </w:tcPr>
          <w:p w14:paraId="33C6A2E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Alanine aminotransferase</w:t>
            </w:r>
          </w:p>
        </w:tc>
      </w:tr>
      <w:tr w:rsidR="00E03843" w:rsidRPr="003F157A" w14:paraId="6D725ACA" w14:textId="77777777" w:rsidTr="001658AE">
        <w:tc>
          <w:tcPr>
            <w:tcW w:w="1890" w:type="dxa"/>
          </w:tcPr>
          <w:p w14:paraId="5E492ED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ARTG</w:t>
            </w:r>
          </w:p>
        </w:tc>
        <w:tc>
          <w:tcPr>
            <w:tcW w:w="6615" w:type="dxa"/>
          </w:tcPr>
          <w:p w14:paraId="3895FF5D"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Australian Register of Therapeutic Goods</w:t>
            </w:r>
          </w:p>
        </w:tc>
      </w:tr>
      <w:tr w:rsidR="00E03843" w:rsidRPr="003F157A" w14:paraId="5533CA77" w14:textId="77777777" w:rsidTr="001658AE">
        <w:tc>
          <w:tcPr>
            <w:tcW w:w="1890" w:type="dxa"/>
          </w:tcPr>
          <w:p w14:paraId="5711E69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w:t>
            </w:r>
          </w:p>
        </w:tc>
        <w:tc>
          <w:tcPr>
            <w:tcW w:w="6615" w:type="dxa"/>
          </w:tcPr>
          <w:p w14:paraId="64C7848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Ankylosing spondylitis</w:t>
            </w:r>
          </w:p>
        </w:tc>
      </w:tr>
      <w:tr w:rsidR="00E03843" w:rsidRPr="003F157A" w14:paraId="5616FF1C" w14:textId="77777777" w:rsidTr="001658AE">
        <w:tc>
          <w:tcPr>
            <w:tcW w:w="1890" w:type="dxa"/>
          </w:tcPr>
          <w:p w14:paraId="3EEB238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ASAS</w:t>
            </w:r>
          </w:p>
        </w:tc>
        <w:tc>
          <w:tcPr>
            <w:tcW w:w="6615" w:type="dxa"/>
          </w:tcPr>
          <w:p w14:paraId="5DBDD16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Assessment of Spondylitis International Society</w:t>
            </w:r>
          </w:p>
        </w:tc>
      </w:tr>
      <w:tr w:rsidR="00E03843" w:rsidRPr="003F157A" w14:paraId="7C0445A6" w14:textId="77777777" w:rsidTr="001658AE">
        <w:tc>
          <w:tcPr>
            <w:tcW w:w="1890" w:type="dxa"/>
          </w:tcPr>
          <w:p w14:paraId="4B45B2D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ASAS HI</w:t>
            </w:r>
          </w:p>
        </w:tc>
        <w:tc>
          <w:tcPr>
            <w:tcW w:w="6615" w:type="dxa"/>
          </w:tcPr>
          <w:p w14:paraId="4BEA712A" w14:textId="77777777" w:rsidR="00E03843" w:rsidRPr="003F157A" w:rsidRDefault="00E03843" w:rsidP="00F64E7A">
            <w:pPr>
              <w:rPr>
                <w:rFonts w:asciiTheme="minorHAnsi" w:hAnsiTheme="minorHAnsi"/>
                <w:szCs w:val="22"/>
              </w:rPr>
            </w:pPr>
            <w:r w:rsidRPr="003F157A">
              <w:rPr>
                <w:rFonts w:asciiTheme="minorHAnsi" w:hAnsiTheme="minorHAnsi"/>
                <w:szCs w:val="22"/>
              </w:rPr>
              <w:t>Assessment of Spondyloarthritis International Society Health Index</w:t>
            </w:r>
          </w:p>
        </w:tc>
      </w:tr>
      <w:tr w:rsidR="00E03843" w:rsidRPr="003F157A" w14:paraId="5CD162E1" w14:textId="77777777" w:rsidTr="001658AE">
        <w:tc>
          <w:tcPr>
            <w:tcW w:w="1890" w:type="dxa"/>
          </w:tcPr>
          <w:p w14:paraId="4AF0F900"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ASDAS</w:t>
            </w:r>
          </w:p>
        </w:tc>
        <w:tc>
          <w:tcPr>
            <w:tcW w:w="6615" w:type="dxa"/>
          </w:tcPr>
          <w:p w14:paraId="198D4D0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Ankylosing Spondylitis Disease Activity Score</w:t>
            </w:r>
          </w:p>
        </w:tc>
      </w:tr>
      <w:tr w:rsidR="00E03843" w:rsidRPr="003F157A" w14:paraId="26B5FC5F" w14:textId="77777777" w:rsidTr="001658AE">
        <w:tc>
          <w:tcPr>
            <w:tcW w:w="1890" w:type="dxa"/>
          </w:tcPr>
          <w:p w14:paraId="67CB414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AST</w:t>
            </w:r>
          </w:p>
        </w:tc>
        <w:tc>
          <w:tcPr>
            <w:tcW w:w="6615" w:type="dxa"/>
          </w:tcPr>
          <w:p w14:paraId="7B9538E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Aspartate aminotransferase</w:t>
            </w:r>
          </w:p>
        </w:tc>
      </w:tr>
      <w:tr w:rsidR="00E03843" w:rsidRPr="003F157A" w14:paraId="4D2A31C7" w14:textId="77777777" w:rsidTr="001658AE">
        <w:tc>
          <w:tcPr>
            <w:tcW w:w="1890" w:type="dxa"/>
          </w:tcPr>
          <w:p w14:paraId="2E9F905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axSpA</w:t>
            </w:r>
          </w:p>
        </w:tc>
        <w:tc>
          <w:tcPr>
            <w:tcW w:w="6615" w:type="dxa"/>
          </w:tcPr>
          <w:p w14:paraId="3A72476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Axial spondyloarthritis</w:t>
            </w:r>
          </w:p>
        </w:tc>
      </w:tr>
      <w:tr w:rsidR="00E03843" w:rsidRPr="003F157A" w14:paraId="15ACA0C8" w14:textId="77777777" w:rsidTr="001658AE">
        <w:tc>
          <w:tcPr>
            <w:tcW w:w="1890" w:type="dxa"/>
          </w:tcPr>
          <w:p w14:paraId="66C486B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BASDAI</w:t>
            </w:r>
          </w:p>
        </w:tc>
        <w:tc>
          <w:tcPr>
            <w:tcW w:w="6615" w:type="dxa"/>
          </w:tcPr>
          <w:p w14:paraId="1C70279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Bath Ankylosing Spondylitis Disease Activity Index</w:t>
            </w:r>
          </w:p>
        </w:tc>
      </w:tr>
      <w:tr w:rsidR="00E03843" w:rsidRPr="003F157A" w14:paraId="719E5F8B" w14:textId="77777777" w:rsidTr="001658AE">
        <w:tc>
          <w:tcPr>
            <w:tcW w:w="1890" w:type="dxa"/>
          </w:tcPr>
          <w:p w14:paraId="1AA0DDF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BASFI</w:t>
            </w:r>
          </w:p>
        </w:tc>
        <w:tc>
          <w:tcPr>
            <w:tcW w:w="6615" w:type="dxa"/>
          </w:tcPr>
          <w:p w14:paraId="2870273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Bath Ankylosing Spondylitis Functional Index</w:t>
            </w:r>
          </w:p>
        </w:tc>
      </w:tr>
      <w:tr w:rsidR="00E03843" w:rsidRPr="003F157A" w14:paraId="4A55DBF5" w14:textId="77777777" w:rsidTr="001658AE">
        <w:tc>
          <w:tcPr>
            <w:tcW w:w="1890" w:type="dxa"/>
          </w:tcPr>
          <w:p w14:paraId="63C4588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bDMARD</w:t>
            </w:r>
          </w:p>
        </w:tc>
        <w:tc>
          <w:tcPr>
            <w:tcW w:w="6615" w:type="dxa"/>
          </w:tcPr>
          <w:p w14:paraId="7E84DE6C" w14:textId="6E400CF0" w:rsidR="00E03843" w:rsidRPr="003F157A" w:rsidRDefault="00E03843" w:rsidP="00F64E7A">
            <w:pPr>
              <w:jc w:val="both"/>
              <w:rPr>
                <w:rFonts w:asciiTheme="minorHAnsi" w:hAnsiTheme="minorHAnsi"/>
                <w:szCs w:val="22"/>
              </w:rPr>
            </w:pPr>
            <w:r w:rsidRPr="003F157A">
              <w:rPr>
                <w:rFonts w:asciiTheme="minorHAnsi" w:hAnsiTheme="minorHAnsi"/>
                <w:szCs w:val="22"/>
              </w:rPr>
              <w:t>Biologic disease modifying anti-rheumatic drug</w:t>
            </w:r>
            <w:r w:rsidR="007B664C">
              <w:rPr>
                <w:rFonts w:asciiTheme="minorHAnsi" w:hAnsiTheme="minorHAnsi"/>
                <w:szCs w:val="22"/>
              </w:rPr>
              <w:t>(</w:t>
            </w:r>
            <w:r w:rsidRPr="003F157A">
              <w:rPr>
                <w:rFonts w:asciiTheme="minorHAnsi" w:hAnsiTheme="minorHAnsi"/>
                <w:szCs w:val="22"/>
              </w:rPr>
              <w:t>s</w:t>
            </w:r>
            <w:r w:rsidR="007B664C">
              <w:rPr>
                <w:rFonts w:asciiTheme="minorHAnsi" w:hAnsiTheme="minorHAnsi"/>
                <w:szCs w:val="22"/>
              </w:rPr>
              <w:t>)</w:t>
            </w:r>
          </w:p>
        </w:tc>
      </w:tr>
      <w:tr w:rsidR="00E03843" w:rsidRPr="005B55CE" w14:paraId="7F65FC35" w14:textId="77777777" w:rsidTr="001658AE">
        <w:tc>
          <w:tcPr>
            <w:tcW w:w="1890" w:type="dxa"/>
          </w:tcPr>
          <w:p w14:paraId="5AE41042" w14:textId="77777777" w:rsidR="00E03843" w:rsidRPr="003F157A" w:rsidRDefault="00E03843" w:rsidP="00F64E7A">
            <w:pPr>
              <w:jc w:val="both"/>
              <w:rPr>
                <w:rFonts w:asciiTheme="minorHAnsi" w:hAnsiTheme="minorHAnsi"/>
              </w:rPr>
            </w:pPr>
            <w:r>
              <w:rPr>
                <w:rFonts w:asciiTheme="minorHAnsi" w:hAnsiTheme="minorHAnsi"/>
              </w:rPr>
              <w:t>BME</w:t>
            </w:r>
          </w:p>
        </w:tc>
        <w:tc>
          <w:tcPr>
            <w:tcW w:w="6615" w:type="dxa"/>
          </w:tcPr>
          <w:p w14:paraId="7A508E0A" w14:textId="77777777" w:rsidR="00E03843" w:rsidRPr="003F157A" w:rsidRDefault="00E03843" w:rsidP="00F64E7A">
            <w:pPr>
              <w:jc w:val="both"/>
              <w:rPr>
                <w:rFonts w:asciiTheme="minorHAnsi" w:hAnsiTheme="minorHAnsi"/>
              </w:rPr>
            </w:pPr>
            <w:r>
              <w:rPr>
                <w:rFonts w:asciiTheme="minorHAnsi" w:hAnsiTheme="minorHAnsi"/>
              </w:rPr>
              <w:t>Bone marrow edema</w:t>
            </w:r>
          </w:p>
        </w:tc>
      </w:tr>
      <w:tr w:rsidR="00E03843" w:rsidRPr="003F157A" w14:paraId="21F2FD32" w14:textId="77777777" w:rsidTr="001658AE">
        <w:tc>
          <w:tcPr>
            <w:tcW w:w="1890" w:type="dxa"/>
          </w:tcPr>
          <w:p w14:paraId="068970B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cDMARD</w:t>
            </w:r>
          </w:p>
        </w:tc>
        <w:tc>
          <w:tcPr>
            <w:tcW w:w="6615" w:type="dxa"/>
          </w:tcPr>
          <w:p w14:paraId="61B6193C" w14:textId="3C7129D3" w:rsidR="00E03843" w:rsidRPr="003F157A" w:rsidRDefault="00E03843" w:rsidP="00F64E7A">
            <w:pPr>
              <w:rPr>
                <w:rFonts w:asciiTheme="minorHAnsi" w:hAnsiTheme="minorHAnsi"/>
                <w:szCs w:val="22"/>
              </w:rPr>
            </w:pPr>
            <w:r w:rsidRPr="003F157A">
              <w:rPr>
                <w:rFonts w:asciiTheme="minorHAnsi" w:hAnsiTheme="minorHAnsi"/>
                <w:szCs w:val="22"/>
              </w:rPr>
              <w:t>Conventional (non-biologic) disease modifying anti-rheumatic drug</w:t>
            </w:r>
            <w:r w:rsidR="007B664C">
              <w:rPr>
                <w:rFonts w:asciiTheme="minorHAnsi" w:hAnsiTheme="minorHAnsi"/>
                <w:szCs w:val="22"/>
              </w:rPr>
              <w:t>(</w:t>
            </w:r>
            <w:r w:rsidRPr="003F157A">
              <w:rPr>
                <w:rFonts w:asciiTheme="minorHAnsi" w:hAnsiTheme="minorHAnsi"/>
                <w:szCs w:val="22"/>
              </w:rPr>
              <w:t>s</w:t>
            </w:r>
            <w:r w:rsidR="007B664C">
              <w:rPr>
                <w:rFonts w:asciiTheme="minorHAnsi" w:hAnsiTheme="minorHAnsi"/>
                <w:szCs w:val="22"/>
              </w:rPr>
              <w:t>)</w:t>
            </w:r>
          </w:p>
        </w:tc>
      </w:tr>
      <w:tr w:rsidR="00E03843" w:rsidRPr="003F157A" w14:paraId="50056F99" w14:textId="77777777" w:rsidTr="001658AE">
        <w:tc>
          <w:tcPr>
            <w:tcW w:w="1890" w:type="dxa"/>
          </w:tcPr>
          <w:p w14:paraId="01E83E4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CI</w:t>
            </w:r>
          </w:p>
        </w:tc>
        <w:tc>
          <w:tcPr>
            <w:tcW w:w="6615" w:type="dxa"/>
          </w:tcPr>
          <w:p w14:paraId="45AB19B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Confidence interval</w:t>
            </w:r>
          </w:p>
        </w:tc>
      </w:tr>
      <w:tr w:rsidR="00E03843" w:rsidRPr="003F157A" w14:paraId="30DA72E2" w14:textId="77777777" w:rsidTr="001658AE">
        <w:tc>
          <w:tcPr>
            <w:tcW w:w="1890" w:type="dxa"/>
          </w:tcPr>
          <w:p w14:paraId="7B971852"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CL</w:t>
            </w:r>
          </w:p>
        </w:tc>
        <w:tc>
          <w:tcPr>
            <w:tcW w:w="6615" w:type="dxa"/>
          </w:tcPr>
          <w:p w14:paraId="6E8CF686"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Clearance</w:t>
            </w:r>
          </w:p>
        </w:tc>
      </w:tr>
      <w:tr w:rsidR="00E03843" w:rsidRPr="003F157A" w14:paraId="2ABE73E8" w14:textId="77777777" w:rsidTr="001658AE">
        <w:tc>
          <w:tcPr>
            <w:tcW w:w="1890" w:type="dxa"/>
          </w:tcPr>
          <w:p w14:paraId="477619D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CRP</w:t>
            </w:r>
          </w:p>
        </w:tc>
        <w:tc>
          <w:tcPr>
            <w:tcW w:w="6615" w:type="dxa"/>
          </w:tcPr>
          <w:p w14:paraId="18CA7A3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C-reactive protein</w:t>
            </w:r>
          </w:p>
        </w:tc>
      </w:tr>
      <w:tr w:rsidR="00E03843" w:rsidRPr="003F157A" w14:paraId="7E502338" w14:textId="77777777" w:rsidTr="001658AE">
        <w:tc>
          <w:tcPr>
            <w:tcW w:w="1890" w:type="dxa"/>
          </w:tcPr>
          <w:p w14:paraId="6771576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CSR</w:t>
            </w:r>
          </w:p>
        </w:tc>
        <w:tc>
          <w:tcPr>
            <w:tcW w:w="6615" w:type="dxa"/>
          </w:tcPr>
          <w:p w14:paraId="02331F9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Clinical study report</w:t>
            </w:r>
          </w:p>
        </w:tc>
      </w:tr>
      <w:tr w:rsidR="00E03843" w:rsidRPr="003F157A" w14:paraId="4403FB1F" w14:textId="77777777" w:rsidTr="001658AE">
        <w:tc>
          <w:tcPr>
            <w:tcW w:w="1890" w:type="dxa"/>
          </w:tcPr>
          <w:p w14:paraId="6364181A"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CV</w:t>
            </w:r>
          </w:p>
        </w:tc>
        <w:tc>
          <w:tcPr>
            <w:tcW w:w="6615" w:type="dxa"/>
          </w:tcPr>
          <w:p w14:paraId="11FD787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Coefficient of variation</w:t>
            </w:r>
          </w:p>
        </w:tc>
      </w:tr>
      <w:tr w:rsidR="00E03843" w:rsidRPr="003F157A" w14:paraId="1AEE8634" w14:textId="77777777" w:rsidTr="001658AE">
        <w:tc>
          <w:tcPr>
            <w:tcW w:w="1890" w:type="dxa"/>
          </w:tcPr>
          <w:p w14:paraId="67C5B870"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DMARD</w:t>
            </w:r>
          </w:p>
        </w:tc>
        <w:tc>
          <w:tcPr>
            <w:tcW w:w="6615" w:type="dxa"/>
          </w:tcPr>
          <w:p w14:paraId="27419B46" w14:textId="4A35B4AF" w:rsidR="00E03843" w:rsidRPr="003F157A" w:rsidRDefault="00E03843" w:rsidP="00F64E7A">
            <w:pPr>
              <w:jc w:val="both"/>
              <w:rPr>
                <w:rFonts w:asciiTheme="minorHAnsi" w:hAnsiTheme="minorHAnsi"/>
                <w:szCs w:val="22"/>
              </w:rPr>
            </w:pPr>
            <w:r w:rsidRPr="003F157A">
              <w:rPr>
                <w:rFonts w:asciiTheme="minorHAnsi" w:hAnsiTheme="minorHAnsi"/>
                <w:szCs w:val="22"/>
              </w:rPr>
              <w:t>Disease modifying antirheumatic drug</w:t>
            </w:r>
            <w:r w:rsidR="007B664C">
              <w:rPr>
                <w:rFonts w:asciiTheme="minorHAnsi" w:hAnsiTheme="minorHAnsi"/>
                <w:szCs w:val="22"/>
              </w:rPr>
              <w:t>(s)</w:t>
            </w:r>
          </w:p>
        </w:tc>
      </w:tr>
      <w:tr w:rsidR="00E03843" w:rsidRPr="003F157A" w14:paraId="12054C2B" w14:textId="77777777" w:rsidTr="001658AE">
        <w:tc>
          <w:tcPr>
            <w:tcW w:w="1890" w:type="dxa"/>
          </w:tcPr>
          <w:p w14:paraId="4B9F2E17"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EMA</w:t>
            </w:r>
          </w:p>
        </w:tc>
        <w:tc>
          <w:tcPr>
            <w:tcW w:w="6615" w:type="dxa"/>
          </w:tcPr>
          <w:p w14:paraId="34B800D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European Medicines Agency</w:t>
            </w:r>
          </w:p>
        </w:tc>
      </w:tr>
      <w:tr w:rsidR="00E03843" w:rsidRPr="003F157A" w14:paraId="4B611307" w14:textId="77777777" w:rsidTr="001658AE">
        <w:tc>
          <w:tcPr>
            <w:tcW w:w="1890" w:type="dxa"/>
          </w:tcPr>
          <w:p w14:paraId="7047BE19" w14:textId="77777777" w:rsidR="00E03843" w:rsidRPr="003F157A" w:rsidRDefault="00E03843" w:rsidP="00F64E7A">
            <w:pPr>
              <w:jc w:val="both"/>
              <w:rPr>
                <w:rFonts w:asciiTheme="minorHAnsi" w:hAnsiTheme="minorHAnsi"/>
              </w:rPr>
            </w:pPr>
            <w:r>
              <w:rPr>
                <w:rFonts w:asciiTheme="minorHAnsi" w:hAnsiTheme="minorHAnsi"/>
              </w:rPr>
              <w:lastRenderedPageBreak/>
              <w:t>ETV</w:t>
            </w:r>
          </w:p>
        </w:tc>
        <w:tc>
          <w:tcPr>
            <w:tcW w:w="6615" w:type="dxa"/>
          </w:tcPr>
          <w:p w14:paraId="0B54B2EE" w14:textId="77777777" w:rsidR="00E03843" w:rsidRPr="003F157A" w:rsidRDefault="00E03843" w:rsidP="00F64E7A">
            <w:pPr>
              <w:jc w:val="both"/>
              <w:rPr>
                <w:rFonts w:asciiTheme="minorHAnsi" w:hAnsiTheme="minorHAnsi"/>
              </w:rPr>
            </w:pPr>
            <w:r>
              <w:t>E</w:t>
            </w:r>
            <w:r w:rsidRPr="00277FF9">
              <w:t>arly termination visit</w:t>
            </w:r>
          </w:p>
        </w:tc>
      </w:tr>
      <w:tr w:rsidR="00E03843" w:rsidRPr="003F157A" w14:paraId="5034414C" w14:textId="77777777" w:rsidTr="001658AE">
        <w:tc>
          <w:tcPr>
            <w:tcW w:w="1890" w:type="dxa"/>
          </w:tcPr>
          <w:p w14:paraId="6623C0B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EU</w:t>
            </w:r>
          </w:p>
        </w:tc>
        <w:tc>
          <w:tcPr>
            <w:tcW w:w="6615" w:type="dxa"/>
          </w:tcPr>
          <w:p w14:paraId="04A53022"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European Union</w:t>
            </w:r>
          </w:p>
        </w:tc>
      </w:tr>
      <w:tr w:rsidR="00E03843" w:rsidRPr="003F157A" w14:paraId="666EE5B1" w14:textId="77777777" w:rsidTr="001658AE">
        <w:tc>
          <w:tcPr>
            <w:tcW w:w="1890" w:type="dxa"/>
          </w:tcPr>
          <w:p w14:paraId="7FB9DC3E" w14:textId="77777777" w:rsidR="00E03843" w:rsidRPr="003F157A" w:rsidRDefault="00E03843" w:rsidP="00F64E7A">
            <w:pPr>
              <w:jc w:val="both"/>
              <w:rPr>
                <w:rFonts w:asciiTheme="minorHAnsi" w:hAnsiTheme="minorHAnsi"/>
              </w:rPr>
            </w:pPr>
            <w:r>
              <w:rPr>
                <w:rFonts w:asciiTheme="minorHAnsi" w:hAnsiTheme="minorHAnsi"/>
              </w:rPr>
              <w:t>FDA</w:t>
            </w:r>
          </w:p>
        </w:tc>
        <w:tc>
          <w:tcPr>
            <w:tcW w:w="6615" w:type="dxa"/>
          </w:tcPr>
          <w:p w14:paraId="18433C59" w14:textId="77777777" w:rsidR="00E03843" w:rsidRPr="003F157A" w:rsidRDefault="00E03843" w:rsidP="00F64E7A">
            <w:pPr>
              <w:jc w:val="both"/>
              <w:rPr>
                <w:rFonts w:asciiTheme="minorHAnsi" w:hAnsiTheme="minorHAnsi"/>
              </w:rPr>
            </w:pPr>
            <w:r>
              <w:rPr>
                <w:rFonts w:asciiTheme="minorHAnsi" w:hAnsiTheme="minorHAnsi"/>
              </w:rPr>
              <w:t>Food and Drug Administration (USA)</w:t>
            </w:r>
          </w:p>
        </w:tc>
      </w:tr>
      <w:tr w:rsidR="006B73D3" w:rsidRPr="003F157A" w14:paraId="42D7551C" w14:textId="77777777" w:rsidTr="001658AE">
        <w:tc>
          <w:tcPr>
            <w:tcW w:w="1890" w:type="dxa"/>
          </w:tcPr>
          <w:p w14:paraId="5A2A9CBE" w14:textId="2FB82B83" w:rsidR="006B73D3" w:rsidRDefault="006B73D3" w:rsidP="00F64E7A">
            <w:pPr>
              <w:jc w:val="both"/>
              <w:rPr>
                <w:rFonts w:asciiTheme="minorHAnsi" w:hAnsiTheme="minorHAnsi"/>
              </w:rPr>
            </w:pPr>
            <w:r>
              <w:rPr>
                <w:rFonts w:asciiTheme="minorHAnsi" w:hAnsiTheme="minorHAnsi"/>
              </w:rPr>
              <w:t>HIV</w:t>
            </w:r>
          </w:p>
        </w:tc>
        <w:tc>
          <w:tcPr>
            <w:tcW w:w="6615" w:type="dxa"/>
          </w:tcPr>
          <w:p w14:paraId="2FCC11E5" w14:textId="27D2E368" w:rsidR="006B73D3" w:rsidRDefault="006B73D3" w:rsidP="00F64E7A">
            <w:pPr>
              <w:jc w:val="both"/>
              <w:rPr>
                <w:rFonts w:asciiTheme="minorHAnsi" w:hAnsiTheme="minorHAnsi"/>
              </w:rPr>
            </w:pPr>
            <w:r>
              <w:rPr>
                <w:rFonts w:asciiTheme="minorHAnsi" w:hAnsiTheme="minorHAnsi"/>
              </w:rPr>
              <w:t>Human immunodeficiency virus</w:t>
            </w:r>
          </w:p>
        </w:tc>
      </w:tr>
      <w:tr w:rsidR="00E03843" w:rsidRPr="003F157A" w14:paraId="30183A35" w14:textId="77777777" w:rsidTr="001658AE">
        <w:tc>
          <w:tcPr>
            <w:tcW w:w="1890" w:type="dxa"/>
          </w:tcPr>
          <w:p w14:paraId="5F697FE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hs-CRP</w:t>
            </w:r>
          </w:p>
        </w:tc>
        <w:tc>
          <w:tcPr>
            <w:tcW w:w="6615" w:type="dxa"/>
          </w:tcPr>
          <w:p w14:paraId="6D5D51C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High sensitivity C-reactive protein</w:t>
            </w:r>
          </w:p>
        </w:tc>
      </w:tr>
      <w:tr w:rsidR="00E03843" w:rsidRPr="003F157A" w14:paraId="43A0616E" w14:textId="77777777" w:rsidTr="001658AE">
        <w:tc>
          <w:tcPr>
            <w:tcW w:w="1890" w:type="dxa"/>
          </w:tcPr>
          <w:p w14:paraId="2C7DCC2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IBD</w:t>
            </w:r>
          </w:p>
        </w:tc>
        <w:tc>
          <w:tcPr>
            <w:tcW w:w="6615" w:type="dxa"/>
          </w:tcPr>
          <w:p w14:paraId="710E109E" w14:textId="77777777" w:rsidR="00E03843" w:rsidRPr="003F157A" w:rsidRDefault="00E03843" w:rsidP="00F64E7A">
            <w:pPr>
              <w:rPr>
                <w:rFonts w:asciiTheme="minorHAnsi" w:hAnsiTheme="minorHAnsi"/>
                <w:szCs w:val="22"/>
              </w:rPr>
            </w:pPr>
            <w:r w:rsidRPr="003F157A">
              <w:rPr>
                <w:rFonts w:asciiTheme="minorHAnsi" w:hAnsiTheme="minorHAnsi"/>
                <w:szCs w:val="22"/>
              </w:rPr>
              <w:t>Inflammatory bowel disease (Crohn’s disease and ulcerative colitis)</w:t>
            </w:r>
          </w:p>
        </w:tc>
      </w:tr>
      <w:tr w:rsidR="00E03843" w:rsidRPr="003F157A" w14:paraId="5E8E9D68" w14:textId="77777777" w:rsidTr="001658AE">
        <w:tc>
          <w:tcPr>
            <w:tcW w:w="1890" w:type="dxa"/>
          </w:tcPr>
          <w:p w14:paraId="7AC67F5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ICH</w:t>
            </w:r>
          </w:p>
        </w:tc>
        <w:tc>
          <w:tcPr>
            <w:tcW w:w="6615" w:type="dxa"/>
          </w:tcPr>
          <w:p w14:paraId="2C0F35C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International Conference on Harmonisation</w:t>
            </w:r>
          </w:p>
        </w:tc>
      </w:tr>
      <w:tr w:rsidR="00E03843" w:rsidRPr="003F157A" w14:paraId="2E131586" w14:textId="77777777" w:rsidTr="001658AE">
        <w:tc>
          <w:tcPr>
            <w:tcW w:w="1890" w:type="dxa"/>
          </w:tcPr>
          <w:p w14:paraId="20398CA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IgG4</w:t>
            </w:r>
          </w:p>
        </w:tc>
        <w:tc>
          <w:tcPr>
            <w:tcW w:w="6615" w:type="dxa"/>
          </w:tcPr>
          <w:p w14:paraId="5AD4BAE7"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Immunoglobulin G subclass 4</w:t>
            </w:r>
          </w:p>
        </w:tc>
      </w:tr>
      <w:tr w:rsidR="00E03843" w:rsidRPr="003F157A" w14:paraId="44DF2C39" w14:textId="77777777" w:rsidTr="001658AE">
        <w:tc>
          <w:tcPr>
            <w:tcW w:w="1890" w:type="dxa"/>
          </w:tcPr>
          <w:p w14:paraId="2D2D74D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IL</w:t>
            </w:r>
          </w:p>
        </w:tc>
        <w:tc>
          <w:tcPr>
            <w:tcW w:w="6615" w:type="dxa"/>
          </w:tcPr>
          <w:p w14:paraId="43E86107"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Interleukin</w:t>
            </w:r>
          </w:p>
        </w:tc>
      </w:tr>
      <w:tr w:rsidR="00E03843" w:rsidRPr="003F157A" w14:paraId="49207471" w14:textId="77777777" w:rsidTr="001658AE">
        <w:tc>
          <w:tcPr>
            <w:tcW w:w="1890" w:type="dxa"/>
          </w:tcPr>
          <w:p w14:paraId="40B0690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ITT</w:t>
            </w:r>
          </w:p>
        </w:tc>
        <w:tc>
          <w:tcPr>
            <w:tcW w:w="6615" w:type="dxa"/>
          </w:tcPr>
          <w:p w14:paraId="4AB97DE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Intent to treat</w:t>
            </w:r>
          </w:p>
        </w:tc>
      </w:tr>
      <w:tr w:rsidR="00E03843" w:rsidRPr="003F157A" w14:paraId="67D7AF0A" w14:textId="77777777" w:rsidTr="001658AE">
        <w:tc>
          <w:tcPr>
            <w:tcW w:w="1890" w:type="dxa"/>
          </w:tcPr>
          <w:p w14:paraId="7D1FE53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IV</w:t>
            </w:r>
          </w:p>
        </w:tc>
        <w:tc>
          <w:tcPr>
            <w:tcW w:w="6615" w:type="dxa"/>
          </w:tcPr>
          <w:p w14:paraId="4BAA85B1"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Intravenous</w:t>
            </w:r>
          </w:p>
        </w:tc>
      </w:tr>
      <w:tr w:rsidR="00E03843" w:rsidRPr="003F157A" w14:paraId="341B0BA0" w14:textId="77777777" w:rsidTr="001658AE">
        <w:tc>
          <w:tcPr>
            <w:tcW w:w="1890" w:type="dxa"/>
          </w:tcPr>
          <w:p w14:paraId="5863075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IXE</w:t>
            </w:r>
          </w:p>
        </w:tc>
        <w:tc>
          <w:tcPr>
            <w:tcW w:w="6615" w:type="dxa"/>
          </w:tcPr>
          <w:p w14:paraId="6A1EA13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Ixekizumab</w:t>
            </w:r>
          </w:p>
        </w:tc>
      </w:tr>
      <w:tr w:rsidR="00E03843" w:rsidRPr="003F157A" w14:paraId="513F9070" w14:textId="77777777" w:rsidTr="001658AE">
        <w:tc>
          <w:tcPr>
            <w:tcW w:w="1890" w:type="dxa"/>
          </w:tcPr>
          <w:p w14:paraId="0C99DAC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MACE</w:t>
            </w:r>
          </w:p>
        </w:tc>
        <w:tc>
          <w:tcPr>
            <w:tcW w:w="6615" w:type="dxa"/>
          </w:tcPr>
          <w:p w14:paraId="056A11F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Major adverse cerebrovascular event</w:t>
            </w:r>
          </w:p>
        </w:tc>
      </w:tr>
      <w:tr w:rsidR="00E03843" w:rsidRPr="003F157A" w14:paraId="031ED5F2" w14:textId="77777777" w:rsidTr="001658AE">
        <w:tc>
          <w:tcPr>
            <w:tcW w:w="1890" w:type="dxa"/>
          </w:tcPr>
          <w:p w14:paraId="0E94E78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MedDRA</w:t>
            </w:r>
          </w:p>
        </w:tc>
        <w:tc>
          <w:tcPr>
            <w:tcW w:w="6615" w:type="dxa"/>
          </w:tcPr>
          <w:p w14:paraId="018269B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Medical Dictionary for Regulatory Activities</w:t>
            </w:r>
          </w:p>
        </w:tc>
      </w:tr>
      <w:tr w:rsidR="00E03843" w:rsidRPr="003F157A" w14:paraId="4D1E59EC" w14:textId="77777777" w:rsidTr="001658AE">
        <w:tc>
          <w:tcPr>
            <w:tcW w:w="1890" w:type="dxa"/>
          </w:tcPr>
          <w:p w14:paraId="5102626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mNY</w:t>
            </w:r>
          </w:p>
        </w:tc>
        <w:tc>
          <w:tcPr>
            <w:tcW w:w="6615" w:type="dxa"/>
          </w:tcPr>
          <w:p w14:paraId="6387002B" w14:textId="51FA01BC" w:rsidR="00E03843" w:rsidRPr="003F157A" w:rsidRDefault="00E03843" w:rsidP="00E35474">
            <w:r w:rsidRPr="003F157A">
              <w:t xml:space="preserve">Modified New York classification criteria for </w:t>
            </w:r>
            <w:r w:rsidR="007B664C">
              <w:t>ankylosing spondylitis</w:t>
            </w:r>
          </w:p>
        </w:tc>
      </w:tr>
      <w:tr w:rsidR="00E03843" w:rsidRPr="003F157A" w14:paraId="39835C0A" w14:textId="77777777" w:rsidTr="001658AE">
        <w:tc>
          <w:tcPr>
            <w:tcW w:w="1890" w:type="dxa"/>
          </w:tcPr>
          <w:p w14:paraId="206C869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MRI</w:t>
            </w:r>
          </w:p>
        </w:tc>
        <w:tc>
          <w:tcPr>
            <w:tcW w:w="6615" w:type="dxa"/>
          </w:tcPr>
          <w:p w14:paraId="7E73BF6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Magnetic resonance imaging</w:t>
            </w:r>
          </w:p>
        </w:tc>
      </w:tr>
      <w:tr w:rsidR="00E03843" w:rsidRPr="003F157A" w14:paraId="46518E78" w14:textId="77777777" w:rsidTr="001658AE">
        <w:tc>
          <w:tcPr>
            <w:tcW w:w="1890" w:type="dxa"/>
          </w:tcPr>
          <w:p w14:paraId="7F6EC252"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nr-axSpA</w:t>
            </w:r>
          </w:p>
        </w:tc>
        <w:tc>
          <w:tcPr>
            <w:tcW w:w="6615" w:type="dxa"/>
          </w:tcPr>
          <w:p w14:paraId="5721CA0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Non-radiographic axial spondyloarthritis</w:t>
            </w:r>
          </w:p>
        </w:tc>
      </w:tr>
      <w:tr w:rsidR="00E03843" w:rsidRPr="003F157A" w14:paraId="4064A7F4" w14:textId="77777777" w:rsidTr="001658AE">
        <w:tc>
          <w:tcPr>
            <w:tcW w:w="1890" w:type="dxa"/>
          </w:tcPr>
          <w:p w14:paraId="41D3767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NRI</w:t>
            </w:r>
          </w:p>
        </w:tc>
        <w:tc>
          <w:tcPr>
            <w:tcW w:w="6615" w:type="dxa"/>
          </w:tcPr>
          <w:p w14:paraId="6873DFF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Non-responders imputation</w:t>
            </w:r>
          </w:p>
        </w:tc>
      </w:tr>
      <w:tr w:rsidR="00E03843" w:rsidRPr="005B55CE" w14:paraId="58265A29" w14:textId="77777777" w:rsidTr="001658AE">
        <w:tc>
          <w:tcPr>
            <w:tcW w:w="1890" w:type="dxa"/>
          </w:tcPr>
          <w:p w14:paraId="708C1A92" w14:textId="77777777" w:rsidR="00E03843" w:rsidRPr="003F157A" w:rsidRDefault="00E03843" w:rsidP="00F64E7A">
            <w:pPr>
              <w:jc w:val="both"/>
              <w:rPr>
                <w:rFonts w:asciiTheme="minorHAnsi" w:hAnsiTheme="minorHAnsi"/>
              </w:rPr>
            </w:pPr>
            <w:r>
              <w:rPr>
                <w:rFonts w:asciiTheme="minorHAnsi" w:hAnsiTheme="minorHAnsi"/>
              </w:rPr>
              <w:t>NRS</w:t>
            </w:r>
          </w:p>
        </w:tc>
        <w:tc>
          <w:tcPr>
            <w:tcW w:w="6615" w:type="dxa"/>
          </w:tcPr>
          <w:p w14:paraId="49E45890" w14:textId="77777777" w:rsidR="00E03843" w:rsidRPr="003F157A" w:rsidRDefault="00E03843" w:rsidP="00F64E7A">
            <w:pPr>
              <w:jc w:val="both"/>
              <w:rPr>
                <w:rFonts w:asciiTheme="minorHAnsi" w:hAnsiTheme="minorHAnsi"/>
              </w:rPr>
            </w:pPr>
            <w:r>
              <w:t>N</w:t>
            </w:r>
            <w:r w:rsidRPr="003E3698">
              <w:t>umerical rating scale</w:t>
            </w:r>
          </w:p>
        </w:tc>
      </w:tr>
      <w:tr w:rsidR="00E03843" w:rsidRPr="003F157A" w14:paraId="052E91EC" w14:textId="77777777" w:rsidTr="001658AE">
        <w:tc>
          <w:tcPr>
            <w:tcW w:w="1890" w:type="dxa"/>
          </w:tcPr>
          <w:p w14:paraId="525DCC8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NSAID</w:t>
            </w:r>
          </w:p>
        </w:tc>
        <w:tc>
          <w:tcPr>
            <w:tcW w:w="6615" w:type="dxa"/>
          </w:tcPr>
          <w:p w14:paraId="737C5DFC" w14:textId="0311FD5C" w:rsidR="00E03843" w:rsidRPr="003F157A" w:rsidRDefault="00E03843" w:rsidP="00F64E7A">
            <w:pPr>
              <w:jc w:val="both"/>
              <w:rPr>
                <w:rFonts w:asciiTheme="minorHAnsi" w:hAnsiTheme="minorHAnsi"/>
                <w:szCs w:val="22"/>
              </w:rPr>
            </w:pPr>
            <w:r w:rsidRPr="003F157A">
              <w:rPr>
                <w:rFonts w:asciiTheme="minorHAnsi" w:hAnsiTheme="minorHAnsi"/>
                <w:szCs w:val="22"/>
              </w:rPr>
              <w:t>Nonsteroidal anti-inflammatory drug</w:t>
            </w:r>
            <w:r w:rsidR="007B664C">
              <w:rPr>
                <w:rFonts w:asciiTheme="minorHAnsi" w:hAnsiTheme="minorHAnsi"/>
                <w:szCs w:val="22"/>
              </w:rPr>
              <w:t>(</w:t>
            </w:r>
            <w:r w:rsidRPr="003F157A">
              <w:rPr>
                <w:rFonts w:asciiTheme="minorHAnsi" w:hAnsiTheme="minorHAnsi"/>
                <w:szCs w:val="22"/>
              </w:rPr>
              <w:t>s</w:t>
            </w:r>
            <w:r w:rsidR="007B664C">
              <w:rPr>
                <w:rFonts w:asciiTheme="minorHAnsi" w:hAnsiTheme="minorHAnsi"/>
                <w:szCs w:val="22"/>
              </w:rPr>
              <w:t>)</w:t>
            </w:r>
          </w:p>
        </w:tc>
      </w:tr>
      <w:tr w:rsidR="00E03843" w:rsidRPr="003F157A" w14:paraId="33DD9958" w14:textId="77777777" w:rsidTr="001658AE">
        <w:tc>
          <w:tcPr>
            <w:tcW w:w="1890" w:type="dxa"/>
          </w:tcPr>
          <w:p w14:paraId="66A0CA7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PBO</w:t>
            </w:r>
          </w:p>
        </w:tc>
        <w:tc>
          <w:tcPr>
            <w:tcW w:w="6615" w:type="dxa"/>
          </w:tcPr>
          <w:p w14:paraId="41855A1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Placebo</w:t>
            </w:r>
          </w:p>
        </w:tc>
      </w:tr>
      <w:tr w:rsidR="00E03843" w:rsidRPr="003F157A" w14:paraId="4C1291A7" w14:textId="77777777" w:rsidTr="001658AE">
        <w:tc>
          <w:tcPr>
            <w:tcW w:w="1890" w:type="dxa"/>
          </w:tcPr>
          <w:p w14:paraId="575083E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PCS</w:t>
            </w:r>
          </w:p>
        </w:tc>
        <w:tc>
          <w:tcPr>
            <w:tcW w:w="6615" w:type="dxa"/>
          </w:tcPr>
          <w:p w14:paraId="46E14B4D" w14:textId="77777777" w:rsidR="00E03843" w:rsidRPr="003F157A" w:rsidRDefault="00E03843" w:rsidP="00E35474">
            <w:r w:rsidRPr="003F157A">
              <w:t>Physical component summary</w:t>
            </w:r>
          </w:p>
        </w:tc>
      </w:tr>
      <w:tr w:rsidR="00E03843" w:rsidRPr="003F157A" w14:paraId="5FE92B3A" w14:textId="77777777" w:rsidTr="001658AE">
        <w:tc>
          <w:tcPr>
            <w:tcW w:w="1890" w:type="dxa"/>
          </w:tcPr>
          <w:p w14:paraId="7F6A94D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PI</w:t>
            </w:r>
          </w:p>
        </w:tc>
        <w:tc>
          <w:tcPr>
            <w:tcW w:w="6615" w:type="dxa"/>
          </w:tcPr>
          <w:p w14:paraId="36DD393A"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Product Information</w:t>
            </w:r>
          </w:p>
        </w:tc>
      </w:tr>
      <w:tr w:rsidR="00E03843" w:rsidRPr="003F157A" w14:paraId="7A6E0B2F" w14:textId="77777777" w:rsidTr="001658AE">
        <w:tc>
          <w:tcPr>
            <w:tcW w:w="1890" w:type="dxa"/>
          </w:tcPr>
          <w:p w14:paraId="0F2C430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PK</w:t>
            </w:r>
          </w:p>
        </w:tc>
        <w:tc>
          <w:tcPr>
            <w:tcW w:w="6615" w:type="dxa"/>
          </w:tcPr>
          <w:p w14:paraId="301395FE" w14:textId="7A2DF731" w:rsidR="00E03843" w:rsidRPr="003F157A" w:rsidRDefault="00E03843" w:rsidP="00F64E7A">
            <w:pPr>
              <w:jc w:val="both"/>
              <w:rPr>
                <w:rFonts w:asciiTheme="minorHAnsi" w:hAnsiTheme="minorHAnsi"/>
                <w:szCs w:val="22"/>
              </w:rPr>
            </w:pPr>
            <w:r w:rsidRPr="003F157A">
              <w:rPr>
                <w:rFonts w:asciiTheme="minorHAnsi" w:hAnsiTheme="minorHAnsi"/>
                <w:szCs w:val="22"/>
              </w:rPr>
              <w:t>Pharmacokinetic</w:t>
            </w:r>
            <w:r w:rsidR="007B664C">
              <w:rPr>
                <w:rFonts w:asciiTheme="minorHAnsi" w:hAnsiTheme="minorHAnsi"/>
                <w:szCs w:val="22"/>
              </w:rPr>
              <w:t>(</w:t>
            </w:r>
            <w:r w:rsidRPr="003F157A">
              <w:rPr>
                <w:rFonts w:asciiTheme="minorHAnsi" w:hAnsiTheme="minorHAnsi"/>
                <w:szCs w:val="22"/>
              </w:rPr>
              <w:t>s</w:t>
            </w:r>
            <w:r w:rsidR="007B664C">
              <w:rPr>
                <w:rFonts w:asciiTheme="minorHAnsi" w:hAnsiTheme="minorHAnsi"/>
                <w:szCs w:val="22"/>
              </w:rPr>
              <w:t>)</w:t>
            </w:r>
          </w:p>
        </w:tc>
      </w:tr>
      <w:tr w:rsidR="00E03843" w:rsidRPr="003F157A" w14:paraId="3B384B3E" w14:textId="77777777" w:rsidTr="001658AE">
        <w:tc>
          <w:tcPr>
            <w:tcW w:w="1890" w:type="dxa"/>
          </w:tcPr>
          <w:p w14:paraId="6AB0091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PopPK</w:t>
            </w:r>
          </w:p>
        </w:tc>
        <w:tc>
          <w:tcPr>
            <w:tcW w:w="6615" w:type="dxa"/>
          </w:tcPr>
          <w:p w14:paraId="7E59199B" w14:textId="4BF9CCB8" w:rsidR="00E03843" w:rsidRPr="003F157A" w:rsidRDefault="00E03843" w:rsidP="00F64E7A">
            <w:pPr>
              <w:jc w:val="both"/>
              <w:rPr>
                <w:rFonts w:asciiTheme="minorHAnsi" w:hAnsiTheme="minorHAnsi"/>
                <w:szCs w:val="22"/>
              </w:rPr>
            </w:pPr>
            <w:r w:rsidRPr="003F157A">
              <w:rPr>
                <w:rFonts w:asciiTheme="minorHAnsi" w:hAnsiTheme="minorHAnsi"/>
                <w:szCs w:val="22"/>
              </w:rPr>
              <w:t>Population pharmacokinetic</w:t>
            </w:r>
            <w:r w:rsidR="007B664C">
              <w:rPr>
                <w:rFonts w:asciiTheme="minorHAnsi" w:hAnsiTheme="minorHAnsi"/>
                <w:szCs w:val="22"/>
              </w:rPr>
              <w:t>(</w:t>
            </w:r>
            <w:r w:rsidRPr="003F157A">
              <w:rPr>
                <w:rFonts w:asciiTheme="minorHAnsi" w:hAnsiTheme="minorHAnsi"/>
                <w:szCs w:val="22"/>
              </w:rPr>
              <w:t>s</w:t>
            </w:r>
            <w:r w:rsidR="007B664C">
              <w:rPr>
                <w:rFonts w:asciiTheme="minorHAnsi" w:hAnsiTheme="minorHAnsi"/>
                <w:szCs w:val="22"/>
              </w:rPr>
              <w:t>)</w:t>
            </w:r>
          </w:p>
        </w:tc>
      </w:tr>
      <w:tr w:rsidR="00E03843" w:rsidRPr="003F157A" w14:paraId="49ED1988" w14:textId="77777777" w:rsidTr="001658AE">
        <w:tc>
          <w:tcPr>
            <w:tcW w:w="1890" w:type="dxa"/>
          </w:tcPr>
          <w:p w14:paraId="79AB4DC8"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lastRenderedPageBreak/>
              <w:t>Ps</w:t>
            </w:r>
          </w:p>
        </w:tc>
        <w:tc>
          <w:tcPr>
            <w:tcW w:w="6615" w:type="dxa"/>
          </w:tcPr>
          <w:p w14:paraId="3BD3DDB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Plaque psoriasis</w:t>
            </w:r>
          </w:p>
        </w:tc>
      </w:tr>
      <w:tr w:rsidR="00E03843" w:rsidRPr="003F157A" w14:paraId="17C29975" w14:textId="77777777" w:rsidTr="001658AE">
        <w:tc>
          <w:tcPr>
            <w:tcW w:w="1890" w:type="dxa"/>
          </w:tcPr>
          <w:p w14:paraId="27F959C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PsA</w:t>
            </w:r>
          </w:p>
        </w:tc>
        <w:tc>
          <w:tcPr>
            <w:tcW w:w="6615" w:type="dxa"/>
          </w:tcPr>
          <w:p w14:paraId="23F5622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Psoriatic arthritis</w:t>
            </w:r>
          </w:p>
        </w:tc>
      </w:tr>
      <w:tr w:rsidR="00E03843" w:rsidRPr="003F157A" w14:paraId="6AA6B472" w14:textId="77777777" w:rsidTr="001658AE">
        <w:tc>
          <w:tcPr>
            <w:tcW w:w="1890" w:type="dxa"/>
          </w:tcPr>
          <w:p w14:paraId="1F85CE96"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PSUR</w:t>
            </w:r>
          </w:p>
        </w:tc>
        <w:tc>
          <w:tcPr>
            <w:tcW w:w="6615" w:type="dxa"/>
          </w:tcPr>
          <w:p w14:paraId="6B5302FE" w14:textId="77777777" w:rsidR="00E03843" w:rsidRPr="003F157A" w:rsidRDefault="00E03843" w:rsidP="00F64E7A">
            <w:pPr>
              <w:rPr>
                <w:rFonts w:asciiTheme="minorHAnsi" w:hAnsiTheme="minorHAnsi"/>
                <w:szCs w:val="22"/>
              </w:rPr>
            </w:pPr>
            <w:r w:rsidRPr="003F157A">
              <w:rPr>
                <w:rFonts w:asciiTheme="minorHAnsi" w:hAnsiTheme="minorHAnsi"/>
                <w:szCs w:val="22"/>
              </w:rPr>
              <w:t>Periodic Safety Update Report</w:t>
            </w:r>
          </w:p>
        </w:tc>
      </w:tr>
      <w:tr w:rsidR="00E03843" w:rsidRPr="005B55CE" w14:paraId="78CECE42" w14:textId="77777777" w:rsidTr="001658AE">
        <w:tc>
          <w:tcPr>
            <w:tcW w:w="1890" w:type="dxa"/>
          </w:tcPr>
          <w:p w14:paraId="18656217" w14:textId="77777777" w:rsidR="00E03843" w:rsidRDefault="00E03843" w:rsidP="00F64E7A">
            <w:pPr>
              <w:jc w:val="both"/>
              <w:rPr>
                <w:rFonts w:asciiTheme="minorHAnsi" w:hAnsiTheme="minorHAnsi"/>
              </w:rPr>
            </w:pPr>
            <w:r>
              <w:rPr>
                <w:rFonts w:asciiTheme="minorHAnsi" w:hAnsiTheme="minorHAnsi"/>
              </w:rPr>
              <w:t>PTFU</w:t>
            </w:r>
          </w:p>
        </w:tc>
        <w:tc>
          <w:tcPr>
            <w:tcW w:w="6615" w:type="dxa"/>
          </w:tcPr>
          <w:p w14:paraId="0470DCAF" w14:textId="77777777" w:rsidR="00E03843" w:rsidRDefault="00E03843" w:rsidP="00530E43">
            <w:r w:rsidRPr="00530E43">
              <w:t>Post-treatment follow</w:t>
            </w:r>
            <w:r>
              <w:t>-up</w:t>
            </w:r>
          </w:p>
        </w:tc>
      </w:tr>
      <w:tr w:rsidR="00E03843" w:rsidRPr="003F157A" w14:paraId="72994365" w14:textId="77777777" w:rsidTr="001658AE">
        <w:tc>
          <w:tcPr>
            <w:tcW w:w="1890" w:type="dxa"/>
          </w:tcPr>
          <w:p w14:paraId="30CBAC05"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Q2W</w:t>
            </w:r>
          </w:p>
        </w:tc>
        <w:tc>
          <w:tcPr>
            <w:tcW w:w="6615" w:type="dxa"/>
          </w:tcPr>
          <w:p w14:paraId="109300FA"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Every two weeks</w:t>
            </w:r>
          </w:p>
        </w:tc>
      </w:tr>
      <w:tr w:rsidR="00E03843" w:rsidRPr="003F157A" w14:paraId="79BA42F4" w14:textId="77777777" w:rsidTr="001658AE">
        <w:tc>
          <w:tcPr>
            <w:tcW w:w="1890" w:type="dxa"/>
          </w:tcPr>
          <w:p w14:paraId="7CBB6BF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Q4W</w:t>
            </w:r>
          </w:p>
        </w:tc>
        <w:tc>
          <w:tcPr>
            <w:tcW w:w="6615" w:type="dxa"/>
          </w:tcPr>
          <w:p w14:paraId="3D296FF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Every four weeks</w:t>
            </w:r>
          </w:p>
        </w:tc>
      </w:tr>
      <w:tr w:rsidR="00E03843" w:rsidRPr="003F157A" w14:paraId="72B6850E" w14:textId="77777777" w:rsidTr="001658AE">
        <w:tc>
          <w:tcPr>
            <w:tcW w:w="1890" w:type="dxa"/>
          </w:tcPr>
          <w:p w14:paraId="79A7891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RA</w:t>
            </w:r>
          </w:p>
        </w:tc>
        <w:tc>
          <w:tcPr>
            <w:tcW w:w="6615" w:type="dxa"/>
          </w:tcPr>
          <w:p w14:paraId="2B44351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Rheumatoid arthritis</w:t>
            </w:r>
          </w:p>
        </w:tc>
      </w:tr>
      <w:tr w:rsidR="00E03843" w:rsidRPr="003F157A" w14:paraId="40602C12" w14:textId="77777777" w:rsidTr="001658AE">
        <w:tc>
          <w:tcPr>
            <w:tcW w:w="1890" w:type="dxa"/>
          </w:tcPr>
          <w:p w14:paraId="5F1B5D06" w14:textId="77777777" w:rsidR="00E03843" w:rsidRPr="003F157A" w:rsidRDefault="00E03843" w:rsidP="00F64E7A">
            <w:pPr>
              <w:jc w:val="both"/>
              <w:rPr>
                <w:rFonts w:asciiTheme="minorHAnsi" w:hAnsiTheme="minorHAnsi"/>
                <w:szCs w:val="22"/>
              </w:rPr>
            </w:pPr>
            <w:r>
              <w:rPr>
                <w:rFonts w:asciiTheme="minorHAnsi" w:hAnsiTheme="minorHAnsi"/>
                <w:szCs w:val="22"/>
              </w:rPr>
              <w:t>r</w:t>
            </w:r>
            <w:r w:rsidRPr="003F157A">
              <w:rPr>
                <w:rFonts w:asciiTheme="minorHAnsi" w:hAnsiTheme="minorHAnsi"/>
                <w:szCs w:val="22"/>
              </w:rPr>
              <w:t>-axSpA</w:t>
            </w:r>
          </w:p>
        </w:tc>
        <w:tc>
          <w:tcPr>
            <w:tcW w:w="6615" w:type="dxa"/>
          </w:tcPr>
          <w:p w14:paraId="37CCA199" w14:textId="5FB516D5" w:rsidR="00E03843" w:rsidRPr="003F157A" w:rsidRDefault="00E03843" w:rsidP="00F64E7A">
            <w:pPr>
              <w:jc w:val="both"/>
              <w:rPr>
                <w:rFonts w:asciiTheme="minorHAnsi" w:hAnsiTheme="minorHAnsi"/>
                <w:szCs w:val="22"/>
              </w:rPr>
            </w:pPr>
            <w:r w:rsidRPr="003F157A">
              <w:rPr>
                <w:rFonts w:asciiTheme="minorHAnsi" w:hAnsiTheme="minorHAnsi"/>
                <w:szCs w:val="22"/>
              </w:rPr>
              <w:t>Radiographic axial spondyloarthritis</w:t>
            </w:r>
          </w:p>
        </w:tc>
      </w:tr>
      <w:tr w:rsidR="00E03843" w:rsidRPr="005B55CE" w14:paraId="12A51FD0" w14:textId="77777777" w:rsidTr="001658AE">
        <w:tc>
          <w:tcPr>
            <w:tcW w:w="1890" w:type="dxa"/>
          </w:tcPr>
          <w:p w14:paraId="44877EF0" w14:textId="77777777" w:rsidR="00E03843" w:rsidRDefault="00E03843" w:rsidP="00F64E7A">
            <w:pPr>
              <w:jc w:val="both"/>
              <w:rPr>
                <w:rFonts w:asciiTheme="minorHAnsi" w:hAnsiTheme="minorHAnsi"/>
              </w:rPr>
            </w:pPr>
            <w:r>
              <w:rPr>
                <w:rFonts w:asciiTheme="minorHAnsi" w:hAnsiTheme="minorHAnsi"/>
              </w:rPr>
              <w:t>RMP</w:t>
            </w:r>
          </w:p>
        </w:tc>
        <w:tc>
          <w:tcPr>
            <w:tcW w:w="6615" w:type="dxa"/>
          </w:tcPr>
          <w:p w14:paraId="1D1D9335" w14:textId="77777777" w:rsidR="00E03843" w:rsidRDefault="00E03843" w:rsidP="00F64E7A">
            <w:pPr>
              <w:jc w:val="both"/>
              <w:rPr>
                <w:rFonts w:asciiTheme="minorHAnsi" w:hAnsiTheme="minorHAnsi"/>
              </w:rPr>
            </w:pPr>
            <w:r>
              <w:rPr>
                <w:rFonts w:asciiTheme="minorHAnsi" w:hAnsiTheme="minorHAnsi"/>
              </w:rPr>
              <w:t>Risk management plan</w:t>
            </w:r>
          </w:p>
        </w:tc>
      </w:tr>
      <w:tr w:rsidR="00E03843" w:rsidRPr="003F157A" w14:paraId="07958499" w14:textId="77777777" w:rsidTr="001658AE">
        <w:tc>
          <w:tcPr>
            <w:tcW w:w="1890" w:type="dxa"/>
          </w:tcPr>
          <w:p w14:paraId="63C233F2"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SAE</w:t>
            </w:r>
          </w:p>
        </w:tc>
        <w:tc>
          <w:tcPr>
            <w:tcW w:w="6615" w:type="dxa"/>
          </w:tcPr>
          <w:p w14:paraId="2C4FAC66"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Serious adverse event</w:t>
            </w:r>
          </w:p>
        </w:tc>
      </w:tr>
      <w:tr w:rsidR="00E03843" w:rsidRPr="003F157A" w14:paraId="0D5946E8" w14:textId="77777777" w:rsidTr="001658AE">
        <w:tc>
          <w:tcPr>
            <w:tcW w:w="1890" w:type="dxa"/>
          </w:tcPr>
          <w:p w14:paraId="0E0C964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SC</w:t>
            </w:r>
          </w:p>
        </w:tc>
        <w:tc>
          <w:tcPr>
            <w:tcW w:w="6615" w:type="dxa"/>
          </w:tcPr>
          <w:p w14:paraId="13ED300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Subcutaneous</w:t>
            </w:r>
          </w:p>
        </w:tc>
      </w:tr>
      <w:tr w:rsidR="00E03843" w:rsidRPr="003F157A" w14:paraId="0ABE87A0" w14:textId="77777777" w:rsidTr="001658AE">
        <w:tc>
          <w:tcPr>
            <w:tcW w:w="1890" w:type="dxa"/>
          </w:tcPr>
          <w:p w14:paraId="5A40C92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SF-36</w:t>
            </w:r>
          </w:p>
        </w:tc>
        <w:tc>
          <w:tcPr>
            <w:tcW w:w="6615" w:type="dxa"/>
          </w:tcPr>
          <w:p w14:paraId="0272D76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Medical Outcomes Study 36 item Short Form Health Survey</w:t>
            </w:r>
          </w:p>
        </w:tc>
      </w:tr>
      <w:tr w:rsidR="00E03843" w:rsidRPr="003F157A" w14:paraId="64761B03" w14:textId="77777777" w:rsidTr="001658AE">
        <w:tc>
          <w:tcPr>
            <w:tcW w:w="1890" w:type="dxa"/>
          </w:tcPr>
          <w:p w14:paraId="1B7EBBA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SIJ</w:t>
            </w:r>
          </w:p>
        </w:tc>
        <w:tc>
          <w:tcPr>
            <w:tcW w:w="6615" w:type="dxa"/>
          </w:tcPr>
          <w:p w14:paraId="67F2B0D0"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Sacroiliac joint</w:t>
            </w:r>
          </w:p>
        </w:tc>
      </w:tr>
      <w:tr w:rsidR="00E03843" w:rsidRPr="003F157A" w14:paraId="03BDC468" w14:textId="77777777" w:rsidTr="001658AE">
        <w:tc>
          <w:tcPr>
            <w:tcW w:w="1890" w:type="dxa"/>
          </w:tcPr>
          <w:p w14:paraId="21F7412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SpA</w:t>
            </w:r>
          </w:p>
        </w:tc>
        <w:tc>
          <w:tcPr>
            <w:tcW w:w="6615" w:type="dxa"/>
          </w:tcPr>
          <w:p w14:paraId="258BEAD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Spondyloarthritis</w:t>
            </w:r>
          </w:p>
        </w:tc>
      </w:tr>
      <w:tr w:rsidR="00E03843" w:rsidRPr="003F157A" w14:paraId="3FEF7CD8" w14:textId="77777777" w:rsidTr="001658AE">
        <w:tc>
          <w:tcPr>
            <w:tcW w:w="1890" w:type="dxa"/>
          </w:tcPr>
          <w:p w14:paraId="22246C07"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SPARCC</w:t>
            </w:r>
          </w:p>
        </w:tc>
        <w:tc>
          <w:tcPr>
            <w:tcW w:w="6615" w:type="dxa"/>
          </w:tcPr>
          <w:p w14:paraId="6A50FC6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Spondyloarthritis Research Consortium of Canada</w:t>
            </w:r>
          </w:p>
        </w:tc>
      </w:tr>
      <w:tr w:rsidR="00E03843" w:rsidRPr="003F157A" w14:paraId="1E1C46A1" w14:textId="77777777" w:rsidTr="001658AE">
        <w:tc>
          <w:tcPr>
            <w:tcW w:w="1890" w:type="dxa"/>
          </w:tcPr>
          <w:p w14:paraId="61952F40"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t</w:t>
            </w:r>
            <w:r w:rsidRPr="003F157A">
              <w:rPr>
                <w:rFonts w:asciiTheme="minorHAnsi" w:hAnsiTheme="minorHAnsi"/>
                <w:szCs w:val="22"/>
                <w:vertAlign w:val="subscript"/>
              </w:rPr>
              <w:t>1/2</w:t>
            </w:r>
          </w:p>
        </w:tc>
        <w:tc>
          <w:tcPr>
            <w:tcW w:w="6615" w:type="dxa"/>
          </w:tcPr>
          <w:p w14:paraId="3342A0B6" w14:textId="64FA90F2" w:rsidR="00E03843" w:rsidRPr="003F157A" w:rsidRDefault="00E03843" w:rsidP="00F64E7A">
            <w:pPr>
              <w:pStyle w:val="TableDescription"/>
              <w:spacing w:after="120" w:line="240" w:lineRule="atLeast"/>
              <w:rPr>
                <w:rFonts w:asciiTheme="minorHAnsi" w:hAnsiTheme="minorHAnsi"/>
                <w:sz w:val="22"/>
                <w:szCs w:val="22"/>
              </w:rPr>
            </w:pPr>
            <w:r w:rsidRPr="003F157A">
              <w:rPr>
                <w:rFonts w:asciiTheme="minorHAnsi" w:hAnsiTheme="minorHAnsi"/>
                <w:sz w:val="22"/>
                <w:szCs w:val="22"/>
              </w:rPr>
              <w:t>Half-life</w:t>
            </w:r>
          </w:p>
        </w:tc>
      </w:tr>
      <w:tr w:rsidR="00E03843" w:rsidRPr="003F157A" w14:paraId="5728C56E" w14:textId="77777777" w:rsidTr="001658AE">
        <w:tc>
          <w:tcPr>
            <w:tcW w:w="1890" w:type="dxa"/>
          </w:tcPr>
          <w:p w14:paraId="3DCE402B"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TEAE</w:t>
            </w:r>
          </w:p>
        </w:tc>
        <w:tc>
          <w:tcPr>
            <w:tcW w:w="6615" w:type="dxa"/>
          </w:tcPr>
          <w:p w14:paraId="2C807582" w14:textId="34D91918" w:rsidR="00E03843" w:rsidRPr="003F157A" w:rsidRDefault="00E03843" w:rsidP="00F64E7A">
            <w:pPr>
              <w:jc w:val="both"/>
              <w:rPr>
                <w:rFonts w:asciiTheme="minorHAnsi" w:hAnsiTheme="minorHAnsi"/>
                <w:szCs w:val="22"/>
              </w:rPr>
            </w:pPr>
            <w:r w:rsidRPr="003F157A">
              <w:rPr>
                <w:rFonts w:asciiTheme="minorHAnsi" w:hAnsiTheme="minorHAnsi"/>
                <w:szCs w:val="22"/>
              </w:rPr>
              <w:t>Treatment emergent adverse event</w:t>
            </w:r>
            <w:r w:rsidR="007B664C">
              <w:rPr>
                <w:rFonts w:asciiTheme="minorHAnsi" w:hAnsiTheme="minorHAnsi"/>
                <w:szCs w:val="22"/>
              </w:rPr>
              <w:t>(s)</w:t>
            </w:r>
          </w:p>
        </w:tc>
      </w:tr>
      <w:tr w:rsidR="00E03843" w:rsidRPr="003F157A" w14:paraId="510C24EB" w14:textId="77777777" w:rsidTr="001658AE">
        <w:tc>
          <w:tcPr>
            <w:tcW w:w="1890" w:type="dxa"/>
          </w:tcPr>
          <w:p w14:paraId="522AF88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TNFi</w:t>
            </w:r>
          </w:p>
        </w:tc>
        <w:tc>
          <w:tcPr>
            <w:tcW w:w="6615" w:type="dxa"/>
          </w:tcPr>
          <w:p w14:paraId="558E597E"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Tumour necrosis factor inhibitor</w:t>
            </w:r>
          </w:p>
        </w:tc>
      </w:tr>
      <w:tr w:rsidR="00E03843" w:rsidRPr="003F157A" w14:paraId="63941D9D" w14:textId="77777777" w:rsidTr="001658AE">
        <w:tc>
          <w:tcPr>
            <w:tcW w:w="1890" w:type="dxa"/>
          </w:tcPr>
          <w:p w14:paraId="59F125A9"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USA</w:t>
            </w:r>
          </w:p>
        </w:tc>
        <w:tc>
          <w:tcPr>
            <w:tcW w:w="6615" w:type="dxa"/>
          </w:tcPr>
          <w:p w14:paraId="133E9984"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United states of America</w:t>
            </w:r>
          </w:p>
        </w:tc>
      </w:tr>
      <w:tr w:rsidR="00E03843" w:rsidRPr="003F157A" w14:paraId="6C08A16F" w14:textId="77777777" w:rsidTr="001658AE">
        <w:tc>
          <w:tcPr>
            <w:tcW w:w="1890" w:type="dxa"/>
          </w:tcPr>
          <w:p w14:paraId="444106DF"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V2</w:t>
            </w:r>
          </w:p>
        </w:tc>
        <w:tc>
          <w:tcPr>
            <w:tcW w:w="6615" w:type="dxa"/>
          </w:tcPr>
          <w:p w14:paraId="0DB17600"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Central volume of distribution</w:t>
            </w:r>
          </w:p>
        </w:tc>
      </w:tr>
      <w:tr w:rsidR="00E03843" w:rsidRPr="003F157A" w14:paraId="020EFE0C" w14:textId="77777777" w:rsidTr="001658AE">
        <w:tc>
          <w:tcPr>
            <w:tcW w:w="1890" w:type="dxa"/>
          </w:tcPr>
          <w:p w14:paraId="22260B7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V3</w:t>
            </w:r>
          </w:p>
        </w:tc>
        <w:tc>
          <w:tcPr>
            <w:tcW w:w="6615" w:type="dxa"/>
          </w:tcPr>
          <w:p w14:paraId="2891F273"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Peripheral volume of distribution</w:t>
            </w:r>
          </w:p>
        </w:tc>
      </w:tr>
      <w:tr w:rsidR="00E03843" w:rsidRPr="005B55CE" w14:paraId="1FE0C9AF" w14:textId="77777777" w:rsidTr="001658AE">
        <w:tc>
          <w:tcPr>
            <w:tcW w:w="1890" w:type="dxa"/>
          </w:tcPr>
          <w:p w14:paraId="626C5E3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V</w:t>
            </w:r>
            <w:r w:rsidRPr="003F157A">
              <w:rPr>
                <w:rFonts w:asciiTheme="minorHAnsi" w:hAnsiTheme="minorHAnsi"/>
                <w:szCs w:val="22"/>
                <w:vertAlign w:val="subscript"/>
              </w:rPr>
              <w:t>ss</w:t>
            </w:r>
          </w:p>
        </w:tc>
        <w:tc>
          <w:tcPr>
            <w:tcW w:w="6615" w:type="dxa"/>
          </w:tcPr>
          <w:p w14:paraId="726821AC" w14:textId="77777777" w:rsidR="00E03843" w:rsidRPr="003F157A" w:rsidRDefault="00E03843" w:rsidP="00F64E7A">
            <w:pPr>
              <w:jc w:val="both"/>
              <w:rPr>
                <w:rFonts w:asciiTheme="minorHAnsi" w:hAnsiTheme="minorHAnsi"/>
                <w:szCs w:val="22"/>
              </w:rPr>
            </w:pPr>
            <w:r w:rsidRPr="003F157A">
              <w:rPr>
                <w:rFonts w:asciiTheme="minorHAnsi" w:hAnsiTheme="minorHAnsi"/>
                <w:szCs w:val="22"/>
              </w:rPr>
              <w:t>Steady state volume of distribution</w:t>
            </w:r>
          </w:p>
        </w:tc>
      </w:tr>
    </w:tbl>
    <w:p w14:paraId="0160550E"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FE66238" w14:textId="77777777" w:rsidR="008E7846" w:rsidRDefault="00F53C07" w:rsidP="008E7846">
      <w:pPr>
        <w:pStyle w:val="Heading2"/>
      </w:pPr>
      <w:bookmarkStart w:id="9" w:name="_Toc41551340"/>
      <w:r>
        <w:lastRenderedPageBreak/>
        <w:t>I.</w:t>
      </w:r>
      <w:r w:rsidR="008E7846">
        <w:t xml:space="preserve"> Introduction to product submission</w:t>
      </w:r>
      <w:bookmarkEnd w:id="9"/>
      <w:bookmarkEnd w:id="3"/>
      <w:bookmarkEnd w:id="1"/>
    </w:p>
    <w:p w14:paraId="0452D723" w14:textId="77777777" w:rsidR="008E7846" w:rsidRDefault="008E7846" w:rsidP="008E7846">
      <w:pPr>
        <w:pStyle w:val="Heading3"/>
        <w:rPr>
          <w:lang w:eastAsia="en-AU"/>
        </w:rPr>
      </w:pPr>
      <w:bookmarkStart w:id="10" w:name="_Toc247691502"/>
      <w:bookmarkStart w:id="11" w:name="_Toc314842483"/>
      <w:bookmarkStart w:id="12" w:name="_Toc4155134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940C9C1" w14:textId="77777777" w:rsidTr="003735BC">
        <w:tc>
          <w:tcPr>
            <w:tcW w:w="2907" w:type="dxa"/>
          </w:tcPr>
          <w:p w14:paraId="7914168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2B2324F" w14:textId="77777777" w:rsidR="008E7846" w:rsidRPr="003D1E62" w:rsidRDefault="00E00CDC" w:rsidP="001B5C90">
            <w:r>
              <w:t>Extension of indications</w:t>
            </w:r>
          </w:p>
        </w:tc>
      </w:tr>
      <w:tr w:rsidR="008E7846" w:rsidRPr="003D1E62" w14:paraId="742522DF" w14:textId="77777777" w:rsidTr="003735BC">
        <w:tc>
          <w:tcPr>
            <w:tcW w:w="2907" w:type="dxa"/>
          </w:tcPr>
          <w:p w14:paraId="2588CEC7" w14:textId="77777777" w:rsidR="008E7846" w:rsidRPr="003D1E62" w:rsidRDefault="008E7846" w:rsidP="003D1E62">
            <w:r w:rsidRPr="003D1E62">
              <w:rPr>
                <w:i/>
              </w:rPr>
              <w:t>Decision</w:t>
            </w:r>
            <w:r w:rsidRPr="003D1E62">
              <w:t>:</w:t>
            </w:r>
          </w:p>
        </w:tc>
        <w:tc>
          <w:tcPr>
            <w:tcW w:w="6307" w:type="dxa"/>
          </w:tcPr>
          <w:p w14:paraId="0C715DB8" w14:textId="77777777" w:rsidR="008E7846" w:rsidRPr="003D1E62" w:rsidRDefault="007944E2" w:rsidP="001B5C90">
            <w:r>
              <w:t>Approved</w:t>
            </w:r>
          </w:p>
        </w:tc>
      </w:tr>
      <w:tr w:rsidR="008E7846" w:rsidRPr="003D1E62" w14:paraId="64453CFE" w14:textId="77777777" w:rsidTr="003735BC">
        <w:tc>
          <w:tcPr>
            <w:tcW w:w="2907" w:type="dxa"/>
          </w:tcPr>
          <w:p w14:paraId="4FB7CCB5"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93513CB" w14:textId="77777777" w:rsidR="008E7846" w:rsidRPr="003D1E62" w:rsidRDefault="000C6CC0" w:rsidP="001B5C90">
            <w:r>
              <w:t>6 March 2020</w:t>
            </w:r>
          </w:p>
        </w:tc>
      </w:tr>
      <w:tr w:rsidR="00ED2922" w:rsidRPr="003D1E62" w14:paraId="7046E6EF" w14:textId="77777777" w:rsidTr="003735BC">
        <w:tc>
          <w:tcPr>
            <w:tcW w:w="2907" w:type="dxa"/>
          </w:tcPr>
          <w:p w14:paraId="4F41CBD7" w14:textId="77777777" w:rsidR="00ED2922" w:rsidRPr="00441C3F" w:rsidRDefault="00ED2922" w:rsidP="001B5C90">
            <w:pPr>
              <w:rPr>
                <w:i/>
              </w:rPr>
            </w:pPr>
            <w:r w:rsidRPr="00441C3F">
              <w:rPr>
                <w:i/>
              </w:rPr>
              <w:t>Date of entry onto ARTG</w:t>
            </w:r>
            <w:r w:rsidR="00500337">
              <w:rPr>
                <w:i/>
              </w:rPr>
              <w:t>:</w:t>
            </w:r>
          </w:p>
        </w:tc>
        <w:tc>
          <w:tcPr>
            <w:tcW w:w="6307" w:type="dxa"/>
          </w:tcPr>
          <w:p w14:paraId="2A35E2B4" w14:textId="77777777" w:rsidR="00ED2922" w:rsidRPr="00441C3F" w:rsidRDefault="00E00CDC" w:rsidP="00D153D8">
            <w:pPr>
              <w:rPr>
                <w:i/>
              </w:rPr>
            </w:pPr>
            <w:r>
              <w:t>11 March 2020</w:t>
            </w:r>
          </w:p>
        </w:tc>
      </w:tr>
      <w:tr w:rsidR="00500337" w:rsidRPr="003D1E62" w14:paraId="2782648A" w14:textId="77777777" w:rsidTr="003735BC">
        <w:tc>
          <w:tcPr>
            <w:tcW w:w="2907" w:type="dxa"/>
          </w:tcPr>
          <w:p w14:paraId="6B164CF7" w14:textId="77777777" w:rsidR="00500337" w:rsidRPr="00441C3F" w:rsidRDefault="00EF4A3A" w:rsidP="001B5C90">
            <w:pPr>
              <w:rPr>
                <w:i/>
              </w:rPr>
            </w:pPr>
            <w:r>
              <w:rPr>
                <w:i/>
              </w:rPr>
              <w:t>ARTG numbers</w:t>
            </w:r>
            <w:r w:rsidR="00500337">
              <w:rPr>
                <w:i/>
              </w:rPr>
              <w:t>:</w:t>
            </w:r>
          </w:p>
        </w:tc>
        <w:tc>
          <w:tcPr>
            <w:tcW w:w="6307" w:type="dxa"/>
          </w:tcPr>
          <w:p w14:paraId="5193A088" w14:textId="77777777" w:rsidR="00500337" w:rsidRPr="00441C3F" w:rsidRDefault="00EF4A3A" w:rsidP="00EC463D">
            <w:r w:rsidRPr="00EF4A3A">
              <w:t>253893, 253892</w:t>
            </w:r>
          </w:p>
        </w:tc>
      </w:tr>
      <w:tr w:rsidR="003735BC" w:rsidRPr="003D1E62" w14:paraId="34E614FA" w14:textId="77777777" w:rsidTr="003735BC">
        <w:tc>
          <w:tcPr>
            <w:tcW w:w="2907" w:type="dxa"/>
          </w:tcPr>
          <w:p w14:paraId="5057C185"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1A7FEC8" w14:textId="77777777" w:rsidR="003735BC" w:rsidRPr="00487162" w:rsidRDefault="00A5189A" w:rsidP="003735BC">
            <w:r>
              <w:t>No</w:t>
            </w:r>
          </w:p>
        </w:tc>
      </w:tr>
      <w:tr w:rsidR="008E7846" w:rsidRPr="00487162" w14:paraId="2B7934B4" w14:textId="77777777" w:rsidTr="00BF1190">
        <w:tc>
          <w:tcPr>
            <w:tcW w:w="2907" w:type="dxa"/>
          </w:tcPr>
          <w:p w14:paraId="79BF77E2" w14:textId="77777777" w:rsidR="008E7846" w:rsidRPr="00487162" w:rsidRDefault="007B3131" w:rsidP="00E45619">
            <w:pPr>
              <w:rPr>
                <w:i/>
              </w:rPr>
            </w:pPr>
            <w:r>
              <w:rPr>
                <w:i/>
              </w:rPr>
              <w:t>Active ingredient</w:t>
            </w:r>
            <w:r w:rsidR="001B5C90">
              <w:rPr>
                <w:i/>
              </w:rPr>
              <w:t>:</w:t>
            </w:r>
          </w:p>
        </w:tc>
        <w:tc>
          <w:tcPr>
            <w:tcW w:w="6307" w:type="dxa"/>
          </w:tcPr>
          <w:p w14:paraId="41671ABA" w14:textId="77777777" w:rsidR="008E7846" w:rsidRPr="00487162" w:rsidRDefault="00A5189A" w:rsidP="00E00CDC">
            <w:r>
              <w:t>Ixekizumab</w:t>
            </w:r>
          </w:p>
        </w:tc>
      </w:tr>
      <w:tr w:rsidR="008E7846" w:rsidRPr="00487162" w14:paraId="25F6F5CC" w14:textId="77777777" w:rsidTr="00BF1190">
        <w:tc>
          <w:tcPr>
            <w:tcW w:w="2907" w:type="dxa"/>
          </w:tcPr>
          <w:p w14:paraId="63E79CC7" w14:textId="77777777" w:rsidR="008E7846" w:rsidRPr="00487162" w:rsidRDefault="008E7846" w:rsidP="001B5C90">
            <w:pPr>
              <w:rPr>
                <w:i/>
              </w:rPr>
            </w:pPr>
            <w:r w:rsidRPr="00487162">
              <w:rPr>
                <w:i/>
              </w:rPr>
              <w:t>Product</w:t>
            </w:r>
            <w:r w:rsidR="007B3131">
              <w:rPr>
                <w:i/>
              </w:rPr>
              <w:t xml:space="preserve"> name</w:t>
            </w:r>
            <w:r w:rsidR="001B5C90">
              <w:rPr>
                <w:i/>
              </w:rPr>
              <w:t>:</w:t>
            </w:r>
          </w:p>
        </w:tc>
        <w:tc>
          <w:tcPr>
            <w:tcW w:w="6307" w:type="dxa"/>
          </w:tcPr>
          <w:p w14:paraId="477671C2" w14:textId="77777777" w:rsidR="008E7846" w:rsidRPr="00487162" w:rsidRDefault="007B3131" w:rsidP="00E00CDC">
            <w:r>
              <w:t>Taltz</w:t>
            </w:r>
          </w:p>
        </w:tc>
      </w:tr>
      <w:tr w:rsidR="008E7846" w:rsidRPr="00487162" w14:paraId="305DE67C" w14:textId="77777777" w:rsidTr="00BF1190">
        <w:tc>
          <w:tcPr>
            <w:tcW w:w="2907" w:type="dxa"/>
          </w:tcPr>
          <w:p w14:paraId="0E40502E"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450A99C" w14:textId="77777777" w:rsidR="008E7846" w:rsidRDefault="006438D5" w:rsidP="00E00CDC">
            <w:r>
              <w:t>Eli Lilly Australia Pty Ltd</w:t>
            </w:r>
          </w:p>
          <w:p w14:paraId="3587A8A7" w14:textId="77777777" w:rsidR="006438D5" w:rsidRPr="006438D5" w:rsidRDefault="006438D5" w:rsidP="00E00CDC">
            <w:pPr>
              <w:rPr>
                <w:rFonts w:cs="Cambria"/>
              </w:rPr>
            </w:pPr>
            <w:r>
              <w:rPr>
                <w:rFonts w:cs="Cambria"/>
              </w:rPr>
              <w:t>112 Wharf Road, West Ryde NSW 2114</w:t>
            </w:r>
          </w:p>
        </w:tc>
      </w:tr>
      <w:tr w:rsidR="008E7846" w:rsidRPr="00487162" w14:paraId="07C1E0AB" w14:textId="77777777" w:rsidTr="00BF1190">
        <w:tc>
          <w:tcPr>
            <w:tcW w:w="2907" w:type="dxa"/>
          </w:tcPr>
          <w:p w14:paraId="1D5FF865" w14:textId="77777777" w:rsidR="008E7846" w:rsidRPr="00487162" w:rsidRDefault="006438D5" w:rsidP="00E45619">
            <w:pPr>
              <w:rPr>
                <w:i/>
              </w:rPr>
            </w:pPr>
            <w:r>
              <w:rPr>
                <w:i/>
              </w:rPr>
              <w:t>Dose form</w:t>
            </w:r>
            <w:r w:rsidR="001B5C90">
              <w:rPr>
                <w:i/>
              </w:rPr>
              <w:t>:</w:t>
            </w:r>
          </w:p>
        </w:tc>
        <w:tc>
          <w:tcPr>
            <w:tcW w:w="6307" w:type="dxa"/>
          </w:tcPr>
          <w:p w14:paraId="05C8E9E6" w14:textId="77777777" w:rsidR="008E7846" w:rsidRPr="00487162" w:rsidRDefault="006438D5" w:rsidP="00E45619">
            <w:r>
              <w:t>Solution for injection</w:t>
            </w:r>
          </w:p>
        </w:tc>
      </w:tr>
      <w:tr w:rsidR="008E7846" w:rsidRPr="00487162" w14:paraId="1A4218C6" w14:textId="77777777" w:rsidTr="00BF1190">
        <w:tc>
          <w:tcPr>
            <w:tcW w:w="2907" w:type="dxa"/>
          </w:tcPr>
          <w:p w14:paraId="33D4B7DE" w14:textId="77777777" w:rsidR="008E7846" w:rsidRPr="00487162" w:rsidRDefault="006438D5" w:rsidP="00E45619">
            <w:pPr>
              <w:rPr>
                <w:i/>
              </w:rPr>
            </w:pPr>
            <w:r>
              <w:rPr>
                <w:i/>
              </w:rPr>
              <w:t>Strength</w:t>
            </w:r>
            <w:r w:rsidR="008E7846" w:rsidRPr="00487162">
              <w:rPr>
                <w:i/>
              </w:rPr>
              <w:t xml:space="preserve">: </w:t>
            </w:r>
          </w:p>
        </w:tc>
        <w:tc>
          <w:tcPr>
            <w:tcW w:w="6307" w:type="dxa"/>
          </w:tcPr>
          <w:p w14:paraId="029E9EE3" w14:textId="77777777" w:rsidR="008E7846" w:rsidRPr="00487162" w:rsidRDefault="006438D5" w:rsidP="00E45619">
            <w:r>
              <w:t>80 mg/mL</w:t>
            </w:r>
          </w:p>
        </w:tc>
      </w:tr>
      <w:tr w:rsidR="008E7846" w:rsidRPr="00487162" w14:paraId="1A5FF3B1" w14:textId="77777777" w:rsidTr="00BF1190">
        <w:tc>
          <w:tcPr>
            <w:tcW w:w="2907" w:type="dxa"/>
          </w:tcPr>
          <w:p w14:paraId="74BD2125" w14:textId="77777777" w:rsidR="008E7846" w:rsidRPr="00487162" w:rsidRDefault="00D828B8" w:rsidP="00E45619">
            <w:pPr>
              <w:rPr>
                <w:i/>
              </w:rPr>
            </w:pPr>
            <w:r>
              <w:rPr>
                <w:i/>
              </w:rPr>
              <w:t>Container</w:t>
            </w:r>
            <w:r w:rsidR="008E7846" w:rsidRPr="00487162">
              <w:rPr>
                <w:i/>
              </w:rPr>
              <w:t>:</w:t>
            </w:r>
          </w:p>
        </w:tc>
        <w:tc>
          <w:tcPr>
            <w:tcW w:w="6307" w:type="dxa"/>
          </w:tcPr>
          <w:p w14:paraId="16AD88A6" w14:textId="4F471141" w:rsidR="00D828B8" w:rsidRPr="00487162" w:rsidRDefault="00E7343C" w:rsidP="00E45619">
            <w:r>
              <w:t>Prefilled pen, prefilled s</w:t>
            </w:r>
            <w:r w:rsidR="00D828B8">
              <w:t>yringe</w:t>
            </w:r>
          </w:p>
        </w:tc>
      </w:tr>
      <w:tr w:rsidR="008E7846" w:rsidRPr="00487162" w14:paraId="586790AE" w14:textId="77777777" w:rsidTr="00BF1190">
        <w:tc>
          <w:tcPr>
            <w:tcW w:w="2907" w:type="dxa"/>
          </w:tcPr>
          <w:p w14:paraId="6E14874B" w14:textId="77777777" w:rsidR="008E7846" w:rsidRPr="00487162" w:rsidRDefault="005214C5" w:rsidP="00E45619">
            <w:pPr>
              <w:rPr>
                <w:i/>
              </w:rPr>
            </w:pPr>
            <w:r>
              <w:rPr>
                <w:i/>
              </w:rPr>
              <w:t>Pack size</w:t>
            </w:r>
            <w:r w:rsidR="008E7846" w:rsidRPr="00487162">
              <w:rPr>
                <w:i/>
              </w:rPr>
              <w:t>:</w:t>
            </w:r>
          </w:p>
        </w:tc>
        <w:tc>
          <w:tcPr>
            <w:tcW w:w="6307" w:type="dxa"/>
          </w:tcPr>
          <w:p w14:paraId="249738B7" w14:textId="77777777" w:rsidR="008E7846" w:rsidRPr="00487162" w:rsidRDefault="005214C5" w:rsidP="00E45619">
            <w:r>
              <w:t>1, 2 or 3</w:t>
            </w:r>
          </w:p>
        </w:tc>
      </w:tr>
      <w:tr w:rsidR="008E7846" w:rsidRPr="00487162" w14:paraId="01385E4D" w14:textId="77777777" w:rsidTr="00BF1190">
        <w:tc>
          <w:tcPr>
            <w:tcW w:w="2907" w:type="dxa"/>
          </w:tcPr>
          <w:p w14:paraId="18265900"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48D4AF8" w14:textId="145EDF1E" w:rsidR="005E1EAC" w:rsidRPr="00645320" w:rsidRDefault="005E1EAC" w:rsidP="005E1EAC">
            <w:pPr>
              <w:rPr>
                <w:i/>
              </w:rPr>
            </w:pPr>
            <w:r w:rsidRPr="00645320">
              <w:rPr>
                <w:i/>
              </w:rPr>
              <w:t xml:space="preserve">Ankylosing </w:t>
            </w:r>
            <w:r w:rsidR="00E7343C" w:rsidRPr="00645320">
              <w:rPr>
                <w:i/>
              </w:rPr>
              <w:t>spondylitis (radiographic axial spondyloarthritis)</w:t>
            </w:r>
            <w:r w:rsidR="007B664C">
              <w:rPr>
                <w:i/>
              </w:rPr>
              <w:t>:</w:t>
            </w:r>
          </w:p>
          <w:p w14:paraId="12311D29" w14:textId="0F615883" w:rsidR="008E7846" w:rsidRPr="00697BD6" w:rsidRDefault="00697BD6" w:rsidP="00697BD6">
            <w:pPr>
              <w:rPr>
                <w:i/>
              </w:rPr>
            </w:pPr>
            <w:r w:rsidRPr="00697BD6">
              <w:rPr>
                <w:i/>
              </w:rPr>
              <w:t>Taltz is indicated for the treatment of active ankylosing spondylitis in adult patients.</w:t>
            </w:r>
          </w:p>
        </w:tc>
      </w:tr>
      <w:tr w:rsidR="008E7846" w:rsidRPr="00487162" w14:paraId="166D8D9C" w14:textId="77777777" w:rsidTr="00BF1190">
        <w:tc>
          <w:tcPr>
            <w:tcW w:w="2907" w:type="dxa"/>
          </w:tcPr>
          <w:p w14:paraId="6A86707C" w14:textId="6D7561DE" w:rsidR="008E7846" w:rsidRPr="00487162" w:rsidRDefault="00697BD6" w:rsidP="00E45619">
            <w:pPr>
              <w:rPr>
                <w:i/>
              </w:rPr>
            </w:pPr>
            <w:r>
              <w:rPr>
                <w:i/>
              </w:rPr>
              <w:t>Route</w:t>
            </w:r>
            <w:r w:rsidR="008E7846" w:rsidRPr="00487162">
              <w:rPr>
                <w:i/>
              </w:rPr>
              <w:t xml:space="preserve"> of administration:</w:t>
            </w:r>
          </w:p>
        </w:tc>
        <w:tc>
          <w:tcPr>
            <w:tcW w:w="6307" w:type="dxa"/>
          </w:tcPr>
          <w:p w14:paraId="42962DF3" w14:textId="75268E4C" w:rsidR="008E7846" w:rsidRPr="00487162" w:rsidRDefault="00697BD6" w:rsidP="00E45619">
            <w:r>
              <w:t>Subcutaneous</w:t>
            </w:r>
          </w:p>
        </w:tc>
      </w:tr>
      <w:tr w:rsidR="008E7846" w:rsidRPr="00487162" w14:paraId="2615E337" w14:textId="77777777" w:rsidTr="00BF1190">
        <w:tc>
          <w:tcPr>
            <w:tcW w:w="2907" w:type="dxa"/>
          </w:tcPr>
          <w:p w14:paraId="03DE5458" w14:textId="77777777" w:rsidR="008E7846" w:rsidRPr="00487162" w:rsidRDefault="008E7846" w:rsidP="00E45619">
            <w:pPr>
              <w:rPr>
                <w:i/>
              </w:rPr>
            </w:pPr>
            <w:r w:rsidRPr="00487162">
              <w:rPr>
                <w:i/>
              </w:rPr>
              <w:t>Dosage:</w:t>
            </w:r>
          </w:p>
        </w:tc>
        <w:tc>
          <w:tcPr>
            <w:tcW w:w="6307" w:type="dxa"/>
          </w:tcPr>
          <w:p w14:paraId="5229DA18" w14:textId="30AAB424" w:rsidR="00697BD6" w:rsidRDefault="00697BD6" w:rsidP="00697BD6">
            <w:pPr>
              <w:rPr>
                <w:rFonts w:cs="Cambria"/>
              </w:rPr>
            </w:pPr>
            <w:r>
              <w:rPr>
                <w:rFonts w:cs="Cambria"/>
              </w:rPr>
              <w:t>The recommend</w:t>
            </w:r>
            <w:r w:rsidR="00915559">
              <w:rPr>
                <w:rFonts w:cs="Cambria"/>
              </w:rPr>
              <w:t xml:space="preserve">ed dose is 80 mg by </w:t>
            </w:r>
            <w:r w:rsidR="003D1B6B">
              <w:t>subcutaneous</w:t>
            </w:r>
            <w:r w:rsidR="003D1B6B">
              <w:rPr>
                <w:rFonts w:cs="Cambria"/>
              </w:rPr>
              <w:t xml:space="preserve"> (</w:t>
            </w:r>
            <w:r w:rsidR="00915559">
              <w:rPr>
                <w:rFonts w:cs="Cambria"/>
              </w:rPr>
              <w:t>SC</w:t>
            </w:r>
            <w:r w:rsidR="003D1B6B">
              <w:rPr>
                <w:rFonts w:cs="Cambria"/>
              </w:rPr>
              <w:t>)</w:t>
            </w:r>
            <w:r>
              <w:rPr>
                <w:rFonts w:cs="Cambria"/>
              </w:rPr>
              <w:t xml:space="preserve"> injection every 4 weeks.</w:t>
            </w:r>
          </w:p>
          <w:p w14:paraId="0FA1D391" w14:textId="77777777" w:rsidR="008E7846" w:rsidRDefault="00697BD6" w:rsidP="00697BD6">
            <w:pPr>
              <w:rPr>
                <w:rFonts w:cs="Cambria"/>
              </w:rPr>
            </w:pPr>
            <w:r>
              <w:rPr>
                <w:rFonts w:cs="Cambria"/>
              </w:rPr>
              <w:t xml:space="preserve">Conventional disease-modifying antirheumatic drugs </w:t>
            </w:r>
            <w:r w:rsidR="00915559">
              <w:rPr>
                <w:rFonts w:cs="Cambria"/>
              </w:rPr>
              <w:t>(cDMARD) (for example,</w:t>
            </w:r>
            <w:r>
              <w:rPr>
                <w:rFonts w:cs="Cambria"/>
              </w:rPr>
              <w:t xml:space="preserve"> sulfasalazine), corticosteroids, non-steroidal anti-inflammatory drugs (NSAIDs), and/or analgesics may be continued during treatment with ixekizumab.</w:t>
            </w:r>
          </w:p>
          <w:p w14:paraId="03567011" w14:textId="07E9C08B" w:rsidR="003D1B6B" w:rsidRPr="00697BD6" w:rsidRDefault="003D1B6B" w:rsidP="00697BD6">
            <w:pPr>
              <w:rPr>
                <w:rFonts w:cs="Cambria"/>
              </w:rPr>
            </w:pPr>
            <w:r>
              <w:t>For further information</w:t>
            </w:r>
            <w:r w:rsidR="004D2614">
              <w:t xml:space="preserve"> regarding dosage</w:t>
            </w:r>
            <w:r>
              <w:t>, refer to the Product Information (PI).</w:t>
            </w:r>
          </w:p>
        </w:tc>
      </w:tr>
    </w:tbl>
    <w:p w14:paraId="30BA80CF" w14:textId="77777777" w:rsidR="008E7846" w:rsidRDefault="008E7846" w:rsidP="00CB7322">
      <w:pPr>
        <w:pStyle w:val="Heading3"/>
        <w:pageBreakBefore/>
      </w:pPr>
      <w:bookmarkStart w:id="13" w:name="_Toc247691503"/>
      <w:bookmarkStart w:id="14" w:name="_Toc314842484"/>
      <w:bookmarkStart w:id="15" w:name="_Toc41551342"/>
      <w:r>
        <w:lastRenderedPageBreak/>
        <w:t>Product background</w:t>
      </w:r>
      <w:bookmarkEnd w:id="13"/>
      <w:bookmarkEnd w:id="14"/>
      <w:bookmarkEnd w:id="15"/>
    </w:p>
    <w:p w14:paraId="7DEC5824" w14:textId="2BE27DC8" w:rsidR="008E7846" w:rsidRDefault="00940A89" w:rsidP="00444EE5">
      <w:r w:rsidRPr="00940A89">
        <w:t xml:space="preserve">This AusPAR describes the application by </w:t>
      </w:r>
      <w:r w:rsidR="00444EE5">
        <w:t>Eli Lilly Australia Pty Ltd (</w:t>
      </w:r>
      <w:r w:rsidRPr="00940A89">
        <w:t>the sponsor</w:t>
      </w:r>
      <w:r w:rsidR="00444EE5">
        <w:t>)</w:t>
      </w:r>
      <w:r w:rsidRPr="00940A89">
        <w:t xml:space="preserve"> to register </w:t>
      </w:r>
      <w:r w:rsidR="00444EE5" w:rsidRPr="00444EE5">
        <w:t xml:space="preserve">Taltz </w:t>
      </w:r>
      <w:r w:rsidR="004B31C9">
        <w:t>(</w:t>
      </w:r>
      <w:r w:rsidR="00444EE5" w:rsidRPr="00444EE5">
        <w:t>ixekizumab</w:t>
      </w:r>
      <w:r w:rsidR="004B31C9">
        <w:t>)</w:t>
      </w:r>
      <w:r w:rsidR="00444EE5" w:rsidRPr="00444EE5">
        <w:t xml:space="preserve"> 80 mg/mL solution for injection</w:t>
      </w:r>
      <w:r w:rsidRPr="00940A89">
        <w:t xml:space="preserve"> f</w:t>
      </w:r>
      <w:r w:rsidR="00444EE5">
        <w:t xml:space="preserve">or the following proposed </w:t>
      </w:r>
      <w:r w:rsidR="004B31C9">
        <w:t xml:space="preserve">extensions of </w:t>
      </w:r>
      <w:r w:rsidR="00444EE5">
        <w:t>indication</w:t>
      </w:r>
      <w:r w:rsidR="004B31C9">
        <w:t>s</w:t>
      </w:r>
      <w:r w:rsidR="00444EE5">
        <w:t>:</w:t>
      </w:r>
    </w:p>
    <w:p w14:paraId="1678CCE3" w14:textId="2B3CC6CD" w:rsidR="005E1EAC" w:rsidRPr="00645320" w:rsidRDefault="005E1EAC" w:rsidP="005E1EAC">
      <w:pPr>
        <w:ind w:left="720"/>
        <w:rPr>
          <w:i/>
        </w:rPr>
      </w:pPr>
      <w:r w:rsidRPr="00645320">
        <w:rPr>
          <w:i/>
        </w:rPr>
        <w:t xml:space="preserve">Ankylosing </w:t>
      </w:r>
      <w:r w:rsidR="00E7343C" w:rsidRPr="00645320">
        <w:rPr>
          <w:i/>
        </w:rPr>
        <w:t>spondylitis (radiographic axial spondyloarthritis)</w:t>
      </w:r>
    </w:p>
    <w:p w14:paraId="4BEFAFA2" w14:textId="79A0520E" w:rsidR="00444EE5" w:rsidRDefault="00444EE5" w:rsidP="00444EE5">
      <w:pPr>
        <w:ind w:left="720"/>
      </w:pPr>
      <w:r w:rsidRPr="00697BD6">
        <w:rPr>
          <w:i/>
        </w:rPr>
        <w:t>Taltz is indicated for the treatment of active ankylosing spondylitis in adult patients.</w:t>
      </w:r>
    </w:p>
    <w:p w14:paraId="0AB20349" w14:textId="00FBBCE4" w:rsidR="00B73CC2" w:rsidRPr="000539DB" w:rsidRDefault="00B73CC2" w:rsidP="00484383">
      <w:pPr>
        <w:rPr>
          <w:lang w:eastAsia="ja-JP"/>
        </w:rPr>
      </w:pPr>
      <w:r w:rsidRPr="000539DB">
        <w:rPr>
          <w:lang w:eastAsia="ja-JP"/>
        </w:rPr>
        <w:t>Axial spondyloarthritis</w:t>
      </w:r>
      <w:r w:rsidR="000C298C">
        <w:rPr>
          <w:lang w:eastAsia="ja-JP"/>
        </w:rPr>
        <w:t xml:space="preserve"> (axSpA)</w:t>
      </w:r>
      <w:r w:rsidRPr="000539DB">
        <w:rPr>
          <w:lang w:eastAsia="ja-JP"/>
        </w:rPr>
        <w:t xml:space="preserve"> is a chronic inflammatory disease predominantly affecting the axial</w:t>
      </w:r>
      <w:r>
        <w:rPr>
          <w:lang w:eastAsia="ja-JP"/>
        </w:rPr>
        <w:t xml:space="preserve"> </w:t>
      </w:r>
      <w:r w:rsidR="00811EE7">
        <w:rPr>
          <w:lang w:eastAsia="ja-JP"/>
        </w:rPr>
        <w:t>skeleton including</w:t>
      </w:r>
      <w:r w:rsidR="007B664C">
        <w:rPr>
          <w:lang w:eastAsia="ja-JP"/>
        </w:rPr>
        <w:t xml:space="preserve"> the</w:t>
      </w:r>
      <w:r w:rsidR="00811EE7">
        <w:rPr>
          <w:lang w:eastAsia="ja-JP"/>
        </w:rPr>
        <w:t xml:space="preserve"> sacroiliac joints (SIJ)</w:t>
      </w:r>
      <w:r w:rsidRPr="000539DB">
        <w:rPr>
          <w:lang w:eastAsia="ja-JP"/>
        </w:rPr>
        <w:t xml:space="preserve"> and </w:t>
      </w:r>
      <w:r w:rsidR="007B664C">
        <w:rPr>
          <w:lang w:eastAsia="ja-JP"/>
        </w:rPr>
        <w:t xml:space="preserve">the </w:t>
      </w:r>
      <w:r w:rsidRPr="000539DB">
        <w:rPr>
          <w:lang w:eastAsia="ja-JP"/>
        </w:rPr>
        <w:t>spine. Axial spondyloar</w:t>
      </w:r>
      <w:r>
        <w:rPr>
          <w:lang w:eastAsia="ja-JP"/>
        </w:rPr>
        <w:t>thritis is increasingly recognis</w:t>
      </w:r>
      <w:r w:rsidRPr="000539DB">
        <w:rPr>
          <w:lang w:eastAsia="ja-JP"/>
        </w:rPr>
        <w:t>ed as</w:t>
      </w:r>
      <w:r>
        <w:rPr>
          <w:lang w:eastAsia="ja-JP"/>
        </w:rPr>
        <w:t xml:space="preserve"> a single disease entity with two</w:t>
      </w:r>
      <w:r w:rsidRPr="000539DB">
        <w:rPr>
          <w:lang w:eastAsia="ja-JP"/>
        </w:rPr>
        <w:t xml:space="preserve"> distinct subsets:</w:t>
      </w:r>
    </w:p>
    <w:p w14:paraId="6A34C722" w14:textId="73412BD7" w:rsidR="00B73CC2" w:rsidRPr="000539DB" w:rsidRDefault="00B73CC2" w:rsidP="00484383">
      <w:pPr>
        <w:pStyle w:val="ListBullet"/>
        <w:rPr>
          <w:lang w:eastAsia="ja-JP"/>
        </w:rPr>
      </w:pPr>
      <w:r w:rsidRPr="000539DB">
        <w:rPr>
          <w:lang w:eastAsia="ja-JP"/>
        </w:rPr>
        <w:t xml:space="preserve">Radiographic </w:t>
      </w:r>
      <w:r w:rsidR="00C970AB">
        <w:rPr>
          <w:lang w:eastAsia="ja-JP"/>
        </w:rPr>
        <w:t>a</w:t>
      </w:r>
      <w:r w:rsidR="00C970AB" w:rsidRPr="000539DB">
        <w:rPr>
          <w:lang w:eastAsia="ja-JP"/>
        </w:rPr>
        <w:t>xial spondyloarthritis</w:t>
      </w:r>
      <w:r w:rsidR="00C970AB">
        <w:rPr>
          <w:lang w:eastAsia="ja-JP"/>
        </w:rPr>
        <w:t xml:space="preserve"> (r</w:t>
      </w:r>
      <w:r w:rsidRPr="000539DB">
        <w:rPr>
          <w:lang w:eastAsia="ja-JP"/>
        </w:rPr>
        <w:t>-axS</w:t>
      </w:r>
      <w:r>
        <w:rPr>
          <w:lang w:eastAsia="ja-JP"/>
        </w:rPr>
        <w:t xml:space="preserve">pA; also termed </w:t>
      </w:r>
      <w:r w:rsidR="00BC5C18">
        <w:t>ankylosing spondylitis</w:t>
      </w:r>
      <w:r w:rsidR="00BC5C18">
        <w:rPr>
          <w:lang w:eastAsia="ja-JP"/>
        </w:rPr>
        <w:t xml:space="preserve"> (</w:t>
      </w:r>
      <w:r>
        <w:rPr>
          <w:lang w:eastAsia="ja-JP"/>
        </w:rPr>
        <w:t>AS</w:t>
      </w:r>
      <w:r w:rsidR="00BC5C18">
        <w:rPr>
          <w:lang w:eastAsia="ja-JP"/>
        </w:rPr>
        <w:t>)</w:t>
      </w:r>
      <w:r>
        <w:rPr>
          <w:lang w:eastAsia="ja-JP"/>
        </w:rPr>
        <w:t>), characteris</w:t>
      </w:r>
      <w:r w:rsidRPr="000539DB">
        <w:rPr>
          <w:lang w:eastAsia="ja-JP"/>
        </w:rPr>
        <w:t>ed by the presence of</w:t>
      </w:r>
      <w:r>
        <w:rPr>
          <w:lang w:eastAsia="ja-JP"/>
        </w:rPr>
        <w:t xml:space="preserve"> </w:t>
      </w:r>
      <w:r w:rsidRPr="000539DB">
        <w:rPr>
          <w:lang w:eastAsia="ja-JP"/>
        </w:rPr>
        <w:t>definitive structural damage of the SIJ on radiographs. These patients fulfil the</w:t>
      </w:r>
      <w:r>
        <w:rPr>
          <w:lang w:eastAsia="ja-JP"/>
        </w:rPr>
        <w:t xml:space="preserve"> </w:t>
      </w:r>
      <w:r w:rsidRPr="000539DB">
        <w:rPr>
          <w:lang w:eastAsia="ja-JP"/>
        </w:rPr>
        <w:t>m</w:t>
      </w:r>
      <w:r>
        <w:rPr>
          <w:lang w:eastAsia="ja-JP"/>
        </w:rPr>
        <w:t>odified New York (mNY) criteria</w:t>
      </w:r>
      <w:r w:rsidR="00F4417A">
        <w:rPr>
          <w:lang w:eastAsia="ja-JP"/>
        </w:rPr>
        <w:t>.</w:t>
      </w:r>
      <w:r w:rsidR="00F4417A">
        <w:rPr>
          <w:rStyle w:val="FootnoteReference"/>
          <w:lang w:eastAsia="ja-JP"/>
        </w:rPr>
        <w:footnoteReference w:id="1"/>
      </w:r>
    </w:p>
    <w:p w14:paraId="05838C66" w14:textId="3E1D6A2F" w:rsidR="00B73CC2" w:rsidRDefault="00B73CC2" w:rsidP="00484383">
      <w:pPr>
        <w:pStyle w:val="ListBullet"/>
        <w:rPr>
          <w:lang w:eastAsia="ja-JP"/>
        </w:rPr>
      </w:pPr>
      <w:r w:rsidRPr="000539DB">
        <w:rPr>
          <w:lang w:eastAsia="ja-JP"/>
        </w:rPr>
        <w:t>Non</w:t>
      </w:r>
      <w:r>
        <w:rPr>
          <w:lang w:eastAsia="ja-JP"/>
        </w:rPr>
        <w:t>-</w:t>
      </w:r>
      <w:r w:rsidRPr="000539DB">
        <w:rPr>
          <w:lang w:eastAsia="ja-JP"/>
        </w:rPr>
        <w:t xml:space="preserve">radiographic </w:t>
      </w:r>
      <w:r w:rsidR="00C970AB">
        <w:rPr>
          <w:lang w:eastAsia="ja-JP"/>
        </w:rPr>
        <w:t>a</w:t>
      </w:r>
      <w:r w:rsidR="00C970AB" w:rsidRPr="000539DB">
        <w:rPr>
          <w:lang w:eastAsia="ja-JP"/>
        </w:rPr>
        <w:t xml:space="preserve">xial spondyloarthritis </w:t>
      </w:r>
      <w:r w:rsidR="00C970AB">
        <w:rPr>
          <w:lang w:eastAsia="ja-JP"/>
        </w:rPr>
        <w:t>(</w:t>
      </w:r>
      <w:r w:rsidR="008413E3">
        <w:t>nr</w:t>
      </w:r>
      <w:r w:rsidR="00761892">
        <w:t>-axSpA</w:t>
      </w:r>
      <w:r w:rsidR="00C970AB">
        <w:rPr>
          <w:lang w:eastAsia="ja-JP"/>
        </w:rPr>
        <w:t>)</w:t>
      </w:r>
      <w:r w:rsidRPr="000539DB">
        <w:rPr>
          <w:lang w:eastAsia="ja-JP"/>
        </w:rPr>
        <w:t>, characteri</w:t>
      </w:r>
      <w:r>
        <w:rPr>
          <w:lang w:eastAsia="ja-JP"/>
        </w:rPr>
        <w:t>s</w:t>
      </w:r>
      <w:r w:rsidRPr="000539DB">
        <w:rPr>
          <w:lang w:eastAsia="ja-JP"/>
        </w:rPr>
        <w:t>ed by the lack of definitive structural damage of the</w:t>
      </w:r>
      <w:r>
        <w:rPr>
          <w:lang w:eastAsia="ja-JP"/>
        </w:rPr>
        <w:t xml:space="preserve"> </w:t>
      </w:r>
      <w:r w:rsidRPr="000539DB">
        <w:rPr>
          <w:lang w:eastAsia="ja-JP"/>
        </w:rPr>
        <w:t xml:space="preserve">SIJ on radiographs. These patients </w:t>
      </w:r>
      <w:r>
        <w:rPr>
          <w:lang w:eastAsia="ja-JP"/>
        </w:rPr>
        <w:t>do not fulfil the mNY criteria</w:t>
      </w:r>
      <w:r w:rsidR="00F4417A">
        <w:rPr>
          <w:lang w:eastAsia="ja-JP"/>
        </w:rPr>
        <w:t>.</w:t>
      </w:r>
    </w:p>
    <w:p w14:paraId="4BA73A57" w14:textId="1C4D81D8" w:rsidR="00BA5129" w:rsidRDefault="00BC5C18" w:rsidP="008F487E">
      <w:r>
        <w:t>AS</w:t>
      </w:r>
      <w:r w:rsidR="00BA5129">
        <w:t xml:space="preserve"> affects up to 0.5% of the population and occurs predominantly in men.</w:t>
      </w:r>
      <w:r w:rsidR="00C416F9">
        <w:rPr>
          <w:rStyle w:val="FootnoteReference"/>
        </w:rPr>
        <w:footnoteReference w:id="2"/>
      </w:r>
      <w:r w:rsidR="00BA5129">
        <w:t xml:space="preserve"> Disease severity varies considerably between patients. Initially</w:t>
      </w:r>
      <w:r w:rsidR="00D44E76">
        <w:t>,</w:t>
      </w:r>
      <w:r w:rsidR="00BA5129">
        <w:t xml:space="preserve"> it usually affects the </w:t>
      </w:r>
      <w:r>
        <w:t>SIJ</w:t>
      </w:r>
      <w:r w:rsidR="00BA5129">
        <w:t xml:space="preserve"> (sacroiliitis) before involving other areas of the spine, usually the lumbar spine and then the thoracic and cervical spine. Although primarily thought of as a spinal disease, enthesitis and arthritis of peripheral join</w:t>
      </w:r>
      <w:r w:rsidR="008F487E">
        <w:t>ts may occur in up to 50%</w:t>
      </w:r>
      <w:r w:rsidR="00BA5129">
        <w:t xml:space="preserve"> of patients with AS. In addition, other organs such as the eyes, bowel, lungs, hear</w:t>
      </w:r>
      <w:r w:rsidR="00A71FD8">
        <w:t>t, and kidneys can be affected.</w:t>
      </w:r>
    </w:p>
    <w:p w14:paraId="6975EC00" w14:textId="5ABE7559" w:rsidR="00BA5129" w:rsidRDefault="00BA5129" w:rsidP="008F487E">
      <w:r>
        <w:t>The Australian Therapeutic Guidelines consi</w:t>
      </w:r>
      <w:r w:rsidR="00872F6C">
        <w:t xml:space="preserve">der symptom control with </w:t>
      </w:r>
      <w:r w:rsidR="00BC5C18">
        <w:rPr>
          <w:rFonts w:asciiTheme="minorHAnsi" w:hAnsiTheme="minorHAnsi"/>
        </w:rPr>
        <w:t>n</w:t>
      </w:r>
      <w:r w:rsidR="00BC5C18" w:rsidRPr="003F157A">
        <w:rPr>
          <w:rFonts w:asciiTheme="minorHAnsi" w:hAnsiTheme="minorHAnsi"/>
        </w:rPr>
        <w:t>onsteroidal anti</w:t>
      </w:r>
      <w:r w:rsidR="007B664C">
        <w:rPr>
          <w:rFonts w:asciiTheme="minorHAnsi" w:hAnsiTheme="minorHAnsi"/>
        </w:rPr>
        <w:noBreakHyphen/>
      </w:r>
      <w:r w:rsidR="00BC5C18" w:rsidRPr="003F157A">
        <w:rPr>
          <w:rFonts w:asciiTheme="minorHAnsi" w:hAnsiTheme="minorHAnsi"/>
        </w:rPr>
        <w:t>inflammatory drugs</w:t>
      </w:r>
      <w:r w:rsidR="00BC5C18">
        <w:t xml:space="preserve"> (</w:t>
      </w:r>
      <w:r>
        <w:t>NSAID</w:t>
      </w:r>
      <w:r w:rsidR="00BC5C18">
        <w:t>)</w:t>
      </w:r>
      <w:r w:rsidR="00D300D6">
        <w:t xml:space="preserve"> as first </w:t>
      </w:r>
      <w:r>
        <w:t>line therapy for AS, in combination with an appropriate exercise program and other lifestyle changes.</w:t>
      </w:r>
      <w:r w:rsidR="004D7A5A">
        <w:rPr>
          <w:rStyle w:val="FootnoteReference"/>
        </w:rPr>
        <w:footnoteReference w:id="3"/>
      </w:r>
      <w:r>
        <w:t xml:space="preserve"> Disease modifying therapies, in particular </w:t>
      </w:r>
      <w:r w:rsidR="008F487E">
        <w:t>biologic disease-modifying antirheumatic drugs (</w:t>
      </w:r>
      <w:r>
        <w:t>bDMARD</w:t>
      </w:r>
      <w:r w:rsidR="008F487E">
        <w:t>)</w:t>
      </w:r>
      <w:r>
        <w:t xml:space="preserve">, are added for persistent axial inflammation and enthesitis not responding to NSAIDs. Although patients may be treated with </w:t>
      </w:r>
      <w:r w:rsidR="008F487E">
        <w:t>conventional disease-modifying antirheumatic drugs (</w:t>
      </w:r>
      <w:r>
        <w:t>cDMARD</w:t>
      </w:r>
      <w:r w:rsidR="008F487E">
        <w:t>)</w:t>
      </w:r>
      <w:r>
        <w:t xml:space="preserve"> (</w:t>
      </w:r>
      <w:r w:rsidR="007B664C">
        <w:t xml:space="preserve">including </w:t>
      </w:r>
      <w:r>
        <w:t>sulfasalazine, methotrexate</w:t>
      </w:r>
      <w:r w:rsidR="007B664C">
        <w:t xml:space="preserve"> and</w:t>
      </w:r>
      <w:r>
        <w:t xml:space="preserve"> leflunomide), these are generally considered to have limited effect on axial inflammation and to be more useful in patients with pred</w:t>
      </w:r>
      <w:r w:rsidR="00A71FD8">
        <w:t>ominantly peripheral arthritis.</w:t>
      </w:r>
    </w:p>
    <w:p w14:paraId="6BEBB861" w14:textId="3C849C1B" w:rsidR="00BA5129" w:rsidRDefault="00BC5C18" w:rsidP="00A71FD8">
      <w:r>
        <w:t>At the time the submission described in this AusPAR was under consideration, c</w:t>
      </w:r>
      <w:r w:rsidR="00BA5129">
        <w:t>urrent treatment options in Australia for AS include NSAIDs, the</w:t>
      </w:r>
      <w:r w:rsidR="008F487E">
        <w:t xml:space="preserve"> interleukin</w:t>
      </w:r>
      <w:r w:rsidR="00BA5129">
        <w:t xml:space="preserve"> </w:t>
      </w:r>
      <w:r w:rsidR="008F487E">
        <w:t>(</w:t>
      </w:r>
      <w:r w:rsidR="00BA5129">
        <w:t>IL</w:t>
      </w:r>
      <w:r w:rsidR="008F487E">
        <w:t xml:space="preserve">) </w:t>
      </w:r>
      <w:r w:rsidR="00BA5129">
        <w:t xml:space="preserve">-17A antibody secukinumab, and five </w:t>
      </w:r>
      <w:r w:rsidR="00A71FD8">
        <w:t>tumour necrosis factor inhibitor (</w:t>
      </w:r>
      <w:r w:rsidR="00BA5129">
        <w:t>TNFi</w:t>
      </w:r>
      <w:r w:rsidR="00A71FD8">
        <w:t>)</w:t>
      </w:r>
      <w:r w:rsidR="00BA5129">
        <w:t xml:space="preserve"> drugs: adalimumab, certolizumab pegol, etaner</w:t>
      </w:r>
      <w:r w:rsidR="00A71FD8">
        <w:t>cept, golimumab and infliximab.</w:t>
      </w:r>
    </w:p>
    <w:p w14:paraId="4D0D4F28" w14:textId="38D71819" w:rsidR="00BA5129" w:rsidRDefault="00BA5129" w:rsidP="00A71FD8">
      <w:r>
        <w:t>The approved indications and dos</w:t>
      </w:r>
      <w:r w:rsidR="00A71FD8">
        <w:t>ages of bDMARDs for AS include:</w:t>
      </w:r>
    </w:p>
    <w:p w14:paraId="037B6E26" w14:textId="48D4588D" w:rsidR="00BA5129" w:rsidRPr="00872F6C" w:rsidRDefault="00872F6C" w:rsidP="00872F6C">
      <w:pPr>
        <w:pStyle w:val="ListBullet"/>
        <w:rPr>
          <w:i/>
        </w:rPr>
      </w:pPr>
      <w:r w:rsidRPr="00872F6C">
        <w:rPr>
          <w:iCs/>
        </w:rPr>
        <w:t>Cosentyx</w:t>
      </w:r>
      <w:r w:rsidRPr="00872F6C">
        <w:t xml:space="preserve"> (secukinumab)</w:t>
      </w:r>
      <w:r>
        <w:rPr>
          <w:i/>
        </w:rPr>
        <w:t xml:space="preserve"> </w:t>
      </w:r>
      <w:r w:rsidR="00BA5129" w:rsidRPr="00A71FD8">
        <w:rPr>
          <w:iCs/>
        </w:rPr>
        <w:t>is indicated for the treatment of adult patients with</w:t>
      </w:r>
      <w:r w:rsidR="00A71FD8">
        <w:rPr>
          <w:iCs/>
        </w:rPr>
        <w:t xml:space="preserve"> active ankylosing spondylitis.</w:t>
      </w:r>
    </w:p>
    <w:p w14:paraId="313D6339" w14:textId="12AA0B73" w:rsidR="00BA5129" w:rsidRDefault="00BA5129" w:rsidP="00872F6C">
      <w:pPr>
        <w:ind w:left="360"/>
      </w:pPr>
      <w:r>
        <w:t>The recommend</w:t>
      </w:r>
      <w:r w:rsidR="009B63AA">
        <w:t>ed dose is 150 mg by</w:t>
      </w:r>
      <w:r w:rsidR="007B664C">
        <w:t xml:space="preserve"> subcutaneous (</w:t>
      </w:r>
      <w:r w:rsidR="009B63AA">
        <w:t>SC</w:t>
      </w:r>
      <w:r w:rsidR="007B664C">
        <w:t>)</w:t>
      </w:r>
      <w:r>
        <w:t xml:space="preserve"> in</w:t>
      </w:r>
      <w:r w:rsidR="0064391B">
        <w:t>jection with initial dosing at W</w:t>
      </w:r>
      <w:r w:rsidR="00CB7494">
        <w:t>eek</w:t>
      </w:r>
      <w:r>
        <w:t xml:space="preserve"> 0, </w:t>
      </w:r>
      <w:r w:rsidR="00E35474">
        <w:t xml:space="preserve">Week </w:t>
      </w:r>
      <w:r>
        <w:t xml:space="preserve">1, </w:t>
      </w:r>
      <w:r w:rsidR="00CB7494">
        <w:t xml:space="preserve">Week </w:t>
      </w:r>
      <w:r>
        <w:t xml:space="preserve">2, </w:t>
      </w:r>
      <w:r w:rsidR="00CB7494">
        <w:t xml:space="preserve">Week </w:t>
      </w:r>
      <w:r>
        <w:t xml:space="preserve">3, and </w:t>
      </w:r>
      <w:r w:rsidR="00CB7494">
        <w:t xml:space="preserve">Week </w:t>
      </w:r>
      <w:r>
        <w:t>4 followe</w:t>
      </w:r>
      <w:r w:rsidR="00A71FD8">
        <w:t>d by the same dose every month.</w:t>
      </w:r>
    </w:p>
    <w:p w14:paraId="60369FF8" w14:textId="72AD62A4" w:rsidR="00BA5129" w:rsidRDefault="00872F6C" w:rsidP="00A71FD8">
      <w:pPr>
        <w:pStyle w:val="ListBullet"/>
      </w:pPr>
      <w:r>
        <w:lastRenderedPageBreak/>
        <w:t>Humira (a</w:t>
      </w:r>
      <w:r w:rsidR="00BA5129" w:rsidRPr="00A71FD8">
        <w:t>dalimumab</w:t>
      </w:r>
      <w:r>
        <w:t>)</w:t>
      </w:r>
      <w:r w:rsidR="00BA5129">
        <w:t xml:space="preserve"> is indicated for reducing signs and symptoms in patients with</w:t>
      </w:r>
      <w:r w:rsidR="00A71FD8">
        <w:t xml:space="preserve"> active ankylosing spondylitis.</w:t>
      </w:r>
    </w:p>
    <w:p w14:paraId="2AA3CFA0" w14:textId="4C7A5A86" w:rsidR="00BA5129" w:rsidRDefault="00BA5129" w:rsidP="00547C51">
      <w:pPr>
        <w:ind w:left="360"/>
      </w:pPr>
      <w:r>
        <w:t>The recommended dose of Humira for patients with an</w:t>
      </w:r>
      <w:r w:rsidR="009B63AA">
        <w:t>kylosing spondylitis is 40 mg SC</w:t>
      </w:r>
      <w:r>
        <w:t xml:space="preserve"> administered ev</w:t>
      </w:r>
      <w:r w:rsidR="00A71FD8">
        <w:t>ery fortnight as a single dose.</w:t>
      </w:r>
    </w:p>
    <w:p w14:paraId="6961017E" w14:textId="23BF46F6" w:rsidR="00BA5129" w:rsidRDefault="00BA5129" w:rsidP="00547C51">
      <w:pPr>
        <w:ind w:left="360"/>
      </w:pPr>
      <w:r>
        <w:t>Glucocorticoids, salicylates, nonsteroidal anti−inflammatory drugs, analgesics or disease-modifying anti-rheumatic drugs can be continued during tr</w:t>
      </w:r>
      <w:r w:rsidR="00A71FD8">
        <w:t>eatment with Humira.</w:t>
      </w:r>
    </w:p>
    <w:p w14:paraId="485C2DCA" w14:textId="655CAF8F" w:rsidR="00BA5129" w:rsidRDefault="00547C51" w:rsidP="00A71FD8">
      <w:pPr>
        <w:pStyle w:val="ListBullet"/>
      </w:pPr>
      <w:r>
        <w:t>Cimzia (c</w:t>
      </w:r>
      <w:r w:rsidR="00BA5129" w:rsidRPr="00A71FD8">
        <w:t>ertolizumab pegol</w:t>
      </w:r>
      <w:r>
        <w:t xml:space="preserve">) </w:t>
      </w:r>
      <w:r w:rsidR="00BA5129">
        <w:t xml:space="preserve">is indicated for the treatment of adult patients with active, ankylosing spondylitis who have been intolerant to or have had inadequate response to at least one </w:t>
      </w:r>
      <w:r w:rsidR="00A71FD8">
        <w:t>NSAID</w:t>
      </w:r>
      <w:r>
        <w:t>.</w:t>
      </w:r>
    </w:p>
    <w:p w14:paraId="135577A0" w14:textId="0B300B9B" w:rsidR="00BA5129" w:rsidRDefault="00BA5129" w:rsidP="00547C51">
      <w:pPr>
        <w:ind w:left="360"/>
      </w:pPr>
      <w:r>
        <w:t>The recommended loading dose of Cimzia for adult pa</w:t>
      </w:r>
      <w:r w:rsidR="00A71FD8">
        <w:t xml:space="preserve">tients is 400 mg (given as two SC </w:t>
      </w:r>
      <w:r>
        <w:t>injecti</w:t>
      </w:r>
      <w:r w:rsidR="0064391B">
        <w:t>ons of 200 mg each) initially (Week 0) and at W</w:t>
      </w:r>
      <w:r w:rsidR="00CB7494">
        <w:t>eek</w:t>
      </w:r>
      <w:r>
        <w:t xml:space="preserve"> 2 and </w:t>
      </w:r>
      <w:r w:rsidR="00CB7494">
        <w:t xml:space="preserve">Week </w:t>
      </w:r>
      <w:r>
        <w:t>4. After the loading dose, the recommended dose of Cimzia for adult patients with ankylosing spondylitis is 200 mg every 2</w:t>
      </w:r>
      <w:r w:rsidR="00F7037C">
        <w:t xml:space="preserve"> weeks or 400 mg every 4 weeks.</w:t>
      </w:r>
    </w:p>
    <w:p w14:paraId="7B05B780" w14:textId="23596C88" w:rsidR="00BA5129" w:rsidRPr="00A71FD8" w:rsidRDefault="00547C51" w:rsidP="00A71FD8">
      <w:pPr>
        <w:pStyle w:val="ListBullet"/>
      </w:pPr>
      <w:r>
        <w:t>Enbrel (e</w:t>
      </w:r>
      <w:r w:rsidR="00BA5129" w:rsidRPr="00A71FD8">
        <w:t>tanercept</w:t>
      </w:r>
      <w:r>
        <w:t>)</w:t>
      </w:r>
      <w:r w:rsidR="00BA5129" w:rsidRPr="00A71FD8">
        <w:t xml:space="preserve"> is indicated for the treatment of the signs and symptoms of active an</w:t>
      </w:r>
      <w:r w:rsidR="009B63AA">
        <w:t>kylosing spondylitis in adults.</w:t>
      </w:r>
    </w:p>
    <w:p w14:paraId="255D9B18" w14:textId="43900119" w:rsidR="00BA5129" w:rsidRDefault="00BA5129" w:rsidP="00547C51">
      <w:pPr>
        <w:ind w:left="360"/>
      </w:pPr>
      <w:r>
        <w:t>The recommended dose of E</w:t>
      </w:r>
      <w:r w:rsidR="009B63AA">
        <w:t>nbrel</w:t>
      </w:r>
      <w:r>
        <w:t xml:space="preserve"> </w:t>
      </w:r>
      <w:r w:rsidR="009B63AA">
        <w:t>is 50 mg per week, given as a SC injection, either</w:t>
      </w:r>
      <w:r>
        <w:t xml:space="preserve"> once weekl</w:t>
      </w:r>
      <w:r w:rsidR="009B63AA">
        <w:t>y as a single 50 mg injection or</w:t>
      </w:r>
      <w:r>
        <w:t xml:space="preserve"> twice weekly as two separate 25 mg i</w:t>
      </w:r>
      <w:r w:rsidR="00F7037C">
        <w:t xml:space="preserve">njections given 3 to </w:t>
      </w:r>
      <w:r w:rsidR="009B63AA">
        <w:t>4 days apart.</w:t>
      </w:r>
    </w:p>
    <w:p w14:paraId="1313A949" w14:textId="7BBF204D" w:rsidR="00BA5129" w:rsidRDefault="00BA5129" w:rsidP="00547C51">
      <w:pPr>
        <w:pStyle w:val="ListBullet"/>
      </w:pPr>
      <w:r>
        <w:t>Brenzys</w:t>
      </w:r>
      <w:r w:rsidR="001A6881">
        <w:t xml:space="preserve"> (etanercept)</w:t>
      </w:r>
      <w:r>
        <w:t xml:space="preserve"> is indicated for the treatment of the signs and symptoms of active an</w:t>
      </w:r>
      <w:r w:rsidR="009B63AA">
        <w:t>kylosing spondylitis in adults.</w:t>
      </w:r>
    </w:p>
    <w:p w14:paraId="74520685" w14:textId="6E915B05" w:rsidR="00BA5129" w:rsidRDefault="00BA5129" w:rsidP="00547C51">
      <w:pPr>
        <w:ind w:left="360"/>
      </w:pPr>
      <w:r>
        <w:t>The recommended dose of Brenzys is 50 mg administered once w</w:t>
      </w:r>
      <w:r w:rsidR="00547C51">
        <w:t xml:space="preserve">eekly, given as a SC </w:t>
      </w:r>
      <w:r w:rsidR="009B63AA">
        <w:t>injection.</w:t>
      </w:r>
    </w:p>
    <w:p w14:paraId="350F39C6" w14:textId="4B202CB5" w:rsidR="00BA5129" w:rsidRDefault="00547C51" w:rsidP="00987099">
      <w:pPr>
        <w:pStyle w:val="ListBullet"/>
      </w:pPr>
      <w:r>
        <w:t xml:space="preserve">Simponi </w:t>
      </w:r>
      <w:r w:rsidR="00BA5129">
        <w:t>and S</w:t>
      </w:r>
      <w:r w:rsidR="009B63AA">
        <w:t>imponi</w:t>
      </w:r>
      <w:r w:rsidR="00FA440D">
        <w:t xml:space="preserve"> IV</w:t>
      </w:r>
      <w:r w:rsidR="001A6881">
        <w:t xml:space="preserve"> (golimumab)</w:t>
      </w:r>
      <w:r w:rsidR="00BA5129">
        <w:t xml:space="preserve"> is indicated for the treatment of active ankylosing</w:t>
      </w:r>
      <w:r w:rsidR="009B63AA">
        <w:t xml:space="preserve"> spondylitis in adult patients.</w:t>
      </w:r>
    </w:p>
    <w:p w14:paraId="242829C3" w14:textId="486FA0BB" w:rsidR="00BA5129" w:rsidRDefault="009B63AA" w:rsidP="00FA440D">
      <w:pPr>
        <w:ind w:left="360"/>
      </w:pPr>
      <w:r>
        <w:t>Simponi 50 mg given as a SC</w:t>
      </w:r>
      <w:r w:rsidR="00BA5129">
        <w:t xml:space="preserve"> injection once a mont</w:t>
      </w:r>
      <w:r w:rsidR="00F7037C">
        <w:t>h, on the same date each month.</w:t>
      </w:r>
    </w:p>
    <w:p w14:paraId="33D6E699" w14:textId="0EBE543A" w:rsidR="00BA5129" w:rsidRDefault="00BA5129" w:rsidP="00FA440D">
      <w:pPr>
        <w:ind w:left="360"/>
      </w:pPr>
      <w:r>
        <w:t>2 mg</w:t>
      </w:r>
      <w:r w:rsidR="00987099">
        <w:t>/kg of S</w:t>
      </w:r>
      <w:r w:rsidR="009B63AA">
        <w:t>imponi</w:t>
      </w:r>
      <w:r w:rsidR="00987099">
        <w:t xml:space="preserve"> IV given as a 30 </w:t>
      </w:r>
      <w:r w:rsidR="0064391B">
        <w:t>minute intravenous infusion at W</w:t>
      </w:r>
      <w:r w:rsidR="00CB7494">
        <w:t>eek</w:t>
      </w:r>
      <w:r>
        <w:t xml:space="preserve"> 0 and</w:t>
      </w:r>
      <w:r w:rsidR="00CB7494">
        <w:t xml:space="preserve"> Week</w:t>
      </w:r>
      <w:r w:rsidR="00006F4F">
        <w:t> </w:t>
      </w:r>
      <w:r>
        <w:t>4,</w:t>
      </w:r>
      <w:r w:rsidR="00F1680D">
        <w:t xml:space="preserve"> then every 8 weeks thereafter.</w:t>
      </w:r>
    </w:p>
    <w:p w14:paraId="275293C5" w14:textId="049DFAD0" w:rsidR="00BA5129" w:rsidRDefault="00FA440D" w:rsidP="00987099">
      <w:pPr>
        <w:pStyle w:val="ListBullet"/>
      </w:pPr>
      <w:r>
        <w:t>Remicade (i</w:t>
      </w:r>
      <w:r w:rsidR="00BA5129" w:rsidRPr="00987099">
        <w:t>nfliximab</w:t>
      </w:r>
      <w:r>
        <w:t xml:space="preserve">) is indicated for the treatment of ankylosing spondylitis </w:t>
      </w:r>
      <w:r w:rsidR="00BA5129">
        <w:t>for the reduction of signs and symptoms and improvement in physical function i</w:t>
      </w:r>
      <w:r w:rsidR="00F1680D">
        <w:t>n patients with active disease.</w:t>
      </w:r>
    </w:p>
    <w:p w14:paraId="3611068A" w14:textId="442D8ABD" w:rsidR="00BA5129" w:rsidRDefault="00BA5129" w:rsidP="00FA440D">
      <w:pPr>
        <w:ind w:left="360"/>
      </w:pPr>
      <w:r>
        <w:t>5 mg/kg given as an intravenous infusion followed by additional 5 mg/kg infusion doses at 2 and 6 weeks after the first infusion, then every 6 weeks thereafter.</w:t>
      </w:r>
    </w:p>
    <w:p w14:paraId="7E4D903C" w14:textId="6ECBD41B" w:rsidR="001A6881" w:rsidRDefault="00BA5129" w:rsidP="00CF2248">
      <w:r>
        <w:t xml:space="preserve">Ixekizumab is an immunoglobulin G subclass 4 (IgG4) monoclonal antibody that </w:t>
      </w:r>
      <w:r w:rsidR="00F1680D">
        <w:t>binds with high affinity (&lt; 3 picomolar)</w:t>
      </w:r>
      <w:r>
        <w:t xml:space="preserve"> and specificity to IL-17A, a key pro-inflammatory cytokine in the pathophysiology of AS. Increased numbers of IL-17A-producing cells are present in the peripheral blood of patients with AS, as well as elevated levels of IL-17 in the serum. Neutralisation of IL-17A has been shown to inhibit these increases. Ixekizumab is administered as a </w:t>
      </w:r>
      <w:r w:rsidR="009B63AA">
        <w:t>SC</w:t>
      </w:r>
      <w:r>
        <w:t xml:space="preserve"> injection of 80 mg every four weeks. The sponsor </w:t>
      </w:r>
      <w:r w:rsidR="00B52F71">
        <w:t xml:space="preserve">had </w:t>
      </w:r>
      <w:r>
        <w:t>pro</w:t>
      </w:r>
      <w:r w:rsidR="00B52F71">
        <w:t>posed</w:t>
      </w:r>
      <w:r w:rsidR="00987099">
        <w:t xml:space="preserve"> that cDMARDs</w:t>
      </w:r>
      <w:r>
        <w:t>, anti-inflammatories and analgesics may be used concurrently with ixekizumab</w:t>
      </w:r>
      <w:r w:rsidR="00AE1918">
        <w:t xml:space="preserve"> </w:t>
      </w:r>
      <w:r w:rsidR="001A6881">
        <w:t xml:space="preserve">for the treatment of adults with active AS. </w:t>
      </w:r>
      <w:r w:rsidR="00630159" w:rsidRPr="00B52F71">
        <w:t>At the time the TGA considered this application</w:t>
      </w:r>
      <w:r w:rsidR="00630159">
        <w:t>, ixekizumab was</w:t>
      </w:r>
      <w:r w:rsidR="001A6881">
        <w:t xml:space="preserve"> approved for use in Australia in specific adult populations with psoriasis </w:t>
      </w:r>
      <w:r w:rsidR="005C001E">
        <w:t xml:space="preserve">(Ps) </w:t>
      </w:r>
      <w:r w:rsidR="001A6881">
        <w:t>and psoriatic arthritis</w:t>
      </w:r>
      <w:r w:rsidR="005C001E">
        <w:t xml:space="preserve"> (PsA)</w:t>
      </w:r>
      <w:r w:rsidR="001A6881">
        <w:t>.</w:t>
      </w:r>
    </w:p>
    <w:p w14:paraId="598D3991" w14:textId="77777777" w:rsidR="008E7846" w:rsidRPr="003F31A2" w:rsidRDefault="00386150" w:rsidP="008E7846">
      <w:pPr>
        <w:pStyle w:val="Heading3"/>
      </w:pPr>
      <w:bookmarkStart w:id="16" w:name="_Toc314842485"/>
      <w:bookmarkStart w:id="17" w:name="_Toc247691504"/>
      <w:bookmarkStart w:id="18" w:name="_Toc41551343"/>
      <w:r>
        <w:lastRenderedPageBreak/>
        <w:t>Regulatory s</w:t>
      </w:r>
      <w:r w:rsidR="008E7846">
        <w:t>tatus</w:t>
      </w:r>
      <w:bookmarkEnd w:id="16"/>
      <w:bookmarkEnd w:id="17"/>
      <w:bookmarkEnd w:id="18"/>
    </w:p>
    <w:p w14:paraId="19E6482B" w14:textId="6C99106F" w:rsidR="00940A89" w:rsidRPr="00B52F71" w:rsidRDefault="00FA78AD" w:rsidP="00940A89">
      <w:bookmarkStart w:id="19" w:name="_Toc247691505"/>
      <w:bookmarkStart w:id="20" w:name="_Toc314842486"/>
      <w:r w:rsidRPr="00FA78AD">
        <w:t>Taltz</w:t>
      </w:r>
      <w:r w:rsidRPr="00940A89">
        <w:t xml:space="preserve"> </w:t>
      </w:r>
      <w:r w:rsidR="00940A89" w:rsidRPr="00940A89">
        <w:t>received initial registration on the Australian Register</w:t>
      </w:r>
      <w:r>
        <w:t xml:space="preserve"> of Therapeutic Goods (ARTG) on </w:t>
      </w:r>
      <w:r w:rsidRPr="00B52F71">
        <w:t>6 September 2016 for the following indication:</w:t>
      </w:r>
    </w:p>
    <w:p w14:paraId="2F152F28" w14:textId="77777777" w:rsidR="00FA78AD" w:rsidRPr="00645320" w:rsidRDefault="00FA78AD" w:rsidP="00CF2248">
      <w:pPr>
        <w:keepNext/>
        <w:ind w:left="720"/>
        <w:rPr>
          <w:i/>
        </w:rPr>
      </w:pPr>
      <w:r w:rsidRPr="00645320">
        <w:rPr>
          <w:i/>
        </w:rPr>
        <w:t>Plaque psoriasis</w:t>
      </w:r>
    </w:p>
    <w:p w14:paraId="35970F71" w14:textId="12A799AB" w:rsidR="00FA78AD" w:rsidRPr="00B52F71" w:rsidRDefault="00FA78AD" w:rsidP="00FA78AD">
      <w:pPr>
        <w:ind w:left="720"/>
        <w:rPr>
          <w:i/>
        </w:rPr>
      </w:pPr>
      <w:r w:rsidRPr="00B52F71">
        <w:rPr>
          <w:i/>
        </w:rPr>
        <w:t>Taltz is indicated for the treatment of adult patients with moderate-to-severe plaque psoriasis who are candidates for systemic therapy or phototherapy.</w:t>
      </w:r>
    </w:p>
    <w:p w14:paraId="337B5F01" w14:textId="5C7C47FF" w:rsidR="00753CF3" w:rsidRPr="00B52F71" w:rsidRDefault="00630159" w:rsidP="00753CF3">
      <w:r>
        <w:t xml:space="preserve">The TGA </w:t>
      </w:r>
      <w:r w:rsidR="00753CF3" w:rsidRPr="00B52F71">
        <w:t xml:space="preserve">approved an extension of indication </w:t>
      </w:r>
      <w:r w:rsidR="009B63AA" w:rsidRPr="00B52F71">
        <w:t xml:space="preserve">for Taltz </w:t>
      </w:r>
      <w:r w:rsidR="00753CF3" w:rsidRPr="00B52F71">
        <w:t>on 22 June 2018</w:t>
      </w:r>
      <w:r>
        <w:t>,</w:t>
      </w:r>
      <w:r w:rsidR="00753CF3" w:rsidRPr="00B52F71">
        <w:t xml:space="preserve"> for the following indication:</w:t>
      </w:r>
    </w:p>
    <w:p w14:paraId="3F69FFFC" w14:textId="77777777" w:rsidR="00753CF3" w:rsidRPr="00645320" w:rsidRDefault="00753CF3" w:rsidP="00E35474">
      <w:pPr>
        <w:keepNext/>
        <w:ind w:left="720"/>
        <w:rPr>
          <w:i/>
        </w:rPr>
      </w:pPr>
      <w:r w:rsidRPr="00645320">
        <w:rPr>
          <w:i/>
        </w:rPr>
        <w:t>Psoriatic arthritis</w:t>
      </w:r>
    </w:p>
    <w:p w14:paraId="18D8997E" w14:textId="7564EE1D" w:rsidR="00753CF3" w:rsidRPr="00B52F71" w:rsidRDefault="00753CF3" w:rsidP="00753CF3">
      <w:pPr>
        <w:ind w:left="720"/>
        <w:rPr>
          <w:rFonts w:cs="Cambria"/>
          <w:i/>
        </w:rPr>
      </w:pPr>
      <w:r w:rsidRPr="00B52F71">
        <w:rPr>
          <w:rFonts w:cs="Cambria"/>
          <w:i/>
        </w:rPr>
        <w:t>T</w:t>
      </w:r>
      <w:r w:rsidR="00300374" w:rsidRPr="00B52F71">
        <w:rPr>
          <w:rFonts w:cs="Cambria"/>
          <w:i/>
        </w:rPr>
        <w:t>altz</w:t>
      </w:r>
      <w:r w:rsidRPr="00B52F71">
        <w:rPr>
          <w:rFonts w:cs="Cambria"/>
          <w:i/>
        </w:rPr>
        <w:t xml:space="preserve"> is indicated for the treatment of active psoriatic arthritis in adult patients who have responded inadequately, or who are intolerant, to previous DMARD therapy.</w:t>
      </w:r>
    </w:p>
    <w:p w14:paraId="796E35A6" w14:textId="1F73CAAD" w:rsidR="00753CF3" w:rsidRPr="00B52F71" w:rsidRDefault="00753CF3" w:rsidP="00753CF3">
      <w:pPr>
        <w:ind w:left="720"/>
        <w:rPr>
          <w:rFonts w:cs="Cambria"/>
          <w:i/>
        </w:rPr>
      </w:pPr>
      <w:r w:rsidRPr="00B52F71">
        <w:rPr>
          <w:rFonts w:cs="Cambria"/>
          <w:i/>
        </w:rPr>
        <w:t>T</w:t>
      </w:r>
      <w:r w:rsidR="00300374" w:rsidRPr="00B52F71">
        <w:rPr>
          <w:rFonts w:cs="Cambria"/>
          <w:i/>
        </w:rPr>
        <w:t>altz</w:t>
      </w:r>
      <w:r w:rsidRPr="00B52F71">
        <w:rPr>
          <w:rFonts w:cs="Cambria"/>
          <w:i/>
        </w:rPr>
        <w:t xml:space="preserve"> may be used as monotherapy or in combination with a conventional DMARD (e.g.</w:t>
      </w:r>
      <w:r w:rsidR="004746BF">
        <w:rPr>
          <w:rFonts w:cs="Cambria"/>
          <w:i/>
        </w:rPr>
        <w:t xml:space="preserve"> </w:t>
      </w:r>
      <w:r w:rsidRPr="00B52F71">
        <w:rPr>
          <w:rFonts w:cs="Cambria"/>
          <w:i/>
        </w:rPr>
        <w:t>methotrexate).</w:t>
      </w:r>
    </w:p>
    <w:p w14:paraId="48770F5F" w14:textId="02497A0C" w:rsidR="007F1AEC" w:rsidRPr="00B52F71" w:rsidRDefault="00B06462" w:rsidP="007F1AEC">
      <w:r w:rsidRPr="00B52F71">
        <w:t>At the time the TGA considered this application, Taltz was registered for treatment of Ps and PsA in the European Union (EU), the United States of America (US</w:t>
      </w:r>
      <w:r w:rsidR="00F767AE" w:rsidRPr="00B52F71">
        <w:t>A</w:t>
      </w:r>
      <w:r w:rsidRPr="00B52F71">
        <w:t>), Canada, Switzerland, Singapore, Japan and Taiwan. Additionally, Taltz was registered for treatment of pustular psoriasis and erythrodermic psoriasis in Japan.</w:t>
      </w:r>
    </w:p>
    <w:p w14:paraId="6E3E2EE8" w14:textId="1D13A51D" w:rsidR="007F1AEC" w:rsidRDefault="007F1AEC" w:rsidP="007F1AEC">
      <w:r w:rsidRPr="00B52F71">
        <w:t xml:space="preserve">Taltz was approved for treatment of active AS in adults </w:t>
      </w:r>
      <w:r w:rsidR="009B63AA" w:rsidRPr="00B52F71">
        <w:t xml:space="preserve">in </w:t>
      </w:r>
      <w:r w:rsidR="00D44E76">
        <w:t xml:space="preserve">the </w:t>
      </w:r>
      <w:r w:rsidR="009B63AA" w:rsidRPr="00B52F71">
        <w:t>US</w:t>
      </w:r>
      <w:r w:rsidR="00F767AE" w:rsidRPr="00B52F71">
        <w:t>A</w:t>
      </w:r>
      <w:r w:rsidRPr="00B52F71">
        <w:t xml:space="preserve"> on 23 August 2019</w:t>
      </w:r>
      <w:r w:rsidR="00F4750A">
        <w:t xml:space="preserve"> (indications shown below)</w:t>
      </w:r>
      <w:r w:rsidR="00630159">
        <w:t>, and was</w:t>
      </w:r>
      <w:r w:rsidRPr="00B52F71">
        <w:t xml:space="preserve"> under review for </w:t>
      </w:r>
      <w:r w:rsidR="0050034F">
        <w:t xml:space="preserve">treatment of </w:t>
      </w:r>
      <w:r w:rsidRPr="00B52F71">
        <w:t xml:space="preserve">nr-axSpA. </w:t>
      </w:r>
      <w:r w:rsidR="00630159" w:rsidRPr="00B52F71">
        <w:t>At the time the TGA considered this application</w:t>
      </w:r>
      <w:r w:rsidR="00630159">
        <w:t>, Taltz was</w:t>
      </w:r>
      <w:r w:rsidRPr="00B52F71">
        <w:t xml:space="preserve"> under review for </w:t>
      </w:r>
      <w:r w:rsidR="0050034F">
        <w:t xml:space="preserve">treatment of </w:t>
      </w:r>
      <w:r w:rsidRPr="00B52F71">
        <w:t xml:space="preserve">AS in Canada, Japan and Taiwan and under review for </w:t>
      </w:r>
      <w:r w:rsidR="0050034F">
        <w:t>treatment of</w:t>
      </w:r>
      <w:r w:rsidRPr="00B52F71">
        <w:t xml:space="preserve"> AS and nr-axSpA in t</w:t>
      </w:r>
      <w:r w:rsidR="00064CD5" w:rsidRPr="00B52F71">
        <w:t>he EU and</w:t>
      </w:r>
      <w:r w:rsidR="00064CD5">
        <w:t xml:space="preserve"> Switzerland</w:t>
      </w:r>
      <w:r w:rsidR="009B63AA">
        <w:t>.</w:t>
      </w:r>
    </w:p>
    <w:p w14:paraId="58930D22" w14:textId="092C37E1" w:rsidR="00F4750A" w:rsidRDefault="00873D6F" w:rsidP="007F1AEC">
      <w:r>
        <w:t>The i</w:t>
      </w:r>
      <w:r w:rsidR="00F4750A">
        <w:t xml:space="preserve">ndication approved in the USA for </w:t>
      </w:r>
      <w:r>
        <w:t xml:space="preserve">the treatment of </w:t>
      </w:r>
      <w:r w:rsidR="00F4750A">
        <w:t>AS</w:t>
      </w:r>
      <w:r>
        <w:t xml:space="preserve"> is as follows</w:t>
      </w:r>
      <w:r w:rsidR="00F4750A">
        <w:t>:</w:t>
      </w:r>
    </w:p>
    <w:p w14:paraId="6C96E1E1" w14:textId="0FC88AF6" w:rsidR="00F4750A" w:rsidRPr="00204636" w:rsidRDefault="00F4750A" w:rsidP="00204636">
      <w:pPr>
        <w:ind w:left="720"/>
        <w:rPr>
          <w:i/>
        </w:rPr>
      </w:pPr>
      <w:r w:rsidRPr="00204636">
        <w:rPr>
          <w:i/>
        </w:rPr>
        <w:t>Taltz is indicated for the treatment of adult patients with active ankylosing spondylitis.</w:t>
      </w:r>
    </w:p>
    <w:p w14:paraId="481B4AD2" w14:textId="77777777" w:rsidR="008E7846" w:rsidRDefault="008E7846" w:rsidP="00940A89">
      <w:pPr>
        <w:pStyle w:val="Heading3"/>
      </w:pPr>
      <w:bookmarkStart w:id="21" w:name="_Toc41551344"/>
      <w:r>
        <w:t>Product Information</w:t>
      </w:r>
      <w:bookmarkEnd w:id="19"/>
      <w:bookmarkEnd w:id="20"/>
      <w:bookmarkEnd w:id="21"/>
    </w:p>
    <w:p w14:paraId="5A123FE4" w14:textId="05D434AA" w:rsidR="00940A89" w:rsidRDefault="00E9503A" w:rsidP="00940A89">
      <w:bookmarkStart w:id="22" w:name="_Toc247691506"/>
      <w:bookmarkStart w:id="23" w:name="_Toc314842487"/>
      <w:r>
        <w:t>The PI</w:t>
      </w:r>
      <w:r w:rsidR="006136D7" w:rsidRPr="00940A89">
        <w:t xml:space="preserve"> </w:t>
      </w:r>
      <w:r w:rsidR="006136D7">
        <w:t xml:space="preserve">approved with the submission which is described in </w:t>
      </w:r>
      <w:r w:rsidR="006136D7" w:rsidRPr="00940A89">
        <w:t xml:space="preserve">this AusPAR can be found as Attachment 1. For the most recent </w:t>
      </w:r>
      <w:r w:rsidR="006136D7">
        <w:t>PI,</w:t>
      </w:r>
      <w:r w:rsidR="006136D7" w:rsidRPr="00940A89">
        <w:t xml:space="preserve"> ple</w:t>
      </w:r>
      <w:r w:rsidR="006136D7">
        <w:t>ase refer to the TGA website</w:t>
      </w:r>
      <w:r w:rsidR="006136D7"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0929F35C" w14:textId="7696CF6F" w:rsidR="00500337" w:rsidRDefault="009023CC" w:rsidP="00500337">
      <w:pPr>
        <w:pStyle w:val="Heading2"/>
      </w:pPr>
      <w:bookmarkStart w:id="24" w:name="_Toc504480011"/>
      <w:bookmarkStart w:id="25" w:name="_Toc41551345"/>
      <w:r>
        <w:t>II. Registration time</w:t>
      </w:r>
      <w:r w:rsidR="00500337">
        <w:t>line</w:t>
      </w:r>
      <w:bookmarkEnd w:id="24"/>
      <w:bookmarkEnd w:id="25"/>
    </w:p>
    <w:p w14:paraId="2969C89F" w14:textId="00E0682B" w:rsidR="00500337" w:rsidRDefault="00500337" w:rsidP="00500337">
      <w:r>
        <w:t>The following table captures the key steps and dates for this application and which are detailed and discussed</w:t>
      </w:r>
      <w:r w:rsidR="009023CC">
        <w:t xml:space="preserve"> in this AusPAR</w:t>
      </w:r>
      <w:r>
        <w:t>.</w:t>
      </w:r>
    </w:p>
    <w:p w14:paraId="396E3993" w14:textId="48796E72" w:rsidR="006A58A8" w:rsidRPr="006A58A8" w:rsidRDefault="00A8521E" w:rsidP="00A8521E">
      <w:pPr>
        <w:pStyle w:val="TableTitle"/>
      </w:pPr>
      <w:r>
        <w:t xml:space="preserve">Table </w:t>
      </w:r>
      <w:fldSimple w:instr=" SEQ Table \* ARABIC ">
        <w:r>
          <w:rPr>
            <w:noProof/>
          </w:rPr>
          <w:t>1</w:t>
        </w:r>
      </w:fldSimple>
      <w:r>
        <w:t>:</w:t>
      </w:r>
      <w:r w:rsidR="006A58A8" w:rsidRPr="006A58A8">
        <w:t xml:space="preserve"> Timelin</w:t>
      </w:r>
      <w:r w:rsidR="00BA5129">
        <w:t>e for Submission PM-2018-05753-1-3</w:t>
      </w:r>
    </w:p>
    <w:tbl>
      <w:tblPr>
        <w:tblStyle w:val="TableTGAblue"/>
        <w:tblW w:w="0" w:type="auto"/>
        <w:tblLook w:val="04A0" w:firstRow="1" w:lastRow="0" w:firstColumn="1" w:lastColumn="0" w:noHBand="0" w:noVBand="1"/>
      </w:tblPr>
      <w:tblGrid>
        <w:gridCol w:w="4360"/>
        <w:gridCol w:w="4360"/>
      </w:tblGrid>
      <w:tr w:rsidR="00500337" w14:paraId="7EEB536F"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1ED3C7B8" w14:textId="77777777" w:rsidR="00500337" w:rsidRDefault="00500337" w:rsidP="009050AE">
            <w:pPr>
              <w:ind w:left="0" w:right="0"/>
            </w:pPr>
            <w:r>
              <w:t>Description</w:t>
            </w:r>
          </w:p>
        </w:tc>
        <w:tc>
          <w:tcPr>
            <w:tcW w:w="4360" w:type="dxa"/>
          </w:tcPr>
          <w:p w14:paraId="3DA1B00A" w14:textId="77777777" w:rsidR="00500337" w:rsidRDefault="00500337" w:rsidP="009050AE">
            <w:pPr>
              <w:ind w:left="0" w:right="0"/>
            </w:pPr>
            <w:r>
              <w:t>Date</w:t>
            </w:r>
          </w:p>
        </w:tc>
      </w:tr>
      <w:tr w:rsidR="00500337" w14:paraId="138FBDCE" w14:textId="77777777" w:rsidTr="00500337">
        <w:tc>
          <w:tcPr>
            <w:tcW w:w="4360" w:type="dxa"/>
          </w:tcPr>
          <w:p w14:paraId="24ECC76E" w14:textId="77777777" w:rsidR="00500337" w:rsidRDefault="00500337" w:rsidP="009050AE">
            <w:pPr>
              <w:ind w:left="0" w:right="0"/>
            </w:pPr>
            <w:r>
              <w:t>Submission dossier accepted and first round evaluation commenced</w:t>
            </w:r>
          </w:p>
        </w:tc>
        <w:tc>
          <w:tcPr>
            <w:tcW w:w="4360" w:type="dxa"/>
          </w:tcPr>
          <w:p w14:paraId="2AAB956A" w14:textId="0D0C617C" w:rsidR="00500337" w:rsidRDefault="004C1035" w:rsidP="009050AE">
            <w:pPr>
              <w:ind w:left="0" w:right="0"/>
            </w:pPr>
            <w:r>
              <w:t>1 April 2019</w:t>
            </w:r>
          </w:p>
        </w:tc>
      </w:tr>
      <w:tr w:rsidR="00500337" w14:paraId="4CC530F9" w14:textId="77777777" w:rsidTr="00500337">
        <w:tc>
          <w:tcPr>
            <w:tcW w:w="4360" w:type="dxa"/>
          </w:tcPr>
          <w:p w14:paraId="0C714774" w14:textId="77777777" w:rsidR="00500337" w:rsidRDefault="00500337" w:rsidP="009050AE">
            <w:pPr>
              <w:ind w:left="0" w:right="0"/>
            </w:pPr>
            <w:r>
              <w:t>First round evaluation completed</w:t>
            </w:r>
          </w:p>
        </w:tc>
        <w:tc>
          <w:tcPr>
            <w:tcW w:w="4360" w:type="dxa"/>
          </w:tcPr>
          <w:p w14:paraId="70CEE8C8" w14:textId="0946500E" w:rsidR="00500337" w:rsidRDefault="004C1035" w:rsidP="009050AE">
            <w:pPr>
              <w:ind w:left="0" w:right="0"/>
            </w:pPr>
            <w:r>
              <w:t>2 September 2019</w:t>
            </w:r>
          </w:p>
        </w:tc>
      </w:tr>
      <w:tr w:rsidR="00500337" w14:paraId="691B5ECD" w14:textId="77777777" w:rsidTr="00500337">
        <w:tc>
          <w:tcPr>
            <w:tcW w:w="4360" w:type="dxa"/>
          </w:tcPr>
          <w:p w14:paraId="43F4A516" w14:textId="77777777" w:rsidR="00500337" w:rsidRDefault="00500337" w:rsidP="009050AE">
            <w:pPr>
              <w:ind w:left="0" w:right="0"/>
            </w:pPr>
            <w:r>
              <w:t>Sponsor provides responses on questions raised in first round evaluation</w:t>
            </w:r>
          </w:p>
        </w:tc>
        <w:tc>
          <w:tcPr>
            <w:tcW w:w="4360" w:type="dxa"/>
          </w:tcPr>
          <w:p w14:paraId="1B6E14A9" w14:textId="053C85C0" w:rsidR="00500337" w:rsidRDefault="004C1035" w:rsidP="009050AE">
            <w:pPr>
              <w:ind w:left="0" w:right="0"/>
            </w:pPr>
            <w:r>
              <w:t>30 October 2019</w:t>
            </w:r>
          </w:p>
        </w:tc>
      </w:tr>
      <w:tr w:rsidR="00500337" w14:paraId="4D4C3FE4" w14:textId="77777777" w:rsidTr="00500337">
        <w:tc>
          <w:tcPr>
            <w:tcW w:w="4360" w:type="dxa"/>
          </w:tcPr>
          <w:p w14:paraId="5A10BC48" w14:textId="77777777" w:rsidR="00500337" w:rsidRDefault="00500337" w:rsidP="009050AE">
            <w:pPr>
              <w:ind w:left="0" w:right="0"/>
            </w:pPr>
            <w:r>
              <w:lastRenderedPageBreak/>
              <w:t>Second round evaluation completed</w:t>
            </w:r>
          </w:p>
        </w:tc>
        <w:tc>
          <w:tcPr>
            <w:tcW w:w="4360" w:type="dxa"/>
          </w:tcPr>
          <w:p w14:paraId="4F13FFE1" w14:textId="661F4A38" w:rsidR="00500337" w:rsidRDefault="004C1035" w:rsidP="009050AE">
            <w:pPr>
              <w:ind w:left="0" w:right="0"/>
            </w:pPr>
            <w:r>
              <w:t>19 December 2019</w:t>
            </w:r>
          </w:p>
        </w:tc>
      </w:tr>
      <w:tr w:rsidR="00500337" w14:paraId="19BD311D" w14:textId="77777777" w:rsidTr="00500337">
        <w:tc>
          <w:tcPr>
            <w:tcW w:w="4360" w:type="dxa"/>
          </w:tcPr>
          <w:p w14:paraId="013BEFEA" w14:textId="77777777" w:rsidR="00500337" w:rsidRDefault="00500337" w:rsidP="009050AE">
            <w:pPr>
              <w:ind w:left="0" w:right="0"/>
            </w:pPr>
            <w:r>
              <w:t>Delegate’s Overall benefit-risk assessment and request for Advisory Committee advice</w:t>
            </w:r>
          </w:p>
        </w:tc>
        <w:tc>
          <w:tcPr>
            <w:tcW w:w="4360" w:type="dxa"/>
          </w:tcPr>
          <w:p w14:paraId="736F8E90" w14:textId="2E93584A" w:rsidR="00500337" w:rsidRDefault="00F30F23" w:rsidP="009050AE">
            <w:pPr>
              <w:ind w:left="0" w:right="0"/>
            </w:pPr>
            <w:r>
              <w:t>18 December 2019</w:t>
            </w:r>
          </w:p>
        </w:tc>
      </w:tr>
      <w:tr w:rsidR="00500337" w14:paraId="41BFDF13" w14:textId="77777777" w:rsidTr="00500337">
        <w:tc>
          <w:tcPr>
            <w:tcW w:w="4360" w:type="dxa"/>
          </w:tcPr>
          <w:p w14:paraId="0A11DBDD" w14:textId="77777777" w:rsidR="00500337" w:rsidRDefault="00500337" w:rsidP="009050AE">
            <w:pPr>
              <w:ind w:left="0" w:right="0"/>
            </w:pPr>
            <w:r>
              <w:t>Sponsor’s pre-Advisory Committee response</w:t>
            </w:r>
          </w:p>
        </w:tc>
        <w:tc>
          <w:tcPr>
            <w:tcW w:w="4360" w:type="dxa"/>
          </w:tcPr>
          <w:p w14:paraId="6A2C54D8" w14:textId="2DEE0BF2" w:rsidR="00500337" w:rsidRDefault="00F30F23" w:rsidP="009050AE">
            <w:pPr>
              <w:ind w:left="0" w:right="0"/>
            </w:pPr>
            <w:r>
              <w:t>15 January 2020</w:t>
            </w:r>
          </w:p>
        </w:tc>
      </w:tr>
      <w:tr w:rsidR="00500337" w14:paraId="4D77FF4D" w14:textId="77777777" w:rsidTr="00500337">
        <w:tc>
          <w:tcPr>
            <w:tcW w:w="4360" w:type="dxa"/>
          </w:tcPr>
          <w:p w14:paraId="78DDB85C" w14:textId="77777777" w:rsidR="00500337" w:rsidRDefault="00500337" w:rsidP="009050AE">
            <w:pPr>
              <w:ind w:left="0" w:right="0"/>
            </w:pPr>
            <w:r>
              <w:t>Advisory Committee meeting</w:t>
            </w:r>
          </w:p>
        </w:tc>
        <w:tc>
          <w:tcPr>
            <w:tcW w:w="4360" w:type="dxa"/>
          </w:tcPr>
          <w:p w14:paraId="6CF6A72B" w14:textId="7331D86E" w:rsidR="00500337" w:rsidRDefault="00F30F23" w:rsidP="009050AE">
            <w:pPr>
              <w:ind w:left="0" w:right="0"/>
            </w:pPr>
            <w:r>
              <w:t>7 February 2020</w:t>
            </w:r>
          </w:p>
        </w:tc>
      </w:tr>
      <w:tr w:rsidR="00500337" w14:paraId="30C69DB9" w14:textId="77777777" w:rsidTr="00500337">
        <w:tc>
          <w:tcPr>
            <w:tcW w:w="4360" w:type="dxa"/>
          </w:tcPr>
          <w:p w14:paraId="0F8A0F5B" w14:textId="77777777" w:rsidR="00500337" w:rsidRDefault="00500337" w:rsidP="009050AE">
            <w:pPr>
              <w:ind w:left="0" w:right="0"/>
            </w:pPr>
            <w:r>
              <w:t>Registration decision (Outcome)</w:t>
            </w:r>
          </w:p>
        </w:tc>
        <w:tc>
          <w:tcPr>
            <w:tcW w:w="4360" w:type="dxa"/>
          </w:tcPr>
          <w:p w14:paraId="3E7BDC7E" w14:textId="5638C247" w:rsidR="00500337" w:rsidRDefault="004C1035" w:rsidP="009050AE">
            <w:pPr>
              <w:ind w:left="0" w:right="0"/>
            </w:pPr>
            <w:r>
              <w:t>6 March 2020</w:t>
            </w:r>
          </w:p>
        </w:tc>
      </w:tr>
      <w:tr w:rsidR="00500337" w14:paraId="4C0ECEE7" w14:textId="77777777" w:rsidTr="00500337">
        <w:tc>
          <w:tcPr>
            <w:tcW w:w="4360" w:type="dxa"/>
          </w:tcPr>
          <w:p w14:paraId="4E9D94C7" w14:textId="77777777" w:rsidR="00500337" w:rsidRDefault="00500337" w:rsidP="009050AE">
            <w:pPr>
              <w:ind w:left="0" w:right="0"/>
            </w:pPr>
            <w:r>
              <w:t>Completion of administrative activities and registration on ARTG</w:t>
            </w:r>
          </w:p>
        </w:tc>
        <w:tc>
          <w:tcPr>
            <w:tcW w:w="4360" w:type="dxa"/>
          </w:tcPr>
          <w:p w14:paraId="0E617694" w14:textId="0F68E84D" w:rsidR="00500337" w:rsidRDefault="00363AEF" w:rsidP="009050AE">
            <w:pPr>
              <w:ind w:left="0" w:right="0"/>
            </w:pPr>
            <w:r>
              <w:t>11 March 2020</w:t>
            </w:r>
          </w:p>
        </w:tc>
      </w:tr>
      <w:tr w:rsidR="00500337" w14:paraId="1146E258" w14:textId="77777777" w:rsidTr="00500337">
        <w:tc>
          <w:tcPr>
            <w:tcW w:w="4360" w:type="dxa"/>
          </w:tcPr>
          <w:p w14:paraId="6F24442A" w14:textId="77777777" w:rsidR="00500337" w:rsidRDefault="00500337" w:rsidP="009050AE">
            <w:pPr>
              <w:ind w:left="0" w:right="0"/>
            </w:pPr>
            <w:r>
              <w:t>Number of working days from submission dossier acceptance to registration decision*</w:t>
            </w:r>
          </w:p>
        </w:tc>
        <w:tc>
          <w:tcPr>
            <w:tcW w:w="4360" w:type="dxa"/>
          </w:tcPr>
          <w:p w14:paraId="5D57EDB3" w14:textId="19B5832C" w:rsidR="00500337" w:rsidRDefault="004C1035" w:rsidP="009050AE">
            <w:pPr>
              <w:ind w:left="0" w:right="0"/>
            </w:pPr>
            <w:r>
              <w:t>159</w:t>
            </w:r>
          </w:p>
        </w:tc>
      </w:tr>
    </w:tbl>
    <w:p w14:paraId="6765F62D"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45075D03" w14:textId="66701CEE" w:rsidR="008E7846" w:rsidRPr="00792A32" w:rsidRDefault="00456765" w:rsidP="008E7846">
      <w:pPr>
        <w:pStyle w:val="Heading2"/>
      </w:pPr>
      <w:bookmarkStart w:id="26" w:name="_Toc196046504"/>
      <w:bookmarkStart w:id="27" w:name="_Toc247691527"/>
      <w:bookmarkStart w:id="28" w:name="_Toc314842510"/>
      <w:bookmarkStart w:id="29" w:name="_Toc41551346"/>
      <w:bookmarkStart w:id="30" w:name="_Toc163441390"/>
      <w:bookmarkEnd w:id="22"/>
      <w:bookmarkEnd w:id="23"/>
      <w:bookmarkEnd w:id="2"/>
      <w:r>
        <w:t>I</w:t>
      </w:r>
      <w:r w:rsidR="00DA64CB">
        <w:t>I</w:t>
      </w:r>
      <w:r w:rsidR="008E7846">
        <w:t xml:space="preserve">I. </w:t>
      </w:r>
      <w:r w:rsidR="00FC0AF7">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46881F12" w14:textId="52134F9E"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t>s</w:t>
      </w:r>
      <w:r w:rsidR="003A125E">
        <w:t>.</w:t>
      </w:r>
    </w:p>
    <w:p w14:paraId="6F1CCD5A" w14:textId="77777777" w:rsidR="008E7846" w:rsidRDefault="008E7846" w:rsidP="008E7846">
      <w:pPr>
        <w:pStyle w:val="Heading3"/>
      </w:pPr>
      <w:bookmarkStart w:id="32" w:name="_Toc314842511"/>
      <w:bookmarkStart w:id="33" w:name="_Toc41551347"/>
      <w:r>
        <w:t>Quality</w:t>
      </w:r>
      <w:bookmarkEnd w:id="31"/>
      <w:bookmarkEnd w:id="32"/>
      <w:bookmarkEnd w:id="33"/>
    </w:p>
    <w:p w14:paraId="23AA7AE5" w14:textId="41C985CF" w:rsidR="00E45619" w:rsidRDefault="008E7846" w:rsidP="003A7F6C">
      <w:r>
        <w:t>There was no requirement for a quality evaluati</w:t>
      </w:r>
      <w:r w:rsidR="00781282">
        <w:t>on in a submission of this type.</w:t>
      </w:r>
    </w:p>
    <w:p w14:paraId="5E3956D1" w14:textId="77777777" w:rsidR="008E7846" w:rsidRDefault="008E7846" w:rsidP="008E7846">
      <w:pPr>
        <w:pStyle w:val="Heading3"/>
      </w:pPr>
      <w:bookmarkStart w:id="34" w:name="_Toc314842512"/>
      <w:bookmarkStart w:id="35" w:name="_Toc41551348"/>
      <w:r>
        <w:t>Nonclinical</w:t>
      </w:r>
      <w:bookmarkEnd w:id="34"/>
      <w:bookmarkEnd w:id="35"/>
    </w:p>
    <w:p w14:paraId="728B2558" w14:textId="77777777" w:rsidR="008E7846" w:rsidRDefault="008E7846" w:rsidP="008E7846">
      <w:r>
        <w:t>There was no requirement for a nonclinical evaluation in a submission of this type.</w:t>
      </w:r>
    </w:p>
    <w:p w14:paraId="5F248C0B" w14:textId="77777777" w:rsidR="008E7846" w:rsidRDefault="008E7846" w:rsidP="008E7846">
      <w:pPr>
        <w:pStyle w:val="Heading3"/>
      </w:pPr>
      <w:bookmarkStart w:id="36" w:name="_Toc247691530"/>
      <w:bookmarkStart w:id="37" w:name="_Toc314842513"/>
      <w:bookmarkStart w:id="38" w:name="_Toc41551349"/>
      <w:r>
        <w:t>Clinical</w:t>
      </w:r>
      <w:bookmarkEnd w:id="36"/>
      <w:bookmarkEnd w:id="37"/>
      <w:bookmarkEnd w:id="38"/>
    </w:p>
    <w:p w14:paraId="784D98F3" w14:textId="22D7D7A6" w:rsidR="000461E7" w:rsidRDefault="000461E7" w:rsidP="000461E7">
      <w:bookmarkStart w:id="39" w:name="_Toc314842514"/>
      <w:r>
        <w:t>The clinic</w:t>
      </w:r>
      <w:r w:rsidR="007946C2">
        <w:t>al dossier contained two P</w:t>
      </w:r>
      <w:r w:rsidR="009023CC">
        <w:t>hase III</w:t>
      </w:r>
      <w:r w:rsidR="00B52F71">
        <w:t xml:space="preserve"> efficacy and safety s</w:t>
      </w:r>
      <w:r w:rsidR="00FE2CA1">
        <w:t>tudies:</w:t>
      </w:r>
    </w:p>
    <w:p w14:paraId="53F187A8" w14:textId="47428355" w:rsidR="000461E7" w:rsidRPr="00FE2CA1" w:rsidRDefault="00954C4B" w:rsidP="00FE2CA1">
      <w:pPr>
        <w:pStyle w:val="ListBullet"/>
      </w:pPr>
      <w:r>
        <w:t xml:space="preserve">Study </w:t>
      </w:r>
      <w:r w:rsidR="000461E7" w:rsidRPr="00FE2CA1">
        <w:t>I1F-MC-RHBV (COAST-V</w:t>
      </w:r>
      <w:r w:rsidR="003A125E">
        <w:t xml:space="preserve"> trial</w:t>
      </w:r>
      <w:r w:rsidR="000461E7" w:rsidRPr="00FE2CA1">
        <w:t>) was a multicentre, randomised, double-blind active and placebo-controlled 16</w:t>
      </w:r>
      <w:r w:rsidR="003A125E">
        <w:t xml:space="preserve"> </w:t>
      </w:r>
      <w:r w:rsidR="000461E7" w:rsidRPr="00FE2CA1">
        <w:t xml:space="preserve">week study followed by long term evaluation of efficacy and safety of ixekizumab in bDMARD naïve patients with </w:t>
      </w:r>
      <w:r w:rsidR="00FE2CA1">
        <w:t>AS.</w:t>
      </w:r>
    </w:p>
    <w:p w14:paraId="73EE08BA" w14:textId="65EE6066" w:rsidR="000461E7" w:rsidRPr="00FE2CA1" w:rsidRDefault="00954C4B" w:rsidP="00FE2CA1">
      <w:pPr>
        <w:pStyle w:val="ListBullet"/>
      </w:pPr>
      <w:r>
        <w:t xml:space="preserve">Study </w:t>
      </w:r>
      <w:r w:rsidR="000461E7" w:rsidRPr="00FE2CA1">
        <w:t>I1F-MC-RHBW (COAST-W</w:t>
      </w:r>
      <w:r w:rsidR="003A125E">
        <w:t xml:space="preserve"> trial</w:t>
      </w:r>
      <w:r w:rsidR="000461E7" w:rsidRPr="00FE2CA1">
        <w:t>) was a multicentre, randomised, dou</w:t>
      </w:r>
      <w:r w:rsidR="00112A6D">
        <w:t xml:space="preserve">ble-blind placebo-controlled 16 </w:t>
      </w:r>
      <w:r w:rsidR="000461E7" w:rsidRPr="00FE2CA1">
        <w:t xml:space="preserve">week study followed by long term evaluation of efficacy and safety of ixekizumab in TNFi-experienced patients with </w:t>
      </w:r>
      <w:r w:rsidR="00FE2CA1">
        <w:t>AS</w:t>
      </w:r>
      <w:r w:rsidR="000461E7" w:rsidRPr="00FE2CA1">
        <w:t>.</w:t>
      </w:r>
    </w:p>
    <w:p w14:paraId="0DD1B977" w14:textId="264FF3F6" w:rsidR="000461E7" w:rsidRDefault="007946C2" w:rsidP="000461E7">
      <w:r>
        <w:t>The s</w:t>
      </w:r>
      <w:r w:rsidR="000461E7">
        <w:t>upporting data included</w:t>
      </w:r>
      <w:r w:rsidR="00FE2CA1">
        <w:t>:</w:t>
      </w:r>
    </w:p>
    <w:p w14:paraId="20EC1ADD" w14:textId="2699BD19" w:rsidR="00FE2CA1" w:rsidRDefault="00112A6D" w:rsidP="00FE2CA1">
      <w:pPr>
        <w:pStyle w:val="ListBullet"/>
      </w:pPr>
      <w:r>
        <w:t>Pharmacometric modelling that:</w:t>
      </w:r>
    </w:p>
    <w:p w14:paraId="506CE54F" w14:textId="08EAC4AE" w:rsidR="00FE2CA1" w:rsidRDefault="000461E7" w:rsidP="00FE2CA1">
      <w:pPr>
        <w:pStyle w:val="ListBullet2"/>
      </w:pPr>
      <w:r>
        <w:t xml:space="preserve">compared </w:t>
      </w:r>
      <w:r w:rsidR="007946C2">
        <w:t>pharmacokinetics (</w:t>
      </w:r>
      <w:r>
        <w:t>PK</w:t>
      </w:r>
      <w:r w:rsidR="007946C2">
        <w:t>)</w:t>
      </w:r>
      <w:r>
        <w:t xml:space="preserve"> parameters in bDMARD naïve patients and TNFi-experienced patients with AS to previously established PK characteristics i</w:t>
      </w:r>
      <w:r w:rsidR="00FE2CA1">
        <w:t>n patients with Ps and PsA;</w:t>
      </w:r>
    </w:p>
    <w:p w14:paraId="50E06CB7" w14:textId="2EBBA3F2" w:rsidR="00FE2CA1" w:rsidRDefault="000461E7" w:rsidP="00FE2CA1">
      <w:pPr>
        <w:pStyle w:val="ListBullet2"/>
      </w:pPr>
      <w:r>
        <w:lastRenderedPageBreak/>
        <w:t>used two different exposure-response models to examine the relationship between efficacy as determined by Assessment of Spondyloarthritis International Society 20 (ASAS 20) and ASAS 40 responses</w:t>
      </w:r>
      <w:r w:rsidR="00A20CAA">
        <w:t>;</w:t>
      </w:r>
      <w:r w:rsidR="00A20CAA">
        <w:rPr>
          <w:rStyle w:val="FootnoteReference"/>
        </w:rPr>
        <w:footnoteReference w:id="4"/>
      </w:r>
      <w:r>
        <w:t xml:space="preserve"> and blood ixeki</w:t>
      </w:r>
      <w:r w:rsidR="00FE2CA1">
        <w:t>zumab concentrations;</w:t>
      </w:r>
    </w:p>
    <w:p w14:paraId="2CF12776" w14:textId="5B1DA2FC" w:rsidR="00FE2CA1" w:rsidRDefault="000461E7" w:rsidP="00FE2CA1">
      <w:pPr>
        <w:pStyle w:val="ListBullet2"/>
      </w:pPr>
      <w:r>
        <w:t>considered the impact of 80</w:t>
      </w:r>
      <w:r w:rsidR="00112A6D">
        <w:t xml:space="preserve"> </w:t>
      </w:r>
      <w:r>
        <w:t>mg every two weeks (Q2W) and 80</w:t>
      </w:r>
      <w:r w:rsidR="00112A6D">
        <w:t xml:space="preserve"> </w:t>
      </w:r>
      <w:r>
        <w:t>mg every four weeks (Q4W) on the exposure-response profile</w:t>
      </w:r>
      <w:r w:rsidR="00FE2CA1">
        <w:t>;</w:t>
      </w:r>
      <w:r>
        <w:t xml:space="preserve"> and</w:t>
      </w:r>
    </w:p>
    <w:p w14:paraId="41C4C14E" w14:textId="5A06EA19" w:rsidR="000461E7" w:rsidRDefault="000461E7" w:rsidP="00FE2CA1">
      <w:pPr>
        <w:pStyle w:val="ListBullet2"/>
      </w:pPr>
      <w:r>
        <w:t>considered the impact of a 160</w:t>
      </w:r>
      <w:r w:rsidR="00112A6D">
        <w:t xml:space="preserve"> mg loading dose versus</w:t>
      </w:r>
      <w:r>
        <w:t xml:space="preserve"> an 80</w:t>
      </w:r>
      <w:r w:rsidR="00112A6D">
        <w:t xml:space="preserve"> </w:t>
      </w:r>
      <w:r>
        <w:t>mg loading dose on the exposure-response profile.</w:t>
      </w:r>
    </w:p>
    <w:p w14:paraId="34389438" w14:textId="2D31054F" w:rsidR="000461E7" w:rsidRDefault="00112A6D" w:rsidP="00FE2CA1">
      <w:pPr>
        <w:pStyle w:val="ListBullet"/>
      </w:pPr>
      <w:r>
        <w:t>A</w:t>
      </w:r>
      <w:r w:rsidR="000461E7">
        <w:t xml:space="preserve"> study in patients with rheumatoid arthritis </w:t>
      </w:r>
      <w:r w:rsidR="00720C04">
        <w:t xml:space="preserve">(RA) </w:t>
      </w:r>
      <w:r w:rsidR="000461E7">
        <w:t>evaluated for safety only</w:t>
      </w:r>
      <w:r w:rsidR="00113248">
        <w:t>.</w:t>
      </w:r>
    </w:p>
    <w:p w14:paraId="799AFBBC" w14:textId="77777777" w:rsidR="000461E7" w:rsidRDefault="000461E7" w:rsidP="00112A6D">
      <w:pPr>
        <w:pStyle w:val="Heading4"/>
      </w:pPr>
      <w:r w:rsidRPr="00112A6D">
        <w:t>Pharmacology</w:t>
      </w:r>
    </w:p>
    <w:p w14:paraId="49B861DE" w14:textId="48E23F9D" w:rsidR="000461E7" w:rsidRPr="009D7DD9" w:rsidRDefault="00F03B11" w:rsidP="000461E7">
      <w:r>
        <w:t>The PK</w:t>
      </w:r>
      <w:r w:rsidR="000461E7">
        <w:t xml:space="preserve"> characteristics of ixekizumab in adult patients with Ps and PsA were established in prior submissions. The population </w:t>
      </w:r>
      <w:r w:rsidR="00873D6F">
        <w:t>pharmacokinetic</w:t>
      </w:r>
      <w:r w:rsidR="000461E7">
        <w:t xml:space="preserve"> </w:t>
      </w:r>
      <w:r w:rsidR="007946C2">
        <w:t xml:space="preserve">(PopPK) </w:t>
      </w:r>
      <w:r w:rsidR="000461E7">
        <w:t>data included in this submission consisted of measurements tak</w:t>
      </w:r>
      <w:r w:rsidR="002D049F">
        <w:t>en during the first 16 weeks of</w:t>
      </w:r>
      <w:r w:rsidR="00DA3A6A">
        <w:t xml:space="preserve"> treatment </w:t>
      </w:r>
      <w:r w:rsidR="00A20CAA">
        <w:t>(double-blinded, placebo</w:t>
      </w:r>
      <w:r w:rsidR="005C001E">
        <w:noBreakHyphen/>
      </w:r>
      <w:r w:rsidR="00A20CAA">
        <w:t xml:space="preserve">controlled) </w:t>
      </w:r>
      <w:r w:rsidR="00DA3A6A">
        <w:t>in the two Phase III</w:t>
      </w:r>
      <w:r w:rsidR="000461E7">
        <w:t xml:space="preserve"> clinical studies. The data analysis was conducted after the two efficacy studies were completed. The results were provided in the dossier to support using the dose regimen established previously in Ps and PsA for patients with AS.</w:t>
      </w:r>
    </w:p>
    <w:p w14:paraId="418F642E" w14:textId="75E1D13A" w:rsidR="000461E7" w:rsidRDefault="000461E7" w:rsidP="000461E7">
      <w:r>
        <w:t xml:space="preserve">The </w:t>
      </w:r>
      <w:r>
        <w:rPr>
          <w:i/>
        </w:rPr>
        <w:t xml:space="preserve">post hoc </w:t>
      </w:r>
      <w:r>
        <w:t>estimates (geometric mean, (</w:t>
      </w:r>
      <w:r w:rsidR="00112A6D">
        <w:t>coefficient of variation (</w:t>
      </w:r>
      <w:r>
        <w:t>CV</w:t>
      </w:r>
      <w:r w:rsidR="00112A6D">
        <w:t>)</w:t>
      </w:r>
      <w:r>
        <w:t>%)) of ixekizumab clearance (CL), steady state volume of distribution (V</w:t>
      </w:r>
      <w:r w:rsidRPr="00204636">
        <w:rPr>
          <w:vertAlign w:val="subscript"/>
        </w:rPr>
        <w:t>ss</w:t>
      </w:r>
      <w:r>
        <w:t>) and half-life (</w:t>
      </w:r>
      <w:r w:rsidRPr="00873D6F">
        <w:t>t</w:t>
      </w:r>
      <w:r>
        <w:rPr>
          <w:vertAlign w:val="subscript"/>
        </w:rPr>
        <w:t>1/2</w:t>
      </w:r>
      <w:r>
        <w:t>) in all patients treated with ixekizumab</w:t>
      </w:r>
      <w:r w:rsidR="0001622B">
        <w:t>;</w:t>
      </w:r>
      <w:r>
        <w:rPr>
          <w:rStyle w:val="FootnoteReference"/>
        </w:rPr>
        <w:footnoteReference w:id="5"/>
      </w:r>
      <w:r>
        <w:t xml:space="preserve"> were 0.0144 L/hr (38%), 6.13 L (19%) and approximately 12</w:t>
      </w:r>
      <w:r w:rsidR="00A20CAA">
        <w:t> </w:t>
      </w:r>
      <w:r>
        <w:t>days (36%), respectively. These estimates were consistent with estimates in the Ps and PsA models (</w:t>
      </w:r>
      <w:r w:rsidR="00B37592">
        <w:fldChar w:fldCharType="begin"/>
      </w:r>
      <w:r w:rsidR="00B37592">
        <w:instrText xml:space="preserve"> REF _Ref26527169 \h </w:instrText>
      </w:r>
      <w:r w:rsidR="00B37592">
        <w:fldChar w:fldCharType="separate"/>
      </w:r>
      <w:r w:rsidR="00B37592">
        <w:t xml:space="preserve">Table </w:t>
      </w:r>
      <w:r w:rsidR="00B37592">
        <w:rPr>
          <w:noProof/>
        </w:rPr>
        <w:t>2</w:t>
      </w:r>
      <w:r w:rsidR="00B37592">
        <w:fldChar w:fldCharType="end"/>
      </w:r>
      <w:r>
        <w:t>).</w:t>
      </w:r>
    </w:p>
    <w:p w14:paraId="35030D15" w14:textId="53729E37" w:rsidR="000461E7" w:rsidRDefault="000461E7" w:rsidP="00CB7322">
      <w:pPr>
        <w:pStyle w:val="TableTitle"/>
        <w:pageBreakBefore/>
      </w:pPr>
      <w:bookmarkStart w:id="40" w:name="_Ref26527169"/>
      <w:r>
        <w:lastRenderedPageBreak/>
        <w:t xml:space="preserve">Table </w:t>
      </w:r>
      <w:fldSimple w:instr=" SEQ Table \* ARABIC ">
        <w:r w:rsidR="00A8521E">
          <w:rPr>
            <w:noProof/>
          </w:rPr>
          <w:t>2</w:t>
        </w:r>
      </w:fldSimple>
      <w:bookmarkEnd w:id="40"/>
      <w:r w:rsidR="00A8521E">
        <w:rPr>
          <w:noProof/>
        </w:rPr>
        <w:t xml:space="preserve">: </w:t>
      </w:r>
      <w:r w:rsidR="00A8521E">
        <w:t>PopPK</w:t>
      </w:r>
      <w:r w:rsidR="00873D6F">
        <w:t xml:space="preserve"> for Studies </w:t>
      </w:r>
      <w:r w:rsidR="00873D6F" w:rsidRPr="00FE2CA1">
        <w:t>I1F-MC-</w:t>
      </w:r>
      <w:r w:rsidR="00A8521E">
        <w:t>RHBV</w:t>
      </w:r>
      <w:r w:rsidR="00873D6F">
        <w:t xml:space="preserve"> and I1F-MC-</w:t>
      </w:r>
      <w:r w:rsidR="00A8521E">
        <w:t>RHBW</w:t>
      </w:r>
      <w:r w:rsidR="00873D6F">
        <w:t>;</w:t>
      </w:r>
      <w:r w:rsidR="00F4750A">
        <w:t xml:space="preserve"> c</w:t>
      </w:r>
      <w:r w:rsidR="00A8521E" w:rsidRPr="001B7343">
        <w:t xml:space="preserve">omparison of model-estimated ixekizumab </w:t>
      </w:r>
      <w:r w:rsidR="00A8521E">
        <w:t>PK p</w:t>
      </w:r>
      <w:r w:rsidR="00A8521E" w:rsidRPr="001B7343">
        <w:t>arameters between patients with radiographic axial</w:t>
      </w:r>
      <w:r w:rsidR="00A8521E">
        <w:t xml:space="preserve"> </w:t>
      </w:r>
      <w:r w:rsidR="00A8521E" w:rsidRPr="001B7343">
        <w:t>spondyloarthritis, psoriasis and psoriatic arthritis</w:t>
      </w:r>
    </w:p>
    <w:tbl>
      <w:tblPr>
        <w:tblStyle w:val="TableTGAblue"/>
        <w:tblW w:w="4939" w:type="pct"/>
        <w:tblLook w:val="0020" w:firstRow="1" w:lastRow="0" w:firstColumn="0" w:lastColumn="0" w:noHBand="0" w:noVBand="0"/>
      </w:tblPr>
      <w:tblGrid>
        <w:gridCol w:w="2132"/>
        <w:gridCol w:w="2164"/>
        <w:gridCol w:w="2450"/>
        <w:gridCol w:w="1868"/>
      </w:tblGrid>
      <w:tr w:rsidR="00785281" w:rsidRPr="005F7FF6" w14:paraId="7680995E" w14:textId="77777777" w:rsidTr="005F7FF6">
        <w:trPr>
          <w:cnfStyle w:val="100000000000" w:firstRow="1" w:lastRow="0" w:firstColumn="0" w:lastColumn="0" w:oddVBand="0" w:evenVBand="0" w:oddHBand="0" w:evenHBand="0" w:firstRowFirstColumn="0" w:firstRowLastColumn="0" w:lastRowFirstColumn="0" w:lastRowLastColumn="0"/>
          <w:trHeight w:hRule="exact" w:val="629"/>
        </w:trPr>
        <w:tc>
          <w:tcPr>
            <w:tcW w:w="1238" w:type="pct"/>
          </w:tcPr>
          <w:p w14:paraId="5119A656" w14:textId="699C5E9D" w:rsidR="00785281" w:rsidRPr="005F7FF6" w:rsidRDefault="00785281" w:rsidP="005F7FF6">
            <w:pPr>
              <w:ind w:left="0" w:right="0"/>
              <w:rPr>
                <w:sz w:val="20"/>
              </w:rPr>
            </w:pPr>
            <w:r w:rsidRPr="005F7FF6">
              <w:rPr>
                <w:sz w:val="20"/>
              </w:rPr>
              <w:t xml:space="preserve">PK </w:t>
            </w:r>
            <w:r w:rsidR="005C001E">
              <w:rPr>
                <w:sz w:val="20"/>
              </w:rPr>
              <w:t>p</w:t>
            </w:r>
            <w:r w:rsidRPr="005F7FF6">
              <w:rPr>
                <w:sz w:val="20"/>
              </w:rPr>
              <w:t>arameter</w:t>
            </w:r>
            <w:r w:rsidR="001F0FA0" w:rsidRPr="005F7FF6">
              <w:rPr>
                <w:sz w:val="20"/>
                <w:vertAlign w:val="superscript"/>
              </w:rPr>
              <w:t>a</w:t>
            </w:r>
          </w:p>
        </w:tc>
        <w:tc>
          <w:tcPr>
            <w:tcW w:w="1256" w:type="pct"/>
          </w:tcPr>
          <w:p w14:paraId="600F0490" w14:textId="4213D328" w:rsidR="00785281" w:rsidRPr="005F7FF6" w:rsidRDefault="00FB31A7" w:rsidP="005F7FF6">
            <w:pPr>
              <w:ind w:left="0" w:right="0"/>
              <w:rPr>
                <w:sz w:val="20"/>
              </w:rPr>
            </w:pPr>
            <w:r w:rsidRPr="005F7FF6">
              <w:rPr>
                <w:spacing w:val="1"/>
                <w:sz w:val="20"/>
              </w:rPr>
              <w:t>r</w:t>
            </w:r>
            <w:r w:rsidR="00785281" w:rsidRPr="005F7FF6">
              <w:rPr>
                <w:sz w:val="20"/>
              </w:rPr>
              <w:t xml:space="preserve">-axSpA PK </w:t>
            </w:r>
            <w:r w:rsidR="005C001E">
              <w:rPr>
                <w:sz w:val="20"/>
              </w:rPr>
              <w:t>a</w:t>
            </w:r>
            <w:r w:rsidR="00785281" w:rsidRPr="005F7FF6">
              <w:rPr>
                <w:sz w:val="20"/>
              </w:rPr>
              <w:t>nalysis</w:t>
            </w:r>
          </w:p>
        </w:tc>
        <w:tc>
          <w:tcPr>
            <w:tcW w:w="1422" w:type="pct"/>
          </w:tcPr>
          <w:p w14:paraId="3B2EE18D" w14:textId="691B8332" w:rsidR="00785281" w:rsidRPr="005F7FF6" w:rsidRDefault="00785281" w:rsidP="005F7FF6">
            <w:pPr>
              <w:ind w:left="0" w:right="0"/>
              <w:rPr>
                <w:b w:val="0"/>
                <w:sz w:val="20"/>
              </w:rPr>
            </w:pPr>
            <w:r w:rsidRPr="005F7FF6">
              <w:rPr>
                <w:sz w:val="20"/>
              </w:rPr>
              <w:t xml:space="preserve">Ps PK </w:t>
            </w:r>
            <w:r w:rsidR="005C001E">
              <w:rPr>
                <w:sz w:val="20"/>
              </w:rPr>
              <w:t>a</w:t>
            </w:r>
            <w:r w:rsidRPr="005F7FF6">
              <w:rPr>
                <w:sz w:val="20"/>
              </w:rPr>
              <w:t>nalysis</w:t>
            </w:r>
            <w:r w:rsidRPr="005F7FF6">
              <w:rPr>
                <w:sz w:val="20"/>
                <w:vertAlign w:val="superscript"/>
              </w:rPr>
              <w:t>b</w:t>
            </w:r>
          </w:p>
        </w:tc>
        <w:tc>
          <w:tcPr>
            <w:tcW w:w="1084" w:type="pct"/>
          </w:tcPr>
          <w:p w14:paraId="108FC4E1" w14:textId="73F64A1D" w:rsidR="00785281" w:rsidRPr="005F7FF6" w:rsidRDefault="00785281" w:rsidP="005F7FF6">
            <w:pPr>
              <w:ind w:left="0" w:right="0"/>
              <w:rPr>
                <w:b w:val="0"/>
                <w:sz w:val="20"/>
              </w:rPr>
            </w:pPr>
            <w:r w:rsidRPr="005F7FF6">
              <w:rPr>
                <w:sz w:val="20"/>
              </w:rPr>
              <w:t xml:space="preserve">PsA PK </w:t>
            </w:r>
            <w:r w:rsidR="005C001E">
              <w:rPr>
                <w:sz w:val="20"/>
              </w:rPr>
              <w:t>a</w:t>
            </w:r>
            <w:r w:rsidRPr="005F7FF6">
              <w:rPr>
                <w:sz w:val="20"/>
              </w:rPr>
              <w:t>nalysis</w:t>
            </w:r>
            <w:r w:rsidRPr="005F7FF6">
              <w:rPr>
                <w:sz w:val="20"/>
                <w:vertAlign w:val="superscript"/>
              </w:rPr>
              <w:t>c</w:t>
            </w:r>
          </w:p>
        </w:tc>
      </w:tr>
      <w:tr w:rsidR="00785281" w:rsidRPr="005F7FF6" w14:paraId="26955C4C" w14:textId="77777777" w:rsidTr="005F7FF6">
        <w:trPr>
          <w:trHeight w:hRule="exact" w:val="426"/>
        </w:trPr>
        <w:tc>
          <w:tcPr>
            <w:tcW w:w="1238" w:type="pct"/>
          </w:tcPr>
          <w:p w14:paraId="3E889CBD" w14:textId="6C19761D" w:rsidR="00785281" w:rsidRPr="005F7FF6" w:rsidRDefault="00785281" w:rsidP="005F7FF6">
            <w:pPr>
              <w:ind w:left="0" w:right="0"/>
              <w:rPr>
                <w:sz w:val="20"/>
              </w:rPr>
            </w:pPr>
            <w:r w:rsidRPr="005F7FF6">
              <w:rPr>
                <w:sz w:val="20"/>
              </w:rPr>
              <w:t>CL (L/hr)</w:t>
            </w:r>
          </w:p>
        </w:tc>
        <w:tc>
          <w:tcPr>
            <w:tcW w:w="1256" w:type="pct"/>
          </w:tcPr>
          <w:p w14:paraId="19F1E697" w14:textId="39068964" w:rsidR="00785281" w:rsidRPr="005F7FF6" w:rsidRDefault="00785281" w:rsidP="005F7FF6">
            <w:pPr>
              <w:ind w:left="0" w:right="0"/>
              <w:rPr>
                <w:sz w:val="20"/>
              </w:rPr>
            </w:pPr>
            <w:r w:rsidRPr="005F7FF6">
              <w:rPr>
                <w:sz w:val="20"/>
              </w:rPr>
              <w:t>0.0144 (38%)</w:t>
            </w:r>
          </w:p>
        </w:tc>
        <w:tc>
          <w:tcPr>
            <w:tcW w:w="1422" w:type="pct"/>
          </w:tcPr>
          <w:p w14:paraId="7027DFDB" w14:textId="660F743B" w:rsidR="00785281" w:rsidRPr="005F7FF6" w:rsidRDefault="00785281" w:rsidP="005F7FF6">
            <w:pPr>
              <w:ind w:left="0" w:right="0"/>
              <w:rPr>
                <w:sz w:val="20"/>
              </w:rPr>
            </w:pPr>
            <w:r w:rsidRPr="005F7FF6">
              <w:rPr>
                <w:sz w:val="20"/>
              </w:rPr>
              <w:t>0.0161 (37%)</w:t>
            </w:r>
          </w:p>
        </w:tc>
        <w:tc>
          <w:tcPr>
            <w:tcW w:w="1084" w:type="pct"/>
          </w:tcPr>
          <w:p w14:paraId="44C3CCD2" w14:textId="44772866" w:rsidR="00785281" w:rsidRPr="005F7FF6" w:rsidRDefault="00785281" w:rsidP="005F7FF6">
            <w:pPr>
              <w:ind w:left="0" w:right="0"/>
              <w:rPr>
                <w:sz w:val="20"/>
              </w:rPr>
            </w:pPr>
            <w:r w:rsidRPr="005F7FF6">
              <w:rPr>
                <w:sz w:val="20"/>
              </w:rPr>
              <w:t>0.0147 (33%)</w:t>
            </w:r>
          </w:p>
        </w:tc>
      </w:tr>
      <w:tr w:rsidR="00785281" w:rsidRPr="005F7FF6" w14:paraId="3EEEF1D3" w14:textId="77777777" w:rsidTr="005F7FF6">
        <w:trPr>
          <w:trHeight w:hRule="exact" w:val="431"/>
        </w:trPr>
        <w:tc>
          <w:tcPr>
            <w:tcW w:w="1238" w:type="pct"/>
          </w:tcPr>
          <w:p w14:paraId="4B029870" w14:textId="339B2417" w:rsidR="00785281" w:rsidRPr="005F7FF6" w:rsidRDefault="00785281" w:rsidP="005F7FF6">
            <w:pPr>
              <w:ind w:left="0" w:right="0"/>
              <w:rPr>
                <w:sz w:val="20"/>
              </w:rPr>
            </w:pPr>
            <w:r w:rsidRPr="005F7FF6">
              <w:rPr>
                <w:sz w:val="20"/>
              </w:rPr>
              <w:t>V</w:t>
            </w:r>
            <w:r w:rsidRPr="005F7FF6">
              <w:rPr>
                <w:sz w:val="20"/>
                <w:vertAlign w:val="subscript"/>
              </w:rPr>
              <w:t>ss</w:t>
            </w:r>
            <w:r w:rsidRPr="005F7FF6">
              <w:rPr>
                <w:sz w:val="20"/>
              </w:rPr>
              <w:t xml:space="preserve"> (L)</w:t>
            </w:r>
          </w:p>
        </w:tc>
        <w:tc>
          <w:tcPr>
            <w:tcW w:w="1256" w:type="pct"/>
          </w:tcPr>
          <w:p w14:paraId="3D9EEFCE" w14:textId="41E55B4A" w:rsidR="00785281" w:rsidRPr="005F7FF6" w:rsidRDefault="00785281" w:rsidP="005F7FF6">
            <w:pPr>
              <w:ind w:left="0" w:right="0"/>
              <w:rPr>
                <w:sz w:val="20"/>
              </w:rPr>
            </w:pPr>
            <w:r w:rsidRPr="005F7FF6">
              <w:rPr>
                <w:sz w:val="20"/>
              </w:rPr>
              <w:t>6.13 (19%)</w:t>
            </w:r>
          </w:p>
        </w:tc>
        <w:tc>
          <w:tcPr>
            <w:tcW w:w="1422" w:type="pct"/>
          </w:tcPr>
          <w:p w14:paraId="156299FD" w14:textId="7736E872" w:rsidR="00785281" w:rsidRPr="005F7FF6" w:rsidRDefault="00785281" w:rsidP="005F7FF6">
            <w:pPr>
              <w:ind w:left="0" w:right="0"/>
              <w:rPr>
                <w:sz w:val="20"/>
              </w:rPr>
            </w:pPr>
            <w:r w:rsidRPr="005F7FF6">
              <w:rPr>
                <w:sz w:val="20"/>
              </w:rPr>
              <w:t>7.11 (29%)</w:t>
            </w:r>
          </w:p>
        </w:tc>
        <w:tc>
          <w:tcPr>
            <w:tcW w:w="1084" w:type="pct"/>
          </w:tcPr>
          <w:p w14:paraId="02BA44D3" w14:textId="2491EACE" w:rsidR="00785281" w:rsidRPr="005F7FF6" w:rsidRDefault="00785281" w:rsidP="005F7FF6">
            <w:pPr>
              <w:ind w:left="0" w:right="0"/>
              <w:rPr>
                <w:sz w:val="20"/>
              </w:rPr>
            </w:pPr>
            <w:r w:rsidRPr="005F7FF6">
              <w:rPr>
                <w:sz w:val="20"/>
              </w:rPr>
              <w:t>6.02 (18%)</w:t>
            </w:r>
          </w:p>
        </w:tc>
      </w:tr>
      <w:tr w:rsidR="00785281" w:rsidRPr="005F7FF6" w14:paraId="731CA20C" w14:textId="77777777" w:rsidTr="005F7FF6">
        <w:trPr>
          <w:trHeight w:hRule="exact" w:val="424"/>
        </w:trPr>
        <w:tc>
          <w:tcPr>
            <w:tcW w:w="1238" w:type="pct"/>
          </w:tcPr>
          <w:p w14:paraId="6FBFF4B5" w14:textId="7D6EF33B" w:rsidR="00785281" w:rsidRPr="005F7FF6" w:rsidRDefault="00785281" w:rsidP="005F7FF6">
            <w:pPr>
              <w:ind w:left="0" w:right="0"/>
              <w:rPr>
                <w:sz w:val="20"/>
              </w:rPr>
            </w:pPr>
            <w:r w:rsidRPr="005F7FF6">
              <w:rPr>
                <w:sz w:val="20"/>
              </w:rPr>
              <w:t>t</w:t>
            </w:r>
            <w:r w:rsidRPr="002D049F">
              <w:rPr>
                <w:sz w:val="20"/>
                <w:vertAlign w:val="subscript"/>
              </w:rPr>
              <w:t>½</w:t>
            </w:r>
            <w:r w:rsidRPr="005F7FF6">
              <w:rPr>
                <w:sz w:val="20"/>
              </w:rPr>
              <w:t xml:space="preserve"> (days)</w:t>
            </w:r>
          </w:p>
        </w:tc>
        <w:tc>
          <w:tcPr>
            <w:tcW w:w="1256" w:type="pct"/>
          </w:tcPr>
          <w:p w14:paraId="321BB86B" w14:textId="63E974B8" w:rsidR="00785281" w:rsidRPr="005F7FF6" w:rsidRDefault="00785281" w:rsidP="005F7FF6">
            <w:pPr>
              <w:ind w:left="0" w:right="0"/>
              <w:rPr>
                <w:sz w:val="20"/>
              </w:rPr>
            </w:pPr>
            <w:r w:rsidRPr="005F7FF6">
              <w:rPr>
                <w:sz w:val="20"/>
              </w:rPr>
              <w:t>12 (36%)</w:t>
            </w:r>
          </w:p>
        </w:tc>
        <w:tc>
          <w:tcPr>
            <w:tcW w:w="1422" w:type="pct"/>
          </w:tcPr>
          <w:p w14:paraId="6C7EB3AA" w14:textId="55075621" w:rsidR="00785281" w:rsidRPr="005F7FF6" w:rsidRDefault="00785281" w:rsidP="005F7FF6">
            <w:pPr>
              <w:ind w:left="0" w:right="0"/>
              <w:rPr>
                <w:sz w:val="20"/>
              </w:rPr>
            </w:pPr>
            <w:r w:rsidRPr="005F7FF6">
              <w:rPr>
                <w:sz w:val="20"/>
              </w:rPr>
              <w:t>13 (40%)</w:t>
            </w:r>
          </w:p>
        </w:tc>
        <w:tc>
          <w:tcPr>
            <w:tcW w:w="1084" w:type="pct"/>
          </w:tcPr>
          <w:p w14:paraId="53BF75F2" w14:textId="6CEEB136" w:rsidR="00785281" w:rsidRPr="005F7FF6" w:rsidRDefault="00785281" w:rsidP="005F7FF6">
            <w:pPr>
              <w:ind w:left="0" w:right="0"/>
              <w:rPr>
                <w:sz w:val="20"/>
              </w:rPr>
            </w:pPr>
            <w:r w:rsidRPr="005F7FF6">
              <w:rPr>
                <w:sz w:val="20"/>
              </w:rPr>
              <w:t>12 (32%)</w:t>
            </w:r>
          </w:p>
        </w:tc>
      </w:tr>
      <w:tr w:rsidR="00785281" w:rsidRPr="005F7FF6" w14:paraId="53CAC9F8" w14:textId="77777777" w:rsidTr="005F7FF6">
        <w:trPr>
          <w:trHeight w:hRule="exact" w:val="430"/>
        </w:trPr>
        <w:tc>
          <w:tcPr>
            <w:tcW w:w="1238" w:type="pct"/>
          </w:tcPr>
          <w:p w14:paraId="2C819E19" w14:textId="5E3C6D50" w:rsidR="00785281" w:rsidRPr="005F7FF6" w:rsidRDefault="00785281" w:rsidP="005F7FF6">
            <w:pPr>
              <w:ind w:left="0" w:right="0"/>
              <w:rPr>
                <w:sz w:val="20"/>
              </w:rPr>
            </w:pPr>
            <w:r w:rsidRPr="005F7FF6">
              <w:rPr>
                <w:sz w:val="20"/>
              </w:rPr>
              <w:t>%F (range)</w:t>
            </w:r>
          </w:p>
        </w:tc>
        <w:tc>
          <w:tcPr>
            <w:tcW w:w="1256" w:type="pct"/>
          </w:tcPr>
          <w:p w14:paraId="039AE2C1" w14:textId="131CBD7A" w:rsidR="00785281" w:rsidRPr="005F7FF6" w:rsidRDefault="00785281" w:rsidP="005F7FF6">
            <w:pPr>
              <w:ind w:left="0" w:right="0"/>
              <w:rPr>
                <w:position w:val="-1"/>
                <w:sz w:val="20"/>
              </w:rPr>
            </w:pPr>
            <w:r w:rsidRPr="005F7FF6">
              <w:rPr>
                <w:position w:val="-1"/>
                <w:sz w:val="20"/>
              </w:rPr>
              <w:t>72 FIXED</w:t>
            </w:r>
            <w:r w:rsidRPr="005F7FF6">
              <w:rPr>
                <w:position w:val="-1"/>
                <w:sz w:val="20"/>
                <w:vertAlign w:val="superscript"/>
              </w:rPr>
              <w:t>d</w:t>
            </w:r>
          </w:p>
        </w:tc>
        <w:tc>
          <w:tcPr>
            <w:tcW w:w="1422" w:type="pct"/>
          </w:tcPr>
          <w:p w14:paraId="67F9A608" w14:textId="4BB0CD4E" w:rsidR="00785281" w:rsidRPr="005F7FF6" w:rsidRDefault="00785281" w:rsidP="005F7FF6">
            <w:pPr>
              <w:ind w:left="0" w:right="0"/>
              <w:rPr>
                <w:position w:val="-1"/>
                <w:sz w:val="20"/>
              </w:rPr>
            </w:pPr>
            <w:r w:rsidRPr="005F7FF6">
              <w:rPr>
                <w:position w:val="-1"/>
                <w:sz w:val="20"/>
              </w:rPr>
              <w:t>60 to 90</w:t>
            </w:r>
          </w:p>
        </w:tc>
        <w:tc>
          <w:tcPr>
            <w:tcW w:w="1084" w:type="pct"/>
          </w:tcPr>
          <w:p w14:paraId="6F636947" w14:textId="014A3403" w:rsidR="00785281" w:rsidRPr="005F7FF6" w:rsidRDefault="00785281" w:rsidP="005F7FF6">
            <w:pPr>
              <w:ind w:left="0" w:right="0"/>
              <w:rPr>
                <w:position w:val="-1"/>
                <w:sz w:val="20"/>
              </w:rPr>
            </w:pPr>
            <w:r w:rsidRPr="005F7FF6">
              <w:rPr>
                <w:position w:val="-1"/>
                <w:sz w:val="20"/>
              </w:rPr>
              <w:t>61 to 84</w:t>
            </w:r>
            <w:r w:rsidRPr="005F7FF6">
              <w:rPr>
                <w:position w:val="-1"/>
                <w:sz w:val="20"/>
                <w:vertAlign w:val="superscript"/>
              </w:rPr>
              <w:t>d</w:t>
            </w:r>
          </w:p>
        </w:tc>
      </w:tr>
    </w:tbl>
    <w:p w14:paraId="25B30EA1" w14:textId="06D7FA56" w:rsidR="000461E7" w:rsidRPr="000E5BAC" w:rsidRDefault="000461E7" w:rsidP="007B6CB4">
      <w:pPr>
        <w:pStyle w:val="TableDescription"/>
      </w:pPr>
      <w:r w:rsidRPr="000E5BAC">
        <w:t>CL = systemic clearance; F = bioavailability; IV = intrave</w:t>
      </w:r>
      <w:r w:rsidR="00FB31A7">
        <w:t>nous; PK = pharmacokinetics; r</w:t>
      </w:r>
      <w:r w:rsidRPr="000E5BAC">
        <w:t>-axSpA = radiographic axial spondyloarthritis; Ps = plaque psoriasis; PsA = psoriatic arthritis; SC = subcutaneous; t½ = half-life calculated as 0.693*(V2+V3)/(CL*24); V</w:t>
      </w:r>
      <w:r w:rsidRPr="00530E43">
        <w:rPr>
          <w:vertAlign w:val="subscript"/>
        </w:rPr>
        <w:t>ss</w:t>
      </w:r>
      <w:r w:rsidRPr="000E5BAC">
        <w:t xml:space="preserve"> = volume of distribution at steady state calculated as V2+V3; V2 = volume of distribution for central volume of distribution; V3 = volume of distribution for peripheral volume of distribution.</w:t>
      </w:r>
    </w:p>
    <w:p w14:paraId="6536B2DC" w14:textId="60BE24F1" w:rsidR="000461E7" w:rsidRPr="000E5BAC" w:rsidRDefault="001F0FA0" w:rsidP="007B6CB4">
      <w:pPr>
        <w:pStyle w:val="TableDescription"/>
      </w:pPr>
      <w:r w:rsidRPr="001F0FA0">
        <w:rPr>
          <w:vertAlign w:val="superscript"/>
        </w:rPr>
        <w:t>a</w:t>
      </w:r>
      <w:r w:rsidR="005F6EFA">
        <w:rPr>
          <w:vertAlign w:val="superscript"/>
        </w:rPr>
        <w:t xml:space="preserve"> </w:t>
      </w:r>
      <w:r w:rsidR="000461E7" w:rsidRPr="000E5BAC">
        <w:t>Data are summarised using the first occurrence of time varying post hoc individual PK parameters in each analysis. Data are reported as geometr</w:t>
      </w:r>
      <w:r w:rsidR="000019C1">
        <w:t xml:space="preserve">ic mean (geometric CV%); </w:t>
      </w:r>
      <w:r w:rsidRPr="001F0FA0">
        <w:rPr>
          <w:vertAlign w:val="superscript"/>
        </w:rPr>
        <w:t>b</w:t>
      </w:r>
      <w:r w:rsidR="005F6EFA">
        <w:rPr>
          <w:vertAlign w:val="superscript"/>
        </w:rPr>
        <w:t xml:space="preserve"> </w:t>
      </w:r>
      <w:r w:rsidR="000461E7" w:rsidRPr="000E5BAC">
        <w:t xml:space="preserve">Parameters estimated with data </w:t>
      </w:r>
      <w:r>
        <w:t>from 3 Ps S</w:t>
      </w:r>
      <w:r w:rsidR="007B6CB4" w:rsidRPr="000E5BAC">
        <w:t>tudies (</w:t>
      </w:r>
      <w:r w:rsidR="0001622B">
        <w:t xml:space="preserve">Studies </w:t>
      </w:r>
      <w:r w:rsidR="007B6CB4" w:rsidRPr="000E5BAC">
        <w:t>I1F-MC-RHAG (RHAG), I1F-MC-RHAJ (</w:t>
      </w:r>
      <w:r w:rsidR="000461E7" w:rsidRPr="000E5BAC">
        <w:t>R</w:t>
      </w:r>
      <w:r w:rsidR="007B6CB4" w:rsidRPr="000E5BAC">
        <w:t>HAJ), and I1FMC-RHAZ (RHAZ)</w:t>
      </w:r>
      <w:r w:rsidR="000461E7" w:rsidRPr="000E5BAC">
        <w:t>) for analysis (</w:t>
      </w:r>
      <w:r w:rsidR="000019C1">
        <w:t xml:space="preserve">reported in the Ps submission); </w:t>
      </w:r>
      <w:r w:rsidRPr="001F0FA0">
        <w:rPr>
          <w:vertAlign w:val="superscript"/>
        </w:rPr>
        <w:t>c</w:t>
      </w:r>
      <w:r w:rsidR="005F6EFA">
        <w:rPr>
          <w:vertAlign w:val="superscript"/>
        </w:rPr>
        <w:t xml:space="preserve"> </w:t>
      </w:r>
      <w:r w:rsidR="009050AE">
        <w:t>The data from the 2 PsA S</w:t>
      </w:r>
      <w:r w:rsidR="000461E7" w:rsidRPr="000E5BAC">
        <w:t>tudies (</w:t>
      </w:r>
      <w:r w:rsidR="0001622B">
        <w:t xml:space="preserve">Studies </w:t>
      </w:r>
      <w:r w:rsidR="000461E7" w:rsidRPr="000E5BAC">
        <w:t>I1F-MC-RHAP and I1F-MC-RHBE) wer</w:t>
      </w:r>
      <w:r w:rsidR="009050AE">
        <w:t>e combined with data from 3 Ps S</w:t>
      </w:r>
      <w:r w:rsidR="000461E7" w:rsidRPr="000E5BAC">
        <w:t>tudies (</w:t>
      </w:r>
      <w:r w:rsidR="0001622B">
        <w:t xml:space="preserve">Studies </w:t>
      </w:r>
      <w:r w:rsidR="000461E7" w:rsidRPr="000E5BAC">
        <w:t>RHAG, RHAJ, and RHAZ) for analysis, parameters were calculated and summarised using post hoc values from</w:t>
      </w:r>
      <w:r w:rsidR="000019C1">
        <w:t xml:space="preserve"> patients in the 2 PsA studies; </w:t>
      </w:r>
      <w:r w:rsidRPr="001F0FA0">
        <w:rPr>
          <w:vertAlign w:val="superscript"/>
        </w:rPr>
        <w:t>d</w:t>
      </w:r>
      <w:r w:rsidR="000019C1">
        <w:rPr>
          <w:vertAlign w:val="superscript"/>
        </w:rPr>
        <w:t> </w:t>
      </w:r>
      <w:r w:rsidR="000461E7" w:rsidRPr="000E5BAC">
        <w:t>Only SC administration was evaluated in Studies I1F-MC-RHBV and I1F-MC-RHBW, therefore the typical value of bioavailability was fixed to the mean val</w:t>
      </w:r>
      <w:r w:rsidR="00536AB8" w:rsidRPr="000E5BAC">
        <w:t>ue across the Ps and PsA Phase III</w:t>
      </w:r>
      <w:r w:rsidR="000461E7" w:rsidRPr="000E5BAC">
        <w:t xml:space="preserve"> trials from the existing Ps/PsA model (F = 0.72) as the same formulation was utilised in all studies and no IV data are included in the </w:t>
      </w:r>
      <w:r w:rsidR="00FB31A7">
        <w:t>r</w:t>
      </w:r>
      <w:r w:rsidR="000461E7" w:rsidRPr="000E5BAC">
        <w:t>-axSpA analysis.</w:t>
      </w:r>
    </w:p>
    <w:p w14:paraId="73E80331" w14:textId="5D7C504F" w:rsidR="000461E7" w:rsidRDefault="000461E7" w:rsidP="000461E7">
      <w:r>
        <w:t>Although the PK simulations showed that the 160</w:t>
      </w:r>
      <w:r w:rsidR="001430BC">
        <w:t xml:space="preserve"> </w:t>
      </w:r>
      <w:r>
        <w:t>mg starting dose resulted in higher blood ixekizumab concentrations in the initial weeks of treatment compared to the 80</w:t>
      </w:r>
      <w:r w:rsidR="001430BC">
        <w:t xml:space="preserve"> </w:t>
      </w:r>
      <w:r>
        <w:t xml:space="preserve">mg starting dose, there was no significant difference in the clinical response. Similarly, there was no apparent difference in clinical response </w:t>
      </w:r>
      <w:r w:rsidR="007946C2">
        <w:t>in patients treated with 80</w:t>
      </w:r>
      <w:r w:rsidR="001430BC">
        <w:t xml:space="preserve"> </w:t>
      </w:r>
      <w:r w:rsidR="007946C2">
        <w:t>mg SC</w:t>
      </w:r>
      <w:r>
        <w:t xml:space="preserve"> Q2W compared to patients treated with 80</w:t>
      </w:r>
      <w:r w:rsidR="001430BC">
        <w:t xml:space="preserve"> </w:t>
      </w:r>
      <w:r w:rsidR="00536AB8">
        <w:t>mg SC</w:t>
      </w:r>
      <w:r>
        <w:t xml:space="preserve"> Q4W.</w:t>
      </w:r>
    </w:p>
    <w:p w14:paraId="26CF6A36" w14:textId="4CFFA9E2" w:rsidR="000461E7" w:rsidRDefault="000461E7" w:rsidP="000461E7">
      <w:r>
        <w:t>As has been noted in other patient populations treated with ixekizumab, greater</w:t>
      </w:r>
      <w:r w:rsidRPr="00885F9C">
        <w:t xml:space="preserve"> body weight was associated with higher </w:t>
      </w:r>
      <w:r>
        <w:t>ixekizumab</w:t>
      </w:r>
      <w:r w:rsidRPr="00885F9C">
        <w:t xml:space="preserve"> clearance and higher volume of distribution in patients with </w:t>
      </w:r>
      <w:r>
        <w:t>AS, resulting in lower trough ixekizumab</w:t>
      </w:r>
      <w:r w:rsidRPr="00885F9C">
        <w:t xml:space="preserve"> concentrations.</w:t>
      </w:r>
      <w:r>
        <w:t xml:space="preserve"> However, this apparent difference did not have a meaningful influ</w:t>
      </w:r>
      <w:r w:rsidR="000E5BAC">
        <w:t>ence on the clinical responses.</w:t>
      </w:r>
    </w:p>
    <w:p w14:paraId="7E2A5362" w14:textId="39059D55" w:rsidR="000461E7" w:rsidRDefault="000461E7" w:rsidP="00873D6F">
      <w:r>
        <w:t>Ixekizumab</w:t>
      </w:r>
      <w:r w:rsidRPr="00885F9C">
        <w:t xml:space="preserve"> clearance</w:t>
      </w:r>
      <w:r>
        <w:t xml:space="preserve"> was higher</w:t>
      </w:r>
      <w:r w:rsidRPr="00885F9C">
        <w:t xml:space="preserve"> </w:t>
      </w:r>
      <w:r>
        <w:t>in patients with higher</w:t>
      </w:r>
      <w:r w:rsidRPr="00885F9C">
        <w:t xml:space="preserve"> baseline</w:t>
      </w:r>
      <w:r>
        <w:t xml:space="preserve"> high-sensitivity</w:t>
      </w:r>
      <w:r w:rsidR="00536AB8">
        <w:t xml:space="preserve"> C</w:t>
      </w:r>
      <w:r w:rsidR="001B0DED">
        <w:noBreakHyphen/>
      </w:r>
      <w:r w:rsidR="00536AB8">
        <w:t>reactive protein</w:t>
      </w:r>
      <w:r w:rsidRPr="00885F9C">
        <w:t xml:space="preserve"> </w:t>
      </w:r>
      <w:r w:rsidR="00536AB8">
        <w:t>(hs</w:t>
      </w:r>
      <w:r>
        <w:t>-CRP</w:t>
      </w:r>
      <w:r w:rsidR="00536AB8">
        <w:t>)</w:t>
      </w:r>
      <w:r>
        <w:t xml:space="preserve"> levels</w:t>
      </w:r>
      <w:r w:rsidRPr="00885F9C">
        <w:t xml:space="preserve">. </w:t>
      </w:r>
      <w:r>
        <w:t>While t</w:t>
      </w:r>
      <w:r w:rsidRPr="00885F9C">
        <w:t xml:space="preserve">he change in </w:t>
      </w:r>
      <w:r w:rsidRPr="001F0FA0">
        <w:t xml:space="preserve">clearance was &lt; 10% over the </w:t>
      </w:r>
      <w:r w:rsidR="00873D6F">
        <w:t>tenth</w:t>
      </w:r>
      <w:r w:rsidRPr="001F0FA0">
        <w:t xml:space="preserve"> to </w:t>
      </w:r>
      <w:r w:rsidR="00873D6F">
        <w:t>seventy-fifth</w:t>
      </w:r>
      <w:r w:rsidRPr="001F0FA0">
        <w:t xml:space="preserve"> percentile range of hs-CRP, the </w:t>
      </w:r>
      <w:r w:rsidR="00873D6F">
        <w:t>ninetieth</w:t>
      </w:r>
      <w:r w:rsidR="001F0FA0" w:rsidRPr="001F0FA0">
        <w:t xml:space="preserve"> </w:t>
      </w:r>
      <w:r w:rsidRPr="001F0FA0">
        <w:t xml:space="preserve">percentile was associated with a 26.7% increase in clearance compared to clearance in a patient with median baseline hs-CRP level. The </w:t>
      </w:r>
      <w:r w:rsidR="00BE7164" w:rsidRPr="00BE7164">
        <w:t>pharmacodynamics</w:t>
      </w:r>
      <w:r w:rsidRPr="001F0FA0">
        <w:t xml:space="preserve"> model predicted higher clinical responses to ixekizumab in</w:t>
      </w:r>
      <w:r>
        <w:t xml:space="preserve"> patients with higher baseline hs-CRP, however clinical responses did not reflect the apparent difference.</w:t>
      </w:r>
    </w:p>
    <w:p w14:paraId="38CDD887" w14:textId="2EBB623A" w:rsidR="000461E7" w:rsidRPr="009D7DD9" w:rsidRDefault="000461E7" w:rsidP="000461E7">
      <w:r>
        <w:rPr>
          <w:lang w:eastAsia="ja-JP"/>
        </w:rPr>
        <w:t>Considering the outcomes of the two separate studies, h</w:t>
      </w:r>
      <w:r w:rsidRPr="001D341E">
        <w:rPr>
          <w:lang w:eastAsia="ja-JP"/>
        </w:rPr>
        <w:t xml:space="preserve">igher </w:t>
      </w:r>
      <w:r>
        <w:rPr>
          <w:lang w:eastAsia="ja-JP"/>
        </w:rPr>
        <w:t>trough ixekizumab</w:t>
      </w:r>
      <w:r w:rsidRPr="001D341E">
        <w:rPr>
          <w:lang w:eastAsia="ja-JP"/>
        </w:rPr>
        <w:t xml:space="preserve"> concentratio</w:t>
      </w:r>
      <w:r>
        <w:rPr>
          <w:lang w:eastAsia="ja-JP"/>
        </w:rPr>
        <w:t>ns were observed in bDMARD–naïve</w:t>
      </w:r>
      <w:r w:rsidRPr="001D341E">
        <w:rPr>
          <w:lang w:eastAsia="ja-JP"/>
        </w:rPr>
        <w:t xml:space="preserve"> patients compared to</w:t>
      </w:r>
      <w:r>
        <w:rPr>
          <w:lang w:eastAsia="ja-JP"/>
        </w:rPr>
        <w:t xml:space="preserve"> </w:t>
      </w:r>
      <w:r w:rsidRPr="001D341E">
        <w:rPr>
          <w:lang w:eastAsia="ja-JP"/>
        </w:rPr>
        <w:t>TNFi-experienced patients</w:t>
      </w:r>
      <w:r>
        <w:rPr>
          <w:lang w:eastAsia="ja-JP"/>
        </w:rPr>
        <w:t>,</w:t>
      </w:r>
      <w:r w:rsidRPr="001D341E">
        <w:rPr>
          <w:lang w:eastAsia="ja-JP"/>
        </w:rPr>
        <w:t xml:space="preserve"> with an approximate 17% higher average clearance in TNFi</w:t>
      </w:r>
      <w:r>
        <w:rPr>
          <w:lang w:eastAsia="ja-JP"/>
        </w:rPr>
        <w:t>-</w:t>
      </w:r>
      <w:r w:rsidRPr="001D341E">
        <w:rPr>
          <w:lang w:eastAsia="ja-JP"/>
        </w:rPr>
        <w:t>experienced</w:t>
      </w:r>
      <w:r>
        <w:rPr>
          <w:lang w:eastAsia="ja-JP"/>
        </w:rPr>
        <w:t xml:space="preserve"> </w:t>
      </w:r>
      <w:r w:rsidRPr="001D341E">
        <w:rPr>
          <w:lang w:eastAsia="ja-JP"/>
        </w:rPr>
        <w:t>patients</w:t>
      </w:r>
      <w:r>
        <w:rPr>
          <w:lang w:eastAsia="ja-JP"/>
        </w:rPr>
        <w:t>. This was apparently reflected in clinical responses, where TNFi-experienced patients had numerically lower ASAS</w:t>
      </w:r>
      <w:r w:rsidR="006929E0">
        <w:rPr>
          <w:lang w:eastAsia="ja-JP"/>
        </w:rPr>
        <w:t xml:space="preserve"> </w:t>
      </w:r>
      <w:r>
        <w:rPr>
          <w:lang w:eastAsia="ja-JP"/>
        </w:rPr>
        <w:t>20/40 response rates overall, than bDMARD-naïve patients with comparable ixekizumab concentrations.</w:t>
      </w:r>
    </w:p>
    <w:p w14:paraId="4BF88BAF" w14:textId="77777777" w:rsidR="000461E7" w:rsidRDefault="000461E7" w:rsidP="000461E7">
      <w:pPr>
        <w:pStyle w:val="Heading4"/>
      </w:pPr>
      <w:r w:rsidRPr="00AA53F4">
        <w:lastRenderedPageBreak/>
        <w:t>Efficacy</w:t>
      </w:r>
    </w:p>
    <w:p w14:paraId="19138DD8" w14:textId="17946471" w:rsidR="000461E7" w:rsidRDefault="00536AB8" w:rsidP="000461E7">
      <w:r>
        <w:t>Two Phase III</w:t>
      </w:r>
      <w:r w:rsidR="000461E7">
        <w:t xml:space="preserve"> efficacy and safety studies were primarily designed to demonstra</w:t>
      </w:r>
      <w:r w:rsidR="000E5BAC">
        <w:t>te the efficacy of ixekizumab versus</w:t>
      </w:r>
      <w:r w:rsidR="000461E7">
        <w:t xml:space="preserve"> placebo, after 16 weeks of treatment, on the signs and symptoms of AS in adults. Additional, descriptive, efficacy data was submitted for up to 52</w:t>
      </w:r>
      <w:r w:rsidR="00142B9B">
        <w:t> </w:t>
      </w:r>
      <w:r w:rsidR="000461E7">
        <w:t>weeks of treatment.</w:t>
      </w:r>
    </w:p>
    <w:p w14:paraId="5FE44E08" w14:textId="0169A9C0" w:rsidR="001B0DED" w:rsidRDefault="001B0DED" w:rsidP="00B44261">
      <w:pPr>
        <w:pStyle w:val="Heading5"/>
      </w:pPr>
      <w:r>
        <w:t xml:space="preserve">Study </w:t>
      </w:r>
      <w:r w:rsidRPr="001B0DED">
        <w:t xml:space="preserve">I1F-MC-RHBV </w:t>
      </w:r>
      <w:r w:rsidR="00B260C6">
        <w:t>(COAST-</w:t>
      </w:r>
      <w:r>
        <w:t>V trial)</w:t>
      </w:r>
    </w:p>
    <w:p w14:paraId="1E356612" w14:textId="44A7AA67" w:rsidR="000461E7" w:rsidRDefault="001B0DED" w:rsidP="000461E7">
      <w:r w:rsidRPr="00204636">
        <w:t xml:space="preserve">The </w:t>
      </w:r>
      <w:r w:rsidR="000461E7" w:rsidRPr="00204636">
        <w:t xml:space="preserve">COAST-V </w:t>
      </w:r>
      <w:r w:rsidRPr="00204636">
        <w:t>trial</w:t>
      </w:r>
      <w:r>
        <w:t xml:space="preserve"> </w:t>
      </w:r>
      <w:r w:rsidR="000461E7" w:rsidRPr="001B0DED">
        <w:t>was</w:t>
      </w:r>
      <w:r w:rsidR="000461E7">
        <w:t xml:space="preserve"> a randomised, double blind pla</w:t>
      </w:r>
      <w:r w:rsidR="003917B8">
        <w:t>cebo controlled parallel group s</w:t>
      </w:r>
      <w:r w:rsidR="000461E7">
        <w:t>tudy conducted at 84 sites in 12 countries to examine the efficacy of ixekizumab in bDMARD</w:t>
      </w:r>
      <w:r>
        <w:noBreakHyphen/>
      </w:r>
      <w:r w:rsidR="000461E7">
        <w:t>naïve patients with AS</w:t>
      </w:r>
      <w:r w:rsidR="003917B8">
        <w:t>. This s</w:t>
      </w:r>
      <w:r w:rsidR="000461E7">
        <w:t xml:space="preserve">tudy also included an </w:t>
      </w:r>
      <w:r>
        <w:t>‘</w:t>
      </w:r>
      <w:r w:rsidR="000461E7">
        <w:t>active control</w:t>
      </w:r>
      <w:r>
        <w:t>’</w:t>
      </w:r>
      <w:r w:rsidR="000461E7">
        <w:t xml:space="preserve"> group of patient</w:t>
      </w:r>
      <w:r w:rsidR="003917B8">
        <w:t>s treated with adalimumab. The s</w:t>
      </w:r>
      <w:r w:rsidR="000461E7">
        <w:t>tudy was not designed or powered to either show superiority or non-inferiority of ixekizumab to adalimumab</w:t>
      </w:r>
      <w:r w:rsidR="00142B9B">
        <w:t>.</w:t>
      </w:r>
      <w:r w:rsidR="00C0374A">
        <w:t xml:space="preserve"> </w:t>
      </w:r>
      <w:r w:rsidR="003917B8">
        <w:t>The primary endpoint of this s</w:t>
      </w:r>
      <w:r w:rsidR="000461E7">
        <w:t>tudy was to compare the efficacy of ixekizumab 80</w:t>
      </w:r>
      <w:r w:rsidR="00536AB8">
        <w:t xml:space="preserve"> </w:t>
      </w:r>
      <w:r w:rsidR="000461E7">
        <w:t>mg Q2W or 80</w:t>
      </w:r>
      <w:r w:rsidR="00536AB8">
        <w:t xml:space="preserve"> </w:t>
      </w:r>
      <w:r w:rsidR="000461E7">
        <w:t xml:space="preserve">mg Q4W to placebo at 16 weeks as measured using the ASAS 40 response. </w:t>
      </w:r>
      <w:r w:rsidR="000461E7" w:rsidRPr="007A2642">
        <w:t>The ASAS</w:t>
      </w:r>
      <w:r w:rsidR="00AF2B80">
        <w:t> </w:t>
      </w:r>
      <w:r w:rsidR="000461E7" w:rsidRPr="007A2642">
        <w:t>40 is derived from patient</w:t>
      </w:r>
      <w:r>
        <w:noBreakHyphen/>
      </w:r>
      <w:r w:rsidR="000461E7" w:rsidRPr="007A2642">
        <w:t>reported assessments. An ASAS</w:t>
      </w:r>
      <w:r w:rsidR="000461E7">
        <w:t xml:space="preserve"> </w:t>
      </w:r>
      <w:r w:rsidR="000461E7" w:rsidRPr="007A2642">
        <w:t xml:space="preserve">40 response is defined as a </w:t>
      </w:r>
      <w:r w:rsidR="00CB7322">
        <w:t>≥</w:t>
      </w:r>
      <w:r w:rsidR="000461E7" w:rsidRPr="007A2642">
        <w:t xml:space="preserve"> 40% improvement and an absolute </w:t>
      </w:r>
      <w:r w:rsidR="001B7336">
        <w:t>improvement from B</w:t>
      </w:r>
      <w:r w:rsidR="000461E7" w:rsidRPr="001F0FA0">
        <w:t xml:space="preserve">aseline of </w:t>
      </w:r>
      <w:r w:rsidR="00CB7322">
        <w:t>≥</w:t>
      </w:r>
      <w:r w:rsidR="000461E7" w:rsidRPr="001F0FA0">
        <w:t xml:space="preserve"> 2 units (range 0 to 10) in at least three of four assessment domains (Patient Global, Spinal Pain, Function, and Inflammation),</w:t>
      </w:r>
      <w:r w:rsidR="000461E7" w:rsidRPr="007A2642">
        <w:t xml:space="preserve"> without any worsening in the remaining</w:t>
      </w:r>
      <w:r w:rsidR="000461E7">
        <w:t xml:space="preserve"> domains.</w:t>
      </w:r>
    </w:p>
    <w:p w14:paraId="019988C6" w14:textId="6E489356" w:rsidR="000461E7" w:rsidRPr="009D0542" w:rsidRDefault="000461E7" w:rsidP="00B44261">
      <w:r>
        <w:rPr>
          <w:lang w:eastAsia="ja-JP"/>
        </w:rPr>
        <w:t>Patients were randomised to one of four treatment regimens (ixekizumab 80 mg Q2W, n</w:t>
      </w:r>
      <w:r w:rsidR="00CB78E5">
        <w:rPr>
          <w:lang w:eastAsia="ja-JP"/>
        </w:rPr>
        <w:t> </w:t>
      </w:r>
      <w:r w:rsidR="007B6CB4">
        <w:rPr>
          <w:lang w:eastAsia="ja-JP"/>
        </w:rPr>
        <w:t>=</w:t>
      </w:r>
      <w:r w:rsidR="00CB78E5">
        <w:rPr>
          <w:lang w:eastAsia="ja-JP"/>
        </w:rPr>
        <w:t> </w:t>
      </w:r>
      <w:r>
        <w:rPr>
          <w:lang w:eastAsia="ja-JP"/>
        </w:rPr>
        <w:t xml:space="preserve">83; ixekizumab </w:t>
      </w:r>
      <w:r w:rsidRPr="001425A4">
        <w:rPr>
          <w:lang w:eastAsia="ja-JP"/>
        </w:rPr>
        <w:t>80 mg Q4W</w:t>
      </w:r>
      <w:r>
        <w:rPr>
          <w:lang w:eastAsia="ja-JP"/>
        </w:rPr>
        <w:t>, n</w:t>
      </w:r>
      <w:r w:rsidR="007B6CB4">
        <w:rPr>
          <w:lang w:eastAsia="ja-JP"/>
        </w:rPr>
        <w:t xml:space="preserve"> = </w:t>
      </w:r>
      <w:r>
        <w:rPr>
          <w:lang w:eastAsia="ja-JP"/>
        </w:rPr>
        <w:t>81</w:t>
      </w:r>
      <w:r w:rsidRPr="001425A4">
        <w:rPr>
          <w:lang w:eastAsia="ja-JP"/>
        </w:rPr>
        <w:t>; adalimumab 40 mg Q2W</w:t>
      </w:r>
      <w:r>
        <w:rPr>
          <w:lang w:eastAsia="ja-JP"/>
        </w:rPr>
        <w:t>, n</w:t>
      </w:r>
      <w:r w:rsidR="007B6CB4">
        <w:rPr>
          <w:lang w:eastAsia="ja-JP"/>
        </w:rPr>
        <w:t xml:space="preserve"> = </w:t>
      </w:r>
      <w:r>
        <w:rPr>
          <w:lang w:eastAsia="ja-JP"/>
        </w:rPr>
        <w:t xml:space="preserve">90; </w:t>
      </w:r>
      <w:r w:rsidRPr="001425A4">
        <w:rPr>
          <w:lang w:eastAsia="ja-JP"/>
        </w:rPr>
        <w:t>placebo</w:t>
      </w:r>
      <w:r>
        <w:rPr>
          <w:lang w:eastAsia="ja-JP"/>
        </w:rPr>
        <w:t>, n</w:t>
      </w:r>
      <w:r w:rsidR="007B6CB4">
        <w:rPr>
          <w:lang w:eastAsia="ja-JP"/>
        </w:rPr>
        <w:t xml:space="preserve"> = </w:t>
      </w:r>
      <w:r>
        <w:rPr>
          <w:lang w:eastAsia="ja-JP"/>
        </w:rPr>
        <w:t>87). Both of the ixekizumab groups were further divided into approximately equal groups of patients who received 160 mg or 80 mg loading doses.</w:t>
      </w:r>
      <w:r>
        <w:t xml:space="preserve"> After 16 weeks, the blinding was removed and patients receiving placebo or adalimumab were re-randomised to a dose regimen of ixekizumab 80</w:t>
      </w:r>
      <w:r w:rsidR="000E5BAC">
        <w:t xml:space="preserve"> </w:t>
      </w:r>
      <w:r>
        <w:t>mg Q2W or 80</w:t>
      </w:r>
      <w:r w:rsidR="000E5BAC">
        <w:t xml:space="preserve"> </w:t>
      </w:r>
      <w:r>
        <w:t>mg Q4W. Patients originally randomi</w:t>
      </w:r>
      <w:r w:rsidR="001B0DED">
        <w:t>s</w:t>
      </w:r>
      <w:r>
        <w:t>ed to ixekizumab were retained on their starting regimens. Efficacy</w:t>
      </w:r>
      <w:r w:rsidR="0064391B">
        <w:t xml:space="preserve"> measures were re-evaluated at W</w:t>
      </w:r>
      <w:r>
        <w:t>eek 52 (extended treatment period). After 52 weeks, all patients were eligible to enrol in an open-label long term follow up study for a further two years (</w:t>
      </w:r>
      <w:r w:rsidR="000E5BAC">
        <w:fldChar w:fldCharType="begin"/>
      </w:r>
      <w:r w:rsidR="000E5BAC">
        <w:instrText xml:space="preserve"> REF _Ref40365786 \h </w:instrText>
      </w:r>
      <w:r w:rsidR="001B0DED">
        <w:instrText xml:space="preserve"> \* MERGEFORMAT </w:instrText>
      </w:r>
      <w:r w:rsidR="000E5BAC">
        <w:fldChar w:fldCharType="separate"/>
      </w:r>
      <w:r w:rsidR="000E5BAC" w:rsidRPr="00785281">
        <w:t>Figure 1</w:t>
      </w:r>
      <w:r w:rsidR="000E5BAC">
        <w:fldChar w:fldCharType="end"/>
      </w:r>
      <w:r>
        <w:t xml:space="preserve">). </w:t>
      </w:r>
      <w:r>
        <w:rPr>
          <w:lang w:eastAsia="ja-JP"/>
        </w:rPr>
        <w:t>A total of 331 (97.1%) randomised patients completed the blinded treatment dosing period</w:t>
      </w:r>
      <w:r w:rsidR="009D0542">
        <w:rPr>
          <w:lang w:eastAsia="ja-JP"/>
        </w:rPr>
        <w:t xml:space="preserve"> (</w:t>
      </w:r>
      <w:r w:rsidR="009D0542" w:rsidRPr="009D0542">
        <w:t>from Week</w:t>
      </w:r>
      <w:r w:rsidR="00873D6F">
        <w:t> </w:t>
      </w:r>
      <w:r w:rsidR="009D0542" w:rsidRPr="009D0542">
        <w:t>0 (</w:t>
      </w:r>
      <w:r w:rsidR="001B0DED">
        <w:t>B</w:t>
      </w:r>
      <w:r w:rsidR="009D0542" w:rsidRPr="009D0542">
        <w:t>aseline, Visit 2)</w:t>
      </w:r>
      <w:r w:rsidR="009D0542">
        <w:t xml:space="preserve"> to Week 16 (Visit 8) inclusive)</w:t>
      </w:r>
      <w:r>
        <w:rPr>
          <w:lang w:eastAsia="ja-JP"/>
        </w:rPr>
        <w:t>.</w:t>
      </w:r>
    </w:p>
    <w:p w14:paraId="684270B8" w14:textId="77777777" w:rsidR="00CB7322" w:rsidRDefault="00785281" w:rsidP="00CB7322">
      <w:pPr>
        <w:pStyle w:val="FigureTitle"/>
        <w:pageBreakBefore/>
      </w:pPr>
      <w:bookmarkStart w:id="41" w:name="_Ref40365786"/>
      <w:r w:rsidRPr="00785281">
        <w:lastRenderedPageBreak/>
        <w:t xml:space="preserve">Figure </w:t>
      </w:r>
      <w:fldSimple w:instr=" SEQ Figure \* ARABIC ">
        <w:r w:rsidRPr="00785281">
          <w:t>1</w:t>
        </w:r>
      </w:fldSimple>
      <w:bookmarkEnd w:id="41"/>
      <w:r w:rsidRPr="00785281">
        <w:t xml:space="preserve">: COAST-V </w:t>
      </w:r>
      <w:r w:rsidR="001B0DED">
        <w:t>trial</w:t>
      </w:r>
      <w:r w:rsidRPr="00785281">
        <w:t xml:space="preserve"> design</w:t>
      </w:r>
    </w:p>
    <w:p w14:paraId="35087DF5" w14:textId="454AF915" w:rsidR="009D2700" w:rsidRDefault="009D2700" w:rsidP="00CB7322">
      <w:pPr>
        <w:rPr>
          <w:lang w:eastAsia="ja-JP"/>
        </w:rPr>
      </w:pPr>
      <w:r>
        <w:rPr>
          <w:noProof/>
          <w:lang w:eastAsia="en-AU"/>
        </w:rPr>
        <w:drawing>
          <wp:inline distT="0" distB="0" distL="0" distR="0" wp14:anchorId="04E2ED11" wp14:editId="385AB838">
            <wp:extent cx="5557730" cy="3200400"/>
            <wp:effectExtent l="0" t="0" r="5080" b="0"/>
            <wp:docPr id="11" name="Picture 11" descr="COAST-V trial design. The study examines the efficacy and safety of two ixekizumab dosing regimens, SC 80 mg Q2W and 80 mg Q4W, as compared to SC placebo in bDMARD-naive patients with active AS, during a double-blind, 16-week treatment period. Starting doses of 80 mg and 160 mg (at Week 0) were evaluated for each ixekizumab dosing regimen. Adalimumab at the approved dosing regimen of 40 mg SC Q2W was selected as the active reference for comparison with placebo. The study consists of four periods. Period 1 is screening period (Visit 1), which lasts up to 42 days prior to Period 2. Period 2 is blinded treatment dosing period, which is from Week 0 (Baseline, Visit 2) to Week 16 (Visit 8) inclusive. Period 3 is extended treatment period, which starts after Week 16 (Visit 8) to Week 52 (Visit 15) inclusive. Period 4 is post-treatment follow-up (PTFU) period, occurring from last treatment period visit or early termination visit (ETV) to a minimum of 12 weeks following that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61677" cy="3202673"/>
                    </a:xfrm>
                    <a:prstGeom prst="rect">
                      <a:avLst/>
                    </a:prstGeom>
                  </pic:spPr>
                </pic:pic>
              </a:graphicData>
            </a:graphic>
          </wp:inline>
        </w:drawing>
      </w:r>
    </w:p>
    <w:p w14:paraId="21AE7363" w14:textId="77777777" w:rsidR="000461E7" w:rsidRPr="00277FF9" w:rsidRDefault="000461E7" w:rsidP="009A3750">
      <w:pPr>
        <w:pStyle w:val="TableDescription"/>
      </w:pPr>
      <w:r w:rsidRPr="00277FF9">
        <w:t>ETV = early termination visit; LV = last visit; LY = ixekizumab; n = number of patients in the specified category; Q2W = every 2 weeks; Q4W = every 4 weeks; SC = subcutaneous; V = visit; W = week.</w:t>
      </w:r>
    </w:p>
    <w:p w14:paraId="2D881998" w14:textId="4802364A" w:rsidR="00B03398" w:rsidRDefault="000461E7" w:rsidP="009A3750">
      <w:pPr>
        <w:pStyle w:val="TableDescription"/>
      </w:pPr>
      <w:r w:rsidRPr="000150BB">
        <w:rPr>
          <w:vertAlign w:val="superscript"/>
        </w:rPr>
        <w:t>a</w:t>
      </w:r>
      <w:r w:rsidRPr="000150BB">
        <w:t xml:space="preserve"> </w:t>
      </w:r>
      <w:r w:rsidRPr="00277FF9">
        <w:t>All patients received 3 injection</w:t>
      </w:r>
      <w:r w:rsidR="001B7336" w:rsidRPr="00277FF9">
        <w:t>s at B</w:t>
      </w:r>
      <w:r w:rsidRPr="00277FF9">
        <w:t>aseline. Patients randomised to an ixekizumab treatment group were randomised to a 160 mg or 80 mg starting dose at a 1:1 ratio (within each ixekizumab treatment group)</w:t>
      </w:r>
      <w:r w:rsidR="009A3750">
        <w:t xml:space="preserve">; </w:t>
      </w:r>
      <w:r w:rsidRPr="000150BB">
        <w:rPr>
          <w:vertAlign w:val="superscript"/>
        </w:rPr>
        <w:t>b</w:t>
      </w:r>
      <w:r w:rsidRPr="00277FF9">
        <w:t xml:space="preserve"> Patients in the adalimumab treatment group were re-randomised at Week 16 to ixekizumab 80 mg Q4W or ixekizumab 80 mg Q2W. They received their last adalimumab dose at Week 14. Following a 6</w:t>
      </w:r>
      <w:r w:rsidR="00A043D0">
        <w:t> </w:t>
      </w:r>
      <w:r w:rsidRPr="00277FF9">
        <w:t xml:space="preserve">week washout period, patients received their first ixekizumab </w:t>
      </w:r>
      <w:r w:rsidR="009A3750">
        <w:t xml:space="preserve">dose at Week 20; </w:t>
      </w:r>
      <w:r w:rsidRPr="000150BB">
        <w:rPr>
          <w:vertAlign w:val="superscript"/>
        </w:rPr>
        <w:t>c</w:t>
      </w:r>
      <w:r w:rsidRPr="00277FF9">
        <w:t xml:space="preserve"> All patients received 2 injections at Week 16. Patients randomised to placebo at Week 0 began ixekizumab 80 mg Q4W or ixekizumab 80 mg Q2W at Week</w:t>
      </w:r>
      <w:r w:rsidR="009A3750">
        <w:t xml:space="preserve"> 16 with a 160 mg starting dose; </w:t>
      </w:r>
      <w:r w:rsidRPr="000150BB">
        <w:rPr>
          <w:vertAlign w:val="superscript"/>
        </w:rPr>
        <w:t>d</w:t>
      </w:r>
      <w:r w:rsidRPr="00277FF9">
        <w:t xml:space="preserve"> Patients who discontinued from study drug for any reason and who received at least 1 dose of study drug continued to the ETV before entering the </w:t>
      </w:r>
      <w:r w:rsidR="00A043D0" w:rsidRPr="002E32DF">
        <w:t>post-treatment follow-up</w:t>
      </w:r>
      <w:r w:rsidR="00A4102A">
        <w:t xml:space="preserve"> (PTFU)</w:t>
      </w:r>
      <w:r w:rsidR="00A043D0" w:rsidRPr="002E32DF">
        <w:t xml:space="preserve"> period</w:t>
      </w:r>
      <w:r w:rsidR="002E32DF">
        <w:t>.</w:t>
      </w:r>
      <w:r w:rsidRPr="00277FF9">
        <w:t xml:space="preserve"> V801 and V802 were required for all patients; V803 may have been needed depending on neutrophil counts.</w:t>
      </w:r>
    </w:p>
    <w:p w14:paraId="7E110155" w14:textId="1F0BAB58" w:rsidR="000461E7" w:rsidRDefault="000461E7" w:rsidP="000461E7">
      <w:pPr>
        <w:rPr>
          <w:lang w:eastAsia="ja-JP"/>
        </w:rPr>
      </w:pPr>
      <w:r>
        <w:rPr>
          <w:lang w:eastAsia="ja-JP"/>
        </w:rPr>
        <w:t xml:space="preserve">Patients were included if they satisfied the following criteria: male or female (non-childbearing potential) aged </w:t>
      </w:r>
      <w:r w:rsidR="00CB7322">
        <w:rPr>
          <w:lang w:eastAsia="ja-JP"/>
        </w:rPr>
        <w:t>≥</w:t>
      </w:r>
      <w:r>
        <w:rPr>
          <w:lang w:eastAsia="ja-JP"/>
        </w:rPr>
        <w:t xml:space="preserve"> 18 years; established diagnosis of </w:t>
      </w:r>
      <w:r w:rsidRPr="002E32DF">
        <w:rPr>
          <w:lang w:eastAsia="ja-JP"/>
        </w:rPr>
        <w:t>r-axSpA</w:t>
      </w:r>
      <w:r>
        <w:rPr>
          <w:lang w:eastAsia="ja-JP"/>
        </w:rPr>
        <w:t xml:space="preserve"> with sacroiliitis defined radiographically (based on central reading) acco</w:t>
      </w:r>
      <w:r w:rsidR="00FB31A7">
        <w:rPr>
          <w:lang w:eastAsia="ja-JP"/>
        </w:rPr>
        <w:t>rding to the mNY</w:t>
      </w:r>
      <w:r w:rsidR="00CC118A">
        <w:rPr>
          <w:lang w:eastAsia="ja-JP"/>
        </w:rPr>
        <w:t xml:space="preserve"> criteria and at least one</w:t>
      </w:r>
      <w:r>
        <w:rPr>
          <w:lang w:eastAsia="ja-JP"/>
        </w:rPr>
        <w:t xml:space="preserve"> SpA feature according to the ASAS criteria; bDMARD naïve; history of back pain </w:t>
      </w:r>
      <w:r w:rsidR="00CB7322">
        <w:rPr>
          <w:lang w:eastAsia="ja-JP"/>
        </w:rPr>
        <w:t>≥</w:t>
      </w:r>
      <w:r w:rsidR="00B912D8">
        <w:rPr>
          <w:lang w:eastAsia="ja-JP"/>
        </w:rPr>
        <w:t> </w:t>
      </w:r>
      <w:r>
        <w:rPr>
          <w:lang w:eastAsia="ja-JP"/>
        </w:rPr>
        <w:t xml:space="preserve">3 months with age of onset &lt; 45 years; active disease defined as </w:t>
      </w:r>
      <w:r>
        <w:t>Bath Ankylosing Spondylitis Disease Activity Index (</w:t>
      </w:r>
      <w:r>
        <w:rPr>
          <w:lang w:eastAsia="ja-JP"/>
        </w:rPr>
        <w:t xml:space="preserve">BASDAI) </w:t>
      </w:r>
      <w:r w:rsidR="00CB7322">
        <w:rPr>
          <w:lang w:eastAsia="ja-JP"/>
        </w:rPr>
        <w:t>≥</w:t>
      </w:r>
      <w:r>
        <w:rPr>
          <w:lang w:eastAsia="ja-JP"/>
        </w:rPr>
        <w:t xml:space="preserve"> 4</w:t>
      </w:r>
      <w:r w:rsidR="00CC118A">
        <w:rPr>
          <w:lang w:eastAsia="ja-JP"/>
        </w:rPr>
        <w:t>;</w:t>
      </w:r>
      <w:r w:rsidR="00CC118A">
        <w:rPr>
          <w:rStyle w:val="FootnoteReference"/>
          <w:lang w:eastAsia="ja-JP"/>
        </w:rPr>
        <w:footnoteReference w:id="6"/>
      </w:r>
      <w:r>
        <w:rPr>
          <w:lang w:eastAsia="ja-JP"/>
        </w:rPr>
        <w:t xml:space="preserve"> and total back pain </w:t>
      </w:r>
      <w:r w:rsidR="00CB7322">
        <w:rPr>
          <w:lang w:eastAsia="ja-JP"/>
        </w:rPr>
        <w:t>≥</w:t>
      </w:r>
      <w:r>
        <w:rPr>
          <w:lang w:eastAsia="ja-JP"/>
        </w:rPr>
        <w:t xml:space="preserve"> 4 on NSAIDs or a history of intolerance to NSAIDs; history of prior therapy for axSpA for at least 12 weeks prior to screening. The extensive exclusion included use of </w:t>
      </w:r>
      <w:r w:rsidR="0040023D">
        <w:rPr>
          <w:lang w:eastAsia="ja-JP"/>
        </w:rPr>
        <w:t>cDMARDs</w:t>
      </w:r>
      <w:r w:rsidRPr="00386BCB">
        <w:rPr>
          <w:lang w:eastAsia="ja-JP"/>
        </w:rPr>
        <w:t xml:space="preserve"> and/or other immunosuppres</w:t>
      </w:r>
      <w:r w:rsidR="001B7336">
        <w:rPr>
          <w:lang w:eastAsia="ja-JP"/>
        </w:rPr>
        <w:t>sive therapy within 4 weeks of B</w:t>
      </w:r>
      <w:r w:rsidRPr="00386BCB">
        <w:rPr>
          <w:lang w:eastAsia="ja-JP"/>
        </w:rPr>
        <w:t>aseline (</w:t>
      </w:r>
      <w:r w:rsidR="00AF2B80">
        <w:rPr>
          <w:lang w:eastAsia="ja-JP"/>
        </w:rPr>
        <w:t xml:space="preserve">exceptions include </w:t>
      </w:r>
      <w:r w:rsidR="00AF2B80">
        <w:t>I1F-MC-RHBV</w:t>
      </w:r>
      <w:r w:rsidR="00AF2B80" w:rsidRPr="00386BCB">
        <w:rPr>
          <w:lang w:eastAsia="ja-JP"/>
        </w:rPr>
        <w:t xml:space="preserve"> </w:t>
      </w:r>
      <w:r w:rsidRPr="00386BCB">
        <w:rPr>
          <w:lang w:eastAsia="ja-JP"/>
        </w:rPr>
        <w:t xml:space="preserve">methotrexate, sulfasalazine, </w:t>
      </w:r>
      <w:r>
        <w:rPr>
          <w:lang w:eastAsia="ja-JP"/>
        </w:rPr>
        <w:t>and</w:t>
      </w:r>
      <w:r w:rsidRPr="00386BCB">
        <w:rPr>
          <w:lang w:eastAsia="ja-JP"/>
        </w:rPr>
        <w:t xml:space="preserve"> hydroxychloroquine); oral corticosteroids &gt; 10 mg/day; concurrent or prior use of biologic or other immunomodulatory agents; concurrent or recent use of denosumab</w:t>
      </w:r>
      <w:r>
        <w:rPr>
          <w:lang w:eastAsia="ja-JP"/>
        </w:rPr>
        <w:t>, and known exposure to tuberculosis.</w:t>
      </w:r>
    </w:p>
    <w:p w14:paraId="44CAFAAA" w14:textId="12EB737C" w:rsidR="00AF6095" w:rsidRDefault="00AF6095" w:rsidP="00B44261">
      <w:pPr>
        <w:pStyle w:val="Heading6"/>
        <w:rPr>
          <w:lang w:eastAsia="ja-JP"/>
        </w:rPr>
      </w:pPr>
      <w:r>
        <w:rPr>
          <w:lang w:eastAsia="ja-JP"/>
        </w:rPr>
        <w:t>Results</w:t>
      </w:r>
    </w:p>
    <w:p w14:paraId="6D6D1DAD" w14:textId="64C94C6B" w:rsidR="000461E7" w:rsidRDefault="000461E7" w:rsidP="000461E7">
      <w:r w:rsidRPr="00AD611F">
        <w:t>Demographic characteristics, disease history, and baseline characteristics were well balanced</w:t>
      </w:r>
      <w:r>
        <w:t xml:space="preserve"> </w:t>
      </w:r>
      <w:r w:rsidRPr="00AD611F">
        <w:t>across</w:t>
      </w:r>
      <w:r>
        <w:t xml:space="preserve"> the</w:t>
      </w:r>
      <w:r w:rsidRPr="00AD611F">
        <w:t xml:space="preserve"> treatment groups and consistent with a po</w:t>
      </w:r>
      <w:r>
        <w:t xml:space="preserve">pulation with </w:t>
      </w:r>
      <w:r w:rsidRPr="00AD611F">
        <w:t>AS</w:t>
      </w:r>
      <w:r>
        <w:t>. There</w:t>
      </w:r>
      <w:r w:rsidRPr="00AD611F">
        <w:t xml:space="preserve"> </w:t>
      </w:r>
      <w:r w:rsidRPr="00AD611F">
        <w:lastRenderedPageBreak/>
        <w:t>were no apparent differences in patient demographics</w:t>
      </w:r>
      <w:r>
        <w:t xml:space="preserve"> </w:t>
      </w:r>
      <w:r w:rsidRPr="00AD611F">
        <w:t xml:space="preserve">and other baseline characteristics amongst the treatment groups by ixekizumab </w:t>
      </w:r>
      <w:r>
        <w:t>loading</w:t>
      </w:r>
      <w:r w:rsidRPr="00AD611F">
        <w:t xml:space="preserve"> dose</w:t>
      </w:r>
      <w:r>
        <w:t xml:space="preserve">. </w:t>
      </w:r>
      <w:r w:rsidRPr="006D1F0E">
        <w:t xml:space="preserve">Across all treatment groups, the mean and median baseline </w:t>
      </w:r>
      <w:r>
        <w:t>hs-CRP</w:t>
      </w:r>
      <w:r w:rsidRPr="006D1F0E">
        <w:t xml:space="preserve"> levels were 13.5 mg/L and 7.6 mg/L, respectively, and 64.4% of p</w:t>
      </w:r>
      <w:r w:rsidR="0040023D">
        <w:t xml:space="preserve">atients had </w:t>
      </w:r>
      <w:r>
        <w:t>hs-CRP level &gt;</w:t>
      </w:r>
      <w:r w:rsidR="00785281">
        <w:t xml:space="preserve"> </w:t>
      </w:r>
      <w:r>
        <w:t>5.0</w:t>
      </w:r>
      <w:r w:rsidR="001B7336">
        <w:t xml:space="preserve"> mg/L at Baseline. At B</w:t>
      </w:r>
      <w:r w:rsidRPr="006D1F0E">
        <w:t>aseline, 91.8% of patients were receiving NSAIDs, 36.8% of patients were receiving cDMARDs (predominantly sulfasalazine), and 9.4% of patients were receiving oral corticosteroids.</w:t>
      </w:r>
    </w:p>
    <w:p w14:paraId="0E18632C" w14:textId="45986E97" w:rsidR="000461E7" w:rsidRPr="00B37592" w:rsidRDefault="000461E7" w:rsidP="000461E7">
      <w:r w:rsidRPr="006D1F0E">
        <w:t xml:space="preserve">The primary objective was achieved for both </w:t>
      </w:r>
      <w:r>
        <w:t>ixekizumab</w:t>
      </w:r>
      <w:r w:rsidRPr="006D1F0E">
        <w:t xml:space="preserve"> treatment groups. A significantly greater percentage of patients achieved an ASAS</w:t>
      </w:r>
      <w:r>
        <w:t xml:space="preserve"> </w:t>
      </w:r>
      <w:r w:rsidRPr="006D1F0E">
        <w:t xml:space="preserve">40 response at Week 16 </w:t>
      </w:r>
      <w:r>
        <w:t>in the</w:t>
      </w:r>
      <w:r w:rsidRPr="006D1F0E">
        <w:t xml:space="preserve"> </w:t>
      </w:r>
      <w:r>
        <w:t>ixekizumab 80</w:t>
      </w:r>
      <w:r w:rsidR="0040023D">
        <w:t xml:space="preserve"> </w:t>
      </w:r>
      <w:r>
        <w:t>mg Q2W treatment group, the ixekizumab 80</w:t>
      </w:r>
      <w:r w:rsidR="0040023D">
        <w:t xml:space="preserve"> </w:t>
      </w:r>
      <w:r>
        <w:t>mg Q4W treatment group and in the</w:t>
      </w:r>
      <w:r w:rsidRPr="006D1F0E">
        <w:t xml:space="preserve"> adalimumab active reference group compared with the placebo group</w:t>
      </w:r>
      <w:r>
        <w:t xml:space="preserve"> </w:t>
      </w:r>
      <w:r w:rsidRPr="00B37592">
        <w:t>(</w:t>
      </w:r>
      <w:r w:rsidR="00873D6F">
        <w:t xml:space="preserve">see </w:t>
      </w:r>
      <w:r w:rsidR="00B37592" w:rsidRPr="00B37592">
        <w:fldChar w:fldCharType="begin"/>
      </w:r>
      <w:r w:rsidR="00B37592" w:rsidRPr="00B37592">
        <w:instrText xml:space="preserve"> REF _Ref40367731 \h </w:instrText>
      </w:r>
      <w:r w:rsidR="00B37592">
        <w:instrText xml:space="preserve"> \* MERGEFORMAT </w:instrText>
      </w:r>
      <w:r w:rsidR="00B37592" w:rsidRPr="00B37592">
        <w:fldChar w:fldCharType="separate"/>
      </w:r>
      <w:r w:rsidR="00B37592" w:rsidRPr="00B37592">
        <w:t>Table 3</w:t>
      </w:r>
      <w:r w:rsidR="00B37592" w:rsidRPr="00B37592">
        <w:fldChar w:fldCharType="end"/>
      </w:r>
      <w:r w:rsidRPr="00B37592">
        <w:t>).</w:t>
      </w:r>
    </w:p>
    <w:p w14:paraId="58A1430F" w14:textId="63024745" w:rsidR="000461E7" w:rsidRPr="00B70E19" w:rsidRDefault="000461E7" w:rsidP="00B37592">
      <w:pPr>
        <w:pStyle w:val="TableTitle"/>
      </w:pPr>
      <w:bookmarkStart w:id="42" w:name="_Ref40367731"/>
      <w:r w:rsidRPr="00B70E19">
        <w:t xml:space="preserve">Table </w:t>
      </w:r>
      <w:fldSimple w:instr=" SEQ Table \* ARABIC ">
        <w:r w:rsidR="000019C1">
          <w:rPr>
            <w:noProof/>
          </w:rPr>
          <w:t>3</w:t>
        </w:r>
      </w:fldSimple>
      <w:bookmarkEnd w:id="42"/>
      <w:r w:rsidRPr="00B70E19">
        <w:t xml:space="preserve">: COAST-V </w:t>
      </w:r>
      <w:r w:rsidR="00B912D8">
        <w:t xml:space="preserve">trial </w:t>
      </w:r>
      <w:r w:rsidRPr="00F64E7A">
        <w:t>ASAS</w:t>
      </w:r>
      <w:r w:rsidR="008C35BF">
        <w:t xml:space="preserve"> 40 at W</w:t>
      </w:r>
      <w:r w:rsidR="00B37592">
        <w:t>eek 16, intent to treat</w:t>
      </w:r>
      <w:r w:rsidRPr="00B70E19">
        <w:t xml:space="preserve"> population</w:t>
      </w:r>
    </w:p>
    <w:tbl>
      <w:tblPr>
        <w:tblStyle w:val="TableTGAblue"/>
        <w:tblW w:w="5000" w:type="pct"/>
        <w:tblLook w:val="04A0" w:firstRow="1" w:lastRow="0" w:firstColumn="1" w:lastColumn="0" w:noHBand="0" w:noVBand="1"/>
      </w:tblPr>
      <w:tblGrid>
        <w:gridCol w:w="2369"/>
        <w:gridCol w:w="1269"/>
        <w:gridCol w:w="1305"/>
        <w:gridCol w:w="1270"/>
        <w:gridCol w:w="1270"/>
        <w:gridCol w:w="1237"/>
      </w:tblGrid>
      <w:tr w:rsidR="00C82013" w:rsidRPr="005F7FF6" w14:paraId="22A67B87" w14:textId="77777777" w:rsidTr="00C80579">
        <w:trPr>
          <w:cnfStyle w:val="100000000000" w:firstRow="1" w:lastRow="0" w:firstColumn="0" w:lastColumn="0" w:oddVBand="0" w:evenVBand="0" w:oddHBand="0" w:evenHBand="0" w:firstRowFirstColumn="0" w:firstRowLastColumn="0" w:lastRowFirstColumn="0" w:lastRowLastColumn="0"/>
        </w:trPr>
        <w:tc>
          <w:tcPr>
            <w:tcW w:w="1362" w:type="pct"/>
          </w:tcPr>
          <w:p w14:paraId="3D967981" w14:textId="77777777" w:rsidR="000461E7" w:rsidRPr="005F7FF6" w:rsidRDefault="000461E7" w:rsidP="005F7FF6">
            <w:pPr>
              <w:ind w:left="0" w:right="0"/>
              <w:rPr>
                <w:sz w:val="20"/>
                <w:szCs w:val="20"/>
              </w:rPr>
            </w:pPr>
          </w:p>
        </w:tc>
        <w:tc>
          <w:tcPr>
            <w:tcW w:w="731" w:type="pct"/>
          </w:tcPr>
          <w:p w14:paraId="50C028A6" w14:textId="77777777" w:rsidR="000461E7" w:rsidRPr="005F7FF6" w:rsidRDefault="000461E7" w:rsidP="005F7FF6">
            <w:pPr>
              <w:ind w:left="0" w:right="0"/>
              <w:rPr>
                <w:sz w:val="20"/>
                <w:szCs w:val="20"/>
              </w:rPr>
            </w:pPr>
            <w:r w:rsidRPr="005F7FF6">
              <w:rPr>
                <w:sz w:val="20"/>
                <w:szCs w:val="20"/>
              </w:rPr>
              <w:t>PBO</w:t>
            </w:r>
          </w:p>
          <w:p w14:paraId="76E43986" w14:textId="77777777" w:rsidR="000461E7" w:rsidRPr="005F7FF6" w:rsidRDefault="000461E7" w:rsidP="005F7FF6">
            <w:pPr>
              <w:ind w:left="0" w:right="0"/>
              <w:rPr>
                <w:sz w:val="20"/>
                <w:szCs w:val="20"/>
              </w:rPr>
            </w:pPr>
            <w:r w:rsidRPr="005F7FF6">
              <w:rPr>
                <w:sz w:val="20"/>
                <w:szCs w:val="20"/>
              </w:rPr>
              <w:t>(N</w:t>
            </w:r>
            <w:r w:rsidRPr="005F7FF6">
              <w:rPr>
                <w:spacing w:val="-2"/>
                <w:sz w:val="20"/>
                <w:szCs w:val="20"/>
              </w:rPr>
              <w:t xml:space="preserve"> </w:t>
            </w:r>
            <w:r w:rsidRPr="005F7FF6">
              <w:rPr>
                <w:sz w:val="20"/>
                <w:szCs w:val="20"/>
              </w:rPr>
              <w:t>=</w:t>
            </w:r>
            <w:r w:rsidRPr="005F7FF6">
              <w:rPr>
                <w:spacing w:val="-1"/>
                <w:sz w:val="20"/>
                <w:szCs w:val="20"/>
              </w:rPr>
              <w:t xml:space="preserve"> </w:t>
            </w:r>
            <w:r w:rsidRPr="005F7FF6">
              <w:rPr>
                <w:sz w:val="20"/>
                <w:szCs w:val="20"/>
              </w:rPr>
              <w:t>87)</w:t>
            </w:r>
          </w:p>
        </w:tc>
        <w:tc>
          <w:tcPr>
            <w:tcW w:w="732" w:type="pct"/>
          </w:tcPr>
          <w:p w14:paraId="3CDB3B93" w14:textId="74525BA3" w:rsidR="000461E7" w:rsidRPr="005F7FF6" w:rsidRDefault="000461E7" w:rsidP="005F7FF6">
            <w:pPr>
              <w:ind w:left="0" w:right="0"/>
              <w:rPr>
                <w:sz w:val="20"/>
                <w:szCs w:val="20"/>
              </w:rPr>
            </w:pPr>
            <w:r w:rsidRPr="005F7FF6">
              <w:rPr>
                <w:sz w:val="20"/>
                <w:szCs w:val="20"/>
              </w:rPr>
              <w:t>ADA40Q2W</w:t>
            </w:r>
          </w:p>
          <w:p w14:paraId="418946E0" w14:textId="77777777" w:rsidR="000461E7" w:rsidRPr="005F7FF6" w:rsidRDefault="000461E7" w:rsidP="005F7FF6">
            <w:pPr>
              <w:ind w:left="0" w:right="0"/>
              <w:rPr>
                <w:sz w:val="20"/>
                <w:szCs w:val="20"/>
              </w:rPr>
            </w:pPr>
            <w:r w:rsidRPr="005F7FF6">
              <w:rPr>
                <w:sz w:val="20"/>
                <w:szCs w:val="20"/>
              </w:rPr>
              <w:t>(N</w:t>
            </w:r>
            <w:r w:rsidRPr="005F7FF6">
              <w:rPr>
                <w:spacing w:val="-2"/>
                <w:sz w:val="20"/>
                <w:szCs w:val="20"/>
              </w:rPr>
              <w:t xml:space="preserve"> </w:t>
            </w:r>
            <w:r w:rsidRPr="005F7FF6">
              <w:rPr>
                <w:sz w:val="20"/>
                <w:szCs w:val="20"/>
              </w:rPr>
              <w:t>=</w:t>
            </w:r>
            <w:r w:rsidRPr="005F7FF6">
              <w:rPr>
                <w:spacing w:val="-1"/>
                <w:sz w:val="20"/>
                <w:szCs w:val="20"/>
              </w:rPr>
              <w:t xml:space="preserve"> </w:t>
            </w:r>
            <w:r w:rsidRPr="005F7FF6">
              <w:rPr>
                <w:sz w:val="20"/>
                <w:szCs w:val="20"/>
              </w:rPr>
              <w:t>90)</w:t>
            </w:r>
          </w:p>
        </w:tc>
        <w:tc>
          <w:tcPr>
            <w:tcW w:w="731" w:type="pct"/>
          </w:tcPr>
          <w:p w14:paraId="66C29F38" w14:textId="7B4C558E" w:rsidR="000461E7" w:rsidRPr="005F7FF6" w:rsidRDefault="000461E7" w:rsidP="005F7FF6">
            <w:pPr>
              <w:ind w:left="0" w:right="0"/>
              <w:rPr>
                <w:sz w:val="20"/>
                <w:szCs w:val="20"/>
              </w:rPr>
            </w:pPr>
            <w:r w:rsidRPr="005F7FF6">
              <w:rPr>
                <w:sz w:val="20"/>
                <w:szCs w:val="20"/>
              </w:rPr>
              <w:t>IXE80Q4W</w:t>
            </w:r>
          </w:p>
          <w:p w14:paraId="53631377" w14:textId="77777777" w:rsidR="000461E7" w:rsidRPr="005F7FF6" w:rsidRDefault="000461E7" w:rsidP="005F7FF6">
            <w:pPr>
              <w:ind w:left="0" w:right="0"/>
              <w:rPr>
                <w:sz w:val="20"/>
                <w:szCs w:val="20"/>
              </w:rPr>
            </w:pPr>
            <w:r w:rsidRPr="005F7FF6">
              <w:rPr>
                <w:sz w:val="20"/>
                <w:szCs w:val="20"/>
              </w:rPr>
              <w:t>(N</w:t>
            </w:r>
            <w:r w:rsidRPr="005F7FF6">
              <w:rPr>
                <w:spacing w:val="-2"/>
                <w:sz w:val="20"/>
                <w:szCs w:val="20"/>
              </w:rPr>
              <w:t xml:space="preserve"> </w:t>
            </w:r>
            <w:r w:rsidRPr="005F7FF6">
              <w:rPr>
                <w:sz w:val="20"/>
                <w:szCs w:val="20"/>
              </w:rPr>
              <w:t>=</w:t>
            </w:r>
            <w:r w:rsidRPr="005F7FF6">
              <w:rPr>
                <w:spacing w:val="-1"/>
                <w:sz w:val="20"/>
                <w:szCs w:val="20"/>
              </w:rPr>
              <w:t xml:space="preserve"> </w:t>
            </w:r>
            <w:r w:rsidRPr="005F7FF6">
              <w:rPr>
                <w:sz w:val="20"/>
                <w:szCs w:val="20"/>
              </w:rPr>
              <w:t>81)</w:t>
            </w:r>
          </w:p>
        </w:tc>
        <w:tc>
          <w:tcPr>
            <w:tcW w:w="731" w:type="pct"/>
          </w:tcPr>
          <w:p w14:paraId="4E9E1B19" w14:textId="669E95B0" w:rsidR="000461E7" w:rsidRPr="005F7FF6" w:rsidRDefault="000461E7" w:rsidP="005F7FF6">
            <w:pPr>
              <w:ind w:left="0" w:right="0"/>
              <w:rPr>
                <w:sz w:val="20"/>
                <w:szCs w:val="20"/>
              </w:rPr>
            </w:pPr>
            <w:r w:rsidRPr="005F7FF6">
              <w:rPr>
                <w:sz w:val="20"/>
                <w:szCs w:val="20"/>
              </w:rPr>
              <w:t>IXE80Q2W</w:t>
            </w:r>
          </w:p>
          <w:p w14:paraId="22826AFF" w14:textId="77777777" w:rsidR="000461E7" w:rsidRPr="005F7FF6" w:rsidRDefault="000461E7" w:rsidP="005F7FF6">
            <w:pPr>
              <w:ind w:left="0" w:right="0"/>
              <w:rPr>
                <w:sz w:val="20"/>
                <w:szCs w:val="20"/>
              </w:rPr>
            </w:pPr>
            <w:r w:rsidRPr="005F7FF6">
              <w:rPr>
                <w:sz w:val="20"/>
                <w:szCs w:val="20"/>
              </w:rPr>
              <w:t>(N = 83)</w:t>
            </w:r>
          </w:p>
        </w:tc>
        <w:tc>
          <w:tcPr>
            <w:tcW w:w="712" w:type="pct"/>
          </w:tcPr>
          <w:p w14:paraId="004F751C" w14:textId="77777777" w:rsidR="000461E7" w:rsidRPr="005F7FF6" w:rsidRDefault="000461E7" w:rsidP="005F7FF6">
            <w:pPr>
              <w:ind w:left="0" w:right="0"/>
              <w:rPr>
                <w:sz w:val="20"/>
                <w:szCs w:val="20"/>
              </w:rPr>
            </w:pPr>
            <w:r w:rsidRPr="005F7FF6">
              <w:rPr>
                <w:sz w:val="20"/>
                <w:szCs w:val="20"/>
              </w:rPr>
              <w:t>Total</w:t>
            </w:r>
            <w:r w:rsidRPr="005F7FF6">
              <w:rPr>
                <w:spacing w:val="-5"/>
                <w:sz w:val="20"/>
                <w:szCs w:val="20"/>
              </w:rPr>
              <w:t xml:space="preserve"> </w:t>
            </w:r>
            <w:r w:rsidRPr="005F7FF6">
              <w:rPr>
                <w:sz w:val="20"/>
                <w:szCs w:val="20"/>
              </w:rPr>
              <w:t>IXE</w:t>
            </w:r>
          </w:p>
          <w:p w14:paraId="034C56B1" w14:textId="77777777" w:rsidR="000461E7" w:rsidRPr="005F7FF6" w:rsidRDefault="000461E7" w:rsidP="005F7FF6">
            <w:pPr>
              <w:ind w:left="0" w:right="0"/>
              <w:rPr>
                <w:sz w:val="20"/>
                <w:szCs w:val="20"/>
              </w:rPr>
            </w:pPr>
            <w:r w:rsidRPr="005F7FF6">
              <w:rPr>
                <w:sz w:val="20"/>
                <w:szCs w:val="20"/>
              </w:rPr>
              <w:t>(N = 164)</w:t>
            </w:r>
          </w:p>
        </w:tc>
      </w:tr>
      <w:tr w:rsidR="00C82013" w:rsidRPr="005F7FF6" w14:paraId="5606AD5E" w14:textId="77777777" w:rsidTr="00C80579">
        <w:trPr>
          <w:trHeight w:val="283"/>
        </w:trPr>
        <w:tc>
          <w:tcPr>
            <w:tcW w:w="1362" w:type="pct"/>
          </w:tcPr>
          <w:p w14:paraId="67DDA6DF" w14:textId="41D59736" w:rsidR="000461E7" w:rsidRPr="005F7FF6" w:rsidRDefault="000461E7" w:rsidP="005F7FF6">
            <w:pPr>
              <w:ind w:left="0" w:right="0"/>
              <w:rPr>
                <w:sz w:val="20"/>
                <w:szCs w:val="20"/>
              </w:rPr>
            </w:pPr>
            <w:r w:rsidRPr="005F7FF6">
              <w:rPr>
                <w:sz w:val="20"/>
                <w:szCs w:val="20"/>
              </w:rPr>
              <w:t>ASAS</w:t>
            </w:r>
            <w:r w:rsidR="006929E0" w:rsidRPr="005F7FF6">
              <w:rPr>
                <w:sz w:val="20"/>
                <w:szCs w:val="20"/>
              </w:rPr>
              <w:t xml:space="preserve"> </w:t>
            </w:r>
            <w:r w:rsidRPr="005F7FF6">
              <w:rPr>
                <w:sz w:val="20"/>
                <w:szCs w:val="20"/>
              </w:rPr>
              <w:t>40</w:t>
            </w:r>
            <w:r w:rsidRPr="005F7FF6">
              <w:rPr>
                <w:spacing w:val="-6"/>
                <w:sz w:val="20"/>
                <w:szCs w:val="20"/>
              </w:rPr>
              <w:t xml:space="preserve"> </w:t>
            </w:r>
            <w:r w:rsidRPr="005F7FF6">
              <w:rPr>
                <w:sz w:val="20"/>
                <w:szCs w:val="20"/>
              </w:rPr>
              <w:t>at</w:t>
            </w:r>
            <w:r w:rsidRPr="005F7FF6">
              <w:rPr>
                <w:spacing w:val="-2"/>
                <w:sz w:val="20"/>
                <w:szCs w:val="20"/>
              </w:rPr>
              <w:t xml:space="preserve"> </w:t>
            </w:r>
            <w:r w:rsidRPr="005F7FF6">
              <w:rPr>
                <w:sz w:val="20"/>
                <w:szCs w:val="20"/>
              </w:rPr>
              <w:t>Week</w:t>
            </w:r>
            <w:r w:rsidRPr="005F7FF6">
              <w:rPr>
                <w:spacing w:val="-4"/>
                <w:sz w:val="20"/>
                <w:szCs w:val="20"/>
              </w:rPr>
              <w:t xml:space="preserve"> </w:t>
            </w:r>
            <w:r w:rsidRPr="005F7FF6">
              <w:rPr>
                <w:sz w:val="20"/>
                <w:szCs w:val="20"/>
              </w:rPr>
              <w:t>16</w:t>
            </w:r>
            <w:r w:rsidRPr="005F7FF6">
              <w:rPr>
                <w:spacing w:val="-2"/>
                <w:sz w:val="20"/>
                <w:szCs w:val="20"/>
              </w:rPr>
              <w:t xml:space="preserve"> </w:t>
            </w:r>
            <w:r w:rsidRPr="005F7FF6">
              <w:rPr>
                <w:sz w:val="20"/>
                <w:szCs w:val="20"/>
              </w:rPr>
              <w:t>(NRI)</w:t>
            </w:r>
          </w:p>
        </w:tc>
        <w:tc>
          <w:tcPr>
            <w:tcW w:w="731" w:type="pct"/>
          </w:tcPr>
          <w:p w14:paraId="3D57A5D8" w14:textId="77777777" w:rsidR="000461E7" w:rsidRPr="005F7FF6" w:rsidRDefault="000461E7" w:rsidP="005F7FF6">
            <w:pPr>
              <w:ind w:left="0" w:right="0"/>
              <w:rPr>
                <w:sz w:val="20"/>
                <w:szCs w:val="20"/>
              </w:rPr>
            </w:pPr>
            <w:r w:rsidRPr="005F7FF6">
              <w:rPr>
                <w:sz w:val="20"/>
                <w:szCs w:val="20"/>
              </w:rPr>
              <w:t>16</w:t>
            </w:r>
            <w:r w:rsidRPr="005F7FF6">
              <w:rPr>
                <w:spacing w:val="-2"/>
                <w:sz w:val="20"/>
                <w:szCs w:val="20"/>
              </w:rPr>
              <w:t xml:space="preserve"> </w:t>
            </w:r>
            <w:r w:rsidRPr="005F7FF6">
              <w:rPr>
                <w:sz w:val="20"/>
                <w:szCs w:val="20"/>
              </w:rPr>
              <w:t>(</w:t>
            </w:r>
            <w:r w:rsidRPr="005F7FF6">
              <w:rPr>
                <w:spacing w:val="-1"/>
                <w:sz w:val="20"/>
                <w:szCs w:val="20"/>
              </w:rPr>
              <w:t>18.4</w:t>
            </w:r>
            <w:r w:rsidRPr="005F7FF6">
              <w:rPr>
                <w:sz w:val="20"/>
                <w:szCs w:val="20"/>
              </w:rPr>
              <w:t>%)</w:t>
            </w:r>
          </w:p>
        </w:tc>
        <w:tc>
          <w:tcPr>
            <w:tcW w:w="732" w:type="pct"/>
          </w:tcPr>
          <w:p w14:paraId="6682361E" w14:textId="77777777" w:rsidR="000461E7" w:rsidRPr="005F7FF6" w:rsidRDefault="000461E7" w:rsidP="005F7FF6">
            <w:pPr>
              <w:ind w:left="0" w:right="0"/>
              <w:rPr>
                <w:sz w:val="20"/>
                <w:szCs w:val="20"/>
              </w:rPr>
            </w:pPr>
            <w:r w:rsidRPr="005F7FF6">
              <w:rPr>
                <w:sz w:val="20"/>
                <w:szCs w:val="20"/>
              </w:rPr>
              <w:t>32</w:t>
            </w:r>
            <w:r w:rsidRPr="005F7FF6">
              <w:rPr>
                <w:spacing w:val="-2"/>
                <w:sz w:val="20"/>
                <w:szCs w:val="20"/>
              </w:rPr>
              <w:t xml:space="preserve"> </w:t>
            </w:r>
            <w:r w:rsidRPr="005F7FF6">
              <w:rPr>
                <w:sz w:val="20"/>
                <w:szCs w:val="20"/>
              </w:rPr>
              <w:t>(</w:t>
            </w:r>
            <w:r w:rsidRPr="005F7FF6">
              <w:rPr>
                <w:spacing w:val="-1"/>
                <w:sz w:val="20"/>
                <w:szCs w:val="20"/>
              </w:rPr>
              <w:t>35.6</w:t>
            </w:r>
            <w:r w:rsidRPr="005F7FF6">
              <w:rPr>
                <w:sz w:val="20"/>
                <w:szCs w:val="20"/>
              </w:rPr>
              <w:t>%)</w:t>
            </w:r>
          </w:p>
        </w:tc>
        <w:tc>
          <w:tcPr>
            <w:tcW w:w="731" w:type="pct"/>
          </w:tcPr>
          <w:p w14:paraId="2C631742" w14:textId="77777777" w:rsidR="000461E7" w:rsidRPr="005F7FF6" w:rsidRDefault="000461E7" w:rsidP="005F7FF6">
            <w:pPr>
              <w:ind w:left="0" w:right="0"/>
              <w:rPr>
                <w:sz w:val="20"/>
                <w:szCs w:val="20"/>
              </w:rPr>
            </w:pPr>
            <w:r w:rsidRPr="005F7FF6">
              <w:rPr>
                <w:sz w:val="20"/>
                <w:szCs w:val="20"/>
              </w:rPr>
              <w:t>39</w:t>
            </w:r>
            <w:r w:rsidRPr="005F7FF6">
              <w:rPr>
                <w:spacing w:val="-2"/>
                <w:sz w:val="20"/>
                <w:szCs w:val="20"/>
              </w:rPr>
              <w:t xml:space="preserve"> </w:t>
            </w:r>
            <w:r w:rsidRPr="005F7FF6">
              <w:rPr>
                <w:sz w:val="20"/>
                <w:szCs w:val="20"/>
              </w:rPr>
              <w:t>(</w:t>
            </w:r>
            <w:r w:rsidRPr="005F7FF6">
              <w:rPr>
                <w:spacing w:val="-1"/>
                <w:sz w:val="20"/>
                <w:szCs w:val="20"/>
              </w:rPr>
              <w:t>48.1</w:t>
            </w:r>
            <w:r w:rsidRPr="005F7FF6">
              <w:rPr>
                <w:sz w:val="20"/>
                <w:szCs w:val="20"/>
              </w:rPr>
              <w:t>%)</w:t>
            </w:r>
          </w:p>
        </w:tc>
        <w:tc>
          <w:tcPr>
            <w:tcW w:w="731" w:type="pct"/>
          </w:tcPr>
          <w:p w14:paraId="70800A34" w14:textId="77777777" w:rsidR="000461E7" w:rsidRPr="005F7FF6" w:rsidRDefault="000461E7" w:rsidP="005F7FF6">
            <w:pPr>
              <w:ind w:left="0" w:right="0"/>
              <w:rPr>
                <w:sz w:val="20"/>
                <w:szCs w:val="20"/>
              </w:rPr>
            </w:pPr>
            <w:r w:rsidRPr="005F7FF6">
              <w:rPr>
                <w:sz w:val="20"/>
                <w:szCs w:val="20"/>
              </w:rPr>
              <w:t>43</w:t>
            </w:r>
            <w:r w:rsidRPr="005F7FF6">
              <w:rPr>
                <w:spacing w:val="-2"/>
                <w:sz w:val="20"/>
                <w:szCs w:val="20"/>
              </w:rPr>
              <w:t xml:space="preserve"> </w:t>
            </w:r>
            <w:r w:rsidRPr="005F7FF6">
              <w:rPr>
                <w:sz w:val="20"/>
                <w:szCs w:val="20"/>
              </w:rPr>
              <w:t>(</w:t>
            </w:r>
            <w:r w:rsidRPr="005F7FF6">
              <w:rPr>
                <w:spacing w:val="-1"/>
                <w:sz w:val="20"/>
                <w:szCs w:val="20"/>
              </w:rPr>
              <w:t>51.8</w:t>
            </w:r>
            <w:r w:rsidRPr="005F7FF6">
              <w:rPr>
                <w:sz w:val="20"/>
                <w:szCs w:val="20"/>
              </w:rPr>
              <w:t>%)</w:t>
            </w:r>
          </w:p>
        </w:tc>
        <w:tc>
          <w:tcPr>
            <w:tcW w:w="712" w:type="pct"/>
          </w:tcPr>
          <w:p w14:paraId="7B1454D0" w14:textId="77777777" w:rsidR="000461E7" w:rsidRPr="005F7FF6" w:rsidRDefault="000461E7" w:rsidP="005F7FF6">
            <w:pPr>
              <w:ind w:left="0" w:right="0"/>
              <w:rPr>
                <w:sz w:val="20"/>
                <w:szCs w:val="20"/>
              </w:rPr>
            </w:pPr>
            <w:r w:rsidRPr="005F7FF6">
              <w:rPr>
                <w:sz w:val="20"/>
                <w:szCs w:val="20"/>
              </w:rPr>
              <w:t>82</w:t>
            </w:r>
            <w:r w:rsidRPr="005F7FF6">
              <w:rPr>
                <w:spacing w:val="-2"/>
                <w:sz w:val="20"/>
                <w:szCs w:val="20"/>
              </w:rPr>
              <w:t xml:space="preserve"> </w:t>
            </w:r>
            <w:r w:rsidRPr="005F7FF6">
              <w:rPr>
                <w:sz w:val="20"/>
                <w:szCs w:val="20"/>
              </w:rPr>
              <w:t>(</w:t>
            </w:r>
            <w:r w:rsidRPr="005F7FF6">
              <w:rPr>
                <w:spacing w:val="-1"/>
                <w:sz w:val="20"/>
                <w:szCs w:val="20"/>
              </w:rPr>
              <w:t>50.0</w:t>
            </w:r>
            <w:r w:rsidRPr="005F7FF6">
              <w:rPr>
                <w:sz w:val="20"/>
                <w:szCs w:val="20"/>
              </w:rPr>
              <w:t>%)</w:t>
            </w:r>
          </w:p>
        </w:tc>
      </w:tr>
      <w:tr w:rsidR="00C82013" w:rsidRPr="005F7FF6" w14:paraId="5B25874D" w14:textId="77777777" w:rsidTr="00C80579">
        <w:trPr>
          <w:trHeight w:val="283"/>
        </w:trPr>
        <w:tc>
          <w:tcPr>
            <w:tcW w:w="1362" w:type="pct"/>
          </w:tcPr>
          <w:p w14:paraId="5935C816" w14:textId="77777777" w:rsidR="000461E7" w:rsidRPr="005F7FF6" w:rsidRDefault="000461E7" w:rsidP="005F7FF6">
            <w:pPr>
              <w:ind w:left="0" w:right="0"/>
              <w:rPr>
                <w:sz w:val="20"/>
                <w:szCs w:val="20"/>
              </w:rPr>
            </w:pPr>
            <w:r w:rsidRPr="005F7FF6">
              <w:rPr>
                <w:sz w:val="20"/>
                <w:szCs w:val="20"/>
              </w:rPr>
              <w:t>95%</w:t>
            </w:r>
            <w:r w:rsidRPr="005F7FF6">
              <w:rPr>
                <w:spacing w:val="-6"/>
                <w:sz w:val="20"/>
                <w:szCs w:val="20"/>
              </w:rPr>
              <w:t xml:space="preserve"> </w:t>
            </w:r>
            <w:r w:rsidRPr="005F7FF6">
              <w:rPr>
                <w:sz w:val="20"/>
                <w:szCs w:val="20"/>
              </w:rPr>
              <w:t>CI</w:t>
            </w:r>
            <w:r w:rsidRPr="005F7FF6">
              <w:rPr>
                <w:sz w:val="20"/>
                <w:szCs w:val="20"/>
                <w:vertAlign w:val="superscript"/>
              </w:rPr>
              <w:t>*b</w:t>
            </w:r>
          </w:p>
        </w:tc>
        <w:tc>
          <w:tcPr>
            <w:tcW w:w="731" w:type="pct"/>
          </w:tcPr>
          <w:p w14:paraId="7F49E521" w14:textId="77777777" w:rsidR="000461E7" w:rsidRPr="005F7FF6" w:rsidRDefault="000461E7" w:rsidP="005F7FF6">
            <w:pPr>
              <w:ind w:left="0" w:right="0"/>
              <w:rPr>
                <w:sz w:val="20"/>
                <w:szCs w:val="20"/>
              </w:rPr>
            </w:pPr>
            <w:r w:rsidRPr="005F7FF6">
              <w:rPr>
                <w:sz w:val="20"/>
                <w:szCs w:val="20"/>
              </w:rPr>
              <w:t>(10.3%,</w:t>
            </w:r>
            <w:r w:rsidRPr="005F7FF6">
              <w:rPr>
                <w:spacing w:val="-13"/>
                <w:sz w:val="20"/>
                <w:szCs w:val="20"/>
              </w:rPr>
              <w:t xml:space="preserve"> </w:t>
            </w:r>
            <w:r w:rsidRPr="005F7FF6">
              <w:rPr>
                <w:sz w:val="20"/>
                <w:szCs w:val="20"/>
              </w:rPr>
              <w:t>26.5%)</w:t>
            </w:r>
          </w:p>
        </w:tc>
        <w:tc>
          <w:tcPr>
            <w:tcW w:w="732" w:type="pct"/>
          </w:tcPr>
          <w:p w14:paraId="50E82DD4" w14:textId="77777777" w:rsidR="000461E7" w:rsidRPr="005F7FF6" w:rsidRDefault="000461E7" w:rsidP="005F7FF6">
            <w:pPr>
              <w:ind w:left="0" w:right="0"/>
              <w:rPr>
                <w:sz w:val="20"/>
                <w:szCs w:val="20"/>
              </w:rPr>
            </w:pPr>
            <w:r w:rsidRPr="005F7FF6">
              <w:rPr>
                <w:sz w:val="20"/>
                <w:szCs w:val="20"/>
              </w:rPr>
              <w:t>(25.7%,</w:t>
            </w:r>
            <w:r w:rsidRPr="005F7FF6">
              <w:rPr>
                <w:spacing w:val="-13"/>
                <w:sz w:val="20"/>
                <w:szCs w:val="20"/>
              </w:rPr>
              <w:t xml:space="preserve"> </w:t>
            </w:r>
            <w:r w:rsidRPr="005F7FF6">
              <w:rPr>
                <w:sz w:val="20"/>
                <w:szCs w:val="20"/>
              </w:rPr>
              <w:t>45.4%)</w:t>
            </w:r>
          </w:p>
        </w:tc>
        <w:tc>
          <w:tcPr>
            <w:tcW w:w="731" w:type="pct"/>
          </w:tcPr>
          <w:p w14:paraId="76330E2E" w14:textId="77777777" w:rsidR="000461E7" w:rsidRPr="005F7FF6" w:rsidRDefault="000461E7" w:rsidP="005F7FF6">
            <w:pPr>
              <w:ind w:left="0" w:right="0"/>
              <w:rPr>
                <w:sz w:val="20"/>
                <w:szCs w:val="20"/>
              </w:rPr>
            </w:pPr>
            <w:r w:rsidRPr="005F7FF6">
              <w:rPr>
                <w:sz w:val="20"/>
                <w:szCs w:val="20"/>
              </w:rPr>
              <w:t>(37.3%,</w:t>
            </w:r>
            <w:r w:rsidRPr="005F7FF6">
              <w:rPr>
                <w:spacing w:val="-13"/>
                <w:sz w:val="20"/>
                <w:szCs w:val="20"/>
              </w:rPr>
              <w:t xml:space="preserve"> </w:t>
            </w:r>
            <w:r w:rsidRPr="005F7FF6">
              <w:rPr>
                <w:sz w:val="20"/>
                <w:szCs w:val="20"/>
              </w:rPr>
              <w:t>59.0%)</w:t>
            </w:r>
          </w:p>
        </w:tc>
        <w:tc>
          <w:tcPr>
            <w:tcW w:w="731" w:type="pct"/>
          </w:tcPr>
          <w:p w14:paraId="1FB3F7B2" w14:textId="77777777" w:rsidR="000461E7" w:rsidRPr="005F7FF6" w:rsidRDefault="000461E7" w:rsidP="005F7FF6">
            <w:pPr>
              <w:ind w:left="0" w:right="0"/>
              <w:rPr>
                <w:sz w:val="20"/>
                <w:szCs w:val="20"/>
              </w:rPr>
            </w:pPr>
            <w:r w:rsidRPr="005F7FF6">
              <w:rPr>
                <w:sz w:val="20"/>
                <w:szCs w:val="20"/>
              </w:rPr>
              <w:t>(41.1%,</w:t>
            </w:r>
            <w:r w:rsidRPr="005F7FF6">
              <w:rPr>
                <w:spacing w:val="-8"/>
                <w:sz w:val="20"/>
                <w:szCs w:val="20"/>
              </w:rPr>
              <w:t xml:space="preserve"> </w:t>
            </w:r>
            <w:r w:rsidRPr="005F7FF6">
              <w:rPr>
                <w:sz w:val="20"/>
                <w:szCs w:val="20"/>
              </w:rPr>
              <w:t>62.6%)</w:t>
            </w:r>
          </w:p>
        </w:tc>
        <w:tc>
          <w:tcPr>
            <w:tcW w:w="712" w:type="pct"/>
          </w:tcPr>
          <w:p w14:paraId="56321A3D" w14:textId="77777777" w:rsidR="000461E7" w:rsidRPr="005F7FF6" w:rsidRDefault="000461E7" w:rsidP="005F7FF6">
            <w:pPr>
              <w:ind w:left="0" w:right="0"/>
              <w:rPr>
                <w:sz w:val="20"/>
                <w:szCs w:val="20"/>
              </w:rPr>
            </w:pPr>
          </w:p>
        </w:tc>
      </w:tr>
      <w:tr w:rsidR="00C82013" w:rsidRPr="005F7FF6" w14:paraId="67AF5BBF" w14:textId="77777777" w:rsidTr="00C80579">
        <w:trPr>
          <w:trHeight w:val="283"/>
        </w:trPr>
        <w:tc>
          <w:tcPr>
            <w:tcW w:w="1362" w:type="pct"/>
          </w:tcPr>
          <w:p w14:paraId="49C47974" w14:textId="4E404406" w:rsidR="000461E7" w:rsidRPr="005F7FF6" w:rsidRDefault="000461E7" w:rsidP="005F7FF6">
            <w:pPr>
              <w:ind w:left="0" w:right="0"/>
              <w:rPr>
                <w:sz w:val="20"/>
                <w:szCs w:val="20"/>
              </w:rPr>
            </w:pPr>
            <w:r w:rsidRPr="005F7FF6">
              <w:rPr>
                <w:sz w:val="20"/>
                <w:szCs w:val="20"/>
              </w:rPr>
              <w:t>Odds</w:t>
            </w:r>
            <w:r w:rsidRPr="005F7FF6">
              <w:rPr>
                <w:spacing w:val="-8"/>
                <w:sz w:val="20"/>
                <w:szCs w:val="20"/>
              </w:rPr>
              <w:t xml:space="preserve"> </w:t>
            </w:r>
            <w:r w:rsidR="00C82013">
              <w:rPr>
                <w:sz w:val="20"/>
                <w:szCs w:val="20"/>
              </w:rPr>
              <w:t>r</w:t>
            </w:r>
            <w:r w:rsidRPr="005F7FF6">
              <w:rPr>
                <w:sz w:val="20"/>
                <w:szCs w:val="20"/>
              </w:rPr>
              <w:t>atio</w:t>
            </w:r>
            <w:r w:rsidRPr="005F7FF6">
              <w:rPr>
                <w:spacing w:val="-10"/>
                <w:sz w:val="20"/>
                <w:szCs w:val="20"/>
              </w:rPr>
              <w:t xml:space="preserve"> </w:t>
            </w:r>
            <w:r w:rsidRPr="005F7FF6">
              <w:rPr>
                <w:sz w:val="20"/>
                <w:szCs w:val="20"/>
              </w:rPr>
              <w:t>(95%</w:t>
            </w:r>
            <w:r w:rsidRPr="005F7FF6">
              <w:rPr>
                <w:spacing w:val="-8"/>
                <w:sz w:val="20"/>
                <w:szCs w:val="20"/>
              </w:rPr>
              <w:t xml:space="preserve"> </w:t>
            </w:r>
            <w:r w:rsidRPr="005F7FF6">
              <w:rPr>
                <w:sz w:val="20"/>
                <w:szCs w:val="20"/>
              </w:rPr>
              <w:t>CI)</w:t>
            </w:r>
            <w:r w:rsidRPr="005F7FF6">
              <w:rPr>
                <w:spacing w:val="-6"/>
                <w:sz w:val="20"/>
                <w:szCs w:val="20"/>
              </w:rPr>
              <w:t xml:space="preserve"> </w:t>
            </w:r>
            <w:r w:rsidR="000E5BAC" w:rsidRPr="005F7FF6">
              <w:rPr>
                <w:sz w:val="20"/>
                <w:szCs w:val="20"/>
              </w:rPr>
              <w:t>versus</w:t>
            </w:r>
            <w:r w:rsidRPr="005F7FF6">
              <w:rPr>
                <w:spacing w:val="-6"/>
                <w:sz w:val="20"/>
                <w:szCs w:val="20"/>
              </w:rPr>
              <w:t xml:space="preserve"> </w:t>
            </w:r>
            <w:r w:rsidRPr="005F7FF6">
              <w:rPr>
                <w:sz w:val="20"/>
                <w:szCs w:val="20"/>
              </w:rPr>
              <w:t>PBO</w:t>
            </w:r>
            <w:r w:rsidRPr="005F7FF6">
              <w:rPr>
                <w:sz w:val="20"/>
                <w:szCs w:val="20"/>
                <w:vertAlign w:val="superscript"/>
              </w:rPr>
              <w:t>*a</w:t>
            </w:r>
          </w:p>
        </w:tc>
        <w:tc>
          <w:tcPr>
            <w:tcW w:w="731" w:type="pct"/>
          </w:tcPr>
          <w:p w14:paraId="117420E0" w14:textId="77777777" w:rsidR="000461E7" w:rsidRPr="005F7FF6" w:rsidRDefault="000461E7" w:rsidP="005F7FF6">
            <w:pPr>
              <w:ind w:left="0" w:right="0"/>
              <w:rPr>
                <w:sz w:val="20"/>
                <w:szCs w:val="20"/>
              </w:rPr>
            </w:pPr>
          </w:p>
        </w:tc>
        <w:tc>
          <w:tcPr>
            <w:tcW w:w="732" w:type="pct"/>
          </w:tcPr>
          <w:p w14:paraId="2F1DDAA9" w14:textId="77777777" w:rsidR="000461E7" w:rsidRPr="005F7FF6" w:rsidRDefault="000461E7" w:rsidP="005F7FF6">
            <w:pPr>
              <w:ind w:left="0" w:right="0"/>
              <w:rPr>
                <w:sz w:val="20"/>
                <w:szCs w:val="20"/>
              </w:rPr>
            </w:pPr>
            <w:r w:rsidRPr="005F7FF6">
              <w:rPr>
                <w:sz w:val="20"/>
                <w:szCs w:val="20"/>
              </w:rPr>
              <w:t>2.73</w:t>
            </w:r>
          </w:p>
          <w:p w14:paraId="275A6275" w14:textId="77777777" w:rsidR="000461E7" w:rsidRPr="005F7FF6" w:rsidRDefault="000461E7" w:rsidP="005F7FF6">
            <w:pPr>
              <w:ind w:left="0" w:right="0"/>
              <w:rPr>
                <w:sz w:val="20"/>
                <w:szCs w:val="20"/>
              </w:rPr>
            </w:pPr>
            <w:r w:rsidRPr="005F7FF6">
              <w:rPr>
                <w:sz w:val="20"/>
                <w:szCs w:val="20"/>
              </w:rPr>
              <w:t>(1.35,</w:t>
            </w:r>
            <w:r w:rsidRPr="005F7FF6">
              <w:rPr>
                <w:spacing w:val="-12"/>
                <w:sz w:val="20"/>
                <w:szCs w:val="20"/>
              </w:rPr>
              <w:t xml:space="preserve"> </w:t>
            </w:r>
            <w:r w:rsidRPr="005F7FF6">
              <w:rPr>
                <w:sz w:val="20"/>
                <w:szCs w:val="20"/>
              </w:rPr>
              <w:t>5.52)</w:t>
            </w:r>
          </w:p>
        </w:tc>
        <w:tc>
          <w:tcPr>
            <w:tcW w:w="731" w:type="pct"/>
          </w:tcPr>
          <w:p w14:paraId="517FECE8" w14:textId="77777777" w:rsidR="000461E7" w:rsidRPr="005F7FF6" w:rsidRDefault="000461E7" w:rsidP="005F7FF6">
            <w:pPr>
              <w:ind w:left="0" w:right="0"/>
              <w:rPr>
                <w:sz w:val="20"/>
                <w:szCs w:val="20"/>
              </w:rPr>
            </w:pPr>
            <w:r w:rsidRPr="005F7FF6">
              <w:rPr>
                <w:sz w:val="20"/>
                <w:szCs w:val="20"/>
              </w:rPr>
              <w:t>4.45</w:t>
            </w:r>
          </w:p>
          <w:p w14:paraId="33B06848" w14:textId="77777777" w:rsidR="000461E7" w:rsidRPr="005F7FF6" w:rsidRDefault="000461E7" w:rsidP="005F7FF6">
            <w:pPr>
              <w:ind w:left="0" w:right="0"/>
              <w:rPr>
                <w:sz w:val="20"/>
                <w:szCs w:val="20"/>
              </w:rPr>
            </w:pPr>
            <w:r w:rsidRPr="005F7FF6">
              <w:rPr>
                <w:sz w:val="20"/>
                <w:szCs w:val="20"/>
              </w:rPr>
              <w:t>(2.20,</w:t>
            </w:r>
            <w:r w:rsidRPr="005F7FF6">
              <w:rPr>
                <w:spacing w:val="-12"/>
                <w:sz w:val="20"/>
                <w:szCs w:val="20"/>
              </w:rPr>
              <w:t xml:space="preserve"> </w:t>
            </w:r>
            <w:r w:rsidRPr="005F7FF6">
              <w:rPr>
                <w:sz w:val="20"/>
                <w:szCs w:val="20"/>
              </w:rPr>
              <w:t>9.03)</w:t>
            </w:r>
          </w:p>
        </w:tc>
        <w:tc>
          <w:tcPr>
            <w:tcW w:w="731" w:type="pct"/>
          </w:tcPr>
          <w:p w14:paraId="119D707E" w14:textId="77777777" w:rsidR="000461E7" w:rsidRPr="005F7FF6" w:rsidRDefault="000461E7" w:rsidP="005F7FF6">
            <w:pPr>
              <w:ind w:left="0" w:right="0"/>
              <w:rPr>
                <w:sz w:val="20"/>
                <w:szCs w:val="20"/>
              </w:rPr>
            </w:pPr>
            <w:r w:rsidRPr="005F7FF6">
              <w:rPr>
                <w:sz w:val="20"/>
                <w:szCs w:val="20"/>
              </w:rPr>
              <w:t>5.09</w:t>
            </w:r>
          </w:p>
          <w:p w14:paraId="5FF15F8C" w14:textId="77777777" w:rsidR="000461E7" w:rsidRPr="005F7FF6" w:rsidRDefault="000461E7" w:rsidP="005F7FF6">
            <w:pPr>
              <w:ind w:left="0" w:right="0"/>
              <w:rPr>
                <w:sz w:val="20"/>
                <w:szCs w:val="20"/>
              </w:rPr>
            </w:pPr>
            <w:r w:rsidRPr="005F7FF6">
              <w:rPr>
                <w:sz w:val="20"/>
                <w:szCs w:val="20"/>
              </w:rPr>
              <w:t>(2.52,</w:t>
            </w:r>
            <w:r w:rsidRPr="005F7FF6">
              <w:rPr>
                <w:spacing w:val="-12"/>
                <w:sz w:val="20"/>
                <w:szCs w:val="20"/>
              </w:rPr>
              <w:t xml:space="preserve"> </w:t>
            </w:r>
            <w:r w:rsidRPr="005F7FF6">
              <w:rPr>
                <w:sz w:val="20"/>
                <w:szCs w:val="20"/>
              </w:rPr>
              <w:t>10.28)</w:t>
            </w:r>
          </w:p>
        </w:tc>
        <w:tc>
          <w:tcPr>
            <w:tcW w:w="712" w:type="pct"/>
          </w:tcPr>
          <w:p w14:paraId="49EB6C87" w14:textId="77777777" w:rsidR="000461E7" w:rsidRPr="005F7FF6" w:rsidRDefault="000461E7" w:rsidP="005F7FF6">
            <w:pPr>
              <w:ind w:left="0" w:right="0"/>
              <w:rPr>
                <w:sz w:val="20"/>
                <w:szCs w:val="20"/>
              </w:rPr>
            </w:pPr>
          </w:p>
        </w:tc>
      </w:tr>
      <w:tr w:rsidR="00C82013" w:rsidRPr="005F7FF6" w14:paraId="1C3007D5" w14:textId="77777777" w:rsidTr="00C80579">
        <w:trPr>
          <w:trHeight w:val="283"/>
        </w:trPr>
        <w:tc>
          <w:tcPr>
            <w:tcW w:w="1362" w:type="pct"/>
          </w:tcPr>
          <w:p w14:paraId="4D5F8D05" w14:textId="5E276F4D" w:rsidR="000461E7" w:rsidRPr="005F7FF6" w:rsidRDefault="000461E7" w:rsidP="005F7FF6">
            <w:pPr>
              <w:ind w:left="0" w:right="0"/>
              <w:rPr>
                <w:sz w:val="20"/>
                <w:szCs w:val="20"/>
              </w:rPr>
            </w:pPr>
            <w:r w:rsidRPr="005F7FF6">
              <w:rPr>
                <w:sz w:val="20"/>
                <w:szCs w:val="20"/>
              </w:rPr>
              <w:t>Difference</w:t>
            </w:r>
            <w:r w:rsidRPr="005F7FF6">
              <w:rPr>
                <w:spacing w:val="-10"/>
                <w:sz w:val="20"/>
                <w:szCs w:val="20"/>
              </w:rPr>
              <w:t xml:space="preserve"> </w:t>
            </w:r>
            <w:r w:rsidRPr="005F7FF6">
              <w:rPr>
                <w:sz w:val="20"/>
                <w:szCs w:val="20"/>
              </w:rPr>
              <w:t>(95%</w:t>
            </w:r>
            <w:r w:rsidRPr="005F7FF6">
              <w:rPr>
                <w:spacing w:val="-4"/>
                <w:sz w:val="20"/>
                <w:szCs w:val="20"/>
              </w:rPr>
              <w:t xml:space="preserve"> </w:t>
            </w:r>
            <w:r w:rsidRPr="005F7FF6">
              <w:rPr>
                <w:sz w:val="20"/>
                <w:szCs w:val="20"/>
              </w:rPr>
              <w:t>CI)</w:t>
            </w:r>
            <w:r w:rsidRPr="005F7FF6">
              <w:rPr>
                <w:spacing w:val="-3"/>
                <w:sz w:val="20"/>
                <w:szCs w:val="20"/>
              </w:rPr>
              <w:t xml:space="preserve"> </w:t>
            </w:r>
            <w:r w:rsidR="000E5BAC" w:rsidRPr="005F7FF6">
              <w:rPr>
                <w:sz w:val="20"/>
                <w:szCs w:val="20"/>
              </w:rPr>
              <w:t>versus</w:t>
            </w:r>
            <w:r w:rsidRPr="005F7FF6">
              <w:rPr>
                <w:spacing w:val="-3"/>
                <w:sz w:val="20"/>
                <w:szCs w:val="20"/>
              </w:rPr>
              <w:t xml:space="preserve"> </w:t>
            </w:r>
            <w:r w:rsidRPr="005F7FF6">
              <w:rPr>
                <w:sz w:val="20"/>
                <w:szCs w:val="20"/>
              </w:rPr>
              <w:t>PBO</w:t>
            </w:r>
            <w:r w:rsidRPr="005F7FF6">
              <w:rPr>
                <w:sz w:val="20"/>
                <w:szCs w:val="20"/>
                <w:vertAlign w:val="superscript"/>
              </w:rPr>
              <w:t>*b</w:t>
            </w:r>
          </w:p>
        </w:tc>
        <w:tc>
          <w:tcPr>
            <w:tcW w:w="731" w:type="pct"/>
          </w:tcPr>
          <w:p w14:paraId="65B1E277" w14:textId="77777777" w:rsidR="000461E7" w:rsidRPr="005F7FF6" w:rsidRDefault="000461E7" w:rsidP="005F7FF6">
            <w:pPr>
              <w:ind w:left="0" w:right="0"/>
              <w:rPr>
                <w:sz w:val="20"/>
                <w:szCs w:val="20"/>
              </w:rPr>
            </w:pPr>
          </w:p>
        </w:tc>
        <w:tc>
          <w:tcPr>
            <w:tcW w:w="732" w:type="pct"/>
          </w:tcPr>
          <w:p w14:paraId="7449CD6A" w14:textId="77777777" w:rsidR="000461E7" w:rsidRPr="005F7FF6" w:rsidRDefault="000461E7" w:rsidP="005F7FF6">
            <w:pPr>
              <w:ind w:left="0" w:right="0"/>
              <w:rPr>
                <w:sz w:val="20"/>
                <w:szCs w:val="20"/>
              </w:rPr>
            </w:pPr>
            <w:r w:rsidRPr="005F7FF6">
              <w:rPr>
                <w:sz w:val="20"/>
                <w:szCs w:val="20"/>
              </w:rPr>
              <w:t>17.2%</w:t>
            </w:r>
          </w:p>
          <w:p w14:paraId="4E5A41B6" w14:textId="77777777" w:rsidR="000461E7" w:rsidRPr="005F7FF6" w:rsidRDefault="000461E7" w:rsidP="005F7FF6">
            <w:pPr>
              <w:ind w:left="0" w:right="0"/>
              <w:rPr>
                <w:sz w:val="20"/>
                <w:szCs w:val="20"/>
              </w:rPr>
            </w:pPr>
            <w:r w:rsidRPr="005F7FF6">
              <w:rPr>
                <w:sz w:val="20"/>
                <w:szCs w:val="20"/>
              </w:rPr>
              <w:t>(4.4%,</w:t>
            </w:r>
            <w:r w:rsidRPr="005F7FF6">
              <w:rPr>
                <w:spacing w:val="-6"/>
                <w:sz w:val="20"/>
                <w:szCs w:val="20"/>
              </w:rPr>
              <w:t xml:space="preserve"> </w:t>
            </w:r>
            <w:r w:rsidRPr="005F7FF6">
              <w:rPr>
                <w:sz w:val="20"/>
                <w:szCs w:val="20"/>
              </w:rPr>
              <w:t>30.0%)</w:t>
            </w:r>
          </w:p>
        </w:tc>
        <w:tc>
          <w:tcPr>
            <w:tcW w:w="731" w:type="pct"/>
          </w:tcPr>
          <w:p w14:paraId="7797B3A9" w14:textId="77777777" w:rsidR="000461E7" w:rsidRPr="005F7FF6" w:rsidRDefault="000461E7" w:rsidP="005F7FF6">
            <w:pPr>
              <w:ind w:left="0" w:right="0"/>
              <w:rPr>
                <w:sz w:val="20"/>
                <w:szCs w:val="20"/>
              </w:rPr>
            </w:pPr>
            <w:r w:rsidRPr="005F7FF6">
              <w:rPr>
                <w:sz w:val="20"/>
                <w:szCs w:val="20"/>
              </w:rPr>
              <w:t>29.8%</w:t>
            </w:r>
          </w:p>
          <w:p w14:paraId="11D464B7" w14:textId="77777777" w:rsidR="000461E7" w:rsidRPr="005F7FF6" w:rsidRDefault="000461E7" w:rsidP="005F7FF6">
            <w:pPr>
              <w:ind w:left="0" w:right="0"/>
              <w:rPr>
                <w:sz w:val="20"/>
                <w:szCs w:val="20"/>
              </w:rPr>
            </w:pPr>
            <w:r w:rsidRPr="005F7FF6">
              <w:rPr>
                <w:spacing w:val="4"/>
                <w:sz w:val="20"/>
                <w:szCs w:val="20"/>
              </w:rPr>
              <w:t>(</w:t>
            </w:r>
            <w:r w:rsidRPr="005F7FF6">
              <w:rPr>
                <w:sz w:val="20"/>
                <w:szCs w:val="20"/>
              </w:rPr>
              <w:t>16.2%,</w:t>
            </w:r>
            <w:r w:rsidRPr="005F7FF6">
              <w:rPr>
                <w:spacing w:val="-7"/>
                <w:sz w:val="20"/>
                <w:szCs w:val="20"/>
              </w:rPr>
              <w:t xml:space="preserve"> </w:t>
            </w:r>
            <w:r w:rsidRPr="005F7FF6">
              <w:rPr>
                <w:sz w:val="20"/>
                <w:szCs w:val="20"/>
              </w:rPr>
              <w:t>43.3%)</w:t>
            </w:r>
          </w:p>
        </w:tc>
        <w:tc>
          <w:tcPr>
            <w:tcW w:w="731" w:type="pct"/>
          </w:tcPr>
          <w:p w14:paraId="1C287FF2" w14:textId="77777777" w:rsidR="000461E7" w:rsidRPr="005F7FF6" w:rsidRDefault="000461E7" w:rsidP="005F7FF6">
            <w:pPr>
              <w:ind w:left="0" w:right="0"/>
              <w:rPr>
                <w:sz w:val="20"/>
                <w:szCs w:val="20"/>
              </w:rPr>
            </w:pPr>
            <w:r w:rsidRPr="005F7FF6">
              <w:rPr>
                <w:sz w:val="20"/>
                <w:szCs w:val="20"/>
              </w:rPr>
              <w:t>33.4%</w:t>
            </w:r>
          </w:p>
          <w:p w14:paraId="58C13AFB" w14:textId="77777777" w:rsidR="000461E7" w:rsidRPr="005F7FF6" w:rsidRDefault="000461E7" w:rsidP="005F7FF6">
            <w:pPr>
              <w:ind w:left="0" w:right="0"/>
              <w:rPr>
                <w:sz w:val="20"/>
                <w:szCs w:val="20"/>
              </w:rPr>
            </w:pPr>
            <w:r w:rsidRPr="005F7FF6">
              <w:rPr>
                <w:sz w:val="20"/>
                <w:szCs w:val="20"/>
              </w:rPr>
              <w:t>(19.9%,</w:t>
            </w:r>
            <w:r w:rsidRPr="005F7FF6">
              <w:rPr>
                <w:spacing w:val="-7"/>
                <w:sz w:val="20"/>
                <w:szCs w:val="20"/>
              </w:rPr>
              <w:t xml:space="preserve"> </w:t>
            </w:r>
            <w:r w:rsidRPr="005F7FF6">
              <w:rPr>
                <w:sz w:val="20"/>
                <w:szCs w:val="20"/>
              </w:rPr>
              <w:t>46.9%)</w:t>
            </w:r>
          </w:p>
        </w:tc>
        <w:tc>
          <w:tcPr>
            <w:tcW w:w="712" w:type="pct"/>
          </w:tcPr>
          <w:p w14:paraId="0800A7BF" w14:textId="77777777" w:rsidR="000461E7" w:rsidRPr="005F7FF6" w:rsidRDefault="000461E7" w:rsidP="005F7FF6">
            <w:pPr>
              <w:ind w:left="0" w:right="0"/>
              <w:rPr>
                <w:sz w:val="20"/>
                <w:szCs w:val="20"/>
              </w:rPr>
            </w:pPr>
          </w:p>
        </w:tc>
      </w:tr>
      <w:tr w:rsidR="00C82013" w:rsidRPr="005F7FF6" w14:paraId="591DB90B" w14:textId="77777777" w:rsidTr="00C80579">
        <w:trPr>
          <w:trHeight w:val="340"/>
        </w:trPr>
        <w:tc>
          <w:tcPr>
            <w:tcW w:w="1362" w:type="pct"/>
          </w:tcPr>
          <w:p w14:paraId="79A927C1" w14:textId="755EBA4D" w:rsidR="000461E7" w:rsidRPr="005F7FF6" w:rsidRDefault="000461E7" w:rsidP="005F7FF6">
            <w:pPr>
              <w:ind w:left="0" w:right="0"/>
              <w:rPr>
                <w:sz w:val="20"/>
                <w:szCs w:val="20"/>
              </w:rPr>
            </w:pPr>
            <w:r w:rsidRPr="005F7FF6">
              <w:rPr>
                <w:sz w:val="20"/>
                <w:szCs w:val="20"/>
              </w:rPr>
              <w:t>p-value</w:t>
            </w:r>
            <w:r w:rsidRPr="005F7FF6">
              <w:rPr>
                <w:spacing w:val="-7"/>
                <w:sz w:val="20"/>
                <w:szCs w:val="20"/>
              </w:rPr>
              <w:t xml:space="preserve"> </w:t>
            </w:r>
            <w:r w:rsidR="000E5BAC" w:rsidRPr="005F7FF6">
              <w:rPr>
                <w:sz w:val="20"/>
                <w:szCs w:val="20"/>
              </w:rPr>
              <w:t>versus</w:t>
            </w:r>
            <w:r w:rsidRPr="005F7FF6">
              <w:rPr>
                <w:spacing w:val="-3"/>
                <w:sz w:val="20"/>
                <w:szCs w:val="20"/>
              </w:rPr>
              <w:t xml:space="preserve"> </w:t>
            </w:r>
            <w:r w:rsidRPr="005F7FF6">
              <w:rPr>
                <w:sz w:val="20"/>
                <w:szCs w:val="20"/>
              </w:rPr>
              <w:t>PBO</w:t>
            </w:r>
            <w:r w:rsidRPr="005F7FF6">
              <w:rPr>
                <w:sz w:val="20"/>
                <w:szCs w:val="20"/>
                <w:vertAlign w:val="superscript"/>
              </w:rPr>
              <w:t>*a</w:t>
            </w:r>
          </w:p>
        </w:tc>
        <w:tc>
          <w:tcPr>
            <w:tcW w:w="731" w:type="pct"/>
          </w:tcPr>
          <w:p w14:paraId="69670BD9" w14:textId="77777777" w:rsidR="000461E7" w:rsidRPr="005F7FF6" w:rsidRDefault="000461E7" w:rsidP="005F7FF6">
            <w:pPr>
              <w:ind w:left="0" w:right="0"/>
              <w:rPr>
                <w:sz w:val="20"/>
                <w:szCs w:val="20"/>
              </w:rPr>
            </w:pPr>
          </w:p>
        </w:tc>
        <w:tc>
          <w:tcPr>
            <w:tcW w:w="732" w:type="pct"/>
          </w:tcPr>
          <w:p w14:paraId="313E8409" w14:textId="77777777" w:rsidR="000461E7" w:rsidRPr="005F7FF6" w:rsidRDefault="000461E7" w:rsidP="005F7FF6">
            <w:pPr>
              <w:ind w:left="0" w:right="0"/>
              <w:rPr>
                <w:sz w:val="20"/>
                <w:szCs w:val="20"/>
              </w:rPr>
            </w:pPr>
            <w:r w:rsidRPr="005F7FF6">
              <w:rPr>
                <w:sz w:val="20"/>
                <w:szCs w:val="20"/>
              </w:rPr>
              <w:t>0.005</w:t>
            </w:r>
          </w:p>
        </w:tc>
        <w:tc>
          <w:tcPr>
            <w:tcW w:w="731" w:type="pct"/>
          </w:tcPr>
          <w:p w14:paraId="465C1EF1" w14:textId="77777777" w:rsidR="000461E7" w:rsidRPr="005F7FF6" w:rsidRDefault="000461E7" w:rsidP="005F7FF6">
            <w:pPr>
              <w:ind w:left="0" w:right="0"/>
              <w:rPr>
                <w:sz w:val="20"/>
                <w:szCs w:val="20"/>
              </w:rPr>
            </w:pPr>
            <w:r w:rsidRPr="005F7FF6">
              <w:rPr>
                <w:sz w:val="20"/>
                <w:szCs w:val="20"/>
              </w:rPr>
              <w:t>&lt; 0.001</w:t>
            </w:r>
          </w:p>
        </w:tc>
        <w:tc>
          <w:tcPr>
            <w:tcW w:w="731" w:type="pct"/>
          </w:tcPr>
          <w:p w14:paraId="571BDCF0" w14:textId="77777777" w:rsidR="000461E7" w:rsidRPr="005F7FF6" w:rsidRDefault="000461E7" w:rsidP="005F7FF6">
            <w:pPr>
              <w:ind w:left="0" w:right="0"/>
              <w:rPr>
                <w:sz w:val="20"/>
                <w:szCs w:val="20"/>
              </w:rPr>
            </w:pPr>
            <w:r w:rsidRPr="005F7FF6">
              <w:rPr>
                <w:sz w:val="20"/>
                <w:szCs w:val="20"/>
              </w:rPr>
              <w:t>&lt; 0.001</w:t>
            </w:r>
          </w:p>
        </w:tc>
        <w:tc>
          <w:tcPr>
            <w:tcW w:w="712" w:type="pct"/>
          </w:tcPr>
          <w:p w14:paraId="62F7D7C6" w14:textId="77777777" w:rsidR="000461E7" w:rsidRPr="005F7FF6" w:rsidRDefault="000461E7" w:rsidP="005F7FF6">
            <w:pPr>
              <w:ind w:left="0" w:right="0"/>
              <w:rPr>
                <w:sz w:val="20"/>
                <w:szCs w:val="20"/>
              </w:rPr>
            </w:pPr>
          </w:p>
        </w:tc>
      </w:tr>
    </w:tbl>
    <w:p w14:paraId="6450CD56" w14:textId="65ECF138" w:rsidR="000461E7" w:rsidRPr="00095419" w:rsidRDefault="000461E7" w:rsidP="000150BB">
      <w:pPr>
        <w:pStyle w:val="TableDescription"/>
      </w:pPr>
      <w:r w:rsidRPr="00095419">
        <w:t xml:space="preserve">PBO = </w:t>
      </w:r>
      <w:r w:rsidR="00B912D8">
        <w:t>p</w:t>
      </w:r>
      <w:r w:rsidRPr="00095419">
        <w:t xml:space="preserve">lacebo; ADA40Q2W = </w:t>
      </w:r>
      <w:r w:rsidR="00B912D8">
        <w:t>a</w:t>
      </w:r>
      <w:r w:rsidRPr="00095419">
        <w:t xml:space="preserve">dalimumab 40 mg Q2W; IXE80Q4W = </w:t>
      </w:r>
      <w:r w:rsidR="00B912D8">
        <w:t>i</w:t>
      </w:r>
      <w:r w:rsidRPr="00095419">
        <w:t xml:space="preserve">xekizumab 80 mg Q4W; IXE80Q2W = </w:t>
      </w:r>
      <w:r w:rsidR="00B912D8">
        <w:t>i</w:t>
      </w:r>
      <w:r w:rsidRPr="00095419">
        <w:t>xekizumab 80 mg Q2W; N =</w:t>
      </w:r>
      <w:r>
        <w:t xml:space="preserve"> </w:t>
      </w:r>
      <w:r w:rsidRPr="00095419">
        <w:t>number of patients in the analysis population; n = number of patients in the specified category; CI = confidence interval; NRI =</w:t>
      </w:r>
      <w:r>
        <w:t xml:space="preserve"> </w:t>
      </w:r>
      <w:r w:rsidRPr="00095419">
        <w:t>non</w:t>
      </w:r>
      <w:r>
        <w:t>-</w:t>
      </w:r>
      <w:r w:rsidRPr="00095419">
        <w:t>responder imputation.</w:t>
      </w:r>
    </w:p>
    <w:p w14:paraId="0AE23D21" w14:textId="77777777" w:rsidR="000461E7" w:rsidRPr="00095419" w:rsidRDefault="000461E7" w:rsidP="000150BB">
      <w:pPr>
        <w:pStyle w:val="TableDescription"/>
      </w:pPr>
      <w:r w:rsidRPr="00095419">
        <w:t>Note: Percentage is calculated by n/N*100%.</w:t>
      </w:r>
    </w:p>
    <w:p w14:paraId="23E46616" w14:textId="156658C6" w:rsidR="000461E7" w:rsidRDefault="000150BB" w:rsidP="000150BB">
      <w:pPr>
        <w:pStyle w:val="TableDescription"/>
      </w:pPr>
      <w:r w:rsidRPr="000150BB">
        <w:rPr>
          <w:vertAlign w:val="superscript"/>
        </w:rPr>
        <w:t>*a</w:t>
      </w:r>
      <w:r>
        <w:t xml:space="preserve"> </w:t>
      </w:r>
      <w:r w:rsidR="000461E7" w:rsidRPr="00095419">
        <w:t xml:space="preserve">Logistic regression analysis with treatment, geographic region, and baseline </w:t>
      </w:r>
      <w:r w:rsidR="000019C1">
        <w:t>C</w:t>
      </w:r>
      <w:r w:rsidR="000019C1">
        <w:noBreakHyphen/>
        <w:t>reactive protein (</w:t>
      </w:r>
      <w:r w:rsidR="007A0A58">
        <w:t>CRP)</w:t>
      </w:r>
      <w:r w:rsidR="009A3750">
        <w:t xml:space="preserve"> status in the model; </w:t>
      </w:r>
      <w:r w:rsidR="000461E7" w:rsidRPr="000150BB">
        <w:rPr>
          <w:vertAlign w:val="superscript"/>
        </w:rPr>
        <w:t>*b</w:t>
      </w:r>
      <w:r w:rsidR="000461E7" w:rsidRPr="00095419">
        <w:t xml:space="preserve"> Confidence intervals are constructed using the simple asymptotic method, without continuity correction (that is,</w:t>
      </w:r>
      <w:r w:rsidR="000461E7">
        <w:t xml:space="preserve"> </w:t>
      </w:r>
      <w:r w:rsidR="000461E7" w:rsidRPr="00095419">
        <w:t>normal approximation to the binomial distribution).</w:t>
      </w:r>
    </w:p>
    <w:p w14:paraId="3AF3FD87" w14:textId="3F74ABD6" w:rsidR="000461E7" w:rsidRPr="00976FAB" w:rsidRDefault="000461E7" w:rsidP="00CB7322">
      <w:pPr>
        <w:pageBreakBefore/>
      </w:pPr>
      <w:r>
        <w:lastRenderedPageBreak/>
        <w:t>The major secondary objectives at 16 weeks, including ASAS 20 response, Ankylosing Spondylitis Disease Activity Score (ASDAS)</w:t>
      </w:r>
      <w:r w:rsidR="001B7336">
        <w:t xml:space="preserve"> change from B</w:t>
      </w:r>
      <w:r w:rsidR="0092200C">
        <w:t>aseline,</w:t>
      </w:r>
      <w:r w:rsidR="00390003">
        <w:rPr>
          <w:rStyle w:val="FootnoteReference"/>
        </w:rPr>
        <w:footnoteReference w:id="7"/>
      </w:r>
      <w:r w:rsidR="00390003">
        <w:t xml:space="preserve"> </w:t>
      </w:r>
      <w:r w:rsidR="0092200C">
        <w:t>BASDAI</w:t>
      </w:r>
      <w:r>
        <w:t xml:space="preserve"> 50 response,</w:t>
      </w:r>
      <w:r w:rsidR="003E3698">
        <w:rPr>
          <w:rStyle w:val="FootnoteReference"/>
        </w:rPr>
        <w:footnoteReference w:id="8"/>
      </w:r>
      <w:r>
        <w:t xml:space="preserve"> Bath Ankylosing Spondylitis Func</w:t>
      </w:r>
      <w:r w:rsidR="001B7336">
        <w:t>tion Index (BASFI) change from B</w:t>
      </w:r>
      <w:r>
        <w:t>aseline,</w:t>
      </w:r>
      <w:r w:rsidR="00390003">
        <w:rPr>
          <w:rStyle w:val="FootnoteReference"/>
        </w:rPr>
        <w:footnoteReference w:id="9"/>
      </w:r>
      <w:r>
        <w:t xml:space="preserve"> proportion of patients achieving ASDAS inactive </w:t>
      </w:r>
      <w:r w:rsidR="000C298C">
        <w:t>disease</w:t>
      </w:r>
      <w:r>
        <w:t xml:space="preserve">, Spondyloarthritis Research Consortium of Canada (SPARCC) </w:t>
      </w:r>
      <w:r w:rsidR="00F35896">
        <w:t>magnetic resonance imaging (</w:t>
      </w:r>
      <w:r>
        <w:t>MRI</w:t>
      </w:r>
      <w:r w:rsidR="00F35896">
        <w:t>)</w:t>
      </w:r>
      <w:r w:rsidR="001B7336">
        <w:t xml:space="preserve"> spine score change from B</w:t>
      </w:r>
      <w:r>
        <w:t>aseline,</w:t>
      </w:r>
      <w:r w:rsidR="001051E1">
        <w:rPr>
          <w:rStyle w:val="FootnoteReference"/>
        </w:rPr>
        <w:footnoteReference w:id="10"/>
      </w:r>
      <w:r>
        <w:t xml:space="preserve"> </w:t>
      </w:r>
      <w:r w:rsidR="002A5FFE">
        <w:t xml:space="preserve">Medical Outcomes Study 36 item Short Form Health </w:t>
      </w:r>
      <w:r w:rsidR="002A5FFE" w:rsidRPr="00F50013">
        <w:t>Survey (SF</w:t>
      </w:r>
      <w:r w:rsidRPr="00F50013">
        <w:t>-36</w:t>
      </w:r>
      <w:r w:rsidR="002A5FFE" w:rsidRPr="00F50013">
        <w:t>)</w:t>
      </w:r>
      <w:r w:rsidRPr="00F50013">
        <w:t xml:space="preserve"> physical component summary (PCS</w:t>
      </w:r>
      <w:r w:rsidR="00F50013" w:rsidRPr="00F50013">
        <w:t>) score</w:t>
      </w:r>
      <w:r w:rsidR="001B7336">
        <w:t xml:space="preserve"> change from B</w:t>
      </w:r>
      <w:r>
        <w:t>aseline</w:t>
      </w:r>
      <w:r w:rsidR="00F50013">
        <w:t>,</w:t>
      </w:r>
      <w:r w:rsidR="00412987">
        <w:rPr>
          <w:rStyle w:val="FootnoteReference"/>
        </w:rPr>
        <w:footnoteReference w:id="11"/>
      </w:r>
      <w:r>
        <w:t xml:space="preserve"> and </w:t>
      </w:r>
      <w:r w:rsidR="004A75ED" w:rsidRPr="003F157A">
        <w:rPr>
          <w:rFonts w:asciiTheme="minorHAnsi" w:hAnsiTheme="minorHAnsi"/>
        </w:rPr>
        <w:t>Assessment of Spondyloarthritis International Society Health Index</w:t>
      </w:r>
      <w:r w:rsidR="004A75ED" w:rsidDel="004A75ED">
        <w:t xml:space="preserve"> </w:t>
      </w:r>
      <w:r w:rsidR="001B7336">
        <w:t>(</w:t>
      </w:r>
      <w:r w:rsidR="004A75ED">
        <w:t xml:space="preserve">ASAS </w:t>
      </w:r>
      <w:r w:rsidR="001B7336">
        <w:t>HI) change from B</w:t>
      </w:r>
      <w:r>
        <w:t>aseline,</w:t>
      </w:r>
      <w:r w:rsidR="00E434B1">
        <w:rPr>
          <w:rStyle w:val="FootnoteReference"/>
        </w:rPr>
        <w:footnoteReference w:id="12"/>
      </w:r>
      <w:r>
        <w:t xml:space="preserve"> all demonstrated statistically significant improvements in the ixekizumab treatment groups over placebo. The loading dose of ixekizumab did not appear to have an</w:t>
      </w:r>
      <w:r w:rsidR="007F6DD5">
        <w:t xml:space="preserve"> impact on treatment effect at W</w:t>
      </w:r>
      <w:r>
        <w:t>eek 16. The ASAS</w:t>
      </w:r>
      <w:r w:rsidR="006929E0">
        <w:t xml:space="preserve"> </w:t>
      </w:r>
      <w:r>
        <w:t>40 response rate at 52 weeks was 53.1% in the Q4W population and 50.6% in the Q2W treatment group. ASAS</w:t>
      </w:r>
      <w:r w:rsidR="006929E0">
        <w:t xml:space="preserve"> </w:t>
      </w:r>
      <w:r>
        <w:t>40 response rates in patients switched from placebo to ixekizumab 20 weeks after the switch (52.3%) and 36 weeks after the switch (46.5%) were similar to those reported for patients who received ixekizumab throughout the trial. ASA40 response rates in patients switched from adalimumab to ixekizumab were also around 50%.</w:t>
      </w:r>
    </w:p>
    <w:p w14:paraId="15AF43C2" w14:textId="3C87F045" w:rsidR="00B260C6" w:rsidRDefault="00B260C6" w:rsidP="00054F17">
      <w:pPr>
        <w:pStyle w:val="Heading5"/>
      </w:pPr>
      <w:r w:rsidRPr="00B260C6">
        <w:t xml:space="preserve">Study I1F-MC-RHBW </w:t>
      </w:r>
      <w:r>
        <w:t>(COAST-W trial)</w:t>
      </w:r>
    </w:p>
    <w:p w14:paraId="3D5203A7" w14:textId="0D236FE3" w:rsidR="000461E7" w:rsidRDefault="00B260C6" w:rsidP="000461E7">
      <w:r>
        <w:t xml:space="preserve">The </w:t>
      </w:r>
      <w:r w:rsidR="000461E7" w:rsidRPr="00054F17">
        <w:t>COAST-W</w:t>
      </w:r>
      <w:r w:rsidR="000461E7" w:rsidRPr="00EF7E41">
        <w:rPr>
          <w:b/>
        </w:rPr>
        <w:t xml:space="preserve"> </w:t>
      </w:r>
      <w:r w:rsidRPr="00054F17">
        <w:t>trial</w:t>
      </w:r>
      <w:r>
        <w:rPr>
          <w:b/>
        </w:rPr>
        <w:t xml:space="preserve"> </w:t>
      </w:r>
      <w:r w:rsidR="000461E7" w:rsidRPr="00EF7E41">
        <w:t xml:space="preserve">was a randomised, double blind placebo controlled parallel group study conducted at 106 sites in 15 countries to examine the efficacy of </w:t>
      </w:r>
      <w:r w:rsidR="000461E7">
        <w:t>ixekizumab</w:t>
      </w:r>
      <w:r w:rsidR="000461E7" w:rsidRPr="00EF7E41">
        <w:t xml:space="preserve"> in patients with AS who </w:t>
      </w:r>
      <w:r w:rsidR="000461E7">
        <w:t xml:space="preserve">were TNFi-experienced (defined as having </w:t>
      </w:r>
      <w:r w:rsidR="000461E7" w:rsidRPr="00EF7E41">
        <w:t xml:space="preserve">had </w:t>
      </w:r>
      <w:r w:rsidR="000461E7">
        <w:t>prior treatment with one or two TNFi and discontinued at least one TNFi due to intolerance, or as a result of inadequate response to at least 12 weeks of treatment in the opinion of the investigator)</w:t>
      </w:r>
      <w:r w:rsidR="000332A7">
        <w:t>.</w:t>
      </w:r>
      <w:r w:rsidR="00C0374A">
        <w:t xml:space="preserve"> </w:t>
      </w:r>
      <w:r w:rsidR="000461E7" w:rsidRPr="00EF7E41">
        <w:t xml:space="preserve">The primary endpoint of this study was to compare the efficacy of two </w:t>
      </w:r>
      <w:r w:rsidR="000461E7">
        <w:t>ixekizumab</w:t>
      </w:r>
      <w:r w:rsidR="000461E7" w:rsidRPr="00EF7E41">
        <w:t xml:space="preserve"> regimens (80</w:t>
      </w:r>
      <w:r w:rsidR="001430BC">
        <w:t xml:space="preserve"> </w:t>
      </w:r>
      <w:r w:rsidR="000461E7" w:rsidRPr="00EF7E41">
        <w:t>mg Q2W or 80</w:t>
      </w:r>
      <w:r w:rsidR="001430BC">
        <w:t xml:space="preserve"> </w:t>
      </w:r>
      <w:r w:rsidR="000461E7" w:rsidRPr="00EF7E41">
        <w:t>mg Q4W) to placebo at 16 weeks as measur</w:t>
      </w:r>
      <w:r w:rsidR="000461E7">
        <w:t>ed using the ASAS 40 response,</w:t>
      </w:r>
      <w:r w:rsidR="000461E7" w:rsidRPr="00EF7E41">
        <w:t xml:space="preserve"> defined earlier.</w:t>
      </w:r>
      <w:r w:rsidR="000461E7">
        <w:t xml:space="preserve"> The study was not designed and powered to compare the efficacy of the two dose regimens against each other.</w:t>
      </w:r>
    </w:p>
    <w:p w14:paraId="0E62EED2" w14:textId="62D484A5" w:rsidR="000461E7" w:rsidRDefault="000461E7" w:rsidP="000461E7">
      <w:r>
        <w:rPr>
          <w:lang w:eastAsia="ja-JP"/>
        </w:rPr>
        <w:lastRenderedPageBreak/>
        <w:t>Patients were randomised to one of three treatment regimens (ixekizumab 80 mg Q2W, n</w:t>
      </w:r>
      <w:r w:rsidR="008C35BF" w:rsidRPr="0092200C">
        <w:rPr>
          <w:rStyle w:val="FootnoteTextChar"/>
          <w:lang w:eastAsia="en-AU"/>
        </w:rPr>
        <w:t> </w:t>
      </w:r>
      <w:r>
        <w:rPr>
          <w:lang w:eastAsia="ja-JP"/>
        </w:rPr>
        <w:t>=</w:t>
      </w:r>
      <w:r w:rsidR="001430BC">
        <w:rPr>
          <w:lang w:eastAsia="ja-JP"/>
        </w:rPr>
        <w:t xml:space="preserve"> </w:t>
      </w:r>
      <w:r>
        <w:rPr>
          <w:lang w:eastAsia="ja-JP"/>
        </w:rPr>
        <w:t xml:space="preserve">98; ixekizumab </w:t>
      </w:r>
      <w:r w:rsidRPr="001425A4">
        <w:rPr>
          <w:lang w:eastAsia="ja-JP"/>
        </w:rPr>
        <w:t>80 mg Q4W</w:t>
      </w:r>
      <w:r>
        <w:rPr>
          <w:lang w:eastAsia="ja-JP"/>
        </w:rPr>
        <w:t>, n</w:t>
      </w:r>
      <w:r w:rsidR="001430BC">
        <w:rPr>
          <w:lang w:eastAsia="ja-JP"/>
        </w:rPr>
        <w:t xml:space="preserve"> </w:t>
      </w:r>
      <w:r>
        <w:rPr>
          <w:lang w:eastAsia="ja-JP"/>
        </w:rPr>
        <w:t>=</w:t>
      </w:r>
      <w:r w:rsidR="001430BC">
        <w:rPr>
          <w:lang w:eastAsia="ja-JP"/>
        </w:rPr>
        <w:t xml:space="preserve"> </w:t>
      </w:r>
      <w:r>
        <w:rPr>
          <w:lang w:eastAsia="ja-JP"/>
        </w:rPr>
        <w:t>114</w:t>
      </w:r>
      <w:r w:rsidRPr="001425A4">
        <w:rPr>
          <w:lang w:eastAsia="ja-JP"/>
        </w:rPr>
        <w:t>; placebo</w:t>
      </w:r>
      <w:r>
        <w:rPr>
          <w:lang w:eastAsia="ja-JP"/>
        </w:rPr>
        <w:t>, n</w:t>
      </w:r>
      <w:r w:rsidR="001430BC">
        <w:rPr>
          <w:lang w:eastAsia="ja-JP"/>
        </w:rPr>
        <w:t xml:space="preserve"> </w:t>
      </w:r>
      <w:r>
        <w:rPr>
          <w:lang w:eastAsia="ja-JP"/>
        </w:rPr>
        <w:t>=</w:t>
      </w:r>
      <w:r w:rsidR="001430BC">
        <w:rPr>
          <w:lang w:eastAsia="ja-JP"/>
        </w:rPr>
        <w:t xml:space="preserve"> </w:t>
      </w:r>
      <w:r>
        <w:rPr>
          <w:lang w:eastAsia="ja-JP"/>
        </w:rPr>
        <w:t>104). Both of the ixekizumab groups were further divided into equal groups of patients who received 160 mg or 80 mg starting doses.</w:t>
      </w:r>
      <w:r>
        <w:t xml:space="preserve"> After 16 weeks, the blinding was removed and pat</w:t>
      </w:r>
      <w:r w:rsidR="0004123B">
        <w:t>ients receiving placebo were re</w:t>
      </w:r>
      <w:r w:rsidR="0004123B">
        <w:noBreakHyphen/>
      </w:r>
      <w:r>
        <w:t>randomised to a dose</w:t>
      </w:r>
      <w:r w:rsidRPr="00F25382">
        <w:t xml:space="preserve"> </w:t>
      </w:r>
      <w:r>
        <w:t>regime of ixekizumab 80</w:t>
      </w:r>
      <w:r w:rsidR="001430BC">
        <w:t xml:space="preserve"> </w:t>
      </w:r>
      <w:r>
        <w:t>mg Q2W or 80</w:t>
      </w:r>
      <w:r w:rsidR="001430BC">
        <w:t xml:space="preserve"> </w:t>
      </w:r>
      <w:r>
        <w:t>mg Q4W. Patients on ixekizumab regimens were retained on their starting regimen. Efficacy outcomes were reassessed at 52 weeks (extended treatment period</w:t>
      </w:r>
      <w:r w:rsidR="009D0542">
        <w:t>, Week 17 to Week 52</w:t>
      </w:r>
      <w:r>
        <w:t>). After 52</w:t>
      </w:r>
      <w:r w:rsidR="0037060A">
        <w:t> </w:t>
      </w:r>
      <w:r>
        <w:t>weeks, all patients were eligible to enrol in an open-label long term follow up study for a further two years (</w:t>
      </w:r>
      <w:r w:rsidR="003456AF">
        <w:t xml:space="preserve">see </w:t>
      </w:r>
      <w:r>
        <w:fldChar w:fldCharType="begin"/>
      </w:r>
      <w:r>
        <w:instrText xml:space="preserve"> REF _Ref26529051 \h </w:instrText>
      </w:r>
      <w:r>
        <w:fldChar w:fldCharType="separate"/>
      </w:r>
      <w:r>
        <w:t xml:space="preserve">Figure </w:t>
      </w:r>
      <w:r>
        <w:rPr>
          <w:noProof/>
        </w:rPr>
        <w:t>2</w:t>
      </w:r>
      <w:r>
        <w:fldChar w:fldCharType="end"/>
      </w:r>
      <w:r w:rsidR="001430BC">
        <w:t>).</w:t>
      </w:r>
    </w:p>
    <w:p w14:paraId="047096E7" w14:textId="77777777" w:rsidR="000461E7" w:rsidRDefault="000461E7" w:rsidP="000461E7">
      <w:pPr>
        <w:rPr>
          <w:lang w:eastAsia="ja-JP"/>
        </w:rPr>
      </w:pPr>
      <w:r>
        <w:rPr>
          <w:lang w:eastAsia="ja-JP"/>
        </w:rPr>
        <w:t>A total of 282 (89.2%) randomised patients completed the blinded treatment dosing period.</w:t>
      </w:r>
    </w:p>
    <w:p w14:paraId="6E59E0A0" w14:textId="35D75AC2" w:rsidR="000461E7" w:rsidRDefault="000461E7" w:rsidP="000461E7">
      <w:r>
        <w:t>The same inclusion and exclusi</w:t>
      </w:r>
      <w:r w:rsidR="00A82F68">
        <w:t xml:space="preserve">on criteria were applied as in </w:t>
      </w:r>
      <w:r w:rsidR="00AF6095">
        <w:t xml:space="preserve">the </w:t>
      </w:r>
      <w:r>
        <w:t>COAST-V</w:t>
      </w:r>
      <w:r w:rsidR="00AF6095">
        <w:t xml:space="preserve"> trial</w:t>
      </w:r>
      <w:r>
        <w:t xml:space="preserve">, other than patients in </w:t>
      </w:r>
      <w:r w:rsidR="00AF6095">
        <w:t xml:space="preserve">the </w:t>
      </w:r>
      <w:r>
        <w:t>COAS</w:t>
      </w:r>
      <w:r w:rsidR="00785281">
        <w:t xml:space="preserve">T-W </w:t>
      </w:r>
      <w:r w:rsidR="00AF6095">
        <w:t xml:space="preserve">trial </w:t>
      </w:r>
      <w:r w:rsidR="00785281">
        <w:t>had to be TNFi-experienced.</w:t>
      </w:r>
    </w:p>
    <w:p w14:paraId="6F813AD3" w14:textId="2D0324E8" w:rsidR="00785281" w:rsidRPr="00B70E19" w:rsidRDefault="00785281" w:rsidP="00785281">
      <w:pPr>
        <w:pStyle w:val="FigureTitle"/>
        <w:rPr>
          <w:lang w:eastAsia="ja-JP"/>
        </w:rPr>
      </w:pPr>
      <w:bookmarkStart w:id="43" w:name="_Ref26529051"/>
      <w:r w:rsidRPr="00B70E19">
        <w:t xml:space="preserve">Figure </w:t>
      </w:r>
      <w:fldSimple w:instr=" SEQ Figure \* ARABIC ">
        <w:r>
          <w:rPr>
            <w:noProof/>
          </w:rPr>
          <w:t>2</w:t>
        </w:r>
      </w:fldSimple>
      <w:bookmarkEnd w:id="43"/>
      <w:r w:rsidR="001430BC">
        <w:rPr>
          <w:noProof/>
        </w:rPr>
        <w:t xml:space="preserve">: COAST-W </w:t>
      </w:r>
      <w:r w:rsidR="00B260C6">
        <w:rPr>
          <w:noProof/>
        </w:rPr>
        <w:t>trial</w:t>
      </w:r>
      <w:r w:rsidRPr="00B70E19">
        <w:rPr>
          <w:noProof/>
        </w:rPr>
        <w:t xml:space="preserve"> design</w:t>
      </w:r>
    </w:p>
    <w:p w14:paraId="090B499F" w14:textId="7C44CF34" w:rsidR="000461E7" w:rsidRDefault="00A9192D" w:rsidP="000461E7">
      <w:pPr>
        <w:spacing w:after="0"/>
        <w:rPr>
          <w:lang w:eastAsia="ja-JP"/>
        </w:rPr>
      </w:pPr>
      <w:r>
        <w:rPr>
          <w:noProof/>
          <w:lang w:eastAsia="en-AU"/>
        </w:rPr>
        <w:drawing>
          <wp:inline distT="0" distB="0" distL="0" distR="0" wp14:anchorId="76CDF58C" wp14:editId="4E20F046">
            <wp:extent cx="5544000" cy="2914116"/>
            <wp:effectExtent l="0" t="0" r="0" b="635"/>
            <wp:docPr id="1" name="Picture 1" descr="COAST-W trial design. The study examined the efficacy and safety of two ixekizumab dosing regimens, SC 80 mg Q2W and SC 80 mg Q4W, as compared to SC placebo in TNFi-experienced patients with active AS, during a double blind, 16-week treatment period. Starting doses of 80 mg and 160 mg (at Week 0) were evaluated for each ixekizumab regimen. The study consisted of four periods. Period 1 is screening period (Visit 1), lasting up to 42 days prior to Period 2, determined patient eligibility. Period 2 is blinded treatment dosing period, from Week 0 (baseline, Visit 2) to Week 16 (Visit 8) inclusive, evaluated the efficacy and safety of 2 ixekizumab dosing regimens compared to placebo. Period 3 is extended treatment period, after Week 16 (Visit 8) to Week 52 (Visit 15) inclusive, assessed long-term efficacy and safety of ixekizumab. Period 4 is PTFU Period, occurring from last treatment period visit or ETV to a minimum of 12 weeks following that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44000" cy="2914116"/>
                    </a:xfrm>
                    <a:prstGeom prst="rect">
                      <a:avLst/>
                    </a:prstGeom>
                  </pic:spPr>
                </pic:pic>
              </a:graphicData>
            </a:graphic>
          </wp:inline>
        </w:drawing>
      </w:r>
    </w:p>
    <w:p w14:paraId="11141708" w14:textId="77777777" w:rsidR="000461E7" w:rsidRPr="00B55B35" w:rsidRDefault="000461E7" w:rsidP="009A3750">
      <w:pPr>
        <w:pStyle w:val="TableDescription"/>
      </w:pPr>
      <w:r w:rsidRPr="00B55B35">
        <w:t>ETV = early termination visit; LV = last visit; LY = ixekizumab; n = number of patients in the specified category;</w:t>
      </w:r>
      <w:r>
        <w:t xml:space="preserve"> </w:t>
      </w:r>
      <w:r w:rsidRPr="00B55B35">
        <w:t>PTFU = Post-Treatment Follow-Up; Q2W = every 2 weeks; Q4W = every 4 weeks; SC = subcutaneous; V = visit; W = week.</w:t>
      </w:r>
    </w:p>
    <w:p w14:paraId="22553DFE" w14:textId="300DAE8E" w:rsidR="000461E7" w:rsidRDefault="000461E7" w:rsidP="009A3750">
      <w:pPr>
        <w:pStyle w:val="TableDescription"/>
      </w:pPr>
      <w:r w:rsidRPr="005F6EFA">
        <w:rPr>
          <w:vertAlign w:val="superscript"/>
        </w:rPr>
        <w:t xml:space="preserve">a </w:t>
      </w:r>
      <w:r w:rsidRPr="00B55B35">
        <w:t>All patients received 2 injection</w:t>
      </w:r>
      <w:r w:rsidR="001B7336">
        <w:t>s at B</w:t>
      </w:r>
      <w:r>
        <w:t>aseline. Patients randomis</w:t>
      </w:r>
      <w:r w:rsidRPr="00B55B35">
        <w:t>ed to an ixekizum</w:t>
      </w:r>
      <w:r>
        <w:t>ab treatment group were randomis</w:t>
      </w:r>
      <w:r w:rsidRPr="00B55B35">
        <w:t>ed to a</w:t>
      </w:r>
      <w:r>
        <w:t xml:space="preserve"> </w:t>
      </w:r>
      <w:r w:rsidRPr="00B55B35">
        <w:t>160 mg or 80 mg starting dose at a 1:1 ratio (within e</w:t>
      </w:r>
      <w:r w:rsidR="009A3750">
        <w:t xml:space="preserve">ach ixekizumab treatment group); </w:t>
      </w:r>
      <w:r w:rsidRPr="005F6EFA">
        <w:rPr>
          <w:vertAlign w:val="superscript"/>
        </w:rPr>
        <w:t xml:space="preserve">b </w:t>
      </w:r>
      <w:r w:rsidRPr="00B55B35">
        <w:t>All patients received 2 injections at Week 16. P</w:t>
      </w:r>
      <w:r>
        <w:t>atients randomis</w:t>
      </w:r>
      <w:r w:rsidRPr="00B55B35">
        <w:t>ed to placebo at Week 0 began ixekizumab 80 mg Q4W or</w:t>
      </w:r>
      <w:r>
        <w:t xml:space="preserve"> </w:t>
      </w:r>
      <w:r w:rsidRPr="00B55B35">
        <w:t>ixekizumab 80 mg Q2W at Week</w:t>
      </w:r>
      <w:r w:rsidR="009A3750">
        <w:t xml:space="preserve"> 16 with a 160 mg starting dose; </w:t>
      </w:r>
      <w:r w:rsidRPr="005F6EFA">
        <w:rPr>
          <w:vertAlign w:val="superscript"/>
        </w:rPr>
        <w:t xml:space="preserve">c </w:t>
      </w:r>
      <w:r w:rsidRPr="00B55B35">
        <w:t>Patients who discontinued from study drug for any reason and who received at least 1 dose of study drug continued to the</w:t>
      </w:r>
      <w:r>
        <w:t xml:space="preserve"> </w:t>
      </w:r>
      <w:r w:rsidRPr="00B55B35">
        <w:t>ETV before entering the PTFU Period. V801 and V802 were required for all patients; V803 may have been needed depending on</w:t>
      </w:r>
      <w:r>
        <w:t xml:space="preserve"> </w:t>
      </w:r>
      <w:r w:rsidRPr="00B55B35">
        <w:t>neutrophil counts.</w:t>
      </w:r>
    </w:p>
    <w:p w14:paraId="1455ED8E" w14:textId="386386A0" w:rsidR="001313D3" w:rsidRDefault="001313D3" w:rsidP="00054F17">
      <w:pPr>
        <w:pStyle w:val="Heading6"/>
      </w:pPr>
      <w:r>
        <w:t>Results</w:t>
      </w:r>
    </w:p>
    <w:p w14:paraId="5416E072" w14:textId="4C23F3DD" w:rsidR="000461E7" w:rsidRDefault="000461E7" w:rsidP="000461E7">
      <w:pPr>
        <w:rPr>
          <w:lang w:eastAsia="ja-JP"/>
        </w:rPr>
      </w:pPr>
      <w:r w:rsidRPr="00AD611F">
        <w:t>Demographic charact</w:t>
      </w:r>
      <w:r w:rsidR="001B7336">
        <w:t>eristics, disease history, and b</w:t>
      </w:r>
      <w:r w:rsidRPr="00AD611F">
        <w:t xml:space="preserve">aseline characteristics were </w:t>
      </w:r>
      <w:r>
        <w:t>generally</w:t>
      </w:r>
      <w:r w:rsidRPr="00AD611F">
        <w:t xml:space="preserve"> balanced</w:t>
      </w:r>
      <w:r>
        <w:t xml:space="preserve"> </w:t>
      </w:r>
      <w:r w:rsidRPr="00AD611F">
        <w:t>across treatment groups and consistent with a po</w:t>
      </w:r>
      <w:r>
        <w:t xml:space="preserve">pulation with </w:t>
      </w:r>
      <w:r w:rsidRPr="00AD611F">
        <w:t>AS</w:t>
      </w:r>
      <w:r>
        <w:t>. There</w:t>
      </w:r>
      <w:r w:rsidRPr="00AD611F">
        <w:t xml:space="preserve"> were no apparent differences in patient demographics</w:t>
      </w:r>
      <w:r>
        <w:t xml:space="preserve"> </w:t>
      </w:r>
      <w:r w:rsidR="001B7336">
        <w:t>and other b</w:t>
      </w:r>
      <w:r w:rsidRPr="00AD611F">
        <w:t>asel</w:t>
      </w:r>
      <w:r>
        <w:t xml:space="preserve">ine characteristics amongst the </w:t>
      </w:r>
      <w:r w:rsidRPr="00AD611F">
        <w:t>treatment groups by ixekizumab starting dose</w:t>
      </w:r>
      <w:r>
        <w:t xml:space="preserve">. </w:t>
      </w:r>
      <w:r>
        <w:rPr>
          <w:lang w:eastAsia="ja-JP"/>
        </w:rPr>
        <w:t>In the study</w:t>
      </w:r>
      <w:r w:rsidR="00A82F68">
        <w:rPr>
          <w:lang w:eastAsia="ja-JP"/>
        </w:rPr>
        <w:t>,</w:t>
      </w:r>
      <w:r>
        <w:rPr>
          <w:lang w:eastAsia="ja-JP"/>
        </w:rPr>
        <w:t xml:space="preserve"> 65.5% of enrolled patients ha</w:t>
      </w:r>
      <w:r w:rsidR="001B7336">
        <w:rPr>
          <w:lang w:eastAsia="ja-JP"/>
        </w:rPr>
        <w:t>d elevated CRP (&gt; 5.0 mg/L) at B</w:t>
      </w:r>
      <w:r>
        <w:rPr>
          <w:lang w:eastAsia="ja-JP"/>
        </w:rPr>
        <w:t xml:space="preserve">aseline, </w:t>
      </w:r>
      <w:r w:rsidRPr="001477A0">
        <w:rPr>
          <w:lang w:eastAsia="ja-JP"/>
        </w:rPr>
        <w:t xml:space="preserve">and </w:t>
      </w:r>
      <w:r>
        <w:rPr>
          <w:lang w:eastAsia="ja-JP"/>
        </w:rPr>
        <w:t>62.9%</w:t>
      </w:r>
      <w:r w:rsidRPr="001477A0">
        <w:rPr>
          <w:lang w:eastAsia="ja-JP"/>
        </w:rPr>
        <w:t xml:space="preserve"> of</w:t>
      </w:r>
      <w:r>
        <w:rPr>
          <w:lang w:eastAsia="ja-JP"/>
        </w:rPr>
        <w:t xml:space="preserve"> enrolled </w:t>
      </w:r>
      <w:r w:rsidRPr="001477A0">
        <w:rPr>
          <w:lang w:eastAsia="ja-JP"/>
        </w:rPr>
        <w:t xml:space="preserve">patients </w:t>
      </w:r>
      <w:r>
        <w:rPr>
          <w:lang w:eastAsia="ja-JP"/>
        </w:rPr>
        <w:t xml:space="preserve">had been treated </w:t>
      </w:r>
      <w:r w:rsidRPr="001477A0">
        <w:rPr>
          <w:lang w:eastAsia="ja-JP"/>
        </w:rPr>
        <w:t xml:space="preserve">with </w:t>
      </w:r>
      <w:r>
        <w:rPr>
          <w:lang w:eastAsia="ja-JP"/>
        </w:rPr>
        <w:t>only one prior TNFi</w:t>
      </w:r>
      <w:r w:rsidRPr="001477A0">
        <w:rPr>
          <w:lang w:eastAsia="ja-JP"/>
        </w:rPr>
        <w:t>.</w:t>
      </w:r>
      <w:r>
        <w:rPr>
          <w:lang w:eastAsia="ja-JP"/>
        </w:rPr>
        <w:t xml:space="preserve"> </w:t>
      </w:r>
      <w:r w:rsidRPr="00FB3140">
        <w:rPr>
          <w:lang w:eastAsia="ja-JP"/>
        </w:rPr>
        <w:t xml:space="preserve">Across all treatment groups, the mean and median baseline hs-CRP levels were 17.8 mg/L and 8.7 mg/L, respectively. </w:t>
      </w:r>
      <w:r>
        <w:t>Within each treatment group, around 20% had previously been treated with infliximab, between 40 and 46% had been treated with etanercept, around 40% with adalim</w:t>
      </w:r>
      <w:r w:rsidR="001430BC">
        <w:t xml:space="preserve">umab, 16% with </w:t>
      </w:r>
      <w:r w:rsidR="001430BC">
        <w:lastRenderedPageBreak/>
        <w:t xml:space="preserve">golimumab and 10% to </w:t>
      </w:r>
      <w:r>
        <w:t xml:space="preserve">15% with certolizumab pegol. </w:t>
      </w:r>
      <w:r w:rsidR="001B7336">
        <w:rPr>
          <w:lang w:eastAsia="ja-JP"/>
        </w:rPr>
        <w:t>At B</w:t>
      </w:r>
      <w:r w:rsidRPr="00FB3140">
        <w:rPr>
          <w:lang w:eastAsia="ja-JP"/>
        </w:rPr>
        <w:t xml:space="preserve">aseline, 76.3% of patients were receiving NSAIDs, 27.2% of patients were receiving cDMARDs (sulfasalazine or methotrexate), and 11.4% of patients were </w:t>
      </w:r>
      <w:r w:rsidR="002E5935">
        <w:rPr>
          <w:lang w:eastAsia="ja-JP"/>
        </w:rPr>
        <w:t>receiving oral corticosteroids.</w:t>
      </w:r>
    </w:p>
    <w:p w14:paraId="0CAD466A" w14:textId="55669C9C" w:rsidR="000461E7" w:rsidRDefault="000461E7" w:rsidP="00E42782">
      <w:r>
        <w:t>The primary objective was achieved for both ixekizumab treatment groups. A significantly greater percentage of patients achieved an ASAS 40 response at Week 16 in each of the ixekizumab trea</w:t>
      </w:r>
      <w:r w:rsidR="001430BC">
        <w:t xml:space="preserve">tment groups </w:t>
      </w:r>
      <w:r>
        <w:t>compared with the placebo group (</w:t>
      </w:r>
      <w:r>
        <w:fldChar w:fldCharType="begin"/>
      </w:r>
      <w:r>
        <w:instrText xml:space="preserve"> REF _Ref26543534 \h </w:instrText>
      </w:r>
      <w:r>
        <w:fldChar w:fldCharType="separate"/>
      </w:r>
      <w:r w:rsidR="00784D4A" w:rsidRPr="00DA3A6A">
        <w:t>Table 4</w:t>
      </w:r>
      <w:r>
        <w:fldChar w:fldCharType="end"/>
      </w:r>
      <w:r w:rsidR="002E5935">
        <w:t>).</w:t>
      </w:r>
    </w:p>
    <w:p w14:paraId="6E73118B" w14:textId="0C1E0E20" w:rsidR="000461E7" w:rsidRPr="00DA3A6A" w:rsidRDefault="000461E7" w:rsidP="00DA3A6A">
      <w:pPr>
        <w:pStyle w:val="TableTitle"/>
      </w:pPr>
      <w:bookmarkStart w:id="44" w:name="_Ref26543534"/>
      <w:r w:rsidRPr="00DA3A6A">
        <w:t xml:space="preserve">Table </w:t>
      </w:r>
      <w:fldSimple w:instr=" SEQ Table \* ARABIC ">
        <w:r w:rsidR="00A8521E" w:rsidRPr="00DA3A6A">
          <w:t>4</w:t>
        </w:r>
      </w:fldSimple>
      <w:bookmarkEnd w:id="44"/>
      <w:r w:rsidRPr="00DA3A6A">
        <w:t>:</w:t>
      </w:r>
      <w:r w:rsidR="00784D4A">
        <w:t xml:space="preserve"> COAST-W ASAS 40 at W</w:t>
      </w:r>
      <w:r w:rsidR="008C35BF">
        <w:t xml:space="preserve">eek 16, </w:t>
      </w:r>
      <w:r w:rsidR="00D130D8">
        <w:t>intent to treat</w:t>
      </w:r>
      <w:r w:rsidR="00D130D8" w:rsidRPr="00B70E19">
        <w:t xml:space="preserve"> </w:t>
      </w:r>
      <w:r w:rsidRPr="00DA3A6A">
        <w:t>population</w:t>
      </w:r>
    </w:p>
    <w:tbl>
      <w:tblPr>
        <w:tblStyle w:val="TableTGAblue"/>
        <w:tblW w:w="5000" w:type="pct"/>
        <w:tblLook w:val="00A0" w:firstRow="1" w:lastRow="0" w:firstColumn="1" w:lastColumn="0" w:noHBand="0" w:noVBand="0"/>
      </w:tblPr>
      <w:tblGrid>
        <w:gridCol w:w="2571"/>
        <w:gridCol w:w="1404"/>
        <w:gridCol w:w="1672"/>
        <w:gridCol w:w="1669"/>
        <w:gridCol w:w="1404"/>
      </w:tblGrid>
      <w:tr w:rsidR="000461E7" w:rsidRPr="005F7FF6" w14:paraId="2B2F454F" w14:textId="77777777" w:rsidTr="00054F17">
        <w:trPr>
          <w:cnfStyle w:val="100000000000" w:firstRow="1" w:lastRow="0" w:firstColumn="0" w:lastColumn="0" w:oddVBand="0" w:evenVBand="0" w:oddHBand="0" w:evenHBand="0" w:firstRowFirstColumn="0" w:firstRowLastColumn="0" w:lastRowFirstColumn="0" w:lastRowLastColumn="0"/>
          <w:trHeight w:val="272"/>
        </w:trPr>
        <w:tc>
          <w:tcPr>
            <w:tcW w:w="1474" w:type="pct"/>
          </w:tcPr>
          <w:p w14:paraId="4F74F4CF" w14:textId="77777777" w:rsidR="000461E7" w:rsidRPr="005F7FF6" w:rsidRDefault="000461E7" w:rsidP="005F7FF6">
            <w:pPr>
              <w:ind w:left="0" w:right="0"/>
              <w:rPr>
                <w:sz w:val="20"/>
                <w:szCs w:val="20"/>
              </w:rPr>
            </w:pPr>
          </w:p>
        </w:tc>
        <w:tc>
          <w:tcPr>
            <w:tcW w:w="805" w:type="pct"/>
          </w:tcPr>
          <w:p w14:paraId="54E09804"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PBO</w:t>
            </w:r>
          </w:p>
          <w:p w14:paraId="4734C418" w14:textId="058C592E" w:rsidR="000461E7" w:rsidRPr="005F7FF6" w:rsidRDefault="000461E7" w:rsidP="005F7FF6">
            <w:pPr>
              <w:ind w:left="0" w:right="0"/>
              <w:rPr>
                <w:sz w:val="20"/>
                <w:szCs w:val="20"/>
              </w:rPr>
            </w:pPr>
            <w:r w:rsidRPr="005F7FF6">
              <w:rPr>
                <w:rFonts w:asciiTheme="minorHAnsi" w:hAnsiTheme="minorHAnsi"/>
                <w:sz w:val="20"/>
                <w:szCs w:val="20"/>
              </w:rPr>
              <w:t>(N</w:t>
            </w:r>
            <w:r w:rsidR="007B6CB4" w:rsidRPr="005F7FF6">
              <w:rPr>
                <w:rFonts w:asciiTheme="minorHAnsi" w:hAnsiTheme="minorHAnsi"/>
                <w:sz w:val="20"/>
                <w:szCs w:val="20"/>
              </w:rPr>
              <w:t xml:space="preserve"> </w:t>
            </w:r>
            <w:r w:rsidRPr="005F7FF6">
              <w:rPr>
                <w:rFonts w:asciiTheme="minorHAnsi" w:hAnsiTheme="minorHAnsi"/>
                <w:sz w:val="20"/>
                <w:szCs w:val="20"/>
              </w:rPr>
              <w:t>=</w:t>
            </w:r>
            <w:r w:rsidR="007B6CB4" w:rsidRPr="005F7FF6">
              <w:rPr>
                <w:rFonts w:asciiTheme="minorHAnsi" w:hAnsiTheme="minorHAnsi"/>
                <w:sz w:val="20"/>
                <w:szCs w:val="20"/>
              </w:rPr>
              <w:t xml:space="preserve"> </w:t>
            </w:r>
            <w:r w:rsidRPr="005F7FF6">
              <w:rPr>
                <w:rFonts w:asciiTheme="minorHAnsi" w:hAnsiTheme="minorHAnsi"/>
                <w:sz w:val="20"/>
                <w:szCs w:val="20"/>
              </w:rPr>
              <w:t>104)</w:t>
            </w:r>
          </w:p>
        </w:tc>
        <w:tc>
          <w:tcPr>
            <w:tcW w:w="959" w:type="pct"/>
          </w:tcPr>
          <w:p w14:paraId="4E53A31C" w14:textId="77777777" w:rsidR="000461E7" w:rsidRPr="005F7FF6" w:rsidRDefault="000461E7" w:rsidP="005F7FF6">
            <w:pPr>
              <w:ind w:left="0" w:right="0"/>
              <w:rPr>
                <w:rFonts w:asciiTheme="minorHAnsi" w:hAnsiTheme="minorHAnsi"/>
                <w:w w:val="95"/>
                <w:sz w:val="20"/>
                <w:szCs w:val="20"/>
              </w:rPr>
            </w:pPr>
            <w:r w:rsidRPr="005F7FF6">
              <w:rPr>
                <w:rFonts w:asciiTheme="minorHAnsi" w:hAnsiTheme="minorHAnsi"/>
                <w:w w:val="95"/>
                <w:sz w:val="20"/>
                <w:szCs w:val="20"/>
              </w:rPr>
              <w:t>IXE80Q4W</w:t>
            </w:r>
          </w:p>
          <w:p w14:paraId="79A55391" w14:textId="0CE94A75" w:rsidR="000461E7" w:rsidRPr="005F7FF6" w:rsidRDefault="000461E7" w:rsidP="005F7FF6">
            <w:pPr>
              <w:ind w:left="0" w:right="0"/>
              <w:rPr>
                <w:sz w:val="20"/>
                <w:szCs w:val="20"/>
              </w:rPr>
            </w:pPr>
            <w:r w:rsidRPr="005F7FF6">
              <w:rPr>
                <w:rFonts w:asciiTheme="minorHAnsi" w:hAnsiTheme="minorHAnsi"/>
                <w:w w:val="95"/>
                <w:sz w:val="20"/>
                <w:szCs w:val="20"/>
              </w:rPr>
              <w:t>(N</w:t>
            </w:r>
            <w:r w:rsidR="007B6CB4" w:rsidRPr="005F7FF6">
              <w:rPr>
                <w:rFonts w:asciiTheme="minorHAnsi" w:hAnsiTheme="minorHAnsi"/>
                <w:w w:val="95"/>
                <w:sz w:val="20"/>
                <w:szCs w:val="20"/>
              </w:rPr>
              <w:t xml:space="preserve"> = </w:t>
            </w:r>
            <w:r w:rsidRPr="005F7FF6">
              <w:rPr>
                <w:rFonts w:asciiTheme="minorHAnsi" w:hAnsiTheme="minorHAnsi"/>
                <w:w w:val="95"/>
                <w:sz w:val="20"/>
                <w:szCs w:val="20"/>
              </w:rPr>
              <w:t>114)</w:t>
            </w:r>
          </w:p>
        </w:tc>
        <w:tc>
          <w:tcPr>
            <w:tcW w:w="957" w:type="pct"/>
          </w:tcPr>
          <w:p w14:paraId="5683DF2E"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IXE80Q2W</w:t>
            </w:r>
          </w:p>
          <w:p w14:paraId="1C15CB25" w14:textId="2BC5F855" w:rsidR="000461E7" w:rsidRPr="005F7FF6" w:rsidRDefault="000461E7" w:rsidP="005F7FF6">
            <w:pPr>
              <w:ind w:left="0" w:right="0"/>
              <w:rPr>
                <w:sz w:val="20"/>
                <w:szCs w:val="20"/>
              </w:rPr>
            </w:pPr>
            <w:r w:rsidRPr="005F7FF6">
              <w:rPr>
                <w:rFonts w:asciiTheme="minorHAnsi" w:hAnsiTheme="minorHAnsi"/>
                <w:sz w:val="20"/>
                <w:szCs w:val="20"/>
              </w:rPr>
              <w:t>(N</w:t>
            </w:r>
            <w:r w:rsidR="007B6CB4" w:rsidRPr="005F7FF6">
              <w:rPr>
                <w:rFonts w:asciiTheme="minorHAnsi" w:hAnsiTheme="minorHAnsi"/>
                <w:sz w:val="20"/>
                <w:szCs w:val="20"/>
              </w:rPr>
              <w:t xml:space="preserve"> = </w:t>
            </w:r>
            <w:r w:rsidRPr="005F7FF6">
              <w:rPr>
                <w:rFonts w:asciiTheme="minorHAnsi" w:hAnsiTheme="minorHAnsi"/>
                <w:sz w:val="20"/>
                <w:szCs w:val="20"/>
              </w:rPr>
              <w:t>98)</w:t>
            </w:r>
          </w:p>
        </w:tc>
        <w:tc>
          <w:tcPr>
            <w:tcW w:w="805" w:type="pct"/>
          </w:tcPr>
          <w:p w14:paraId="0B1EFF58"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Total IXE</w:t>
            </w:r>
          </w:p>
          <w:p w14:paraId="3F368F96" w14:textId="72B1AB70" w:rsidR="000461E7" w:rsidRPr="005F7FF6" w:rsidRDefault="000461E7" w:rsidP="005F7FF6">
            <w:pPr>
              <w:ind w:left="0" w:right="0"/>
              <w:rPr>
                <w:sz w:val="20"/>
                <w:szCs w:val="20"/>
              </w:rPr>
            </w:pPr>
            <w:r w:rsidRPr="005F7FF6">
              <w:rPr>
                <w:rFonts w:asciiTheme="minorHAnsi" w:hAnsiTheme="minorHAnsi"/>
                <w:w w:val="95"/>
                <w:sz w:val="20"/>
                <w:szCs w:val="20"/>
              </w:rPr>
              <w:t>(N</w:t>
            </w:r>
            <w:r w:rsidR="007B6CB4" w:rsidRPr="005F7FF6">
              <w:rPr>
                <w:rFonts w:asciiTheme="minorHAnsi" w:hAnsiTheme="minorHAnsi"/>
                <w:w w:val="95"/>
                <w:sz w:val="20"/>
                <w:szCs w:val="20"/>
              </w:rPr>
              <w:t xml:space="preserve"> = </w:t>
            </w:r>
            <w:r w:rsidRPr="005F7FF6">
              <w:rPr>
                <w:rFonts w:asciiTheme="minorHAnsi" w:hAnsiTheme="minorHAnsi"/>
                <w:w w:val="95"/>
                <w:sz w:val="20"/>
                <w:szCs w:val="20"/>
              </w:rPr>
              <w:t>212)</w:t>
            </w:r>
          </w:p>
        </w:tc>
      </w:tr>
      <w:tr w:rsidR="000461E7" w:rsidRPr="005F7FF6" w14:paraId="1D5ECB61" w14:textId="77777777" w:rsidTr="00054F17">
        <w:trPr>
          <w:trHeight w:val="283"/>
        </w:trPr>
        <w:tc>
          <w:tcPr>
            <w:tcW w:w="1474" w:type="pct"/>
          </w:tcPr>
          <w:p w14:paraId="4F82BD0B" w14:textId="2A1ECA30"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ASAS</w:t>
            </w:r>
            <w:r w:rsidR="006929E0" w:rsidRPr="005F7FF6">
              <w:rPr>
                <w:rFonts w:asciiTheme="minorHAnsi" w:hAnsiTheme="minorHAnsi"/>
                <w:sz w:val="20"/>
                <w:szCs w:val="20"/>
              </w:rPr>
              <w:t xml:space="preserve"> </w:t>
            </w:r>
            <w:r w:rsidRPr="005F7FF6">
              <w:rPr>
                <w:rFonts w:asciiTheme="minorHAnsi" w:hAnsiTheme="minorHAnsi"/>
                <w:sz w:val="20"/>
                <w:szCs w:val="20"/>
              </w:rPr>
              <w:t>40 at Week 16 (NRI), n (%)</w:t>
            </w:r>
          </w:p>
        </w:tc>
        <w:tc>
          <w:tcPr>
            <w:tcW w:w="805" w:type="pct"/>
          </w:tcPr>
          <w:p w14:paraId="659B2490" w14:textId="77777777" w:rsidR="000461E7" w:rsidRPr="005F7FF6" w:rsidRDefault="000461E7" w:rsidP="005F7FF6">
            <w:pPr>
              <w:ind w:left="0" w:right="0"/>
              <w:rPr>
                <w:rFonts w:asciiTheme="minorHAnsi" w:hAnsiTheme="minorHAnsi"/>
                <w:sz w:val="20"/>
                <w:szCs w:val="20"/>
              </w:rPr>
            </w:pPr>
            <w:r w:rsidRPr="005F7FF6">
              <w:rPr>
                <w:sz w:val="20"/>
                <w:szCs w:val="20"/>
              </w:rPr>
              <w:t>13 (</w:t>
            </w:r>
            <w:r w:rsidRPr="005F7FF6">
              <w:rPr>
                <w:rFonts w:asciiTheme="minorHAnsi" w:hAnsiTheme="minorHAnsi"/>
                <w:sz w:val="20"/>
                <w:szCs w:val="20"/>
              </w:rPr>
              <w:t>12.5%)</w:t>
            </w:r>
          </w:p>
        </w:tc>
        <w:tc>
          <w:tcPr>
            <w:tcW w:w="959" w:type="pct"/>
          </w:tcPr>
          <w:p w14:paraId="0BD692CA" w14:textId="77777777" w:rsidR="000461E7" w:rsidRPr="005F7FF6" w:rsidRDefault="000461E7" w:rsidP="005F7FF6">
            <w:pPr>
              <w:ind w:left="0" w:right="0"/>
              <w:rPr>
                <w:rFonts w:asciiTheme="minorHAnsi" w:hAnsiTheme="minorHAnsi"/>
                <w:sz w:val="20"/>
                <w:szCs w:val="20"/>
              </w:rPr>
            </w:pPr>
            <w:r w:rsidRPr="005F7FF6">
              <w:rPr>
                <w:sz w:val="20"/>
                <w:szCs w:val="20"/>
              </w:rPr>
              <w:t>29 (</w:t>
            </w:r>
            <w:r w:rsidRPr="005F7FF6">
              <w:rPr>
                <w:rFonts w:asciiTheme="minorHAnsi" w:hAnsiTheme="minorHAnsi"/>
                <w:sz w:val="20"/>
                <w:szCs w:val="20"/>
              </w:rPr>
              <w:t>25.4%)</w:t>
            </w:r>
          </w:p>
        </w:tc>
        <w:tc>
          <w:tcPr>
            <w:tcW w:w="957" w:type="pct"/>
          </w:tcPr>
          <w:p w14:paraId="41CA0721" w14:textId="77777777" w:rsidR="000461E7" w:rsidRPr="005F7FF6" w:rsidRDefault="000461E7" w:rsidP="005F7FF6">
            <w:pPr>
              <w:ind w:left="0" w:right="0"/>
              <w:rPr>
                <w:rFonts w:asciiTheme="minorHAnsi" w:hAnsiTheme="minorHAnsi"/>
                <w:sz w:val="20"/>
                <w:szCs w:val="20"/>
              </w:rPr>
            </w:pPr>
            <w:r w:rsidRPr="005F7FF6">
              <w:rPr>
                <w:sz w:val="20"/>
                <w:szCs w:val="20"/>
              </w:rPr>
              <w:t>30 (</w:t>
            </w:r>
            <w:r w:rsidRPr="005F7FF6">
              <w:rPr>
                <w:rFonts w:asciiTheme="minorHAnsi" w:hAnsiTheme="minorHAnsi"/>
                <w:sz w:val="20"/>
                <w:szCs w:val="20"/>
              </w:rPr>
              <w:t>30.6%)</w:t>
            </w:r>
          </w:p>
        </w:tc>
        <w:tc>
          <w:tcPr>
            <w:tcW w:w="805" w:type="pct"/>
          </w:tcPr>
          <w:p w14:paraId="7E805C38" w14:textId="77777777" w:rsidR="000461E7" w:rsidRPr="005F7FF6" w:rsidRDefault="000461E7" w:rsidP="005F7FF6">
            <w:pPr>
              <w:ind w:left="0" w:right="0"/>
              <w:rPr>
                <w:rFonts w:asciiTheme="minorHAnsi" w:hAnsiTheme="minorHAnsi"/>
                <w:sz w:val="20"/>
                <w:szCs w:val="20"/>
              </w:rPr>
            </w:pPr>
            <w:r w:rsidRPr="005F7FF6">
              <w:rPr>
                <w:sz w:val="20"/>
                <w:szCs w:val="20"/>
              </w:rPr>
              <w:t>59 (</w:t>
            </w:r>
            <w:r w:rsidRPr="005F7FF6">
              <w:rPr>
                <w:rFonts w:asciiTheme="minorHAnsi" w:hAnsiTheme="minorHAnsi"/>
                <w:sz w:val="20"/>
                <w:szCs w:val="20"/>
              </w:rPr>
              <w:t>27.8%)</w:t>
            </w:r>
          </w:p>
        </w:tc>
      </w:tr>
      <w:tr w:rsidR="000461E7" w:rsidRPr="005F7FF6" w14:paraId="622FAD49" w14:textId="77777777" w:rsidTr="00054F17">
        <w:trPr>
          <w:trHeight w:val="283"/>
        </w:trPr>
        <w:tc>
          <w:tcPr>
            <w:tcW w:w="1474" w:type="pct"/>
          </w:tcPr>
          <w:p w14:paraId="58AD059A"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95% CI*</w:t>
            </w:r>
            <w:r w:rsidRPr="005F7FF6">
              <w:rPr>
                <w:rFonts w:asciiTheme="minorHAnsi" w:hAnsiTheme="minorHAnsi"/>
                <w:sz w:val="20"/>
                <w:szCs w:val="20"/>
                <w:vertAlign w:val="superscript"/>
              </w:rPr>
              <w:t>b</w:t>
            </w:r>
          </w:p>
        </w:tc>
        <w:tc>
          <w:tcPr>
            <w:tcW w:w="805" w:type="pct"/>
          </w:tcPr>
          <w:p w14:paraId="00BCDC16"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(6.1%, 18.9%)</w:t>
            </w:r>
          </w:p>
        </w:tc>
        <w:tc>
          <w:tcPr>
            <w:tcW w:w="959" w:type="pct"/>
          </w:tcPr>
          <w:p w14:paraId="6853E41F"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(17.4%, 33.4%)</w:t>
            </w:r>
          </w:p>
        </w:tc>
        <w:tc>
          <w:tcPr>
            <w:tcW w:w="957" w:type="pct"/>
          </w:tcPr>
          <w:p w14:paraId="756378F0"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(21.5%, 39.7%)</w:t>
            </w:r>
          </w:p>
        </w:tc>
        <w:tc>
          <w:tcPr>
            <w:tcW w:w="805" w:type="pct"/>
          </w:tcPr>
          <w:p w14:paraId="04238847" w14:textId="77777777" w:rsidR="000461E7" w:rsidRPr="005F7FF6" w:rsidRDefault="000461E7" w:rsidP="005F7FF6">
            <w:pPr>
              <w:ind w:left="0" w:right="0"/>
              <w:rPr>
                <w:rFonts w:asciiTheme="minorHAnsi" w:hAnsiTheme="minorHAnsi"/>
                <w:sz w:val="20"/>
                <w:szCs w:val="20"/>
              </w:rPr>
            </w:pPr>
          </w:p>
        </w:tc>
      </w:tr>
      <w:tr w:rsidR="000461E7" w:rsidRPr="005F7FF6" w14:paraId="0549A0EB" w14:textId="77777777" w:rsidTr="00054F17">
        <w:trPr>
          <w:trHeight w:val="283"/>
        </w:trPr>
        <w:tc>
          <w:tcPr>
            <w:tcW w:w="1474" w:type="pct"/>
          </w:tcPr>
          <w:p w14:paraId="5A17AAC6" w14:textId="1A6B5963"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 xml:space="preserve">Odds </w:t>
            </w:r>
            <w:r w:rsidR="00B8128D">
              <w:rPr>
                <w:rFonts w:asciiTheme="minorHAnsi" w:hAnsiTheme="minorHAnsi"/>
                <w:sz w:val="20"/>
                <w:szCs w:val="20"/>
              </w:rPr>
              <w:t>r</w:t>
            </w:r>
            <w:r w:rsidRPr="005F7FF6">
              <w:rPr>
                <w:rFonts w:asciiTheme="minorHAnsi" w:hAnsiTheme="minorHAnsi"/>
                <w:sz w:val="20"/>
                <w:szCs w:val="20"/>
              </w:rPr>
              <w:t xml:space="preserve">atio (95% CI) </w:t>
            </w:r>
            <w:r w:rsidR="000E5BAC" w:rsidRPr="005F7FF6">
              <w:rPr>
                <w:rFonts w:asciiTheme="minorHAnsi" w:hAnsiTheme="minorHAnsi"/>
                <w:sz w:val="20"/>
                <w:szCs w:val="20"/>
              </w:rPr>
              <w:t>versus</w:t>
            </w:r>
            <w:r w:rsidRPr="005F7FF6">
              <w:rPr>
                <w:rFonts w:asciiTheme="minorHAnsi" w:hAnsiTheme="minorHAnsi"/>
                <w:sz w:val="20"/>
                <w:szCs w:val="20"/>
              </w:rPr>
              <w:t xml:space="preserve"> PBO*</w:t>
            </w:r>
            <w:r w:rsidRPr="005F7FF6">
              <w:rPr>
                <w:rFonts w:asciiTheme="minorHAnsi" w:hAnsiTheme="minorHAnsi"/>
                <w:sz w:val="20"/>
                <w:szCs w:val="20"/>
                <w:vertAlign w:val="superscript"/>
              </w:rPr>
              <w:t>a</w:t>
            </w:r>
          </w:p>
        </w:tc>
        <w:tc>
          <w:tcPr>
            <w:tcW w:w="805" w:type="pct"/>
          </w:tcPr>
          <w:p w14:paraId="58FF654A" w14:textId="77777777" w:rsidR="000461E7" w:rsidRPr="005F7FF6" w:rsidRDefault="000461E7" w:rsidP="005F7FF6">
            <w:pPr>
              <w:ind w:left="0" w:right="0"/>
              <w:rPr>
                <w:rFonts w:asciiTheme="minorHAnsi" w:hAnsiTheme="minorHAnsi"/>
                <w:sz w:val="20"/>
                <w:szCs w:val="20"/>
              </w:rPr>
            </w:pPr>
          </w:p>
        </w:tc>
        <w:tc>
          <w:tcPr>
            <w:tcW w:w="959" w:type="pct"/>
          </w:tcPr>
          <w:p w14:paraId="58DDAF48"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2.41 (1.17, 4.95)</w:t>
            </w:r>
          </w:p>
        </w:tc>
        <w:tc>
          <w:tcPr>
            <w:tcW w:w="957" w:type="pct"/>
          </w:tcPr>
          <w:p w14:paraId="4B9A5078"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3.06 (1.48, 6.33)</w:t>
            </w:r>
          </w:p>
        </w:tc>
        <w:tc>
          <w:tcPr>
            <w:tcW w:w="805" w:type="pct"/>
          </w:tcPr>
          <w:p w14:paraId="7A0DFA56" w14:textId="77777777" w:rsidR="000461E7" w:rsidRPr="005F7FF6" w:rsidRDefault="000461E7" w:rsidP="005F7FF6">
            <w:pPr>
              <w:ind w:left="0" w:right="0"/>
              <w:rPr>
                <w:rFonts w:asciiTheme="minorHAnsi" w:hAnsiTheme="minorHAnsi"/>
                <w:sz w:val="20"/>
                <w:szCs w:val="20"/>
              </w:rPr>
            </w:pPr>
          </w:p>
        </w:tc>
      </w:tr>
      <w:tr w:rsidR="000461E7" w:rsidRPr="005F7FF6" w14:paraId="2A2362DB" w14:textId="77777777" w:rsidTr="00054F17">
        <w:trPr>
          <w:trHeight w:val="283"/>
        </w:trPr>
        <w:tc>
          <w:tcPr>
            <w:tcW w:w="1474" w:type="pct"/>
          </w:tcPr>
          <w:p w14:paraId="74AF0B98" w14:textId="72CD0B96"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 xml:space="preserve">Difference (95% CI) </w:t>
            </w:r>
            <w:r w:rsidR="000E5BAC" w:rsidRPr="005F7FF6">
              <w:rPr>
                <w:rFonts w:asciiTheme="minorHAnsi" w:hAnsiTheme="minorHAnsi"/>
                <w:sz w:val="20"/>
                <w:szCs w:val="20"/>
              </w:rPr>
              <w:t>versus</w:t>
            </w:r>
            <w:r w:rsidRPr="005F7FF6">
              <w:rPr>
                <w:rFonts w:asciiTheme="minorHAnsi" w:hAnsiTheme="minorHAnsi"/>
                <w:sz w:val="20"/>
                <w:szCs w:val="20"/>
              </w:rPr>
              <w:t xml:space="preserve"> PBO*</w:t>
            </w:r>
            <w:r w:rsidRPr="005F7FF6">
              <w:rPr>
                <w:rFonts w:asciiTheme="minorHAnsi" w:hAnsiTheme="minorHAnsi"/>
                <w:sz w:val="20"/>
                <w:szCs w:val="20"/>
                <w:vertAlign w:val="superscript"/>
              </w:rPr>
              <w:t>b</w:t>
            </w:r>
          </w:p>
        </w:tc>
        <w:tc>
          <w:tcPr>
            <w:tcW w:w="805" w:type="pct"/>
          </w:tcPr>
          <w:p w14:paraId="7A5CB735" w14:textId="77777777" w:rsidR="000461E7" w:rsidRPr="005F7FF6" w:rsidRDefault="000461E7" w:rsidP="005F7FF6">
            <w:pPr>
              <w:ind w:left="0" w:right="0"/>
              <w:rPr>
                <w:rFonts w:asciiTheme="minorHAnsi" w:hAnsiTheme="minorHAnsi"/>
                <w:sz w:val="20"/>
                <w:szCs w:val="20"/>
              </w:rPr>
            </w:pPr>
          </w:p>
        </w:tc>
        <w:tc>
          <w:tcPr>
            <w:tcW w:w="959" w:type="pct"/>
          </w:tcPr>
          <w:p w14:paraId="51ED6929"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12.9% (2.7%, 23.2%)</w:t>
            </w:r>
          </w:p>
        </w:tc>
        <w:tc>
          <w:tcPr>
            <w:tcW w:w="957" w:type="pct"/>
          </w:tcPr>
          <w:p w14:paraId="1BE81BF2"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18.1% (7.0%, 29.2%)</w:t>
            </w:r>
          </w:p>
        </w:tc>
        <w:tc>
          <w:tcPr>
            <w:tcW w:w="805" w:type="pct"/>
          </w:tcPr>
          <w:p w14:paraId="3284C26B" w14:textId="77777777" w:rsidR="000461E7" w:rsidRPr="005F7FF6" w:rsidRDefault="000461E7" w:rsidP="005F7FF6">
            <w:pPr>
              <w:ind w:left="0" w:right="0"/>
              <w:rPr>
                <w:rFonts w:asciiTheme="minorHAnsi" w:hAnsiTheme="minorHAnsi"/>
                <w:sz w:val="20"/>
                <w:szCs w:val="20"/>
              </w:rPr>
            </w:pPr>
          </w:p>
        </w:tc>
      </w:tr>
      <w:tr w:rsidR="000461E7" w:rsidRPr="005F7FF6" w14:paraId="23CE82B0" w14:textId="77777777" w:rsidTr="00054F17">
        <w:trPr>
          <w:trHeight w:val="283"/>
        </w:trPr>
        <w:tc>
          <w:tcPr>
            <w:tcW w:w="1474" w:type="pct"/>
          </w:tcPr>
          <w:p w14:paraId="2A943930" w14:textId="765D5FF4"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 xml:space="preserve">p-value </w:t>
            </w:r>
            <w:r w:rsidR="000E5BAC" w:rsidRPr="005F7FF6">
              <w:rPr>
                <w:rFonts w:asciiTheme="minorHAnsi" w:hAnsiTheme="minorHAnsi"/>
                <w:sz w:val="20"/>
                <w:szCs w:val="20"/>
              </w:rPr>
              <w:t>versus</w:t>
            </w:r>
            <w:r w:rsidRPr="005F7FF6">
              <w:rPr>
                <w:rFonts w:asciiTheme="minorHAnsi" w:hAnsiTheme="minorHAnsi"/>
                <w:sz w:val="20"/>
                <w:szCs w:val="20"/>
              </w:rPr>
              <w:t xml:space="preserve"> PBO*</w:t>
            </w:r>
            <w:r w:rsidRPr="005F7FF6">
              <w:rPr>
                <w:rFonts w:asciiTheme="minorHAnsi" w:hAnsiTheme="minorHAnsi"/>
                <w:sz w:val="20"/>
                <w:szCs w:val="20"/>
                <w:vertAlign w:val="superscript"/>
              </w:rPr>
              <w:t>a</w:t>
            </w:r>
          </w:p>
        </w:tc>
        <w:tc>
          <w:tcPr>
            <w:tcW w:w="805" w:type="pct"/>
          </w:tcPr>
          <w:p w14:paraId="1362A0CF" w14:textId="77777777" w:rsidR="000461E7" w:rsidRPr="005F7FF6" w:rsidRDefault="000461E7" w:rsidP="005F7FF6">
            <w:pPr>
              <w:ind w:left="0" w:right="0"/>
              <w:rPr>
                <w:rFonts w:asciiTheme="minorHAnsi" w:hAnsiTheme="minorHAnsi"/>
                <w:sz w:val="20"/>
                <w:szCs w:val="20"/>
              </w:rPr>
            </w:pPr>
          </w:p>
        </w:tc>
        <w:tc>
          <w:tcPr>
            <w:tcW w:w="959" w:type="pct"/>
          </w:tcPr>
          <w:p w14:paraId="49BFEBC8"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0.017</w:t>
            </w:r>
          </w:p>
        </w:tc>
        <w:tc>
          <w:tcPr>
            <w:tcW w:w="957" w:type="pct"/>
          </w:tcPr>
          <w:p w14:paraId="62C5358A" w14:textId="77777777" w:rsidR="000461E7" w:rsidRPr="005F7FF6" w:rsidRDefault="000461E7" w:rsidP="005F7FF6">
            <w:pPr>
              <w:ind w:left="0" w:right="0"/>
              <w:rPr>
                <w:rFonts w:asciiTheme="minorHAnsi" w:hAnsiTheme="minorHAnsi"/>
                <w:sz w:val="20"/>
                <w:szCs w:val="20"/>
              </w:rPr>
            </w:pPr>
            <w:r w:rsidRPr="005F7FF6">
              <w:rPr>
                <w:rFonts w:asciiTheme="minorHAnsi" w:hAnsiTheme="minorHAnsi"/>
                <w:sz w:val="20"/>
                <w:szCs w:val="20"/>
              </w:rPr>
              <w:t>0.003</w:t>
            </w:r>
          </w:p>
        </w:tc>
        <w:tc>
          <w:tcPr>
            <w:tcW w:w="805" w:type="pct"/>
          </w:tcPr>
          <w:p w14:paraId="42A3DFD3" w14:textId="77777777" w:rsidR="000461E7" w:rsidRPr="005F7FF6" w:rsidRDefault="000461E7" w:rsidP="005F7FF6">
            <w:pPr>
              <w:ind w:left="0" w:right="0"/>
              <w:rPr>
                <w:rFonts w:asciiTheme="minorHAnsi" w:hAnsiTheme="minorHAnsi"/>
                <w:sz w:val="20"/>
                <w:szCs w:val="20"/>
              </w:rPr>
            </w:pPr>
          </w:p>
        </w:tc>
      </w:tr>
    </w:tbl>
    <w:p w14:paraId="44785608" w14:textId="7E4D4B4C" w:rsidR="000461E7" w:rsidRPr="002274E4" w:rsidRDefault="000461E7" w:rsidP="00784D4A">
      <w:pPr>
        <w:pStyle w:val="TableDescription"/>
      </w:pPr>
      <w:r w:rsidRPr="002274E4">
        <w:t xml:space="preserve">PBO = Placebo; IXE80Q4W = </w:t>
      </w:r>
      <w:r w:rsidR="001313D3">
        <w:t>i</w:t>
      </w:r>
      <w:r w:rsidRPr="002274E4">
        <w:t xml:space="preserve">xekizumab 80 mg Q4W; IXE80Q2W = </w:t>
      </w:r>
      <w:r w:rsidR="001313D3">
        <w:t>i</w:t>
      </w:r>
      <w:r w:rsidRPr="002274E4">
        <w:t>xekizumab 80 mg Q2W; N = number of patients in the</w:t>
      </w:r>
      <w:r>
        <w:t xml:space="preserve"> </w:t>
      </w:r>
      <w:r w:rsidRPr="002274E4">
        <w:t>analysis population; n = number of patients in the specified category; CI = confidence interval; NRI = non</w:t>
      </w:r>
      <w:r>
        <w:t>-</w:t>
      </w:r>
      <w:r w:rsidRPr="002274E4">
        <w:t>responder imputation.</w:t>
      </w:r>
    </w:p>
    <w:p w14:paraId="57893E4E" w14:textId="77777777" w:rsidR="000461E7" w:rsidRPr="002274E4" w:rsidRDefault="000461E7" w:rsidP="00784D4A">
      <w:pPr>
        <w:pStyle w:val="TableDescription"/>
      </w:pPr>
      <w:r w:rsidRPr="002274E4">
        <w:t>Note: Percentage is calculated by n/N*100%.</w:t>
      </w:r>
    </w:p>
    <w:p w14:paraId="3A31E7AC" w14:textId="5DAA8323" w:rsidR="000461E7" w:rsidRPr="00BF26EC" w:rsidRDefault="00F64E7A" w:rsidP="00784D4A">
      <w:pPr>
        <w:pStyle w:val="TableDescription"/>
      </w:pPr>
      <w:r w:rsidRPr="00F64E7A">
        <w:rPr>
          <w:vertAlign w:val="superscript"/>
        </w:rPr>
        <w:t>*a</w:t>
      </w:r>
      <w:r>
        <w:t xml:space="preserve"> </w:t>
      </w:r>
      <w:r w:rsidR="000461E7" w:rsidRPr="002274E4">
        <w:t xml:space="preserve">Logistic regression analysis with treatment, geographic region, baseline CRP status and number of prior TNFi in </w:t>
      </w:r>
      <w:r w:rsidR="00BF26EC">
        <w:t xml:space="preserve">the model; </w:t>
      </w:r>
      <w:r w:rsidRPr="00F64E7A">
        <w:rPr>
          <w:vertAlign w:val="superscript"/>
        </w:rPr>
        <w:t>*b</w:t>
      </w:r>
      <w:r>
        <w:t xml:space="preserve"> </w:t>
      </w:r>
      <w:r w:rsidR="000461E7" w:rsidRPr="002274E4">
        <w:t>Confidence intervals are constructed using the simple asymptotic method, without continuity correction (that is, normal</w:t>
      </w:r>
      <w:r w:rsidR="000461E7">
        <w:t xml:space="preserve"> </w:t>
      </w:r>
      <w:r w:rsidR="000461E7" w:rsidRPr="002274E4">
        <w:t>approximation to the binomial distribution).</w:t>
      </w:r>
    </w:p>
    <w:p w14:paraId="27918661" w14:textId="23A1FC39" w:rsidR="000461E7" w:rsidRDefault="000461E7" w:rsidP="000461E7">
      <w:r>
        <w:t>Major secondary objectives at 16 weeks, including ASAS 20 respon</w:t>
      </w:r>
      <w:r w:rsidR="001B7336">
        <w:t>se, ASDAS change from Baseline, BASDAI change from Baseline, BASFI change from B</w:t>
      </w:r>
      <w:r>
        <w:t>aseline, SPAR</w:t>
      </w:r>
      <w:r w:rsidR="001B7336">
        <w:t>CC MRI spine score change from B</w:t>
      </w:r>
      <w:r>
        <w:t>aseline, a</w:t>
      </w:r>
      <w:r w:rsidR="001B7336">
        <w:t>nd SF-36 PCS score change from B</w:t>
      </w:r>
      <w:r>
        <w:t>aseline demonstrated statistically significant improvements in the ixekizumab treatment groups over placebo. The</w:t>
      </w:r>
      <w:r w:rsidR="005B55CE">
        <w:t xml:space="preserve"> </w:t>
      </w:r>
      <w:r>
        <w:t>ASAS HI</w:t>
      </w:r>
      <w:r w:rsidR="001B7336">
        <w:t xml:space="preserve"> change from B</w:t>
      </w:r>
      <w:r>
        <w:t>aseline was significantly greater than in the placebo group for the ixekizumab 80</w:t>
      </w:r>
      <w:r w:rsidR="001430BC">
        <w:t xml:space="preserve"> </w:t>
      </w:r>
      <w:r>
        <w:t>mg Q4W, but not for the more frequent dosing regimen. The loading dose of ixekizumab did not appear to have an</w:t>
      </w:r>
      <w:r w:rsidR="00F95035">
        <w:t xml:space="preserve"> impact on treatment effect at W</w:t>
      </w:r>
      <w:r>
        <w:t>eek 16. At 52 weeks, the ASAS</w:t>
      </w:r>
      <w:r w:rsidR="006929E0">
        <w:t xml:space="preserve"> </w:t>
      </w:r>
      <w:r>
        <w:t>40 response rate in the Q4W group was 34.2%, and in the Q2W was 30.6%. ASAS</w:t>
      </w:r>
      <w:r w:rsidR="006929E0">
        <w:t xml:space="preserve"> </w:t>
      </w:r>
      <w:r>
        <w:t>40 response rates in patients switched from placebo to ixekizumab 20 weeks after the switch (36.6%) and 36 weeks after the switch (38.7%) were similar to those reported for patients who received i</w:t>
      </w:r>
      <w:r w:rsidR="0004123B">
        <w:t>xekizumab throughout the trial.</w:t>
      </w:r>
    </w:p>
    <w:p w14:paraId="14DD095D" w14:textId="5A7819A9" w:rsidR="000461E7" w:rsidRPr="001B7215" w:rsidRDefault="000461E7" w:rsidP="000461E7">
      <w:r>
        <w:t xml:space="preserve">Summary efficacy information for the integrated data for </w:t>
      </w:r>
      <w:r w:rsidR="001313D3">
        <w:t>the</w:t>
      </w:r>
      <w:r w:rsidR="004A75ED">
        <w:t xml:space="preserve"> </w:t>
      </w:r>
      <w:r>
        <w:t xml:space="preserve">COAST-V and COAST-W </w:t>
      </w:r>
      <w:r w:rsidR="001313D3">
        <w:t xml:space="preserve">trials </w:t>
      </w:r>
      <w:r>
        <w:t>supported statistically significant improvements in clinical outcomes in ixekizumab treatment groups compared to placebo. The studies were not designed to compare efficacy outcomes between the two dosing regimens.</w:t>
      </w:r>
    </w:p>
    <w:p w14:paraId="7EBCEB41" w14:textId="77777777" w:rsidR="000461E7" w:rsidRDefault="000461E7" w:rsidP="000461E7">
      <w:pPr>
        <w:pStyle w:val="Heading4"/>
      </w:pPr>
      <w:r w:rsidRPr="00AA53F4">
        <w:t>Safety</w:t>
      </w:r>
    </w:p>
    <w:p w14:paraId="309A1ED7" w14:textId="12714A6E" w:rsidR="000461E7" w:rsidRDefault="000461E7" w:rsidP="00E42782">
      <w:pPr>
        <w:rPr>
          <w:lang w:eastAsia="ja-JP"/>
        </w:rPr>
      </w:pPr>
      <w:r>
        <w:t xml:space="preserve">Safety data is derived from </w:t>
      </w:r>
      <w:r w:rsidR="0064391B">
        <w:t>the blinded treatment periods (W</w:t>
      </w:r>
      <w:r w:rsidR="00CB7494">
        <w:t>eek 0 to Week 16, ‘primary radiographic AxSpA set’</w:t>
      </w:r>
      <w:r>
        <w:t xml:space="preserve">, </w:t>
      </w:r>
      <w:r w:rsidR="003456AF">
        <w:t xml:space="preserve">see </w:t>
      </w:r>
      <w:r>
        <w:fldChar w:fldCharType="begin"/>
      </w:r>
      <w:r>
        <w:instrText xml:space="preserve"> REF _Ref26786773 \h </w:instrText>
      </w:r>
      <w:r w:rsidR="00E42782">
        <w:instrText xml:space="preserve"> \* MERGEFORMAT </w:instrText>
      </w:r>
      <w:r>
        <w:fldChar w:fldCharType="separate"/>
      </w:r>
      <w:r w:rsidR="00CB7494" w:rsidRPr="00B969CF">
        <w:t xml:space="preserve">Table </w:t>
      </w:r>
      <w:r w:rsidR="00CB7494">
        <w:rPr>
          <w:noProof/>
        </w:rPr>
        <w:t>5</w:t>
      </w:r>
      <w:r>
        <w:fldChar w:fldCharType="end"/>
      </w:r>
      <w:r>
        <w:t>) and t</w:t>
      </w:r>
      <w:r w:rsidR="0064391B">
        <w:t>he extended treatment periods (W</w:t>
      </w:r>
      <w:r w:rsidR="00CB7494">
        <w:t xml:space="preserve">eek 17 to </w:t>
      </w:r>
      <w:r w:rsidR="00CB7494">
        <w:lastRenderedPageBreak/>
        <w:t xml:space="preserve">Week </w:t>
      </w:r>
      <w:r>
        <w:t>52) of the two pivotal studies in AS, and from one study in pa</w:t>
      </w:r>
      <w:r w:rsidR="00720C04">
        <w:t>tients with RA</w:t>
      </w:r>
      <w:r>
        <w:t xml:space="preserve"> (</w:t>
      </w:r>
      <w:r w:rsidR="00412987">
        <w:t>Study</w:t>
      </w:r>
      <w:r w:rsidR="001313D3">
        <w:t> </w:t>
      </w:r>
      <w:r w:rsidRPr="00412987">
        <w:t>I1F</w:t>
      </w:r>
      <w:r w:rsidR="001313D3">
        <w:noBreakHyphen/>
      </w:r>
      <w:r w:rsidRPr="00412987">
        <w:t>MC-RHAF</w:t>
      </w:r>
      <w:r w:rsidR="00412987">
        <w:t>).</w:t>
      </w:r>
    </w:p>
    <w:p w14:paraId="239DEC42" w14:textId="77777777" w:rsidR="000461E7" w:rsidRDefault="000461E7" w:rsidP="000461E7">
      <w:pPr>
        <w:autoSpaceDE w:val="0"/>
        <w:autoSpaceDN w:val="0"/>
        <w:adjustRightInd w:val="0"/>
        <w:spacing w:before="3" w:after="0" w:line="30" w:lineRule="exact"/>
        <w:rPr>
          <w:rFonts w:ascii="Times New Roman" w:eastAsia="MS Mincho" w:hAnsi="Times New Roman"/>
          <w:sz w:val="3"/>
          <w:szCs w:val="3"/>
        </w:rPr>
      </w:pPr>
    </w:p>
    <w:p w14:paraId="7C7D64C2" w14:textId="4D4916C7" w:rsidR="000461E7" w:rsidRPr="00F95035" w:rsidRDefault="000461E7" w:rsidP="00E42782">
      <w:pPr>
        <w:pStyle w:val="TableTitle"/>
        <w:rPr>
          <w:highlight w:val="yellow"/>
        </w:rPr>
      </w:pPr>
      <w:bookmarkStart w:id="45" w:name="_Ref26786773"/>
      <w:r w:rsidRPr="00B969CF">
        <w:t xml:space="preserve">Table </w:t>
      </w:r>
      <w:fldSimple w:instr=" SEQ Table \* ARABIC ">
        <w:r w:rsidR="00A8521E">
          <w:rPr>
            <w:noProof/>
          </w:rPr>
          <w:t>5</w:t>
        </w:r>
      </w:fldSimple>
      <w:bookmarkEnd w:id="45"/>
      <w:r>
        <w:rPr>
          <w:noProof/>
        </w:rPr>
        <w:t xml:space="preserve">: </w:t>
      </w:r>
      <w:r w:rsidRPr="00F95035">
        <w:rPr>
          <w:noProof/>
        </w:rPr>
        <w:t>Treatment-emergent adver</w:t>
      </w:r>
      <w:r w:rsidR="00F95035" w:rsidRPr="00F95035">
        <w:rPr>
          <w:noProof/>
        </w:rPr>
        <w:t>se events in the primary r</w:t>
      </w:r>
      <w:r w:rsidR="00F95035" w:rsidRPr="00F95035">
        <w:t>adiographic axial spondyloarthritis s</w:t>
      </w:r>
      <w:r w:rsidRPr="00F95035">
        <w:t>afety</w:t>
      </w:r>
      <w:r w:rsidRPr="00F95035">
        <w:rPr>
          <w:noProof/>
        </w:rPr>
        <w:t xml:space="preserve"> </w:t>
      </w:r>
      <w:r w:rsidRPr="00E42782">
        <w:t>set</w:t>
      </w:r>
    </w:p>
    <w:tbl>
      <w:tblPr>
        <w:tblStyle w:val="TableTGAblue"/>
        <w:tblW w:w="5000" w:type="pct"/>
        <w:tblLook w:val="00A0" w:firstRow="1" w:lastRow="0" w:firstColumn="1" w:lastColumn="0" w:noHBand="0" w:noVBand="0"/>
      </w:tblPr>
      <w:tblGrid>
        <w:gridCol w:w="2740"/>
        <w:gridCol w:w="1624"/>
        <w:gridCol w:w="9"/>
        <w:gridCol w:w="1468"/>
        <w:gridCol w:w="1561"/>
        <w:gridCol w:w="1318"/>
      </w:tblGrid>
      <w:tr w:rsidR="000461E7" w:rsidRPr="005F7FF6" w14:paraId="1524F570" w14:textId="77777777" w:rsidTr="00DA3A6A">
        <w:trPr>
          <w:cnfStyle w:val="100000000000" w:firstRow="1" w:lastRow="0" w:firstColumn="0" w:lastColumn="0" w:oddVBand="0" w:evenVBand="0" w:oddHBand="0" w:evenHBand="0" w:firstRowFirstColumn="0" w:firstRowLastColumn="0" w:lastRowFirstColumn="0" w:lastRowLastColumn="0"/>
          <w:trHeight w:hRule="exact" w:val="976"/>
        </w:trPr>
        <w:tc>
          <w:tcPr>
            <w:tcW w:w="1571" w:type="pct"/>
          </w:tcPr>
          <w:p w14:paraId="718F5CEF" w14:textId="77777777" w:rsidR="000461E7" w:rsidRPr="005F7FF6" w:rsidRDefault="000461E7" w:rsidP="005F7FF6">
            <w:pPr>
              <w:ind w:left="0" w:right="0"/>
              <w:rPr>
                <w:sz w:val="20"/>
                <w:szCs w:val="20"/>
              </w:rPr>
            </w:pPr>
            <w:r w:rsidRPr="005F7FF6">
              <w:rPr>
                <w:sz w:val="20"/>
                <w:szCs w:val="20"/>
              </w:rPr>
              <w:t>Treatment</w:t>
            </w:r>
            <w:r w:rsidRPr="005F7FF6">
              <w:rPr>
                <w:spacing w:val="-2"/>
                <w:sz w:val="20"/>
                <w:szCs w:val="20"/>
              </w:rPr>
              <w:t xml:space="preserve"> </w:t>
            </w:r>
            <w:r w:rsidRPr="005F7FF6">
              <w:rPr>
                <w:sz w:val="20"/>
                <w:szCs w:val="20"/>
              </w:rPr>
              <w:t>Group</w:t>
            </w:r>
          </w:p>
        </w:tc>
        <w:tc>
          <w:tcPr>
            <w:tcW w:w="931" w:type="pct"/>
          </w:tcPr>
          <w:p w14:paraId="5A1F0A62" w14:textId="77777777" w:rsidR="00093D27" w:rsidRPr="005F7FF6" w:rsidRDefault="000461E7" w:rsidP="005F7FF6">
            <w:pPr>
              <w:ind w:left="0" w:right="0"/>
              <w:rPr>
                <w:spacing w:val="1"/>
                <w:sz w:val="20"/>
                <w:szCs w:val="20"/>
              </w:rPr>
            </w:pPr>
            <w:r w:rsidRPr="005F7FF6">
              <w:rPr>
                <w:spacing w:val="1"/>
                <w:sz w:val="20"/>
                <w:szCs w:val="20"/>
              </w:rPr>
              <w:t>PBO</w:t>
            </w:r>
          </w:p>
          <w:p w14:paraId="604DBBA6" w14:textId="38ACD974" w:rsidR="000461E7" w:rsidRPr="005F7FF6" w:rsidRDefault="000461E7" w:rsidP="005F7FF6">
            <w:pPr>
              <w:ind w:left="0" w:right="0"/>
              <w:rPr>
                <w:sz w:val="20"/>
                <w:szCs w:val="20"/>
              </w:rPr>
            </w:pPr>
            <w:r w:rsidRPr="005F7FF6">
              <w:rPr>
                <w:sz w:val="20"/>
                <w:szCs w:val="20"/>
              </w:rPr>
              <w:t>N</w:t>
            </w:r>
            <w:r w:rsidRPr="005F7FF6">
              <w:rPr>
                <w:spacing w:val="1"/>
                <w:sz w:val="20"/>
                <w:szCs w:val="20"/>
              </w:rPr>
              <w:t xml:space="preserve"> </w:t>
            </w:r>
            <w:r w:rsidRPr="005F7FF6">
              <w:rPr>
                <w:sz w:val="20"/>
                <w:szCs w:val="20"/>
              </w:rPr>
              <w:t>=</w:t>
            </w:r>
            <w:r w:rsidRPr="005F7FF6">
              <w:rPr>
                <w:spacing w:val="-2"/>
                <w:sz w:val="20"/>
                <w:szCs w:val="20"/>
              </w:rPr>
              <w:t xml:space="preserve"> </w:t>
            </w:r>
            <w:r w:rsidRPr="005F7FF6">
              <w:rPr>
                <w:sz w:val="20"/>
                <w:szCs w:val="20"/>
              </w:rPr>
              <w:t>190</w:t>
            </w:r>
          </w:p>
        </w:tc>
        <w:tc>
          <w:tcPr>
            <w:tcW w:w="847" w:type="pct"/>
            <w:gridSpan w:val="2"/>
          </w:tcPr>
          <w:p w14:paraId="51904AE1" w14:textId="77777777" w:rsidR="00093D27" w:rsidRPr="005F7FF6" w:rsidRDefault="000461E7" w:rsidP="005F7FF6">
            <w:pPr>
              <w:ind w:left="0" w:right="0"/>
              <w:rPr>
                <w:sz w:val="20"/>
                <w:szCs w:val="20"/>
              </w:rPr>
            </w:pPr>
            <w:r w:rsidRPr="005F7FF6">
              <w:rPr>
                <w:spacing w:val="-2"/>
                <w:sz w:val="20"/>
                <w:szCs w:val="20"/>
              </w:rPr>
              <w:t>IX</w:t>
            </w:r>
            <w:r w:rsidRPr="005F7FF6">
              <w:rPr>
                <w:sz w:val="20"/>
                <w:szCs w:val="20"/>
              </w:rPr>
              <w:t>E</w:t>
            </w:r>
            <w:r w:rsidRPr="005F7FF6">
              <w:rPr>
                <w:spacing w:val="-2"/>
                <w:sz w:val="20"/>
                <w:szCs w:val="20"/>
              </w:rPr>
              <w:t xml:space="preserve"> </w:t>
            </w:r>
            <w:r w:rsidRPr="005F7FF6">
              <w:rPr>
                <w:spacing w:val="6"/>
                <w:sz w:val="20"/>
                <w:szCs w:val="20"/>
              </w:rPr>
              <w:t>Q</w:t>
            </w:r>
            <w:r w:rsidRPr="005F7FF6">
              <w:rPr>
                <w:spacing w:val="-5"/>
                <w:sz w:val="20"/>
                <w:szCs w:val="20"/>
              </w:rPr>
              <w:t>4</w:t>
            </w:r>
            <w:r w:rsidRPr="005F7FF6">
              <w:rPr>
                <w:sz w:val="20"/>
                <w:szCs w:val="20"/>
              </w:rPr>
              <w:t>W</w:t>
            </w:r>
          </w:p>
          <w:p w14:paraId="2124BC67" w14:textId="5D3273D2" w:rsidR="000461E7" w:rsidRPr="005F7FF6" w:rsidRDefault="000461E7" w:rsidP="005F7FF6">
            <w:pPr>
              <w:ind w:left="0" w:right="0"/>
              <w:rPr>
                <w:sz w:val="20"/>
                <w:szCs w:val="20"/>
              </w:rPr>
            </w:pPr>
            <w:r w:rsidRPr="005F7FF6">
              <w:rPr>
                <w:sz w:val="20"/>
                <w:szCs w:val="20"/>
              </w:rPr>
              <w:t>N</w:t>
            </w:r>
            <w:r w:rsidRPr="005F7FF6">
              <w:rPr>
                <w:spacing w:val="1"/>
                <w:sz w:val="20"/>
                <w:szCs w:val="20"/>
              </w:rPr>
              <w:t xml:space="preserve"> </w:t>
            </w:r>
            <w:r w:rsidRPr="005F7FF6">
              <w:rPr>
                <w:sz w:val="20"/>
                <w:szCs w:val="20"/>
              </w:rPr>
              <w:t>=</w:t>
            </w:r>
            <w:r w:rsidRPr="005F7FF6">
              <w:rPr>
                <w:spacing w:val="-2"/>
                <w:sz w:val="20"/>
                <w:szCs w:val="20"/>
              </w:rPr>
              <w:t xml:space="preserve"> </w:t>
            </w:r>
            <w:r w:rsidRPr="005F7FF6">
              <w:rPr>
                <w:sz w:val="20"/>
                <w:szCs w:val="20"/>
              </w:rPr>
              <w:t>195</w:t>
            </w:r>
          </w:p>
        </w:tc>
        <w:tc>
          <w:tcPr>
            <w:tcW w:w="895" w:type="pct"/>
          </w:tcPr>
          <w:p w14:paraId="42C57C4C" w14:textId="77777777" w:rsidR="00093D27" w:rsidRPr="005F7FF6" w:rsidRDefault="000461E7" w:rsidP="005F7FF6">
            <w:pPr>
              <w:ind w:left="0" w:right="0"/>
              <w:rPr>
                <w:sz w:val="20"/>
                <w:szCs w:val="20"/>
              </w:rPr>
            </w:pPr>
            <w:r w:rsidRPr="005F7FF6">
              <w:rPr>
                <w:sz w:val="20"/>
                <w:szCs w:val="20"/>
              </w:rPr>
              <w:t>IXE Q2W</w:t>
            </w:r>
          </w:p>
          <w:p w14:paraId="195C80E1" w14:textId="4E02C69A" w:rsidR="000461E7" w:rsidRPr="005F7FF6" w:rsidRDefault="000461E7" w:rsidP="005F7FF6">
            <w:pPr>
              <w:ind w:left="0" w:right="0"/>
              <w:rPr>
                <w:sz w:val="20"/>
                <w:szCs w:val="20"/>
              </w:rPr>
            </w:pPr>
            <w:r w:rsidRPr="005F7FF6">
              <w:rPr>
                <w:sz w:val="20"/>
                <w:szCs w:val="20"/>
              </w:rPr>
              <w:t>N</w:t>
            </w:r>
            <w:r w:rsidRPr="005F7FF6">
              <w:rPr>
                <w:spacing w:val="1"/>
                <w:sz w:val="20"/>
                <w:szCs w:val="20"/>
              </w:rPr>
              <w:t xml:space="preserve"> </w:t>
            </w:r>
            <w:r w:rsidRPr="005F7FF6">
              <w:rPr>
                <w:sz w:val="20"/>
                <w:szCs w:val="20"/>
              </w:rPr>
              <w:t>=</w:t>
            </w:r>
            <w:r w:rsidRPr="005F7FF6">
              <w:rPr>
                <w:spacing w:val="-2"/>
                <w:sz w:val="20"/>
                <w:szCs w:val="20"/>
              </w:rPr>
              <w:t xml:space="preserve"> </w:t>
            </w:r>
            <w:r w:rsidRPr="005F7FF6">
              <w:rPr>
                <w:sz w:val="20"/>
                <w:szCs w:val="20"/>
              </w:rPr>
              <w:t>181</w:t>
            </w:r>
          </w:p>
        </w:tc>
        <w:tc>
          <w:tcPr>
            <w:tcW w:w="756" w:type="pct"/>
          </w:tcPr>
          <w:p w14:paraId="1419FBA2" w14:textId="77777777" w:rsidR="00093D27" w:rsidRPr="005F7FF6" w:rsidRDefault="00093D27" w:rsidP="005F7FF6">
            <w:pPr>
              <w:ind w:left="0" w:right="0"/>
              <w:rPr>
                <w:sz w:val="20"/>
                <w:szCs w:val="20"/>
              </w:rPr>
            </w:pPr>
            <w:r w:rsidRPr="005F7FF6">
              <w:rPr>
                <w:sz w:val="20"/>
                <w:szCs w:val="20"/>
              </w:rPr>
              <w:t>Total IXE</w:t>
            </w:r>
          </w:p>
          <w:p w14:paraId="0CC8F9D4" w14:textId="497E79F8" w:rsidR="000461E7" w:rsidRPr="005F7FF6" w:rsidRDefault="000461E7" w:rsidP="005F7FF6">
            <w:pPr>
              <w:ind w:left="0" w:right="0"/>
              <w:rPr>
                <w:sz w:val="20"/>
                <w:szCs w:val="20"/>
              </w:rPr>
            </w:pPr>
            <w:r w:rsidRPr="005F7FF6">
              <w:rPr>
                <w:sz w:val="20"/>
                <w:szCs w:val="20"/>
              </w:rPr>
              <w:t>N</w:t>
            </w:r>
            <w:r w:rsidRPr="005F7FF6">
              <w:rPr>
                <w:spacing w:val="1"/>
                <w:sz w:val="20"/>
                <w:szCs w:val="20"/>
              </w:rPr>
              <w:t xml:space="preserve"> </w:t>
            </w:r>
            <w:r w:rsidRPr="005F7FF6">
              <w:rPr>
                <w:sz w:val="20"/>
                <w:szCs w:val="20"/>
              </w:rPr>
              <w:t>=</w:t>
            </w:r>
            <w:r w:rsidRPr="005F7FF6">
              <w:rPr>
                <w:spacing w:val="-2"/>
                <w:sz w:val="20"/>
                <w:szCs w:val="20"/>
              </w:rPr>
              <w:t xml:space="preserve"> </w:t>
            </w:r>
            <w:r w:rsidRPr="005F7FF6">
              <w:rPr>
                <w:sz w:val="20"/>
                <w:szCs w:val="20"/>
              </w:rPr>
              <w:t>376</w:t>
            </w:r>
          </w:p>
        </w:tc>
      </w:tr>
      <w:tr w:rsidR="000461E7" w:rsidRPr="005F7FF6" w14:paraId="0352E338" w14:textId="77777777" w:rsidTr="00DA3A6A">
        <w:trPr>
          <w:trHeight w:hRule="exact" w:val="566"/>
        </w:trPr>
        <w:tc>
          <w:tcPr>
            <w:tcW w:w="5000" w:type="pct"/>
            <w:gridSpan w:val="6"/>
          </w:tcPr>
          <w:p w14:paraId="45E87EBD" w14:textId="77777777" w:rsidR="000461E7" w:rsidRPr="005F7FF6" w:rsidRDefault="000461E7" w:rsidP="005F7FF6">
            <w:pPr>
              <w:ind w:left="0" w:right="0"/>
              <w:rPr>
                <w:sz w:val="20"/>
                <w:szCs w:val="20"/>
              </w:rPr>
            </w:pPr>
            <w:r w:rsidRPr="005F7FF6">
              <w:rPr>
                <w:sz w:val="20"/>
                <w:szCs w:val="20"/>
              </w:rPr>
              <w:t>Category, n (%)</w:t>
            </w:r>
          </w:p>
        </w:tc>
      </w:tr>
      <w:tr w:rsidR="000461E7" w:rsidRPr="005F7FF6" w14:paraId="4075853B" w14:textId="77777777" w:rsidTr="00DA3A6A">
        <w:trPr>
          <w:trHeight w:val="227"/>
        </w:trPr>
        <w:tc>
          <w:tcPr>
            <w:tcW w:w="1571" w:type="pct"/>
          </w:tcPr>
          <w:p w14:paraId="1DE3848F" w14:textId="61937390" w:rsidR="000461E7" w:rsidRPr="005F7FF6" w:rsidRDefault="000461E7" w:rsidP="005F7FF6">
            <w:pPr>
              <w:ind w:left="0" w:right="0"/>
              <w:rPr>
                <w:sz w:val="20"/>
                <w:szCs w:val="20"/>
              </w:rPr>
            </w:pPr>
            <w:r w:rsidRPr="005F7FF6">
              <w:rPr>
                <w:sz w:val="20"/>
                <w:szCs w:val="20"/>
              </w:rPr>
              <w:t xml:space="preserve">Patients with </w:t>
            </w:r>
            <w:r w:rsidR="00CB7322">
              <w:rPr>
                <w:sz w:val="20"/>
                <w:szCs w:val="20"/>
              </w:rPr>
              <w:t>≥</w:t>
            </w:r>
            <w:r w:rsidRPr="005F7FF6">
              <w:rPr>
                <w:sz w:val="20"/>
                <w:szCs w:val="20"/>
              </w:rPr>
              <w:t xml:space="preserve"> 1 TEAE</w:t>
            </w:r>
          </w:p>
        </w:tc>
        <w:tc>
          <w:tcPr>
            <w:tcW w:w="931" w:type="pct"/>
          </w:tcPr>
          <w:p w14:paraId="3C6111AE" w14:textId="77777777" w:rsidR="000461E7" w:rsidRPr="005F7FF6" w:rsidRDefault="000461E7" w:rsidP="005F7FF6">
            <w:pPr>
              <w:ind w:left="0" w:right="0"/>
              <w:rPr>
                <w:sz w:val="20"/>
                <w:szCs w:val="20"/>
              </w:rPr>
            </w:pPr>
            <w:r w:rsidRPr="005F7FF6">
              <w:rPr>
                <w:sz w:val="20"/>
                <w:szCs w:val="20"/>
              </w:rPr>
              <w:t>85 (44.7)</w:t>
            </w:r>
          </w:p>
        </w:tc>
        <w:tc>
          <w:tcPr>
            <w:tcW w:w="847" w:type="pct"/>
            <w:gridSpan w:val="2"/>
          </w:tcPr>
          <w:p w14:paraId="72F025BC" w14:textId="77777777" w:rsidR="000461E7" w:rsidRPr="00134C15" w:rsidRDefault="000461E7" w:rsidP="005F7FF6">
            <w:pPr>
              <w:ind w:left="0" w:right="0"/>
              <w:rPr>
                <w:sz w:val="20"/>
                <w:szCs w:val="20"/>
              </w:rPr>
            </w:pPr>
            <w:r w:rsidRPr="00134C15">
              <w:rPr>
                <w:sz w:val="20"/>
                <w:szCs w:val="20"/>
              </w:rPr>
              <w:t>110 (56.4)</w:t>
            </w:r>
            <w:r w:rsidRPr="00134C15">
              <w:rPr>
                <w:sz w:val="20"/>
                <w:szCs w:val="20"/>
                <w:vertAlign w:val="superscript"/>
              </w:rPr>
              <w:t>a</w:t>
            </w:r>
          </w:p>
        </w:tc>
        <w:tc>
          <w:tcPr>
            <w:tcW w:w="895" w:type="pct"/>
          </w:tcPr>
          <w:p w14:paraId="01E4A239" w14:textId="77777777" w:rsidR="000461E7" w:rsidRPr="00134C15" w:rsidRDefault="000461E7" w:rsidP="005F7FF6">
            <w:pPr>
              <w:ind w:left="0" w:right="0"/>
              <w:rPr>
                <w:sz w:val="20"/>
                <w:szCs w:val="20"/>
              </w:rPr>
            </w:pPr>
            <w:r w:rsidRPr="00134C15">
              <w:rPr>
                <w:sz w:val="20"/>
                <w:szCs w:val="20"/>
              </w:rPr>
              <w:t>96 (53.0)</w:t>
            </w:r>
          </w:p>
        </w:tc>
        <w:tc>
          <w:tcPr>
            <w:tcW w:w="756" w:type="pct"/>
          </w:tcPr>
          <w:p w14:paraId="3B30212D" w14:textId="77777777" w:rsidR="000461E7" w:rsidRPr="00134C15" w:rsidRDefault="000461E7" w:rsidP="005F7FF6">
            <w:pPr>
              <w:ind w:left="0" w:right="0"/>
              <w:rPr>
                <w:sz w:val="20"/>
                <w:szCs w:val="20"/>
              </w:rPr>
            </w:pPr>
            <w:r w:rsidRPr="00134C15">
              <w:rPr>
                <w:sz w:val="20"/>
                <w:szCs w:val="20"/>
              </w:rPr>
              <w:t>206 (54.8)</w:t>
            </w:r>
            <w:r w:rsidRPr="00134C15">
              <w:rPr>
                <w:sz w:val="20"/>
                <w:szCs w:val="20"/>
                <w:vertAlign w:val="superscript"/>
              </w:rPr>
              <w:t>a</w:t>
            </w:r>
          </w:p>
        </w:tc>
      </w:tr>
      <w:tr w:rsidR="000461E7" w:rsidRPr="005F7FF6" w14:paraId="30204584" w14:textId="77777777" w:rsidTr="00DA3A6A">
        <w:trPr>
          <w:trHeight w:val="227"/>
        </w:trPr>
        <w:tc>
          <w:tcPr>
            <w:tcW w:w="1571" w:type="pct"/>
          </w:tcPr>
          <w:p w14:paraId="7784F6A8" w14:textId="77777777" w:rsidR="000461E7" w:rsidRPr="005F7FF6" w:rsidRDefault="000461E7" w:rsidP="005F7FF6">
            <w:pPr>
              <w:ind w:left="0" w:right="0"/>
              <w:rPr>
                <w:sz w:val="20"/>
                <w:szCs w:val="20"/>
              </w:rPr>
            </w:pPr>
            <w:r w:rsidRPr="005F7FF6">
              <w:rPr>
                <w:sz w:val="20"/>
                <w:szCs w:val="20"/>
              </w:rPr>
              <w:t>Upper respiratory tract infection</w:t>
            </w:r>
            <w:r w:rsidRPr="005F7FF6">
              <w:rPr>
                <w:sz w:val="20"/>
                <w:szCs w:val="20"/>
                <w:vertAlign w:val="superscript"/>
              </w:rPr>
              <w:t>b</w:t>
            </w:r>
          </w:p>
        </w:tc>
        <w:tc>
          <w:tcPr>
            <w:tcW w:w="936" w:type="pct"/>
            <w:gridSpan w:val="2"/>
          </w:tcPr>
          <w:p w14:paraId="42F77D26" w14:textId="77777777" w:rsidR="000461E7" w:rsidRPr="005F7FF6" w:rsidRDefault="000461E7" w:rsidP="005F7FF6">
            <w:pPr>
              <w:ind w:left="0" w:right="0"/>
              <w:rPr>
                <w:sz w:val="20"/>
                <w:szCs w:val="20"/>
              </w:rPr>
            </w:pPr>
            <w:r w:rsidRPr="005F7FF6">
              <w:rPr>
                <w:sz w:val="20"/>
                <w:szCs w:val="20"/>
              </w:rPr>
              <w:t>7 (3.7)</w:t>
            </w:r>
          </w:p>
        </w:tc>
        <w:tc>
          <w:tcPr>
            <w:tcW w:w="842" w:type="pct"/>
          </w:tcPr>
          <w:p w14:paraId="2B88E6DC" w14:textId="77777777" w:rsidR="000461E7" w:rsidRPr="005F7FF6" w:rsidRDefault="000461E7" w:rsidP="005F7FF6">
            <w:pPr>
              <w:ind w:left="0" w:right="0"/>
              <w:rPr>
                <w:sz w:val="20"/>
                <w:szCs w:val="20"/>
              </w:rPr>
            </w:pPr>
            <w:r w:rsidRPr="005F7FF6">
              <w:rPr>
                <w:sz w:val="20"/>
                <w:szCs w:val="20"/>
              </w:rPr>
              <w:t>16 (8.2)</w:t>
            </w:r>
          </w:p>
        </w:tc>
        <w:tc>
          <w:tcPr>
            <w:tcW w:w="895" w:type="pct"/>
          </w:tcPr>
          <w:p w14:paraId="3E0D4769" w14:textId="77777777" w:rsidR="000461E7" w:rsidRPr="005F7FF6" w:rsidRDefault="000461E7" w:rsidP="005F7FF6">
            <w:pPr>
              <w:ind w:left="0" w:right="0"/>
              <w:rPr>
                <w:sz w:val="20"/>
                <w:szCs w:val="20"/>
              </w:rPr>
            </w:pPr>
            <w:r w:rsidRPr="005F7FF6">
              <w:rPr>
                <w:sz w:val="20"/>
                <w:szCs w:val="20"/>
              </w:rPr>
              <w:t>8 (4.4)</w:t>
            </w:r>
          </w:p>
        </w:tc>
        <w:tc>
          <w:tcPr>
            <w:tcW w:w="756" w:type="pct"/>
          </w:tcPr>
          <w:p w14:paraId="1E79578C" w14:textId="77777777" w:rsidR="000461E7" w:rsidRPr="005F7FF6" w:rsidRDefault="000461E7" w:rsidP="005F7FF6">
            <w:pPr>
              <w:ind w:left="0" w:right="0"/>
              <w:rPr>
                <w:sz w:val="20"/>
                <w:szCs w:val="20"/>
              </w:rPr>
            </w:pPr>
            <w:r w:rsidRPr="005F7FF6">
              <w:rPr>
                <w:sz w:val="20"/>
                <w:szCs w:val="20"/>
              </w:rPr>
              <w:t>24 (6.4)</w:t>
            </w:r>
          </w:p>
        </w:tc>
      </w:tr>
      <w:tr w:rsidR="000461E7" w:rsidRPr="005F7FF6" w14:paraId="371BC9D8" w14:textId="77777777" w:rsidTr="00DA3A6A">
        <w:trPr>
          <w:trHeight w:val="227"/>
        </w:trPr>
        <w:tc>
          <w:tcPr>
            <w:tcW w:w="1571" w:type="pct"/>
          </w:tcPr>
          <w:p w14:paraId="6117A082" w14:textId="77777777" w:rsidR="000461E7" w:rsidRPr="005F7FF6" w:rsidRDefault="000461E7" w:rsidP="005F7FF6">
            <w:pPr>
              <w:ind w:left="0" w:right="0"/>
              <w:rPr>
                <w:sz w:val="20"/>
                <w:szCs w:val="20"/>
              </w:rPr>
            </w:pPr>
            <w:r w:rsidRPr="005F7FF6">
              <w:rPr>
                <w:sz w:val="20"/>
                <w:szCs w:val="20"/>
              </w:rPr>
              <w:t>Nasopharyngitis</w:t>
            </w:r>
            <w:r w:rsidRPr="005F7FF6">
              <w:rPr>
                <w:sz w:val="20"/>
                <w:szCs w:val="20"/>
                <w:vertAlign w:val="superscript"/>
              </w:rPr>
              <w:t>b</w:t>
            </w:r>
          </w:p>
        </w:tc>
        <w:tc>
          <w:tcPr>
            <w:tcW w:w="936" w:type="pct"/>
            <w:gridSpan w:val="2"/>
          </w:tcPr>
          <w:p w14:paraId="627586F9" w14:textId="77777777" w:rsidR="000461E7" w:rsidRPr="005F7FF6" w:rsidRDefault="000461E7" w:rsidP="005F7FF6">
            <w:pPr>
              <w:ind w:left="0" w:right="0"/>
              <w:rPr>
                <w:sz w:val="20"/>
                <w:szCs w:val="20"/>
              </w:rPr>
            </w:pPr>
            <w:r w:rsidRPr="005F7FF6">
              <w:rPr>
                <w:sz w:val="20"/>
                <w:szCs w:val="20"/>
              </w:rPr>
              <w:t>8 (4.2)</w:t>
            </w:r>
          </w:p>
        </w:tc>
        <w:tc>
          <w:tcPr>
            <w:tcW w:w="842" w:type="pct"/>
          </w:tcPr>
          <w:p w14:paraId="51C7DFF0" w14:textId="77777777" w:rsidR="000461E7" w:rsidRPr="005F7FF6" w:rsidRDefault="000461E7" w:rsidP="005F7FF6">
            <w:pPr>
              <w:ind w:left="0" w:right="0"/>
              <w:rPr>
                <w:sz w:val="20"/>
                <w:szCs w:val="20"/>
              </w:rPr>
            </w:pPr>
            <w:r w:rsidRPr="005F7FF6">
              <w:rPr>
                <w:sz w:val="20"/>
                <w:szCs w:val="20"/>
              </w:rPr>
              <w:t>11 (5.6)</w:t>
            </w:r>
          </w:p>
        </w:tc>
        <w:tc>
          <w:tcPr>
            <w:tcW w:w="895" w:type="pct"/>
          </w:tcPr>
          <w:p w14:paraId="7BE6E016" w14:textId="77777777" w:rsidR="000461E7" w:rsidRPr="005F7FF6" w:rsidRDefault="000461E7" w:rsidP="005F7FF6">
            <w:pPr>
              <w:ind w:left="0" w:right="0"/>
              <w:rPr>
                <w:sz w:val="20"/>
                <w:szCs w:val="20"/>
              </w:rPr>
            </w:pPr>
            <w:r w:rsidRPr="005F7FF6">
              <w:rPr>
                <w:sz w:val="20"/>
                <w:szCs w:val="20"/>
              </w:rPr>
              <w:t>9 (5.0)</w:t>
            </w:r>
          </w:p>
        </w:tc>
        <w:tc>
          <w:tcPr>
            <w:tcW w:w="756" w:type="pct"/>
          </w:tcPr>
          <w:p w14:paraId="632FAD64" w14:textId="77777777" w:rsidR="000461E7" w:rsidRPr="005F7FF6" w:rsidRDefault="000461E7" w:rsidP="005F7FF6">
            <w:pPr>
              <w:ind w:left="0" w:right="0"/>
              <w:rPr>
                <w:sz w:val="20"/>
                <w:szCs w:val="20"/>
              </w:rPr>
            </w:pPr>
            <w:r w:rsidRPr="005F7FF6">
              <w:rPr>
                <w:sz w:val="20"/>
                <w:szCs w:val="20"/>
              </w:rPr>
              <w:t>20 (5.3)</w:t>
            </w:r>
          </w:p>
        </w:tc>
      </w:tr>
      <w:tr w:rsidR="000461E7" w:rsidRPr="005F7FF6" w14:paraId="7A0C4A94" w14:textId="77777777" w:rsidTr="00DA3A6A">
        <w:trPr>
          <w:trHeight w:val="227"/>
        </w:trPr>
        <w:tc>
          <w:tcPr>
            <w:tcW w:w="1571" w:type="pct"/>
          </w:tcPr>
          <w:p w14:paraId="401B2841" w14:textId="77777777" w:rsidR="000461E7" w:rsidRPr="005F7FF6" w:rsidRDefault="000461E7" w:rsidP="005F7FF6">
            <w:pPr>
              <w:ind w:left="0" w:right="0"/>
              <w:rPr>
                <w:sz w:val="20"/>
                <w:szCs w:val="20"/>
              </w:rPr>
            </w:pPr>
            <w:r w:rsidRPr="005F7FF6">
              <w:rPr>
                <w:sz w:val="20"/>
                <w:szCs w:val="20"/>
              </w:rPr>
              <w:t>Injection site reaction</w:t>
            </w:r>
            <w:r w:rsidRPr="005F7FF6">
              <w:rPr>
                <w:sz w:val="20"/>
                <w:szCs w:val="20"/>
                <w:vertAlign w:val="superscript"/>
              </w:rPr>
              <w:t>b</w:t>
            </w:r>
          </w:p>
        </w:tc>
        <w:tc>
          <w:tcPr>
            <w:tcW w:w="936" w:type="pct"/>
            <w:gridSpan w:val="2"/>
          </w:tcPr>
          <w:p w14:paraId="6CE415B6" w14:textId="77777777" w:rsidR="000461E7" w:rsidRPr="005F7FF6" w:rsidRDefault="000461E7" w:rsidP="005F7FF6">
            <w:pPr>
              <w:ind w:left="0" w:right="0"/>
              <w:rPr>
                <w:sz w:val="20"/>
                <w:szCs w:val="20"/>
              </w:rPr>
            </w:pPr>
            <w:r w:rsidRPr="005F7FF6">
              <w:rPr>
                <w:sz w:val="20"/>
                <w:szCs w:val="20"/>
              </w:rPr>
              <w:t>3 (1.6)</w:t>
            </w:r>
          </w:p>
        </w:tc>
        <w:tc>
          <w:tcPr>
            <w:tcW w:w="842" w:type="pct"/>
          </w:tcPr>
          <w:p w14:paraId="0521C7A1" w14:textId="77777777" w:rsidR="000461E7" w:rsidRPr="005F7FF6" w:rsidRDefault="000461E7" w:rsidP="005F7FF6">
            <w:pPr>
              <w:ind w:left="0" w:right="0"/>
              <w:rPr>
                <w:sz w:val="20"/>
                <w:szCs w:val="20"/>
              </w:rPr>
            </w:pPr>
            <w:r w:rsidRPr="005F7FF6">
              <w:rPr>
                <w:sz w:val="20"/>
                <w:szCs w:val="20"/>
              </w:rPr>
              <w:t>3 (1.5)</w:t>
            </w:r>
          </w:p>
        </w:tc>
        <w:tc>
          <w:tcPr>
            <w:tcW w:w="895" w:type="pct"/>
          </w:tcPr>
          <w:p w14:paraId="7BF41D2A" w14:textId="575CBD6F" w:rsidR="000461E7" w:rsidRPr="005F7FF6" w:rsidRDefault="000461E7" w:rsidP="005F7FF6">
            <w:pPr>
              <w:ind w:left="0" w:right="0"/>
              <w:rPr>
                <w:sz w:val="20"/>
                <w:szCs w:val="20"/>
              </w:rPr>
            </w:pPr>
            <w:r w:rsidRPr="005F7FF6">
              <w:rPr>
                <w:sz w:val="20"/>
                <w:szCs w:val="20"/>
              </w:rPr>
              <w:t>15 (8.3)</w:t>
            </w:r>
            <w:r w:rsidRPr="005F7FF6">
              <w:rPr>
                <w:sz w:val="20"/>
                <w:szCs w:val="20"/>
                <w:vertAlign w:val="superscript"/>
              </w:rPr>
              <w:t>a,</w:t>
            </w:r>
            <w:r w:rsidR="00484383">
              <w:rPr>
                <w:sz w:val="20"/>
                <w:szCs w:val="20"/>
                <w:vertAlign w:val="superscript"/>
              </w:rPr>
              <w:t xml:space="preserve"> </w:t>
            </w:r>
            <w:r w:rsidRPr="005F7FF6">
              <w:rPr>
                <w:sz w:val="20"/>
                <w:szCs w:val="20"/>
                <w:vertAlign w:val="superscript"/>
              </w:rPr>
              <w:t>c</w:t>
            </w:r>
          </w:p>
        </w:tc>
        <w:tc>
          <w:tcPr>
            <w:tcW w:w="756" w:type="pct"/>
          </w:tcPr>
          <w:p w14:paraId="5F0FBE81" w14:textId="77777777" w:rsidR="000461E7" w:rsidRPr="005F7FF6" w:rsidRDefault="000461E7" w:rsidP="005F7FF6">
            <w:pPr>
              <w:ind w:left="0" w:right="0"/>
              <w:rPr>
                <w:sz w:val="20"/>
                <w:szCs w:val="20"/>
              </w:rPr>
            </w:pPr>
            <w:r w:rsidRPr="005F7FF6">
              <w:rPr>
                <w:sz w:val="20"/>
                <w:szCs w:val="20"/>
              </w:rPr>
              <w:t>18 (4.8)</w:t>
            </w:r>
          </w:p>
        </w:tc>
      </w:tr>
      <w:tr w:rsidR="000461E7" w:rsidRPr="005F7FF6" w14:paraId="444749AA" w14:textId="77777777" w:rsidTr="00DA3A6A">
        <w:trPr>
          <w:trHeight w:val="227"/>
        </w:trPr>
        <w:tc>
          <w:tcPr>
            <w:tcW w:w="1571" w:type="pct"/>
          </w:tcPr>
          <w:p w14:paraId="4496094D" w14:textId="77777777" w:rsidR="000461E7" w:rsidRPr="005F7FF6" w:rsidRDefault="000461E7" w:rsidP="005F7FF6">
            <w:pPr>
              <w:ind w:left="0" w:right="0"/>
              <w:rPr>
                <w:sz w:val="20"/>
                <w:szCs w:val="20"/>
              </w:rPr>
            </w:pPr>
            <w:r w:rsidRPr="005F7FF6">
              <w:rPr>
                <w:sz w:val="20"/>
                <w:szCs w:val="20"/>
              </w:rPr>
              <w:t>Diarrhoea</w:t>
            </w:r>
          </w:p>
        </w:tc>
        <w:tc>
          <w:tcPr>
            <w:tcW w:w="936" w:type="pct"/>
            <w:gridSpan w:val="2"/>
          </w:tcPr>
          <w:p w14:paraId="4AEF9A6D" w14:textId="77777777" w:rsidR="000461E7" w:rsidRPr="005F7FF6" w:rsidRDefault="000461E7" w:rsidP="005F7FF6">
            <w:pPr>
              <w:ind w:left="0" w:right="0"/>
              <w:rPr>
                <w:sz w:val="20"/>
                <w:szCs w:val="20"/>
              </w:rPr>
            </w:pPr>
            <w:r w:rsidRPr="005F7FF6">
              <w:rPr>
                <w:sz w:val="20"/>
                <w:szCs w:val="20"/>
              </w:rPr>
              <w:t>2 (1.1)</w:t>
            </w:r>
          </w:p>
        </w:tc>
        <w:tc>
          <w:tcPr>
            <w:tcW w:w="842" w:type="pct"/>
          </w:tcPr>
          <w:p w14:paraId="65041E10" w14:textId="77777777" w:rsidR="000461E7" w:rsidRPr="005F7FF6" w:rsidRDefault="000461E7" w:rsidP="005F7FF6">
            <w:pPr>
              <w:ind w:left="0" w:right="0"/>
              <w:rPr>
                <w:sz w:val="20"/>
                <w:szCs w:val="20"/>
              </w:rPr>
            </w:pPr>
            <w:r w:rsidRPr="005F7FF6">
              <w:rPr>
                <w:sz w:val="20"/>
                <w:szCs w:val="20"/>
              </w:rPr>
              <w:t>6 (3.1)</w:t>
            </w:r>
          </w:p>
        </w:tc>
        <w:tc>
          <w:tcPr>
            <w:tcW w:w="895" w:type="pct"/>
          </w:tcPr>
          <w:p w14:paraId="6A023D2D" w14:textId="77777777" w:rsidR="000461E7" w:rsidRPr="005F7FF6" w:rsidRDefault="000461E7" w:rsidP="005F7FF6">
            <w:pPr>
              <w:ind w:left="0" w:right="0"/>
              <w:rPr>
                <w:sz w:val="20"/>
                <w:szCs w:val="20"/>
              </w:rPr>
            </w:pPr>
            <w:r w:rsidRPr="005F7FF6">
              <w:rPr>
                <w:sz w:val="20"/>
                <w:szCs w:val="20"/>
              </w:rPr>
              <w:t>6 (3.3)</w:t>
            </w:r>
          </w:p>
        </w:tc>
        <w:tc>
          <w:tcPr>
            <w:tcW w:w="756" w:type="pct"/>
          </w:tcPr>
          <w:p w14:paraId="72F1E0BB" w14:textId="77777777" w:rsidR="000461E7" w:rsidRPr="005F7FF6" w:rsidRDefault="000461E7" w:rsidP="005F7FF6">
            <w:pPr>
              <w:ind w:left="0" w:right="0"/>
              <w:rPr>
                <w:sz w:val="20"/>
                <w:szCs w:val="20"/>
              </w:rPr>
            </w:pPr>
            <w:r w:rsidRPr="005F7FF6">
              <w:rPr>
                <w:sz w:val="20"/>
                <w:szCs w:val="20"/>
              </w:rPr>
              <w:t>12 (3.2)</w:t>
            </w:r>
          </w:p>
        </w:tc>
      </w:tr>
      <w:tr w:rsidR="000461E7" w:rsidRPr="005F7FF6" w14:paraId="6A291A48" w14:textId="77777777" w:rsidTr="00DA3A6A">
        <w:trPr>
          <w:trHeight w:val="227"/>
        </w:trPr>
        <w:tc>
          <w:tcPr>
            <w:tcW w:w="1571" w:type="pct"/>
          </w:tcPr>
          <w:p w14:paraId="7DE1CF9A" w14:textId="77777777" w:rsidR="000461E7" w:rsidRPr="005F7FF6" w:rsidRDefault="000461E7" w:rsidP="005F7FF6">
            <w:pPr>
              <w:ind w:left="0" w:right="0"/>
              <w:rPr>
                <w:sz w:val="20"/>
                <w:szCs w:val="20"/>
              </w:rPr>
            </w:pPr>
            <w:r w:rsidRPr="005F7FF6">
              <w:rPr>
                <w:sz w:val="20"/>
                <w:szCs w:val="20"/>
              </w:rPr>
              <w:t>Arthralgia</w:t>
            </w:r>
          </w:p>
        </w:tc>
        <w:tc>
          <w:tcPr>
            <w:tcW w:w="936" w:type="pct"/>
            <w:gridSpan w:val="2"/>
          </w:tcPr>
          <w:p w14:paraId="5AE646C6" w14:textId="77777777" w:rsidR="000461E7" w:rsidRPr="005F7FF6" w:rsidRDefault="000461E7" w:rsidP="005F7FF6">
            <w:pPr>
              <w:ind w:left="0" w:right="0"/>
              <w:rPr>
                <w:sz w:val="20"/>
                <w:szCs w:val="20"/>
              </w:rPr>
            </w:pPr>
            <w:r w:rsidRPr="005F7FF6">
              <w:rPr>
                <w:sz w:val="20"/>
                <w:szCs w:val="20"/>
              </w:rPr>
              <w:t>3 (1.6)</w:t>
            </w:r>
          </w:p>
        </w:tc>
        <w:tc>
          <w:tcPr>
            <w:tcW w:w="842" w:type="pct"/>
          </w:tcPr>
          <w:p w14:paraId="4F35EF46" w14:textId="77777777" w:rsidR="000461E7" w:rsidRPr="005F7FF6" w:rsidRDefault="000461E7" w:rsidP="005F7FF6">
            <w:pPr>
              <w:ind w:left="0" w:right="0"/>
              <w:rPr>
                <w:sz w:val="20"/>
                <w:szCs w:val="20"/>
              </w:rPr>
            </w:pPr>
            <w:r w:rsidRPr="005F7FF6">
              <w:rPr>
                <w:sz w:val="20"/>
                <w:szCs w:val="20"/>
              </w:rPr>
              <w:t>9 (4.6)</w:t>
            </w:r>
          </w:p>
        </w:tc>
        <w:tc>
          <w:tcPr>
            <w:tcW w:w="895" w:type="pct"/>
          </w:tcPr>
          <w:p w14:paraId="632925FF" w14:textId="77777777" w:rsidR="000461E7" w:rsidRPr="005F7FF6" w:rsidRDefault="000461E7" w:rsidP="005F7FF6">
            <w:pPr>
              <w:ind w:left="0" w:right="0"/>
              <w:rPr>
                <w:sz w:val="20"/>
                <w:szCs w:val="20"/>
              </w:rPr>
            </w:pPr>
            <w:r w:rsidRPr="005F7FF6">
              <w:rPr>
                <w:sz w:val="20"/>
                <w:szCs w:val="20"/>
              </w:rPr>
              <w:t>3 (1.7)</w:t>
            </w:r>
          </w:p>
        </w:tc>
        <w:tc>
          <w:tcPr>
            <w:tcW w:w="756" w:type="pct"/>
          </w:tcPr>
          <w:p w14:paraId="3CA3921C" w14:textId="77777777" w:rsidR="000461E7" w:rsidRPr="005F7FF6" w:rsidRDefault="000461E7" w:rsidP="005F7FF6">
            <w:pPr>
              <w:ind w:left="0" w:right="0"/>
              <w:rPr>
                <w:sz w:val="20"/>
                <w:szCs w:val="20"/>
              </w:rPr>
            </w:pPr>
            <w:r w:rsidRPr="005F7FF6">
              <w:rPr>
                <w:sz w:val="20"/>
                <w:szCs w:val="20"/>
              </w:rPr>
              <w:t>12 (3.2)</w:t>
            </w:r>
          </w:p>
        </w:tc>
      </w:tr>
      <w:tr w:rsidR="000461E7" w:rsidRPr="005F7FF6" w14:paraId="26E66758" w14:textId="77777777" w:rsidTr="00DA3A6A">
        <w:trPr>
          <w:trHeight w:val="227"/>
        </w:trPr>
        <w:tc>
          <w:tcPr>
            <w:tcW w:w="1571" w:type="pct"/>
          </w:tcPr>
          <w:p w14:paraId="45E21B64" w14:textId="77777777" w:rsidR="000461E7" w:rsidRPr="005F7FF6" w:rsidRDefault="000461E7" w:rsidP="005F7FF6">
            <w:pPr>
              <w:ind w:left="0" w:right="0"/>
              <w:rPr>
                <w:sz w:val="20"/>
                <w:szCs w:val="20"/>
              </w:rPr>
            </w:pPr>
            <w:r w:rsidRPr="005F7FF6">
              <w:rPr>
                <w:sz w:val="20"/>
                <w:szCs w:val="20"/>
              </w:rPr>
              <w:t>Injection site pain</w:t>
            </w:r>
            <w:r w:rsidRPr="005F7FF6">
              <w:rPr>
                <w:sz w:val="20"/>
                <w:szCs w:val="20"/>
                <w:vertAlign w:val="superscript"/>
              </w:rPr>
              <w:t>b</w:t>
            </w:r>
          </w:p>
        </w:tc>
        <w:tc>
          <w:tcPr>
            <w:tcW w:w="936" w:type="pct"/>
            <w:gridSpan w:val="2"/>
          </w:tcPr>
          <w:p w14:paraId="0E41A000" w14:textId="77777777" w:rsidR="000461E7" w:rsidRPr="005F7FF6" w:rsidRDefault="000461E7" w:rsidP="005F7FF6">
            <w:pPr>
              <w:ind w:left="0" w:right="0"/>
              <w:rPr>
                <w:sz w:val="20"/>
                <w:szCs w:val="20"/>
              </w:rPr>
            </w:pPr>
            <w:r w:rsidRPr="005F7FF6">
              <w:rPr>
                <w:sz w:val="20"/>
                <w:szCs w:val="20"/>
              </w:rPr>
              <w:t>4 (2.1)</w:t>
            </w:r>
          </w:p>
        </w:tc>
        <w:tc>
          <w:tcPr>
            <w:tcW w:w="842" w:type="pct"/>
          </w:tcPr>
          <w:p w14:paraId="06A3DD38" w14:textId="77777777" w:rsidR="000461E7" w:rsidRPr="005F7FF6" w:rsidRDefault="000461E7" w:rsidP="005F7FF6">
            <w:pPr>
              <w:ind w:left="0" w:right="0"/>
              <w:rPr>
                <w:sz w:val="20"/>
                <w:szCs w:val="20"/>
              </w:rPr>
            </w:pPr>
            <w:r w:rsidRPr="005F7FF6">
              <w:rPr>
                <w:sz w:val="20"/>
                <w:szCs w:val="20"/>
              </w:rPr>
              <w:t>4 (2.1)</w:t>
            </w:r>
          </w:p>
        </w:tc>
        <w:tc>
          <w:tcPr>
            <w:tcW w:w="895" w:type="pct"/>
          </w:tcPr>
          <w:p w14:paraId="576A702E" w14:textId="77777777" w:rsidR="000461E7" w:rsidRPr="005F7FF6" w:rsidRDefault="000461E7" w:rsidP="005F7FF6">
            <w:pPr>
              <w:ind w:left="0" w:right="0"/>
              <w:rPr>
                <w:sz w:val="20"/>
                <w:szCs w:val="20"/>
              </w:rPr>
            </w:pPr>
            <w:r w:rsidRPr="005F7FF6">
              <w:rPr>
                <w:sz w:val="20"/>
                <w:szCs w:val="20"/>
              </w:rPr>
              <w:t>5 (2.8)</w:t>
            </w:r>
          </w:p>
        </w:tc>
        <w:tc>
          <w:tcPr>
            <w:tcW w:w="756" w:type="pct"/>
          </w:tcPr>
          <w:p w14:paraId="295E6F73" w14:textId="77777777" w:rsidR="000461E7" w:rsidRPr="005F7FF6" w:rsidRDefault="000461E7" w:rsidP="005F7FF6">
            <w:pPr>
              <w:ind w:left="0" w:right="0"/>
              <w:rPr>
                <w:sz w:val="20"/>
                <w:szCs w:val="20"/>
              </w:rPr>
            </w:pPr>
            <w:r w:rsidRPr="005F7FF6">
              <w:rPr>
                <w:sz w:val="20"/>
                <w:szCs w:val="20"/>
              </w:rPr>
              <w:t>9 (2.4)</w:t>
            </w:r>
          </w:p>
        </w:tc>
      </w:tr>
      <w:tr w:rsidR="000461E7" w:rsidRPr="005F7FF6" w14:paraId="4308DD0D" w14:textId="77777777" w:rsidTr="00DA3A6A">
        <w:trPr>
          <w:trHeight w:val="227"/>
        </w:trPr>
        <w:tc>
          <w:tcPr>
            <w:tcW w:w="1571" w:type="pct"/>
          </w:tcPr>
          <w:p w14:paraId="70176944" w14:textId="77777777" w:rsidR="000461E7" w:rsidRPr="005F7FF6" w:rsidRDefault="000461E7" w:rsidP="005F7FF6">
            <w:pPr>
              <w:ind w:left="0" w:right="0"/>
              <w:rPr>
                <w:sz w:val="20"/>
                <w:szCs w:val="20"/>
              </w:rPr>
            </w:pPr>
            <w:r w:rsidRPr="005F7FF6">
              <w:rPr>
                <w:sz w:val="20"/>
                <w:szCs w:val="20"/>
              </w:rPr>
              <w:t>Pharyngitis</w:t>
            </w:r>
          </w:p>
        </w:tc>
        <w:tc>
          <w:tcPr>
            <w:tcW w:w="936" w:type="pct"/>
            <w:gridSpan w:val="2"/>
          </w:tcPr>
          <w:p w14:paraId="4D2E4EC9" w14:textId="77777777" w:rsidR="000461E7" w:rsidRPr="005F7FF6" w:rsidRDefault="000461E7" w:rsidP="005F7FF6">
            <w:pPr>
              <w:ind w:left="0" w:right="0"/>
              <w:rPr>
                <w:sz w:val="20"/>
                <w:szCs w:val="20"/>
              </w:rPr>
            </w:pPr>
            <w:r w:rsidRPr="005F7FF6">
              <w:rPr>
                <w:sz w:val="20"/>
                <w:szCs w:val="20"/>
              </w:rPr>
              <w:t>2 (1.1)</w:t>
            </w:r>
          </w:p>
        </w:tc>
        <w:tc>
          <w:tcPr>
            <w:tcW w:w="842" w:type="pct"/>
          </w:tcPr>
          <w:p w14:paraId="0491633E" w14:textId="77777777" w:rsidR="000461E7" w:rsidRPr="005F7FF6" w:rsidRDefault="000461E7" w:rsidP="005F7FF6">
            <w:pPr>
              <w:ind w:left="0" w:right="0"/>
              <w:rPr>
                <w:sz w:val="20"/>
                <w:szCs w:val="20"/>
              </w:rPr>
            </w:pPr>
            <w:r w:rsidRPr="005F7FF6">
              <w:rPr>
                <w:sz w:val="20"/>
                <w:szCs w:val="20"/>
              </w:rPr>
              <w:t>3 (1.5)</w:t>
            </w:r>
          </w:p>
        </w:tc>
        <w:tc>
          <w:tcPr>
            <w:tcW w:w="895" w:type="pct"/>
          </w:tcPr>
          <w:p w14:paraId="5898FC6A" w14:textId="77777777" w:rsidR="000461E7" w:rsidRPr="005F7FF6" w:rsidRDefault="000461E7" w:rsidP="005F7FF6">
            <w:pPr>
              <w:ind w:left="0" w:right="0"/>
              <w:rPr>
                <w:sz w:val="20"/>
                <w:szCs w:val="20"/>
              </w:rPr>
            </w:pPr>
            <w:r w:rsidRPr="005F7FF6">
              <w:rPr>
                <w:sz w:val="20"/>
                <w:szCs w:val="20"/>
              </w:rPr>
              <w:t>5 (2.8)</w:t>
            </w:r>
          </w:p>
        </w:tc>
        <w:tc>
          <w:tcPr>
            <w:tcW w:w="756" w:type="pct"/>
          </w:tcPr>
          <w:p w14:paraId="001865DF" w14:textId="77777777" w:rsidR="000461E7" w:rsidRPr="005F7FF6" w:rsidRDefault="000461E7" w:rsidP="005F7FF6">
            <w:pPr>
              <w:ind w:left="0" w:right="0"/>
              <w:rPr>
                <w:sz w:val="20"/>
                <w:szCs w:val="20"/>
              </w:rPr>
            </w:pPr>
            <w:r w:rsidRPr="005F7FF6">
              <w:rPr>
                <w:sz w:val="20"/>
                <w:szCs w:val="20"/>
              </w:rPr>
              <w:t>8 (2.1)</w:t>
            </w:r>
          </w:p>
        </w:tc>
      </w:tr>
      <w:tr w:rsidR="000461E7" w:rsidRPr="005F7FF6" w14:paraId="043AD492" w14:textId="77777777" w:rsidTr="00DA3A6A">
        <w:trPr>
          <w:trHeight w:val="227"/>
        </w:trPr>
        <w:tc>
          <w:tcPr>
            <w:tcW w:w="1571" w:type="pct"/>
          </w:tcPr>
          <w:p w14:paraId="461508AD" w14:textId="77777777" w:rsidR="000461E7" w:rsidRPr="005F7FF6" w:rsidRDefault="000461E7" w:rsidP="005F7FF6">
            <w:pPr>
              <w:ind w:left="0" w:right="0"/>
              <w:rPr>
                <w:sz w:val="20"/>
                <w:szCs w:val="20"/>
              </w:rPr>
            </w:pPr>
            <w:r w:rsidRPr="005F7FF6">
              <w:rPr>
                <w:sz w:val="20"/>
                <w:szCs w:val="20"/>
              </w:rPr>
              <w:t>Headache</w:t>
            </w:r>
          </w:p>
        </w:tc>
        <w:tc>
          <w:tcPr>
            <w:tcW w:w="936" w:type="pct"/>
            <w:gridSpan w:val="2"/>
          </w:tcPr>
          <w:p w14:paraId="2FFAAADE" w14:textId="77777777" w:rsidR="000461E7" w:rsidRPr="005F7FF6" w:rsidRDefault="000461E7" w:rsidP="005F7FF6">
            <w:pPr>
              <w:ind w:left="0" w:right="0"/>
              <w:rPr>
                <w:sz w:val="20"/>
                <w:szCs w:val="20"/>
              </w:rPr>
            </w:pPr>
            <w:r w:rsidRPr="005F7FF6">
              <w:rPr>
                <w:sz w:val="20"/>
                <w:szCs w:val="20"/>
              </w:rPr>
              <w:t>1 (0.5)</w:t>
            </w:r>
          </w:p>
        </w:tc>
        <w:tc>
          <w:tcPr>
            <w:tcW w:w="842" w:type="pct"/>
          </w:tcPr>
          <w:p w14:paraId="3E79CE35" w14:textId="77777777" w:rsidR="000461E7" w:rsidRPr="005F7FF6" w:rsidRDefault="000461E7" w:rsidP="005F7FF6">
            <w:pPr>
              <w:ind w:left="0" w:right="0"/>
              <w:rPr>
                <w:sz w:val="20"/>
                <w:szCs w:val="20"/>
              </w:rPr>
            </w:pPr>
            <w:r w:rsidRPr="005F7FF6">
              <w:rPr>
                <w:sz w:val="20"/>
                <w:szCs w:val="20"/>
              </w:rPr>
              <w:t>3 (1.5)</w:t>
            </w:r>
          </w:p>
        </w:tc>
        <w:tc>
          <w:tcPr>
            <w:tcW w:w="895" w:type="pct"/>
          </w:tcPr>
          <w:p w14:paraId="61E88CA3" w14:textId="77777777" w:rsidR="000461E7" w:rsidRPr="005F7FF6" w:rsidRDefault="000461E7" w:rsidP="005F7FF6">
            <w:pPr>
              <w:ind w:left="0" w:right="0"/>
              <w:rPr>
                <w:sz w:val="20"/>
                <w:szCs w:val="20"/>
              </w:rPr>
            </w:pPr>
            <w:r w:rsidRPr="005F7FF6">
              <w:rPr>
                <w:sz w:val="20"/>
                <w:szCs w:val="20"/>
              </w:rPr>
              <w:t>4 (2.2)</w:t>
            </w:r>
          </w:p>
        </w:tc>
        <w:tc>
          <w:tcPr>
            <w:tcW w:w="756" w:type="pct"/>
          </w:tcPr>
          <w:p w14:paraId="31682AB3" w14:textId="77777777" w:rsidR="000461E7" w:rsidRPr="005F7FF6" w:rsidRDefault="000461E7" w:rsidP="005F7FF6">
            <w:pPr>
              <w:ind w:left="0" w:right="0"/>
              <w:rPr>
                <w:sz w:val="20"/>
                <w:szCs w:val="20"/>
              </w:rPr>
            </w:pPr>
            <w:r w:rsidRPr="005F7FF6">
              <w:rPr>
                <w:sz w:val="20"/>
                <w:szCs w:val="20"/>
              </w:rPr>
              <w:t>7 (1.9)</w:t>
            </w:r>
          </w:p>
        </w:tc>
      </w:tr>
      <w:tr w:rsidR="000461E7" w:rsidRPr="005F7FF6" w14:paraId="378B45B6" w14:textId="77777777" w:rsidTr="00DA3A6A">
        <w:trPr>
          <w:trHeight w:val="227"/>
        </w:trPr>
        <w:tc>
          <w:tcPr>
            <w:tcW w:w="1571" w:type="pct"/>
          </w:tcPr>
          <w:p w14:paraId="5FF999B6" w14:textId="77777777" w:rsidR="000461E7" w:rsidRPr="005F7FF6" w:rsidRDefault="000461E7" w:rsidP="005F7FF6">
            <w:pPr>
              <w:ind w:left="0" w:right="0"/>
              <w:rPr>
                <w:sz w:val="20"/>
                <w:szCs w:val="20"/>
              </w:rPr>
            </w:pPr>
            <w:r w:rsidRPr="005F7FF6">
              <w:rPr>
                <w:sz w:val="20"/>
                <w:szCs w:val="20"/>
              </w:rPr>
              <w:t>Injection site erythema</w:t>
            </w:r>
            <w:r w:rsidRPr="005F7FF6">
              <w:rPr>
                <w:sz w:val="20"/>
                <w:szCs w:val="20"/>
                <w:vertAlign w:val="superscript"/>
              </w:rPr>
              <w:t>b</w:t>
            </w:r>
          </w:p>
        </w:tc>
        <w:tc>
          <w:tcPr>
            <w:tcW w:w="936" w:type="pct"/>
            <w:gridSpan w:val="2"/>
          </w:tcPr>
          <w:p w14:paraId="058ACF8F" w14:textId="77777777" w:rsidR="000461E7" w:rsidRPr="005F7FF6" w:rsidRDefault="000461E7" w:rsidP="005F7FF6">
            <w:pPr>
              <w:ind w:left="0" w:right="0"/>
              <w:rPr>
                <w:sz w:val="20"/>
                <w:szCs w:val="20"/>
              </w:rPr>
            </w:pPr>
            <w:r w:rsidRPr="005F7FF6">
              <w:rPr>
                <w:sz w:val="20"/>
                <w:szCs w:val="20"/>
              </w:rPr>
              <w:t>1 (0.5)</w:t>
            </w:r>
          </w:p>
        </w:tc>
        <w:tc>
          <w:tcPr>
            <w:tcW w:w="842" w:type="pct"/>
          </w:tcPr>
          <w:p w14:paraId="39495EC4" w14:textId="77777777" w:rsidR="000461E7" w:rsidRPr="005F7FF6" w:rsidRDefault="000461E7" w:rsidP="005F7FF6">
            <w:pPr>
              <w:ind w:left="0" w:right="0"/>
              <w:rPr>
                <w:sz w:val="20"/>
                <w:szCs w:val="20"/>
              </w:rPr>
            </w:pPr>
            <w:r w:rsidRPr="005F7FF6">
              <w:rPr>
                <w:sz w:val="20"/>
                <w:szCs w:val="20"/>
              </w:rPr>
              <w:t>3 (1.5)</w:t>
            </w:r>
          </w:p>
        </w:tc>
        <w:tc>
          <w:tcPr>
            <w:tcW w:w="895" w:type="pct"/>
          </w:tcPr>
          <w:p w14:paraId="4EC5596C" w14:textId="77777777" w:rsidR="000461E7" w:rsidRPr="005F7FF6" w:rsidRDefault="000461E7" w:rsidP="005F7FF6">
            <w:pPr>
              <w:ind w:left="0" w:right="0"/>
              <w:rPr>
                <w:sz w:val="20"/>
                <w:szCs w:val="20"/>
              </w:rPr>
            </w:pPr>
            <w:r w:rsidRPr="005F7FF6">
              <w:rPr>
                <w:sz w:val="20"/>
                <w:szCs w:val="20"/>
              </w:rPr>
              <w:t>4 (2.2)</w:t>
            </w:r>
          </w:p>
        </w:tc>
        <w:tc>
          <w:tcPr>
            <w:tcW w:w="756" w:type="pct"/>
          </w:tcPr>
          <w:p w14:paraId="0404645F" w14:textId="77777777" w:rsidR="000461E7" w:rsidRPr="005F7FF6" w:rsidRDefault="000461E7" w:rsidP="005F7FF6">
            <w:pPr>
              <w:ind w:left="0" w:right="0"/>
              <w:rPr>
                <w:sz w:val="20"/>
                <w:szCs w:val="20"/>
              </w:rPr>
            </w:pPr>
            <w:r w:rsidRPr="005F7FF6">
              <w:rPr>
                <w:sz w:val="20"/>
                <w:szCs w:val="20"/>
              </w:rPr>
              <w:t>7 (1.9)</w:t>
            </w:r>
          </w:p>
        </w:tc>
      </w:tr>
      <w:tr w:rsidR="000461E7" w:rsidRPr="005F7FF6" w14:paraId="3CF87F81" w14:textId="77777777" w:rsidTr="00DA3A6A">
        <w:trPr>
          <w:trHeight w:val="227"/>
        </w:trPr>
        <w:tc>
          <w:tcPr>
            <w:tcW w:w="1571" w:type="pct"/>
          </w:tcPr>
          <w:p w14:paraId="74FE2F9B" w14:textId="77777777" w:rsidR="000461E7" w:rsidRPr="005F7FF6" w:rsidRDefault="000461E7" w:rsidP="005F7FF6">
            <w:pPr>
              <w:ind w:left="0" w:right="0"/>
              <w:rPr>
                <w:sz w:val="20"/>
                <w:szCs w:val="20"/>
              </w:rPr>
            </w:pPr>
            <w:r w:rsidRPr="005F7FF6">
              <w:rPr>
                <w:sz w:val="20"/>
                <w:szCs w:val="20"/>
              </w:rPr>
              <w:t>Pruritus</w:t>
            </w:r>
          </w:p>
        </w:tc>
        <w:tc>
          <w:tcPr>
            <w:tcW w:w="936" w:type="pct"/>
            <w:gridSpan w:val="2"/>
          </w:tcPr>
          <w:p w14:paraId="56753B01" w14:textId="77777777" w:rsidR="000461E7" w:rsidRPr="005F7FF6" w:rsidRDefault="000461E7" w:rsidP="005F7FF6">
            <w:pPr>
              <w:ind w:left="0" w:right="0"/>
              <w:rPr>
                <w:sz w:val="20"/>
                <w:szCs w:val="20"/>
              </w:rPr>
            </w:pPr>
            <w:r w:rsidRPr="005F7FF6">
              <w:rPr>
                <w:sz w:val="20"/>
                <w:szCs w:val="20"/>
              </w:rPr>
              <w:t>0</w:t>
            </w:r>
          </w:p>
        </w:tc>
        <w:tc>
          <w:tcPr>
            <w:tcW w:w="842" w:type="pct"/>
          </w:tcPr>
          <w:p w14:paraId="6A656C34" w14:textId="77777777" w:rsidR="000461E7" w:rsidRPr="005F7FF6" w:rsidRDefault="000461E7" w:rsidP="005F7FF6">
            <w:pPr>
              <w:ind w:left="0" w:right="0"/>
              <w:rPr>
                <w:sz w:val="20"/>
                <w:szCs w:val="20"/>
              </w:rPr>
            </w:pPr>
            <w:r w:rsidRPr="005F7FF6">
              <w:rPr>
                <w:sz w:val="20"/>
                <w:szCs w:val="20"/>
              </w:rPr>
              <w:t>2 (1.0)</w:t>
            </w:r>
          </w:p>
        </w:tc>
        <w:tc>
          <w:tcPr>
            <w:tcW w:w="895" w:type="pct"/>
          </w:tcPr>
          <w:p w14:paraId="4FF4F4BC" w14:textId="77777777" w:rsidR="000461E7" w:rsidRPr="005F7FF6" w:rsidRDefault="000461E7" w:rsidP="005F7FF6">
            <w:pPr>
              <w:ind w:left="0" w:right="0"/>
              <w:rPr>
                <w:sz w:val="20"/>
                <w:szCs w:val="20"/>
              </w:rPr>
            </w:pPr>
            <w:r w:rsidRPr="005F7FF6">
              <w:rPr>
                <w:sz w:val="20"/>
                <w:szCs w:val="20"/>
              </w:rPr>
              <w:t>4 (2.2)a</w:t>
            </w:r>
          </w:p>
        </w:tc>
        <w:tc>
          <w:tcPr>
            <w:tcW w:w="756" w:type="pct"/>
          </w:tcPr>
          <w:p w14:paraId="035DB514" w14:textId="77777777" w:rsidR="000461E7" w:rsidRPr="005F7FF6" w:rsidRDefault="000461E7" w:rsidP="005F7FF6">
            <w:pPr>
              <w:ind w:left="0" w:right="0"/>
              <w:rPr>
                <w:sz w:val="20"/>
                <w:szCs w:val="20"/>
              </w:rPr>
            </w:pPr>
            <w:r w:rsidRPr="005F7FF6">
              <w:rPr>
                <w:sz w:val="20"/>
                <w:szCs w:val="20"/>
              </w:rPr>
              <w:t>6 (1.6)</w:t>
            </w:r>
          </w:p>
        </w:tc>
      </w:tr>
      <w:tr w:rsidR="000461E7" w:rsidRPr="005F7FF6" w14:paraId="03908E0E" w14:textId="77777777" w:rsidTr="00DA3A6A">
        <w:trPr>
          <w:trHeight w:val="227"/>
        </w:trPr>
        <w:tc>
          <w:tcPr>
            <w:tcW w:w="1571" w:type="pct"/>
          </w:tcPr>
          <w:p w14:paraId="24405D65" w14:textId="77777777" w:rsidR="000461E7" w:rsidRPr="005F7FF6" w:rsidRDefault="000461E7" w:rsidP="005F7FF6">
            <w:pPr>
              <w:ind w:left="0" w:right="0"/>
              <w:rPr>
                <w:sz w:val="20"/>
                <w:szCs w:val="20"/>
              </w:rPr>
            </w:pPr>
            <w:r w:rsidRPr="005F7FF6">
              <w:rPr>
                <w:sz w:val="20"/>
                <w:szCs w:val="20"/>
              </w:rPr>
              <w:t>Iridocyclitis</w:t>
            </w:r>
          </w:p>
        </w:tc>
        <w:tc>
          <w:tcPr>
            <w:tcW w:w="936" w:type="pct"/>
            <w:gridSpan w:val="2"/>
          </w:tcPr>
          <w:p w14:paraId="544BA3E3" w14:textId="77777777" w:rsidR="000461E7" w:rsidRPr="005F7FF6" w:rsidRDefault="000461E7" w:rsidP="005F7FF6">
            <w:pPr>
              <w:ind w:left="0" w:right="0"/>
              <w:rPr>
                <w:sz w:val="20"/>
                <w:szCs w:val="20"/>
              </w:rPr>
            </w:pPr>
            <w:r w:rsidRPr="005F7FF6">
              <w:rPr>
                <w:sz w:val="20"/>
                <w:szCs w:val="20"/>
              </w:rPr>
              <w:t>0</w:t>
            </w:r>
          </w:p>
        </w:tc>
        <w:tc>
          <w:tcPr>
            <w:tcW w:w="842" w:type="pct"/>
          </w:tcPr>
          <w:p w14:paraId="74DB1E24" w14:textId="77777777" w:rsidR="000461E7" w:rsidRPr="005F7FF6" w:rsidRDefault="000461E7" w:rsidP="005F7FF6">
            <w:pPr>
              <w:ind w:left="0" w:right="0"/>
              <w:rPr>
                <w:sz w:val="20"/>
                <w:szCs w:val="20"/>
              </w:rPr>
            </w:pPr>
            <w:r w:rsidRPr="005F7FF6">
              <w:rPr>
                <w:sz w:val="20"/>
                <w:szCs w:val="20"/>
              </w:rPr>
              <w:t>3 (1.5)</w:t>
            </w:r>
          </w:p>
        </w:tc>
        <w:tc>
          <w:tcPr>
            <w:tcW w:w="895" w:type="pct"/>
          </w:tcPr>
          <w:p w14:paraId="152053C0" w14:textId="77777777" w:rsidR="000461E7" w:rsidRPr="005F7FF6" w:rsidRDefault="000461E7" w:rsidP="005F7FF6">
            <w:pPr>
              <w:ind w:left="0" w:right="0"/>
              <w:rPr>
                <w:sz w:val="20"/>
                <w:szCs w:val="20"/>
              </w:rPr>
            </w:pPr>
            <w:r w:rsidRPr="005F7FF6">
              <w:rPr>
                <w:sz w:val="20"/>
                <w:szCs w:val="20"/>
              </w:rPr>
              <w:t>3 (1.7)</w:t>
            </w:r>
          </w:p>
        </w:tc>
        <w:tc>
          <w:tcPr>
            <w:tcW w:w="756" w:type="pct"/>
          </w:tcPr>
          <w:p w14:paraId="1439AC38" w14:textId="77777777" w:rsidR="000461E7" w:rsidRPr="005F7FF6" w:rsidRDefault="000461E7" w:rsidP="005F7FF6">
            <w:pPr>
              <w:ind w:left="0" w:right="0"/>
              <w:rPr>
                <w:sz w:val="20"/>
                <w:szCs w:val="20"/>
              </w:rPr>
            </w:pPr>
            <w:r w:rsidRPr="005F7FF6">
              <w:rPr>
                <w:sz w:val="20"/>
                <w:szCs w:val="20"/>
              </w:rPr>
              <w:t>6 (1.6)</w:t>
            </w:r>
          </w:p>
        </w:tc>
      </w:tr>
      <w:tr w:rsidR="000461E7" w:rsidRPr="005F7FF6" w14:paraId="1BE84BDD" w14:textId="77777777" w:rsidTr="00DA3A6A">
        <w:trPr>
          <w:trHeight w:val="227"/>
        </w:trPr>
        <w:tc>
          <w:tcPr>
            <w:tcW w:w="1571" w:type="pct"/>
          </w:tcPr>
          <w:p w14:paraId="5BA65AEB" w14:textId="77777777" w:rsidR="000461E7" w:rsidRPr="005F7FF6" w:rsidRDefault="000461E7" w:rsidP="005F7FF6">
            <w:pPr>
              <w:ind w:left="0" w:right="0"/>
              <w:rPr>
                <w:sz w:val="20"/>
                <w:szCs w:val="20"/>
              </w:rPr>
            </w:pPr>
            <w:r w:rsidRPr="005F7FF6">
              <w:rPr>
                <w:sz w:val="20"/>
                <w:szCs w:val="20"/>
              </w:rPr>
              <w:t>Back pain</w:t>
            </w:r>
          </w:p>
        </w:tc>
        <w:tc>
          <w:tcPr>
            <w:tcW w:w="936" w:type="pct"/>
            <w:gridSpan w:val="2"/>
          </w:tcPr>
          <w:p w14:paraId="17FACD2E" w14:textId="77777777" w:rsidR="000461E7" w:rsidRPr="005F7FF6" w:rsidRDefault="000461E7" w:rsidP="005F7FF6">
            <w:pPr>
              <w:ind w:left="0" w:right="0"/>
              <w:rPr>
                <w:sz w:val="20"/>
                <w:szCs w:val="20"/>
              </w:rPr>
            </w:pPr>
            <w:r w:rsidRPr="005F7FF6">
              <w:rPr>
                <w:sz w:val="20"/>
                <w:szCs w:val="20"/>
              </w:rPr>
              <w:t>3 (1.6)</w:t>
            </w:r>
          </w:p>
        </w:tc>
        <w:tc>
          <w:tcPr>
            <w:tcW w:w="842" w:type="pct"/>
          </w:tcPr>
          <w:p w14:paraId="0B9E0F18" w14:textId="77777777" w:rsidR="000461E7" w:rsidRPr="005F7FF6" w:rsidRDefault="000461E7" w:rsidP="005F7FF6">
            <w:pPr>
              <w:ind w:left="0" w:right="0"/>
              <w:rPr>
                <w:sz w:val="20"/>
                <w:szCs w:val="20"/>
              </w:rPr>
            </w:pPr>
            <w:r w:rsidRPr="005F7FF6">
              <w:rPr>
                <w:sz w:val="20"/>
                <w:szCs w:val="20"/>
              </w:rPr>
              <w:t>1 (0.5)</w:t>
            </w:r>
          </w:p>
        </w:tc>
        <w:tc>
          <w:tcPr>
            <w:tcW w:w="895" w:type="pct"/>
          </w:tcPr>
          <w:p w14:paraId="49B5B3BB" w14:textId="77777777" w:rsidR="000461E7" w:rsidRPr="005F7FF6" w:rsidRDefault="000461E7" w:rsidP="005F7FF6">
            <w:pPr>
              <w:ind w:left="0" w:right="0"/>
              <w:rPr>
                <w:sz w:val="20"/>
                <w:szCs w:val="20"/>
              </w:rPr>
            </w:pPr>
            <w:r w:rsidRPr="005F7FF6">
              <w:rPr>
                <w:sz w:val="20"/>
                <w:szCs w:val="20"/>
              </w:rPr>
              <w:t>4 (2.2)</w:t>
            </w:r>
          </w:p>
        </w:tc>
        <w:tc>
          <w:tcPr>
            <w:tcW w:w="756" w:type="pct"/>
          </w:tcPr>
          <w:p w14:paraId="5ABCE69F" w14:textId="77777777" w:rsidR="000461E7" w:rsidRPr="005F7FF6" w:rsidRDefault="000461E7" w:rsidP="005F7FF6">
            <w:pPr>
              <w:ind w:left="0" w:right="0"/>
              <w:rPr>
                <w:sz w:val="20"/>
                <w:szCs w:val="20"/>
              </w:rPr>
            </w:pPr>
            <w:r w:rsidRPr="005F7FF6">
              <w:rPr>
                <w:sz w:val="20"/>
                <w:szCs w:val="20"/>
              </w:rPr>
              <w:t>5 (1.3)</w:t>
            </w:r>
          </w:p>
        </w:tc>
      </w:tr>
      <w:tr w:rsidR="000461E7" w:rsidRPr="005F7FF6" w14:paraId="1986DBCE" w14:textId="77777777" w:rsidTr="00DA3A6A">
        <w:trPr>
          <w:trHeight w:val="227"/>
        </w:trPr>
        <w:tc>
          <w:tcPr>
            <w:tcW w:w="1571" w:type="pct"/>
          </w:tcPr>
          <w:p w14:paraId="39B3188E" w14:textId="77777777" w:rsidR="000461E7" w:rsidRPr="005F7FF6" w:rsidRDefault="000461E7" w:rsidP="005F7FF6">
            <w:pPr>
              <w:ind w:left="0" w:right="0"/>
              <w:rPr>
                <w:sz w:val="20"/>
                <w:szCs w:val="20"/>
              </w:rPr>
            </w:pPr>
            <w:r w:rsidRPr="005F7FF6">
              <w:rPr>
                <w:sz w:val="20"/>
                <w:szCs w:val="20"/>
              </w:rPr>
              <w:t>Hypertension</w:t>
            </w:r>
          </w:p>
        </w:tc>
        <w:tc>
          <w:tcPr>
            <w:tcW w:w="936" w:type="pct"/>
            <w:gridSpan w:val="2"/>
          </w:tcPr>
          <w:p w14:paraId="26C1CD10" w14:textId="77777777" w:rsidR="000461E7" w:rsidRPr="005F7FF6" w:rsidRDefault="000461E7" w:rsidP="005F7FF6">
            <w:pPr>
              <w:ind w:left="0" w:right="0"/>
              <w:rPr>
                <w:sz w:val="20"/>
                <w:szCs w:val="20"/>
              </w:rPr>
            </w:pPr>
            <w:r w:rsidRPr="005F7FF6">
              <w:rPr>
                <w:sz w:val="20"/>
                <w:szCs w:val="20"/>
              </w:rPr>
              <w:t>5 (2.6)</w:t>
            </w:r>
          </w:p>
        </w:tc>
        <w:tc>
          <w:tcPr>
            <w:tcW w:w="842" w:type="pct"/>
          </w:tcPr>
          <w:p w14:paraId="73E4B19B" w14:textId="77777777" w:rsidR="000461E7" w:rsidRPr="005F7FF6" w:rsidRDefault="000461E7" w:rsidP="005F7FF6">
            <w:pPr>
              <w:ind w:left="0" w:right="0"/>
              <w:rPr>
                <w:sz w:val="20"/>
                <w:szCs w:val="20"/>
              </w:rPr>
            </w:pPr>
            <w:r w:rsidRPr="005F7FF6">
              <w:rPr>
                <w:sz w:val="20"/>
                <w:szCs w:val="20"/>
              </w:rPr>
              <w:t>2 (1.0)</w:t>
            </w:r>
          </w:p>
        </w:tc>
        <w:tc>
          <w:tcPr>
            <w:tcW w:w="895" w:type="pct"/>
          </w:tcPr>
          <w:p w14:paraId="277E7C80" w14:textId="77777777" w:rsidR="000461E7" w:rsidRPr="005F7FF6" w:rsidRDefault="000461E7" w:rsidP="005F7FF6">
            <w:pPr>
              <w:ind w:left="0" w:right="0"/>
              <w:rPr>
                <w:sz w:val="20"/>
                <w:szCs w:val="20"/>
              </w:rPr>
            </w:pPr>
            <w:r w:rsidRPr="005F7FF6">
              <w:rPr>
                <w:sz w:val="20"/>
                <w:szCs w:val="20"/>
              </w:rPr>
              <w:t>3 (1.7)</w:t>
            </w:r>
          </w:p>
        </w:tc>
        <w:tc>
          <w:tcPr>
            <w:tcW w:w="756" w:type="pct"/>
          </w:tcPr>
          <w:p w14:paraId="3A7AF146" w14:textId="77777777" w:rsidR="000461E7" w:rsidRPr="005F7FF6" w:rsidRDefault="000461E7" w:rsidP="005F7FF6">
            <w:pPr>
              <w:ind w:left="0" w:right="0"/>
              <w:rPr>
                <w:sz w:val="20"/>
                <w:szCs w:val="20"/>
              </w:rPr>
            </w:pPr>
            <w:r w:rsidRPr="005F7FF6">
              <w:rPr>
                <w:sz w:val="20"/>
                <w:szCs w:val="20"/>
              </w:rPr>
              <w:t>5 (1.3)</w:t>
            </w:r>
          </w:p>
        </w:tc>
      </w:tr>
      <w:tr w:rsidR="000461E7" w:rsidRPr="005F7FF6" w14:paraId="716DFB91" w14:textId="77777777" w:rsidTr="00DA3A6A">
        <w:trPr>
          <w:trHeight w:val="227"/>
        </w:trPr>
        <w:tc>
          <w:tcPr>
            <w:tcW w:w="1571" w:type="pct"/>
          </w:tcPr>
          <w:p w14:paraId="65AB2B5A" w14:textId="77777777" w:rsidR="000461E7" w:rsidRPr="005F7FF6" w:rsidRDefault="000461E7" w:rsidP="005F7FF6">
            <w:pPr>
              <w:ind w:left="0" w:right="0"/>
              <w:rPr>
                <w:sz w:val="20"/>
                <w:szCs w:val="20"/>
              </w:rPr>
            </w:pPr>
            <w:r w:rsidRPr="005F7FF6">
              <w:rPr>
                <w:sz w:val="20"/>
                <w:szCs w:val="20"/>
              </w:rPr>
              <w:t>Bronchitis</w:t>
            </w:r>
          </w:p>
        </w:tc>
        <w:tc>
          <w:tcPr>
            <w:tcW w:w="936" w:type="pct"/>
            <w:gridSpan w:val="2"/>
          </w:tcPr>
          <w:p w14:paraId="72AAFA67" w14:textId="77777777" w:rsidR="000461E7" w:rsidRPr="005F7FF6" w:rsidRDefault="000461E7" w:rsidP="005F7FF6">
            <w:pPr>
              <w:ind w:left="0" w:right="0"/>
              <w:rPr>
                <w:sz w:val="20"/>
                <w:szCs w:val="20"/>
              </w:rPr>
            </w:pPr>
            <w:r w:rsidRPr="005F7FF6">
              <w:rPr>
                <w:sz w:val="20"/>
                <w:szCs w:val="20"/>
              </w:rPr>
              <w:t>1 (0.5)</w:t>
            </w:r>
          </w:p>
        </w:tc>
        <w:tc>
          <w:tcPr>
            <w:tcW w:w="842" w:type="pct"/>
          </w:tcPr>
          <w:p w14:paraId="2455320A" w14:textId="77777777" w:rsidR="000461E7" w:rsidRPr="005F7FF6" w:rsidRDefault="000461E7" w:rsidP="005F7FF6">
            <w:pPr>
              <w:ind w:left="0" w:right="0"/>
              <w:rPr>
                <w:sz w:val="20"/>
                <w:szCs w:val="20"/>
              </w:rPr>
            </w:pPr>
            <w:r w:rsidRPr="005F7FF6">
              <w:rPr>
                <w:sz w:val="20"/>
                <w:szCs w:val="20"/>
              </w:rPr>
              <w:t>3 (1.5)</w:t>
            </w:r>
          </w:p>
        </w:tc>
        <w:tc>
          <w:tcPr>
            <w:tcW w:w="895" w:type="pct"/>
          </w:tcPr>
          <w:p w14:paraId="736D5D68" w14:textId="77777777" w:rsidR="000461E7" w:rsidRPr="005F7FF6" w:rsidRDefault="000461E7" w:rsidP="005F7FF6">
            <w:pPr>
              <w:ind w:left="0" w:right="0"/>
              <w:rPr>
                <w:sz w:val="20"/>
                <w:szCs w:val="20"/>
              </w:rPr>
            </w:pPr>
            <w:r w:rsidRPr="005F7FF6">
              <w:rPr>
                <w:sz w:val="20"/>
                <w:szCs w:val="20"/>
              </w:rPr>
              <w:t>2 (1.1)</w:t>
            </w:r>
          </w:p>
        </w:tc>
        <w:tc>
          <w:tcPr>
            <w:tcW w:w="756" w:type="pct"/>
          </w:tcPr>
          <w:p w14:paraId="45A54C54" w14:textId="77777777" w:rsidR="000461E7" w:rsidRPr="005F7FF6" w:rsidRDefault="000461E7" w:rsidP="005F7FF6">
            <w:pPr>
              <w:ind w:left="0" w:right="0"/>
              <w:rPr>
                <w:sz w:val="20"/>
                <w:szCs w:val="20"/>
              </w:rPr>
            </w:pPr>
            <w:r w:rsidRPr="005F7FF6">
              <w:rPr>
                <w:sz w:val="20"/>
                <w:szCs w:val="20"/>
              </w:rPr>
              <w:t>5 (1.3)</w:t>
            </w:r>
          </w:p>
        </w:tc>
      </w:tr>
      <w:tr w:rsidR="000461E7" w:rsidRPr="005F7FF6" w14:paraId="73FCB945" w14:textId="77777777" w:rsidTr="00DA3A6A">
        <w:trPr>
          <w:trHeight w:val="227"/>
        </w:trPr>
        <w:tc>
          <w:tcPr>
            <w:tcW w:w="1571" w:type="pct"/>
          </w:tcPr>
          <w:p w14:paraId="2358EDB4" w14:textId="77777777" w:rsidR="000461E7" w:rsidRPr="005F7FF6" w:rsidRDefault="000461E7" w:rsidP="005F7FF6">
            <w:pPr>
              <w:ind w:left="0" w:right="0"/>
              <w:rPr>
                <w:sz w:val="20"/>
                <w:szCs w:val="20"/>
              </w:rPr>
            </w:pPr>
            <w:r w:rsidRPr="005F7FF6">
              <w:rPr>
                <w:sz w:val="20"/>
                <w:szCs w:val="20"/>
              </w:rPr>
              <w:t>Musculoskeletal pain</w:t>
            </w:r>
          </w:p>
        </w:tc>
        <w:tc>
          <w:tcPr>
            <w:tcW w:w="936" w:type="pct"/>
            <w:gridSpan w:val="2"/>
          </w:tcPr>
          <w:p w14:paraId="25A3C7F7" w14:textId="77777777" w:rsidR="000461E7" w:rsidRPr="005F7FF6" w:rsidRDefault="000461E7" w:rsidP="005F7FF6">
            <w:pPr>
              <w:ind w:left="0" w:right="0"/>
              <w:rPr>
                <w:sz w:val="20"/>
                <w:szCs w:val="20"/>
              </w:rPr>
            </w:pPr>
            <w:r w:rsidRPr="005F7FF6">
              <w:rPr>
                <w:sz w:val="20"/>
                <w:szCs w:val="20"/>
              </w:rPr>
              <w:t>2 (1.1)</w:t>
            </w:r>
          </w:p>
        </w:tc>
        <w:tc>
          <w:tcPr>
            <w:tcW w:w="842" w:type="pct"/>
          </w:tcPr>
          <w:p w14:paraId="173B23B4" w14:textId="77777777" w:rsidR="000461E7" w:rsidRPr="005F7FF6" w:rsidRDefault="000461E7" w:rsidP="005F7FF6">
            <w:pPr>
              <w:ind w:left="0" w:right="0"/>
              <w:rPr>
                <w:sz w:val="20"/>
                <w:szCs w:val="20"/>
              </w:rPr>
            </w:pPr>
            <w:r w:rsidRPr="005F7FF6">
              <w:rPr>
                <w:sz w:val="20"/>
                <w:szCs w:val="20"/>
              </w:rPr>
              <w:t>4 (2.1)</w:t>
            </w:r>
          </w:p>
        </w:tc>
        <w:tc>
          <w:tcPr>
            <w:tcW w:w="895" w:type="pct"/>
          </w:tcPr>
          <w:p w14:paraId="52D5631E" w14:textId="77777777" w:rsidR="000461E7" w:rsidRPr="005F7FF6" w:rsidRDefault="000461E7" w:rsidP="005F7FF6">
            <w:pPr>
              <w:ind w:left="0" w:right="0"/>
              <w:rPr>
                <w:sz w:val="20"/>
                <w:szCs w:val="20"/>
              </w:rPr>
            </w:pPr>
            <w:r w:rsidRPr="005F7FF6">
              <w:rPr>
                <w:sz w:val="20"/>
                <w:szCs w:val="20"/>
              </w:rPr>
              <w:t>1 (0.6)</w:t>
            </w:r>
          </w:p>
        </w:tc>
        <w:tc>
          <w:tcPr>
            <w:tcW w:w="756" w:type="pct"/>
          </w:tcPr>
          <w:p w14:paraId="5F484E9D" w14:textId="77777777" w:rsidR="000461E7" w:rsidRPr="005F7FF6" w:rsidRDefault="000461E7" w:rsidP="005F7FF6">
            <w:pPr>
              <w:ind w:left="0" w:right="0"/>
              <w:rPr>
                <w:sz w:val="20"/>
                <w:szCs w:val="20"/>
              </w:rPr>
            </w:pPr>
            <w:r w:rsidRPr="005F7FF6">
              <w:rPr>
                <w:sz w:val="20"/>
                <w:szCs w:val="20"/>
              </w:rPr>
              <w:t>5 (1.3)</w:t>
            </w:r>
          </w:p>
        </w:tc>
      </w:tr>
      <w:tr w:rsidR="000461E7" w:rsidRPr="005F7FF6" w14:paraId="465097CD" w14:textId="77777777" w:rsidTr="00DA3A6A">
        <w:trPr>
          <w:trHeight w:val="227"/>
        </w:trPr>
        <w:tc>
          <w:tcPr>
            <w:tcW w:w="1571" w:type="pct"/>
          </w:tcPr>
          <w:p w14:paraId="415C7CE9" w14:textId="77777777" w:rsidR="000461E7" w:rsidRPr="005F7FF6" w:rsidRDefault="000461E7" w:rsidP="005F7FF6">
            <w:pPr>
              <w:ind w:left="0" w:right="0"/>
              <w:rPr>
                <w:sz w:val="20"/>
                <w:szCs w:val="20"/>
              </w:rPr>
            </w:pPr>
            <w:r w:rsidRPr="005F7FF6">
              <w:rPr>
                <w:sz w:val="20"/>
                <w:szCs w:val="20"/>
              </w:rPr>
              <w:t>Alanine aminotransferase increased</w:t>
            </w:r>
          </w:p>
        </w:tc>
        <w:tc>
          <w:tcPr>
            <w:tcW w:w="936" w:type="pct"/>
            <w:gridSpan w:val="2"/>
          </w:tcPr>
          <w:p w14:paraId="1430BF67" w14:textId="77777777" w:rsidR="000461E7" w:rsidRPr="005F7FF6" w:rsidRDefault="000461E7" w:rsidP="005F7FF6">
            <w:pPr>
              <w:ind w:left="0" w:right="0"/>
              <w:rPr>
                <w:sz w:val="20"/>
                <w:szCs w:val="20"/>
              </w:rPr>
            </w:pPr>
            <w:r w:rsidRPr="005F7FF6">
              <w:rPr>
                <w:sz w:val="20"/>
                <w:szCs w:val="20"/>
              </w:rPr>
              <w:t>1 (0.5)</w:t>
            </w:r>
          </w:p>
        </w:tc>
        <w:tc>
          <w:tcPr>
            <w:tcW w:w="842" w:type="pct"/>
          </w:tcPr>
          <w:p w14:paraId="2D2B9435" w14:textId="77777777" w:rsidR="000461E7" w:rsidRPr="005F7FF6" w:rsidRDefault="000461E7" w:rsidP="005F7FF6">
            <w:pPr>
              <w:ind w:left="0" w:right="0"/>
              <w:rPr>
                <w:sz w:val="20"/>
                <w:szCs w:val="20"/>
              </w:rPr>
            </w:pPr>
            <w:r w:rsidRPr="005F7FF6">
              <w:rPr>
                <w:sz w:val="20"/>
                <w:szCs w:val="20"/>
              </w:rPr>
              <w:t>5 (2.6)</w:t>
            </w:r>
          </w:p>
        </w:tc>
        <w:tc>
          <w:tcPr>
            <w:tcW w:w="895" w:type="pct"/>
          </w:tcPr>
          <w:p w14:paraId="7BE17B29" w14:textId="77777777" w:rsidR="000461E7" w:rsidRPr="005F7FF6" w:rsidRDefault="000461E7" w:rsidP="005F7FF6">
            <w:pPr>
              <w:ind w:left="0" w:right="0"/>
              <w:rPr>
                <w:sz w:val="20"/>
                <w:szCs w:val="20"/>
              </w:rPr>
            </w:pPr>
            <w:r w:rsidRPr="005F7FF6">
              <w:rPr>
                <w:sz w:val="20"/>
                <w:szCs w:val="20"/>
              </w:rPr>
              <w:t>0</w:t>
            </w:r>
          </w:p>
        </w:tc>
        <w:tc>
          <w:tcPr>
            <w:tcW w:w="756" w:type="pct"/>
          </w:tcPr>
          <w:p w14:paraId="143EBFCB" w14:textId="77777777" w:rsidR="000461E7" w:rsidRPr="005F7FF6" w:rsidRDefault="000461E7" w:rsidP="005F7FF6">
            <w:pPr>
              <w:ind w:left="0" w:right="0"/>
              <w:rPr>
                <w:sz w:val="20"/>
                <w:szCs w:val="20"/>
              </w:rPr>
            </w:pPr>
            <w:r w:rsidRPr="005F7FF6">
              <w:rPr>
                <w:sz w:val="20"/>
                <w:szCs w:val="20"/>
              </w:rPr>
              <w:t>5 (1.3)</w:t>
            </w:r>
          </w:p>
        </w:tc>
      </w:tr>
      <w:tr w:rsidR="000461E7" w:rsidRPr="005F7FF6" w14:paraId="7E733C4B" w14:textId="77777777" w:rsidTr="00DA3A6A">
        <w:trPr>
          <w:trHeight w:val="227"/>
        </w:trPr>
        <w:tc>
          <w:tcPr>
            <w:tcW w:w="1571" w:type="pct"/>
          </w:tcPr>
          <w:p w14:paraId="1CDC7123" w14:textId="77777777" w:rsidR="000461E7" w:rsidRPr="005F7FF6" w:rsidRDefault="000461E7" w:rsidP="005F7FF6">
            <w:pPr>
              <w:ind w:left="0" w:right="0"/>
              <w:rPr>
                <w:sz w:val="20"/>
                <w:szCs w:val="20"/>
              </w:rPr>
            </w:pPr>
            <w:r w:rsidRPr="005F7FF6">
              <w:rPr>
                <w:sz w:val="20"/>
                <w:szCs w:val="20"/>
              </w:rPr>
              <w:t>Oropharyngeal pain</w:t>
            </w:r>
            <w:r w:rsidRPr="005F7FF6">
              <w:rPr>
                <w:sz w:val="20"/>
                <w:szCs w:val="20"/>
                <w:vertAlign w:val="superscript"/>
              </w:rPr>
              <w:t>b</w:t>
            </w:r>
          </w:p>
        </w:tc>
        <w:tc>
          <w:tcPr>
            <w:tcW w:w="936" w:type="pct"/>
            <w:gridSpan w:val="2"/>
          </w:tcPr>
          <w:p w14:paraId="4FED0123" w14:textId="77777777" w:rsidR="000461E7" w:rsidRPr="005F7FF6" w:rsidRDefault="000461E7" w:rsidP="005F7FF6">
            <w:pPr>
              <w:ind w:left="0" w:right="0"/>
              <w:rPr>
                <w:sz w:val="20"/>
                <w:szCs w:val="20"/>
              </w:rPr>
            </w:pPr>
            <w:r w:rsidRPr="005F7FF6">
              <w:rPr>
                <w:sz w:val="20"/>
                <w:szCs w:val="20"/>
              </w:rPr>
              <w:t>0</w:t>
            </w:r>
          </w:p>
        </w:tc>
        <w:tc>
          <w:tcPr>
            <w:tcW w:w="842" w:type="pct"/>
          </w:tcPr>
          <w:p w14:paraId="5251891C" w14:textId="77777777" w:rsidR="000461E7" w:rsidRPr="005F7FF6" w:rsidRDefault="000461E7" w:rsidP="005F7FF6">
            <w:pPr>
              <w:ind w:left="0" w:right="0"/>
              <w:rPr>
                <w:sz w:val="20"/>
                <w:szCs w:val="20"/>
              </w:rPr>
            </w:pPr>
            <w:r w:rsidRPr="005F7FF6">
              <w:rPr>
                <w:sz w:val="20"/>
                <w:szCs w:val="20"/>
              </w:rPr>
              <w:t>5 (2.6)a</w:t>
            </w:r>
          </w:p>
        </w:tc>
        <w:tc>
          <w:tcPr>
            <w:tcW w:w="895" w:type="pct"/>
          </w:tcPr>
          <w:p w14:paraId="1D05D882" w14:textId="77777777" w:rsidR="000461E7" w:rsidRPr="005F7FF6" w:rsidRDefault="000461E7" w:rsidP="005F7FF6">
            <w:pPr>
              <w:ind w:left="0" w:right="0"/>
              <w:rPr>
                <w:sz w:val="20"/>
                <w:szCs w:val="20"/>
              </w:rPr>
            </w:pPr>
            <w:r w:rsidRPr="005F7FF6">
              <w:rPr>
                <w:sz w:val="20"/>
                <w:szCs w:val="20"/>
              </w:rPr>
              <w:t>0</w:t>
            </w:r>
          </w:p>
        </w:tc>
        <w:tc>
          <w:tcPr>
            <w:tcW w:w="756" w:type="pct"/>
          </w:tcPr>
          <w:p w14:paraId="044FA4D5" w14:textId="77777777" w:rsidR="000461E7" w:rsidRPr="005F7FF6" w:rsidRDefault="000461E7" w:rsidP="005F7FF6">
            <w:pPr>
              <w:ind w:left="0" w:right="0"/>
              <w:rPr>
                <w:sz w:val="20"/>
                <w:szCs w:val="20"/>
              </w:rPr>
            </w:pPr>
            <w:r w:rsidRPr="005F7FF6">
              <w:rPr>
                <w:sz w:val="20"/>
                <w:szCs w:val="20"/>
              </w:rPr>
              <w:t>5 (1.3)</w:t>
            </w:r>
          </w:p>
        </w:tc>
      </w:tr>
      <w:tr w:rsidR="000461E7" w:rsidRPr="005F7FF6" w14:paraId="22628319" w14:textId="77777777" w:rsidTr="00DA3A6A">
        <w:trPr>
          <w:trHeight w:val="227"/>
        </w:trPr>
        <w:tc>
          <w:tcPr>
            <w:tcW w:w="1571" w:type="pct"/>
          </w:tcPr>
          <w:p w14:paraId="25DCFCF0" w14:textId="77777777" w:rsidR="000461E7" w:rsidRPr="005F7FF6" w:rsidRDefault="000461E7" w:rsidP="005F7FF6">
            <w:pPr>
              <w:ind w:left="0" w:right="0"/>
              <w:rPr>
                <w:sz w:val="20"/>
                <w:szCs w:val="20"/>
              </w:rPr>
            </w:pPr>
            <w:r w:rsidRPr="005F7FF6">
              <w:rPr>
                <w:sz w:val="20"/>
                <w:szCs w:val="20"/>
              </w:rPr>
              <w:t>Vulvovaginal mycotic infection</w:t>
            </w:r>
            <w:r w:rsidRPr="005F7FF6">
              <w:rPr>
                <w:sz w:val="20"/>
                <w:szCs w:val="20"/>
                <w:vertAlign w:val="superscript"/>
              </w:rPr>
              <w:t>d</w:t>
            </w:r>
          </w:p>
        </w:tc>
        <w:tc>
          <w:tcPr>
            <w:tcW w:w="936" w:type="pct"/>
            <w:gridSpan w:val="2"/>
          </w:tcPr>
          <w:p w14:paraId="29E0480C" w14:textId="77777777" w:rsidR="000461E7" w:rsidRPr="005F7FF6" w:rsidRDefault="000461E7" w:rsidP="005F7FF6">
            <w:pPr>
              <w:ind w:left="0" w:right="0"/>
              <w:rPr>
                <w:sz w:val="20"/>
                <w:szCs w:val="20"/>
              </w:rPr>
            </w:pPr>
            <w:r w:rsidRPr="005F7FF6">
              <w:rPr>
                <w:sz w:val="20"/>
                <w:szCs w:val="20"/>
              </w:rPr>
              <w:t>0</w:t>
            </w:r>
          </w:p>
        </w:tc>
        <w:tc>
          <w:tcPr>
            <w:tcW w:w="842" w:type="pct"/>
          </w:tcPr>
          <w:p w14:paraId="1C38CB6E" w14:textId="77777777" w:rsidR="000461E7" w:rsidRPr="005F7FF6" w:rsidRDefault="000461E7" w:rsidP="005F7FF6">
            <w:pPr>
              <w:ind w:left="0" w:right="0"/>
              <w:rPr>
                <w:sz w:val="20"/>
                <w:szCs w:val="20"/>
              </w:rPr>
            </w:pPr>
            <w:r w:rsidRPr="005F7FF6">
              <w:rPr>
                <w:sz w:val="20"/>
                <w:szCs w:val="20"/>
              </w:rPr>
              <w:t>0</w:t>
            </w:r>
          </w:p>
        </w:tc>
        <w:tc>
          <w:tcPr>
            <w:tcW w:w="895" w:type="pct"/>
          </w:tcPr>
          <w:p w14:paraId="49E0F0FC" w14:textId="77777777" w:rsidR="000461E7" w:rsidRPr="005F7FF6" w:rsidRDefault="000461E7" w:rsidP="005F7FF6">
            <w:pPr>
              <w:ind w:left="0" w:right="0"/>
              <w:rPr>
                <w:sz w:val="20"/>
                <w:szCs w:val="20"/>
              </w:rPr>
            </w:pPr>
            <w:r w:rsidRPr="005F7FF6">
              <w:rPr>
                <w:sz w:val="20"/>
                <w:szCs w:val="20"/>
              </w:rPr>
              <w:t>1 (2.4)</w:t>
            </w:r>
          </w:p>
        </w:tc>
        <w:tc>
          <w:tcPr>
            <w:tcW w:w="756" w:type="pct"/>
          </w:tcPr>
          <w:p w14:paraId="5589CBF6" w14:textId="77777777" w:rsidR="000461E7" w:rsidRPr="005F7FF6" w:rsidRDefault="000461E7" w:rsidP="005F7FF6">
            <w:pPr>
              <w:ind w:left="0" w:right="0"/>
              <w:rPr>
                <w:sz w:val="20"/>
                <w:szCs w:val="20"/>
              </w:rPr>
            </w:pPr>
            <w:r w:rsidRPr="005F7FF6">
              <w:rPr>
                <w:sz w:val="20"/>
                <w:szCs w:val="20"/>
              </w:rPr>
              <w:t>1 (1.3)</w:t>
            </w:r>
          </w:p>
        </w:tc>
      </w:tr>
      <w:tr w:rsidR="000461E7" w:rsidRPr="005F7FF6" w14:paraId="5EF5BDFD" w14:textId="77777777" w:rsidTr="00DA3A6A">
        <w:trPr>
          <w:trHeight w:val="227"/>
        </w:trPr>
        <w:tc>
          <w:tcPr>
            <w:tcW w:w="1571" w:type="pct"/>
          </w:tcPr>
          <w:p w14:paraId="384C0AAF" w14:textId="77777777" w:rsidR="000461E7" w:rsidRPr="005F7FF6" w:rsidRDefault="000461E7" w:rsidP="005F7FF6">
            <w:pPr>
              <w:ind w:left="0" w:right="0"/>
              <w:rPr>
                <w:sz w:val="20"/>
                <w:szCs w:val="20"/>
              </w:rPr>
            </w:pPr>
            <w:r w:rsidRPr="005F7FF6">
              <w:rPr>
                <w:sz w:val="20"/>
                <w:szCs w:val="20"/>
              </w:rPr>
              <w:t>Dry eye</w:t>
            </w:r>
          </w:p>
        </w:tc>
        <w:tc>
          <w:tcPr>
            <w:tcW w:w="936" w:type="pct"/>
            <w:gridSpan w:val="2"/>
          </w:tcPr>
          <w:p w14:paraId="5842A2AE" w14:textId="77777777" w:rsidR="000461E7" w:rsidRPr="005F7FF6" w:rsidRDefault="000461E7" w:rsidP="005F7FF6">
            <w:pPr>
              <w:ind w:left="0" w:right="0"/>
              <w:rPr>
                <w:sz w:val="20"/>
                <w:szCs w:val="20"/>
              </w:rPr>
            </w:pPr>
            <w:r w:rsidRPr="005F7FF6">
              <w:rPr>
                <w:sz w:val="20"/>
                <w:szCs w:val="20"/>
              </w:rPr>
              <w:t>1 (0.5)</w:t>
            </w:r>
          </w:p>
        </w:tc>
        <w:tc>
          <w:tcPr>
            <w:tcW w:w="842" w:type="pct"/>
          </w:tcPr>
          <w:p w14:paraId="0F67D584" w14:textId="77777777" w:rsidR="000461E7" w:rsidRPr="005F7FF6" w:rsidRDefault="000461E7" w:rsidP="005F7FF6">
            <w:pPr>
              <w:ind w:left="0" w:right="0"/>
              <w:rPr>
                <w:sz w:val="20"/>
                <w:szCs w:val="20"/>
              </w:rPr>
            </w:pPr>
            <w:r w:rsidRPr="005F7FF6">
              <w:rPr>
                <w:sz w:val="20"/>
                <w:szCs w:val="20"/>
              </w:rPr>
              <w:t>1 (0.5)</w:t>
            </w:r>
          </w:p>
        </w:tc>
        <w:tc>
          <w:tcPr>
            <w:tcW w:w="895" w:type="pct"/>
          </w:tcPr>
          <w:p w14:paraId="1D76D670" w14:textId="77777777" w:rsidR="000461E7" w:rsidRPr="005F7FF6" w:rsidRDefault="000461E7" w:rsidP="005F7FF6">
            <w:pPr>
              <w:ind w:left="0" w:right="0"/>
              <w:rPr>
                <w:sz w:val="20"/>
                <w:szCs w:val="20"/>
              </w:rPr>
            </w:pPr>
            <w:r w:rsidRPr="005F7FF6">
              <w:rPr>
                <w:sz w:val="20"/>
                <w:szCs w:val="20"/>
              </w:rPr>
              <w:t>3 (1.7)</w:t>
            </w:r>
          </w:p>
        </w:tc>
        <w:tc>
          <w:tcPr>
            <w:tcW w:w="756" w:type="pct"/>
          </w:tcPr>
          <w:p w14:paraId="730D43FA" w14:textId="77777777" w:rsidR="000461E7" w:rsidRPr="005F7FF6" w:rsidRDefault="000461E7" w:rsidP="005F7FF6">
            <w:pPr>
              <w:ind w:left="0" w:right="0"/>
              <w:rPr>
                <w:sz w:val="20"/>
                <w:szCs w:val="20"/>
              </w:rPr>
            </w:pPr>
            <w:r w:rsidRPr="005F7FF6">
              <w:rPr>
                <w:sz w:val="20"/>
                <w:szCs w:val="20"/>
              </w:rPr>
              <w:t>4 (1.1)</w:t>
            </w:r>
          </w:p>
        </w:tc>
      </w:tr>
      <w:tr w:rsidR="000461E7" w:rsidRPr="005F7FF6" w14:paraId="5F6A686D" w14:textId="77777777" w:rsidTr="00DA3A6A">
        <w:trPr>
          <w:trHeight w:val="227"/>
        </w:trPr>
        <w:tc>
          <w:tcPr>
            <w:tcW w:w="1571" w:type="pct"/>
          </w:tcPr>
          <w:p w14:paraId="1486699B" w14:textId="77777777" w:rsidR="000461E7" w:rsidRPr="005F7FF6" w:rsidRDefault="000461E7" w:rsidP="005F7FF6">
            <w:pPr>
              <w:ind w:left="0" w:right="0"/>
              <w:rPr>
                <w:sz w:val="20"/>
                <w:szCs w:val="20"/>
              </w:rPr>
            </w:pPr>
            <w:r w:rsidRPr="005F7FF6">
              <w:rPr>
                <w:sz w:val="20"/>
                <w:szCs w:val="20"/>
              </w:rPr>
              <w:lastRenderedPageBreak/>
              <w:t>Rhinorrhoea</w:t>
            </w:r>
          </w:p>
        </w:tc>
        <w:tc>
          <w:tcPr>
            <w:tcW w:w="936" w:type="pct"/>
            <w:gridSpan w:val="2"/>
          </w:tcPr>
          <w:p w14:paraId="038E18DC" w14:textId="77777777" w:rsidR="000461E7" w:rsidRPr="005F7FF6" w:rsidRDefault="000461E7" w:rsidP="005F7FF6">
            <w:pPr>
              <w:ind w:left="0" w:right="0"/>
              <w:rPr>
                <w:sz w:val="20"/>
                <w:szCs w:val="20"/>
              </w:rPr>
            </w:pPr>
            <w:r w:rsidRPr="005F7FF6">
              <w:rPr>
                <w:sz w:val="20"/>
                <w:szCs w:val="20"/>
              </w:rPr>
              <w:t>1 (0.5)</w:t>
            </w:r>
          </w:p>
        </w:tc>
        <w:tc>
          <w:tcPr>
            <w:tcW w:w="842" w:type="pct"/>
          </w:tcPr>
          <w:p w14:paraId="7D5C5036" w14:textId="77777777" w:rsidR="000461E7" w:rsidRPr="005F7FF6" w:rsidRDefault="000461E7" w:rsidP="005F7FF6">
            <w:pPr>
              <w:ind w:left="0" w:right="0"/>
              <w:rPr>
                <w:sz w:val="20"/>
                <w:szCs w:val="20"/>
              </w:rPr>
            </w:pPr>
            <w:r w:rsidRPr="005F7FF6">
              <w:rPr>
                <w:sz w:val="20"/>
                <w:szCs w:val="20"/>
              </w:rPr>
              <w:t>1 (0.5)</w:t>
            </w:r>
          </w:p>
        </w:tc>
        <w:tc>
          <w:tcPr>
            <w:tcW w:w="895" w:type="pct"/>
          </w:tcPr>
          <w:p w14:paraId="597E32D5" w14:textId="77777777" w:rsidR="000461E7" w:rsidRPr="005F7FF6" w:rsidRDefault="000461E7" w:rsidP="005F7FF6">
            <w:pPr>
              <w:ind w:left="0" w:right="0"/>
              <w:rPr>
                <w:sz w:val="20"/>
                <w:szCs w:val="20"/>
              </w:rPr>
            </w:pPr>
            <w:r w:rsidRPr="005F7FF6">
              <w:rPr>
                <w:sz w:val="20"/>
                <w:szCs w:val="20"/>
              </w:rPr>
              <w:t>3 (1.7)</w:t>
            </w:r>
          </w:p>
        </w:tc>
        <w:tc>
          <w:tcPr>
            <w:tcW w:w="756" w:type="pct"/>
          </w:tcPr>
          <w:p w14:paraId="59710219" w14:textId="77777777" w:rsidR="000461E7" w:rsidRPr="005F7FF6" w:rsidRDefault="000461E7" w:rsidP="005F7FF6">
            <w:pPr>
              <w:ind w:left="0" w:right="0"/>
              <w:rPr>
                <w:sz w:val="20"/>
                <w:szCs w:val="20"/>
              </w:rPr>
            </w:pPr>
            <w:r w:rsidRPr="005F7FF6">
              <w:rPr>
                <w:sz w:val="20"/>
                <w:szCs w:val="20"/>
              </w:rPr>
              <w:t>4 (1.1)</w:t>
            </w:r>
          </w:p>
        </w:tc>
      </w:tr>
      <w:tr w:rsidR="000461E7" w:rsidRPr="005F7FF6" w14:paraId="01744DA0" w14:textId="77777777" w:rsidTr="00DA3A6A">
        <w:trPr>
          <w:trHeight w:val="227"/>
        </w:trPr>
        <w:tc>
          <w:tcPr>
            <w:tcW w:w="1571" w:type="pct"/>
          </w:tcPr>
          <w:p w14:paraId="1034F44B" w14:textId="77777777" w:rsidR="000461E7" w:rsidRPr="005F7FF6" w:rsidRDefault="000461E7" w:rsidP="005F7FF6">
            <w:pPr>
              <w:ind w:left="0" w:right="0"/>
              <w:rPr>
                <w:sz w:val="20"/>
                <w:szCs w:val="20"/>
              </w:rPr>
            </w:pPr>
            <w:r w:rsidRPr="005F7FF6">
              <w:rPr>
                <w:sz w:val="20"/>
                <w:szCs w:val="20"/>
              </w:rPr>
              <w:t>Dyspepsia</w:t>
            </w:r>
          </w:p>
        </w:tc>
        <w:tc>
          <w:tcPr>
            <w:tcW w:w="936" w:type="pct"/>
            <w:gridSpan w:val="2"/>
          </w:tcPr>
          <w:p w14:paraId="5A8C9ACA" w14:textId="77777777" w:rsidR="000461E7" w:rsidRPr="005F7FF6" w:rsidRDefault="000461E7" w:rsidP="005F7FF6">
            <w:pPr>
              <w:ind w:left="0" w:right="0"/>
              <w:rPr>
                <w:sz w:val="20"/>
                <w:szCs w:val="20"/>
              </w:rPr>
            </w:pPr>
            <w:r w:rsidRPr="005F7FF6">
              <w:rPr>
                <w:sz w:val="20"/>
                <w:szCs w:val="20"/>
              </w:rPr>
              <w:t>0</w:t>
            </w:r>
          </w:p>
        </w:tc>
        <w:tc>
          <w:tcPr>
            <w:tcW w:w="842" w:type="pct"/>
          </w:tcPr>
          <w:p w14:paraId="5F1B2467" w14:textId="77777777" w:rsidR="000461E7" w:rsidRPr="005F7FF6" w:rsidRDefault="000461E7" w:rsidP="005F7FF6">
            <w:pPr>
              <w:ind w:left="0" w:right="0"/>
              <w:rPr>
                <w:sz w:val="20"/>
                <w:szCs w:val="20"/>
              </w:rPr>
            </w:pPr>
            <w:r w:rsidRPr="005F7FF6">
              <w:rPr>
                <w:sz w:val="20"/>
                <w:szCs w:val="20"/>
              </w:rPr>
              <w:t>1 (0.5)</w:t>
            </w:r>
          </w:p>
        </w:tc>
        <w:tc>
          <w:tcPr>
            <w:tcW w:w="895" w:type="pct"/>
          </w:tcPr>
          <w:p w14:paraId="2F506846" w14:textId="77777777" w:rsidR="000461E7" w:rsidRPr="005F7FF6" w:rsidRDefault="000461E7" w:rsidP="005F7FF6">
            <w:pPr>
              <w:ind w:left="0" w:right="0"/>
              <w:rPr>
                <w:sz w:val="20"/>
                <w:szCs w:val="20"/>
              </w:rPr>
            </w:pPr>
            <w:r w:rsidRPr="005F7FF6">
              <w:rPr>
                <w:sz w:val="20"/>
                <w:szCs w:val="20"/>
              </w:rPr>
              <w:t>3 (1.7)</w:t>
            </w:r>
          </w:p>
        </w:tc>
        <w:tc>
          <w:tcPr>
            <w:tcW w:w="756" w:type="pct"/>
          </w:tcPr>
          <w:p w14:paraId="3ABD0BA3" w14:textId="77777777" w:rsidR="000461E7" w:rsidRPr="005F7FF6" w:rsidRDefault="000461E7" w:rsidP="005F7FF6">
            <w:pPr>
              <w:ind w:left="0" w:right="0"/>
              <w:rPr>
                <w:sz w:val="20"/>
                <w:szCs w:val="20"/>
              </w:rPr>
            </w:pPr>
            <w:r w:rsidRPr="005F7FF6">
              <w:rPr>
                <w:sz w:val="20"/>
                <w:szCs w:val="20"/>
              </w:rPr>
              <w:t>4 (1.1)</w:t>
            </w:r>
          </w:p>
        </w:tc>
      </w:tr>
      <w:tr w:rsidR="000461E7" w:rsidRPr="005F7FF6" w14:paraId="5E2AFE3C" w14:textId="77777777" w:rsidTr="00DA3A6A">
        <w:trPr>
          <w:trHeight w:val="227"/>
        </w:trPr>
        <w:tc>
          <w:tcPr>
            <w:tcW w:w="1571" w:type="pct"/>
          </w:tcPr>
          <w:p w14:paraId="65D2ABB2" w14:textId="77777777" w:rsidR="000461E7" w:rsidRPr="005F7FF6" w:rsidRDefault="000461E7" w:rsidP="005F7FF6">
            <w:pPr>
              <w:ind w:left="0" w:right="0"/>
              <w:rPr>
                <w:sz w:val="20"/>
                <w:szCs w:val="20"/>
              </w:rPr>
            </w:pPr>
            <w:r w:rsidRPr="005F7FF6">
              <w:rPr>
                <w:sz w:val="20"/>
                <w:szCs w:val="20"/>
              </w:rPr>
              <w:t>Malaise</w:t>
            </w:r>
          </w:p>
        </w:tc>
        <w:tc>
          <w:tcPr>
            <w:tcW w:w="936" w:type="pct"/>
            <w:gridSpan w:val="2"/>
          </w:tcPr>
          <w:p w14:paraId="5E11AAD3" w14:textId="77777777" w:rsidR="000461E7" w:rsidRPr="005F7FF6" w:rsidRDefault="000461E7" w:rsidP="005F7FF6">
            <w:pPr>
              <w:ind w:left="0" w:right="0"/>
              <w:rPr>
                <w:sz w:val="20"/>
                <w:szCs w:val="20"/>
              </w:rPr>
            </w:pPr>
            <w:r w:rsidRPr="005F7FF6">
              <w:rPr>
                <w:sz w:val="20"/>
                <w:szCs w:val="20"/>
              </w:rPr>
              <w:t>0</w:t>
            </w:r>
          </w:p>
        </w:tc>
        <w:tc>
          <w:tcPr>
            <w:tcW w:w="842" w:type="pct"/>
          </w:tcPr>
          <w:p w14:paraId="66D339D1" w14:textId="77777777" w:rsidR="000461E7" w:rsidRPr="005F7FF6" w:rsidRDefault="000461E7" w:rsidP="005F7FF6">
            <w:pPr>
              <w:ind w:left="0" w:right="0"/>
              <w:rPr>
                <w:sz w:val="20"/>
                <w:szCs w:val="20"/>
              </w:rPr>
            </w:pPr>
            <w:r w:rsidRPr="005F7FF6">
              <w:rPr>
                <w:sz w:val="20"/>
                <w:szCs w:val="20"/>
              </w:rPr>
              <w:t>1 (0.5)</w:t>
            </w:r>
          </w:p>
        </w:tc>
        <w:tc>
          <w:tcPr>
            <w:tcW w:w="895" w:type="pct"/>
          </w:tcPr>
          <w:p w14:paraId="505DE69C" w14:textId="77777777" w:rsidR="000461E7" w:rsidRPr="005F7FF6" w:rsidRDefault="000461E7" w:rsidP="005F7FF6">
            <w:pPr>
              <w:ind w:left="0" w:right="0"/>
              <w:rPr>
                <w:sz w:val="20"/>
                <w:szCs w:val="20"/>
              </w:rPr>
            </w:pPr>
            <w:r w:rsidRPr="005F7FF6">
              <w:rPr>
                <w:sz w:val="20"/>
                <w:szCs w:val="20"/>
              </w:rPr>
              <w:t>3 (1.7)</w:t>
            </w:r>
          </w:p>
        </w:tc>
        <w:tc>
          <w:tcPr>
            <w:tcW w:w="756" w:type="pct"/>
          </w:tcPr>
          <w:p w14:paraId="3D64C6CA" w14:textId="77777777" w:rsidR="000461E7" w:rsidRPr="005F7FF6" w:rsidRDefault="000461E7" w:rsidP="005F7FF6">
            <w:pPr>
              <w:ind w:left="0" w:right="0"/>
              <w:rPr>
                <w:sz w:val="20"/>
                <w:szCs w:val="20"/>
              </w:rPr>
            </w:pPr>
            <w:r w:rsidRPr="005F7FF6">
              <w:rPr>
                <w:sz w:val="20"/>
                <w:szCs w:val="20"/>
              </w:rPr>
              <w:t>4 (1.1)</w:t>
            </w:r>
          </w:p>
        </w:tc>
      </w:tr>
      <w:tr w:rsidR="000461E7" w:rsidRPr="005F7FF6" w14:paraId="7B2C83EB" w14:textId="77777777" w:rsidTr="00DA3A6A">
        <w:trPr>
          <w:trHeight w:val="227"/>
        </w:trPr>
        <w:tc>
          <w:tcPr>
            <w:tcW w:w="1571" w:type="pct"/>
          </w:tcPr>
          <w:p w14:paraId="32682F3F" w14:textId="77777777" w:rsidR="000461E7" w:rsidRPr="005F7FF6" w:rsidRDefault="000461E7" w:rsidP="005F7FF6">
            <w:pPr>
              <w:ind w:left="0" w:right="0"/>
              <w:rPr>
                <w:sz w:val="20"/>
                <w:szCs w:val="20"/>
              </w:rPr>
            </w:pPr>
            <w:r w:rsidRPr="005F7FF6">
              <w:rPr>
                <w:sz w:val="20"/>
                <w:szCs w:val="20"/>
              </w:rPr>
              <w:t>Urinary tract infection</w:t>
            </w:r>
          </w:p>
        </w:tc>
        <w:tc>
          <w:tcPr>
            <w:tcW w:w="936" w:type="pct"/>
            <w:gridSpan w:val="2"/>
          </w:tcPr>
          <w:p w14:paraId="61E9497E" w14:textId="77777777" w:rsidR="000461E7" w:rsidRPr="005F7FF6" w:rsidRDefault="000461E7" w:rsidP="005F7FF6">
            <w:pPr>
              <w:ind w:left="0" w:right="0"/>
              <w:rPr>
                <w:sz w:val="20"/>
                <w:szCs w:val="20"/>
              </w:rPr>
            </w:pPr>
            <w:r w:rsidRPr="005F7FF6">
              <w:rPr>
                <w:sz w:val="20"/>
                <w:szCs w:val="20"/>
              </w:rPr>
              <w:t>0</w:t>
            </w:r>
          </w:p>
        </w:tc>
        <w:tc>
          <w:tcPr>
            <w:tcW w:w="842" w:type="pct"/>
          </w:tcPr>
          <w:p w14:paraId="4DB55D29" w14:textId="77777777" w:rsidR="000461E7" w:rsidRPr="005F7FF6" w:rsidRDefault="000461E7" w:rsidP="005F7FF6">
            <w:pPr>
              <w:ind w:left="0" w:right="0"/>
              <w:rPr>
                <w:sz w:val="20"/>
                <w:szCs w:val="20"/>
              </w:rPr>
            </w:pPr>
            <w:r w:rsidRPr="005F7FF6">
              <w:rPr>
                <w:sz w:val="20"/>
                <w:szCs w:val="20"/>
              </w:rPr>
              <w:t>1 (0.5)</w:t>
            </w:r>
          </w:p>
        </w:tc>
        <w:tc>
          <w:tcPr>
            <w:tcW w:w="895" w:type="pct"/>
          </w:tcPr>
          <w:p w14:paraId="41C3C76F" w14:textId="77777777" w:rsidR="000461E7" w:rsidRPr="005F7FF6" w:rsidRDefault="000461E7" w:rsidP="005F7FF6">
            <w:pPr>
              <w:ind w:left="0" w:right="0"/>
              <w:rPr>
                <w:sz w:val="20"/>
                <w:szCs w:val="20"/>
              </w:rPr>
            </w:pPr>
            <w:r w:rsidRPr="005F7FF6">
              <w:rPr>
                <w:sz w:val="20"/>
                <w:szCs w:val="20"/>
              </w:rPr>
              <w:t>3 (1.7)</w:t>
            </w:r>
          </w:p>
        </w:tc>
        <w:tc>
          <w:tcPr>
            <w:tcW w:w="756" w:type="pct"/>
          </w:tcPr>
          <w:p w14:paraId="0EC6C97D" w14:textId="77777777" w:rsidR="000461E7" w:rsidRPr="005F7FF6" w:rsidRDefault="000461E7" w:rsidP="005F7FF6">
            <w:pPr>
              <w:ind w:left="0" w:right="0"/>
              <w:rPr>
                <w:sz w:val="20"/>
                <w:szCs w:val="20"/>
              </w:rPr>
            </w:pPr>
            <w:r w:rsidRPr="005F7FF6">
              <w:rPr>
                <w:sz w:val="20"/>
                <w:szCs w:val="20"/>
              </w:rPr>
              <w:t>4 (1.1)</w:t>
            </w:r>
          </w:p>
        </w:tc>
      </w:tr>
      <w:tr w:rsidR="000461E7" w:rsidRPr="005F7FF6" w14:paraId="3F2D2490" w14:textId="77777777" w:rsidTr="00DA3A6A">
        <w:trPr>
          <w:trHeight w:val="227"/>
        </w:trPr>
        <w:tc>
          <w:tcPr>
            <w:tcW w:w="1571" w:type="pct"/>
          </w:tcPr>
          <w:p w14:paraId="75CDC175" w14:textId="77777777" w:rsidR="000461E7" w:rsidRPr="005F7FF6" w:rsidRDefault="000461E7" w:rsidP="005F7FF6">
            <w:pPr>
              <w:ind w:left="0" w:right="0"/>
              <w:rPr>
                <w:sz w:val="20"/>
                <w:szCs w:val="20"/>
              </w:rPr>
            </w:pPr>
            <w:r w:rsidRPr="005F7FF6">
              <w:rPr>
                <w:sz w:val="20"/>
                <w:szCs w:val="20"/>
              </w:rPr>
              <w:t>Eczema</w:t>
            </w:r>
          </w:p>
        </w:tc>
        <w:tc>
          <w:tcPr>
            <w:tcW w:w="936" w:type="pct"/>
            <w:gridSpan w:val="2"/>
          </w:tcPr>
          <w:p w14:paraId="7183A5B4" w14:textId="77777777" w:rsidR="000461E7" w:rsidRPr="005F7FF6" w:rsidRDefault="000461E7" w:rsidP="005F7FF6">
            <w:pPr>
              <w:ind w:left="0" w:right="0"/>
              <w:rPr>
                <w:sz w:val="20"/>
                <w:szCs w:val="20"/>
              </w:rPr>
            </w:pPr>
            <w:r w:rsidRPr="005F7FF6">
              <w:rPr>
                <w:sz w:val="20"/>
                <w:szCs w:val="20"/>
              </w:rPr>
              <w:t>0</w:t>
            </w:r>
          </w:p>
        </w:tc>
        <w:tc>
          <w:tcPr>
            <w:tcW w:w="842" w:type="pct"/>
          </w:tcPr>
          <w:p w14:paraId="6278E280" w14:textId="77777777" w:rsidR="000461E7" w:rsidRPr="005F7FF6" w:rsidRDefault="000461E7" w:rsidP="005F7FF6">
            <w:pPr>
              <w:ind w:left="0" w:right="0"/>
              <w:rPr>
                <w:sz w:val="20"/>
                <w:szCs w:val="20"/>
              </w:rPr>
            </w:pPr>
            <w:r w:rsidRPr="005F7FF6">
              <w:rPr>
                <w:sz w:val="20"/>
                <w:szCs w:val="20"/>
              </w:rPr>
              <w:t>2 (1.0)</w:t>
            </w:r>
          </w:p>
        </w:tc>
        <w:tc>
          <w:tcPr>
            <w:tcW w:w="895" w:type="pct"/>
          </w:tcPr>
          <w:p w14:paraId="529628EF" w14:textId="77777777" w:rsidR="000461E7" w:rsidRPr="005F7FF6" w:rsidRDefault="000461E7" w:rsidP="005F7FF6">
            <w:pPr>
              <w:ind w:left="0" w:right="0"/>
              <w:rPr>
                <w:sz w:val="20"/>
                <w:szCs w:val="20"/>
              </w:rPr>
            </w:pPr>
            <w:r w:rsidRPr="005F7FF6">
              <w:rPr>
                <w:sz w:val="20"/>
                <w:szCs w:val="20"/>
              </w:rPr>
              <w:t>2 (1.1)</w:t>
            </w:r>
          </w:p>
        </w:tc>
        <w:tc>
          <w:tcPr>
            <w:tcW w:w="756" w:type="pct"/>
          </w:tcPr>
          <w:p w14:paraId="65AD29E5" w14:textId="77777777" w:rsidR="000461E7" w:rsidRPr="005F7FF6" w:rsidRDefault="000461E7" w:rsidP="005F7FF6">
            <w:pPr>
              <w:ind w:left="0" w:right="0"/>
              <w:rPr>
                <w:sz w:val="20"/>
                <w:szCs w:val="20"/>
              </w:rPr>
            </w:pPr>
            <w:r w:rsidRPr="005F7FF6">
              <w:rPr>
                <w:sz w:val="20"/>
                <w:szCs w:val="20"/>
              </w:rPr>
              <w:t>4 (1.1)</w:t>
            </w:r>
          </w:p>
        </w:tc>
      </w:tr>
    </w:tbl>
    <w:p w14:paraId="41E07125" w14:textId="397BB117" w:rsidR="000461E7" w:rsidRPr="00670F93" w:rsidRDefault="000461E7" w:rsidP="00FB31A7">
      <w:pPr>
        <w:pStyle w:val="TableDescription"/>
      </w:pPr>
      <w:r w:rsidRPr="00670F93">
        <w:t>ADR = adverse drug reaction; ISS = Integrated Summary of Safety; IXE = ixekizumab; IXE Q2W =</w:t>
      </w:r>
      <w:r>
        <w:t xml:space="preserve"> </w:t>
      </w:r>
      <w:r w:rsidRPr="00670F93">
        <w:t>ixekizumab 80 mg every 2 weeks; IXE Q4W = ixekizumab 80 mg every 4 weeks; MedDRA = Medical</w:t>
      </w:r>
      <w:r>
        <w:t xml:space="preserve"> </w:t>
      </w:r>
      <w:r w:rsidRPr="00670F93">
        <w:t>Dictionary for Regulatory Activities; N = number of patients in the analysis population; n = number of patients in</w:t>
      </w:r>
      <w:r>
        <w:t xml:space="preserve"> </w:t>
      </w:r>
      <w:r w:rsidRPr="00670F93">
        <w:t>the specified category; PBO = p</w:t>
      </w:r>
      <w:r w:rsidR="00FB31A7">
        <w:t>lacebo; Primary R</w:t>
      </w:r>
      <w:r w:rsidRPr="00670F93">
        <w:t>-axSpA Analysis Set = Primary Radiographic axSpA</w:t>
      </w:r>
      <w:r>
        <w:t xml:space="preserve"> </w:t>
      </w:r>
      <w:r w:rsidRPr="00670F93">
        <w:t>Placebo-Controlled Integrated Analysis Set; TEAE = treatment-emergent adverse event.</w:t>
      </w:r>
    </w:p>
    <w:p w14:paraId="5CBD48C6" w14:textId="38F9308C" w:rsidR="000461E7" w:rsidRPr="00670F93" w:rsidRDefault="00093D27" w:rsidP="00FB31A7">
      <w:pPr>
        <w:pStyle w:val="TableDescription"/>
      </w:pPr>
      <w:r w:rsidRPr="00093D27">
        <w:rPr>
          <w:vertAlign w:val="superscript"/>
        </w:rPr>
        <w:t>a</w:t>
      </w:r>
      <w:r w:rsidR="00F64E7A">
        <w:rPr>
          <w:vertAlign w:val="superscript"/>
        </w:rPr>
        <w:t xml:space="preserve"> </w:t>
      </w:r>
      <w:r w:rsidR="000461E7" w:rsidRPr="00670F93">
        <w:t>p</w:t>
      </w:r>
      <w:r>
        <w:t xml:space="preserve"> </w:t>
      </w:r>
      <w:r w:rsidR="000461E7" w:rsidRPr="00670F93">
        <w:t>&lt;</w:t>
      </w:r>
      <w:r>
        <w:t xml:space="preserve"> 0</w:t>
      </w:r>
      <w:r w:rsidR="000461E7" w:rsidRPr="00670F93">
        <w:t xml:space="preserve">.05 </w:t>
      </w:r>
      <w:r w:rsidR="000E5BAC">
        <w:t>versus</w:t>
      </w:r>
      <w:r w:rsidR="00BF26EC">
        <w:t xml:space="preserve"> PBO; </w:t>
      </w:r>
      <w:r w:rsidRPr="00093D27">
        <w:rPr>
          <w:vertAlign w:val="superscript"/>
        </w:rPr>
        <w:t>b</w:t>
      </w:r>
      <w:r w:rsidR="00F64E7A">
        <w:rPr>
          <w:vertAlign w:val="superscript"/>
        </w:rPr>
        <w:t xml:space="preserve"> </w:t>
      </w:r>
      <w:r w:rsidR="000461E7" w:rsidRPr="00670F93">
        <w:t>Upper respiratory tract infection, Nasopharyngitis, Injection site reaction, Injection site pain, Injection site</w:t>
      </w:r>
      <w:r w:rsidR="000461E7">
        <w:t xml:space="preserve"> </w:t>
      </w:r>
      <w:r w:rsidR="000461E7" w:rsidRPr="00670F93">
        <w:t>erythema, and Oropharyngeal pain have been previously id</w:t>
      </w:r>
      <w:r w:rsidR="00BF26EC">
        <w:t xml:space="preserve">entified as ADRs for ixekizumab; </w:t>
      </w:r>
      <w:r w:rsidRPr="00093D27">
        <w:rPr>
          <w:vertAlign w:val="superscript"/>
        </w:rPr>
        <w:t>c</w:t>
      </w:r>
      <w:r w:rsidR="00F64E7A">
        <w:rPr>
          <w:vertAlign w:val="superscript"/>
        </w:rPr>
        <w:t xml:space="preserve"> </w:t>
      </w:r>
      <w:r w:rsidR="000461E7" w:rsidRPr="00670F93">
        <w:t>p</w:t>
      </w:r>
      <w:r>
        <w:t xml:space="preserve"> </w:t>
      </w:r>
      <w:r w:rsidR="000461E7" w:rsidRPr="00670F93">
        <w:t>&lt;</w:t>
      </w:r>
      <w:r>
        <w:t xml:space="preserve"> 0</w:t>
      </w:r>
      <w:r w:rsidR="000461E7" w:rsidRPr="00670F93">
        <w:t xml:space="preserve">.05 </w:t>
      </w:r>
      <w:r w:rsidR="000E5BAC">
        <w:t>versus</w:t>
      </w:r>
      <w:r w:rsidR="00BF26EC">
        <w:t xml:space="preserve"> IXE Q4W; </w:t>
      </w:r>
      <w:r w:rsidRPr="00093D27">
        <w:rPr>
          <w:vertAlign w:val="superscript"/>
        </w:rPr>
        <w:t>d</w:t>
      </w:r>
      <w:r w:rsidR="00F64E7A">
        <w:rPr>
          <w:vertAlign w:val="superscript"/>
        </w:rPr>
        <w:t xml:space="preserve"> </w:t>
      </w:r>
      <w:r w:rsidR="000461E7" w:rsidRPr="00670F93">
        <w:t>Denominator adjusted because gender-specific event for females: N = 42 (placebo), N = 36 (ixekizumab 80 mg</w:t>
      </w:r>
      <w:r w:rsidR="000461E7">
        <w:t xml:space="preserve"> </w:t>
      </w:r>
      <w:r w:rsidR="000461E7" w:rsidRPr="00670F93">
        <w:t>Q4W), N = 32 (ixekizumab 80 mg Q2W).</w:t>
      </w:r>
    </w:p>
    <w:p w14:paraId="135C0AFF" w14:textId="4C484C3A" w:rsidR="000461E7" w:rsidRDefault="000461E7" w:rsidP="000461E7">
      <w:r>
        <w:t>A total of 657 patients with AS have been exposed to ixekizumab in the pivotal studies (</w:t>
      </w:r>
      <w:r w:rsidR="00B8128D">
        <w:t>‘</w:t>
      </w:r>
      <w:r>
        <w:t>all axSpA set</w:t>
      </w:r>
      <w:r w:rsidR="00B8128D">
        <w:t>’</w:t>
      </w:r>
      <w:r>
        <w:t>). The mean duration of exposure and total exposure to ixekizumab in the primary r-AxSpA set were 111.7 days and 55.4 patient</w:t>
      </w:r>
      <w:r w:rsidR="001313D3">
        <w:t xml:space="preserve"> </w:t>
      </w:r>
      <w:r>
        <w:t>years respectively in the ixekizumab 80</w:t>
      </w:r>
      <w:r w:rsidR="00F95035">
        <w:t xml:space="preserve"> </w:t>
      </w:r>
      <w:r>
        <w:t>mg Q2W treatment groups and 109.5 days and 58.4 patient</w:t>
      </w:r>
      <w:r w:rsidR="001313D3">
        <w:t xml:space="preserve"> </w:t>
      </w:r>
      <w:r>
        <w:t>years respectively in the ixekizumab 80</w:t>
      </w:r>
      <w:r w:rsidR="00F95035">
        <w:t xml:space="preserve"> </w:t>
      </w:r>
      <w:r>
        <w:t xml:space="preserve">mg Q4W treatment groups. The </w:t>
      </w:r>
      <w:r w:rsidRPr="00EE4DA0">
        <w:t xml:space="preserve">mean </w:t>
      </w:r>
      <w:r w:rsidR="00EE4DA0" w:rsidRPr="00EE4DA0">
        <w:t>(standard</w:t>
      </w:r>
      <w:r w:rsidR="00EE4DA0" w:rsidRPr="00EE4DA0">
        <w:rPr>
          <w:shd w:val="clear" w:color="auto" w:fill="FFFF00"/>
        </w:rPr>
        <w:t xml:space="preserve"> </w:t>
      </w:r>
      <w:r w:rsidR="00EE4DA0" w:rsidRPr="00EE4DA0">
        <w:t>deviation</w:t>
      </w:r>
      <w:r w:rsidRPr="00EE4DA0">
        <w:t>) total dose of ixekizumab in the 80</w:t>
      </w:r>
      <w:r w:rsidR="00720C04" w:rsidRPr="00EE4DA0">
        <w:t xml:space="preserve"> </w:t>
      </w:r>
      <w:r w:rsidRPr="00EE4DA0">
        <w:t>mg Q2W treatment groups was 653.3 (105.83) mg and in the 80</w:t>
      </w:r>
      <w:r w:rsidR="00720C04" w:rsidRPr="00EE4DA0">
        <w:t xml:space="preserve"> </w:t>
      </w:r>
      <w:r w:rsidRPr="00EE4DA0">
        <w:t>mg Q4W treatment groups was 341.7 (66.64)</w:t>
      </w:r>
      <w:r>
        <w:t xml:space="preserve"> mg. In the all axSpA set, total exposure to ixekizumab was 306.3 patient-years in 80</w:t>
      </w:r>
      <w:r w:rsidR="00720C04">
        <w:t xml:space="preserve"> </w:t>
      </w:r>
      <w:r>
        <w:t>mg Q2W groups and 321.7 patient</w:t>
      </w:r>
      <w:r w:rsidR="001313D3">
        <w:t xml:space="preserve"> </w:t>
      </w:r>
      <w:r>
        <w:t>years in the 80</w:t>
      </w:r>
      <w:r w:rsidR="00720C04">
        <w:t xml:space="preserve"> </w:t>
      </w:r>
      <w:r>
        <w:t>mg Q4W groups. In the RA study, 75 patients were exposed to ixekizumab at doses between 0.06 mg/kg and 2.0 mg/kg, either as a single infusion, or every two weeks for a total of up to five doses.</w:t>
      </w:r>
    </w:p>
    <w:p w14:paraId="4D1E8E0F" w14:textId="3ADBF051" w:rsidR="000461E7" w:rsidRDefault="000461E7" w:rsidP="000461E7">
      <w:r>
        <w:t xml:space="preserve">In the all axSpA set and in the primary r-axSpA set the most frequently reported </w:t>
      </w:r>
      <w:r w:rsidR="00720C04">
        <w:t>adverse events (</w:t>
      </w:r>
      <w:r>
        <w:t>AE</w:t>
      </w:r>
      <w:r w:rsidR="00720C04">
        <w:t>)</w:t>
      </w:r>
      <w:r>
        <w:t xml:space="preserve"> were infections (43% in the all axSpA exposure set), almost half of these were reported as nasopharyngitis (11.3%) or upper respiratory tract infection (10.2%). Injection site reactions were the second most frequently reported AEs (13.3% in the all axSpA exposure set). This is consistent with safety reports in Ps and PsA patients. Serious adverse events (SAE) were reported by 6.7% of the all axSpA exposure set: these included Crohn’s disease (n</w:t>
      </w:r>
      <w:r w:rsidR="007B6CB4">
        <w:t xml:space="preserve"> = </w:t>
      </w:r>
      <w:r>
        <w:t xml:space="preserve">3), </w:t>
      </w:r>
      <w:r w:rsidR="001313D3">
        <w:t>b</w:t>
      </w:r>
      <w:r>
        <w:t>lood creatine phosphokinase increased (n</w:t>
      </w:r>
      <w:r w:rsidR="007B6CB4">
        <w:t xml:space="preserve"> = </w:t>
      </w:r>
      <w:r>
        <w:t xml:space="preserve">2), </w:t>
      </w:r>
      <w:r w:rsidR="001313D3">
        <w:t>b</w:t>
      </w:r>
      <w:r>
        <w:t>radycardia (n</w:t>
      </w:r>
      <w:r w:rsidR="00E42782">
        <w:t> </w:t>
      </w:r>
      <w:r w:rsidR="007B6CB4">
        <w:t>=</w:t>
      </w:r>
      <w:r w:rsidR="00E42782">
        <w:t> </w:t>
      </w:r>
      <w:r>
        <w:t>2), cellulitis (n</w:t>
      </w:r>
      <w:r w:rsidR="007B6CB4">
        <w:t xml:space="preserve"> = </w:t>
      </w:r>
      <w:r>
        <w:t>2), osteoarthritis (n</w:t>
      </w:r>
      <w:r w:rsidR="007B6CB4">
        <w:t xml:space="preserve"> = </w:t>
      </w:r>
      <w:r>
        <w:t>2) and urinary tract infection (n</w:t>
      </w:r>
      <w:r w:rsidR="007B6CB4">
        <w:t xml:space="preserve"> = </w:t>
      </w:r>
      <w:r w:rsidR="00720C04">
        <w:t xml:space="preserve">2). </w:t>
      </w:r>
      <w:r>
        <w:t xml:space="preserve">One death was reported. This was a suicide on </w:t>
      </w:r>
      <w:r w:rsidR="001313D3">
        <w:t>D</w:t>
      </w:r>
      <w:r>
        <w:t>ay 54 after the first dose of ixekizumab, by a patient with a prior history of depression. The death was not considered related to the study drug. In the all axSpA exposure set, 5.5% of patients in ixekizumab treatment groups discontinued due to AE. These included eight patients with infections/infestations and seven patients with gastrointestinal disorders</w:t>
      </w:r>
      <w:r w:rsidRPr="00461E53">
        <w:t xml:space="preserve">. </w:t>
      </w:r>
      <w:r w:rsidR="00A82F68">
        <w:t>In the RA s</w:t>
      </w:r>
      <w:r>
        <w:t>tudy, three patients discontinued study drug, two patients with moderate leukopaenia and one with worsening polyarthritis.</w:t>
      </w:r>
    </w:p>
    <w:p w14:paraId="283CC2D9" w14:textId="77777777" w:rsidR="000461E7" w:rsidRDefault="000461E7" w:rsidP="000461E7">
      <w:r>
        <w:t>In the all axSpA set, 12 patients reported at least one inflammatory bowel disease (IBD) related AE. These included five patients with new cases of Crohn’s disease, three patients reporting ulcerative colitis, and four patients whose reported AE’s were adjudicated as ulcerative colitis (2), probable Crohn’s disease (1) and non-specific colitis (1).</w:t>
      </w:r>
    </w:p>
    <w:p w14:paraId="3E0BB9CD" w14:textId="7FE47E2E" w:rsidR="000461E7" w:rsidRDefault="000461E7" w:rsidP="000461E7">
      <w:r>
        <w:lastRenderedPageBreak/>
        <w:t>Other AE of special interest included cytopaenias, allergic reactions/hypersensitivity, cerebro-cardiovascular events (major adve</w:t>
      </w:r>
      <w:r w:rsidR="000D7AC3">
        <w:t>rse cardiovascular events (</w:t>
      </w:r>
      <w:r>
        <w:t>MACE)</w:t>
      </w:r>
      <w:r w:rsidR="000D7AC3">
        <w:t>)</w:t>
      </w:r>
      <w:r>
        <w:t>, malignancies, hepatic events, depression, suicide, and interstitial lung disease.</w:t>
      </w:r>
    </w:p>
    <w:p w14:paraId="62E3C570" w14:textId="7F078ABD" w:rsidR="000461E7" w:rsidRDefault="000461E7" w:rsidP="000461E7">
      <w:r>
        <w:t>Allergic reactions/hypersensitivity were recorded for 7% of the all axSpA set, none were anaphylactic. Eczema (n</w:t>
      </w:r>
      <w:r w:rsidR="007B6CB4">
        <w:t xml:space="preserve"> = </w:t>
      </w:r>
      <w:r>
        <w:t>11), rash (n</w:t>
      </w:r>
      <w:r w:rsidR="007B6CB4">
        <w:t xml:space="preserve"> = </w:t>
      </w:r>
      <w:r>
        <w:t>11) and urticaria (n</w:t>
      </w:r>
      <w:r w:rsidR="007B6CB4">
        <w:t xml:space="preserve"> = </w:t>
      </w:r>
      <w:r>
        <w:t xml:space="preserve">5) accounted for more than half of the reports. One patient developed severe erythema multiforme, acute gastroenteritis, lower dyspeptic syndrome and Crohn’s disease, with elevated </w:t>
      </w:r>
      <w:r w:rsidR="00720C04">
        <w:t>alanine aminotransferase (</w:t>
      </w:r>
      <w:r>
        <w:t>ALT</w:t>
      </w:r>
      <w:r w:rsidR="00720C04">
        <w:t>)</w:t>
      </w:r>
      <w:r>
        <w:t xml:space="preserve"> and </w:t>
      </w:r>
      <w:r w:rsidR="00720C04">
        <w:t>aspartate aminotransferase (</w:t>
      </w:r>
      <w:r>
        <w:t>AST</w:t>
      </w:r>
      <w:r w:rsidR="00720C04">
        <w:t>) (both between 5</w:t>
      </w:r>
      <w:r w:rsidR="001313D3">
        <w:t xml:space="preserve"> times</w:t>
      </w:r>
      <w:r w:rsidR="00720C04">
        <w:t xml:space="preserve"> and 10</w:t>
      </w:r>
      <w:r w:rsidR="005A18CB">
        <w:t xml:space="preserve"> times the</w:t>
      </w:r>
      <w:r>
        <w:t xml:space="preserve"> </w:t>
      </w:r>
      <w:r w:rsidR="0071616F">
        <w:t>upper limit of normal</w:t>
      </w:r>
      <w:r>
        <w:t>), considered related to the study drug. Hepatic AEs were recorded by 33 patients (5.2%) in the all axSpA set, none were classified as SAE</w:t>
      </w:r>
      <w:r w:rsidR="003456AF">
        <w:t>s</w:t>
      </w:r>
      <w:r>
        <w:t>.</w:t>
      </w:r>
    </w:p>
    <w:p w14:paraId="571A3CF7" w14:textId="10D0547F" w:rsidR="000461E7" w:rsidRDefault="000461E7" w:rsidP="000461E7">
      <w:r>
        <w:t>Six patients in the all axSpA set reported cerebro-cardiovascular events, one each acute myo</w:t>
      </w:r>
      <w:r w:rsidR="0071616F">
        <w:t>cardial infarction, aphasia (</w:t>
      </w:r>
      <w:r w:rsidR="0071616F" w:rsidRPr="0071616F">
        <w:t>transient ischemic attack</w:t>
      </w:r>
      <w:r>
        <w:t>), cerebral ha</w:t>
      </w:r>
      <w:r w:rsidR="0071616F">
        <w:t>emorrhage (not considered a MACE</w:t>
      </w:r>
      <w:r>
        <w:t>), atrial fibrillation, Bradycardia and atrioventricular block. Five patients reported a depression-related or suicide-related AE. Three patients reported malignancy (bladder cancer, promyelocytic leukaemia, ovarian cancer), and all discontinued study drug. There were no reports of clinically important cytopaenia or of interstitial lung disease.</w:t>
      </w:r>
    </w:p>
    <w:p w14:paraId="24A1C36C" w14:textId="28BD9EAC" w:rsidR="000461E7" w:rsidRDefault="000461E7" w:rsidP="000461E7">
      <w:r w:rsidRPr="00033D97">
        <w:t xml:space="preserve">No consistent temporal relationship </w:t>
      </w:r>
      <w:r>
        <w:t xml:space="preserve">was observed </w:t>
      </w:r>
      <w:r w:rsidRPr="00033D97">
        <w:t xml:space="preserve">between the presence of </w:t>
      </w:r>
      <w:r>
        <w:t>anti-drug antibodies (ADA)</w:t>
      </w:r>
      <w:r w:rsidRPr="00033D97">
        <w:t xml:space="preserve"> and </w:t>
      </w:r>
      <w:r>
        <w:t xml:space="preserve">the </w:t>
      </w:r>
      <w:r w:rsidRPr="00033D97">
        <w:t xml:space="preserve">occurrence of TEAEs. Additionally, there was no impact of </w:t>
      </w:r>
      <w:r w:rsidR="007833AA">
        <w:t>treatment emergent ADA</w:t>
      </w:r>
      <w:r w:rsidRPr="00033D97">
        <w:t xml:space="preserve"> ti</w:t>
      </w:r>
      <w:r>
        <w:t xml:space="preserve">tre on the type or severity of </w:t>
      </w:r>
      <w:r w:rsidRPr="00033D97">
        <w:t>AEs.</w:t>
      </w:r>
    </w:p>
    <w:p w14:paraId="6CD2CB17" w14:textId="0C654F64" w:rsidR="000461E7" w:rsidRPr="00B020EA" w:rsidRDefault="000461E7" w:rsidP="000461E7">
      <w:r w:rsidRPr="00EF7C85">
        <w:t xml:space="preserve">According to the report, cumulatively approximately 8,755 subjects </w:t>
      </w:r>
      <w:r>
        <w:t xml:space="preserve">have received ixekizumab in clinical trials for a range of conditions, </w:t>
      </w:r>
      <w:r w:rsidRPr="00EF7C85">
        <w:t>and to date it is estimated that a total of approximately 33,100 patients have received ixekizumab worldwide.</w:t>
      </w:r>
      <w:r>
        <w:t xml:space="preserve"> </w:t>
      </w:r>
      <w:r w:rsidRPr="00033D97">
        <w:t xml:space="preserve">The safety data in </w:t>
      </w:r>
      <w:r>
        <w:t>a</w:t>
      </w:r>
      <w:r w:rsidRPr="00033D97">
        <w:t xml:space="preserve"> </w:t>
      </w:r>
      <w:r w:rsidR="0071616F">
        <w:t>Periodic Safety Update Report</w:t>
      </w:r>
      <w:r w:rsidR="0071616F" w:rsidRPr="00033D97">
        <w:t xml:space="preserve"> </w:t>
      </w:r>
      <w:r w:rsidR="0071616F">
        <w:t>(</w:t>
      </w:r>
      <w:r w:rsidRPr="00033D97">
        <w:t>PSUR</w:t>
      </w:r>
      <w:r w:rsidR="0071616F">
        <w:t>)</w:t>
      </w:r>
      <w:r w:rsidRPr="00033D97">
        <w:t xml:space="preserve"> </w:t>
      </w:r>
      <w:r>
        <w:t>included with the submission remain</w:t>
      </w:r>
      <w:r w:rsidRPr="00033D97">
        <w:t xml:space="preserve"> consistent with the data from the clinical trials. No new safety signals have been identified. Serious infections, serious hypersensitivity and </w:t>
      </w:r>
      <w:r>
        <w:t>IBD</w:t>
      </w:r>
      <w:r w:rsidRPr="00033D97">
        <w:t xml:space="preserve"> remain important potential risks for ixekizumab.</w:t>
      </w:r>
    </w:p>
    <w:p w14:paraId="0CEB87D1" w14:textId="77777777" w:rsidR="008E7846" w:rsidRDefault="00386150" w:rsidP="007B6132">
      <w:pPr>
        <w:pStyle w:val="Heading3"/>
        <w:rPr>
          <w:lang w:eastAsia="en-AU"/>
        </w:rPr>
      </w:pPr>
      <w:bookmarkStart w:id="46" w:name="_Toc41551350"/>
      <w:r>
        <w:rPr>
          <w:lang w:eastAsia="en-AU"/>
        </w:rPr>
        <w:t>Risk m</w:t>
      </w:r>
      <w:r w:rsidR="008E7846">
        <w:rPr>
          <w:lang w:eastAsia="en-AU"/>
        </w:rPr>
        <w:t xml:space="preserve">anagement </w:t>
      </w:r>
      <w:r>
        <w:rPr>
          <w:lang w:eastAsia="en-AU"/>
        </w:rPr>
        <w:t>p</w:t>
      </w:r>
      <w:r w:rsidR="008E7846">
        <w:rPr>
          <w:lang w:eastAsia="en-AU"/>
        </w:rPr>
        <w:t>lan</w:t>
      </w:r>
      <w:bookmarkEnd w:id="39"/>
      <w:bookmarkEnd w:id="46"/>
    </w:p>
    <w:p w14:paraId="42C60D68" w14:textId="085685C7" w:rsidR="008E7846" w:rsidRDefault="000461E7" w:rsidP="008E7846">
      <w:r>
        <w:t xml:space="preserve">An updated </w:t>
      </w:r>
      <w:r w:rsidR="00F674F9">
        <w:t>risk management plan (</w:t>
      </w:r>
      <w:r>
        <w:t>RMP</w:t>
      </w:r>
      <w:r w:rsidR="00F674F9">
        <w:t>)</w:t>
      </w:r>
      <w:r>
        <w:t xml:space="preserve"> was not required for this submission.</w:t>
      </w:r>
      <w:r w:rsidR="00AD677A">
        <w:rPr>
          <w:rStyle w:val="FootnoteReference"/>
        </w:rPr>
        <w:footnoteReference w:id="13"/>
      </w:r>
      <w:r>
        <w:t xml:space="preserve"> The</w:t>
      </w:r>
      <w:r w:rsidR="0071616F">
        <w:t xml:space="preserve"> RMP evaluator has stated that ‘</w:t>
      </w:r>
      <w:r>
        <w:t>the proposed extension of indication to approve use for the treatment of ankylosing spondylitis is not considered signi</w:t>
      </w:r>
      <w:r w:rsidR="0071616F">
        <w:t>ficant from an RMP perspective.’</w:t>
      </w:r>
      <w:r>
        <w:t xml:space="preserve"> This is accepted.</w:t>
      </w:r>
    </w:p>
    <w:p w14:paraId="42FD1643" w14:textId="77777777" w:rsidR="008E7846" w:rsidRDefault="00AA0ED0" w:rsidP="008E7846">
      <w:pPr>
        <w:pStyle w:val="Heading3"/>
      </w:pPr>
      <w:bookmarkStart w:id="47" w:name="_Toc247691531"/>
      <w:bookmarkStart w:id="48" w:name="_Toc314842515"/>
      <w:bookmarkStart w:id="49" w:name="_Toc41551351"/>
      <w:bookmarkStart w:id="50" w:name="_Toc196046505"/>
      <w:bookmarkStart w:id="51" w:name="_Toc196046949"/>
      <w:r>
        <w:t>Risk-benefit a</w:t>
      </w:r>
      <w:r w:rsidR="008E7846">
        <w:t>nalysis</w:t>
      </w:r>
      <w:bookmarkEnd w:id="47"/>
      <w:bookmarkEnd w:id="48"/>
      <w:bookmarkEnd w:id="49"/>
    </w:p>
    <w:p w14:paraId="024BED1F" w14:textId="015F6C1B" w:rsidR="00D23139" w:rsidRDefault="00D23139" w:rsidP="00D23139">
      <w:pPr>
        <w:pStyle w:val="Heading4"/>
      </w:pPr>
      <w:r w:rsidRPr="00D23139">
        <w:t>Delegate’s c</w:t>
      </w:r>
      <w:r w:rsidR="00EE4DA0">
        <w:t>onsiderations</w:t>
      </w:r>
    </w:p>
    <w:p w14:paraId="64C1BA1B" w14:textId="77777777" w:rsidR="00022518" w:rsidRDefault="00022518" w:rsidP="0071616F">
      <w:pPr>
        <w:pStyle w:val="Heading5"/>
      </w:pPr>
      <w:r w:rsidRPr="005529C3">
        <w:t>Proposed indication</w:t>
      </w:r>
    </w:p>
    <w:p w14:paraId="770D7CF7" w14:textId="70B4A8C1" w:rsidR="00022518" w:rsidRDefault="00022518" w:rsidP="00022518">
      <w:r>
        <w:t xml:space="preserve">The sponsor has requested approval for ixekizumab in the treatment of active ankylosing spondylitis in adult patients. The two pivotal studies were performed in bDMARD-naïve and TNFi-experienced adult populations respectively, and the inclusion criteria applied for enrolment into the studies were consistent with the diagnosis of AS. All of the enrolled patients had received prior symptomatic treatment with NSAIDs, and all but two enrolled patients had received prior treatment with cDMARDS. A large proportion of participants in the trials were concurrently treated with sulfasalazine, methotrexate or hydroxychloroquine (37% bDMARD-naïve, 27% TNFi-experienced) and NSAIDs (93.3% </w:t>
      </w:r>
      <w:r>
        <w:lastRenderedPageBreak/>
        <w:t>bDMARD-naïve, 76.2% TNFi-experienced). The study did not consider treatment with ixekizumab prior to cDMARDs. This could provide a reason for re</w:t>
      </w:r>
      <w:r w:rsidR="00D300D6">
        <w:t xml:space="preserve">stricting ixekizumab to second </w:t>
      </w:r>
      <w:r>
        <w:t>line therapy for AS after cDMARDS, however in view of current understanding that cDMARDS are generally of limited value in axial inflammation, this could constitute an inappropriate delay to accessing an effective treatment. The proposed indication is supported by the data. None of the bDMARD treatment options currently registered in Australia</w:t>
      </w:r>
      <w:r w:rsidR="00D300D6">
        <w:t xml:space="preserve"> have been restricted to second </w:t>
      </w:r>
      <w:r>
        <w:t>line use after cDMARDs or alternative bDMARDs, and only certolizumab pegol has been restricted to second</w:t>
      </w:r>
      <w:r w:rsidR="00D300D6">
        <w:t xml:space="preserve"> </w:t>
      </w:r>
      <w:r>
        <w:t>line use after NSAIDS.</w:t>
      </w:r>
    </w:p>
    <w:p w14:paraId="5B8003CB" w14:textId="77777777" w:rsidR="00022518" w:rsidRPr="00C40E04" w:rsidRDefault="00022518" w:rsidP="001B215F">
      <w:pPr>
        <w:pStyle w:val="Heading5"/>
      </w:pPr>
      <w:r>
        <w:t>Dosage</w:t>
      </w:r>
    </w:p>
    <w:p w14:paraId="591E6A85" w14:textId="0CC01C1A" w:rsidR="00022518" w:rsidRPr="00EE4DA0" w:rsidRDefault="00022518" w:rsidP="00EE4DA0">
      <w:r w:rsidRPr="00EE4DA0">
        <w:t>The sponsor requested that the following statement regarding dosage was included in the</w:t>
      </w:r>
      <w:r w:rsidR="00E9503A" w:rsidRPr="00EE4DA0">
        <w:t xml:space="preserve"> PI</w:t>
      </w:r>
      <w:r w:rsidRPr="00EE4DA0">
        <w:t>:</w:t>
      </w:r>
    </w:p>
    <w:p w14:paraId="7EE9601B" w14:textId="2813BAD8" w:rsidR="00022518" w:rsidRPr="001B215F" w:rsidRDefault="001B215F" w:rsidP="00EE4DA0">
      <w:pPr>
        <w:ind w:left="720"/>
      </w:pPr>
      <w:r w:rsidRPr="00EE4DA0">
        <w:t>‘</w:t>
      </w:r>
      <w:r w:rsidR="00022518" w:rsidRPr="00EE4DA0">
        <w:t>For patients who have had an inadequate response or are intolerant to at least 1 TNF inhibitor, a dose of 160</w:t>
      </w:r>
      <w:r w:rsidR="00E9503A" w:rsidRPr="00EE4DA0">
        <w:t xml:space="preserve"> </w:t>
      </w:r>
      <w:r w:rsidR="00022518" w:rsidRPr="00EE4DA0">
        <w:t>mg (two 80</w:t>
      </w:r>
      <w:r w:rsidR="00E9503A" w:rsidRPr="00EE4DA0">
        <w:t xml:space="preserve"> </w:t>
      </w:r>
      <w:r w:rsidR="00022518" w:rsidRPr="00EE4DA0">
        <w:t>mg injections)</w:t>
      </w:r>
      <w:r w:rsidR="00E9503A" w:rsidRPr="00EE4DA0">
        <w:t xml:space="preserve"> by subcutaneous injection at w</w:t>
      </w:r>
      <w:r w:rsidR="00022518" w:rsidRPr="00EE4DA0">
        <w:t>eek 0, followed by 80</w:t>
      </w:r>
      <w:r w:rsidR="00E9503A" w:rsidRPr="00EE4DA0">
        <w:t xml:space="preserve"> </w:t>
      </w:r>
      <w:r w:rsidR="00022518" w:rsidRPr="00EE4DA0">
        <w:t>mg every 4 weeks may be considered.</w:t>
      </w:r>
      <w:r w:rsidRPr="00EE4DA0">
        <w:t>’</w:t>
      </w:r>
    </w:p>
    <w:p w14:paraId="5A18EC4F" w14:textId="6F913D6A" w:rsidR="00022518" w:rsidRDefault="001658AE" w:rsidP="00022518">
      <w:r>
        <w:t>The Food and Drug Administration (</w:t>
      </w:r>
      <w:r w:rsidR="0037060A">
        <w:t xml:space="preserve">FDA; </w:t>
      </w:r>
      <w:r>
        <w:t>USA)</w:t>
      </w:r>
      <w:r w:rsidR="007833AA">
        <w:t xml:space="preserve"> </w:t>
      </w:r>
      <w:r w:rsidR="007833AA" w:rsidRPr="005B55CE">
        <w:rPr>
          <w:rFonts w:asciiTheme="minorHAnsi" w:hAnsiTheme="minorHAnsi"/>
        </w:rPr>
        <w:t>Prescribing Information</w:t>
      </w:r>
      <w:r w:rsidR="00022518">
        <w:t xml:space="preserve"> recommends a loading dose of 160</w:t>
      </w:r>
      <w:r w:rsidR="001B215F">
        <w:t xml:space="preserve"> </w:t>
      </w:r>
      <w:r w:rsidR="00022518">
        <w:t>mg (two 80</w:t>
      </w:r>
      <w:r w:rsidR="001B215F">
        <w:t xml:space="preserve"> mg SC injections) ixekizumab at W</w:t>
      </w:r>
      <w:r w:rsidR="00022518">
        <w:t>eek 0 for all patients, followed by 80</w:t>
      </w:r>
      <w:r w:rsidR="001B215F">
        <w:t xml:space="preserve"> </w:t>
      </w:r>
      <w:r w:rsidR="00022518">
        <w:t>mg every four weeks.</w:t>
      </w:r>
      <w:r w:rsidR="005C3FA2">
        <w:rPr>
          <w:rStyle w:val="FootnoteReference"/>
        </w:rPr>
        <w:footnoteReference w:id="14"/>
      </w:r>
      <w:r w:rsidR="00022518">
        <w:t xml:space="preserve"> In the opinion of the TGA evaluator, there is insufficient evidence to indicate that there is a clinically meaningful difference in </w:t>
      </w:r>
      <w:r w:rsidR="001B215F">
        <w:t>efficacy based on loading dose.</w:t>
      </w:r>
    </w:p>
    <w:p w14:paraId="092E8053" w14:textId="43F2406D" w:rsidR="00022518" w:rsidRPr="001B215F" w:rsidRDefault="00022518" w:rsidP="00022518">
      <w:r>
        <w:t>Both of the pivotal studies were relatively small, with several subgroups exploring different dosage regimes. ASAS</w:t>
      </w:r>
      <w:r w:rsidR="006929E0">
        <w:t xml:space="preserve"> </w:t>
      </w:r>
      <w:r>
        <w:t>40 at 16 weeks in patients on the two weekly regimen of ixekizumab (bDMARD-naïve 51.8%, TNFi-experienced 30.6%) did not appear to be higher than in patients on the four weekly regimen (bDMARD-naïve 48.1%, TNFi-experienced 25.4%). A larger, better powered study may have detected a statistical and clinically meaningful difference, but in the absence of this data, it would be appropriate to dose all patients with the lowest effective dose.</w:t>
      </w:r>
    </w:p>
    <w:p w14:paraId="57FD99A9" w14:textId="77777777" w:rsidR="00022518" w:rsidRDefault="00022518" w:rsidP="00213BEB">
      <w:pPr>
        <w:pStyle w:val="Heading5"/>
      </w:pPr>
      <w:r>
        <w:t>Deficiencies of the data</w:t>
      </w:r>
    </w:p>
    <w:p w14:paraId="36FCDA5D" w14:textId="15813F5D" w:rsidR="00022518" w:rsidRDefault="00022518" w:rsidP="00022518">
      <w:r>
        <w:t>The pivotal study in bDMARD naïve patients was small, and although it included an active comparator arm with adalimumab, was insufficiently powered to detect a statistically or clinically meaningful difference in the primary efficacy outcome between the experimental treatment in its multiple dose regimens and adalimumab. The study did not include an alternative IL-17A antibody, which may have been more informative of relative value. The pivotal study in TNFi patients was also small. Multiple secondary and exploratory measures of efficacy were included in the design of both studies, which may have been better served by a larger study population. Nevertheless, ASAS</w:t>
      </w:r>
      <w:r w:rsidR="006929E0">
        <w:t xml:space="preserve"> </w:t>
      </w:r>
      <w:r>
        <w:t>40 at 16 weeks was significantly higher in the ixekizumab groups (48.1% in the bDMARD-naïve population and 25.4% in the TNFi-experienced population receiving 80</w:t>
      </w:r>
      <w:r w:rsidR="00213BEB">
        <w:t xml:space="preserve"> mg SC</w:t>
      </w:r>
      <w:r>
        <w:t xml:space="preserve"> every four weeks) than in their respective placebo treated groups (bDMARD-naïve 18.4%, TNFi-experienced 12.5%). The responses are sustained to 52 weeks and together these findings support the requested indication. Lower response rates in TNFi-experienced patients at similar ixekizumab concentrations may reflect a population that was older, had a longer disease duration, and m</w:t>
      </w:r>
      <w:r w:rsidR="001B7336">
        <w:t>ore severe disease activity at B</w:t>
      </w:r>
      <w:r>
        <w:t>aseline.</w:t>
      </w:r>
    </w:p>
    <w:p w14:paraId="1D51DFD4" w14:textId="435B7BF1" w:rsidR="00022518" w:rsidRDefault="00022518" w:rsidP="00022518">
      <w:r>
        <w:t xml:space="preserve">The submission presented safety data for up to 52 weeks following the first dose </w:t>
      </w:r>
      <w:r w:rsidR="005B55CE">
        <w:t>of ixekizumab. The AE</w:t>
      </w:r>
      <w:r>
        <w:t xml:space="preserve">s associated with ixekizumab in patients with AS were broadly similar in nature and frequency to those reported by studies with patients with psoriasis, and to those reported in studies of another IL-17 antibody, secukinumab. The risks of serious infection, serious hypersensitivity reactions and new or recurrent inflammatory bowel </w:t>
      </w:r>
      <w:r>
        <w:lastRenderedPageBreak/>
        <w:t>disease have been identified in this population as in other patient groups treated with ixekizumab. No new safety signals were identified by these studies. A longer follow-up period should be applied to ensure adequate opportunity to detect infrequent, but</w:t>
      </w:r>
      <w:r w:rsidR="005B55CE">
        <w:t xml:space="preserve"> serious potential AE</w:t>
      </w:r>
      <w:r>
        <w:t xml:space="preserve">s including malignancies, and </w:t>
      </w:r>
      <w:r w:rsidR="004A75ED">
        <w:t>MACE</w:t>
      </w:r>
      <w:r>
        <w:t>, which do seem to be a risk with this class of medicines. This deficiency may be addressed by post-market surveillance activities.</w:t>
      </w:r>
    </w:p>
    <w:p w14:paraId="69048AC6" w14:textId="52890687" w:rsidR="00022518" w:rsidRDefault="00022518" w:rsidP="00022518">
      <w:r>
        <w:t xml:space="preserve">Ixekizumab </w:t>
      </w:r>
      <w:r w:rsidRPr="0051766E">
        <w:t>has not been studied in patients &lt;</w:t>
      </w:r>
      <w:r w:rsidR="00213BEB">
        <w:t xml:space="preserve"> </w:t>
      </w:r>
      <w:r w:rsidRPr="0051766E">
        <w:t>18 years of age, in subjects with significant organ dysfunction</w:t>
      </w:r>
      <w:r w:rsidR="00427DE8">
        <w:t>, and in those with concurrent h</w:t>
      </w:r>
      <w:r w:rsidRPr="0051766E">
        <w:t xml:space="preserve">epatitis B </w:t>
      </w:r>
      <w:r w:rsidR="00427DE8">
        <w:t xml:space="preserve">virus, hepatitis </w:t>
      </w:r>
      <w:r w:rsidRPr="0051766E">
        <w:t xml:space="preserve">C virus or </w:t>
      </w:r>
      <w:r w:rsidR="00F674F9">
        <w:t>human immuno</w:t>
      </w:r>
      <w:r w:rsidR="00427DE8">
        <w:t>deficiency virus</w:t>
      </w:r>
      <w:r w:rsidR="006B73D3">
        <w:t xml:space="preserve"> (HIV)</w:t>
      </w:r>
      <w:r w:rsidR="003456AF">
        <w:t xml:space="preserve"> infection</w:t>
      </w:r>
      <w:r w:rsidRPr="0051766E">
        <w:t xml:space="preserve">. </w:t>
      </w:r>
      <w:r>
        <w:t>However, populations</w:t>
      </w:r>
      <w:r w:rsidRPr="0051766E">
        <w:t xml:space="preserve"> with ina</w:t>
      </w:r>
      <w:r>
        <w:t xml:space="preserve">dequate clinical data in regard to this treatment </w:t>
      </w:r>
      <w:r w:rsidRPr="0051766E">
        <w:t xml:space="preserve">are </w:t>
      </w:r>
      <w:r w:rsidR="00213BEB">
        <w:t>identified in the current RMP.</w:t>
      </w:r>
    </w:p>
    <w:p w14:paraId="6E4CC80F" w14:textId="77777777" w:rsidR="00022518" w:rsidRDefault="00022518" w:rsidP="00484383">
      <w:pPr>
        <w:pStyle w:val="Heading5"/>
      </w:pPr>
      <w:r>
        <w:t>Conditions of registration</w:t>
      </w:r>
    </w:p>
    <w:p w14:paraId="12A3EA80" w14:textId="6D19D470" w:rsidR="00022518" w:rsidRPr="0015498F" w:rsidRDefault="00022518" w:rsidP="00022518">
      <w:r>
        <w:t xml:space="preserve">The </w:t>
      </w:r>
      <w:r w:rsidR="004A75ED">
        <w:t>s</w:t>
      </w:r>
      <w:r>
        <w:t xml:space="preserve">ponsor must submit the final clinical study reports of the fully completed pivotal studies </w:t>
      </w:r>
      <w:r w:rsidRPr="00412987">
        <w:t>(</w:t>
      </w:r>
      <w:r w:rsidR="00412987" w:rsidRPr="00412987">
        <w:t xml:space="preserve">Study </w:t>
      </w:r>
      <w:r w:rsidRPr="00412987">
        <w:t xml:space="preserve">I1F-MC-RHBV, </w:t>
      </w:r>
      <w:r w:rsidR="00412987" w:rsidRPr="00412987">
        <w:t xml:space="preserve">Study </w:t>
      </w:r>
      <w:r w:rsidRPr="00412987">
        <w:t>I1F-MC-RHBW)</w:t>
      </w:r>
      <w:r w:rsidRPr="00ED237F">
        <w:t xml:space="preserve"> </w:t>
      </w:r>
      <w:r>
        <w:t xml:space="preserve">and the ongoing long term extension </w:t>
      </w:r>
      <w:r w:rsidRPr="00412987">
        <w:t>study (</w:t>
      </w:r>
      <w:r w:rsidR="00412987" w:rsidRPr="00412987">
        <w:t xml:space="preserve">Study </w:t>
      </w:r>
      <w:r w:rsidRPr="00412987">
        <w:t>I1F-MC-RHBY), includ</w:t>
      </w:r>
      <w:r>
        <w:t>ing, but not restricted to, results addressing the maintenance of response after treatment withdrawal, on completion of the</w:t>
      </w:r>
      <w:r>
        <w:rPr>
          <w:b/>
        </w:rPr>
        <w:t xml:space="preserve"> </w:t>
      </w:r>
      <w:r>
        <w:t>respective studies.</w:t>
      </w:r>
    </w:p>
    <w:p w14:paraId="33DF7D08" w14:textId="77777777" w:rsidR="00D23139" w:rsidRDefault="00D23139" w:rsidP="00D23139">
      <w:pPr>
        <w:pStyle w:val="Heading4"/>
      </w:pPr>
      <w:r w:rsidRPr="00D23139">
        <w:t>Proposed action</w:t>
      </w:r>
    </w:p>
    <w:p w14:paraId="6E02D40F" w14:textId="0D925636" w:rsidR="00022518" w:rsidRDefault="00022518" w:rsidP="00022518">
      <w:r>
        <w:t xml:space="preserve">Pending advice from </w:t>
      </w:r>
      <w:r w:rsidR="00E95D94">
        <w:t>Advisory Committee on Medicines (</w:t>
      </w:r>
      <w:r>
        <w:t>ACM</w:t>
      </w:r>
      <w:r w:rsidR="00E95D94">
        <w:t>)</w:t>
      </w:r>
      <w:r>
        <w:t xml:space="preserve"> and the s</w:t>
      </w:r>
      <w:r w:rsidR="00277FF9">
        <w:t>ponsor’s pre-ACM response, the D</w:t>
      </w:r>
      <w:r>
        <w:t>elegate considers the benefit/risk profile of ixekizumab to be positive and recommends approval for the indication</w:t>
      </w:r>
      <w:r w:rsidR="00E95D94">
        <w:t>:</w:t>
      </w:r>
    </w:p>
    <w:p w14:paraId="7D8E3603" w14:textId="51EF5867" w:rsidR="00022518" w:rsidRDefault="00022518" w:rsidP="00022518">
      <w:pPr>
        <w:ind w:left="720"/>
        <w:rPr>
          <w:i/>
        </w:rPr>
      </w:pPr>
      <w:r w:rsidRPr="00C42B14">
        <w:rPr>
          <w:i/>
        </w:rPr>
        <w:t>T</w:t>
      </w:r>
      <w:r w:rsidR="00300374" w:rsidRPr="00C42B14">
        <w:rPr>
          <w:i/>
        </w:rPr>
        <w:t>altz</w:t>
      </w:r>
      <w:r w:rsidRPr="00C42B14">
        <w:rPr>
          <w:i/>
        </w:rPr>
        <w:t xml:space="preserve"> is indicated for the treatment of active ankylosing spondylitis in adult patients.</w:t>
      </w:r>
    </w:p>
    <w:p w14:paraId="53BB06F4" w14:textId="0FAE849E" w:rsidR="00022518" w:rsidRDefault="00277FF9" w:rsidP="00022518">
      <w:r>
        <w:t>However, the D</w:t>
      </w:r>
      <w:r w:rsidR="00022518">
        <w:t xml:space="preserve">elegate also recommends that the dosing information does not include the </w:t>
      </w:r>
      <w:r w:rsidR="00960D95">
        <w:t>following</w:t>
      </w:r>
      <w:r w:rsidR="00022518">
        <w:t xml:space="preserve"> statement</w:t>
      </w:r>
      <w:r w:rsidR="00E95D94">
        <w:t>:</w:t>
      </w:r>
    </w:p>
    <w:p w14:paraId="49068DD7" w14:textId="1965F5C9" w:rsidR="00022518" w:rsidRPr="00484383" w:rsidRDefault="00960D95" w:rsidP="00484383">
      <w:pPr>
        <w:ind w:left="720"/>
      </w:pPr>
      <w:r>
        <w:t>‘</w:t>
      </w:r>
      <w:r w:rsidR="00022518" w:rsidRPr="00484383">
        <w:t>For patients who have had an inadequate response or are intolerant to at least 1</w:t>
      </w:r>
      <w:r w:rsidR="003456AF">
        <w:t> </w:t>
      </w:r>
      <w:r w:rsidR="00022518" w:rsidRPr="00484383">
        <w:t>TNF inhibitor, a dose of 160 mg (two 80 mg injections) by subcutaneous injection at Week 0, followed by 80 mg every 4 weeks may be considered.</w:t>
      </w:r>
      <w:r>
        <w:t>’</w:t>
      </w:r>
    </w:p>
    <w:p w14:paraId="1FCC6B1C" w14:textId="230C041B" w:rsidR="00456765" w:rsidRPr="00456765" w:rsidRDefault="00022518" w:rsidP="00456765">
      <w:r>
        <w:t>There is insufficient evidence in the dossier to support this statement.</w:t>
      </w:r>
    </w:p>
    <w:p w14:paraId="29BD465E" w14:textId="48A810B3" w:rsidR="00456765" w:rsidRDefault="007C2A0E" w:rsidP="0094686B">
      <w:pPr>
        <w:pStyle w:val="Heading4"/>
      </w:pPr>
      <w:r>
        <w:t>Request for Advisory Committee on Medicines</w:t>
      </w:r>
      <w:r w:rsidR="00D23139" w:rsidRPr="00D23139">
        <w:t xml:space="preserve"> advice</w:t>
      </w:r>
    </w:p>
    <w:p w14:paraId="72956C3B" w14:textId="6863C0AD" w:rsidR="007C2A0E" w:rsidRPr="007C2A0E" w:rsidRDefault="005F7FF6" w:rsidP="007C2A0E">
      <w:r>
        <w:t>The c</w:t>
      </w:r>
      <w:r w:rsidR="007C2A0E">
        <w:t>ommittee is requested to provide advice on the following specific issues:</w:t>
      </w:r>
    </w:p>
    <w:p w14:paraId="7113F8E4" w14:textId="77777777" w:rsidR="007C2A0E" w:rsidRPr="007C2A0E" w:rsidRDefault="007C2A0E" w:rsidP="007C2A0E">
      <w:pPr>
        <w:pStyle w:val="Numberbullet0"/>
        <w:rPr>
          <w:rFonts w:ascii="Calibri" w:eastAsiaTheme="minorHAnsi" w:hAnsi="Calibri"/>
          <w:lang w:eastAsia="en-AU"/>
        </w:rPr>
      </w:pPr>
      <w:r w:rsidRPr="007C2A0E">
        <w:rPr>
          <w:lang w:eastAsia="en-AU"/>
        </w:rPr>
        <w:t>What are the views of the Committee on restricting the indication for AS to second line treatment after cDMARDs?</w:t>
      </w:r>
    </w:p>
    <w:p w14:paraId="26803C32" w14:textId="43B65C29" w:rsidR="007C2A0E" w:rsidRDefault="007C2A0E" w:rsidP="007C2A0E">
      <w:pPr>
        <w:pStyle w:val="Numberbullet0"/>
        <w:rPr>
          <w:lang w:eastAsia="en-AU"/>
        </w:rPr>
      </w:pPr>
      <w:r w:rsidRPr="007C2A0E">
        <w:rPr>
          <w:lang w:eastAsia="en-AU"/>
        </w:rPr>
        <w:t>What are the views of the Committee on whether a loading dose of 160</w:t>
      </w:r>
      <w:r w:rsidR="00484383">
        <w:rPr>
          <w:lang w:eastAsia="en-AU"/>
        </w:rPr>
        <w:t xml:space="preserve"> </w:t>
      </w:r>
      <w:r w:rsidRPr="007C2A0E">
        <w:rPr>
          <w:lang w:eastAsia="en-AU"/>
        </w:rPr>
        <w:t xml:space="preserve">mg at </w:t>
      </w:r>
      <w:r w:rsidR="004A75ED">
        <w:rPr>
          <w:lang w:eastAsia="en-AU"/>
        </w:rPr>
        <w:t>W</w:t>
      </w:r>
      <w:r w:rsidRPr="007C2A0E">
        <w:rPr>
          <w:lang w:eastAsia="en-AU"/>
        </w:rPr>
        <w:t>eek 0 is justified to achieve efficacy in either bDMARD naïve or TNFi-experienced populations?</w:t>
      </w:r>
    </w:p>
    <w:p w14:paraId="09AEC336" w14:textId="7AEC1D12" w:rsidR="007C2A0E" w:rsidRDefault="007C2A0E" w:rsidP="007C2A0E">
      <w:pPr>
        <w:pStyle w:val="Numberbullet0"/>
        <w:rPr>
          <w:lang w:eastAsia="en-AU"/>
        </w:rPr>
      </w:pPr>
      <w:r>
        <w:rPr>
          <w:lang w:eastAsia="en-AU"/>
        </w:rPr>
        <w:t>The Committee is also requested to provide advice on any other issues that it thinks may be relevant to a decision on whether or not to approve this application</w:t>
      </w:r>
      <w:r w:rsidR="006C1EFA">
        <w:rPr>
          <w:lang w:eastAsia="en-AU"/>
        </w:rPr>
        <w:t>.</w:t>
      </w:r>
    </w:p>
    <w:p w14:paraId="5D41438A" w14:textId="3888A20C" w:rsidR="008E7846" w:rsidRDefault="008E7846" w:rsidP="008E7846">
      <w:pPr>
        <w:pStyle w:val="Heading4"/>
      </w:pPr>
      <w:r>
        <w:lastRenderedPageBreak/>
        <w:t xml:space="preserve">Advisory Committee </w:t>
      </w:r>
      <w:r w:rsidR="00960D95">
        <w:t>c</w:t>
      </w:r>
      <w:r>
        <w:t>onsiderations</w:t>
      </w:r>
      <w:r w:rsidR="00456765">
        <w:rPr>
          <w:rStyle w:val="FootnoteReference"/>
        </w:rPr>
        <w:footnoteReference w:id="15"/>
      </w:r>
    </w:p>
    <w:p w14:paraId="080157E3" w14:textId="6CBD7C13" w:rsidR="006C1EFA" w:rsidRPr="006C1EFA" w:rsidRDefault="006C1EFA" w:rsidP="006C1EFA">
      <w:r w:rsidRPr="006C1EFA">
        <w:t xml:space="preserve">The ACM considered the referral for advice from the TGA Delegate in relation to the submission to register Taltz, a </w:t>
      </w:r>
      <w:r w:rsidR="004A75ED">
        <w:t>s</w:t>
      </w:r>
      <w:r w:rsidRPr="006C1EFA">
        <w:t>olution for injection, con</w:t>
      </w:r>
      <w:r>
        <w:t>taining 80 mg/ml of ixekizumab.</w:t>
      </w:r>
    </w:p>
    <w:p w14:paraId="36954B99" w14:textId="0F0F36FD" w:rsidR="006C1EFA" w:rsidRPr="006C1EFA" w:rsidRDefault="006C1EFA" w:rsidP="006C1EFA">
      <w:r w:rsidRPr="006C1EFA">
        <w:t>The ACM considered this product to have an overall positive benefit-risk profi</w:t>
      </w:r>
      <w:r>
        <w:t>le for the proposed indication:</w:t>
      </w:r>
    </w:p>
    <w:p w14:paraId="48896B14" w14:textId="742488D6" w:rsidR="006C1EFA" w:rsidRDefault="006C1EFA" w:rsidP="006C1EFA">
      <w:pPr>
        <w:ind w:left="720"/>
      </w:pPr>
      <w:r w:rsidRPr="006C1EFA">
        <w:rPr>
          <w:i/>
          <w:iCs/>
        </w:rPr>
        <w:t>Taltz is indicated for the treatment of active ankylosing spondylitis in adult patients.</w:t>
      </w:r>
    </w:p>
    <w:p w14:paraId="0696B0C4" w14:textId="7AACA0F1" w:rsidR="006C1EFA" w:rsidRPr="006C1EFA" w:rsidRDefault="006C1EFA" w:rsidP="006C1EFA">
      <w:pPr>
        <w:pStyle w:val="Heading5"/>
        <w:rPr>
          <w:rFonts w:eastAsiaTheme="minorHAnsi"/>
        </w:rPr>
      </w:pPr>
      <w:r w:rsidRPr="006C1EFA">
        <w:rPr>
          <w:rFonts w:eastAsiaTheme="minorHAnsi"/>
        </w:rPr>
        <w:t xml:space="preserve">Specific </w:t>
      </w:r>
      <w:r w:rsidR="00960D95">
        <w:rPr>
          <w:rFonts w:eastAsiaTheme="minorHAnsi"/>
        </w:rPr>
        <w:t>a</w:t>
      </w:r>
      <w:r w:rsidRPr="006C1EFA">
        <w:rPr>
          <w:rFonts w:eastAsiaTheme="minorHAnsi"/>
        </w:rPr>
        <w:t>dvice</w:t>
      </w:r>
    </w:p>
    <w:p w14:paraId="675732D9" w14:textId="0B30C05A" w:rsidR="006C1EFA" w:rsidRPr="006C1EFA" w:rsidRDefault="006C1EFA" w:rsidP="006C1EFA">
      <w:pPr>
        <w:rPr>
          <w:b/>
        </w:rPr>
      </w:pPr>
      <w:r w:rsidRPr="006C1EFA">
        <w:t>The ACM advised the following in response to the Delegate</w:t>
      </w:r>
      <w:r>
        <w:t>’s specific request for advice:</w:t>
      </w:r>
    </w:p>
    <w:p w14:paraId="3E98A589" w14:textId="11077D1B" w:rsidR="00022518" w:rsidRPr="00484383" w:rsidRDefault="00022518" w:rsidP="006C1EFA">
      <w:pPr>
        <w:pStyle w:val="Numberbullet0"/>
        <w:numPr>
          <w:ilvl w:val="0"/>
          <w:numId w:val="38"/>
        </w:numPr>
        <w:rPr>
          <w:b/>
          <w:i/>
        </w:rPr>
      </w:pPr>
      <w:r w:rsidRPr="00484383">
        <w:rPr>
          <w:b/>
          <w:i/>
        </w:rPr>
        <w:t>What are the views of the Committee on restricting the indication for AS to second line treatment after cDM</w:t>
      </w:r>
      <w:r w:rsidR="00E95D94" w:rsidRPr="00484383">
        <w:rPr>
          <w:b/>
          <w:i/>
        </w:rPr>
        <w:t>ARDs?</w:t>
      </w:r>
    </w:p>
    <w:p w14:paraId="01134833" w14:textId="4E0EB1C7" w:rsidR="00022518" w:rsidRDefault="00022518" w:rsidP="00E95D94">
      <w:pPr>
        <w:rPr>
          <w:rFonts w:eastAsiaTheme="minorHAnsi" w:cs="Cambria"/>
          <w:color w:val="000000"/>
        </w:rPr>
      </w:pPr>
      <w:r w:rsidRPr="00022518">
        <w:rPr>
          <w:rFonts w:eastAsiaTheme="minorHAnsi" w:cs="Cambria"/>
          <w:color w:val="000000"/>
        </w:rPr>
        <w:t xml:space="preserve">The ACM was of the view that cDMARDs generally offer limited benefit in the treatment of axial inflammation. Restricting the indication for </w:t>
      </w:r>
      <w:r w:rsidR="004A75ED">
        <w:rPr>
          <w:rFonts w:eastAsiaTheme="minorHAnsi" w:cs="Cambria"/>
          <w:color w:val="000000"/>
        </w:rPr>
        <w:t>AS</w:t>
      </w:r>
      <w:r w:rsidRPr="00022518">
        <w:rPr>
          <w:rFonts w:eastAsiaTheme="minorHAnsi" w:cs="Cambria"/>
          <w:color w:val="000000"/>
        </w:rPr>
        <w:t xml:space="preserve"> to second line could potentially delay other treatments which may be more beneficial to the patient. Therefore, the ACM was of the view that the restriction was not appropriate, and that ixekizumab could b</w:t>
      </w:r>
      <w:r w:rsidR="00D300D6">
        <w:rPr>
          <w:rFonts w:eastAsiaTheme="minorHAnsi" w:cs="Cambria"/>
          <w:color w:val="000000"/>
        </w:rPr>
        <w:t xml:space="preserve">e used as a first </w:t>
      </w:r>
      <w:r w:rsidR="00E95D94">
        <w:rPr>
          <w:rFonts w:eastAsiaTheme="minorHAnsi" w:cs="Cambria"/>
          <w:color w:val="000000"/>
        </w:rPr>
        <w:t>line therapy.</w:t>
      </w:r>
    </w:p>
    <w:p w14:paraId="4026168F" w14:textId="3AB560A8" w:rsidR="00022518" w:rsidRPr="00484383" w:rsidRDefault="00022518" w:rsidP="007C2A0E">
      <w:pPr>
        <w:pStyle w:val="Numberbullet0"/>
        <w:rPr>
          <w:b/>
          <w:i/>
        </w:rPr>
      </w:pPr>
      <w:r w:rsidRPr="00484383">
        <w:rPr>
          <w:b/>
          <w:i/>
        </w:rPr>
        <w:t>What are the views of the Committee on whet</w:t>
      </w:r>
      <w:r w:rsidR="00E95D94" w:rsidRPr="00484383">
        <w:rPr>
          <w:b/>
          <w:i/>
        </w:rPr>
        <w:t>her a loading dose of 160 mg at W</w:t>
      </w:r>
      <w:r w:rsidRPr="00484383">
        <w:rPr>
          <w:b/>
          <w:i/>
        </w:rPr>
        <w:t>eek 0 is justified to achieve efficacy in either bDMARD naïve o</w:t>
      </w:r>
      <w:r w:rsidR="006C1EFA" w:rsidRPr="00484383">
        <w:rPr>
          <w:b/>
          <w:i/>
        </w:rPr>
        <w:t>r TNFi-experienced populations?</w:t>
      </w:r>
    </w:p>
    <w:p w14:paraId="103C37EE" w14:textId="41F5DFBF" w:rsidR="00022518" w:rsidRPr="00022518" w:rsidRDefault="00022518" w:rsidP="00E95D94">
      <w:r w:rsidRPr="00022518">
        <w:t>The ACM advised that there is limited efficacy data to support the adminstration of a loa</w:t>
      </w:r>
      <w:r w:rsidR="001B7336">
        <w:t>ding dose at B</w:t>
      </w:r>
      <w:r w:rsidRPr="00022518">
        <w:t>aseline. The ACM was of the view that ixekizumab should be admin</w:t>
      </w:r>
      <w:r w:rsidR="006C1EFA">
        <w:t>istered without a loading dose.</w:t>
      </w:r>
    </w:p>
    <w:p w14:paraId="6780F4B3" w14:textId="6DB3F717" w:rsidR="00022518" w:rsidRPr="00484383" w:rsidRDefault="00022518" w:rsidP="007C2A0E">
      <w:pPr>
        <w:pStyle w:val="Numberbullet0"/>
        <w:rPr>
          <w:b/>
          <w:i/>
        </w:rPr>
      </w:pPr>
      <w:r w:rsidRPr="00484383">
        <w:rPr>
          <w:b/>
          <w:i/>
        </w:rPr>
        <w:t>The Committee is also requested to provide advice on any other issues that it thinks may be relevant to a decision on whether or not to approv</w:t>
      </w:r>
      <w:r w:rsidR="006C1EFA" w:rsidRPr="00484383">
        <w:rPr>
          <w:b/>
          <w:i/>
        </w:rPr>
        <w:t>e this application</w:t>
      </w:r>
      <w:r w:rsidR="006B73D3">
        <w:rPr>
          <w:b/>
          <w:i/>
        </w:rPr>
        <w:t>.</w:t>
      </w:r>
    </w:p>
    <w:p w14:paraId="32CCBF4F" w14:textId="59387308" w:rsidR="00022518" w:rsidRDefault="00022518" w:rsidP="00E95D94">
      <w:r w:rsidRPr="00022518">
        <w:t>The ACM expressed concern regarding the auto-injector device and the possibility of needle-stick injury to patients when self-administering their injections. This is because the administration button depresses even when the twist off base cap is in place. When the cap is removed the needle will extend beyond the clear base cap and release the medicine. To prevent medicine from spilling from the device, patients may instinctively use their fingers to stop the spill and incur a needle-stick injury in the process.</w:t>
      </w:r>
    </w:p>
    <w:p w14:paraId="5B1602EC" w14:textId="77777777" w:rsidR="008E7846" w:rsidRPr="002E238E" w:rsidRDefault="008E7846" w:rsidP="008E7846">
      <w:pPr>
        <w:pStyle w:val="Heading3"/>
      </w:pPr>
      <w:bookmarkStart w:id="52" w:name="_Toc247691532"/>
      <w:bookmarkStart w:id="53" w:name="_Toc314842516"/>
      <w:bookmarkStart w:id="54" w:name="_Toc41551352"/>
      <w:bookmarkEnd w:id="30"/>
      <w:bookmarkEnd w:id="50"/>
      <w:bookmarkEnd w:id="51"/>
      <w:r>
        <w:t>Outcome</w:t>
      </w:r>
      <w:bookmarkEnd w:id="52"/>
      <w:bookmarkEnd w:id="53"/>
      <w:bookmarkEnd w:id="54"/>
    </w:p>
    <w:p w14:paraId="767B0919" w14:textId="163E8EE3" w:rsidR="00D23139" w:rsidRPr="00D23139" w:rsidRDefault="00D23139" w:rsidP="005E1EAC">
      <w:bookmarkStart w:id="55" w:name="_Toc247691533"/>
      <w:bookmarkStart w:id="56" w:name="_Toc314842517"/>
      <w:r w:rsidRPr="00D23139">
        <w:t xml:space="preserve">Based on a review of quality, safety and efficacy, </w:t>
      </w:r>
      <w:r w:rsidR="003456AF">
        <w:t xml:space="preserve">the </w:t>
      </w:r>
      <w:r w:rsidRPr="00D23139">
        <w:t xml:space="preserve">TGA approved the registration of </w:t>
      </w:r>
      <w:r w:rsidR="005E1EAC" w:rsidRPr="005E1EAC">
        <w:t xml:space="preserve">Taltz </w:t>
      </w:r>
      <w:r w:rsidR="004A75ED">
        <w:t>(</w:t>
      </w:r>
      <w:r w:rsidR="005E1EAC" w:rsidRPr="005E1EAC">
        <w:t>ixekizumab</w:t>
      </w:r>
      <w:r w:rsidR="004A75ED">
        <w:t>)</w:t>
      </w:r>
      <w:r w:rsidR="005E1EAC" w:rsidRPr="005E1EAC">
        <w:t xml:space="preserve"> 80 mg/mL solution for injection </w:t>
      </w:r>
      <w:r w:rsidR="00497FE5">
        <w:t>for the following extension of indications</w:t>
      </w:r>
      <w:r w:rsidRPr="00D23139">
        <w:t>:</w:t>
      </w:r>
    </w:p>
    <w:p w14:paraId="37502A74" w14:textId="17B3C43D" w:rsidR="005E1EAC" w:rsidRPr="0094686B" w:rsidRDefault="005E1EAC" w:rsidP="00497FE5">
      <w:pPr>
        <w:ind w:left="720"/>
        <w:rPr>
          <w:b/>
          <w:i/>
        </w:rPr>
      </w:pPr>
      <w:r w:rsidRPr="0094686B">
        <w:rPr>
          <w:b/>
          <w:i/>
        </w:rPr>
        <w:t xml:space="preserve">Ankylosing </w:t>
      </w:r>
      <w:r w:rsidR="00960D95" w:rsidRPr="0094686B">
        <w:rPr>
          <w:b/>
          <w:i/>
        </w:rPr>
        <w:t>spondylitis (radiographic axial spondyloarthritis)</w:t>
      </w:r>
    </w:p>
    <w:p w14:paraId="7EC0A1F5" w14:textId="139AAD8E" w:rsidR="00D23139" w:rsidRDefault="005E1EAC" w:rsidP="00497FE5">
      <w:pPr>
        <w:ind w:left="720"/>
        <w:rPr>
          <w:i/>
        </w:rPr>
      </w:pPr>
      <w:r w:rsidRPr="00697BD6">
        <w:rPr>
          <w:i/>
        </w:rPr>
        <w:t>Taltz is indicated for the treatment of active ankylosing spondylitis in adult patients.</w:t>
      </w:r>
    </w:p>
    <w:p w14:paraId="195A6323" w14:textId="77777777" w:rsidR="00497FE5" w:rsidRDefault="00497FE5" w:rsidP="00497FE5">
      <w:r>
        <w:lastRenderedPageBreak/>
        <w:t>As such, the full indications at this time were:</w:t>
      </w:r>
    </w:p>
    <w:p w14:paraId="67BFF113" w14:textId="77777777" w:rsidR="00497FE5" w:rsidRPr="00497FE5" w:rsidRDefault="00497FE5" w:rsidP="00497FE5">
      <w:pPr>
        <w:ind w:left="720"/>
        <w:rPr>
          <w:b/>
          <w:i/>
        </w:rPr>
      </w:pPr>
      <w:r w:rsidRPr="00497FE5">
        <w:rPr>
          <w:b/>
          <w:i/>
        </w:rPr>
        <w:t>Plaque psoriasis</w:t>
      </w:r>
    </w:p>
    <w:p w14:paraId="40799036" w14:textId="211FD1B7" w:rsidR="00497FE5" w:rsidRPr="00497FE5" w:rsidRDefault="00497FE5" w:rsidP="00497FE5">
      <w:pPr>
        <w:ind w:left="720"/>
        <w:rPr>
          <w:rFonts w:cs="Cambria-Italic"/>
          <w:i/>
        </w:rPr>
      </w:pPr>
      <w:r w:rsidRPr="00497FE5">
        <w:rPr>
          <w:rFonts w:cs="Cambria-Italic"/>
          <w:i/>
        </w:rPr>
        <w:t>T</w:t>
      </w:r>
      <w:r w:rsidR="00300374" w:rsidRPr="00497FE5">
        <w:rPr>
          <w:rFonts w:cs="Cambria-Italic"/>
          <w:i/>
        </w:rPr>
        <w:t>altz</w:t>
      </w:r>
      <w:r w:rsidRPr="00497FE5">
        <w:rPr>
          <w:rFonts w:cs="Cambria-Italic"/>
          <w:i/>
        </w:rPr>
        <w:t xml:space="preserve"> is indicated for the treatment of adult patients with mode</w:t>
      </w:r>
      <w:r>
        <w:rPr>
          <w:rFonts w:cs="Cambria-Italic"/>
          <w:i/>
        </w:rPr>
        <w:t xml:space="preserve">rate-to-severe plaque psoriasis </w:t>
      </w:r>
      <w:r w:rsidRPr="00497FE5">
        <w:rPr>
          <w:rFonts w:cs="Cambria-Italic"/>
          <w:i/>
        </w:rPr>
        <w:t>who are candidates for systemic therapy or phototherapy.</w:t>
      </w:r>
    </w:p>
    <w:p w14:paraId="129E2E21" w14:textId="77777777" w:rsidR="00497FE5" w:rsidRPr="00497FE5" w:rsidRDefault="00497FE5" w:rsidP="00497FE5">
      <w:pPr>
        <w:ind w:left="720"/>
        <w:rPr>
          <w:b/>
          <w:i/>
        </w:rPr>
      </w:pPr>
      <w:r w:rsidRPr="00497FE5">
        <w:rPr>
          <w:b/>
          <w:i/>
        </w:rPr>
        <w:t>Psoriatic arthritis</w:t>
      </w:r>
    </w:p>
    <w:p w14:paraId="46BD9AF2" w14:textId="3CEB6021" w:rsidR="00497FE5" w:rsidRPr="00497FE5" w:rsidRDefault="00497FE5" w:rsidP="00497FE5">
      <w:pPr>
        <w:ind w:left="720"/>
        <w:rPr>
          <w:rFonts w:cs="Cambria-Italic"/>
          <w:i/>
        </w:rPr>
      </w:pPr>
      <w:r w:rsidRPr="00497FE5">
        <w:rPr>
          <w:rFonts w:cs="Cambria-Italic"/>
          <w:i/>
        </w:rPr>
        <w:t>T</w:t>
      </w:r>
      <w:r w:rsidR="00300374" w:rsidRPr="00497FE5">
        <w:rPr>
          <w:rFonts w:cs="Cambria-Italic"/>
          <w:i/>
        </w:rPr>
        <w:t>altz</w:t>
      </w:r>
      <w:r w:rsidRPr="00497FE5">
        <w:rPr>
          <w:rFonts w:cs="Cambria-Italic"/>
          <w:i/>
        </w:rPr>
        <w:t xml:space="preserve"> is indicated for the treatment of active psoriatic arthr</w:t>
      </w:r>
      <w:r>
        <w:rPr>
          <w:rFonts w:cs="Cambria-Italic"/>
          <w:i/>
        </w:rPr>
        <w:t xml:space="preserve">itis in adult patients who have </w:t>
      </w:r>
      <w:r w:rsidRPr="00497FE5">
        <w:rPr>
          <w:rFonts w:cs="Cambria-Italic"/>
          <w:i/>
        </w:rPr>
        <w:t>responded inadequately, or who are intolerant, to previous DMARD therapy.</w:t>
      </w:r>
    </w:p>
    <w:p w14:paraId="32E4C505" w14:textId="4CCC4636" w:rsidR="00497FE5" w:rsidRPr="00497FE5" w:rsidRDefault="00497FE5" w:rsidP="00497FE5">
      <w:pPr>
        <w:ind w:left="720"/>
        <w:rPr>
          <w:rFonts w:cs="Cambria-Italic"/>
          <w:i/>
        </w:rPr>
      </w:pPr>
      <w:r w:rsidRPr="00497FE5">
        <w:rPr>
          <w:rFonts w:cs="Cambria-Italic"/>
          <w:i/>
        </w:rPr>
        <w:t>T</w:t>
      </w:r>
      <w:r w:rsidR="00300374" w:rsidRPr="00497FE5">
        <w:rPr>
          <w:rFonts w:cs="Cambria-Italic"/>
          <w:i/>
        </w:rPr>
        <w:t>altz</w:t>
      </w:r>
      <w:r w:rsidRPr="00497FE5">
        <w:rPr>
          <w:rFonts w:cs="Cambria-Italic"/>
          <w:i/>
        </w:rPr>
        <w:t xml:space="preserve"> may be used as monotherapy or in combination </w:t>
      </w:r>
      <w:r>
        <w:rPr>
          <w:rFonts w:cs="Cambria-Italic"/>
          <w:i/>
        </w:rPr>
        <w:t xml:space="preserve">with a conventional DMARD (e.g. </w:t>
      </w:r>
      <w:r w:rsidRPr="00497FE5">
        <w:rPr>
          <w:rFonts w:cs="Cambria-Italic"/>
          <w:i/>
        </w:rPr>
        <w:t>methotrexate).</w:t>
      </w:r>
    </w:p>
    <w:p w14:paraId="0D670C8A" w14:textId="641E8CAE" w:rsidR="00497FE5" w:rsidRPr="00497FE5" w:rsidRDefault="00497FE5" w:rsidP="00497FE5">
      <w:pPr>
        <w:ind w:left="720"/>
        <w:rPr>
          <w:b/>
          <w:i/>
        </w:rPr>
      </w:pPr>
      <w:r w:rsidRPr="00497FE5">
        <w:rPr>
          <w:b/>
          <w:i/>
        </w:rPr>
        <w:t xml:space="preserve">Ankylosing </w:t>
      </w:r>
      <w:r w:rsidR="00960D95" w:rsidRPr="00497FE5">
        <w:rPr>
          <w:b/>
          <w:i/>
        </w:rPr>
        <w:t>spondylitis (radiographic axial spondyloarthritis</w:t>
      </w:r>
      <w:r w:rsidRPr="00497FE5">
        <w:rPr>
          <w:b/>
          <w:i/>
        </w:rPr>
        <w:t>)</w:t>
      </w:r>
    </w:p>
    <w:p w14:paraId="3000CB26" w14:textId="13C33EE0" w:rsidR="00497FE5" w:rsidRPr="00497FE5" w:rsidRDefault="00497FE5" w:rsidP="00497FE5">
      <w:pPr>
        <w:ind w:left="720"/>
        <w:rPr>
          <w:i/>
        </w:rPr>
      </w:pPr>
      <w:r w:rsidRPr="00497FE5">
        <w:rPr>
          <w:rFonts w:cs="Cambria-Italic"/>
          <w:i/>
        </w:rPr>
        <w:t>T</w:t>
      </w:r>
      <w:r w:rsidR="00300374" w:rsidRPr="00497FE5">
        <w:rPr>
          <w:rFonts w:cs="Cambria-Italic"/>
          <w:i/>
        </w:rPr>
        <w:t>altz</w:t>
      </w:r>
      <w:r w:rsidRPr="00497FE5">
        <w:rPr>
          <w:rFonts w:cs="Cambria-Italic"/>
          <w:i/>
        </w:rPr>
        <w:t xml:space="preserve"> is indicated for the treatment of active ankylosing spondylitis in adult patients.</w:t>
      </w:r>
    </w:p>
    <w:p w14:paraId="3F122B24" w14:textId="77777777" w:rsidR="00D23139" w:rsidRPr="00D23139" w:rsidRDefault="00D23139" w:rsidP="00D23139">
      <w:pPr>
        <w:pStyle w:val="Heading4"/>
      </w:pPr>
      <w:r w:rsidRPr="00D23139">
        <w:t>Specific conditions of registration applying to these goods</w:t>
      </w:r>
    </w:p>
    <w:p w14:paraId="4336F8FF" w14:textId="3E765151" w:rsidR="00CE5577" w:rsidRPr="00CE5577" w:rsidRDefault="00CE5577" w:rsidP="00CE5577">
      <w:pPr>
        <w:pStyle w:val="ListBullet"/>
      </w:pPr>
      <w:r>
        <w:t xml:space="preserve">The approval does not impose any requirement for the submission of </w:t>
      </w:r>
      <w:r w:rsidR="003456AF">
        <w:t>periodic safety update reports (</w:t>
      </w:r>
      <w:r>
        <w:t>PSUR</w:t>
      </w:r>
      <w:r w:rsidR="003456AF">
        <w:t>)</w:t>
      </w:r>
      <w:r w:rsidRPr="00CE5577">
        <w:rPr>
          <w:rFonts w:eastAsiaTheme="minorHAnsi" w:cs="Cambria"/>
        </w:rPr>
        <w:t xml:space="preserve">. </w:t>
      </w:r>
      <w:r>
        <w:rPr>
          <w:rFonts w:eastAsiaTheme="minorHAnsi" w:cs="Cambria"/>
        </w:rPr>
        <w:t>The sponsor</w:t>
      </w:r>
      <w:r w:rsidRPr="00CE5577">
        <w:rPr>
          <w:rFonts w:eastAsiaTheme="minorHAnsi" w:cs="Cambria"/>
        </w:rPr>
        <w:t xml:space="preserve"> should note that it is a requirement that all existing requirements</w:t>
      </w:r>
      <w:r>
        <w:rPr>
          <w:rFonts w:eastAsiaTheme="minorHAnsi" w:cs="Cambria"/>
        </w:rPr>
        <w:t xml:space="preserve"> </w:t>
      </w:r>
      <w:r w:rsidRPr="00CE5577">
        <w:rPr>
          <w:rFonts w:eastAsiaTheme="minorHAnsi" w:cs="Cambria"/>
        </w:rPr>
        <w:t>for the submission of PSURs as a consequence of the initial registration or subsequent</w:t>
      </w:r>
      <w:r>
        <w:rPr>
          <w:rFonts w:eastAsiaTheme="minorHAnsi" w:cs="Cambria"/>
        </w:rPr>
        <w:t xml:space="preserve"> </w:t>
      </w:r>
      <w:r w:rsidRPr="00CE5577">
        <w:rPr>
          <w:rFonts w:eastAsiaTheme="minorHAnsi" w:cs="Cambria"/>
        </w:rPr>
        <w:t>changes must be completed.</w:t>
      </w:r>
    </w:p>
    <w:p w14:paraId="23CA8CA0" w14:textId="0DE554CF" w:rsidR="00CE5577" w:rsidRDefault="00AB6E26" w:rsidP="00CE5577">
      <w:pPr>
        <w:pStyle w:val="ListBullet"/>
      </w:pPr>
      <w:r>
        <w:t xml:space="preserve">The sponsor must submit, as Category 1 submissions to the TGA, the final clinical study reports </w:t>
      </w:r>
      <w:r w:rsidR="00412987">
        <w:t>of the fully completed pivotal s</w:t>
      </w:r>
      <w:r>
        <w:t>tudies (</w:t>
      </w:r>
      <w:r w:rsidR="00412987">
        <w:t xml:space="preserve">Study </w:t>
      </w:r>
      <w:r>
        <w:t xml:space="preserve">I1F-MC-RHBV, </w:t>
      </w:r>
      <w:r w:rsidR="00412987">
        <w:t>Study</w:t>
      </w:r>
      <w:r w:rsidR="003442FB">
        <w:t> </w:t>
      </w:r>
      <w:r>
        <w:t>I1F</w:t>
      </w:r>
      <w:r w:rsidR="003442FB">
        <w:noBreakHyphen/>
      </w:r>
      <w:r>
        <w:t>MC-RHBW) and the ongoing long t</w:t>
      </w:r>
      <w:r w:rsidR="002E5935">
        <w:t xml:space="preserve">erm extension </w:t>
      </w:r>
      <w:r w:rsidR="00412987">
        <w:t>s</w:t>
      </w:r>
      <w:r>
        <w:t>tudy (</w:t>
      </w:r>
      <w:r w:rsidR="00412987">
        <w:t xml:space="preserve">Study </w:t>
      </w:r>
      <w:r>
        <w:t>I1F-MC-RHBY), including, but not restricted to, results addressing the maintenance of response after treatment withdrawal, on completion of the respective studies.</w:t>
      </w:r>
    </w:p>
    <w:p w14:paraId="324C678E" w14:textId="4B9307EA" w:rsidR="00960D95" w:rsidRDefault="00960D95" w:rsidP="00960D95">
      <w:pPr>
        <w:pStyle w:val="ListBullet"/>
      </w:pPr>
      <w:r>
        <w:t>For all injectable products the PI must be included with the product as a package insert.</w:t>
      </w:r>
    </w:p>
    <w:p w14:paraId="33348387" w14:textId="77777777" w:rsidR="008E7846" w:rsidRDefault="00A80B5B" w:rsidP="00D23139">
      <w:pPr>
        <w:pStyle w:val="Heading2"/>
      </w:pPr>
      <w:bookmarkStart w:id="57" w:name="_Toc41551353"/>
      <w:r>
        <w:t xml:space="preserve">Attachment 1. </w:t>
      </w:r>
      <w:r w:rsidR="008E7846">
        <w:t xml:space="preserve">Product </w:t>
      </w:r>
      <w:r w:rsidR="00AA0ED0">
        <w:t>I</w:t>
      </w:r>
      <w:r w:rsidR="008E7846">
        <w:t>nformation</w:t>
      </w:r>
      <w:bookmarkEnd w:id="55"/>
      <w:bookmarkEnd w:id="56"/>
      <w:bookmarkEnd w:id="57"/>
    </w:p>
    <w:p w14:paraId="6436CCFD" w14:textId="34625998" w:rsidR="00770CAC" w:rsidRPr="003442FB" w:rsidRDefault="006136D7" w:rsidP="003442FB">
      <w:pPr>
        <w:rPr>
          <w:color w:val="000000"/>
          <w:lang w:eastAsia="en-AU"/>
        </w:rPr>
      </w:pPr>
      <w:r w:rsidRPr="002B3624">
        <w:t xml:space="preserve">The </w:t>
      </w:r>
      <w:r>
        <w:t>PI</w:t>
      </w:r>
      <w:r w:rsidRPr="002B3624">
        <w:t xml:space="preserve"> for </w:t>
      </w:r>
      <w:r w:rsidR="00AB6E26" w:rsidRPr="006C1EFA">
        <w:t>Taltz</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AB6E26">
        <w:t>&gt;.</w:t>
      </w:r>
    </w:p>
    <w:p w14:paraId="25630152" w14:textId="77777777" w:rsidR="00291957" w:rsidRDefault="00291957" w:rsidP="00291957">
      <w:pPr>
        <w:rPr>
          <w:lang w:eastAsia="ja-JP"/>
        </w:rPr>
      </w:pPr>
    </w:p>
    <w:p w14:paraId="6236607B"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0B5F532" w14:textId="77777777" w:rsidTr="00A05FA4">
        <w:trPr>
          <w:trHeight w:hRule="exact" w:val="704"/>
        </w:trPr>
        <w:tc>
          <w:tcPr>
            <w:tcW w:w="9175" w:type="dxa"/>
          </w:tcPr>
          <w:p w14:paraId="5B2049A4" w14:textId="77777777" w:rsidR="001C32CD" w:rsidRPr="00487162" w:rsidRDefault="001C32CD" w:rsidP="00A05FA4">
            <w:pPr>
              <w:pStyle w:val="TGASignoff"/>
            </w:pPr>
            <w:r w:rsidRPr="00487162">
              <w:lastRenderedPageBreak/>
              <w:t>Therapeutic Goods Administration</w:t>
            </w:r>
          </w:p>
        </w:tc>
      </w:tr>
      <w:tr w:rsidR="001C32CD" w:rsidRPr="004C239D" w14:paraId="6B3F31EB" w14:textId="77777777" w:rsidTr="00A05FA4">
        <w:trPr>
          <w:trHeight w:val="1221"/>
        </w:trPr>
        <w:tc>
          <w:tcPr>
            <w:tcW w:w="9175" w:type="dxa"/>
            <w:tcMar>
              <w:top w:w="28" w:type="dxa"/>
            </w:tcMar>
          </w:tcPr>
          <w:p w14:paraId="5F8C1FC2" w14:textId="77777777" w:rsidR="001C32CD" w:rsidRPr="00487162" w:rsidRDefault="001C32CD" w:rsidP="00A05FA4">
            <w:pPr>
              <w:pStyle w:val="Address"/>
            </w:pPr>
            <w:r w:rsidRPr="00487162">
              <w:t>PO Box 100 Woden ACT 2606 Australia</w:t>
            </w:r>
          </w:p>
          <w:p w14:paraId="1DAB2FD8"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14:paraId="4B5732A8" w14:textId="77777777" w:rsidR="001C32CD" w:rsidRPr="004C239D" w:rsidRDefault="008F2C62"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726AEADF"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6F145" w14:textId="77777777" w:rsidR="00E05CED" w:rsidRDefault="00E05CED" w:rsidP="00C40A36">
      <w:pPr>
        <w:spacing w:after="0"/>
      </w:pPr>
      <w:r>
        <w:separator/>
      </w:r>
    </w:p>
  </w:endnote>
  <w:endnote w:type="continuationSeparator" w:id="0">
    <w:p w14:paraId="70BCC5BB" w14:textId="77777777" w:rsidR="00E05CED" w:rsidRDefault="00E05CE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Italic">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D76C" w14:textId="77777777" w:rsidR="00CB7322" w:rsidRDefault="00CB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05CED" w:rsidRPr="00487162" w14:paraId="5B93ACB3" w14:textId="77777777" w:rsidTr="00DB750B">
      <w:trPr>
        <w:trHeight w:val="269"/>
      </w:trPr>
      <w:tc>
        <w:tcPr>
          <w:tcW w:w="7371" w:type="dxa"/>
          <w:tcMar>
            <w:top w:w="142" w:type="dxa"/>
            <w:bottom w:w="0" w:type="dxa"/>
          </w:tcMar>
        </w:tcPr>
        <w:p w14:paraId="00411BB2" w14:textId="41C875A4" w:rsidR="00E05CED" w:rsidRDefault="00E05CED" w:rsidP="00DB750B">
          <w:pPr>
            <w:pStyle w:val="Footer"/>
          </w:pPr>
          <w:r>
            <w:t xml:space="preserve">AusPAR - </w:t>
          </w:r>
          <w:r w:rsidRPr="007944E2">
            <w:t>TALTZ - ixekizumab - Eli Lilly Australia Pty Ltd - PM-2018-05753-1-3</w:t>
          </w:r>
        </w:p>
        <w:p w14:paraId="5CD031C3" w14:textId="3B44DEA9" w:rsidR="00E05CED" w:rsidRPr="00487162" w:rsidRDefault="00E05CED" w:rsidP="006B73D3">
          <w:pPr>
            <w:pStyle w:val="Footer"/>
          </w:pPr>
          <w:r>
            <w:t>FINAL</w:t>
          </w:r>
          <w:r w:rsidRPr="00487162">
            <w:t xml:space="preserve"> </w:t>
          </w:r>
          <w:r>
            <w:t>22 June</w:t>
          </w:r>
          <w:r w:rsidRPr="006B73D3">
            <w:t xml:space="preserve"> 2020</w:t>
          </w:r>
        </w:p>
      </w:tc>
      <w:tc>
        <w:tcPr>
          <w:tcW w:w="1490" w:type="dxa"/>
          <w:tcMar>
            <w:top w:w="142" w:type="dxa"/>
            <w:bottom w:w="0" w:type="dxa"/>
          </w:tcMar>
        </w:tcPr>
        <w:p w14:paraId="3A11E53A" w14:textId="78BC8214" w:rsidR="00E05CED" w:rsidRPr="00487162" w:rsidRDefault="00E05CED" w:rsidP="00DB750B">
          <w:pPr>
            <w:pStyle w:val="Footer"/>
            <w:jc w:val="right"/>
          </w:pPr>
          <w:r w:rsidRPr="00487162">
            <w:t xml:space="preserve">Page </w:t>
          </w:r>
          <w:r>
            <w:fldChar w:fldCharType="begin"/>
          </w:r>
          <w:r>
            <w:instrText xml:space="preserve"> PAGE  \* Arabic </w:instrText>
          </w:r>
          <w:r>
            <w:fldChar w:fldCharType="separate"/>
          </w:r>
          <w:r w:rsidR="008F2C62">
            <w:rPr>
              <w:noProof/>
            </w:rPr>
            <w:t>2</w:t>
          </w:r>
          <w:r>
            <w:fldChar w:fldCharType="end"/>
          </w:r>
          <w:r w:rsidRPr="00487162">
            <w:t xml:space="preserve"> of </w:t>
          </w:r>
          <w:fldSimple w:instr=" NUMPAGES  \* Arabic ">
            <w:r w:rsidR="008F2C62">
              <w:rPr>
                <w:noProof/>
              </w:rPr>
              <w:t>27</w:t>
            </w:r>
          </w:fldSimple>
        </w:p>
      </w:tc>
    </w:tr>
  </w:tbl>
  <w:p w14:paraId="4B552592" w14:textId="77777777" w:rsidR="00E05CED" w:rsidRDefault="00E05CED"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635C" w14:textId="77777777" w:rsidR="00CB7322" w:rsidRDefault="00CB73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05CED" w:rsidRPr="00487162" w14:paraId="04B3A792" w14:textId="77777777" w:rsidTr="00E45619">
      <w:trPr>
        <w:trHeight w:val="269"/>
      </w:trPr>
      <w:tc>
        <w:tcPr>
          <w:tcW w:w="4519" w:type="dxa"/>
          <w:tcBorders>
            <w:top w:val="single" w:sz="4" w:space="0" w:color="auto"/>
          </w:tcBorders>
          <w:tcMar>
            <w:top w:w="142" w:type="dxa"/>
            <w:bottom w:w="0" w:type="dxa"/>
          </w:tcMar>
        </w:tcPr>
        <w:p w14:paraId="4A8B5B7A" w14:textId="77777777" w:rsidR="00E05CED" w:rsidRPr="00487162" w:rsidRDefault="00E05CED" w:rsidP="00FE1DEE">
          <w:pPr>
            <w:pStyle w:val="Footer"/>
          </w:pPr>
          <w:r w:rsidRPr="00487162">
            <w:t>Document title, Part #, Section # - Section title</w:t>
          </w:r>
        </w:p>
        <w:p w14:paraId="5F41338E" w14:textId="77777777" w:rsidR="00E05CED" w:rsidRPr="00487162" w:rsidRDefault="00E05CED" w:rsidP="00FE1DEE">
          <w:pPr>
            <w:pStyle w:val="Footer"/>
          </w:pPr>
          <w:r w:rsidRPr="00487162">
            <w:t>V1.0 October 2010</w:t>
          </w:r>
        </w:p>
      </w:tc>
      <w:tc>
        <w:tcPr>
          <w:tcW w:w="4342" w:type="dxa"/>
          <w:tcBorders>
            <w:top w:val="single" w:sz="4" w:space="0" w:color="auto"/>
          </w:tcBorders>
          <w:tcMar>
            <w:top w:w="142" w:type="dxa"/>
            <w:bottom w:w="0" w:type="dxa"/>
          </w:tcMar>
        </w:tcPr>
        <w:p w14:paraId="6363BF6D" w14:textId="77777777" w:rsidR="00E05CED" w:rsidRPr="00487162" w:rsidRDefault="00E05CE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7B303FE3" w14:textId="77777777" w:rsidR="00E05CED" w:rsidRDefault="00E05C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1448" w14:textId="77777777" w:rsidR="00E05CED" w:rsidRPr="001C32CD" w:rsidRDefault="00E05CED"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05CED" w14:paraId="628F8879" w14:textId="77777777" w:rsidTr="0010601F">
      <w:trPr>
        <w:trHeight w:val="108"/>
      </w:trPr>
      <w:tc>
        <w:tcPr>
          <w:tcW w:w="8875" w:type="dxa"/>
          <w:gridSpan w:val="2"/>
          <w:tcBorders>
            <w:bottom w:val="single" w:sz="4" w:space="0" w:color="auto"/>
          </w:tcBorders>
          <w:tcMar>
            <w:right w:w="284" w:type="dxa"/>
          </w:tcMar>
        </w:tcPr>
        <w:p w14:paraId="7757DBA3" w14:textId="77777777" w:rsidR="00E05CED" w:rsidRDefault="00E05CED" w:rsidP="006E08B3">
          <w:pPr>
            <w:pStyle w:val="Heading3"/>
          </w:pPr>
          <w:r>
            <w:t>Copyright</w:t>
          </w:r>
        </w:p>
        <w:p w14:paraId="0091FEE5" w14:textId="77777777" w:rsidR="00E05CED" w:rsidRDefault="00E05CED" w:rsidP="006E08B3">
          <w:r>
            <w:rPr>
              <w:rFonts w:cs="Arial"/>
            </w:rPr>
            <w:t>©</w:t>
          </w:r>
          <w:r>
            <w:t xml:space="preserve"> Commonwealth of Australia [add year]</w:t>
          </w:r>
        </w:p>
        <w:p w14:paraId="7BEC4246" w14:textId="77777777" w:rsidR="00E05CED" w:rsidRDefault="00E05CED" w:rsidP="006E08B3"/>
        <w:p w14:paraId="31B76248" w14:textId="77777777" w:rsidR="00E05CED" w:rsidRDefault="00E05CE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634223EB" w14:textId="77777777" w:rsidR="00E05CED" w:rsidRDefault="00E05CED" w:rsidP="006E08B3"/>
        <w:p w14:paraId="7B68DE50" w14:textId="77777777" w:rsidR="00E05CED" w:rsidRDefault="00E05CED" w:rsidP="006E08B3">
          <w:pPr>
            <w:pStyle w:val="Heading3"/>
          </w:pPr>
          <w:r>
            <w:t>Confidentiality</w:t>
          </w:r>
        </w:p>
        <w:p w14:paraId="01258B24" w14:textId="77777777" w:rsidR="00E05CED" w:rsidRDefault="00E05CE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857A318" w14:textId="77777777" w:rsidR="00E05CED" w:rsidRDefault="00E05CED" w:rsidP="006E08B3"/>
        <w:p w14:paraId="7518A057" w14:textId="77777777" w:rsidR="00E05CED" w:rsidRDefault="00E05CED" w:rsidP="006E08B3">
          <w:r>
            <w:t>For submission made by individuals, all personal details, other than your name, will be removed from your submission before it is published on the TGA’s Internet site.</w:t>
          </w:r>
        </w:p>
        <w:p w14:paraId="4CCC2007" w14:textId="77777777" w:rsidR="00E05CED" w:rsidRDefault="00E05CED" w:rsidP="006E08B3"/>
        <w:p w14:paraId="4DF59CDC" w14:textId="77777777" w:rsidR="00E05CED" w:rsidRDefault="00E05CED" w:rsidP="006E08B3">
          <w:r>
            <w:t>In addition, a list of parties making submissions will be published. If you do not wish to be identified with your submission you must specifically request this in the space provided ib the submission coversheet.</w:t>
          </w:r>
        </w:p>
      </w:tc>
    </w:tr>
    <w:tr w:rsidR="00E05CED" w14:paraId="68CBBDA9" w14:textId="77777777" w:rsidTr="0010601F">
      <w:trPr>
        <w:trHeight w:val="417"/>
      </w:trPr>
      <w:tc>
        <w:tcPr>
          <w:tcW w:w="4519" w:type="dxa"/>
          <w:tcBorders>
            <w:top w:val="single" w:sz="4" w:space="0" w:color="auto"/>
          </w:tcBorders>
          <w:tcMar>
            <w:top w:w="142" w:type="dxa"/>
            <w:bottom w:w="0" w:type="dxa"/>
          </w:tcMar>
        </w:tcPr>
        <w:p w14:paraId="37738105" w14:textId="77777777" w:rsidR="00E05CED" w:rsidRDefault="00E05CED" w:rsidP="006E08B3">
          <w:r>
            <w:t>Document title, Part #, Section # - Section title</w:t>
          </w:r>
        </w:p>
        <w:p w14:paraId="65296858" w14:textId="77777777" w:rsidR="00E05CED" w:rsidRDefault="00E05CED" w:rsidP="006E08B3">
          <w:r>
            <w:t>V1.0 October 2010</w:t>
          </w:r>
        </w:p>
      </w:tc>
      <w:tc>
        <w:tcPr>
          <w:tcW w:w="4356" w:type="dxa"/>
          <w:tcBorders>
            <w:top w:val="single" w:sz="4" w:space="0" w:color="auto"/>
          </w:tcBorders>
          <w:tcMar>
            <w:top w:w="142" w:type="dxa"/>
            <w:bottom w:w="0" w:type="dxa"/>
          </w:tcMar>
        </w:tcPr>
        <w:p w14:paraId="0094D569" w14:textId="77777777" w:rsidR="00E05CED" w:rsidRDefault="00E05CE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6B37F627" w14:textId="77777777" w:rsidR="00E05CED" w:rsidRDefault="00E05CE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7C634" w14:textId="77777777" w:rsidR="00E05CED" w:rsidRDefault="00E05CED" w:rsidP="00C40A36">
      <w:pPr>
        <w:spacing w:after="0"/>
      </w:pPr>
      <w:r>
        <w:separator/>
      </w:r>
    </w:p>
  </w:footnote>
  <w:footnote w:type="continuationSeparator" w:id="0">
    <w:p w14:paraId="2F2BF764" w14:textId="77777777" w:rsidR="00E05CED" w:rsidRDefault="00E05CED" w:rsidP="00C40A36">
      <w:pPr>
        <w:spacing w:after="0"/>
      </w:pPr>
      <w:r>
        <w:continuationSeparator/>
      </w:r>
    </w:p>
  </w:footnote>
  <w:footnote w:id="1">
    <w:p w14:paraId="3F7C84F2" w14:textId="779F43C4" w:rsidR="00E05CED" w:rsidRDefault="00E05CED">
      <w:pPr>
        <w:pStyle w:val="FootnoteText"/>
      </w:pPr>
      <w:r>
        <w:rPr>
          <w:rStyle w:val="FootnoteReference"/>
        </w:rPr>
        <w:footnoteRef/>
      </w:r>
      <w:r>
        <w:t xml:space="preserve"> </w:t>
      </w:r>
      <w:r w:rsidRPr="00F4417A">
        <w:t xml:space="preserve">van der </w:t>
      </w:r>
      <w:r>
        <w:t xml:space="preserve">Linden S, Valkenburg HA, Cats A (1984). </w:t>
      </w:r>
      <w:r w:rsidRPr="00F4417A">
        <w:t xml:space="preserve">Evaluation of diagnostic criteria for ankylosing spondylitis. A proposal for modification of the New York criteria. </w:t>
      </w:r>
      <w:r w:rsidRPr="00F4417A">
        <w:rPr>
          <w:i/>
        </w:rPr>
        <w:t>Arthritis Rheum</w:t>
      </w:r>
      <w:r>
        <w:t xml:space="preserve">, </w:t>
      </w:r>
      <w:r w:rsidRPr="00F4417A">
        <w:t>27:361–368</w:t>
      </w:r>
    </w:p>
  </w:footnote>
  <w:footnote w:id="2">
    <w:p w14:paraId="7EAFBED4" w14:textId="304FA062" w:rsidR="00E05CED" w:rsidRPr="00C416F9" w:rsidRDefault="00E05CED">
      <w:pPr>
        <w:pStyle w:val="FootnoteText"/>
      </w:pPr>
      <w:r>
        <w:rPr>
          <w:rStyle w:val="FootnoteReference"/>
        </w:rPr>
        <w:footnoteRef/>
      </w:r>
      <w:r>
        <w:t xml:space="preserve"> Shaikh S. A</w:t>
      </w:r>
      <w:r w:rsidRPr="00C416F9">
        <w:t xml:space="preserve"> (2007). Ankylosing spondylitis: recent breakthrou</w:t>
      </w:r>
      <w:r>
        <w:t xml:space="preserve">ghs in diagnosis and treatment. </w:t>
      </w:r>
      <w:r w:rsidRPr="00204636">
        <w:rPr>
          <w:i/>
        </w:rPr>
        <w:t>The Journal of the Canadian Chiropractic Association,</w:t>
      </w:r>
      <w:r>
        <w:t xml:space="preserve"> </w:t>
      </w:r>
      <w:r w:rsidRPr="00C416F9">
        <w:t>51(4), 249–260.</w:t>
      </w:r>
    </w:p>
  </w:footnote>
  <w:footnote w:id="3">
    <w:p w14:paraId="2BDDBDB4" w14:textId="1D442B70" w:rsidR="00E05CED" w:rsidRDefault="00E05CED" w:rsidP="00A95949">
      <w:pPr>
        <w:pStyle w:val="FootnoteText"/>
      </w:pPr>
      <w:r>
        <w:rPr>
          <w:rStyle w:val="FootnoteReference"/>
        </w:rPr>
        <w:footnoteRef/>
      </w:r>
      <w:r>
        <w:t xml:space="preserve"> Ankylosing spondylitis (published on March 2017)</w:t>
      </w:r>
      <w:r>
        <w:rPr>
          <w:lang w:val="en-US"/>
        </w:rPr>
        <w:t>. In: eTG complete (digital)</w:t>
      </w:r>
      <w:r w:rsidRPr="00BA63F7">
        <w:rPr>
          <w:lang w:val="en-US"/>
        </w:rPr>
        <w:t xml:space="preserve">. Melbourne: Therapeutic Guidelines Limited; </w:t>
      </w:r>
      <w:r>
        <w:rPr>
          <w:lang w:val="en-US"/>
        </w:rPr>
        <w:t>Accessed December 2019.</w:t>
      </w:r>
    </w:p>
  </w:footnote>
  <w:footnote w:id="4">
    <w:p w14:paraId="22ADAEC0" w14:textId="33E71CA5" w:rsidR="00E05CED" w:rsidRDefault="00E05CED" w:rsidP="00A20CAA">
      <w:pPr>
        <w:pStyle w:val="FootnoteText"/>
      </w:pPr>
      <w:r>
        <w:rPr>
          <w:rStyle w:val="FootnoteReference"/>
        </w:rPr>
        <w:footnoteRef/>
      </w:r>
      <w:r>
        <w:t xml:space="preserve"> </w:t>
      </w:r>
      <w:r w:rsidRPr="00F33D7B">
        <w:t>An ASAS</w:t>
      </w:r>
      <w:r>
        <w:t xml:space="preserve"> </w:t>
      </w:r>
      <w:r w:rsidRPr="00F33D7B">
        <w:t xml:space="preserve">20 response is defined as a </w:t>
      </w:r>
      <w:r w:rsidR="00CB7322">
        <w:t>≥</w:t>
      </w:r>
      <w:r w:rsidRPr="00F33D7B">
        <w:t xml:space="preserve"> 20% improvement an</w:t>
      </w:r>
      <w:r>
        <w:t>d an absolute improvement from B</w:t>
      </w:r>
      <w:r w:rsidRPr="00F33D7B">
        <w:t xml:space="preserve">aseline of </w:t>
      </w:r>
      <w:r w:rsidR="00CB7322">
        <w:t>≥</w:t>
      </w:r>
      <w:r w:rsidRPr="00F33D7B">
        <w:t xml:space="preserve"> 1 units (range 0 to 10) in </w:t>
      </w:r>
      <w:r w:rsidR="00CB7322">
        <w:t>≥</w:t>
      </w:r>
      <w:r w:rsidRPr="00F33D7B">
        <w:t xml:space="preserve"> 3 of 4 domains (Patient Global, Spinal Pain, Function, and Inflammation), and no worsening of </w:t>
      </w:r>
      <w:r w:rsidR="00CB7322">
        <w:t>≥</w:t>
      </w:r>
      <w:r w:rsidRPr="00F33D7B">
        <w:t xml:space="preserve"> 20% and </w:t>
      </w:r>
      <w:r w:rsidR="00CB7322">
        <w:t>≥</w:t>
      </w:r>
      <w:r w:rsidRPr="00F33D7B">
        <w:t xml:space="preserve"> 1 unit (range 0 to 10) in the remaining domain</w:t>
      </w:r>
      <w:r>
        <w:t xml:space="preserve">. </w:t>
      </w:r>
      <w:r w:rsidRPr="00F33D7B">
        <w:t>An ASAS</w:t>
      </w:r>
      <w:r>
        <w:t xml:space="preserve"> </w:t>
      </w:r>
      <w:r w:rsidRPr="00F33D7B">
        <w:t xml:space="preserve">40 response is defined as a </w:t>
      </w:r>
      <w:r w:rsidR="00CB7322">
        <w:t>≥</w:t>
      </w:r>
      <w:r w:rsidRPr="00F33D7B">
        <w:t xml:space="preserve"> 40% improvement an</w:t>
      </w:r>
      <w:r>
        <w:t>d an absolute improvement from B</w:t>
      </w:r>
      <w:r w:rsidRPr="00F33D7B">
        <w:t xml:space="preserve">aseline of </w:t>
      </w:r>
      <w:r w:rsidR="00CB7322">
        <w:t>≥</w:t>
      </w:r>
      <w:r w:rsidRPr="00F33D7B">
        <w:t xml:space="preserve"> 2 units (range 0 to 10) in </w:t>
      </w:r>
      <w:r w:rsidR="00CB7322">
        <w:t>≥</w:t>
      </w:r>
      <w:r w:rsidRPr="00F33D7B">
        <w:t xml:space="preserve"> 3 of 4 domains (Patient Global, Spinal Pain, Function, and Inflammation) without any worsening in the remaining domain.</w:t>
      </w:r>
    </w:p>
  </w:footnote>
  <w:footnote w:id="5">
    <w:p w14:paraId="5E133716" w14:textId="285A4089" w:rsidR="00E05CED" w:rsidRDefault="00E05CED" w:rsidP="000461E7">
      <w:pPr>
        <w:pStyle w:val="FootnoteText"/>
      </w:pPr>
      <w:r>
        <w:rPr>
          <w:rStyle w:val="FootnoteReference"/>
        </w:rPr>
        <w:footnoteRef/>
      </w:r>
      <w:r>
        <w:t xml:space="preserve"> This </w:t>
      </w:r>
      <w:r w:rsidRPr="00E90892">
        <w:t>includ</w:t>
      </w:r>
      <w:r>
        <w:t>ed</w:t>
      </w:r>
      <w:r w:rsidRPr="00E90892">
        <w:t xml:space="preserve"> </w:t>
      </w:r>
      <w:r>
        <w:t>80 mg</w:t>
      </w:r>
      <w:r w:rsidRPr="00E90892">
        <w:t xml:space="preserve"> Q2W or </w:t>
      </w:r>
      <w:r>
        <w:t>80 mg</w:t>
      </w:r>
      <w:r w:rsidRPr="00E90892">
        <w:t xml:space="preserve"> Q4W, after an </w:t>
      </w:r>
      <w:r>
        <w:t>80 mg</w:t>
      </w:r>
      <w:r w:rsidRPr="00E90892">
        <w:t xml:space="preserve"> loading dose; and </w:t>
      </w:r>
      <w:r>
        <w:t>80 mg</w:t>
      </w:r>
      <w:r w:rsidRPr="00E90892">
        <w:t xml:space="preserve"> Q2W or </w:t>
      </w:r>
      <w:r>
        <w:t>80 mg</w:t>
      </w:r>
      <w:r w:rsidRPr="00E90892">
        <w:t xml:space="preserve"> Q4W after a 160</w:t>
      </w:r>
      <w:r>
        <w:t xml:space="preserve"> </w:t>
      </w:r>
      <w:r w:rsidRPr="00E90892">
        <w:t>mg loading dose, in bDMARD-naïve patients and TNFi-experienced patients</w:t>
      </w:r>
      <w:r>
        <w:t>.</w:t>
      </w:r>
    </w:p>
  </w:footnote>
  <w:footnote w:id="6">
    <w:p w14:paraId="0175474B" w14:textId="4DDB8350" w:rsidR="00E05CED" w:rsidRDefault="00E05CED" w:rsidP="00CC118A">
      <w:pPr>
        <w:pStyle w:val="FootnoteText"/>
      </w:pPr>
      <w:r>
        <w:rPr>
          <w:rStyle w:val="FootnoteReference"/>
        </w:rPr>
        <w:footnoteRef/>
      </w:r>
      <w:r>
        <w:t xml:space="preserve"> The BASDAI is a patient-reported assessment consisting of 6 questions that relate to 5 major symptoms relevant to AS: 1) Fatigue, 2) Spinal pain, 3) Peripheral arthritis, 4) Enthesitis, 5) Intensity of morning stiffness, and 6) Duration of morning stiffness. Patients need to score each item with a score from 0 to 10 (</w:t>
      </w:r>
      <w:r w:rsidRPr="003E3698">
        <w:t>numerical rating scale</w:t>
      </w:r>
      <w:r>
        <w:t xml:space="preserve"> (NRS)). BASDAI50 represents an improvement of </w:t>
      </w:r>
      <w:r w:rsidR="00CB7322">
        <w:t>≥</w:t>
      </w:r>
      <w:r>
        <w:t xml:space="preserve"> 50% of the BASDAI score at baseline with a minimal absolute improvement of 2 units.</w:t>
      </w:r>
    </w:p>
  </w:footnote>
  <w:footnote w:id="7">
    <w:p w14:paraId="257754E0" w14:textId="220BB2CF" w:rsidR="00E05CED" w:rsidRPr="0092200C" w:rsidRDefault="00E05CED" w:rsidP="003E3698">
      <w:pPr>
        <w:pStyle w:val="FootnoteText"/>
      </w:pPr>
      <w:r>
        <w:rPr>
          <w:rStyle w:val="FootnoteReference"/>
        </w:rPr>
        <w:footnoteRef/>
      </w:r>
      <w:r>
        <w:t xml:space="preserve"> The ASDAS is a composite index to assess disease activity in AS. The parameters used for the ASDAS (with C</w:t>
      </w:r>
      <w:r>
        <w:noBreakHyphen/>
        <w:t xml:space="preserve">reactive protein (CRP) as acute phase reactant) are total back pain (BASDAI question 2), patient global, peripheral pain/swelling (BASDAI question 3), duration of morning stiffness (BASDAI question 6), and CRP in mg/L. Four disease activity states have been defined by ASAS consensus: ASDAS &lt; 1.3 defines inactive disease; 1.3 ≤ ASDAS &lt; 2.1 defines moderate disease activity; </w:t>
      </w:r>
      <w:r w:rsidRPr="00A65822">
        <w:rPr>
          <w:rFonts w:eastAsiaTheme="minorHAnsi" w:cs="Cambria"/>
          <w:color w:val="000000"/>
        </w:rPr>
        <w:t>2.1 ≤ ASDAS ≤ 3.</w:t>
      </w:r>
      <w:r>
        <w:rPr>
          <w:rFonts w:eastAsiaTheme="minorHAnsi" w:cs="Cambria"/>
          <w:color w:val="000000"/>
        </w:rPr>
        <w:t xml:space="preserve">5 defines high disease activity; </w:t>
      </w:r>
      <w:r w:rsidRPr="00A65822">
        <w:rPr>
          <w:rFonts w:eastAsiaTheme="minorHAnsi" w:cs="Cambria"/>
          <w:color w:val="000000"/>
        </w:rPr>
        <w:t>ASDAS &gt; 3.5 defi</w:t>
      </w:r>
      <w:r>
        <w:rPr>
          <w:rFonts w:eastAsiaTheme="minorHAnsi" w:cs="Cambria"/>
          <w:color w:val="000000"/>
        </w:rPr>
        <w:t>nes very high disease activity.</w:t>
      </w:r>
      <w:r>
        <w:t xml:space="preserve"> </w:t>
      </w:r>
      <w:r w:rsidRPr="003E3698">
        <w:t xml:space="preserve">Clinically important improvement is defined as change </w:t>
      </w:r>
      <w:r w:rsidR="00CB7322">
        <w:t>≥</w:t>
      </w:r>
      <w:r w:rsidRPr="003E3698">
        <w:t xml:space="preserve"> 1.1 units, and major improvement is defined as change </w:t>
      </w:r>
      <w:r w:rsidR="00CB7322">
        <w:t>≥</w:t>
      </w:r>
      <w:r w:rsidRPr="003E3698">
        <w:t xml:space="preserve"> 2.0 units.</w:t>
      </w:r>
    </w:p>
  </w:footnote>
  <w:footnote w:id="8">
    <w:p w14:paraId="04325340" w14:textId="26CE2C09" w:rsidR="00E05CED" w:rsidRDefault="00E05CED">
      <w:pPr>
        <w:pStyle w:val="FootnoteText"/>
      </w:pPr>
      <w:r>
        <w:rPr>
          <w:rStyle w:val="FootnoteReference"/>
        </w:rPr>
        <w:footnoteRef/>
      </w:r>
      <w:r>
        <w:t xml:space="preserve"> BASDAI 50 represents an improvement of </w:t>
      </w:r>
      <w:r w:rsidR="00CB7322">
        <w:t>≥</w:t>
      </w:r>
      <w:r>
        <w:t xml:space="preserve"> 50% of the BASDAI score at baseline with a minimal absolute improvement of 2 units.</w:t>
      </w:r>
    </w:p>
  </w:footnote>
  <w:footnote w:id="9">
    <w:p w14:paraId="2C0E4611" w14:textId="7BE35D2C" w:rsidR="00E05CED" w:rsidRPr="003E3698" w:rsidRDefault="00E05CED" w:rsidP="003E3698">
      <w:pPr>
        <w:pStyle w:val="FootnoteText"/>
        <w:rPr>
          <w:sz w:val="22"/>
          <w:szCs w:val="22"/>
        </w:rPr>
      </w:pPr>
      <w:r>
        <w:rPr>
          <w:rStyle w:val="FootnoteReference"/>
        </w:rPr>
        <w:footnoteRef/>
      </w:r>
      <w:r>
        <w:t xml:space="preserve"> </w:t>
      </w:r>
      <w:r w:rsidRPr="003E3698">
        <w:t>The BASFI is a patient-reported assessment that establishes a patient’s functional baseline and subsequent response to treatment. To complete the BASFI, a patient is asked to rate th</w:t>
      </w:r>
      <w:r>
        <w:t>e difficulty associated with 10 </w:t>
      </w:r>
      <w:r w:rsidRPr="003E3698">
        <w:t>individual basic functional activities. Patients respond to each</w:t>
      </w:r>
      <w:r>
        <w:t xml:space="preserve"> </w:t>
      </w:r>
      <w:r w:rsidRPr="003E3698">
        <w:t>question using a numerical rating scale (NRS) scale (range 0 to 10) with a higher score indicating worse function. The patient’s final BASFI score is the mean of the 10 item scores completed on an NRS.</w:t>
      </w:r>
    </w:p>
  </w:footnote>
  <w:footnote w:id="10">
    <w:p w14:paraId="229BBC49" w14:textId="1760F5F4" w:rsidR="00E05CED" w:rsidRDefault="00E05CED">
      <w:pPr>
        <w:pStyle w:val="FootnoteText"/>
      </w:pPr>
      <w:r>
        <w:rPr>
          <w:rStyle w:val="FootnoteReference"/>
        </w:rPr>
        <w:footnoteRef/>
      </w:r>
      <w:r>
        <w:t xml:space="preserve"> The SPARCC MRI </w:t>
      </w:r>
      <w:r w:rsidRPr="00C81BAA">
        <w:t xml:space="preserve">index is a scoring method for spine and SIJ inflammation in patients with AS. The SPARCC MRI index assess the presence, 3-dimensional extent, and signal intensity of active inflammatory lesions represented by bone marrow edema (BME), in the spine and </w:t>
      </w:r>
      <w:r>
        <w:t>SI joints of affected patients.</w:t>
      </w:r>
    </w:p>
  </w:footnote>
  <w:footnote w:id="11">
    <w:p w14:paraId="44C2907F" w14:textId="3959699C" w:rsidR="00E05CED" w:rsidRDefault="00E05CED">
      <w:pPr>
        <w:pStyle w:val="FootnoteText"/>
      </w:pPr>
      <w:r>
        <w:rPr>
          <w:rStyle w:val="FootnoteReference"/>
        </w:rPr>
        <w:footnoteRef/>
      </w:r>
      <w:r>
        <w:t xml:space="preserve"> </w:t>
      </w:r>
      <w:r w:rsidRPr="00412987">
        <w:t>The SF-36 is a multi-purpose, short-form health survey with only 36 questions. It yields an 8-scale profile of functional health and well-being scores as well as psychometrically-based physical and mental health summary measures and a preference-based health utility index. It measures eight domains of health: physical functioning, role limitations due to physical health, bodily pain, general health perceptions, vitality, social functioning, role limitations due to emotional problems, and mental health. It yields scale scores for each of these eight health domains, and two summary measures of physical and mental health. It is a generic measure, as opposed to one that targets a specific age, disease, or treatment group. The SF-36 is available for two recall periods: standard (4-week recall) and acute (1-week recall).</w:t>
      </w:r>
    </w:p>
  </w:footnote>
  <w:footnote w:id="12">
    <w:p w14:paraId="382E344B" w14:textId="747D423A" w:rsidR="00E05CED" w:rsidRPr="007F6DD5" w:rsidRDefault="00E05CED" w:rsidP="00A940F1">
      <w:pPr>
        <w:pStyle w:val="FootnoteText"/>
      </w:pPr>
      <w:r>
        <w:rPr>
          <w:rStyle w:val="FootnoteReference"/>
        </w:rPr>
        <w:footnoteRef/>
      </w:r>
      <w:r>
        <w:t xml:space="preserve"> The ASAS HI is a disease-specific health-index instrument designed to assess the impact of interventions for SpA, including axSpA. The 17 item instrument has scores ranging from 0 (good health) to 17 (poor health). Each item consists of one question that the patient needs to respond to with either ‘I agree’ (score of 1) or ‘I do not agree’ (score of 0). A score of ‘1’ is given where the item is affirmed, indicating adverse health. All item scores are summed to give a total score or index.</w:t>
      </w:r>
    </w:p>
  </w:footnote>
  <w:footnote w:id="13">
    <w:p w14:paraId="6FA99D94" w14:textId="77777777" w:rsidR="00E05CED" w:rsidRDefault="00E05CED" w:rsidP="00AD677A">
      <w:pPr>
        <w:pStyle w:val="FootnoteText"/>
      </w:pPr>
      <w:r>
        <w:rPr>
          <w:rStyle w:val="FootnoteReference"/>
        </w:rPr>
        <w:footnoteRef/>
      </w:r>
      <w:r>
        <w:t xml:space="preserve"> The sponsor </w:t>
      </w:r>
      <w:r w:rsidRPr="006B481F">
        <w:t>must still comply with routine product vigilance and risk minimisation requirements.</w:t>
      </w:r>
    </w:p>
  </w:footnote>
  <w:footnote w:id="14">
    <w:p w14:paraId="1F2C4B28" w14:textId="1A91F806" w:rsidR="00E05CED" w:rsidRDefault="00E05CED">
      <w:pPr>
        <w:pStyle w:val="FootnoteText"/>
      </w:pPr>
      <w:r>
        <w:rPr>
          <w:rStyle w:val="FootnoteReference"/>
        </w:rPr>
        <w:footnoteRef/>
      </w:r>
      <w:r>
        <w:t xml:space="preserve"> FDA Prescribing Information for Taltz (ixekizumab), 80 mg/mL solution for injection August 2019. Available from the FDA website.</w:t>
      </w:r>
    </w:p>
  </w:footnote>
  <w:footnote w:id="15">
    <w:p w14:paraId="5A84202F" w14:textId="77777777" w:rsidR="00E05CED" w:rsidRDefault="00E05CED"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19D37F4C" w14:textId="77777777" w:rsidR="00E05CED" w:rsidRPr="00456765" w:rsidRDefault="00E05CED"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80AC" w14:textId="77777777" w:rsidR="00CB7322" w:rsidRDefault="00CB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48AB" w14:textId="77777777" w:rsidR="00E05CED" w:rsidRDefault="00E05CED"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55FD" w14:textId="77777777" w:rsidR="00E05CED" w:rsidRDefault="00E05CED">
    <w:pPr>
      <w:rPr>
        <w:noProof/>
        <w:lang w:eastAsia="en-AU"/>
      </w:rPr>
    </w:pPr>
    <w:r w:rsidRPr="00347824">
      <w:rPr>
        <w:noProof/>
        <w:lang w:eastAsia="en-AU"/>
      </w:rPr>
      <w:drawing>
        <wp:anchor distT="0" distB="0" distL="114300" distR="114300" simplePos="0" relativeHeight="251658240" behindDoc="1" locked="0" layoutInCell="1" allowOverlap="1" wp14:anchorId="562CEA4B" wp14:editId="142515CB">
          <wp:simplePos x="0" y="0"/>
          <wp:positionH relativeFrom="column">
            <wp:posOffset>-1089660</wp:posOffset>
          </wp:positionH>
          <wp:positionV relativeFrom="paragraph">
            <wp:posOffset>-585470</wp:posOffset>
          </wp:positionV>
          <wp:extent cx="7572375" cy="10706100"/>
          <wp:effectExtent l="19050" t="0" r="0" b="0"/>
          <wp:wrapNone/>
          <wp:docPr id="1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CA0AF03" w14:textId="77777777" w:rsidR="00E05CED" w:rsidRDefault="00E05CED" w:rsidP="00593AD1">
    <w:pPr>
      <w:pStyle w:val="HeaderNoLine"/>
    </w:pPr>
    <w:r>
      <w:rPr>
        <w:noProof/>
        <w:lang w:eastAsia="en-AU"/>
      </w:rPr>
      <w:drawing>
        <wp:inline distT="0" distB="0" distL="0" distR="0" wp14:anchorId="6DC1B85A" wp14:editId="3BCA49F5">
          <wp:extent cx="5400675" cy="7639050"/>
          <wp:effectExtent l="0" t="0" r="9525" b="0"/>
          <wp:docPr id="12" name="Picture 1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52A5" w14:textId="77777777" w:rsidR="00E05CED" w:rsidRDefault="00E05C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5100" w14:textId="77777777" w:rsidR="00E05CED" w:rsidRDefault="00E05CED">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F428" w14:textId="77777777" w:rsidR="00E05CED" w:rsidRDefault="00E05CED">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F10B" w14:textId="77777777" w:rsidR="00E05CED" w:rsidRDefault="00E05C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0E433" w14:textId="77777777" w:rsidR="00E05CED" w:rsidRDefault="00E05CED"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3375" w14:textId="77777777" w:rsidR="00E05CED" w:rsidRDefault="00E05CED" w:rsidP="006E08B3">
    <w:r>
      <w:t>Therapeutic Goods Administration</w:t>
    </w:r>
  </w:p>
  <w:p w14:paraId="28B0CD79" w14:textId="77777777" w:rsidR="00E05CED" w:rsidRDefault="00E05CED"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167860A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0B978FC"/>
    <w:multiLevelType w:val="hybridMultilevel"/>
    <w:tmpl w:val="715A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D8DC260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306958D2"/>
    <w:multiLevelType w:val="hybridMultilevel"/>
    <w:tmpl w:val="F050F794"/>
    <w:lvl w:ilvl="0" w:tplc="DA4C1F1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1071D7F"/>
    <w:multiLevelType w:val="hybridMultilevel"/>
    <w:tmpl w:val="20D84A10"/>
    <w:lvl w:ilvl="0" w:tplc="EAF2E7E6">
      <w:start w:val="3"/>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CD190D"/>
    <w:multiLevelType w:val="hybridMultilevel"/>
    <w:tmpl w:val="92BA5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8237EE"/>
    <w:multiLevelType w:val="hybridMultilevel"/>
    <w:tmpl w:val="E9563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B371E4"/>
    <w:multiLevelType w:val="hybridMultilevel"/>
    <w:tmpl w:val="1166C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10A2A"/>
    <w:multiLevelType w:val="hybridMultilevel"/>
    <w:tmpl w:val="506A7F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D3AE0"/>
    <w:multiLevelType w:val="hybridMultilevel"/>
    <w:tmpl w:val="B60A4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DB41E5"/>
    <w:multiLevelType w:val="multilevel"/>
    <w:tmpl w:val="89F047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98A3A79"/>
    <w:multiLevelType w:val="hybridMultilevel"/>
    <w:tmpl w:val="73D6345E"/>
    <w:lvl w:ilvl="0" w:tplc="75604C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A5A7C1B"/>
    <w:multiLevelType w:val="hybridMultilevel"/>
    <w:tmpl w:val="96EA056C"/>
    <w:lvl w:ilvl="0" w:tplc="EA348152">
      <w:start w:val="3"/>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275740"/>
    <w:multiLevelType w:val="hybridMultilevel"/>
    <w:tmpl w:val="98E05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20"/>
  </w:num>
  <w:num w:numId="29">
    <w:abstractNumId w:val="15"/>
  </w:num>
  <w:num w:numId="30">
    <w:abstractNumId w:val="12"/>
  </w:num>
  <w:num w:numId="31">
    <w:abstractNumId w:val="19"/>
  </w:num>
  <w:num w:numId="32">
    <w:abstractNumId w:val="11"/>
  </w:num>
  <w:num w:numId="33">
    <w:abstractNumId w:val="10"/>
  </w:num>
  <w:num w:numId="34">
    <w:abstractNumId w:val="16"/>
  </w:num>
  <w:num w:numId="35">
    <w:abstractNumId w:val="17"/>
  </w:num>
  <w:num w:numId="36">
    <w:abstractNumId w:val="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8"/>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F1"/>
    <w:rsid w:val="000019C1"/>
    <w:rsid w:val="00002031"/>
    <w:rsid w:val="00004734"/>
    <w:rsid w:val="00005863"/>
    <w:rsid w:val="00006B22"/>
    <w:rsid w:val="00006F4F"/>
    <w:rsid w:val="0001276A"/>
    <w:rsid w:val="000150BB"/>
    <w:rsid w:val="0001622B"/>
    <w:rsid w:val="00021E04"/>
    <w:rsid w:val="00022518"/>
    <w:rsid w:val="000246AE"/>
    <w:rsid w:val="00025C67"/>
    <w:rsid w:val="000332A7"/>
    <w:rsid w:val="0004123B"/>
    <w:rsid w:val="00044772"/>
    <w:rsid w:val="0004541C"/>
    <w:rsid w:val="000461E7"/>
    <w:rsid w:val="000523BA"/>
    <w:rsid w:val="00054F17"/>
    <w:rsid w:val="0005559E"/>
    <w:rsid w:val="000604D6"/>
    <w:rsid w:val="00064CD5"/>
    <w:rsid w:val="000734D8"/>
    <w:rsid w:val="00077775"/>
    <w:rsid w:val="0008021B"/>
    <w:rsid w:val="00090471"/>
    <w:rsid w:val="00093C79"/>
    <w:rsid w:val="00093D27"/>
    <w:rsid w:val="00095AAC"/>
    <w:rsid w:val="00096AA7"/>
    <w:rsid w:val="00097E56"/>
    <w:rsid w:val="000A3AED"/>
    <w:rsid w:val="000B3532"/>
    <w:rsid w:val="000B3A75"/>
    <w:rsid w:val="000C00C2"/>
    <w:rsid w:val="000C298C"/>
    <w:rsid w:val="000C2B38"/>
    <w:rsid w:val="000C690F"/>
    <w:rsid w:val="000C6CC0"/>
    <w:rsid w:val="000C7B30"/>
    <w:rsid w:val="000D1295"/>
    <w:rsid w:val="000D391B"/>
    <w:rsid w:val="000D3D6D"/>
    <w:rsid w:val="000D4FC7"/>
    <w:rsid w:val="000D7AC3"/>
    <w:rsid w:val="000E5BAC"/>
    <w:rsid w:val="000E6196"/>
    <w:rsid w:val="000F1438"/>
    <w:rsid w:val="000F4869"/>
    <w:rsid w:val="000F5B42"/>
    <w:rsid w:val="000F6E6F"/>
    <w:rsid w:val="001051E1"/>
    <w:rsid w:val="0010601F"/>
    <w:rsid w:val="0010788A"/>
    <w:rsid w:val="00107A31"/>
    <w:rsid w:val="00110EA5"/>
    <w:rsid w:val="00112A6D"/>
    <w:rsid w:val="00112F56"/>
    <w:rsid w:val="00113248"/>
    <w:rsid w:val="001209F2"/>
    <w:rsid w:val="00124ACD"/>
    <w:rsid w:val="00125318"/>
    <w:rsid w:val="001305A2"/>
    <w:rsid w:val="001313D3"/>
    <w:rsid w:val="00133238"/>
    <w:rsid w:val="00133A1B"/>
    <w:rsid w:val="00134C15"/>
    <w:rsid w:val="0014197B"/>
    <w:rsid w:val="00142B9B"/>
    <w:rsid w:val="001430BC"/>
    <w:rsid w:val="001447CD"/>
    <w:rsid w:val="001516B1"/>
    <w:rsid w:val="00154EBB"/>
    <w:rsid w:val="00156316"/>
    <w:rsid w:val="00161181"/>
    <w:rsid w:val="00162D14"/>
    <w:rsid w:val="00163780"/>
    <w:rsid w:val="00165389"/>
    <w:rsid w:val="001658AE"/>
    <w:rsid w:val="00172642"/>
    <w:rsid w:val="001730A5"/>
    <w:rsid w:val="0017693F"/>
    <w:rsid w:val="0018110E"/>
    <w:rsid w:val="00181684"/>
    <w:rsid w:val="001843C6"/>
    <w:rsid w:val="001850E0"/>
    <w:rsid w:val="001A03AF"/>
    <w:rsid w:val="001A2158"/>
    <w:rsid w:val="001A525F"/>
    <w:rsid w:val="001A6881"/>
    <w:rsid w:val="001B09F9"/>
    <w:rsid w:val="001B0DED"/>
    <w:rsid w:val="001B215F"/>
    <w:rsid w:val="001B5C90"/>
    <w:rsid w:val="001B6448"/>
    <w:rsid w:val="001B6BBF"/>
    <w:rsid w:val="001B7336"/>
    <w:rsid w:val="001C32CD"/>
    <w:rsid w:val="001D2984"/>
    <w:rsid w:val="001E07CF"/>
    <w:rsid w:val="001E59F1"/>
    <w:rsid w:val="001F0FA0"/>
    <w:rsid w:val="001F2CEE"/>
    <w:rsid w:val="001F49EB"/>
    <w:rsid w:val="001F6CBA"/>
    <w:rsid w:val="00201D4E"/>
    <w:rsid w:val="00204636"/>
    <w:rsid w:val="002076C9"/>
    <w:rsid w:val="00213BEB"/>
    <w:rsid w:val="00220B8A"/>
    <w:rsid w:val="002257F3"/>
    <w:rsid w:val="00233456"/>
    <w:rsid w:val="002339A5"/>
    <w:rsid w:val="00253288"/>
    <w:rsid w:val="00257848"/>
    <w:rsid w:val="002578E8"/>
    <w:rsid w:val="0027084A"/>
    <w:rsid w:val="00277FF9"/>
    <w:rsid w:val="00280265"/>
    <w:rsid w:val="00286434"/>
    <w:rsid w:val="00286C59"/>
    <w:rsid w:val="00291957"/>
    <w:rsid w:val="002942D1"/>
    <w:rsid w:val="0029501A"/>
    <w:rsid w:val="002A049F"/>
    <w:rsid w:val="002A3721"/>
    <w:rsid w:val="002A5FFE"/>
    <w:rsid w:val="002B1638"/>
    <w:rsid w:val="002B3624"/>
    <w:rsid w:val="002C564A"/>
    <w:rsid w:val="002D049F"/>
    <w:rsid w:val="002D0952"/>
    <w:rsid w:val="002E174D"/>
    <w:rsid w:val="002E32DF"/>
    <w:rsid w:val="002E40B3"/>
    <w:rsid w:val="002E4C9A"/>
    <w:rsid w:val="002E5935"/>
    <w:rsid w:val="002F11F8"/>
    <w:rsid w:val="002F3F56"/>
    <w:rsid w:val="002F44B5"/>
    <w:rsid w:val="002F5122"/>
    <w:rsid w:val="00300374"/>
    <w:rsid w:val="00311AC0"/>
    <w:rsid w:val="003176FC"/>
    <w:rsid w:val="0032535F"/>
    <w:rsid w:val="0032583B"/>
    <w:rsid w:val="00327883"/>
    <w:rsid w:val="003316E2"/>
    <w:rsid w:val="00335504"/>
    <w:rsid w:val="00340C18"/>
    <w:rsid w:val="003442FB"/>
    <w:rsid w:val="003442FD"/>
    <w:rsid w:val="003456AF"/>
    <w:rsid w:val="00347824"/>
    <w:rsid w:val="00350567"/>
    <w:rsid w:val="003521E8"/>
    <w:rsid w:val="00363AEF"/>
    <w:rsid w:val="0037060A"/>
    <w:rsid w:val="00370CE3"/>
    <w:rsid w:val="003728F3"/>
    <w:rsid w:val="003735BC"/>
    <w:rsid w:val="0037496E"/>
    <w:rsid w:val="00377E5C"/>
    <w:rsid w:val="00383221"/>
    <w:rsid w:val="003851FD"/>
    <w:rsid w:val="00386150"/>
    <w:rsid w:val="003874CE"/>
    <w:rsid w:val="00390003"/>
    <w:rsid w:val="00390900"/>
    <w:rsid w:val="003917B8"/>
    <w:rsid w:val="003A125E"/>
    <w:rsid w:val="003A3E56"/>
    <w:rsid w:val="003A7F6C"/>
    <w:rsid w:val="003B4D60"/>
    <w:rsid w:val="003B7E39"/>
    <w:rsid w:val="003C58DC"/>
    <w:rsid w:val="003D0C7F"/>
    <w:rsid w:val="003D12A2"/>
    <w:rsid w:val="003D1B6B"/>
    <w:rsid w:val="003D1E62"/>
    <w:rsid w:val="003D5E59"/>
    <w:rsid w:val="003E0B99"/>
    <w:rsid w:val="003E2486"/>
    <w:rsid w:val="003E3208"/>
    <w:rsid w:val="003E3698"/>
    <w:rsid w:val="003F0B04"/>
    <w:rsid w:val="003F157A"/>
    <w:rsid w:val="0040023D"/>
    <w:rsid w:val="0040134E"/>
    <w:rsid w:val="00412987"/>
    <w:rsid w:val="00427DE8"/>
    <w:rsid w:val="004334C7"/>
    <w:rsid w:val="004346F5"/>
    <w:rsid w:val="00440A2D"/>
    <w:rsid w:val="00441C3F"/>
    <w:rsid w:val="00444D1A"/>
    <w:rsid w:val="00444EE5"/>
    <w:rsid w:val="0045186A"/>
    <w:rsid w:val="004564A7"/>
    <w:rsid w:val="00456765"/>
    <w:rsid w:val="004617BF"/>
    <w:rsid w:val="00463658"/>
    <w:rsid w:val="004637A0"/>
    <w:rsid w:val="004722CC"/>
    <w:rsid w:val="004746BF"/>
    <w:rsid w:val="00484383"/>
    <w:rsid w:val="00490483"/>
    <w:rsid w:val="004936E4"/>
    <w:rsid w:val="00494E60"/>
    <w:rsid w:val="00497487"/>
    <w:rsid w:val="00497FE5"/>
    <w:rsid w:val="004A2771"/>
    <w:rsid w:val="004A6189"/>
    <w:rsid w:val="004A7390"/>
    <w:rsid w:val="004A75ED"/>
    <w:rsid w:val="004B31C9"/>
    <w:rsid w:val="004B7B76"/>
    <w:rsid w:val="004C1035"/>
    <w:rsid w:val="004C239D"/>
    <w:rsid w:val="004C2DCA"/>
    <w:rsid w:val="004C61D2"/>
    <w:rsid w:val="004D2614"/>
    <w:rsid w:val="004D7A5A"/>
    <w:rsid w:val="004E4A98"/>
    <w:rsid w:val="004F0C4A"/>
    <w:rsid w:val="004F0F38"/>
    <w:rsid w:val="004F47D6"/>
    <w:rsid w:val="004F5D08"/>
    <w:rsid w:val="004F6137"/>
    <w:rsid w:val="00500337"/>
    <w:rsid w:val="0050034F"/>
    <w:rsid w:val="00501921"/>
    <w:rsid w:val="005214C5"/>
    <w:rsid w:val="00530354"/>
    <w:rsid w:val="00530E43"/>
    <w:rsid w:val="0053625B"/>
    <w:rsid w:val="00536AB8"/>
    <w:rsid w:val="005434C6"/>
    <w:rsid w:val="00543B39"/>
    <w:rsid w:val="00546154"/>
    <w:rsid w:val="00547C51"/>
    <w:rsid w:val="00550096"/>
    <w:rsid w:val="005541E3"/>
    <w:rsid w:val="00555280"/>
    <w:rsid w:val="00557FF9"/>
    <w:rsid w:val="00562327"/>
    <w:rsid w:val="00563BAE"/>
    <w:rsid w:val="005711D5"/>
    <w:rsid w:val="00576378"/>
    <w:rsid w:val="00577130"/>
    <w:rsid w:val="00577945"/>
    <w:rsid w:val="00577E38"/>
    <w:rsid w:val="00585322"/>
    <w:rsid w:val="005857C6"/>
    <w:rsid w:val="00592F6E"/>
    <w:rsid w:val="00593AD1"/>
    <w:rsid w:val="005A18CB"/>
    <w:rsid w:val="005A68B6"/>
    <w:rsid w:val="005B55CE"/>
    <w:rsid w:val="005C001E"/>
    <w:rsid w:val="005C3FA2"/>
    <w:rsid w:val="005C5570"/>
    <w:rsid w:val="005C79A4"/>
    <w:rsid w:val="005D5442"/>
    <w:rsid w:val="005E1EAC"/>
    <w:rsid w:val="005F4B4E"/>
    <w:rsid w:val="005F6EFA"/>
    <w:rsid w:val="005F7FF6"/>
    <w:rsid w:val="00603F32"/>
    <w:rsid w:val="00605AD4"/>
    <w:rsid w:val="006136D7"/>
    <w:rsid w:val="00625A6E"/>
    <w:rsid w:val="00630159"/>
    <w:rsid w:val="00630924"/>
    <w:rsid w:val="00632398"/>
    <w:rsid w:val="00640FC3"/>
    <w:rsid w:val="00642020"/>
    <w:rsid w:val="006430EE"/>
    <w:rsid w:val="006438D5"/>
    <w:rsid w:val="0064391B"/>
    <w:rsid w:val="00645320"/>
    <w:rsid w:val="0065337B"/>
    <w:rsid w:val="0065419D"/>
    <w:rsid w:val="0065793F"/>
    <w:rsid w:val="006603BC"/>
    <w:rsid w:val="006604D8"/>
    <w:rsid w:val="00664A5B"/>
    <w:rsid w:val="0066735C"/>
    <w:rsid w:val="006763D2"/>
    <w:rsid w:val="00680C08"/>
    <w:rsid w:val="006916A0"/>
    <w:rsid w:val="006929E0"/>
    <w:rsid w:val="006931B1"/>
    <w:rsid w:val="00697BD6"/>
    <w:rsid w:val="006A15C0"/>
    <w:rsid w:val="006A58A8"/>
    <w:rsid w:val="006B73D3"/>
    <w:rsid w:val="006B78FA"/>
    <w:rsid w:val="006C1EFA"/>
    <w:rsid w:val="006C3E2A"/>
    <w:rsid w:val="006C642F"/>
    <w:rsid w:val="006D03E5"/>
    <w:rsid w:val="006D5D3E"/>
    <w:rsid w:val="006E0060"/>
    <w:rsid w:val="006E08B3"/>
    <w:rsid w:val="006F17AC"/>
    <w:rsid w:val="006F25B8"/>
    <w:rsid w:val="006F572E"/>
    <w:rsid w:val="007046D6"/>
    <w:rsid w:val="00705DB0"/>
    <w:rsid w:val="0071616F"/>
    <w:rsid w:val="00720C04"/>
    <w:rsid w:val="00722B57"/>
    <w:rsid w:val="00730F8A"/>
    <w:rsid w:val="0073149A"/>
    <w:rsid w:val="007315AB"/>
    <w:rsid w:val="00735A8C"/>
    <w:rsid w:val="00736E0B"/>
    <w:rsid w:val="0074253D"/>
    <w:rsid w:val="0074429B"/>
    <w:rsid w:val="00753CF3"/>
    <w:rsid w:val="00760991"/>
    <w:rsid w:val="007615BC"/>
    <w:rsid w:val="00761892"/>
    <w:rsid w:val="00762F05"/>
    <w:rsid w:val="00764F53"/>
    <w:rsid w:val="007652FF"/>
    <w:rsid w:val="00770CAC"/>
    <w:rsid w:val="00770EF1"/>
    <w:rsid w:val="00773EF7"/>
    <w:rsid w:val="00774E1D"/>
    <w:rsid w:val="00775102"/>
    <w:rsid w:val="007765D8"/>
    <w:rsid w:val="0077675A"/>
    <w:rsid w:val="00780355"/>
    <w:rsid w:val="00781282"/>
    <w:rsid w:val="007819FD"/>
    <w:rsid w:val="007833AA"/>
    <w:rsid w:val="00784D4A"/>
    <w:rsid w:val="00785281"/>
    <w:rsid w:val="00785717"/>
    <w:rsid w:val="00785721"/>
    <w:rsid w:val="00792789"/>
    <w:rsid w:val="00793A59"/>
    <w:rsid w:val="007944E2"/>
    <w:rsid w:val="007946C2"/>
    <w:rsid w:val="007A0A58"/>
    <w:rsid w:val="007A118A"/>
    <w:rsid w:val="007A46F5"/>
    <w:rsid w:val="007A6505"/>
    <w:rsid w:val="007B0DB7"/>
    <w:rsid w:val="007B3131"/>
    <w:rsid w:val="007B6132"/>
    <w:rsid w:val="007B664C"/>
    <w:rsid w:val="007B6CB4"/>
    <w:rsid w:val="007B6E9F"/>
    <w:rsid w:val="007C1216"/>
    <w:rsid w:val="007C1AF7"/>
    <w:rsid w:val="007C2A0E"/>
    <w:rsid w:val="007C6B9B"/>
    <w:rsid w:val="007D0AAA"/>
    <w:rsid w:val="007E5C5B"/>
    <w:rsid w:val="007E730D"/>
    <w:rsid w:val="007F1AEC"/>
    <w:rsid w:val="007F6DD5"/>
    <w:rsid w:val="00805D27"/>
    <w:rsid w:val="00806DCB"/>
    <w:rsid w:val="00811EE7"/>
    <w:rsid w:val="00821776"/>
    <w:rsid w:val="008321F5"/>
    <w:rsid w:val="00832369"/>
    <w:rsid w:val="00834660"/>
    <w:rsid w:val="00836BC2"/>
    <w:rsid w:val="008413E3"/>
    <w:rsid w:val="0085156D"/>
    <w:rsid w:val="00852B28"/>
    <w:rsid w:val="0085641B"/>
    <w:rsid w:val="00857136"/>
    <w:rsid w:val="00872F6C"/>
    <w:rsid w:val="00873D6F"/>
    <w:rsid w:val="00875A6B"/>
    <w:rsid w:val="00885B11"/>
    <w:rsid w:val="00886D15"/>
    <w:rsid w:val="00887DD8"/>
    <w:rsid w:val="00891665"/>
    <w:rsid w:val="00891BA9"/>
    <w:rsid w:val="00896018"/>
    <w:rsid w:val="008960DD"/>
    <w:rsid w:val="0089635C"/>
    <w:rsid w:val="008A2B9D"/>
    <w:rsid w:val="008A3D9F"/>
    <w:rsid w:val="008A5E0B"/>
    <w:rsid w:val="008A6D59"/>
    <w:rsid w:val="008B4B03"/>
    <w:rsid w:val="008B596F"/>
    <w:rsid w:val="008C159F"/>
    <w:rsid w:val="008C1623"/>
    <w:rsid w:val="008C1850"/>
    <w:rsid w:val="008C35BF"/>
    <w:rsid w:val="008C51A9"/>
    <w:rsid w:val="008E383E"/>
    <w:rsid w:val="008E7846"/>
    <w:rsid w:val="008F02E5"/>
    <w:rsid w:val="008F1CCC"/>
    <w:rsid w:val="008F2967"/>
    <w:rsid w:val="008F2C62"/>
    <w:rsid w:val="008F487E"/>
    <w:rsid w:val="008F4EB1"/>
    <w:rsid w:val="008F6943"/>
    <w:rsid w:val="009023CC"/>
    <w:rsid w:val="00902A21"/>
    <w:rsid w:val="009050AE"/>
    <w:rsid w:val="0091523F"/>
    <w:rsid w:val="00915559"/>
    <w:rsid w:val="00920330"/>
    <w:rsid w:val="009219D7"/>
    <w:rsid w:val="0092200C"/>
    <w:rsid w:val="00922D53"/>
    <w:rsid w:val="00923B70"/>
    <w:rsid w:val="00924482"/>
    <w:rsid w:val="00930237"/>
    <w:rsid w:val="009364FD"/>
    <w:rsid w:val="00937C17"/>
    <w:rsid w:val="00940A89"/>
    <w:rsid w:val="00941F77"/>
    <w:rsid w:val="0094686B"/>
    <w:rsid w:val="00946EA5"/>
    <w:rsid w:val="00954C4B"/>
    <w:rsid w:val="00960520"/>
    <w:rsid w:val="00960D95"/>
    <w:rsid w:val="00963C08"/>
    <w:rsid w:val="009752A5"/>
    <w:rsid w:val="0098585A"/>
    <w:rsid w:val="00987099"/>
    <w:rsid w:val="00993E75"/>
    <w:rsid w:val="009A3750"/>
    <w:rsid w:val="009A4CED"/>
    <w:rsid w:val="009A690D"/>
    <w:rsid w:val="009B1D12"/>
    <w:rsid w:val="009B416B"/>
    <w:rsid w:val="009B63AA"/>
    <w:rsid w:val="009C4BD5"/>
    <w:rsid w:val="009D0542"/>
    <w:rsid w:val="009D2700"/>
    <w:rsid w:val="009D7B77"/>
    <w:rsid w:val="009E08AD"/>
    <w:rsid w:val="009E0BB0"/>
    <w:rsid w:val="009E3FBB"/>
    <w:rsid w:val="009F7353"/>
    <w:rsid w:val="00A043D0"/>
    <w:rsid w:val="00A04F85"/>
    <w:rsid w:val="00A05FA4"/>
    <w:rsid w:val="00A102E4"/>
    <w:rsid w:val="00A1219C"/>
    <w:rsid w:val="00A12C42"/>
    <w:rsid w:val="00A14DF7"/>
    <w:rsid w:val="00A20CAA"/>
    <w:rsid w:val="00A22D57"/>
    <w:rsid w:val="00A3246D"/>
    <w:rsid w:val="00A36FA7"/>
    <w:rsid w:val="00A4102A"/>
    <w:rsid w:val="00A44DDB"/>
    <w:rsid w:val="00A475B7"/>
    <w:rsid w:val="00A47AF7"/>
    <w:rsid w:val="00A47C3E"/>
    <w:rsid w:val="00A50226"/>
    <w:rsid w:val="00A5189A"/>
    <w:rsid w:val="00A60BAD"/>
    <w:rsid w:val="00A65822"/>
    <w:rsid w:val="00A71FD8"/>
    <w:rsid w:val="00A72A15"/>
    <w:rsid w:val="00A77F87"/>
    <w:rsid w:val="00A80B5B"/>
    <w:rsid w:val="00A82F68"/>
    <w:rsid w:val="00A84E36"/>
    <w:rsid w:val="00A8521E"/>
    <w:rsid w:val="00A9192D"/>
    <w:rsid w:val="00A940F1"/>
    <w:rsid w:val="00A95949"/>
    <w:rsid w:val="00A964D1"/>
    <w:rsid w:val="00AA0ED0"/>
    <w:rsid w:val="00AB6E26"/>
    <w:rsid w:val="00AC2B40"/>
    <w:rsid w:val="00AC2BB2"/>
    <w:rsid w:val="00AC2C3C"/>
    <w:rsid w:val="00AC512D"/>
    <w:rsid w:val="00AD0083"/>
    <w:rsid w:val="00AD3935"/>
    <w:rsid w:val="00AD677A"/>
    <w:rsid w:val="00AE1918"/>
    <w:rsid w:val="00AE259F"/>
    <w:rsid w:val="00AE65EB"/>
    <w:rsid w:val="00AE67A7"/>
    <w:rsid w:val="00AE7CF7"/>
    <w:rsid w:val="00AF1D94"/>
    <w:rsid w:val="00AF2B80"/>
    <w:rsid w:val="00AF6095"/>
    <w:rsid w:val="00AF60C5"/>
    <w:rsid w:val="00B009C6"/>
    <w:rsid w:val="00B00A91"/>
    <w:rsid w:val="00B01548"/>
    <w:rsid w:val="00B03398"/>
    <w:rsid w:val="00B06462"/>
    <w:rsid w:val="00B130C5"/>
    <w:rsid w:val="00B13EBD"/>
    <w:rsid w:val="00B21D29"/>
    <w:rsid w:val="00B25034"/>
    <w:rsid w:val="00B260C6"/>
    <w:rsid w:val="00B26EF1"/>
    <w:rsid w:val="00B32C12"/>
    <w:rsid w:val="00B33588"/>
    <w:rsid w:val="00B33863"/>
    <w:rsid w:val="00B36AD1"/>
    <w:rsid w:val="00B37592"/>
    <w:rsid w:val="00B37D17"/>
    <w:rsid w:val="00B4175E"/>
    <w:rsid w:val="00B41C85"/>
    <w:rsid w:val="00B44261"/>
    <w:rsid w:val="00B452CE"/>
    <w:rsid w:val="00B52F71"/>
    <w:rsid w:val="00B54C25"/>
    <w:rsid w:val="00B6261B"/>
    <w:rsid w:val="00B73CC2"/>
    <w:rsid w:val="00B76B91"/>
    <w:rsid w:val="00B77EB1"/>
    <w:rsid w:val="00B811C6"/>
    <w:rsid w:val="00B8128D"/>
    <w:rsid w:val="00B855B0"/>
    <w:rsid w:val="00B912D8"/>
    <w:rsid w:val="00B916F4"/>
    <w:rsid w:val="00B92E08"/>
    <w:rsid w:val="00B9359C"/>
    <w:rsid w:val="00BA5129"/>
    <w:rsid w:val="00BA63F7"/>
    <w:rsid w:val="00BC1485"/>
    <w:rsid w:val="00BC5C18"/>
    <w:rsid w:val="00BC622A"/>
    <w:rsid w:val="00BE0A78"/>
    <w:rsid w:val="00BE7164"/>
    <w:rsid w:val="00BE79F0"/>
    <w:rsid w:val="00BF046D"/>
    <w:rsid w:val="00BF1190"/>
    <w:rsid w:val="00BF26EC"/>
    <w:rsid w:val="00BF3774"/>
    <w:rsid w:val="00BF5D04"/>
    <w:rsid w:val="00C009AA"/>
    <w:rsid w:val="00C01831"/>
    <w:rsid w:val="00C0374A"/>
    <w:rsid w:val="00C1164D"/>
    <w:rsid w:val="00C16861"/>
    <w:rsid w:val="00C24461"/>
    <w:rsid w:val="00C346AB"/>
    <w:rsid w:val="00C404A6"/>
    <w:rsid w:val="00C40A36"/>
    <w:rsid w:val="00C416F9"/>
    <w:rsid w:val="00C44419"/>
    <w:rsid w:val="00C45E7B"/>
    <w:rsid w:val="00C471B1"/>
    <w:rsid w:val="00C52E24"/>
    <w:rsid w:val="00C6316B"/>
    <w:rsid w:val="00C634A9"/>
    <w:rsid w:val="00C64586"/>
    <w:rsid w:val="00C70D53"/>
    <w:rsid w:val="00C73D0B"/>
    <w:rsid w:val="00C74F5C"/>
    <w:rsid w:val="00C772FF"/>
    <w:rsid w:val="00C80137"/>
    <w:rsid w:val="00C801AF"/>
    <w:rsid w:val="00C80256"/>
    <w:rsid w:val="00C80579"/>
    <w:rsid w:val="00C81BAA"/>
    <w:rsid w:val="00C82013"/>
    <w:rsid w:val="00C94CD4"/>
    <w:rsid w:val="00C970AB"/>
    <w:rsid w:val="00C9747E"/>
    <w:rsid w:val="00CA3D57"/>
    <w:rsid w:val="00CA3DF7"/>
    <w:rsid w:val="00CB6BC0"/>
    <w:rsid w:val="00CB7322"/>
    <w:rsid w:val="00CB7494"/>
    <w:rsid w:val="00CB78E5"/>
    <w:rsid w:val="00CC118A"/>
    <w:rsid w:val="00CC1B7C"/>
    <w:rsid w:val="00CC727F"/>
    <w:rsid w:val="00CE5577"/>
    <w:rsid w:val="00CF15C3"/>
    <w:rsid w:val="00CF2248"/>
    <w:rsid w:val="00CF2B6F"/>
    <w:rsid w:val="00CF2F3E"/>
    <w:rsid w:val="00CF4485"/>
    <w:rsid w:val="00CF58B6"/>
    <w:rsid w:val="00D0062D"/>
    <w:rsid w:val="00D017ED"/>
    <w:rsid w:val="00D040D3"/>
    <w:rsid w:val="00D04C65"/>
    <w:rsid w:val="00D10F3C"/>
    <w:rsid w:val="00D130D8"/>
    <w:rsid w:val="00D153D8"/>
    <w:rsid w:val="00D201D2"/>
    <w:rsid w:val="00D224FE"/>
    <w:rsid w:val="00D23139"/>
    <w:rsid w:val="00D300D6"/>
    <w:rsid w:val="00D425BB"/>
    <w:rsid w:val="00D44E76"/>
    <w:rsid w:val="00D453FA"/>
    <w:rsid w:val="00D6493E"/>
    <w:rsid w:val="00D7195D"/>
    <w:rsid w:val="00D7301E"/>
    <w:rsid w:val="00D77E9F"/>
    <w:rsid w:val="00D828B8"/>
    <w:rsid w:val="00D83AE1"/>
    <w:rsid w:val="00D855D4"/>
    <w:rsid w:val="00D902C9"/>
    <w:rsid w:val="00D93466"/>
    <w:rsid w:val="00DA1124"/>
    <w:rsid w:val="00DA3A6A"/>
    <w:rsid w:val="00DA64CB"/>
    <w:rsid w:val="00DB06B8"/>
    <w:rsid w:val="00DB6124"/>
    <w:rsid w:val="00DB750B"/>
    <w:rsid w:val="00DB75B7"/>
    <w:rsid w:val="00DC0A2F"/>
    <w:rsid w:val="00DC1948"/>
    <w:rsid w:val="00DC6E02"/>
    <w:rsid w:val="00DD28CD"/>
    <w:rsid w:val="00DE02AE"/>
    <w:rsid w:val="00DE0CFD"/>
    <w:rsid w:val="00DE1250"/>
    <w:rsid w:val="00DE39D1"/>
    <w:rsid w:val="00DF1D7F"/>
    <w:rsid w:val="00DF4BE4"/>
    <w:rsid w:val="00E00CDC"/>
    <w:rsid w:val="00E02382"/>
    <w:rsid w:val="00E02FB4"/>
    <w:rsid w:val="00E03843"/>
    <w:rsid w:val="00E05CED"/>
    <w:rsid w:val="00E0721E"/>
    <w:rsid w:val="00E13FC7"/>
    <w:rsid w:val="00E17BEC"/>
    <w:rsid w:val="00E20571"/>
    <w:rsid w:val="00E235F7"/>
    <w:rsid w:val="00E23659"/>
    <w:rsid w:val="00E239D4"/>
    <w:rsid w:val="00E26130"/>
    <w:rsid w:val="00E32CE0"/>
    <w:rsid w:val="00E35474"/>
    <w:rsid w:val="00E40B22"/>
    <w:rsid w:val="00E42782"/>
    <w:rsid w:val="00E434B1"/>
    <w:rsid w:val="00E44ED1"/>
    <w:rsid w:val="00E45619"/>
    <w:rsid w:val="00E4588F"/>
    <w:rsid w:val="00E46DA3"/>
    <w:rsid w:val="00E51BB1"/>
    <w:rsid w:val="00E55CB0"/>
    <w:rsid w:val="00E624A5"/>
    <w:rsid w:val="00E64BA4"/>
    <w:rsid w:val="00E7343C"/>
    <w:rsid w:val="00E7344E"/>
    <w:rsid w:val="00E8243C"/>
    <w:rsid w:val="00E82665"/>
    <w:rsid w:val="00E9503A"/>
    <w:rsid w:val="00E95501"/>
    <w:rsid w:val="00E95D94"/>
    <w:rsid w:val="00EA1099"/>
    <w:rsid w:val="00EB0798"/>
    <w:rsid w:val="00EB40AD"/>
    <w:rsid w:val="00EB586E"/>
    <w:rsid w:val="00EB5FC8"/>
    <w:rsid w:val="00EC463D"/>
    <w:rsid w:val="00EC7A85"/>
    <w:rsid w:val="00ED237F"/>
    <w:rsid w:val="00ED2922"/>
    <w:rsid w:val="00ED3CAD"/>
    <w:rsid w:val="00ED5A41"/>
    <w:rsid w:val="00EE1DE8"/>
    <w:rsid w:val="00EE27C2"/>
    <w:rsid w:val="00EE4DA0"/>
    <w:rsid w:val="00EF4A3A"/>
    <w:rsid w:val="00EF4BAD"/>
    <w:rsid w:val="00EF59DC"/>
    <w:rsid w:val="00F033EC"/>
    <w:rsid w:val="00F03B11"/>
    <w:rsid w:val="00F04F68"/>
    <w:rsid w:val="00F12670"/>
    <w:rsid w:val="00F14B27"/>
    <w:rsid w:val="00F1680D"/>
    <w:rsid w:val="00F25504"/>
    <w:rsid w:val="00F30F23"/>
    <w:rsid w:val="00F3148D"/>
    <w:rsid w:val="00F325C5"/>
    <w:rsid w:val="00F32FE0"/>
    <w:rsid w:val="00F33D7B"/>
    <w:rsid w:val="00F35298"/>
    <w:rsid w:val="00F35896"/>
    <w:rsid w:val="00F4417A"/>
    <w:rsid w:val="00F47333"/>
    <w:rsid w:val="00F4750A"/>
    <w:rsid w:val="00F47E37"/>
    <w:rsid w:val="00F50013"/>
    <w:rsid w:val="00F53C07"/>
    <w:rsid w:val="00F54B65"/>
    <w:rsid w:val="00F640B6"/>
    <w:rsid w:val="00F64E7A"/>
    <w:rsid w:val="00F66DF2"/>
    <w:rsid w:val="00F674F9"/>
    <w:rsid w:val="00F7037C"/>
    <w:rsid w:val="00F767AE"/>
    <w:rsid w:val="00F80E40"/>
    <w:rsid w:val="00F848D9"/>
    <w:rsid w:val="00F95035"/>
    <w:rsid w:val="00FA440D"/>
    <w:rsid w:val="00FA5069"/>
    <w:rsid w:val="00FA5B82"/>
    <w:rsid w:val="00FA639E"/>
    <w:rsid w:val="00FA78AD"/>
    <w:rsid w:val="00FB31A7"/>
    <w:rsid w:val="00FC0AF7"/>
    <w:rsid w:val="00FC1FCA"/>
    <w:rsid w:val="00FC25E4"/>
    <w:rsid w:val="00FC4EF7"/>
    <w:rsid w:val="00FD0308"/>
    <w:rsid w:val="00FD0824"/>
    <w:rsid w:val="00FD119B"/>
    <w:rsid w:val="00FD1EDC"/>
    <w:rsid w:val="00FE1DEE"/>
    <w:rsid w:val="00FE2CA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6E03FA8"/>
  <w15:docId w15:val="{3AF99993-511C-4D7D-B5E5-D96AABE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B7322"/>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BA512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2A049F"/>
    <w:pPr>
      <w:ind w:left="720"/>
      <w:contextualSpacing/>
    </w:pPr>
  </w:style>
  <w:style w:type="paragraph" w:customStyle="1" w:styleId="FigureCaption">
    <w:name w:val="Figure Caption"/>
    <w:basedOn w:val="Normal"/>
    <w:qFormat/>
    <w:rsid w:val="000461E7"/>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0461E7"/>
    <w:pPr>
      <w:spacing w:after="240"/>
    </w:pPr>
    <w:rPr>
      <w:sz w:val="17"/>
    </w:rPr>
  </w:style>
  <w:style w:type="table" w:customStyle="1" w:styleId="TableTGA2">
    <w:name w:val="Table TGA 2"/>
    <w:basedOn w:val="TableNormal"/>
    <w:uiPriority w:val="99"/>
    <w:rsid w:val="000461E7"/>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0461E7"/>
    <w:pPr>
      <w:adjustRightInd w:val="0"/>
      <w:snapToGrid w:val="0"/>
      <w:spacing w:before="180" w:after="180"/>
    </w:pPr>
    <w:rPr>
      <w:rFonts w:eastAsia="MS Mincho"/>
      <w:b/>
      <w:szCs w:val="20"/>
      <w:lang w:eastAsia="ja-JP"/>
    </w:rPr>
  </w:style>
  <w:style w:type="paragraph" w:customStyle="1" w:styleId="Addressee">
    <w:name w:val="Addressee"/>
    <w:basedOn w:val="Normal"/>
    <w:qFormat/>
    <w:rsid w:val="000461E7"/>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0461E7"/>
    <w:rPr>
      <w:rFonts w:ascii="Arial" w:hAnsi="Arial"/>
      <w:color w:val="002C47"/>
      <w:sz w:val="14"/>
    </w:rPr>
  </w:style>
  <w:style w:type="paragraph" w:customStyle="1" w:styleId="BodyCopy">
    <w:name w:val="Body Copy"/>
    <w:basedOn w:val="Normal"/>
    <w:qFormat/>
    <w:rsid w:val="000461E7"/>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0461E7"/>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0461E7"/>
    <w:rPr>
      <w:rFonts w:ascii="Cambria" w:eastAsia="Times New Roman" w:hAnsi="Cambria" w:cs="Times New Roman"/>
      <w:snapToGrid w:val="0"/>
      <w:kern w:val="16"/>
      <w:sz w:val="23"/>
      <w:szCs w:val="24"/>
    </w:rPr>
  </w:style>
  <w:style w:type="paragraph" w:customStyle="1" w:styleId="Bulletpoint">
    <w:name w:val="Bullet point"/>
    <w:basedOn w:val="Standard"/>
    <w:rsid w:val="000461E7"/>
    <w:pPr>
      <w:numPr>
        <w:numId w:val="30"/>
      </w:numPr>
      <w:tabs>
        <w:tab w:val="clear" w:pos="369"/>
        <w:tab w:val="left" w:pos="397"/>
        <w:tab w:val="num" w:pos="511"/>
        <w:tab w:val="num" w:pos="926"/>
      </w:tabs>
      <w:spacing w:after="180"/>
      <w:ind w:left="0" w:firstLine="0"/>
    </w:pPr>
    <w:rPr>
      <w:sz w:val="22"/>
    </w:rPr>
  </w:style>
  <w:style w:type="paragraph" w:customStyle="1" w:styleId="PISubsection">
    <w:name w:val="PI Subsection"/>
    <w:basedOn w:val="Standard"/>
    <w:next w:val="Standard"/>
    <w:rsid w:val="000461E7"/>
    <w:pPr>
      <w:keepNext/>
      <w:spacing w:after="120"/>
    </w:pPr>
    <w:rPr>
      <w:b/>
      <w:i/>
      <w:kern w:val="2"/>
      <w:sz w:val="22"/>
    </w:rPr>
  </w:style>
  <w:style w:type="character" w:customStyle="1" w:styleId="citation-publication-date">
    <w:name w:val="citation-publication-date"/>
    <w:basedOn w:val="DefaultParagraphFont"/>
    <w:rsid w:val="00CC118A"/>
  </w:style>
  <w:style w:type="character" w:customStyle="1" w:styleId="highwire-citation-authors">
    <w:name w:val="highwire-citation-authors"/>
    <w:basedOn w:val="DefaultParagraphFont"/>
    <w:rsid w:val="00B37592"/>
  </w:style>
  <w:style w:type="character" w:customStyle="1" w:styleId="highwire-citation-author">
    <w:name w:val="highwire-citation-author"/>
    <w:basedOn w:val="DefaultParagraphFont"/>
    <w:rsid w:val="00B37592"/>
  </w:style>
  <w:style w:type="character" w:customStyle="1" w:styleId="nlm-surname">
    <w:name w:val="nlm-surname"/>
    <w:basedOn w:val="DefaultParagraphFont"/>
    <w:rsid w:val="00B37592"/>
  </w:style>
  <w:style w:type="character" w:customStyle="1" w:styleId="citation-et">
    <w:name w:val="citation-et"/>
    <w:basedOn w:val="DefaultParagraphFont"/>
    <w:rsid w:val="00B37592"/>
  </w:style>
  <w:style w:type="character" w:customStyle="1" w:styleId="highwire-cite-metadata-journal">
    <w:name w:val="highwire-cite-metadata-journal"/>
    <w:basedOn w:val="DefaultParagraphFont"/>
    <w:rsid w:val="00B37592"/>
  </w:style>
  <w:style w:type="character" w:customStyle="1" w:styleId="highwire-cite-metadata-year">
    <w:name w:val="highwire-cite-metadata-year"/>
    <w:basedOn w:val="DefaultParagraphFont"/>
    <w:rsid w:val="00B37592"/>
  </w:style>
  <w:style w:type="character" w:customStyle="1" w:styleId="highwire-cite-metadata-volume">
    <w:name w:val="highwire-cite-metadata-volume"/>
    <w:basedOn w:val="DefaultParagraphFont"/>
    <w:rsid w:val="00B37592"/>
  </w:style>
  <w:style w:type="character" w:customStyle="1" w:styleId="highwire-cite-metadata-pages">
    <w:name w:val="highwire-cite-metadata-pages"/>
    <w:basedOn w:val="DefaultParagraphFont"/>
    <w:rsid w:val="00B37592"/>
  </w:style>
  <w:style w:type="character" w:customStyle="1" w:styleId="author">
    <w:name w:val="author"/>
    <w:basedOn w:val="DefaultParagraphFont"/>
    <w:rsid w:val="0092200C"/>
  </w:style>
  <w:style w:type="character" w:customStyle="1" w:styleId="articletitle">
    <w:name w:val="articletitle"/>
    <w:basedOn w:val="DefaultParagraphFont"/>
    <w:rsid w:val="0092200C"/>
  </w:style>
  <w:style w:type="character" w:customStyle="1" w:styleId="journaltitle">
    <w:name w:val="journaltitle"/>
    <w:basedOn w:val="DefaultParagraphFont"/>
    <w:rsid w:val="0092200C"/>
  </w:style>
  <w:style w:type="character" w:customStyle="1" w:styleId="pubyear">
    <w:name w:val="pubyear"/>
    <w:basedOn w:val="DefaultParagraphFont"/>
    <w:rsid w:val="0092200C"/>
  </w:style>
  <w:style w:type="character" w:customStyle="1" w:styleId="vol">
    <w:name w:val="vol"/>
    <w:basedOn w:val="DefaultParagraphFont"/>
    <w:rsid w:val="0092200C"/>
  </w:style>
  <w:style w:type="character" w:customStyle="1" w:styleId="pagefirst">
    <w:name w:val="pagefirst"/>
    <w:basedOn w:val="DefaultParagraphFont"/>
    <w:rsid w:val="0092200C"/>
  </w:style>
  <w:style w:type="character" w:customStyle="1" w:styleId="pagelast">
    <w:name w:val="pagelast"/>
    <w:basedOn w:val="DefaultParagraphFont"/>
    <w:rsid w:val="0092200C"/>
  </w:style>
  <w:style w:type="character" w:styleId="Emphasis">
    <w:name w:val="Emphasis"/>
    <w:basedOn w:val="DefaultParagraphFont"/>
    <w:uiPriority w:val="20"/>
    <w:qFormat/>
    <w:rsid w:val="00716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49317">
      <w:bodyDiv w:val="1"/>
      <w:marLeft w:val="0"/>
      <w:marRight w:val="0"/>
      <w:marTop w:val="0"/>
      <w:marBottom w:val="0"/>
      <w:divBdr>
        <w:top w:val="none" w:sz="0" w:space="0" w:color="auto"/>
        <w:left w:val="none" w:sz="0" w:space="0" w:color="auto"/>
        <w:bottom w:val="none" w:sz="0" w:space="0" w:color="auto"/>
        <w:right w:val="none" w:sz="0" w:space="0" w:color="auto"/>
      </w:divBdr>
    </w:div>
    <w:div w:id="1028484185">
      <w:bodyDiv w:val="1"/>
      <w:marLeft w:val="0"/>
      <w:marRight w:val="0"/>
      <w:marTop w:val="0"/>
      <w:marBottom w:val="0"/>
      <w:divBdr>
        <w:top w:val="none" w:sz="0" w:space="0" w:color="auto"/>
        <w:left w:val="none" w:sz="0" w:space="0" w:color="auto"/>
        <w:bottom w:val="none" w:sz="0" w:space="0" w:color="auto"/>
        <w:right w:val="none" w:sz="0" w:space="0" w:color="auto"/>
      </w:divBdr>
      <w:divsChild>
        <w:div w:id="401148749">
          <w:marLeft w:val="0"/>
          <w:marRight w:val="0"/>
          <w:marTop w:val="0"/>
          <w:marBottom w:val="0"/>
          <w:divBdr>
            <w:top w:val="none" w:sz="0" w:space="0" w:color="auto"/>
            <w:left w:val="none" w:sz="0" w:space="0" w:color="auto"/>
            <w:bottom w:val="none" w:sz="0" w:space="0" w:color="auto"/>
            <w:right w:val="none" w:sz="0" w:space="0" w:color="auto"/>
          </w:divBdr>
        </w:div>
        <w:div w:id="503863413">
          <w:marLeft w:val="0"/>
          <w:marRight w:val="0"/>
          <w:marTop w:val="0"/>
          <w:marBottom w:val="0"/>
          <w:divBdr>
            <w:top w:val="none" w:sz="0" w:space="0" w:color="auto"/>
            <w:left w:val="none" w:sz="0" w:space="0" w:color="auto"/>
            <w:bottom w:val="none" w:sz="0" w:space="0" w:color="auto"/>
            <w:right w:val="none" w:sz="0" w:space="0" w:color="auto"/>
          </w:divBdr>
        </w:div>
        <w:div w:id="315916125">
          <w:marLeft w:val="0"/>
          <w:marRight w:val="0"/>
          <w:marTop w:val="0"/>
          <w:marBottom w:val="0"/>
          <w:divBdr>
            <w:top w:val="none" w:sz="0" w:space="0" w:color="auto"/>
            <w:left w:val="none" w:sz="0" w:space="0" w:color="auto"/>
            <w:bottom w:val="none" w:sz="0" w:space="0" w:color="auto"/>
            <w:right w:val="none" w:sz="0" w:space="0" w:color="auto"/>
          </w:divBdr>
        </w:div>
      </w:divsChild>
    </w:div>
    <w:div w:id="1420103507">
      <w:bodyDiv w:val="1"/>
      <w:marLeft w:val="0"/>
      <w:marRight w:val="0"/>
      <w:marTop w:val="0"/>
      <w:marBottom w:val="0"/>
      <w:divBdr>
        <w:top w:val="none" w:sz="0" w:space="0" w:color="auto"/>
        <w:left w:val="none" w:sz="0" w:space="0" w:color="auto"/>
        <w:bottom w:val="none" w:sz="0" w:space="0" w:color="auto"/>
        <w:right w:val="none" w:sz="0" w:space="0" w:color="auto"/>
      </w:divBdr>
      <w:divsChild>
        <w:div w:id="685134115">
          <w:marLeft w:val="0"/>
          <w:marRight w:val="0"/>
          <w:marTop w:val="34"/>
          <w:marBottom w:val="34"/>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
            <w:div w:id="8989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5355">
      <w:bodyDiv w:val="1"/>
      <w:marLeft w:val="0"/>
      <w:marRight w:val="0"/>
      <w:marTop w:val="0"/>
      <w:marBottom w:val="0"/>
      <w:divBdr>
        <w:top w:val="none" w:sz="0" w:space="0" w:color="auto"/>
        <w:left w:val="none" w:sz="0" w:space="0" w:color="auto"/>
        <w:bottom w:val="none" w:sz="0" w:space="0" w:color="auto"/>
        <w:right w:val="none" w:sz="0" w:space="0" w:color="auto"/>
      </w:divBdr>
    </w:div>
    <w:div w:id="19990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UST\AppData\Local\Hewlett-Packard\HP%20TRIM\TEMP\HPTRIM.66528\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140E-E262-43F7-9FFB-6FF65091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Template>
  <TotalTime>12</TotalTime>
  <Pages>27</Pages>
  <Words>8566</Words>
  <Characters>47373</Characters>
  <Application>Microsoft Office Word</Application>
  <DocSecurity>0</DocSecurity>
  <Lines>1184</Lines>
  <Paragraphs>776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Ixekizumab</dc:title>
  <dc:subject>prescription medicines</dc:subject>
  <dc:creator>Therapeutic Goods Administration</dc:creator>
  <cp:keywords/>
  <cp:lastPrinted>2019-08-14T04:30:00Z</cp:lastPrinted>
  <dcterms:created xsi:type="dcterms:W3CDTF">2020-07-06T04:52:00Z</dcterms:created>
  <dcterms:modified xsi:type="dcterms:W3CDTF">2020-07-06T05:16:00Z</dcterms:modified>
  <cp:category/>
</cp:coreProperties>
</file>