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08" w:rsidRDefault="002D31A3">
      <w:pPr>
        <w:pStyle w:val="Title"/>
        <w:rPr>
          <w:b w:val="0"/>
        </w:rPr>
      </w:pPr>
      <w:bookmarkStart w:id="0" w:name="_GoBack"/>
      <w:bookmarkEnd w:id="0"/>
      <w:r w:rsidRPr="002D31A3">
        <w:t>PRODUCT INFORMATION</w:t>
      </w:r>
    </w:p>
    <w:p w:rsidR="003A3EFF" w:rsidRDefault="00021D19" w:rsidP="007201F1">
      <w:pPr>
        <w:jc w:val="center"/>
        <w:rPr>
          <w:rFonts w:eastAsia="Times New Roman" w:cs="Arial"/>
          <w:b/>
          <w:caps/>
          <w:sz w:val="24"/>
          <w:szCs w:val="24"/>
        </w:rPr>
      </w:pPr>
      <w:r w:rsidRPr="00021D19">
        <w:rPr>
          <w:rFonts w:eastAsia="Times New Roman" w:cs="Arial"/>
          <w:b/>
          <w:caps/>
          <w:sz w:val="24"/>
          <w:szCs w:val="24"/>
        </w:rPr>
        <w:t>NINLARO</w:t>
      </w:r>
      <w:r w:rsidR="002D31A3" w:rsidRPr="00021D19">
        <w:rPr>
          <w:rFonts w:eastAsia="Times New Roman" w:cs="Arial"/>
          <w:b/>
          <w:caps/>
          <w:sz w:val="24"/>
          <w:szCs w:val="24"/>
          <w:vertAlign w:val="superscript"/>
        </w:rPr>
        <w:t>®</w:t>
      </w:r>
    </w:p>
    <w:p w:rsidR="00691008" w:rsidRDefault="002D31A3">
      <w:pPr>
        <w:pStyle w:val="Heading1"/>
        <w:spacing w:after="240"/>
        <w:rPr>
          <w:rFonts w:cs="Arial"/>
          <w:b w:val="0"/>
          <w:sz w:val="22"/>
          <w:szCs w:val="22"/>
        </w:rPr>
      </w:pPr>
      <w:r w:rsidRPr="002D31A3">
        <w:rPr>
          <w:rFonts w:cs="Arial"/>
          <w:sz w:val="22"/>
          <w:szCs w:val="22"/>
        </w:rPr>
        <w:t>NAME OF THE MEDICINE</w:t>
      </w:r>
    </w:p>
    <w:p w:rsidR="00A600D1" w:rsidRPr="00A600D1" w:rsidRDefault="00A600D1" w:rsidP="00A600D1">
      <w:pPr>
        <w:spacing w:after="240"/>
        <w:jc w:val="both"/>
        <w:rPr>
          <w:rFonts w:eastAsia="Times New Roman" w:cs="Arial"/>
        </w:rPr>
      </w:pPr>
      <w:r w:rsidRPr="00A600D1">
        <w:rPr>
          <w:rFonts w:eastAsia="Times New Roman" w:cs="Arial"/>
        </w:rPr>
        <w:t xml:space="preserve">Non-proprietary name: </w:t>
      </w:r>
      <w:r>
        <w:rPr>
          <w:rFonts w:eastAsia="Times New Roman" w:cs="Arial"/>
        </w:rPr>
        <w:t>ixazomib citrate</w:t>
      </w:r>
    </w:p>
    <w:p w:rsidR="00E34C2C" w:rsidRPr="00122FED" w:rsidRDefault="00E34C2C" w:rsidP="00E34C2C">
      <w:pPr>
        <w:tabs>
          <w:tab w:val="left" w:pos="1843"/>
        </w:tabs>
        <w:spacing w:after="240"/>
        <w:jc w:val="both"/>
        <w:rPr>
          <w:rFonts w:eastAsia="Times New Roman" w:cs="Arial"/>
          <w:lang w:val="pt-PT"/>
        </w:rPr>
      </w:pPr>
      <w:r w:rsidRPr="00122FED">
        <w:rPr>
          <w:rFonts w:eastAsia="Times New Roman" w:cs="Arial"/>
          <w:lang w:val="pt-PT"/>
        </w:rPr>
        <w:t>Chemical Name:</w:t>
      </w:r>
      <w:r>
        <w:rPr>
          <w:rFonts w:eastAsia="Times New Roman" w:cs="Arial"/>
          <w:lang w:val="pt-PT"/>
        </w:rPr>
        <w:tab/>
      </w:r>
      <w:r w:rsidRPr="00786974">
        <w:rPr>
          <w:rFonts w:eastAsia="Times New Roman" w:cs="Arial"/>
        </w:rPr>
        <w:t>2-[(1R)-1-[[2-[(2,5-dichlorobenzoyl)amino]acetyl]amino]-3-methylbutyl]-5-</w:t>
      </w:r>
      <w:r>
        <w:rPr>
          <w:rFonts w:eastAsia="Times New Roman" w:cs="Arial"/>
        </w:rPr>
        <w:tab/>
      </w:r>
      <w:r w:rsidRPr="00786974">
        <w:rPr>
          <w:rFonts w:eastAsia="Times New Roman" w:cs="Arial"/>
        </w:rPr>
        <w:t>oxo-1,3,2-dioxaborolane-4,4-diacetic acid</w:t>
      </w:r>
    </w:p>
    <w:p w:rsidR="00A600D1" w:rsidRPr="00A600D1" w:rsidRDefault="00405308" w:rsidP="00A600D1">
      <w:pPr>
        <w:spacing w:after="240"/>
        <w:jc w:val="both"/>
        <w:rPr>
          <w:rFonts w:eastAsia="Times New Roman" w:cs="Arial"/>
        </w:rPr>
      </w:pPr>
      <w:r>
        <w:rPr>
          <w:rFonts w:eastAsia="Times New Roman" w:cs="Arial"/>
        </w:rPr>
        <w:t>S</w:t>
      </w:r>
      <w:r w:rsidR="00A600D1" w:rsidRPr="00A600D1">
        <w:rPr>
          <w:rFonts w:eastAsia="Times New Roman" w:cs="Arial"/>
        </w:rPr>
        <w:t>tructural formula:</w:t>
      </w:r>
    </w:p>
    <w:p w:rsidR="00A600D1" w:rsidRPr="006E646C" w:rsidRDefault="002A25E1" w:rsidP="00A600D1">
      <w:pPr>
        <w:spacing w:after="240"/>
        <w:jc w:val="both"/>
        <w:rPr>
          <w:rFonts w:eastAsia="Times New Roman" w:cs="Arial"/>
          <w:lang w:val="pt-PT"/>
        </w:rPr>
      </w:pPr>
      <w:r w:rsidRPr="00BC4144">
        <w:rPr>
          <w:rFonts w:eastAsia="SimSun" w:cs="Arial"/>
          <w:noProof/>
          <w:sz w:val="18"/>
          <w:szCs w:val="18"/>
        </w:rPr>
        <w:drawing>
          <wp:inline distT="0" distB="0" distL="0" distR="0" wp14:anchorId="7050733E" wp14:editId="5961F1F4">
            <wp:extent cx="2286000" cy="1085850"/>
            <wp:effectExtent l="0" t="0" r="0" b="0"/>
            <wp:docPr id="2" name="Picture 2" descr="Image of the Structural formula for Ixazomib citrate [Ninl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085850"/>
                    </a:xfrm>
                    <a:prstGeom prst="rect">
                      <a:avLst/>
                    </a:prstGeom>
                    <a:noFill/>
                    <a:ln>
                      <a:noFill/>
                    </a:ln>
                  </pic:spPr>
                </pic:pic>
              </a:graphicData>
            </a:graphic>
          </wp:inline>
        </w:drawing>
      </w:r>
    </w:p>
    <w:p w:rsidR="00A600D1" w:rsidRDefault="00A600D1" w:rsidP="00A600D1">
      <w:pPr>
        <w:spacing w:after="240"/>
        <w:jc w:val="both"/>
        <w:rPr>
          <w:rFonts w:eastAsia="Times New Roman" w:cs="Arial"/>
          <w:vertAlign w:val="subscript"/>
          <w:lang w:val="pt-PT"/>
        </w:rPr>
      </w:pPr>
      <w:r w:rsidRPr="002A25E1">
        <w:rPr>
          <w:rFonts w:eastAsia="Times New Roman" w:cs="Arial"/>
          <w:lang w:val="pt-PT"/>
        </w:rPr>
        <w:t>Molecular formula:</w:t>
      </w:r>
      <w:r w:rsidR="00CA3DB5" w:rsidRPr="002A25E1">
        <w:rPr>
          <w:rFonts w:eastAsia="Times New Roman" w:cs="Arial"/>
          <w:lang w:val="pt-PT"/>
        </w:rPr>
        <w:t xml:space="preserve"> C</w:t>
      </w:r>
      <w:r w:rsidR="00CA3DB5" w:rsidRPr="002A25E1">
        <w:rPr>
          <w:rFonts w:eastAsia="Times New Roman" w:cs="Arial"/>
          <w:vertAlign w:val="subscript"/>
          <w:lang w:val="pt-PT"/>
        </w:rPr>
        <w:t>20</w:t>
      </w:r>
      <w:r w:rsidR="00CA3DB5" w:rsidRPr="002A25E1">
        <w:rPr>
          <w:rFonts w:eastAsia="Times New Roman" w:cs="Arial"/>
          <w:lang w:val="pt-PT"/>
        </w:rPr>
        <w:t>H</w:t>
      </w:r>
      <w:r w:rsidR="00CA3DB5" w:rsidRPr="002A25E1">
        <w:rPr>
          <w:rFonts w:eastAsia="Times New Roman" w:cs="Arial"/>
          <w:vertAlign w:val="subscript"/>
          <w:lang w:val="pt-PT"/>
        </w:rPr>
        <w:t>23</w:t>
      </w:r>
      <w:r w:rsidR="00CA3DB5" w:rsidRPr="002A25E1">
        <w:rPr>
          <w:rFonts w:eastAsia="Times New Roman" w:cs="Arial"/>
          <w:lang w:val="pt-PT"/>
        </w:rPr>
        <w:t>BCl</w:t>
      </w:r>
      <w:r w:rsidR="00CA3DB5" w:rsidRPr="002A25E1">
        <w:rPr>
          <w:rFonts w:eastAsia="Times New Roman" w:cs="Arial"/>
          <w:vertAlign w:val="subscript"/>
          <w:lang w:val="pt-PT"/>
        </w:rPr>
        <w:t>2</w:t>
      </w:r>
      <w:r w:rsidR="00CA3DB5" w:rsidRPr="002A25E1">
        <w:rPr>
          <w:rFonts w:eastAsia="Times New Roman" w:cs="Arial"/>
          <w:lang w:val="pt-PT"/>
        </w:rPr>
        <w:t>N</w:t>
      </w:r>
      <w:r w:rsidR="00CA3DB5" w:rsidRPr="002A25E1">
        <w:rPr>
          <w:rFonts w:eastAsia="Times New Roman" w:cs="Arial"/>
          <w:vertAlign w:val="subscript"/>
          <w:lang w:val="pt-PT"/>
        </w:rPr>
        <w:t>2</w:t>
      </w:r>
      <w:r w:rsidR="00CA3DB5" w:rsidRPr="002A25E1">
        <w:rPr>
          <w:rFonts w:eastAsia="Times New Roman" w:cs="Arial"/>
          <w:lang w:val="pt-PT"/>
        </w:rPr>
        <w:t>O</w:t>
      </w:r>
      <w:r w:rsidR="00CA3DB5" w:rsidRPr="002A25E1">
        <w:rPr>
          <w:rFonts w:eastAsia="Times New Roman" w:cs="Arial"/>
          <w:vertAlign w:val="subscript"/>
          <w:lang w:val="pt-PT"/>
        </w:rPr>
        <w:t>9</w:t>
      </w:r>
    </w:p>
    <w:p w:rsidR="00A600D1" w:rsidRPr="002A25E1" w:rsidRDefault="00A600D1" w:rsidP="00A600D1">
      <w:pPr>
        <w:spacing w:after="240"/>
        <w:jc w:val="both"/>
        <w:rPr>
          <w:rFonts w:eastAsia="Times New Roman" w:cs="Arial"/>
          <w:lang w:val="pt-PT"/>
        </w:rPr>
      </w:pPr>
      <w:r w:rsidRPr="002A25E1">
        <w:rPr>
          <w:rFonts w:eastAsia="Times New Roman" w:cs="Arial"/>
          <w:lang w:val="pt-PT"/>
        </w:rPr>
        <w:t xml:space="preserve">Molecular weight: </w:t>
      </w:r>
      <w:r w:rsidR="00CA3DB5" w:rsidRPr="002A25E1">
        <w:rPr>
          <w:rFonts w:eastAsia="Times New Roman" w:cs="Arial"/>
          <w:lang w:val="pt-PT"/>
        </w:rPr>
        <w:t>517.12</w:t>
      </w:r>
    </w:p>
    <w:p w:rsidR="00A600D1" w:rsidRDefault="00A600D1" w:rsidP="00A600D1">
      <w:pPr>
        <w:spacing w:after="240"/>
        <w:jc w:val="both"/>
        <w:rPr>
          <w:rFonts w:eastAsia="Times New Roman" w:cs="Arial"/>
        </w:rPr>
      </w:pPr>
      <w:r w:rsidRPr="002A25E1">
        <w:rPr>
          <w:rFonts w:eastAsia="Times New Roman" w:cs="Arial"/>
        </w:rPr>
        <w:t>CAS Registry Number:</w:t>
      </w:r>
      <w:r w:rsidR="00CA3DB5" w:rsidRPr="002A25E1">
        <w:rPr>
          <w:rFonts w:eastAsia="Times New Roman" w:cs="Arial"/>
        </w:rPr>
        <w:t xml:space="preserve"> 1239908-20-3</w:t>
      </w:r>
    </w:p>
    <w:p w:rsidR="00691008" w:rsidRDefault="002D31A3">
      <w:pPr>
        <w:pStyle w:val="Heading1"/>
        <w:spacing w:after="240"/>
        <w:rPr>
          <w:rFonts w:cs="Arial"/>
          <w:b w:val="0"/>
          <w:sz w:val="22"/>
          <w:szCs w:val="22"/>
        </w:rPr>
      </w:pPr>
      <w:r w:rsidRPr="002D31A3">
        <w:rPr>
          <w:rFonts w:cs="Arial"/>
          <w:sz w:val="22"/>
          <w:szCs w:val="22"/>
        </w:rPr>
        <w:t>DESCRIPTION</w:t>
      </w:r>
    </w:p>
    <w:p w:rsidR="0085457B" w:rsidRPr="0085457B" w:rsidRDefault="0085457B" w:rsidP="005F366F">
      <w:pPr>
        <w:rPr>
          <w:rFonts w:eastAsia="Times New Roman"/>
        </w:rPr>
      </w:pPr>
      <w:r w:rsidRPr="0085457B">
        <w:rPr>
          <w:rFonts w:eastAsia="Times New Roman"/>
        </w:rPr>
        <w:t>NINLARO (ixazomib) is an antineoplastic agent for oral use. Ixazomib citrate, a prodrug, is the drug substance that rapidly hydroly</w:t>
      </w:r>
      <w:r w:rsidR="00ED3082">
        <w:rPr>
          <w:rFonts w:eastAsia="Times New Roman"/>
        </w:rPr>
        <w:t>s</w:t>
      </w:r>
      <w:r w:rsidRPr="0085457B">
        <w:rPr>
          <w:rFonts w:eastAsia="Times New Roman"/>
        </w:rPr>
        <w:t xml:space="preserve">es under physiological conditions to its biologically active form, ixazomib. </w:t>
      </w:r>
      <w:r w:rsidR="00692BE6" w:rsidRPr="00692BE6">
        <w:rPr>
          <w:rFonts w:eastAsia="Times New Roman"/>
        </w:rPr>
        <w:t>Ixazomib is a Class 3 compound, as per</w:t>
      </w:r>
      <w:r w:rsidR="00692BE6">
        <w:rPr>
          <w:rFonts w:eastAsia="Times New Roman"/>
        </w:rPr>
        <w:t xml:space="preserve"> </w:t>
      </w:r>
      <w:r w:rsidR="00692BE6" w:rsidRPr="00692BE6">
        <w:rPr>
          <w:rFonts w:eastAsia="Times New Roman"/>
        </w:rPr>
        <w:t>the Biopharmaceutics Classification System (BCS)</w:t>
      </w:r>
      <w:r w:rsidR="00692BE6">
        <w:rPr>
          <w:rFonts w:eastAsia="Times New Roman"/>
        </w:rPr>
        <w:t>.</w:t>
      </w:r>
      <w:r w:rsidR="00692BE6" w:rsidRPr="00692BE6">
        <w:rPr>
          <w:rFonts w:eastAsia="Times New Roman"/>
        </w:rPr>
        <w:t xml:space="preserve"> </w:t>
      </w:r>
      <w:r w:rsidRPr="0085457B">
        <w:rPr>
          <w:rFonts w:eastAsia="Times New Roman"/>
        </w:rPr>
        <w:t xml:space="preserve">The solubility of ixazomib citrate in 0.1N </w:t>
      </w:r>
      <w:proofErr w:type="spellStart"/>
      <w:r w:rsidRPr="0085457B">
        <w:rPr>
          <w:rFonts w:eastAsia="Times New Roman"/>
        </w:rPr>
        <w:t>HCl</w:t>
      </w:r>
      <w:proofErr w:type="spellEnd"/>
      <w:r w:rsidRPr="0085457B">
        <w:rPr>
          <w:rFonts w:eastAsia="Times New Roman"/>
        </w:rPr>
        <w:t xml:space="preserve"> (pH 1.2) at 37</w:t>
      </w:r>
      <w:r w:rsidR="00BF2840">
        <w:rPr>
          <w:rFonts w:eastAsia="Times New Roman"/>
        </w:rPr>
        <w:t> </w:t>
      </w:r>
      <w:r w:rsidRPr="0085457B">
        <w:rPr>
          <w:rFonts w:eastAsia="Times New Roman"/>
        </w:rPr>
        <w:t>°C is 0.61</w:t>
      </w:r>
      <w:r w:rsidR="000B2640">
        <w:rPr>
          <w:rFonts w:eastAsia="Times New Roman"/>
        </w:rPr>
        <w:t> </w:t>
      </w:r>
      <w:r w:rsidRPr="0085457B">
        <w:rPr>
          <w:rFonts w:eastAsia="Times New Roman"/>
        </w:rPr>
        <w:t>mg/mL (reported as ixazomib). The solubility increases as the pH increases.</w:t>
      </w:r>
      <w:r w:rsidR="00692BE6">
        <w:rPr>
          <w:rFonts w:eastAsia="Times New Roman"/>
        </w:rPr>
        <w:t xml:space="preserve"> </w:t>
      </w:r>
      <w:r w:rsidR="00723217">
        <w:rPr>
          <w:rFonts w:eastAsia="Times New Roman"/>
        </w:rPr>
        <w:t xml:space="preserve">The calculated </w:t>
      </w:r>
      <w:proofErr w:type="spellStart"/>
      <w:r w:rsidR="000B3FD0">
        <w:rPr>
          <w:rFonts w:eastAsia="Times New Roman"/>
        </w:rPr>
        <w:t>a</w:t>
      </w:r>
      <w:r w:rsidR="00A256AA" w:rsidRPr="00A256AA">
        <w:rPr>
          <w:rFonts w:eastAsia="Times New Roman"/>
        </w:rPr>
        <w:t>LogP</w:t>
      </w:r>
      <w:proofErr w:type="spellEnd"/>
      <w:r w:rsidR="00A256AA">
        <w:rPr>
          <w:rFonts w:eastAsia="Times New Roman"/>
        </w:rPr>
        <w:t xml:space="preserve"> </w:t>
      </w:r>
      <w:r w:rsidR="000B3FD0">
        <w:rPr>
          <w:rFonts w:eastAsia="Times New Roman"/>
        </w:rPr>
        <w:t xml:space="preserve">for </w:t>
      </w:r>
      <w:proofErr w:type="spellStart"/>
      <w:r w:rsidR="000B3FD0">
        <w:rPr>
          <w:rFonts w:eastAsia="Times New Roman"/>
        </w:rPr>
        <w:t>Ixazomib</w:t>
      </w:r>
      <w:proofErr w:type="spellEnd"/>
      <w:r w:rsidR="000B3FD0">
        <w:rPr>
          <w:rFonts w:eastAsia="Times New Roman"/>
        </w:rPr>
        <w:t xml:space="preserve"> citrate </w:t>
      </w:r>
      <w:r w:rsidR="00A256AA">
        <w:rPr>
          <w:rFonts w:eastAsia="Times New Roman"/>
        </w:rPr>
        <w:t xml:space="preserve">at 25 °C </w:t>
      </w:r>
      <w:r w:rsidR="00723217" w:rsidRPr="00723217">
        <w:rPr>
          <w:rFonts w:eastAsia="Times New Roman"/>
        </w:rPr>
        <w:t xml:space="preserve">gives a theoretical value of </w:t>
      </w:r>
      <w:r w:rsidR="00A256AA" w:rsidRPr="00A256AA">
        <w:rPr>
          <w:rFonts w:eastAsia="Times New Roman"/>
        </w:rPr>
        <w:t>3.50</w:t>
      </w:r>
      <w:r w:rsidR="00A256AA">
        <w:rPr>
          <w:rFonts w:eastAsia="Times New Roman"/>
        </w:rPr>
        <w:t>.</w:t>
      </w:r>
      <w:r w:rsidR="00064116" w:rsidRPr="00064116">
        <w:rPr>
          <w:rFonts w:eastAsia="Times New Roman"/>
        </w:rPr>
        <w:t xml:space="preserve"> </w:t>
      </w:r>
      <w:r w:rsidR="00064116">
        <w:rPr>
          <w:rFonts w:eastAsia="Times New Roman"/>
        </w:rPr>
        <w:t>The polymorphic Form 2 is used in the manufacture of NINLARO.</w:t>
      </w:r>
    </w:p>
    <w:p w:rsidR="003A3EFF" w:rsidRDefault="0085457B" w:rsidP="005F366F">
      <w:pPr>
        <w:rPr>
          <w:rFonts w:eastAsia="Times New Roman"/>
        </w:rPr>
      </w:pPr>
      <w:r w:rsidRPr="0085457B">
        <w:rPr>
          <w:rFonts w:eastAsia="Times New Roman"/>
        </w:rPr>
        <w:t>Ixazomib citrate has one chiral cent</w:t>
      </w:r>
      <w:r w:rsidR="00ED3082">
        <w:rPr>
          <w:rFonts w:eastAsia="Times New Roman"/>
        </w:rPr>
        <w:t>r</w:t>
      </w:r>
      <w:r w:rsidRPr="0085457B">
        <w:rPr>
          <w:rFonts w:eastAsia="Times New Roman"/>
        </w:rPr>
        <w:t xml:space="preserve">e and has been unambiguously determined to be the </w:t>
      </w:r>
      <w:r w:rsidRPr="00C83B2D">
        <w:rPr>
          <w:rFonts w:eastAsia="Times New Roman"/>
        </w:rPr>
        <w:t>R</w:t>
      </w:r>
      <w:r w:rsidR="005F74D3">
        <w:rPr>
          <w:rFonts w:eastAsia="Times New Roman"/>
        </w:rPr>
        <w:noBreakHyphen/>
      </w:r>
      <w:r w:rsidRPr="0085457B">
        <w:rPr>
          <w:rFonts w:eastAsia="Times New Roman"/>
        </w:rPr>
        <w:t xml:space="preserve">stereoisomer. </w:t>
      </w:r>
      <w:r w:rsidRPr="00613B99">
        <w:rPr>
          <w:rFonts w:eastAsia="Times New Roman"/>
          <w:i/>
        </w:rPr>
        <w:t>In vivo</w:t>
      </w:r>
      <w:r w:rsidRPr="0085457B">
        <w:rPr>
          <w:rFonts w:eastAsia="Times New Roman"/>
        </w:rPr>
        <w:t xml:space="preserve"> conversion to the </w:t>
      </w:r>
      <w:r w:rsidRPr="00C83B2D">
        <w:rPr>
          <w:rFonts w:eastAsia="Times New Roman"/>
        </w:rPr>
        <w:t>S-</w:t>
      </w:r>
      <w:r w:rsidRPr="0085457B">
        <w:rPr>
          <w:rFonts w:eastAsia="Times New Roman"/>
        </w:rPr>
        <w:t>stereoisomer does not occur after administration.</w:t>
      </w:r>
    </w:p>
    <w:p w:rsidR="0085457B" w:rsidRDefault="0085457B" w:rsidP="005F366F">
      <w:pPr>
        <w:rPr>
          <w:rFonts w:eastAsia="Times New Roman"/>
        </w:rPr>
      </w:pPr>
      <w:r w:rsidRPr="0085457B">
        <w:rPr>
          <w:rFonts w:eastAsia="Times New Roman"/>
        </w:rPr>
        <w:t xml:space="preserve">NINLARO oral </w:t>
      </w:r>
      <w:r w:rsidR="00537D51">
        <w:rPr>
          <w:rFonts w:eastAsia="Times New Roman"/>
        </w:rPr>
        <w:t xml:space="preserve">hard </w:t>
      </w:r>
      <w:r w:rsidRPr="0085457B">
        <w:rPr>
          <w:rFonts w:eastAsia="Times New Roman"/>
        </w:rPr>
        <w:t>capsules contain 5.7, 4.3 or 3.3 mg of ixazomib citrate equivalent to 4, 3 or 2.3</w:t>
      </w:r>
      <w:r w:rsidR="000B2640">
        <w:rPr>
          <w:rFonts w:eastAsia="Times New Roman"/>
        </w:rPr>
        <w:t> </w:t>
      </w:r>
      <w:r w:rsidRPr="0085457B">
        <w:rPr>
          <w:rFonts w:eastAsia="Times New Roman"/>
        </w:rPr>
        <w:t xml:space="preserve">mg of ixazomib, respectively. Inactive ingredients include microcrystalline cellulose, magnesium stearate, and talc. All capsule shells contain gelatin and </w:t>
      </w:r>
      <w:r w:rsidRPr="009A5EAD">
        <w:rPr>
          <w:rFonts w:eastAsia="Times New Roman"/>
        </w:rPr>
        <w:t>titanium dioxide.</w:t>
      </w:r>
      <w:r w:rsidRPr="0085457B">
        <w:rPr>
          <w:rFonts w:eastAsia="Times New Roman"/>
        </w:rPr>
        <w:t xml:space="preserve"> The</w:t>
      </w:r>
      <w:r w:rsidR="008022E3">
        <w:rPr>
          <w:rFonts w:eastAsia="Times New Roman"/>
        </w:rPr>
        <w:t xml:space="preserve"> </w:t>
      </w:r>
      <w:r w:rsidRPr="0085457B">
        <w:rPr>
          <w:rFonts w:eastAsia="Times New Roman"/>
        </w:rPr>
        <w:t>4</w:t>
      </w:r>
      <w:r w:rsidR="000B2640">
        <w:rPr>
          <w:rFonts w:eastAsia="Times New Roman"/>
        </w:rPr>
        <w:t> </w:t>
      </w:r>
      <w:r w:rsidRPr="0085457B">
        <w:rPr>
          <w:rFonts w:eastAsia="Times New Roman"/>
        </w:rPr>
        <w:t>mg capsule shell contain</w:t>
      </w:r>
      <w:r w:rsidRPr="009A5EAD">
        <w:rPr>
          <w:rFonts w:eastAsia="Times New Roman"/>
        </w:rPr>
        <w:t>s iron oxide</w:t>
      </w:r>
      <w:r w:rsidR="009A5EAD" w:rsidRPr="009A5EAD">
        <w:rPr>
          <w:rFonts w:eastAsia="Times New Roman"/>
        </w:rPr>
        <w:t xml:space="preserve"> red and </w:t>
      </w:r>
      <w:r w:rsidR="00640B29" w:rsidRPr="009A5EAD">
        <w:rPr>
          <w:rFonts w:eastAsia="Times New Roman"/>
        </w:rPr>
        <w:t xml:space="preserve">iron oxide </w:t>
      </w:r>
      <w:r w:rsidR="009A5EAD" w:rsidRPr="009A5EAD">
        <w:rPr>
          <w:rFonts w:eastAsia="Times New Roman"/>
        </w:rPr>
        <w:t>yellow</w:t>
      </w:r>
      <w:r w:rsidRPr="009A5EAD">
        <w:rPr>
          <w:rFonts w:eastAsia="Times New Roman"/>
        </w:rPr>
        <w:t>,</w:t>
      </w:r>
      <w:r w:rsidRPr="0085457B">
        <w:rPr>
          <w:rFonts w:eastAsia="Times New Roman"/>
        </w:rPr>
        <w:t xml:space="preserve"> the 3</w:t>
      </w:r>
      <w:r w:rsidR="000B2640">
        <w:rPr>
          <w:rFonts w:eastAsia="Times New Roman"/>
        </w:rPr>
        <w:t> </w:t>
      </w:r>
      <w:r w:rsidRPr="0085457B">
        <w:rPr>
          <w:rFonts w:eastAsia="Times New Roman"/>
        </w:rPr>
        <w:t xml:space="preserve">mg capsule shell contains </w:t>
      </w:r>
      <w:r w:rsidRPr="009A5EAD">
        <w:rPr>
          <w:rFonts w:eastAsia="Times New Roman"/>
        </w:rPr>
        <w:t xml:space="preserve">iron oxide </w:t>
      </w:r>
      <w:r w:rsidR="009A5EAD" w:rsidRPr="009A5EAD">
        <w:rPr>
          <w:rFonts w:eastAsia="Times New Roman"/>
        </w:rPr>
        <w:t>black</w:t>
      </w:r>
      <w:r w:rsidR="00203193">
        <w:rPr>
          <w:rFonts w:eastAsia="Times New Roman"/>
        </w:rPr>
        <w:t xml:space="preserve"> </w:t>
      </w:r>
      <w:r w:rsidRPr="009A5EAD">
        <w:rPr>
          <w:rFonts w:eastAsia="Times New Roman"/>
        </w:rPr>
        <w:t>a</w:t>
      </w:r>
      <w:r w:rsidRPr="0085457B">
        <w:rPr>
          <w:rFonts w:eastAsia="Times New Roman"/>
        </w:rPr>
        <w:t>nd the 2.3</w:t>
      </w:r>
      <w:r w:rsidR="000B2640">
        <w:rPr>
          <w:rFonts w:eastAsia="Times New Roman"/>
        </w:rPr>
        <w:t> </w:t>
      </w:r>
      <w:r w:rsidRPr="0085457B">
        <w:rPr>
          <w:rFonts w:eastAsia="Times New Roman"/>
        </w:rPr>
        <w:t>mg capsule shell contain</w:t>
      </w:r>
      <w:r w:rsidRPr="00BD1D50">
        <w:rPr>
          <w:rFonts w:eastAsia="Times New Roman"/>
        </w:rPr>
        <w:t>s iron oxide</w:t>
      </w:r>
      <w:r w:rsidR="00BD1D50" w:rsidRPr="00BD1D50">
        <w:rPr>
          <w:rFonts w:eastAsia="Times New Roman"/>
        </w:rPr>
        <w:t xml:space="preserve"> red</w:t>
      </w:r>
      <w:r w:rsidRPr="00BD1D50">
        <w:rPr>
          <w:rFonts w:eastAsia="Times New Roman"/>
        </w:rPr>
        <w:t>.</w:t>
      </w:r>
      <w:r w:rsidRPr="0085457B">
        <w:rPr>
          <w:rFonts w:eastAsia="Times New Roman"/>
        </w:rPr>
        <w:t xml:space="preserve"> The</w:t>
      </w:r>
      <w:r w:rsidR="00695933">
        <w:rPr>
          <w:rFonts w:eastAsia="Times New Roman"/>
        </w:rPr>
        <w:t xml:space="preserve"> capsules are im</w:t>
      </w:r>
      <w:r w:rsidR="00AC6796">
        <w:rPr>
          <w:rFonts w:eastAsia="Times New Roman"/>
        </w:rPr>
        <w:t>printed with black ink (</w:t>
      </w:r>
      <w:r w:rsidRPr="0085457B">
        <w:rPr>
          <w:rFonts w:eastAsia="Times New Roman"/>
        </w:rPr>
        <w:t>PI 2328</w:t>
      </w:r>
      <w:r w:rsidR="00AC6796">
        <w:rPr>
          <w:rFonts w:eastAsia="Times New Roman"/>
        </w:rPr>
        <w:t>)</w:t>
      </w:r>
      <w:r w:rsidRPr="0085457B">
        <w:rPr>
          <w:rFonts w:eastAsia="Times New Roman"/>
        </w:rPr>
        <w:t>.</w:t>
      </w:r>
    </w:p>
    <w:p w:rsidR="00691008" w:rsidRDefault="002D31A3">
      <w:pPr>
        <w:pStyle w:val="Heading1"/>
        <w:spacing w:after="240"/>
        <w:rPr>
          <w:rFonts w:cs="Arial"/>
          <w:b w:val="0"/>
          <w:sz w:val="22"/>
          <w:szCs w:val="22"/>
        </w:rPr>
      </w:pPr>
      <w:r w:rsidRPr="002D31A3">
        <w:rPr>
          <w:rFonts w:cs="Arial"/>
          <w:sz w:val="22"/>
          <w:szCs w:val="22"/>
        </w:rPr>
        <w:t>PHARMACOLOGY</w:t>
      </w:r>
    </w:p>
    <w:p w:rsidR="00691008" w:rsidRPr="00FC74C6" w:rsidRDefault="002D31A3" w:rsidP="00FC74C6">
      <w:pPr>
        <w:pStyle w:val="Heading2"/>
      </w:pPr>
      <w:r w:rsidRPr="00FC74C6">
        <w:t>Pharmacodynamics</w:t>
      </w:r>
    </w:p>
    <w:p w:rsidR="00FE7D99" w:rsidRPr="00FC74C6" w:rsidRDefault="00FE7D99" w:rsidP="00FC74C6">
      <w:pPr>
        <w:pStyle w:val="Heading3"/>
      </w:pPr>
      <w:r w:rsidRPr="00FC74C6">
        <w:t>Mechanism of action</w:t>
      </w:r>
    </w:p>
    <w:p w:rsidR="003A3EFF" w:rsidRDefault="00FE7D99" w:rsidP="00FC74C6">
      <w:pPr>
        <w:rPr>
          <w:rFonts w:eastAsia="Times New Roman"/>
        </w:rPr>
      </w:pPr>
      <w:proofErr w:type="spellStart"/>
      <w:r w:rsidRPr="00FE7D99">
        <w:rPr>
          <w:rFonts w:eastAsia="Times New Roman"/>
        </w:rPr>
        <w:lastRenderedPageBreak/>
        <w:t>Ixazomib</w:t>
      </w:r>
      <w:proofErr w:type="spellEnd"/>
      <w:r w:rsidRPr="00FE7D99">
        <w:rPr>
          <w:rFonts w:eastAsia="Times New Roman"/>
        </w:rPr>
        <w:t xml:space="preserve"> is an oral, selective and reversible proteasome inhibitor. Ixazomib preferentially binds and inhibits the chymotrypsin-like activity of the beta 5 subunit of the 20S proteasome.</w:t>
      </w:r>
    </w:p>
    <w:p w:rsidR="003A3EFF" w:rsidRDefault="00FE7D99" w:rsidP="00DA2516">
      <w:pPr>
        <w:rPr>
          <w:rFonts w:eastAsia="Times New Roman"/>
        </w:rPr>
      </w:pPr>
      <w:proofErr w:type="spellStart"/>
      <w:r w:rsidRPr="00FE7D99">
        <w:rPr>
          <w:rFonts w:eastAsia="Times New Roman"/>
        </w:rPr>
        <w:t>Ixazomib</w:t>
      </w:r>
      <w:proofErr w:type="spellEnd"/>
      <w:r w:rsidRPr="00FE7D99">
        <w:rPr>
          <w:rFonts w:eastAsia="Times New Roman"/>
        </w:rPr>
        <w:t xml:space="preserve"> induced apoptosis of several tumour cell types </w:t>
      </w:r>
      <w:r w:rsidRPr="00613B99">
        <w:rPr>
          <w:rFonts w:eastAsia="Times New Roman"/>
          <w:i/>
        </w:rPr>
        <w:t>in vitro</w:t>
      </w:r>
      <w:r w:rsidRPr="00FE7D99">
        <w:rPr>
          <w:rFonts w:eastAsia="Times New Roman"/>
        </w:rPr>
        <w:t xml:space="preserve">. Ixazomib demonstrated </w:t>
      </w:r>
      <w:r w:rsidR="00C71F61" w:rsidRPr="00613B99">
        <w:rPr>
          <w:rFonts w:eastAsia="Times New Roman"/>
          <w:i/>
        </w:rPr>
        <w:t>in</w:t>
      </w:r>
      <w:r w:rsidR="00C71F61">
        <w:rPr>
          <w:rFonts w:eastAsia="Times New Roman"/>
          <w:i/>
        </w:rPr>
        <w:t> </w:t>
      </w:r>
      <w:r w:rsidRPr="00613B99">
        <w:rPr>
          <w:rFonts w:eastAsia="Times New Roman"/>
          <w:i/>
        </w:rPr>
        <w:t>vitro</w:t>
      </w:r>
      <w:r w:rsidRPr="00FE7D99">
        <w:rPr>
          <w:rFonts w:eastAsia="Times New Roman"/>
        </w:rPr>
        <w:t xml:space="preserve"> cytotoxicity against myeloma cells from patients who had relapsed after multiple prior therapies, including bortezomib, lenalidomide, and dexamethasone. The combination of ixazomib and lenalidomide demonstrated synergistic cytotoxic effects in multiple myeloma cell lines. </w:t>
      </w:r>
      <w:r w:rsidRPr="00613B99">
        <w:rPr>
          <w:rFonts w:eastAsia="Times New Roman"/>
          <w:i/>
        </w:rPr>
        <w:t>In vivo</w:t>
      </w:r>
      <w:r w:rsidRPr="00FE7D99">
        <w:rPr>
          <w:rFonts w:eastAsia="Times New Roman"/>
        </w:rPr>
        <w:t xml:space="preserve">, </w:t>
      </w:r>
      <w:proofErr w:type="spellStart"/>
      <w:r w:rsidRPr="00FE7D99">
        <w:rPr>
          <w:rFonts w:eastAsia="Times New Roman"/>
        </w:rPr>
        <w:t>ixazomib</w:t>
      </w:r>
      <w:proofErr w:type="spellEnd"/>
      <w:r w:rsidRPr="00FE7D99">
        <w:rPr>
          <w:rFonts w:eastAsia="Times New Roman"/>
        </w:rPr>
        <w:t xml:space="preserve"> demonstrated </w:t>
      </w:r>
      <w:proofErr w:type="spellStart"/>
      <w:r w:rsidRPr="00FE7D99">
        <w:rPr>
          <w:rFonts w:eastAsia="Times New Roman"/>
        </w:rPr>
        <w:t>antitumour</w:t>
      </w:r>
      <w:proofErr w:type="spellEnd"/>
      <w:r w:rsidRPr="00FE7D99">
        <w:rPr>
          <w:rFonts w:eastAsia="Times New Roman"/>
        </w:rPr>
        <w:t xml:space="preserve"> activity in various tumour xenograft models, including models of multiple myeloma.</w:t>
      </w:r>
    </w:p>
    <w:p w:rsidR="00F30897" w:rsidRPr="00FE7D99" w:rsidRDefault="00FE7D99" w:rsidP="00FC74C6">
      <w:pPr>
        <w:rPr>
          <w:rFonts w:eastAsia="Times New Roman"/>
        </w:rPr>
      </w:pPr>
      <w:proofErr w:type="spellStart"/>
      <w:r w:rsidRPr="00FE7D99">
        <w:rPr>
          <w:rFonts w:eastAsia="Times New Roman"/>
        </w:rPr>
        <w:t>Ixazomib</w:t>
      </w:r>
      <w:proofErr w:type="spellEnd"/>
      <w:r w:rsidRPr="00FE7D99">
        <w:rPr>
          <w:rFonts w:eastAsia="Times New Roman"/>
        </w:rPr>
        <w:t xml:space="preserve"> also disrupts the bone marrow microenvironment. </w:t>
      </w:r>
      <w:r w:rsidRPr="00843BFC">
        <w:rPr>
          <w:rFonts w:eastAsia="Times New Roman"/>
          <w:i/>
        </w:rPr>
        <w:t>In</w:t>
      </w:r>
      <w:r w:rsidR="00613B99" w:rsidRPr="00843BFC">
        <w:rPr>
          <w:rFonts w:eastAsia="Times New Roman"/>
          <w:i/>
        </w:rPr>
        <w:t xml:space="preserve"> </w:t>
      </w:r>
      <w:r w:rsidRPr="00843BFC">
        <w:rPr>
          <w:rFonts w:eastAsia="Times New Roman"/>
          <w:i/>
        </w:rPr>
        <w:t>vitro</w:t>
      </w:r>
      <w:r w:rsidRPr="00843BFC">
        <w:rPr>
          <w:rFonts w:eastAsia="Times New Roman"/>
        </w:rPr>
        <w:t>, ixazomib inhibited proliferation of multiple myeloma cells co-cultured with bone marrow stromal cells</w:t>
      </w:r>
      <w:r w:rsidR="006B7EC1">
        <w:rPr>
          <w:rFonts w:eastAsia="Times New Roman"/>
        </w:rPr>
        <w:t>. Ixazomib demonstrated an anti-</w:t>
      </w:r>
      <w:r w:rsidRPr="00843BFC">
        <w:rPr>
          <w:rFonts w:eastAsia="Times New Roman"/>
        </w:rPr>
        <w:t xml:space="preserve">angiogenic effect in an </w:t>
      </w:r>
      <w:r w:rsidRPr="00843BFC">
        <w:rPr>
          <w:rFonts w:eastAsia="Times New Roman"/>
          <w:i/>
        </w:rPr>
        <w:t>in vitro</w:t>
      </w:r>
      <w:r w:rsidRPr="00843BFC">
        <w:rPr>
          <w:rFonts w:eastAsia="Times New Roman"/>
        </w:rPr>
        <w:t xml:space="preserve"> capillary tube formation assay. </w:t>
      </w:r>
      <w:proofErr w:type="spellStart"/>
      <w:r w:rsidRPr="00843BFC">
        <w:rPr>
          <w:rFonts w:eastAsia="Times New Roman"/>
        </w:rPr>
        <w:t>Ixazomib</w:t>
      </w:r>
      <w:proofErr w:type="spellEnd"/>
      <w:r w:rsidRPr="00843BFC">
        <w:rPr>
          <w:rFonts w:eastAsia="Times New Roman"/>
        </w:rPr>
        <w:t xml:space="preserve"> promoted </w:t>
      </w:r>
      <w:proofErr w:type="spellStart"/>
      <w:r w:rsidRPr="00843BFC">
        <w:rPr>
          <w:rFonts w:eastAsia="Times New Roman"/>
        </w:rPr>
        <w:t>osteoblastogenesis</w:t>
      </w:r>
      <w:proofErr w:type="spellEnd"/>
      <w:r w:rsidRPr="00843BFC">
        <w:rPr>
          <w:rFonts w:eastAsia="Times New Roman"/>
        </w:rPr>
        <w:t xml:space="preserve"> and osteoblast activity and inhibited </w:t>
      </w:r>
      <w:proofErr w:type="spellStart"/>
      <w:r w:rsidRPr="00843BFC">
        <w:rPr>
          <w:rFonts w:eastAsia="Times New Roman"/>
        </w:rPr>
        <w:t>osteoclastogenesis</w:t>
      </w:r>
      <w:proofErr w:type="spellEnd"/>
      <w:r w:rsidRPr="00843BFC">
        <w:rPr>
          <w:rFonts w:eastAsia="Times New Roman"/>
        </w:rPr>
        <w:t xml:space="preserve"> and osteoclast resorption </w:t>
      </w:r>
      <w:r w:rsidRPr="00843BFC">
        <w:rPr>
          <w:rFonts w:eastAsia="Times New Roman"/>
          <w:i/>
        </w:rPr>
        <w:t>in vitro</w:t>
      </w:r>
      <w:r w:rsidRPr="00843BFC">
        <w:rPr>
          <w:rFonts w:eastAsia="Times New Roman"/>
        </w:rPr>
        <w:t xml:space="preserve">. Additionally, ixazomib prevented bone loss in an </w:t>
      </w:r>
      <w:r w:rsidRPr="00843BFC">
        <w:rPr>
          <w:rFonts w:eastAsia="Times New Roman"/>
          <w:i/>
        </w:rPr>
        <w:t>in vivo</w:t>
      </w:r>
      <w:r w:rsidRPr="00843BFC">
        <w:rPr>
          <w:rFonts w:eastAsia="Times New Roman"/>
        </w:rPr>
        <w:t xml:space="preserve"> mouse model of multiple myeloma.</w:t>
      </w:r>
    </w:p>
    <w:p w:rsidR="00FE7D99" w:rsidRPr="00B4573D" w:rsidRDefault="00FE7D99" w:rsidP="00FC74C6">
      <w:pPr>
        <w:pStyle w:val="Heading3"/>
      </w:pPr>
      <w:r w:rsidRPr="00B4573D">
        <w:t>Cardiac Electrophysiology</w:t>
      </w:r>
    </w:p>
    <w:p w:rsidR="00FE7D99" w:rsidRPr="00FE7D99" w:rsidRDefault="00FE7D99" w:rsidP="00DA2516">
      <w:pPr>
        <w:rPr>
          <w:rFonts w:eastAsia="Times New Roman"/>
        </w:rPr>
      </w:pPr>
      <w:r w:rsidRPr="00FE7D99">
        <w:rPr>
          <w:rFonts w:eastAsia="Times New Roman"/>
        </w:rPr>
        <w:t xml:space="preserve">NINLARO does not prolong the </w:t>
      </w:r>
      <w:proofErr w:type="spellStart"/>
      <w:r w:rsidRPr="00FE7D99">
        <w:rPr>
          <w:rFonts w:eastAsia="Times New Roman"/>
        </w:rPr>
        <w:t>QTc</w:t>
      </w:r>
      <w:proofErr w:type="spellEnd"/>
      <w:r w:rsidRPr="00FE7D99">
        <w:rPr>
          <w:rFonts w:eastAsia="Times New Roman"/>
        </w:rPr>
        <w:t xml:space="preserve"> interval at clinically relevant exposures based on the results of a pharmacokinetic-pharmacodynamic analysis of data from 245 patients. At the</w:t>
      </w:r>
      <w:r w:rsidR="008022E3">
        <w:rPr>
          <w:rFonts w:eastAsia="Times New Roman"/>
        </w:rPr>
        <w:t xml:space="preserve"> </w:t>
      </w:r>
      <w:r w:rsidRPr="00FE7D99">
        <w:rPr>
          <w:rFonts w:eastAsia="Times New Roman"/>
        </w:rPr>
        <w:t>4</w:t>
      </w:r>
      <w:r w:rsidR="008022E3">
        <w:rPr>
          <w:rFonts w:eastAsia="Times New Roman"/>
        </w:rPr>
        <w:t> </w:t>
      </w:r>
      <w:r w:rsidRPr="00FE7D99">
        <w:rPr>
          <w:rFonts w:eastAsia="Times New Roman"/>
        </w:rPr>
        <w:t xml:space="preserve">mg dose, mean change from baseline in </w:t>
      </w:r>
      <w:proofErr w:type="spellStart"/>
      <w:r w:rsidRPr="00FE7D99">
        <w:rPr>
          <w:rFonts w:eastAsia="Times New Roman"/>
        </w:rPr>
        <w:t>QTcF</w:t>
      </w:r>
      <w:proofErr w:type="spellEnd"/>
      <w:r w:rsidRPr="00FE7D99">
        <w:rPr>
          <w:rFonts w:eastAsia="Times New Roman"/>
        </w:rPr>
        <w:t xml:space="preserve"> is estimated to be 0.07</w:t>
      </w:r>
      <w:r w:rsidR="008022E3">
        <w:rPr>
          <w:rFonts w:eastAsia="Times New Roman"/>
        </w:rPr>
        <w:t> </w:t>
      </w:r>
      <w:proofErr w:type="spellStart"/>
      <w:r w:rsidRPr="00FE7D99">
        <w:rPr>
          <w:rFonts w:eastAsia="Times New Roman"/>
        </w:rPr>
        <w:t>ms</w:t>
      </w:r>
      <w:proofErr w:type="spellEnd"/>
      <w:r w:rsidR="008022E3">
        <w:rPr>
          <w:rFonts w:eastAsia="Times New Roman"/>
        </w:rPr>
        <w:t> </w:t>
      </w:r>
      <w:r w:rsidRPr="00FE7D99">
        <w:rPr>
          <w:rFonts w:eastAsia="Times New Roman"/>
        </w:rPr>
        <w:t>(90%</w:t>
      </w:r>
      <w:r w:rsidR="00BF2840">
        <w:rPr>
          <w:rFonts w:eastAsia="Times New Roman"/>
        </w:rPr>
        <w:t> </w:t>
      </w:r>
      <w:r w:rsidRPr="00FE7D99">
        <w:rPr>
          <w:rFonts w:eastAsia="Times New Roman"/>
        </w:rPr>
        <w:t>CI;</w:t>
      </w:r>
      <w:r w:rsidR="00BF2840">
        <w:rPr>
          <w:rFonts w:eastAsia="Times New Roman"/>
        </w:rPr>
        <w:t> </w:t>
      </w:r>
      <w:r w:rsidR="00BF2840">
        <w:rPr>
          <w:rFonts w:eastAsia="Times New Roman"/>
        </w:rPr>
        <w:noBreakHyphen/>
      </w:r>
      <w:r w:rsidRPr="00FE7D99">
        <w:rPr>
          <w:rFonts w:eastAsia="Times New Roman"/>
        </w:rPr>
        <w:t>0.22,</w:t>
      </w:r>
      <w:r w:rsidR="00BF2840">
        <w:rPr>
          <w:rFonts w:eastAsia="Times New Roman"/>
        </w:rPr>
        <w:t> </w:t>
      </w:r>
      <w:r w:rsidRPr="00FE7D99">
        <w:rPr>
          <w:rFonts w:eastAsia="Times New Roman"/>
        </w:rPr>
        <w:t>0.36) from the model based analysis.</w:t>
      </w:r>
    </w:p>
    <w:p w:rsidR="00BE11E0" w:rsidRDefault="00FE7D99" w:rsidP="00DA2516">
      <w:pPr>
        <w:rPr>
          <w:rFonts w:eastAsia="Times New Roman"/>
        </w:rPr>
      </w:pPr>
      <w:r w:rsidRPr="00FE7D99">
        <w:rPr>
          <w:rFonts w:eastAsia="Times New Roman"/>
        </w:rPr>
        <w:t>There was no discernible relationship between ixazomib concentration and the RR interval suggesting no clinically meaningful effect of NINLARO on heart rate.</w:t>
      </w:r>
    </w:p>
    <w:p w:rsidR="00691008" w:rsidRPr="008157EE" w:rsidRDefault="002D31A3" w:rsidP="008157EE">
      <w:pPr>
        <w:pStyle w:val="Heading2"/>
      </w:pPr>
      <w:r w:rsidRPr="008157EE">
        <w:t>Pharmacokinetics</w:t>
      </w:r>
    </w:p>
    <w:p w:rsidR="00696696" w:rsidRDefault="00696696" w:rsidP="00FC74C6">
      <w:pPr>
        <w:pStyle w:val="Heading3"/>
      </w:pPr>
      <w:r w:rsidRPr="00696696">
        <w:t>Absorption</w:t>
      </w:r>
    </w:p>
    <w:p w:rsidR="003A3EFF" w:rsidRDefault="00F14B21" w:rsidP="00DA2516">
      <w:pPr>
        <w:rPr>
          <w:rFonts w:eastAsia="Times New Roman"/>
        </w:rPr>
      </w:pPr>
      <w:r w:rsidRPr="00F14B21">
        <w:rPr>
          <w:rFonts w:eastAsia="Times New Roman"/>
        </w:rPr>
        <w:t>After oral administration, peak plasma concentrations of ixazomib were achieved at approximately one hour after dosing. The mean absolute oral bioavailability is 58%</w:t>
      </w:r>
      <w:r w:rsidR="005A0CFA">
        <w:rPr>
          <w:rFonts w:eastAsia="Times New Roman"/>
        </w:rPr>
        <w:t xml:space="preserve"> </w:t>
      </w:r>
      <w:r w:rsidR="00DE45DD" w:rsidRPr="00DE45DD">
        <w:rPr>
          <w:rFonts w:eastAsia="Times New Roman"/>
        </w:rPr>
        <w:t>(R</w:t>
      </w:r>
      <w:r w:rsidR="005A0D40">
        <w:rPr>
          <w:rFonts w:eastAsia="Times New Roman"/>
        </w:rPr>
        <w:t xml:space="preserve">elative </w:t>
      </w:r>
      <w:r w:rsidR="00DE45DD" w:rsidRPr="00DE45DD">
        <w:rPr>
          <w:rFonts w:eastAsia="Times New Roman"/>
        </w:rPr>
        <w:t>S</w:t>
      </w:r>
      <w:r w:rsidR="005A0D40">
        <w:rPr>
          <w:rFonts w:eastAsia="Times New Roman"/>
        </w:rPr>
        <w:t xml:space="preserve">tandard </w:t>
      </w:r>
      <w:r w:rsidR="00DE45DD" w:rsidRPr="00DE45DD">
        <w:rPr>
          <w:rFonts w:eastAsia="Times New Roman"/>
        </w:rPr>
        <w:t>E</w:t>
      </w:r>
      <w:r w:rsidR="005A0D40">
        <w:rPr>
          <w:rFonts w:eastAsia="Times New Roman"/>
        </w:rPr>
        <w:t>rror</w:t>
      </w:r>
      <w:r w:rsidR="00F47683">
        <w:rPr>
          <w:rFonts w:eastAsia="Times New Roman"/>
        </w:rPr>
        <w:t> </w:t>
      </w:r>
      <w:r w:rsidR="00DE45DD" w:rsidRPr="00DE45DD">
        <w:rPr>
          <w:rFonts w:eastAsia="Times New Roman"/>
        </w:rPr>
        <w:t>=</w:t>
      </w:r>
      <w:r w:rsidR="00F47683">
        <w:rPr>
          <w:rFonts w:eastAsia="Times New Roman"/>
        </w:rPr>
        <w:t> </w:t>
      </w:r>
      <w:r w:rsidR="00DE45DD" w:rsidRPr="00DE45DD">
        <w:rPr>
          <w:rFonts w:eastAsia="Times New Roman"/>
        </w:rPr>
        <w:t>9%)</w:t>
      </w:r>
      <w:r w:rsidR="00A5635D">
        <w:rPr>
          <w:rFonts w:eastAsia="Times New Roman"/>
        </w:rPr>
        <w:t xml:space="preserve"> b</w:t>
      </w:r>
      <w:r w:rsidR="00A5635D" w:rsidRPr="00DE45DD">
        <w:rPr>
          <w:rFonts w:eastAsia="Times New Roman"/>
        </w:rPr>
        <w:t>ased on the population PK analysis</w:t>
      </w:r>
      <w:r w:rsidRPr="00F14B21">
        <w:rPr>
          <w:rFonts w:eastAsia="Times New Roman"/>
        </w:rPr>
        <w:t>. Ixazomib AUC increases in a dose proportional manner over a dose range of 0.2</w:t>
      </w:r>
      <w:r w:rsidR="005B3E37">
        <w:rPr>
          <w:rFonts w:eastAsia="Times New Roman"/>
        </w:rPr>
        <w:t>-</w:t>
      </w:r>
      <w:r w:rsidRPr="00F14B21">
        <w:rPr>
          <w:rFonts w:eastAsia="Times New Roman"/>
        </w:rPr>
        <w:t>10.6</w:t>
      </w:r>
      <w:r w:rsidR="001A73FC">
        <w:rPr>
          <w:rFonts w:eastAsia="Times New Roman"/>
        </w:rPr>
        <w:t> </w:t>
      </w:r>
      <w:r w:rsidRPr="00F14B21">
        <w:rPr>
          <w:rFonts w:eastAsia="Times New Roman"/>
        </w:rPr>
        <w:t>mg.</w:t>
      </w:r>
    </w:p>
    <w:p w:rsidR="00696696" w:rsidRDefault="00F14B21" w:rsidP="00DA2516">
      <w:pPr>
        <w:rPr>
          <w:rFonts w:eastAsia="Times New Roman"/>
        </w:rPr>
      </w:pPr>
      <w:r w:rsidRPr="00F14B21">
        <w:rPr>
          <w:rFonts w:eastAsia="Times New Roman"/>
        </w:rPr>
        <w:t>Administration with a high-f</w:t>
      </w:r>
      <w:r w:rsidRPr="00524987">
        <w:rPr>
          <w:rFonts w:eastAsia="Times New Roman"/>
        </w:rPr>
        <w:t xml:space="preserve">at meal decreased ixazomib AUC by 28% </w:t>
      </w:r>
      <w:r w:rsidR="00DE45DD">
        <w:rPr>
          <w:rFonts w:eastAsia="Times New Roman"/>
        </w:rPr>
        <w:t xml:space="preserve">and </w:t>
      </w:r>
      <w:proofErr w:type="spellStart"/>
      <w:r w:rsidR="00DE45DD">
        <w:rPr>
          <w:rFonts w:eastAsia="Times New Roman"/>
        </w:rPr>
        <w:t>C</w:t>
      </w:r>
      <w:r w:rsidR="00DE45DD" w:rsidRPr="00DE45DD">
        <w:rPr>
          <w:rFonts w:eastAsia="Times New Roman"/>
          <w:vertAlign w:val="subscript"/>
        </w:rPr>
        <w:t>max</w:t>
      </w:r>
      <w:proofErr w:type="spellEnd"/>
      <w:r w:rsidR="00DE45DD">
        <w:rPr>
          <w:rFonts w:eastAsia="Times New Roman"/>
        </w:rPr>
        <w:t xml:space="preserve"> by 69% </w:t>
      </w:r>
      <w:r w:rsidRPr="00524987">
        <w:rPr>
          <w:rFonts w:eastAsia="Times New Roman"/>
        </w:rPr>
        <w:t xml:space="preserve">compared with administration after an overnight fast (see </w:t>
      </w:r>
      <w:hyperlink w:anchor="_DOSAGE_AND_ADMINISTRATION" w:history="1">
        <w:r w:rsidR="00632C4A" w:rsidRPr="00541B05">
          <w:rPr>
            <w:rStyle w:val="Hyperlink"/>
            <w:rFonts w:eastAsia="Times New Roman"/>
          </w:rPr>
          <w:t>DOSAGE AND ADMINISTRATION</w:t>
        </w:r>
      </w:hyperlink>
      <w:r w:rsidRPr="00524987">
        <w:rPr>
          <w:rFonts w:eastAsia="Times New Roman"/>
        </w:rPr>
        <w:t>).</w:t>
      </w:r>
    </w:p>
    <w:p w:rsidR="003A3EFF" w:rsidRDefault="00696696" w:rsidP="00FC74C6">
      <w:pPr>
        <w:pStyle w:val="Heading3"/>
      </w:pPr>
      <w:r w:rsidRPr="00696696">
        <w:t>Distribution</w:t>
      </w:r>
    </w:p>
    <w:p w:rsidR="003A3EFF" w:rsidRDefault="00F77F93" w:rsidP="00DA2516">
      <w:pPr>
        <w:rPr>
          <w:rFonts w:eastAsia="Times New Roman"/>
        </w:rPr>
      </w:pPr>
      <w:proofErr w:type="spellStart"/>
      <w:r w:rsidRPr="00F77F93">
        <w:rPr>
          <w:rFonts w:eastAsia="Times New Roman"/>
        </w:rPr>
        <w:t>Ixazomib</w:t>
      </w:r>
      <w:proofErr w:type="spellEnd"/>
      <w:r w:rsidRPr="00F77F93">
        <w:rPr>
          <w:rFonts w:eastAsia="Times New Roman"/>
        </w:rPr>
        <w:t xml:space="preserve"> is 99% bound to plasma proteins and distributes into red blood cells with </w:t>
      </w:r>
      <w:r w:rsidR="001A73FC" w:rsidRPr="00F77F93">
        <w:rPr>
          <w:rFonts w:eastAsia="Times New Roman"/>
        </w:rPr>
        <w:t>a</w:t>
      </w:r>
      <w:r w:rsidR="001A73FC">
        <w:rPr>
          <w:rFonts w:eastAsia="Times New Roman"/>
        </w:rPr>
        <w:t xml:space="preserve"> </w:t>
      </w:r>
      <w:r w:rsidRPr="00F77F93">
        <w:rPr>
          <w:rFonts w:eastAsia="Times New Roman"/>
        </w:rPr>
        <w:t>blood</w:t>
      </w:r>
      <w:r w:rsidR="001A73FC">
        <w:rPr>
          <w:rFonts w:eastAsia="Times New Roman"/>
        </w:rPr>
        <w:noBreakHyphen/>
      </w:r>
      <w:r w:rsidRPr="00F77F93">
        <w:rPr>
          <w:rFonts w:eastAsia="Times New Roman"/>
        </w:rPr>
        <w:t>to</w:t>
      </w:r>
      <w:r w:rsidR="001A73FC">
        <w:rPr>
          <w:rFonts w:eastAsia="Times New Roman"/>
        </w:rPr>
        <w:noBreakHyphen/>
      </w:r>
      <w:r w:rsidRPr="00F77F93">
        <w:rPr>
          <w:rFonts w:eastAsia="Times New Roman"/>
        </w:rPr>
        <w:t>plasma AUC ratio of 10. The steady-state volume of distribution is 543 L</w:t>
      </w:r>
      <w:r w:rsidR="00A5635D">
        <w:rPr>
          <w:rFonts w:eastAsia="Times New Roman"/>
        </w:rPr>
        <w:t xml:space="preserve"> b</w:t>
      </w:r>
      <w:r w:rsidR="00A5635D" w:rsidRPr="00DE45DD">
        <w:rPr>
          <w:rFonts w:eastAsia="Times New Roman"/>
        </w:rPr>
        <w:t>ased on the population PK analysis</w:t>
      </w:r>
      <w:r w:rsidRPr="00F77F93">
        <w:rPr>
          <w:rFonts w:eastAsia="Times New Roman"/>
        </w:rPr>
        <w:t>.</w:t>
      </w:r>
    </w:p>
    <w:p w:rsidR="00696696" w:rsidRDefault="00696696" w:rsidP="00DA2516">
      <w:pPr>
        <w:pStyle w:val="Heading3"/>
      </w:pPr>
      <w:r w:rsidRPr="00696696">
        <w:t>Metabolism</w:t>
      </w:r>
    </w:p>
    <w:p w:rsidR="009E2455" w:rsidRDefault="009E2455" w:rsidP="00DA2516">
      <w:pPr>
        <w:rPr>
          <w:rFonts w:eastAsia="Times New Roman"/>
        </w:rPr>
      </w:pPr>
      <w:r w:rsidRPr="009E2455">
        <w:rPr>
          <w:rFonts w:eastAsia="Times New Roman"/>
        </w:rPr>
        <w:t xml:space="preserve">After oral administration of a radiolabeled dose, 70% of total drug-related material in plasma was accounted for by ixazomib. Metabolism by multiple CYP enzymes and non-CYP proteins is expected to be the major clearance mechanism for ixazomib. At clinically relevant ixazomib concentrations, </w:t>
      </w:r>
      <w:r w:rsidRPr="00613B99">
        <w:rPr>
          <w:rFonts w:eastAsia="Times New Roman"/>
          <w:i/>
        </w:rPr>
        <w:t>in vitro</w:t>
      </w:r>
      <w:r w:rsidRPr="009E2455">
        <w:rPr>
          <w:rFonts w:eastAsia="Times New Roman"/>
        </w:rPr>
        <w:t xml:space="preserve"> studies using human cDNA-expressed cytochrome P450 isozymes indicate that no specific CYP isozyme predominantly contributes to ixazomib metabolism and non-CYP proteins contribute to overall metabolism. At concentrations exceeding those observed clinically, ixazomib was metabolized by multiple CYP isoforms </w:t>
      </w:r>
      <w:r w:rsidRPr="009E2455">
        <w:rPr>
          <w:rFonts w:eastAsia="Times New Roman"/>
        </w:rPr>
        <w:lastRenderedPageBreak/>
        <w:t>with estimated relative contributions of 3A4 (42.3%), 1A2 (26.1%), 2B6 (16.0%), 2C8 (6.0%), 2D6 (4.8%), 2C19 (4.8%) and 2C9 (</w:t>
      </w:r>
      <w:r w:rsidR="0083691C">
        <w:rPr>
          <w:rFonts w:eastAsia="Times New Roman"/>
        </w:rPr>
        <w:t>&lt;</w:t>
      </w:r>
      <w:r w:rsidRPr="009E2455">
        <w:rPr>
          <w:rFonts w:eastAsia="Times New Roman"/>
        </w:rPr>
        <w:t>1%).</w:t>
      </w:r>
    </w:p>
    <w:p w:rsidR="00696696" w:rsidRDefault="00696696" w:rsidP="00FC74C6">
      <w:pPr>
        <w:pStyle w:val="Heading3"/>
      </w:pPr>
      <w:r w:rsidRPr="00696696">
        <w:t>Excretion</w:t>
      </w:r>
    </w:p>
    <w:p w:rsidR="009E2455" w:rsidRDefault="009E2455" w:rsidP="00356A06">
      <w:pPr>
        <w:keepLines/>
        <w:spacing w:after="240"/>
        <w:jc w:val="both"/>
        <w:rPr>
          <w:rFonts w:eastAsia="Times New Roman" w:cs="Arial"/>
        </w:rPr>
      </w:pPr>
      <w:r w:rsidRPr="009E2455">
        <w:rPr>
          <w:rFonts w:eastAsia="Times New Roman" w:cs="Arial"/>
        </w:rPr>
        <w:t>Ixazomib exhibits a multi-exponential disposition profile. Based on a population PK analysis, systemic clearance (CL) was approximately 1.86 L/h with inter-individual variability of 44%. The terminal half-life (t</w:t>
      </w:r>
      <w:r w:rsidRPr="00B4573D">
        <w:rPr>
          <w:rFonts w:eastAsia="Times New Roman" w:cs="Arial"/>
          <w:vertAlign w:val="subscript"/>
        </w:rPr>
        <w:t>1/2</w:t>
      </w:r>
      <w:r w:rsidRPr="009E2455">
        <w:rPr>
          <w:rFonts w:eastAsia="Times New Roman" w:cs="Arial"/>
        </w:rPr>
        <w:t>) of ixazomib was 9.5 days. Approximately 2-fold accumulation in AUC was observed with weekly oral dosing on Day 15.</w:t>
      </w:r>
    </w:p>
    <w:p w:rsidR="009E2455" w:rsidRDefault="009E2455">
      <w:pPr>
        <w:keepNext/>
        <w:spacing w:after="240"/>
        <w:jc w:val="both"/>
        <w:rPr>
          <w:rFonts w:eastAsia="Times New Roman" w:cs="Arial"/>
        </w:rPr>
      </w:pPr>
      <w:r w:rsidRPr="009E2455">
        <w:rPr>
          <w:rFonts w:eastAsia="Times New Roman" w:cs="Arial"/>
        </w:rPr>
        <w:t xml:space="preserve">After administration of a single oral dose of </w:t>
      </w:r>
      <w:r w:rsidRPr="004D167D">
        <w:rPr>
          <w:rFonts w:eastAsia="Times New Roman" w:cs="Arial"/>
          <w:vertAlign w:val="superscript"/>
        </w:rPr>
        <w:t>14</w:t>
      </w:r>
      <w:r w:rsidRPr="009E2455">
        <w:rPr>
          <w:rFonts w:eastAsia="Times New Roman" w:cs="Arial"/>
        </w:rPr>
        <w:t>C-ixazomib to 5 patients with advanced cancer, 62% of the administered radioactivity was excreted in urine and 22% in the faeces. Unchanged ixazomib accounted for &lt; 3.5% of the administered dose recovered in urine.</w:t>
      </w:r>
    </w:p>
    <w:p w:rsidR="00B4573D" w:rsidRPr="00160B6F" w:rsidRDefault="00B4573D" w:rsidP="00FC74C6">
      <w:pPr>
        <w:pStyle w:val="Heading2"/>
        <w:rPr>
          <w:b w:val="0"/>
          <w:i/>
          <w:u w:val="single"/>
        </w:rPr>
      </w:pPr>
      <w:bookmarkStart w:id="1" w:name="_Special_Populations"/>
      <w:bookmarkEnd w:id="1"/>
      <w:r w:rsidRPr="00160B6F">
        <w:rPr>
          <w:b w:val="0"/>
          <w:u w:val="single"/>
        </w:rPr>
        <w:t>Special Populations</w:t>
      </w:r>
    </w:p>
    <w:p w:rsidR="00B4573D" w:rsidRPr="00B4573D" w:rsidRDefault="00B4573D" w:rsidP="00FC74C6">
      <w:pPr>
        <w:pStyle w:val="Heading3"/>
      </w:pPr>
      <w:r w:rsidRPr="00B4573D">
        <w:t>Hepatic impairment</w:t>
      </w:r>
    </w:p>
    <w:p w:rsidR="003A3EFF" w:rsidRDefault="00B4573D" w:rsidP="00CD0750">
      <w:pPr>
        <w:rPr>
          <w:rFonts w:eastAsia="Times New Roman"/>
        </w:rPr>
      </w:pPr>
      <w:r w:rsidRPr="00B4573D">
        <w:rPr>
          <w:rFonts w:eastAsia="Times New Roman"/>
        </w:rPr>
        <w:t>The PK of ixazomib is similar in patients with normal hepatic function and in patients with mild hepatic impairment (total bilirubin ≤ ULN and AST &gt; ULN or total bilirubin &gt; 1</w:t>
      </w:r>
      <w:r w:rsidR="005C3FF7">
        <w:rPr>
          <w:rFonts w:eastAsia="Times New Roman"/>
        </w:rPr>
        <w:t>-</w:t>
      </w:r>
      <w:r w:rsidRPr="00B4573D">
        <w:rPr>
          <w:rFonts w:eastAsia="Times New Roman"/>
        </w:rPr>
        <w:t>1.5 x ULN and any AST) based on the results of a population PK analysis.</w:t>
      </w:r>
    </w:p>
    <w:p w:rsidR="003A3EFF" w:rsidRDefault="00B4573D" w:rsidP="00CD0750">
      <w:pPr>
        <w:rPr>
          <w:rFonts w:eastAsia="Times New Roman"/>
        </w:rPr>
      </w:pPr>
      <w:r w:rsidRPr="00B4573D">
        <w:rPr>
          <w:rFonts w:eastAsia="Times New Roman"/>
        </w:rPr>
        <w:t xml:space="preserve">The PK of </w:t>
      </w:r>
      <w:proofErr w:type="spellStart"/>
      <w:r w:rsidRPr="00B4573D">
        <w:rPr>
          <w:rFonts w:eastAsia="Times New Roman"/>
        </w:rPr>
        <w:t>ixazomib</w:t>
      </w:r>
      <w:proofErr w:type="spellEnd"/>
      <w:r w:rsidRPr="00B4573D">
        <w:rPr>
          <w:rFonts w:eastAsia="Times New Roman"/>
        </w:rPr>
        <w:t xml:space="preserve"> was characterized in patients with normal hepatic function at 4 mg (N=12), moderate hepatic impairment at 2.3 mg (total bilirubin &gt; 1.5-3 x ULN, N=13) or severe hepatic impairment at 1.5 mg (total bilirubin &gt; 3 x ULN, N=18). </w:t>
      </w:r>
      <w:r w:rsidR="001A73FC" w:rsidRPr="00B4573D">
        <w:rPr>
          <w:rFonts w:eastAsia="Times New Roman"/>
        </w:rPr>
        <w:t>Unbound</w:t>
      </w:r>
      <w:r w:rsidR="001A73FC">
        <w:rPr>
          <w:rFonts w:eastAsia="Times New Roman"/>
        </w:rPr>
        <w:t xml:space="preserve"> </w:t>
      </w:r>
      <w:r w:rsidRPr="00B4573D">
        <w:rPr>
          <w:rFonts w:eastAsia="Times New Roman"/>
        </w:rPr>
        <w:t>dose</w:t>
      </w:r>
      <w:r w:rsidR="001A73FC">
        <w:rPr>
          <w:rFonts w:eastAsia="Times New Roman"/>
        </w:rPr>
        <w:noBreakHyphen/>
      </w:r>
      <w:r w:rsidRPr="00B4573D">
        <w:rPr>
          <w:rFonts w:eastAsia="Times New Roman"/>
        </w:rPr>
        <w:t>normalized AUC was 27% higher in patients with moderate or severe hepatic impairment as c</w:t>
      </w:r>
      <w:r w:rsidRPr="006F5DA8">
        <w:rPr>
          <w:rFonts w:eastAsia="Times New Roman"/>
        </w:rPr>
        <w:t xml:space="preserve">ompared to patients with normal hepatic function (see </w:t>
      </w:r>
      <w:hyperlink w:anchor="_DOSAGE_AND_ADMINISTRATION" w:history="1">
        <w:r w:rsidR="00632C4A" w:rsidRPr="00541B05">
          <w:rPr>
            <w:rStyle w:val="Hyperlink"/>
            <w:rFonts w:eastAsia="Times New Roman"/>
          </w:rPr>
          <w:t>DOSAGE AND ADMINISTRATION</w:t>
        </w:r>
      </w:hyperlink>
      <w:r w:rsidRPr="006F5DA8">
        <w:rPr>
          <w:rFonts w:eastAsia="Times New Roman"/>
        </w:rPr>
        <w:t>).</w:t>
      </w:r>
    </w:p>
    <w:p w:rsidR="00B4573D" w:rsidRPr="00B4573D" w:rsidRDefault="00B4573D" w:rsidP="00FC74C6">
      <w:pPr>
        <w:pStyle w:val="Heading3"/>
      </w:pPr>
      <w:r w:rsidRPr="00B4573D">
        <w:t>Renal impairment</w:t>
      </w:r>
    </w:p>
    <w:p w:rsidR="003A3EFF" w:rsidRDefault="00B4573D" w:rsidP="00CD0750">
      <w:pPr>
        <w:rPr>
          <w:rFonts w:eastAsia="Times New Roman"/>
        </w:rPr>
      </w:pPr>
      <w:r w:rsidRPr="00B4573D">
        <w:rPr>
          <w:rFonts w:eastAsia="Times New Roman"/>
        </w:rPr>
        <w:t>The PK of ixazomib is similar in patients with normal renal function and in patients with mild or moderate renal impairment (creatinine clearance ≥ 30 mL/min) based on the results of a population PK analysis.</w:t>
      </w:r>
    </w:p>
    <w:p w:rsidR="003A3EFF" w:rsidRDefault="00B4573D" w:rsidP="00CD0750">
      <w:pPr>
        <w:rPr>
          <w:rFonts w:eastAsia="Times New Roman"/>
        </w:rPr>
      </w:pPr>
      <w:r w:rsidRPr="00B4573D">
        <w:rPr>
          <w:rFonts w:eastAsia="Times New Roman"/>
        </w:rPr>
        <w:t xml:space="preserve">The PK of </w:t>
      </w:r>
      <w:proofErr w:type="spellStart"/>
      <w:r w:rsidRPr="00B4573D">
        <w:rPr>
          <w:rFonts w:eastAsia="Times New Roman"/>
        </w:rPr>
        <w:t>ixazomib</w:t>
      </w:r>
      <w:proofErr w:type="spellEnd"/>
      <w:r w:rsidRPr="00B4573D">
        <w:rPr>
          <w:rFonts w:eastAsia="Times New Roman"/>
        </w:rPr>
        <w:t xml:space="preserve"> was characterized at a dose of 3 mg in patients with normal renal function (creatinine clearance ≥ 90 mL/min, N=18), severe renal impairment (creatinine clearance &lt; 30 mL/min, N=14), or ESRD requiring dialysis (N=6). Unbound AUC was 38% higher in patients with severe renal impairment or ESRD requiring dialysis as compared to patients with normal renal function.</w:t>
      </w:r>
      <w:r w:rsidR="003A3EFF">
        <w:rPr>
          <w:rFonts w:eastAsia="Times New Roman"/>
        </w:rPr>
        <w:t xml:space="preserve"> </w:t>
      </w:r>
      <w:r w:rsidRPr="00B4573D">
        <w:rPr>
          <w:rFonts w:eastAsia="Times New Roman"/>
        </w:rPr>
        <w:t>Pre- and post-dialy</w:t>
      </w:r>
      <w:r w:rsidR="00C02D84">
        <w:rPr>
          <w:rFonts w:eastAsia="Times New Roman"/>
        </w:rPr>
        <w:t>s</w:t>
      </w:r>
      <w:r w:rsidRPr="00B4573D">
        <w:rPr>
          <w:rFonts w:eastAsia="Times New Roman"/>
        </w:rPr>
        <w:t xml:space="preserve">er concentrations of ixazomib measured during the haemodialysis session were similar, suggesting </w:t>
      </w:r>
      <w:r w:rsidR="00632C4A">
        <w:rPr>
          <w:rFonts w:eastAsia="Times New Roman"/>
        </w:rPr>
        <w:t xml:space="preserve">that </w:t>
      </w:r>
      <w:proofErr w:type="spellStart"/>
      <w:r w:rsidR="00632C4A">
        <w:rPr>
          <w:rFonts w:eastAsia="Times New Roman"/>
        </w:rPr>
        <w:t>ixazomib</w:t>
      </w:r>
      <w:proofErr w:type="spellEnd"/>
      <w:r w:rsidR="00632C4A">
        <w:rPr>
          <w:rFonts w:eastAsia="Times New Roman"/>
        </w:rPr>
        <w:t xml:space="preserve"> is not </w:t>
      </w:r>
      <w:proofErr w:type="spellStart"/>
      <w:r w:rsidR="00632C4A" w:rsidRPr="006F5DA8">
        <w:rPr>
          <w:rFonts w:eastAsia="Times New Roman"/>
        </w:rPr>
        <w:t>dialy</w:t>
      </w:r>
      <w:r w:rsidR="00C02D84">
        <w:rPr>
          <w:rFonts w:eastAsia="Times New Roman"/>
        </w:rPr>
        <w:t>s</w:t>
      </w:r>
      <w:r w:rsidR="00632C4A" w:rsidRPr="006F5DA8">
        <w:rPr>
          <w:rFonts w:eastAsia="Times New Roman"/>
        </w:rPr>
        <w:t>able</w:t>
      </w:r>
      <w:proofErr w:type="spellEnd"/>
      <w:r w:rsidR="00632C4A" w:rsidRPr="006F5DA8">
        <w:rPr>
          <w:rFonts w:eastAsia="Times New Roman"/>
        </w:rPr>
        <w:t xml:space="preserve"> </w:t>
      </w:r>
      <w:r w:rsidRPr="006F5DA8">
        <w:rPr>
          <w:rFonts w:eastAsia="Times New Roman"/>
        </w:rPr>
        <w:t xml:space="preserve">(see </w:t>
      </w:r>
      <w:hyperlink w:anchor="_DOSAGE_AND_ADMINISTRATION" w:history="1">
        <w:r w:rsidR="00632C4A" w:rsidRPr="00541B05">
          <w:rPr>
            <w:rStyle w:val="Hyperlink"/>
            <w:rFonts w:eastAsia="Times New Roman"/>
          </w:rPr>
          <w:t>DOSAGE AND ADMINISTRATION</w:t>
        </w:r>
      </w:hyperlink>
      <w:r w:rsidRPr="006F5DA8">
        <w:rPr>
          <w:rFonts w:eastAsia="Times New Roman"/>
        </w:rPr>
        <w:t>).</w:t>
      </w:r>
    </w:p>
    <w:p w:rsidR="00B4573D" w:rsidRPr="00B4573D" w:rsidRDefault="00B4573D" w:rsidP="00FC74C6">
      <w:pPr>
        <w:pStyle w:val="Heading3"/>
      </w:pPr>
      <w:r w:rsidRPr="00B4573D">
        <w:t>Age, Gender, Race</w:t>
      </w:r>
    </w:p>
    <w:p w:rsidR="00B4573D" w:rsidRDefault="00B4573D" w:rsidP="00CD0750">
      <w:pPr>
        <w:rPr>
          <w:rFonts w:eastAsia="Times New Roman"/>
        </w:rPr>
      </w:pPr>
      <w:r w:rsidRPr="00B4573D">
        <w:rPr>
          <w:rFonts w:eastAsia="Times New Roman"/>
        </w:rPr>
        <w:t>There was no clinical</w:t>
      </w:r>
      <w:r w:rsidR="00CC6018">
        <w:rPr>
          <w:rFonts w:eastAsia="Times New Roman"/>
        </w:rPr>
        <w:t>ly meaningful effect of age (23-</w:t>
      </w:r>
      <w:r w:rsidRPr="00B4573D">
        <w:rPr>
          <w:rFonts w:eastAsia="Times New Roman"/>
        </w:rPr>
        <w:t xml:space="preserve">91 years), sex, body surface </w:t>
      </w:r>
      <w:r w:rsidR="001A73FC" w:rsidRPr="00B4573D">
        <w:rPr>
          <w:rFonts w:eastAsia="Times New Roman"/>
        </w:rPr>
        <w:t>area</w:t>
      </w:r>
      <w:r w:rsidR="001A73FC">
        <w:rPr>
          <w:rFonts w:eastAsia="Times New Roman"/>
        </w:rPr>
        <w:t xml:space="preserve"> </w:t>
      </w:r>
      <w:r w:rsidRPr="00B4573D">
        <w:rPr>
          <w:rFonts w:eastAsia="Times New Roman"/>
        </w:rPr>
        <w:t>(1.2</w:t>
      </w:r>
      <w:r w:rsidR="001A73FC">
        <w:rPr>
          <w:rFonts w:eastAsia="Times New Roman"/>
        </w:rPr>
        <w:noBreakHyphen/>
      </w:r>
      <w:r w:rsidRPr="00B4573D">
        <w:rPr>
          <w:rFonts w:eastAsia="Times New Roman"/>
        </w:rPr>
        <w:t>2.7 m</w:t>
      </w:r>
      <w:r w:rsidRPr="00CC6018">
        <w:rPr>
          <w:rFonts w:eastAsia="Times New Roman"/>
          <w:vertAlign w:val="superscript"/>
        </w:rPr>
        <w:t>2</w:t>
      </w:r>
      <w:r w:rsidRPr="00B4573D">
        <w:rPr>
          <w:rFonts w:eastAsia="Times New Roman"/>
        </w:rPr>
        <w:t>), or race on the clearance of ixazomib based on the results of a population PK analysis.</w:t>
      </w:r>
    </w:p>
    <w:p w:rsidR="00691008" w:rsidRDefault="002D31A3" w:rsidP="00FC74C6">
      <w:pPr>
        <w:pStyle w:val="Heading1"/>
      </w:pPr>
      <w:r w:rsidRPr="002D31A3">
        <w:t>CLINICAL TRIALS</w:t>
      </w:r>
    </w:p>
    <w:p w:rsidR="003A3EFF" w:rsidRDefault="00405308" w:rsidP="00CD0750">
      <w:pPr>
        <w:rPr>
          <w:rFonts w:eastAsia="Times New Roman"/>
        </w:rPr>
      </w:pPr>
      <w:r w:rsidRPr="00405308">
        <w:rPr>
          <w:rFonts w:eastAsia="Times New Roman"/>
        </w:rPr>
        <w:t xml:space="preserve">The efficacy and safety of NINLARO in combination with </w:t>
      </w:r>
      <w:proofErr w:type="spellStart"/>
      <w:r w:rsidRPr="00405308">
        <w:rPr>
          <w:rFonts w:eastAsia="Times New Roman"/>
        </w:rPr>
        <w:t>lenalidomide</w:t>
      </w:r>
      <w:proofErr w:type="spellEnd"/>
      <w:r w:rsidRPr="00405308">
        <w:rPr>
          <w:rFonts w:eastAsia="Times New Roman"/>
        </w:rPr>
        <w:t xml:space="preserve"> and dexamethasone</w:t>
      </w:r>
      <w:r w:rsidR="003A3EFF">
        <w:rPr>
          <w:rFonts w:eastAsia="Times New Roman"/>
        </w:rPr>
        <w:t xml:space="preserve"> </w:t>
      </w:r>
      <w:r w:rsidRPr="00405308">
        <w:rPr>
          <w:rFonts w:eastAsia="Times New Roman"/>
        </w:rPr>
        <w:t xml:space="preserve">was evaluated in an </w:t>
      </w:r>
      <w:r w:rsidRPr="00BC1D90">
        <w:rPr>
          <w:rFonts w:eastAsia="Times New Roman"/>
        </w:rPr>
        <w:t xml:space="preserve">international </w:t>
      </w:r>
      <w:r w:rsidRPr="00405308">
        <w:rPr>
          <w:rFonts w:eastAsia="Times New Roman"/>
        </w:rPr>
        <w:t xml:space="preserve">randomized, double-blind, placebo-controlled, </w:t>
      </w:r>
      <w:proofErr w:type="spellStart"/>
      <w:r w:rsidRPr="00405308">
        <w:rPr>
          <w:rFonts w:eastAsia="Times New Roman"/>
        </w:rPr>
        <w:t>multicenter</w:t>
      </w:r>
      <w:proofErr w:type="spellEnd"/>
      <w:r w:rsidRPr="00405308">
        <w:rPr>
          <w:rFonts w:eastAsia="Times New Roman"/>
        </w:rPr>
        <w:t xml:space="preserve"> Phase 3 superiority study in patients with relapsed and/or refractory multiple myeloma who had received at least one prior line of therapy. A total of 722 patients were randomized in a 1:1 ratio to receive either the combination of NINLARO, lenalidomide, and dexamethasone (N=360; NINLARO regimen) or placebo, lenalidomide and dexamethasone </w:t>
      </w:r>
      <w:r w:rsidRPr="00183F86">
        <w:rPr>
          <w:rFonts w:eastAsia="Times New Roman"/>
        </w:rPr>
        <w:t>(N=362; placebo regimen)</w:t>
      </w:r>
      <w:r w:rsidRPr="00405308">
        <w:rPr>
          <w:rFonts w:eastAsia="Times New Roman"/>
        </w:rPr>
        <w:t xml:space="preserve"> until disease progression or unacceptable toxicity. Randomization was stratified </w:t>
      </w:r>
      <w:r w:rsidRPr="00405308">
        <w:rPr>
          <w:rFonts w:eastAsia="Times New Roman"/>
        </w:rPr>
        <w:lastRenderedPageBreak/>
        <w:t xml:space="preserve">according to number of prior lines of therapy (1 versus 2 or 3), myeloma International Staging System (ISS) (stage I or II versus III), and previous therapy with a proteasome inhibitor (exposed or naïve). Patients enrolled in the trial had multiple myeloma that was measurable by </w:t>
      </w:r>
      <w:proofErr w:type="spellStart"/>
      <w:r w:rsidRPr="00405308">
        <w:rPr>
          <w:rFonts w:eastAsia="Times New Roman"/>
        </w:rPr>
        <w:t>paraprotein</w:t>
      </w:r>
      <w:proofErr w:type="spellEnd"/>
      <w:r w:rsidRPr="00405308">
        <w:rPr>
          <w:rFonts w:eastAsia="Times New Roman"/>
        </w:rPr>
        <w:t xml:space="preserve"> in the serum, urine, or via free light chain measurements and whose disease was refractory, including primary refractory (i.e., never responded to prior therapy), had relapsed after prior therapy, or had relapsed and was refractory to any prior line of therapy. Patients that changed therapies prior to disease progression were also enrolled, as well as those with controlled cardiovascular conditions. </w:t>
      </w:r>
      <w:proofErr w:type="spellStart"/>
      <w:r w:rsidRPr="00405308">
        <w:rPr>
          <w:rFonts w:eastAsia="Times New Roman"/>
        </w:rPr>
        <w:t>Thromboprophylaxis</w:t>
      </w:r>
      <w:proofErr w:type="spellEnd"/>
      <w:r w:rsidRPr="00405308">
        <w:rPr>
          <w:rFonts w:eastAsia="Times New Roman"/>
        </w:rPr>
        <w:t xml:space="preserve"> was recommended for all patients in both treatment groups according to the </w:t>
      </w:r>
      <w:r w:rsidRPr="00F51F91">
        <w:rPr>
          <w:rFonts w:eastAsia="Times New Roman"/>
        </w:rPr>
        <w:t xml:space="preserve">lenalidomide </w:t>
      </w:r>
      <w:r w:rsidR="002D255E" w:rsidRPr="00F51F91">
        <w:rPr>
          <w:rFonts w:eastAsia="Times New Roman"/>
        </w:rPr>
        <w:t>Product Information</w:t>
      </w:r>
      <w:r w:rsidRPr="00F51F91">
        <w:rPr>
          <w:rFonts w:eastAsia="Times New Roman"/>
        </w:rPr>
        <w:t>.</w:t>
      </w:r>
      <w:r w:rsidRPr="00405308">
        <w:rPr>
          <w:rFonts w:eastAsia="Times New Roman"/>
        </w:rPr>
        <w:t xml:space="preserve"> Concomitant medications, such as antiemetic, antiviral, and antihistamine medications were given to patients at the physician's discretion as prophylaxis and/or management of symptoms.</w:t>
      </w:r>
    </w:p>
    <w:p w:rsidR="00405308" w:rsidRPr="00405308" w:rsidRDefault="00405308" w:rsidP="00CD0750">
      <w:pPr>
        <w:rPr>
          <w:rFonts w:eastAsia="Times New Roman"/>
        </w:rPr>
      </w:pPr>
      <w:r w:rsidRPr="00405308">
        <w:rPr>
          <w:rFonts w:eastAsia="Times New Roman"/>
        </w:rPr>
        <w:t>Patients received NINLARO 4 mg or placebo on Days 1, 8, and 15 plus lenalidomide (25</w:t>
      </w:r>
      <w:r w:rsidR="001A73FC">
        <w:rPr>
          <w:rFonts w:eastAsia="Times New Roman"/>
        </w:rPr>
        <w:t> </w:t>
      </w:r>
      <w:r w:rsidRPr="00405308">
        <w:rPr>
          <w:rFonts w:eastAsia="Times New Roman"/>
        </w:rPr>
        <w:t>mg) on Days 1 through 21 and dexamethasone (40 mg) o</w:t>
      </w:r>
      <w:r w:rsidRPr="00F51F91">
        <w:rPr>
          <w:rFonts w:eastAsia="Times New Roman"/>
        </w:rPr>
        <w:t xml:space="preserve">n Days 1, 8, 15, and 22 of a 28 day cycle. Patients with renal impairment received a starting dose of lenalidomide according to its </w:t>
      </w:r>
      <w:r w:rsidR="002D255E" w:rsidRPr="00F51F91">
        <w:rPr>
          <w:rFonts w:eastAsia="Times New Roman"/>
        </w:rPr>
        <w:t>Product Information</w:t>
      </w:r>
      <w:r w:rsidRPr="00F51F91">
        <w:rPr>
          <w:rFonts w:eastAsia="Times New Roman"/>
        </w:rPr>
        <w:t>. Treatment continued until disease progression or unacceptable toxicities.</w:t>
      </w:r>
    </w:p>
    <w:p w:rsidR="00405308" w:rsidRPr="00405308" w:rsidRDefault="00FC33B9" w:rsidP="00FC74C6">
      <w:pPr>
        <w:rPr>
          <w:rFonts w:eastAsia="Times New Roman"/>
        </w:rPr>
      </w:pPr>
      <w:r>
        <w:fldChar w:fldCharType="begin"/>
      </w:r>
      <w:r>
        <w:instrText xml:space="preserve"> REF _Ref423599249 \h  \* MERGEFORMAT </w:instrText>
      </w:r>
      <w:r>
        <w:fldChar w:fldCharType="separate"/>
      </w:r>
      <w:r w:rsidR="00AD0267" w:rsidRPr="00AD0267">
        <w:rPr>
          <w:rFonts w:eastAsia="Times New Roman"/>
        </w:rPr>
        <w:t>Table 1</w:t>
      </w:r>
      <w:r>
        <w:fldChar w:fldCharType="end"/>
      </w:r>
      <w:r w:rsidR="00405308">
        <w:rPr>
          <w:rFonts w:eastAsia="Times New Roman"/>
        </w:rPr>
        <w:t xml:space="preserve"> </w:t>
      </w:r>
      <w:r w:rsidR="00405308" w:rsidRPr="00405308">
        <w:rPr>
          <w:rFonts w:eastAsia="Times New Roman"/>
        </w:rPr>
        <w:t>summarizes the baseline patient and disease characteristics in the study. The baseline demographics and disease characteristics were balanced and comparable between the study regimens.</w:t>
      </w:r>
    </w:p>
    <w:p w:rsidR="00405308" w:rsidRPr="008166D1" w:rsidRDefault="00405308" w:rsidP="00CD4DDA">
      <w:pPr>
        <w:pStyle w:val="Caption"/>
        <w:keepNext/>
        <w:tabs>
          <w:tab w:val="left" w:pos="993"/>
        </w:tabs>
        <w:rPr>
          <w:rFonts w:cs="Arial"/>
          <w:bCs w:val="0"/>
          <w:sz w:val="20"/>
          <w:szCs w:val="20"/>
        </w:rPr>
      </w:pPr>
      <w:bookmarkStart w:id="2" w:name="_Ref423599249"/>
      <w:r w:rsidRPr="008166D1">
        <w:rPr>
          <w:rFonts w:cs="Arial"/>
          <w:bCs w:val="0"/>
          <w:sz w:val="20"/>
          <w:szCs w:val="20"/>
        </w:rPr>
        <w:t xml:space="preserve">Table </w:t>
      </w:r>
      <w:r w:rsidR="006F0259" w:rsidRPr="008166D1">
        <w:rPr>
          <w:rFonts w:cs="Arial"/>
          <w:bCs w:val="0"/>
          <w:sz w:val="20"/>
          <w:szCs w:val="20"/>
        </w:rPr>
        <w:fldChar w:fldCharType="begin"/>
      </w:r>
      <w:r w:rsidRPr="008166D1">
        <w:rPr>
          <w:rFonts w:cs="Arial"/>
          <w:bCs w:val="0"/>
          <w:sz w:val="20"/>
          <w:szCs w:val="20"/>
        </w:rPr>
        <w:instrText xml:space="preserve"> SEQ Table \* ARABIC </w:instrText>
      </w:r>
      <w:r w:rsidR="006F0259" w:rsidRPr="008166D1">
        <w:rPr>
          <w:rFonts w:cs="Arial"/>
          <w:bCs w:val="0"/>
          <w:sz w:val="20"/>
          <w:szCs w:val="20"/>
        </w:rPr>
        <w:fldChar w:fldCharType="separate"/>
      </w:r>
      <w:r w:rsidR="00951FAC">
        <w:rPr>
          <w:rFonts w:cs="Arial"/>
          <w:bCs w:val="0"/>
          <w:noProof/>
          <w:sz w:val="20"/>
          <w:szCs w:val="20"/>
        </w:rPr>
        <w:t>1</w:t>
      </w:r>
      <w:r w:rsidR="006F0259" w:rsidRPr="008166D1">
        <w:rPr>
          <w:rFonts w:cs="Arial"/>
          <w:bCs w:val="0"/>
          <w:sz w:val="20"/>
          <w:szCs w:val="20"/>
        </w:rPr>
        <w:fldChar w:fldCharType="end"/>
      </w:r>
      <w:bookmarkEnd w:id="2"/>
      <w:r w:rsidR="00CD4DDA">
        <w:rPr>
          <w:rFonts w:cs="Arial"/>
          <w:bCs w:val="0"/>
          <w:sz w:val="20"/>
          <w:szCs w:val="20"/>
        </w:rPr>
        <w:tab/>
      </w:r>
      <w:r w:rsidRPr="008166D1">
        <w:rPr>
          <w:rFonts w:cs="Arial"/>
          <w:bCs w:val="0"/>
          <w:sz w:val="20"/>
          <w:szCs w:val="20"/>
        </w:rPr>
        <w:t>Baseline Patient and Disease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980"/>
        <w:gridCol w:w="1980"/>
      </w:tblGrid>
      <w:tr w:rsidR="00405308" w:rsidRPr="004F6968" w:rsidTr="00FC74C6">
        <w:trPr>
          <w:trHeight w:val="57"/>
          <w:tblHeader/>
          <w:jc w:val="center"/>
        </w:trPr>
        <w:tc>
          <w:tcPr>
            <w:tcW w:w="4248" w:type="dxa"/>
          </w:tcPr>
          <w:p w:rsidR="00405308" w:rsidRPr="004F6968" w:rsidRDefault="00405308" w:rsidP="00CD0750">
            <w:pPr>
              <w:pStyle w:val="TableHeading"/>
            </w:pPr>
          </w:p>
        </w:tc>
        <w:tc>
          <w:tcPr>
            <w:tcW w:w="1980" w:type="dxa"/>
          </w:tcPr>
          <w:p w:rsidR="00405308" w:rsidRPr="004F6968" w:rsidRDefault="00405308" w:rsidP="00CD0750">
            <w:pPr>
              <w:pStyle w:val="TableHeading"/>
            </w:pPr>
            <w:r w:rsidRPr="004F6968">
              <w:t>NINLARO + Lenalidomide and Dexamethasone</w:t>
            </w:r>
          </w:p>
          <w:p w:rsidR="00405308" w:rsidRPr="004F6968" w:rsidRDefault="00405308" w:rsidP="00CD0750">
            <w:pPr>
              <w:pStyle w:val="TableHeading"/>
            </w:pPr>
            <w:r w:rsidRPr="004F6968">
              <w:t>(N = 360)</w:t>
            </w:r>
          </w:p>
        </w:tc>
        <w:tc>
          <w:tcPr>
            <w:tcW w:w="1980" w:type="dxa"/>
          </w:tcPr>
          <w:p w:rsidR="00405308" w:rsidRPr="004F6968" w:rsidRDefault="00405308" w:rsidP="00CD0750">
            <w:pPr>
              <w:pStyle w:val="TableHeading"/>
            </w:pPr>
            <w:r w:rsidRPr="004F6968">
              <w:t>Placebo + Lenalidomide and Dexamethasone</w:t>
            </w:r>
          </w:p>
          <w:p w:rsidR="00405308" w:rsidRPr="004F6968" w:rsidRDefault="00405308" w:rsidP="00CD0750">
            <w:pPr>
              <w:pStyle w:val="TableHeading"/>
            </w:pPr>
            <w:r w:rsidRPr="004F6968">
              <w:t>(N = 362)</w:t>
            </w:r>
          </w:p>
        </w:tc>
      </w:tr>
      <w:tr w:rsidR="00405308" w:rsidRPr="004F6968" w:rsidTr="00FC74C6">
        <w:trPr>
          <w:trHeight w:val="57"/>
          <w:jc w:val="center"/>
        </w:trPr>
        <w:tc>
          <w:tcPr>
            <w:tcW w:w="8208" w:type="dxa"/>
            <w:gridSpan w:val="3"/>
          </w:tcPr>
          <w:p w:rsidR="00405308" w:rsidRPr="004F6968" w:rsidRDefault="00405308" w:rsidP="00A935A9">
            <w:pPr>
              <w:keepNext/>
              <w:keepLines/>
              <w:autoSpaceDE w:val="0"/>
              <w:autoSpaceDN w:val="0"/>
              <w:adjustRightInd w:val="0"/>
              <w:spacing w:after="0"/>
              <w:rPr>
                <w:rFonts w:cs="Arial"/>
                <w:i/>
                <w:sz w:val="20"/>
                <w:szCs w:val="20"/>
              </w:rPr>
            </w:pPr>
            <w:r w:rsidRPr="004F6968">
              <w:rPr>
                <w:rFonts w:cs="Arial"/>
                <w:i/>
                <w:sz w:val="20"/>
                <w:szCs w:val="20"/>
              </w:rPr>
              <w:t>Patient Characteristics</w:t>
            </w:r>
          </w:p>
        </w:tc>
      </w:tr>
      <w:tr w:rsidR="00405308" w:rsidRPr="004F6968" w:rsidTr="00FC74C6">
        <w:trPr>
          <w:trHeight w:val="57"/>
          <w:jc w:val="center"/>
        </w:trPr>
        <w:tc>
          <w:tcPr>
            <w:tcW w:w="4248" w:type="dxa"/>
          </w:tcPr>
          <w:p w:rsidR="00405308" w:rsidRPr="004F6968" w:rsidRDefault="00405308" w:rsidP="00A935A9">
            <w:pPr>
              <w:keepNext/>
              <w:keepLines/>
              <w:autoSpaceDE w:val="0"/>
              <w:autoSpaceDN w:val="0"/>
              <w:adjustRightInd w:val="0"/>
              <w:spacing w:after="0"/>
              <w:rPr>
                <w:rFonts w:cs="Arial"/>
                <w:sz w:val="20"/>
                <w:szCs w:val="20"/>
              </w:rPr>
            </w:pPr>
            <w:r w:rsidRPr="004F6968">
              <w:rPr>
                <w:rFonts w:cs="Arial"/>
                <w:sz w:val="20"/>
                <w:szCs w:val="20"/>
              </w:rPr>
              <w:t>Median age in years (range)</w:t>
            </w:r>
          </w:p>
        </w:tc>
        <w:tc>
          <w:tcPr>
            <w:tcW w:w="1980" w:type="dxa"/>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66 (38, 91)</w:t>
            </w:r>
          </w:p>
        </w:tc>
        <w:tc>
          <w:tcPr>
            <w:tcW w:w="1980" w:type="dxa"/>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66 (30, 89)</w:t>
            </w:r>
          </w:p>
        </w:tc>
      </w:tr>
      <w:tr w:rsidR="00405308" w:rsidRPr="004F6968" w:rsidTr="00FC74C6">
        <w:trPr>
          <w:trHeight w:val="57"/>
          <w:jc w:val="center"/>
        </w:trPr>
        <w:tc>
          <w:tcPr>
            <w:tcW w:w="4248" w:type="dxa"/>
          </w:tcPr>
          <w:p w:rsidR="00405308" w:rsidRPr="004F6968" w:rsidRDefault="00405308" w:rsidP="00A935A9">
            <w:pPr>
              <w:keepNext/>
              <w:keepLines/>
              <w:autoSpaceDE w:val="0"/>
              <w:autoSpaceDN w:val="0"/>
              <w:adjustRightInd w:val="0"/>
              <w:spacing w:after="0"/>
              <w:rPr>
                <w:rFonts w:cs="Arial"/>
                <w:sz w:val="20"/>
                <w:szCs w:val="20"/>
              </w:rPr>
            </w:pPr>
            <w:r w:rsidRPr="004F6968">
              <w:rPr>
                <w:rFonts w:cs="Arial"/>
                <w:sz w:val="20"/>
                <w:szCs w:val="20"/>
              </w:rPr>
              <w:t>Gender (%) Male/ Female</w:t>
            </w:r>
          </w:p>
        </w:tc>
        <w:tc>
          <w:tcPr>
            <w:tcW w:w="1980" w:type="dxa"/>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58/42</w:t>
            </w:r>
          </w:p>
        </w:tc>
        <w:tc>
          <w:tcPr>
            <w:tcW w:w="1980" w:type="dxa"/>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56/44</w:t>
            </w:r>
          </w:p>
        </w:tc>
      </w:tr>
      <w:tr w:rsidR="00405308" w:rsidRPr="004F6968" w:rsidTr="00FC74C6">
        <w:trPr>
          <w:trHeight w:val="57"/>
          <w:jc w:val="center"/>
        </w:trPr>
        <w:tc>
          <w:tcPr>
            <w:tcW w:w="4248" w:type="dxa"/>
            <w:tcBorders>
              <w:bottom w:val="single" w:sz="4" w:space="0" w:color="auto"/>
            </w:tcBorders>
          </w:tcPr>
          <w:p w:rsidR="00405308" w:rsidRPr="004F6968" w:rsidRDefault="00405308" w:rsidP="00A935A9">
            <w:pPr>
              <w:keepNext/>
              <w:keepLines/>
              <w:autoSpaceDE w:val="0"/>
              <w:autoSpaceDN w:val="0"/>
              <w:adjustRightInd w:val="0"/>
              <w:spacing w:after="0"/>
              <w:rPr>
                <w:rFonts w:cs="Arial"/>
                <w:sz w:val="20"/>
                <w:szCs w:val="20"/>
              </w:rPr>
            </w:pPr>
            <w:r w:rsidRPr="004F6968">
              <w:rPr>
                <w:rFonts w:cs="Arial"/>
                <w:bCs/>
                <w:sz w:val="20"/>
                <w:szCs w:val="20"/>
              </w:rPr>
              <w:t>Age Group (% [≤65/ &gt; 65-≤ 75/ &gt; 75 years])</w:t>
            </w:r>
          </w:p>
        </w:tc>
        <w:tc>
          <w:tcPr>
            <w:tcW w:w="1980" w:type="dxa"/>
            <w:tcBorders>
              <w:bottom w:val="single" w:sz="4" w:space="0" w:color="auto"/>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47/40/13</w:t>
            </w:r>
          </w:p>
        </w:tc>
        <w:tc>
          <w:tcPr>
            <w:tcW w:w="1980" w:type="dxa"/>
            <w:tcBorders>
              <w:bottom w:val="single" w:sz="4" w:space="0" w:color="auto"/>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49/35/17</w:t>
            </w:r>
          </w:p>
        </w:tc>
      </w:tr>
      <w:tr w:rsidR="00405308" w:rsidRPr="004F6968" w:rsidTr="00FC74C6">
        <w:trPr>
          <w:trHeight w:val="57"/>
          <w:jc w:val="center"/>
        </w:trPr>
        <w:tc>
          <w:tcPr>
            <w:tcW w:w="4248" w:type="dxa"/>
            <w:tcBorders>
              <w:bottom w:val="nil"/>
            </w:tcBorders>
          </w:tcPr>
          <w:p w:rsidR="00405308" w:rsidRPr="004F6968" w:rsidRDefault="00405308" w:rsidP="00A935A9">
            <w:pPr>
              <w:keepNext/>
              <w:keepLines/>
              <w:tabs>
                <w:tab w:val="center" w:pos="1488"/>
              </w:tabs>
              <w:autoSpaceDE w:val="0"/>
              <w:autoSpaceDN w:val="0"/>
              <w:adjustRightInd w:val="0"/>
              <w:spacing w:after="0"/>
              <w:rPr>
                <w:rFonts w:cs="Arial"/>
                <w:sz w:val="20"/>
                <w:szCs w:val="20"/>
              </w:rPr>
            </w:pPr>
            <w:r w:rsidRPr="004F6968">
              <w:rPr>
                <w:rFonts w:cs="Arial"/>
                <w:sz w:val="20"/>
                <w:szCs w:val="20"/>
              </w:rPr>
              <w:t>Race n (%)</w:t>
            </w:r>
          </w:p>
        </w:tc>
        <w:tc>
          <w:tcPr>
            <w:tcW w:w="1980" w:type="dxa"/>
            <w:tcBorders>
              <w:bottom w:val="nil"/>
            </w:tcBorders>
          </w:tcPr>
          <w:p w:rsidR="00405308" w:rsidRPr="004F6968" w:rsidRDefault="00405308" w:rsidP="00A935A9">
            <w:pPr>
              <w:keepNext/>
              <w:keepLines/>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keepNext/>
              <w:keepLines/>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White</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310 (86)</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301 (83)</w:t>
            </w:r>
          </w:p>
        </w:tc>
      </w:tr>
      <w:tr w:rsidR="00405308" w:rsidRPr="004F6968" w:rsidTr="00FC74C6">
        <w:trPr>
          <w:trHeight w:val="57"/>
          <w:jc w:val="center"/>
        </w:trPr>
        <w:tc>
          <w:tcPr>
            <w:tcW w:w="4248" w:type="dxa"/>
            <w:tcBorders>
              <w:top w:val="nil"/>
              <w:bottom w:val="nil"/>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Black</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7 (2)</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6 (2)</w:t>
            </w:r>
          </w:p>
        </w:tc>
      </w:tr>
      <w:tr w:rsidR="00405308" w:rsidRPr="004F6968" w:rsidTr="00FC74C6">
        <w:trPr>
          <w:trHeight w:val="57"/>
          <w:jc w:val="center"/>
        </w:trPr>
        <w:tc>
          <w:tcPr>
            <w:tcW w:w="4248" w:type="dxa"/>
            <w:tcBorders>
              <w:top w:val="nil"/>
              <w:bottom w:val="nil"/>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Asian</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30 (8)</w:t>
            </w:r>
          </w:p>
        </w:tc>
        <w:tc>
          <w:tcPr>
            <w:tcW w:w="1980" w:type="dxa"/>
            <w:tcBorders>
              <w:top w:val="nil"/>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34 (9)</w:t>
            </w:r>
          </w:p>
        </w:tc>
      </w:tr>
      <w:tr w:rsidR="00405308" w:rsidRPr="004F6968" w:rsidTr="00FC74C6">
        <w:trPr>
          <w:trHeight w:val="57"/>
          <w:jc w:val="center"/>
        </w:trPr>
        <w:tc>
          <w:tcPr>
            <w:tcW w:w="4248" w:type="dxa"/>
            <w:tcBorders>
              <w:top w:val="nil"/>
              <w:bottom w:val="single" w:sz="4" w:space="0" w:color="auto"/>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Other</w:t>
            </w:r>
          </w:p>
        </w:tc>
        <w:tc>
          <w:tcPr>
            <w:tcW w:w="1980" w:type="dxa"/>
            <w:tcBorders>
              <w:top w:val="nil"/>
              <w:bottom w:val="single" w:sz="4" w:space="0" w:color="auto"/>
            </w:tcBorders>
          </w:tcPr>
          <w:p w:rsidR="00405308" w:rsidRPr="004F6968" w:rsidRDefault="00405308" w:rsidP="00381DA0">
            <w:pPr>
              <w:keepNext/>
              <w:keepLines/>
              <w:autoSpaceDE w:val="0"/>
              <w:autoSpaceDN w:val="0"/>
              <w:adjustRightInd w:val="0"/>
              <w:spacing w:after="0"/>
              <w:jc w:val="center"/>
              <w:rPr>
                <w:rFonts w:cs="Arial"/>
                <w:sz w:val="20"/>
                <w:szCs w:val="20"/>
              </w:rPr>
            </w:pPr>
            <w:r w:rsidRPr="004F6968">
              <w:rPr>
                <w:rFonts w:cs="Arial"/>
                <w:sz w:val="20"/>
                <w:szCs w:val="20"/>
              </w:rPr>
              <w:t>2 (&lt;1)</w:t>
            </w:r>
          </w:p>
        </w:tc>
        <w:tc>
          <w:tcPr>
            <w:tcW w:w="1980" w:type="dxa"/>
            <w:tcBorders>
              <w:top w:val="nil"/>
              <w:bottom w:val="single" w:sz="4" w:space="0" w:color="auto"/>
            </w:tcBorders>
          </w:tcPr>
          <w:p w:rsidR="00405308" w:rsidRPr="004F6968" w:rsidRDefault="00405308" w:rsidP="00381DA0">
            <w:pPr>
              <w:keepNext/>
              <w:keepLines/>
              <w:autoSpaceDE w:val="0"/>
              <w:autoSpaceDN w:val="0"/>
              <w:adjustRightInd w:val="0"/>
              <w:spacing w:after="0"/>
              <w:jc w:val="center"/>
              <w:rPr>
                <w:rFonts w:cs="Arial"/>
                <w:sz w:val="20"/>
                <w:szCs w:val="20"/>
              </w:rPr>
            </w:pPr>
            <w:r w:rsidRPr="004F6968">
              <w:rPr>
                <w:rFonts w:cs="Arial"/>
                <w:sz w:val="20"/>
                <w:szCs w:val="20"/>
              </w:rPr>
              <w:t>6 (2)</w:t>
            </w:r>
          </w:p>
        </w:tc>
      </w:tr>
      <w:tr w:rsidR="00405308" w:rsidRPr="004F6968" w:rsidTr="00FC74C6">
        <w:trPr>
          <w:trHeight w:val="57"/>
          <w:jc w:val="center"/>
        </w:trPr>
        <w:tc>
          <w:tcPr>
            <w:tcW w:w="4248" w:type="dxa"/>
            <w:tcBorders>
              <w:bottom w:val="nil"/>
              <w:right w:val="single" w:sz="4" w:space="0" w:color="auto"/>
            </w:tcBorders>
          </w:tcPr>
          <w:p w:rsidR="00405308" w:rsidRPr="004F6968" w:rsidRDefault="00405308" w:rsidP="00A935A9">
            <w:pPr>
              <w:keepNext/>
              <w:keepLines/>
              <w:tabs>
                <w:tab w:val="center" w:pos="1488"/>
              </w:tabs>
              <w:autoSpaceDE w:val="0"/>
              <w:autoSpaceDN w:val="0"/>
              <w:adjustRightInd w:val="0"/>
              <w:spacing w:after="0"/>
              <w:rPr>
                <w:rFonts w:cs="Arial"/>
                <w:sz w:val="20"/>
                <w:szCs w:val="20"/>
              </w:rPr>
            </w:pPr>
            <w:r w:rsidRPr="004F6968">
              <w:rPr>
                <w:rFonts w:cs="Arial"/>
                <w:sz w:val="20"/>
                <w:szCs w:val="20"/>
              </w:rPr>
              <w:t>ECOG performance status, n (%)</w:t>
            </w:r>
          </w:p>
        </w:tc>
        <w:tc>
          <w:tcPr>
            <w:tcW w:w="1980" w:type="dxa"/>
            <w:tcBorders>
              <w:left w:val="single" w:sz="4" w:space="0" w:color="auto"/>
              <w:bottom w:val="nil"/>
              <w:right w:val="single" w:sz="4" w:space="0" w:color="auto"/>
            </w:tcBorders>
          </w:tcPr>
          <w:p w:rsidR="00405308" w:rsidRPr="004F6968" w:rsidRDefault="00405308" w:rsidP="00A935A9">
            <w:pPr>
              <w:keepNext/>
              <w:keepLines/>
              <w:autoSpaceDE w:val="0"/>
              <w:autoSpaceDN w:val="0"/>
              <w:adjustRightInd w:val="0"/>
              <w:spacing w:after="0"/>
              <w:rPr>
                <w:rFonts w:cs="Arial"/>
                <w:sz w:val="20"/>
                <w:szCs w:val="20"/>
              </w:rPr>
            </w:pPr>
          </w:p>
        </w:tc>
        <w:tc>
          <w:tcPr>
            <w:tcW w:w="1980" w:type="dxa"/>
            <w:tcBorders>
              <w:left w:val="single" w:sz="4" w:space="0" w:color="auto"/>
              <w:bottom w:val="nil"/>
            </w:tcBorders>
          </w:tcPr>
          <w:p w:rsidR="00405308" w:rsidRPr="004F6968" w:rsidRDefault="00405308" w:rsidP="00A935A9">
            <w:pPr>
              <w:keepNext/>
              <w:keepLines/>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right w:val="single" w:sz="4" w:space="0" w:color="auto"/>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0 or 1</w:t>
            </w:r>
          </w:p>
        </w:tc>
        <w:tc>
          <w:tcPr>
            <w:tcW w:w="1980" w:type="dxa"/>
            <w:tcBorders>
              <w:top w:val="nil"/>
              <w:left w:val="single" w:sz="4" w:space="0" w:color="auto"/>
              <w:bottom w:val="nil"/>
              <w:right w:val="single" w:sz="4" w:space="0" w:color="auto"/>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336 (93)</w:t>
            </w:r>
          </w:p>
        </w:tc>
        <w:tc>
          <w:tcPr>
            <w:tcW w:w="1980" w:type="dxa"/>
            <w:tcBorders>
              <w:top w:val="nil"/>
              <w:left w:val="single" w:sz="4" w:space="0" w:color="auto"/>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334 (92)</w:t>
            </w:r>
          </w:p>
        </w:tc>
      </w:tr>
      <w:tr w:rsidR="00405308" w:rsidRPr="004F6968" w:rsidTr="00FC74C6">
        <w:trPr>
          <w:trHeight w:val="57"/>
          <w:jc w:val="center"/>
        </w:trPr>
        <w:tc>
          <w:tcPr>
            <w:tcW w:w="4248" w:type="dxa"/>
            <w:tcBorders>
              <w:top w:val="nil"/>
              <w:bottom w:val="nil"/>
              <w:right w:val="single" w:sz="4" w:space="0" w:color="auto"/>
            </w:tcBorders>
          </w:tcPr>
          <w:p w:rsidR="00405308" w:rsidRPr="004F6968" w:rsidRDefault="00405308" w:rsidP="00A935A9">
            <w:pPr>
              <w:keepNext/>
              <w:keepLines/>
              <w:tabs>
                <w:tab w:val="center" w:pos="1488"/>
              </w:tabs>
              <w:autoSpaceDE w:val="0"/>
              <w:autoSpaceDN w:val="0"/>
              <w:adjustRightInd w:val="0"/>
              <w:spacing w:after="0"/>
              <w:ind w:left="720"/>
              <w:rPr>
                <w:rFonts w:cs="Arial"/>
                <w:sz w:val="20"/>
                <w:szCs w:val="20"/>
              </w:rPr>
            </w:pPr>
            <w:r w:rsidRPr="004F6968">
              <w:rPr>
                <w:rFonts w:cs="Arial"/>
                <w:sz w:val="20"/>
                <w:szCs w:val="20"/>
              </w:rPr>
              <w:t>2</w:t>
            </w:r>
          </w:p>
        </w:tc>
        <w:tc>
          <w:tcPr>
            <w:tcW w:w="1980" w:type="dxa"/>
            <w:tcBorders>
              <w:top w:val="nil"/>
              <w:left w:val="single" w:sz="4" w:space="0" w:color="auto"/>
              <w:bottom w:val="nil"/>
              <w:right w:val="single" w:sz="4" w:space="0" w:color="auto"/>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18 (5)</w:t>
            </w:r>
          </w:p>
        </w:tc>
        <w:tc>
          <w:tcPr>
            <w:tcW w:w="1980" w:type="dxa"/>
            <w:tcBorders>
              <w:top w:val="nil"/>
              <w:left w:val="single" w:sz="4" w:space="0" w:color="auto"/>
              <w:bottom w:val="nil"/>
            </w:tcBorders>
          </w:tcPr>
          <w:p w:rsidR="00405308" w:rsidRPr="004F6968" w:rsidRDefault="00405308" w:rsidP="00A935A9">
            <w:pPr>
              <w:keepNext/>
              <w:keepLines/>
              <w:autoSpaceDE w:val="0"/>
              <w:autoSpaceDN w:val="0"/>
              <w:adjustRightInd w:val="0"/>
              <w:spacing w:after="0"/>
              <w:jc w:val="center"/>
              <w:rPr>
                <w:rFonts w:cs="Arial"/>
                <w:sz w:val="20"/>
                <w:szCs w:val="20"/>
              </w:rPr>
            </w:pPr>
            <w:r w:rsidRPr="004F6968">
              <w:rPr>
                <w:rFonts w:cs="Arial"/>
                <w:sz w:val="20"/>
                <w:szCs w:val="20"/>
              </w:rPr>
              <w:t>24 (7)</w:t>
            </w:r>
          </w:p>
        </w:tc>
      </w:tr>
      <w:tr w:rsidR="00405308" w:rsidRPr="004F6968" w:rsidTr="00FC74C6">
        <w:trPr>
          <w:trHeight w:val="57"/>
          <w:jc w:val="center"/>
        </w:trPr>
        <w:tc>
          <w:tcPr>
            <w:tcW w:w="4248" w:type="dxa"/>
            <w:tcBorders>
              <w:bottom w:val="nil"/>
              <w:right w:val="single" w:sz="4" w:space="0" w:color="auto"/>
            </w:tcBorders>
          </w:tcPr>
          <w:p w:rsidR="00405308" w:rsidRPr="004F6968" w:rsidRDefault="00405308" w:rsidP="00A935A9">
            <w:pPr>
              <w:tabs>
                <w:tab w:val="center" w:pos="1488"/>
              </w:tabs>
              <w:autoSpaceDE w:val="0"/>
              <w:autoSpaceDN w:val="0"/>
              <w:adjustRightInd w:val="0"/>
              <w:spacing w:after="0"/>
              <w:rPr>
                <w:rFonts w:cs="Arial"/>
                <w:sz w:val="20"/>
                <w:szCs w:val="20"/>
              </w:rPr>
            </w:pPr>
            <w:r w:rsidRPr="004F6968">
              <w:rPr>
                <w:rFonts w:cs="Arial"/>
                <w:sz w:val="20"/>
                <w:szCs w:val="20"/>
              </w:rPr>
              <w:t>Creatinine clearance, n (%)</w:t>
            </w:r>
          </w:p>
        </w:tc>
        <w:tc>
          <w:tcPr>
            <w:tcW w:w="1980" w:type="dxa"/>
            <w:tcBorders>
              <w:left w:val="single" w:sz="4" w:space="0" w:color="auto"/>
              <w:bottom w:val="nil"/>
              <w:right w:val="single" w:sz="4" w:space="0" w:color="auto"/>
            </w:tcBorders>
          </w:tcPr>
          <w:p w:rsidR="00405308" w:rsidRPr="004F6968" w:rsidRDefault="00405308" w:rsidP="00A935A9">
            <w:pPr>
              <w:autoSpaceDE w:val="0"/>
              <w:autoSpaceDN w:val="0"/>
              <w:adjustRightInd w:val="0"/>
              <w:spacing w:after="0"/>
              <w:rPr>
                <w:rFonts w:cs="Arial"/>
                <w:sz w:val="20"/>
                <w:szCs w:val="20"/>
              </w:rPr>
            </w:pPr>
          </w:p>
        </w:tc>
        <w:tc>
          <w:tcPr>
            <w:tcW w:w="1980" w:type="dxa"/>
            <w:tcBorders>
              <w:left w:val="single" w:sz="4" w:space="0" w:color="auto"/>
              <w:bottom w:val="nil"/>
            </w:tcBorders>
          </w:tcPr>
          <w:p w:rsidR="00405308" w:rsidRPr="004F6968" w:rsidRDefault="00405308" w:rsidP="00A935A9">
            <w:pPr>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right w:val="single" w:sz="4" w:space="0" w:color="auto"/>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&lt; 30 mL/min</w:t>
            </w:r>
          </w:p>
        </w:tc>
        <w:tc>
          <w:tcPr>
            <w:tcW w:w="1980" w:type="dxa"/>
            <w:tcBorders>
              <w:top w:val="nil"/>
              <w:left w:val="single" w:sz="4" w:space="0" w:color="auto"/>
              <w:bottom w:val="nil"/>
              <w:right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5 (1)</w:t>
            </w:r>
          </w:p>
        </w:tc>
        <w:tc>
          <w:tcPr>
            <w:tcW w:w="1980" w:type="dxa"/>
            <w:tcBorders>
              <w:top w:val="nil"/>
              <w:left w:val="single" w:sz="4" w:space="0" w:color="auto"/>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5 (1)</w:t>
            </w:r>
          </w:p>
        </w:tc>
      </w:tr>
      <w:tr w:rsidR="00405308" w:rsidRPr="004F6968" w:rsidTr="00FC74C6">
        <w:trPr>
          <w:trHeight w:val="57"/>
          <w:jc w:val="center"/>
        </w:trPr>
        <w:tc>
          <w:tcPr>
            <w:tcW w:w="4248" w:type="dxa"/>
            <w:tcBorders>
              <w:top w:val="nil"/>
              <w:bottom w:val="nil"/>
              <w:right w:val="single" w:sz="4" w:space="0" w:color="auto"/>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30-59 mL/min</w:t>
            </w:r>
          </w:p>
        </w:tc>
        <w:tc>
          <w:tcPr>
            <w:tcW w:w="1980" w:type="dxa"/>
            <w:tcBorders>
              <w:top w:val="nil"/>
              <w:left w:val="single" w:sz="4" w:space="0" w:color="auto"/>
              <w:bottom w:val="nil"/>
              <w:right w:val="single" w:sz="4" w:space="0" w:color="auto"/>
            </w:tcBorders>
          </w:tcPr>
          <w:p w:rsidR="00405308" w:rsidRPr="004F6968" w:rsidRDefault="00405308" w:rsidP="00283679">
            <w:pPr>
              <w:autoSpaceDE w:val="0"/>
              <w:autoSpaceDN w:val="0"/>
              <w:adjustRightInd w:val="0"/>
              <w:spacing w:after="0"/>
              <w:jc w:val="center"/>
              <w:rPr>
                <w:rFonts w:cs="Arial"/>
                <w:sz w:val="20"/>
                <w:szCs w:val="20"/>
              </w:rPr>
            </w:pPr>
            <w:r w:rsidRPr="004F6968">
              <w:rPr>
                <w:rFonts w:cs="Arial"/>
                <w:sz w:val="20"/>
                <w:szCs w:val="20"/>
              </w:rPr>
              <w:t>75 (21)</w:t>
            </w:r>
          </w:p>
        </w:tc>
        <w:tc>
          <w:tcPr>
            <w:tcW w:w="1980" w:type="dxa"/>
            <w:tcBorders>
              <w:top w:val="nil"/>
              <w:left w:val="single" w:sz="4" w:space="0" w:color="auto"/>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95 (26)</w:t>
            </w:r>
          </w:p>
        </w:tc>
      </w:tr>
      <w:tr w:rsidR="00405308" w:rsidRPr="004F6968" w:rsidTr="00FC74C6">
        <w:trPr>
          <w:trHeight w:val="57"/>
          <w:jc w:val="center"/>
        </w:trPr>
        <w:tc>
          <w:tcPr>
            <w:tcW w:w="4248" w:type="dxa"/>
            <w:tcBorders>
              <w:top w:val="nil"/>
              <w:right w:val="single" w:sz="4" w:space="0" w:color="auto"/>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bCs/>
                <w:sz w:val="20"/>
                <w:szCs w:val="20"/>
              </w:rPr>
              <w:t>≥ 60 mL/min</w:t>
            </w:r>
          </w:p>
        </w:tc>
        <w:tc>
          <w:tcPr>
            <w:tcW w:w="1980" w:type="dxa"/>
            <w:tcBorders>
              <w:top w:val="nil"/>
              <w:left w:val="single" w:sz="4" w:space="0" w:color="auto"/>
              <w:right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281 (78)</w:t>
            </w:r>
          </w:p>
        </w:tc>
        <w:tc>
          <w:tcPr>
            <w:tcW w:w="1980" w:type="dxa"/>
            <w:tcBorders>
              <w:top w:val="nil"/>
              <w:left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261 (72)</w:t>
            </w:r>
          </w:p>
        </w:tc>
      </w:tr>
      <w:tr w:rsidR="00405308" w:rsidRPr="004F6968" w:rsidTr="00FC74C6">
        <w:trPr>
          <w:trHeight w:val="57"/>
          <w:jc w:val="center"/>
        </w:trPr>
        <w:tc>
          <w:tcPr>
            <w:tcW w:w="8208" w:type="dxa"/>
            <w:gridSpan w:val="3"/>
          </w:tcPr>
          <w:p w:rsidR="00405308" w:rsidRPr="004F6968" w:rsidRDefault="00405308" w:rsidP="00A935A9">
            <w:pPr>
              <w:autoSpaceDE w:val="0"/>
              <w:autoSpaceDN w:val="0"/>
              <w:adjustRightInd w:val="0"/>
              <w:spacing w:after="0"/>
              <w:rPr>
                <w:rFonts w:cs="Arial"/>
                <w:i/>
                <w:sz w:val="20"/>
                <w:szCs w:val="20"/>
              </w:rPr>
            </w:pPr>
            <w:r w:rsidRPr="004F6968">
              <w:rPr>
                <w:rFonts w:cs="Arial"/>
                <w:i/>
                <w:sz w:val="20"/>
                <w:szCs w:val="20"/>
              </w:rPr>
              <w:t>Disease Characteristics</w:t>
            </w:r>
          </w:p>
        </w:tc>
      </w:tr>
      <w:tr w:rsidR="00405308" w:rsidRPr="004F6968" w:rsidTr="00FC74C6">
        <w:trPr>
          <w:trHeight w:val="57"/>
          <w:jc w:val="center"/>
        </w:trPr>
        <w:tc>
          <w:tcPr>
            <w:tcW w:w="4248" w:type="dxa"/>
            <w:tcBorders>
              <w:bottom w:val="single" w:sz="4" w:space="0" w:color="auto"/>
            </w:tcBorders>
          </w:tcPr>
          <w:p w:rsidR="00405308" w:rsidRPr="004F6968" w:rsidRDefault="00405308" w:rsidP="00A935A9">
            <w:pPr>
              <w:tabs>
                <w:tab w:val="center" w:pos="1488"/>
              </w:tabs>
              <w:autoSpaceDE w:val="0"/>
              <w:autoSpaceDN w:val="0"/>
              <w:adjustRightInd w:val="0"/>
              <w:spacing w:after="0"/>
              <w:rPr>
                <w:rFonts w:cs="Arial"/>
                <w:sz w:val="20"/>
                <w:szCs w:val="20"/>
              </w:rPr>
            </w:pPr>
            <w:r w:rsidRPr="004F6968">
              <w:rPr>
                <w:rFonts w:cs="Arial"/>
                <w:sz w:val="20"/>
                <w:szCs w:val="20"/>
              </w:rPr>
              <w:t>Type of myeloma (%) IgG/ IgA/ free light chain</w:t>
            </w:r>
          </w:p>
        </w:tc>
        <w:tc>
          <w:tcPr>
            <w:tcW w:w="1980" w:type="dxa"/>
            <w:tcBorders>
              <w:bottom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55/21/20</w:t>
            </w:r>
          </w:p>
        </w:tc>
        <w:tc>
          <w:tcPr>
            <w:tcW w:w="1980" w:type="dxa"/>
            <w:tcBorders>
              <w:bottom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55/13/25</w:t>
            </w:r>
          </w:p>
        </w:tc>
      </w:tr>
      <w:tr w:rsidR="00405308" w:rsidRPr="004F6968" w:rsidTr="00FC74C6">
        <w:trPr>
          <w:trHeight w:val="57"/>
          <w:jc w:val="center"/>
        </w:trPr>
        <w:tc>
          <w:tcPr>
            <w:tcW w:w="4248" w:type="dxa"/>
            <w:tcBorders>
              <w:bottom w:val="nil"/>
            </w:tcBorders>
          </w:tcPr>
          <w:p w:rsidR="00405308" w:rsidRPr="004F6968" w:rsidRDefault="00405308" w:rsidP="00A935A9">
            <w:pPr>
              <w:tabs>
                <w:tab w:val="center" w:pos="1488"/>
              </w:tabs>
              <w:autoSpaceDE w:val="0"/>
              <w:autoSpaceDN w:val="0"/>
              <w:adjustRightInd w:val="0"/>
              <w:spacing w:after="0"/>
              <w:rPr>
                <w:rFonts w:cs="Arial"/>
                <w:sz w:val="20"/>
                <w:szCs w:val="20"/>
              </w:rPr>
            </w:pPr>
            <w:r w:rsidRPr="004F6968">
              <w:rPr>
                <w:rFonts w:cs="Arial"/>
                <w:sz w:val="20"/>
                <w:szCs w:val="20"/>
              </w:rPr>
              <w:t>Myeloma ISS stage, n (%)</w:t>
            </w: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Stage I or II</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314 (87)</w:t>
            </w:r>
          </w:p>
        </w:tc>
        <w:tc>
          <w:tcPr>
            <w:tcW w:w="1980" w:type="dxa"/>
            <w:tcBorders>
              <w:top w:val="nil"/>
              <w:bottom w:val="nil"/>
            </w:tcBorders>
          </w:tcPr>
          <w:p w:rsidR="00405308" w:rsidRPr="004F6968" w:rsidRDefault="00405308" w:rsidP="00B20102">
            <w:pPr>
              <w:autoSpaceDE w:val="0"/>
              <w:autoSpaceDN w:val="0"/>
              <w:adjustRightInd w:val="0"/>
              <w:spacing w:after="0"/>
              <w:jc w:val="center"/>
              <w:rPr>
                <w:rFonts w:cs="Arial"/>
                <w:sz w:val="20"/>
                <w:szCs w:val="20"/>
              </w:rPr>
            </w:pPr>
            <w:r w:rsidRPr="004F6968">
              <w:rPr>
                <w:rFonts w:cs="Arial"/>
                <w:sz w:val="20"/>
                <w:szCs w:val="20"/>
              </w:rPr>
              <w:t>318 (88)</w:t>
            </w:r>
          </w:p>
        </w:tc>
      </w:tr>
      <w:tr w:rsidR="00405308" w:rsidRPr="004F6968" w:rsidTr="00FC74C6">
        <w:trPr>
          <w:trHeight w:val="57"/>
          <w:jc w:val="center"/>
        </w:trPr>
        <w:tc>
          <w:tcPr>
            <w:tcW w:w="4248" w:type="dxa"/>
            <w:tcBorders>
              <w:top w:val="nil"/>
              <w:bottom w:val="single" w:sz="4" w:space="0" w:color="auto"/>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Stage III</w:t>
            </w:r>
          </w:p>
        </w:tc>
        <w:tc>
          <w:tcPr>
            <w:tcW w:w="1980" w:type="dxa"/>
            <w:tcBorders>
              <w:top w:val="nil"/>
              <w:bottom w:val="single" w:sz="4" w:space="0" w:color="auto"/>
            </w:tcBorders>
          </w:tcPr>
          <w:p w:rsidR="00405308" w:rsidRPr="004F6968" w:rsidRDefault="00405308" w:rsidP="00B20102">
            <w:pPr>
              <w:autoSpaceDE w:val="0"/>
              <w:autoSpaceDN w:val="0"/>
              <w:adjustRightInd w:val="0"/>
              <w:spacing w:after="0"/>
              <w:jc w:val="center"/>
              <w:rPr>
                <w:rFonts w:cs="Arial"/>
                <w:sz w:val="20"/>
                <w:szCs w:val="20"/>
              </w:rPr>
            </w:pPr>
            <w:r w:rsidRPr="004F6968">
              <w:rPr>
                <w:rFonts w:cs="Arial"/>
                <w:sz w:val="20"/>
                <w:szCs w:val="20"/>
              </w:rPr>
              <w:t>46 (13)</w:t>
            </w:r>
          </w:p>
        </w:tc>
        <w:tc>
          <w:tcPr>
            <w:tcW w:w="1980" w:type="dxa"/>
            <w:tcBorders>
              <w:top w:val="nil"/>
              <w:bottom w:val="single" w:sz="4" w:space="0" w:color="auto"/>
            </w:tcBorders>
          </w:tcPr>
          <w:p w:rsidR="00405308" w:rsidRPr="004F6968" w:rsidRDefault="00405308" w:rsidP="00B20102">
            <w:pPr>
              <w:autoSpaceDE w:val="0"/>
              <w:autoSpaceDN w:val="0"/>
              <w:adjustRightInd w:val="0"/>
              <w:spacing w:after="0"/>
              <w:jc w:val="center"/>
              <w:rPr>
                <w:rFonts w:cs="Arial"/>
                <w:sz w:val="20"/>
                <w:szCs w:val="20"/>
              </w:rPr>
            </w:pPr>
            <w:r w:rsidRPr="004F6968">
              <w:rPr>
                <w:rFonts w:cs="Arial"/>
                <w:sz w:val="20"/>
                <w:szCs w:val="20"/>
              </w:rPr>
              <w:t>44 (12)</w:t>
            </w:r>
          </w:p>
        </w:tc>
      </w:tr>
      <w:tr w:rsidR="00405308" w:rsidRPr="004F6968" w:rsidTr="00FC74C6">
        <w:trPr>
          <w:trHeight w:val="57"/>
          <w:jc w:val="center"/>
        </w:trPr>
        <w:tc>
          <w:tcPr>
            <w:tcW w:w="4248" w:type="dxa"/>
            <w:tcBorders>
              <w:bottom w:val="nil"/>
            </w:tcBorders>
          </w:tcPr>
          <w:p w:rsidR="00405308" w:rsidRPr="004F6968" w:rsidRDefault="00405308" w:rsidP="00A935A9">
            <w:pPr>
              <w:tabs>
                <w:tab w:val="center" w:pos="1488"/>
              </w:tabs>
              <w:autoSpaceDE w:val="0"/>
              <w:autoSpaceDN w:val="0"/>
              <w:adjustRightInd w:val="0"/>
              <w:spacing w:after="0"/>
              <w:rPr>
                <w:rFonts w:cs="Arial"/>
                <w:sz w:val="20"/>
                <w:szCs w:val="20"/>
              </w:rPr>
            </w:pPr>
            <w:r w:rsidRPr="004F6968">
              <w:rPr>
                <w:rFonts w:cs="Arial"/>
                <w:sz w:val="20"/>
                <w:szCs w:val="20"/>
              </w:rPr>
              <w:lastRenderedPageBreak/>
              <w:t>Prior line therapies n (%)</w:t>
            </w: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autoSpaceDE w:val="0"/>
              <w:autoSpaceDN w:val="0"/>
              <w:adjustRightInd w:val="0"/>
              <w:spacing w:after="0"/>
              <w:jc w:val="center"/>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Median (range)</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 (1, 3)</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 (1,3)</w:t>
            </w: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1</w:t>
            </w:r>
          </w:p>
        </w:tc>
        <w:tc>
          <w:tcPr>
            <w:tcW w:w="1980" w:type="dxa"/>
            <w:tcBorders>
              <w:top w:val="nil"/>
              <w:bottom w:val="nil"/>
            </w:tcBorders>
          </w:tcPr>
          <w:p w:rsidR="00405308" w:rsidRPr="004F6968" w:rsidRDefault="00405308" w:rsidP="00520991">
            <w:pPr>
              <w:autoSpaceDE w:val="0"/>
              <w:autoSpaceDN w:val="0"/>
              <w:adjustRightInd w:val="0"/>
              <w:spacing w:after="0"/>
              <w:jc w:val="center"/>
              <w:rPr>
                <w:rFonts w:cs="Arial"/>
                <w:sz w:val="20"/>
                <w:szCs w:val="20"/>
              </w:rPr>
            </w:pPr>
            <w:r w:rsidRPr="004F6968">
              <w:rPr>
                <w:rFonts w:cs="Arial"/>
                <w:sz w:val="20"/>
                <w:szCs w:val="20"/>
              </w:rPr>
              <w:t>212 (59)</w:t>
            </w:r>
          </w:p>
        </w:tc>
        <w:tc>
          <w:tcPr>
            <w:tcW w:w="1980" w:type="dxa"/>
            <w:tcBorders>
              <w:top w:val="nil"/>
              <w:bottom w:val="nil"/>
            </w:tcBorders>
          </w:tcPr>
          <w:p w:rsidR="00405308" w:rsidRPr="004F6968" w:rsidRDefault="00405308" w:rsidP="00520991">
            <w:pPr>
              <w:autoSpaceDE w:val="0"/>
              <w:autoSpaceDN w:val="0"/>
              <w:adjustRightInd w:val="0"/>
              <w:spacing w:after="0"/>
              <w:jc w:val="center"/>
              <w:rPr>
                <w:rFonts w:cs="Arial"/>
                <w:sz w:val="20"/>
                <w:szCs w:val="20"/>
              </w:rPr>
            </w:pPr>
            <w:r w:rsidRPr="004F6968">
              <w:rPr>
                <w:rFonts w:cs="Arial"/>
                <w:sz w:val="20"/>
                <w:szCs w:val="20"/>
              </w:rPr>
              <w:t>213 (59)</w:t>
            </w:r>
          </w:p>
        </w:tc>
      </w:tr>
      <w:tr w:rsidR="00405308" w:rsidRPr="004F6968" w:rsidTr="00FC74C6">
        <w:trPr>
          <w:trHeight w:val="57"/>
          <w:jc w:val="center"/>
        </w:trPr>
        <w:tc>
          <w:tcPr>
            <w:tcW w:w="4248" w:type="dxa"/>
            <w:tcBorders>
              <w:top w:val="nil"/>
              <w:bottom w:val="single" w:sz="4" w:space="0" w:color="auto"/>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2 or 3</w:t>
            </w:r>
          </w:p>
        </w:tc>
        <w:tc>
          <w:tcPr>
            <w:tcW w:w="1980" w:type="dxa"/>
            <w:tcBorders>
              <w:top w:val="nil"/>
              <w:bottom w:val="single" w:sz="4" w:space="0" w:color="auto"/>
            </w:tcBorders>
          </w:tcPr>
          <w:p w:rsidR="00405308" w:rsidRPr="004F6968" w:rsidRDefault="00405308" w:rsidP="00520991">
            <w:pPr>
              <w:autoSpaceDE w:val="0"/>
              <w:autoSpaceDN w:val="0"/>
              <w:adjustRightInd w:val="0"/>
              <w:spacing w:after="0"/>
              <w:jc w:val="center"/>
              <w:rPr>
                <w:rFonts w:cs="Arial"/>
                <w:sz w:val="20"/>
                <w:szCs w:val="20"/>
              </w:rPr>
            </w:pPr>
            <w:r w:rsidRPr="004F6968">
              <w:rPr>
                <w:rFonts w:cs="Arial"/>
                <w:sz w:val="20"/>
                <w:szCs w:val="20"/>
              </w:rPr>
              <w:t>148 (41)</w:t>
            </w:r>
          </w:p>
        </w:tc>
        <w:tc>
          <w:tcPr>
            <w:tcW w:w="1980" w:type="dxa"/>
            <w:tcBorders>
              <w:top w:val="nil"/>
              <w:bottom w:val="single" w:sz="4" w:space="0" w:color="auto"/>
            </w:tcBorders>
          </w:tcPr>
          <w:p w:rsidR="00405308" w:rsidRPr="004F6968" w:rsidRDefault="00405308" w:rsidP="00520991">
            <w:pPr>
              <w:autoSpaceDE w:val="0"/>
              <w:autoSpaceDN w:val="0"/>
              <w:adjustRightInd w:val="0"/>
              <w:spacing w:after="0"/>
              <w:jc w:val="center"/>
              <w:rPr>
                <w:rFonts w:cs="Arial"/>
                <w:sz w:val="20"/>
                <w:szCs w:val="20"/>
              </w:rPr>
            </w:pPr>
            <w:r w:rsidRPr="004F6968">
              <w:rPr>
                <w:rFonts w:cs="Arial"/>
                <w:sz w:val="20"/>
                <w:szCs w:val="20"/>
              </w:rPr>
              <w:t>149 (41)</w:t>
            </w:r>
          </w:p>
        </w:tc>
      </w:tr>
      <w:tr w:rsidR="00405308" w:rsidRPr="004F6968" w:rsidTr="00FC74C6">
        <w:trPr>
          <w:trHeight w:val="57"/>
          <w:jc w:val="center"/>
        </w:trPr>
        <w:tc>
          <w:tcPr>
            <w:tcW w:w="4248" w:type="dxa"/>
            <w:tcBorders>
              <w:bottom w:val="nil"/>
            </w:tcBorders>
          </w:tcPr>
          <w:p w:rsidR="00405308" w:rsidRPr="004F6968" w:rsidRDefault="00405308" w:rsidP="00A935A9">
            <w:pPr>
              <w:tabs>
                <w:tab w:val="center" w:pos="1488"/>
              </w:tabs>
              <w:autoSpaceDE w:val="0"/>
              <w:autoSpaceDN w:val="0"/>
              <w:adjustRightInd w:val="0"/>
              <w:spacing w:after="0"/>
              <w:rPr>
                <w:rFonts w:cs="Arial"/>
                <w:sz w:val="20"/>
                <w:szCs w:val="20"/>
              </w:rPr>
            </w:pPr>
            <w:r w:rsidRPr="004F6968">
              <w:rPr>
                <w:rFonts w:cs="Arial"/>
                <w:sz w:val="20"/>
                <w:szCs w:val="20"/>
              </w:rPr>
              <w:t>Status at Baseline n (%)</w:t>
            </w: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autoSpaceDE w:val="0"/>
              <w:autoSpaceDN w:val="0"/>
              <w:adjustRightInd w:val="0"/>
              <w:spacing w:after="0"/>
              <w:jc w:val="center"/>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Relapsed</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276 (77)</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280 (77)</w:t>
            </w: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Refractory*</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42 (12)</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40 (11)</w:t>
            </w:r>
          </w:p>
        </w:tc>
      </w:tr>
      <w:tr w:rsidR="00405308" w:rsidRPr="004F6968" w:rsidTr="00FC74C6">
        <w:trPr>
          <w:trHeight w:val="57"/>
          <w:jc w:val="center"/>
        </w:trPr>
        <w:tc>
          <w:tcPr>
            <w:tcW w:w="4248" w:type="dxa"/>
            <w:tcBorders>
              <w:top w:val="nil"/>
              <w:bottom w:val="nil"/>
            </w:tcBorders>
          </w:tcPr>
          <w:p w:rsidR="00405308" w:rsidRPr="004F6968" w:rsidRDefault="00405308" w:rsidP="00A935A9">
            <w:pPr>
              <w:tabs>
                <w:tab w:val="center" w:pos="1488"/>
              </w:tabs>
              <w:autoSpaceDE w:val="0"/>
              <w:autoSpaceDN w:val="0"/>
              <w:adjustRightInd w:val="0"/>
              <w:spacing w:after="0"/>
              <w:ind w:left="720"/>
              <w:rPr>
                <w:rFonts w:cs="Arial"/>
                <w:sz w:val="20"/>
                <w:szCs w:val="20"/>
              </w:rPr>
            </w:pPr>
            <w:r w:rsidRPr="004F6968">
              <w:rPr>
                <w:rFonts w:cs="Arial"/>
                <w:sz w:val="20"/>
                <w:szCs w:val="20"/>
              </w:rPr>
              <w:t>Relapsed and Refractory</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41 (11)</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42 (12)</w:t>
            </w:r>
          </w:p>
        </w:tc>
      </w:tr>
      <w:tr w:rsidR="00405308" w:rsidRPr="004F6968" w:rsidTr="00FC74C6">
        <w:trPr>
          <w:trHeight w:val="57"/>
          <w:jc w:val="center"/>
        </w:trPr>
        <w:tc>
          <w:tcPr>
            <w:tcW w:w="4248" w:type="dxa"/>
            <w:tcBorders>
              <w:bottom w:val="nil"/>
            </w:tcBorders>
          </w:tcPr>
          <w:p w:rsidR="00405308" w:rsidRPr="004F6968" w:rsidRDefault="00405308" w:rsidP="00A935A9">
            <w:pPr>
              <w:autoSpaceDE w:val="0"/>
              <w:autoSpaceDN w:val="0"/>
              <w:adjustRightInd w:val="0"/>
              <w:spacing w:after="0"/>
              <w:rPr>
                <w:rFonts w:cs="Arial"/>
                <w:sz w:val="20"/>
                <w:szCs w:val="20"/>
              </w:rPr>
            </w:pPr>
            <w:r w:rsidRPr="004F6968">
              <w:rPr>
                <w:rFonts w:cs="Arial"/>
                <w:sz w:val="20"/>
                <w:szCs w:val="20"/>
              </w:rPr>
              <w:t>Type of Prior Therapy n (%)</w:t>
            </w: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360"/>
              <w:rPr>
                <w:rFonts w:cs="Arial"/>
                <w:sz w:val="20"/>
                <w:szCs w:val="20"/>
              </w:rPr>
            </w:pPr>
            <w:r w:rsidRPr="004F6968">
              <w:rPr>
                <w:rFonts w:cs="Arial"/>
                <w:sz w:val="20"/>
                <w:szCs w:val="20"/>
              </w:rPr>
              <w:t>Any proteasome inhibitor</w:t>
            </w:r>
            <w:r w:rsidRPr="004F6968">
              <w:rPr>
                <w:rFonts w:cs="Arial"/>
                <w:sz w:val="20"/>
                <w:szCs w:val="20"/>
                <w:vertAlign w:val="superscript"/>
              </w:rPr>
              <w:t>†</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b/>
                <w:sz w:val="20"/>
                <w:szCs w:val="20"/>
              </w:rPr>
            </w:pPr>
            <w:r w:rsidRPr="004F6968">
              <w:rPr>
                <w:rFonts w:cs="Arial"/>
                <w:sz w:val="20"/>
                <w:szCs w:val="20"/>
              </w:rPr>
              <w:t>249 (69)</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b/>
                <w:caps/>
                <w:sz w:val="20"/>
                <w:szCs w:val="20"/>
              </w:rPr>
            </w:pPr>
            <w:r w:rsidRPr="004F6968">
              <w:rPr>
                <w:rFonts w:cs="Arial"/>
                <w:sz w:val="20"/>
                <w:szCs w:val="20"/>
              </w:rPr>
              <w:t>253 (70)</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720"/>
              <w:rPr>
                <w:rFonts w:cs="Arial"/>
                <w:sz w:val="20"/>
                <w:szCs w:val="20"/>
              </w:rPr>
            </w:pPr>
            <w:r w:rsidRPr="004F6968">
              <w:rPr>
                <w:rFonts w:cs="Arial"/>
                <w:sz w:val="20"/>
                <w:szCs w:val="20"/>
              </w:rPr>
              <w:t>Bortezomib containing</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248 (69)</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250 (69)</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720"/>
              <w:rPr>
                <w:rFonts w:cs="Arial"/>
                <w:sz w:val="20"/>
                <w:szCs w:val="20"/>
              </w:rPr>
            </w:pPr>
            <w:r w:rsidRPr="004F6968">
              <w:rPr>
                <w:rFonts w:cs="Arial"/>
                <w:sz w:val="20"/>
                <w:szCs w:val="20"/>
              </w:rPr>
              <w:t>Carfilzomib containing</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 (&lt; 1)</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 (1)</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360"/>
              <w:rPr>
                <w:rFonts w:cs="Arial"/>
                <w:sz w:val="20"/>
                <w:szCs w:val="20"/>
              </w:rPr>
            </w:pPr>
            <w:r w:rsidRPr="004F6968">
              <w:rPr>
                <w:rFonts w:cs="Arial"/>
                <w:sz w:val="20"/>
                <w:szCs w:val="20"/>
              </w:rPr>
              <w:t>Any immunomodulatory agent (</w:t>
            </w:r>
            <w:proofErr w:type="spellStart"/>
            <w:r w:rsidRPr="004F6968">
              <w:rPr>
                <w:rFonts w:cs="Arial"/>
                <w:sz w:val="20"/>
                <w:szCs w:val="20"/>
              </w:rPr>
              <w:t>IMiD</w:t>
            </w:r>
            <w:proofErr w:type="spellEnd"/>
            <w:r w:rsidRPr="004F6968">
              <w:rPr>
                <w:rFonts w:cs="Arial"/>
                <w:sz w:val="20"/>
                <w:szCs w:val="20"/>
              </w:rPr>
              <w:t>)</w:t>
            </w:r>
            <w:r w:rsidRPr="004F6968">
              <w:rPr>
                <w:rFonts w:cs="Arial"/>
                <w:sz w:val="20"/>
                <w:szCs w:val="20"/>
                <w:vertAlign w:val="superscript"/>
              </w:rPr>
              <w:t>†</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193 (54)</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b/>
                <w:caps/>
                <w:sz w:val="20"/>
                <w:szCs w:val="20"/>
              </w:rPr>
            </w:pPr>
            <w:r w:rsidRPr="004F6968">
              <w:rPr>
                <w:rFonts w:cs="Arial"/>
                <w:sz w:val="20"/>
                <w:szCs w:val="20"/>
              </w:rPr>
              <w:t>204 (56)</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720"/>
              <w:rPr>
                <w:rFonts w:cs="Arial"/>
                <w:sz w:val="20"/>
                <w:szCs w:val="20"/>
              </w:rPr>
            </w:pPr>
            <w:r w:rsidRPr="004F6968">
              <w:rPr>
                <w:rFonts w:cs="Arial"/>
                <w:sz w:val="20"/>
                <w:szCs w:val="20"/>
              </w:rPr>
              <w:t>Thalidomide containing</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157 (44)</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170 (47)</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720"/>
              <w:rPr>
                <w:rFonts w:cs="Arial"/>
                <w:sz w:val="20"/>
                <w:szCs w:val="20"/>
              </w:rPr>
            </w:pPr>
            <w:r w:rsidRPr="004F6968">
              <w:rPr>
                <w:rFonts w:cs="Arial"/>
                <w:sz w:val="20"/>
                <w:szCs w:val="20"/>
              </w:rPr>
              <w:t>Lenalidomide containing</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44 (12)</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44 (12)</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360"/>
              <w:rPr>
                <w:rFonts w:cs="Arial"/>
                <w:sz w:val="20"/>
                <w:szCs w:val="20"/>
              </w:rPr>
            </w:pPr>
            <w:proofErr w:type="spellStart"/>
            <w:r w:rsidRPr="004F6968">
              <w:rPr>
                <w:rFonts w:cs="Arial"/>
                <w:sz w:val="20"/>
                <w:szCs w:val="20"/>
              </w:rPr>
              <w:t>Melphalan</w:t>
            </w:r>
            <w:proofErr w:type="spellEnd"/>
            <w:r w:rsidRPr="004F6968">
              <w:rPr>
                <w:rFonts w:cs="Arial"/>
                <w:sz w:val="20"/>
                <w:szCs w:val="20"/>
              </w:rPr>
              <w:t xml:space="preserve"> containing</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293 (81)</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291 (80)</w:t>
            </w:r>
          </w:p>
        </w:tc>
      </w:tr>
      <w:tr w:rsidR="00405308" w:rsidRPr="004F6968" w:rsidTr="00FC74C6">
        <w:trPr>
          <w:trHeight w:val="57"/>
          <w:jc w:val="center"/>
        </w:trPr>
        <w:tc>
          <w:tcPr>
            <w:tcW w:w="4248" w:type="dxa"/>
            <w:tcBorders>
              <w:top w:val="nil"/>
              <w:bottom w:val="single" w:sz="4" w:space="0" w:color="auto"/>
            </w:tcBorders>
          </w:tcPr>
          <w:p w:rsidR="00405308" w:rsidRPr="004F6968" w:rsidRDefault="00405308" w:rsidP="00A935A9">
            <w:pPr>
              <w:autoSpaceDE w:val="0"/>
              <w:autoSpaceDN w:val="0"/>
              <w:adjustRightInd w:val="0"/>
              <w:spacing w:after="0"/>
              <w:ind w:left="360"/>
              <w:rPr>
                <w:rFonts w:cs="Arial"/>
                <w:sz w:val="20"/>
                <w:szCs w:val="20"/>
              </w:rPr>
            </w:pPr>
            <w:r w:rsidRPr="004F6968">
              <w:rPr>
                <w:rFonts w:cs="Arial"/>
                <w:sz w:val="20"/>
                <w:szCs w:val="20"/>
              </w:rPr>
              <w:t>Stem cell transplant</w:t>
            </w:r>
          </w:p>
        </w:tc>
        <w:tc>
          <w:tcPr>
            <w:tcW w:w="1980" w:type="dxa"/>
            <w:tcBorders>
              <w:top w:val="nil"/>
              <w:bottom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212 (59)</w:t>
            </w:r>
          </w:p>
        </w:tc>
        <w:tc>
          <w:tcPr>
            <w:tcW w:w="1980" w:type="dxa"/>
            <w:tcBorders>
              <w:top w:val="nil"/>
              <w:bottom w:val="single" w:sz="4" w:space="0" w:color="auto"/>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199 (55)</w:t>
            </w:r>
          </w:p>
        </w:tc>
      </w:tr>
      <w:tr w:rsidR="00405308" w:rsidRPr="004F6968" w:rsidTr="00FC74C6">
        <w:trPr>
          <w:trHeight w:val="57"/>
          <w:jc w:val="center"/>
        </w:trPr>
        <w:tc>
          <w:tcPr>
            <w:tcW w:w="4248" w:type="dxa"/>
            <w:tcBorders>
              <w:bottom w:val="nil"/>
            </w:tcBorders>
          </w:tcPr>
          <w:p w:rsidR="00405308" w:rsidRPr="004F6968" w:rsidRDefault="00405308" w:rsidP="00A935A9">
            <w:pPr>
              <w:autoSpaceDE w:val="0"/>
              <w:autoSpaceDN w:val="0"/>
              <w:adjustRightInd w:val="0"/>
              <w:spacing w:after="0"/>
              <w:rPr>
                <w:rFonts w:cs="Arial"/>
                <w:sz w:val="20"/>
                <w:szCs w:val="20"/>
              </w:rPr>
            </w:pPr>
            <w:r w:rsidRPr="004F6968">
              <w:rPr>
                <w:rFonts w:cs="Arial"/>
                <w:sz w:val="20"/>
                <w:szCs w:val="20"/>
              </w:rPr>
              <w:t>Cytogenetics</w:t>
            </w: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c>
          <w:tcPr>
            <w:tcW w:w="1980" w:type="dxa"/>
            <w:tcBorders>
              <w:bottom w:val="nil"/>
            </w:tcBorders>
          </w:tcPr>
          <w:p w:rsidR="00405308" w:rsidRPr="004F6968" w:rsidRDefault="00405308" w:rsidP="00A935A9">
            <w:pPr>
              <w:autoSpaceDE w:val="0"/>
              <w:autoSpaceDN w:val="0"/>
              <w:adjustRightInd w:val="0"/>
              <w:spacing w:after="0"/>
              <w:rPr>
                <w:rFonts w:cs="Arial"/>
                <w:sz w:val="20"/>
                <w:szCs w:val="20"/>
              </w:rPr>
            </w:pP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360"/>
              <w:rPr>
                <w:rFonts w:cs="Arial"/>
                <w:sz w:val="20"/>
                <w:szCs w:val="20"/>
              </w:rPr>
            </w:pPr>
            <w:r w:rsidRPr="004F6968">
              <w:rPr>
                <w:rFonts w:cs="Arial"/>
                <w:sz w:val="20"/>
                <w:szCs w:val="20"/>
              </w:rPr>
              <w:t>High risk (deletion del[17], t[4:14] and/or t[14:16]</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75 (21)</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62 (17)</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720"/>
              <w:rPr>
                <w:rFonts w:cs="Arial"/>
                <w:sz w:val="20"/>
                <w:szCs w:val="20"/>
              </w:rPr>
            </w:pPr>
            <w:r w:rsidRPr="004F6968">
              <w:rPr>
                <w:rFonts w:cs="Arial"/>
                <w:sz w:val="20"/>
                <w:szCs w:val="20"/>
              </w:rPr>
              <w:t>del(17)</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36 (10)</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33 (9)</w:t>
            </w:r>
          </w:p>
        </w:tc>
      </w:tr>
      <w:tr w:rsidR="00405308" w:rsidRPr="004F6968" w:rsidTr="00FC74C6">
        <w:trPr>
          <w:trHeight w:val="57"/>
          <w:jc w:val="center"/>
        </w:trPr>
        <w:tc>
          <w:tcPr>
            <w:tcW w:w="4248" w:type="dxa"/>
            <w:tcBorders>
              <w:top w:val="nil"/>
              <w:bottom w:val="nil"/>
            </w:tcBorders>
          </w:tcPr>
          <w:p w:rsidR="00405308" w:rsidRPr="004F6968" w:rsidRDefault="00405308" w:rsidP="00A935A9">
            <w:pPr>
              <w:autoSpaceDE w:val="0"/>
              <w:autoSpaceDN w:val="0"/>
              <w:adjustRightInd w:val="0"/>
              <w:spacing w:after="0"/>
              <w:ind w:left="360"/>
              <w:rPr>
                <w:rFonts w:cs="Arial"/>
                <w:sz w:val="20"/>
                <w:szCs w:val="20"/>
              </w:rPr>
            </w:pPr>
            <w:r w:rsidRPr="004F6968">
              <w:rPr>
                <w:rFonts w:cs="Arial"/>
                <w:sz w:val="20"/>
                <w:szCs w:val="20"/>
              </w:rPr>
              <w:t>Non-high risk</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285 (79)</w:t>
            </w:r>
          </w:p>
        </w:tc>
        <w:tc>
          <w:tcPr>
            <w:tcW w:w="1980" w:type="dxa"/>
            <w:tcBorders>
              <w:top w:val="nil"/>
              <w:bottom w:val="nil"/>
            </w:tcBorders>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300 (83)</w:t>
            </w:r>
          </w:p>
        </w:tc>
      </w:tr>
      <w:tr w:rsidR="00405308" w:rsidRPr="004F6968" w:rsidTr="00FC74C6">
        <w:trPr>
          <w:trHeight w:val="57"/>
          <w:jc w:val="center"/>
        </w:trPr>
        <w:tc>
          <w:tcPr>
            <w:tcW w:w="4248" w:type="dxa"/>
          </w:tcPr>
          <w:p w:rsidR="00405308" w:rsidRPr="004F6968" w:rsidRDefault="00405308" w:rsidP="00A935A9">
            <w:pPr>
              <w:autoSpaceDE w:val="0"/>
              <w:autoSpaceDN w:val="0"/>
              <w:adjustRightInd w:val="0"/>
              <w:spacing w:after="0"/>
              <w:rPr>
                <w:rFonts w:cs="Arial"/>
                <w:sz w:val="20"/>
                <w:szCs w:val="20"/>
              </w:rPr>
            </w:pPr>
            <w:r w:rsidRPr="004F6968">
              <w:rPr>
                <w:rFonts w:cs="Arial"/>
                <w:sz w:val="20"/>
                <w:szCs w:val="20"/>
              </w:rPr>
              <w:t>Lytic bone disease present at study entry</w:t>
            </w:r>
          </w:p>
        </w:tc>
        <w:tc>
          <w:tcPr>
            <w:tcW w:w="1980" w:type="dxa"/>
          </w:tcPr>
          <w:p w:rsidR="00405308" w:rsidRPr="004F6968" w:rsidRDefault="00405308" w:rsidP="00A935A9">
            <w:pPr>
              <w:autoSpaceDE w:val="0"/>
              <w:autoSpaceDN w:val="0"/>
              <w:adjustRightInd w:val="0"/>
              <w:spacing w:after="0"/>
              <w:jc w:val="center"/>
              <w:rPr>
                <w:rFonts w:cs="Arial"/>
                <w:sz w:val="20"/>
                <w:szCs w:val="20"/>
              </w:rPr>
            </w:pPr>
            <w:r w:rsidRPr="004F6968">
              <w:rPr>
                <w:rFonts w:cs="Arial"/>
                <w:bCs/>
                <w:sz w:val="20"/>
                <w:szCs w:val="20"/>
              </w:rPr>
              <w:t>254 (71)</w:t>
            </w:r>
          </w:p>
        </w:tc>
        <w:tc>
          <w:tcPr>
            <w:tcW w:w="1980" w:type="dxa"/>
          </w:tcPr>
          <w:p w:rsidR="00405308" w:rsidRPr="004F6968" w:rsidRDefault="00405308" w:rsidP="00A935A9">
            <w:pPr>
              <w:autoSpaceDE w:val="0"/>
              <w:autoSpaceDN w:val="0"/>
              <w:adjustRightInd w:val="0"/>
              <w:spacing w:after="0"/>
              <w:jc w:val="center"/>
              <w:rPr>
                <w:rFonts w:cs="Arial"/>
                <w:sz w:val="20"/>
                <w:szCs w:val="20"/>
              </w:rPr>
            </w:pPr>
            <w:r w:rsidRPr="004F6968">
              <w:rPr>
                <w:rFonts w:cs="Arial"/>
                <w:sz w:val="20"/>
                <w:szCs w:val="20"/>
              </w:rPr>
              <w:t>249 (69)</w:t>
            </w:r>
          </w:p>
        </w:tc>
      </w:tr>
    </w:tbl>
    <w:p w:rsidR="00405308" w:rsidRPr="00675BB7" w:rsidRDefault="00405308" w:rsidP="009939EA">
      <w:pPr>
        <w:autoSpaceDE w:val="0"/>
        <w:autoSpaceDN w:val="0"/>
        <w:adjustRightInd w:val="0"/>
        <w:spacing w:after="0"/>
        <w:ind w:left="227" w:hanging="142"/>
        <w:rPr>
          <w:rFonts w:cs="Arial"/>
          <w:sz w:val="18"/>
          <w:szCs w:val="18"/>
        </w:rPr>
      </w:pPr>
      <w:r w:rsidRPr="00675BB7">
        <w:rPr>
          <w:rFonts w:cs="Arial"/>
          <w:sz w:val="18"/>
          <w:szCs w:val="18"/>
        </w:rPr>
        <w:t xml:space="preserve">* Primary refractory, defined as best response of stable disease or disease progression on all prior lines of </w:t>
      </w:r>
      <w:proofErr w:type="gramStart"/>
      <w:r w:rsidRPr="00675BB7">
        <w:rPr>
          <w:rFonts w:cs="Arial"/>
          <w:sz w:val="18"/>
          <w:szCs w:val="18"/>
        </w:rPr>
        <w:t>therapy,</w:t>
      </w:r>
      <w:proofErr w:type="gramEnd"/>
      <w:r w:rsidRPr="00675BB7">
        <w:rPr>
          <w:rFonts w:cs="Arial"/>
          <w:sz w:val="18"/>
          <w:szCs w:val="18"/>
        </w:rPr>
        <w:t xml:space="preserve"> was documented in 7% and 6% of patients in the NINLARO regimen and placebo regimens, respectively.</w:t>
      </w:r>
    </w:p>
    <w:p w:rsidR="00405308" w:rsidRPr="00675BB7" w:rsidRDefault="00405308" w:rsidP="009939EA">
      <w:pPr>
        <w:autoSpaceDE w:val="0"/>
        <w:autoSpaceDN w:val="0"/>
        <w:adjustRightInd w:val="0"/>
        <w:spacing w:before="60"/>
        <w:ind w:left="85"/>
        <w:rPr>
          <w:rFonts w:cs="Arial"/>
          <w:sz w:val="18"/>
          <w:szCs w:val="18"/>
        </w:rPr>
      </w:pPr>
      <w:r w:rsidRPr="00675BB7">
        <w:rPr>
          <w:rFonts w:cs="Arial"/>
          <w:sz w:val="18"/>
          <w:szCs w:val="18"/>
          <w:vertAlign w:val="superscript"/>
        </w:rPr>
        <w:t>†</w:t>
      </w:r>
      <w:r w:rsidRPr="00675BB7">
        <w:rPr>
          <w:rFonts w:cs="Arial"/>
          <w:sz w:val="18"/>
          <w:szCs w:val="18"/>
        </w:rPr>
        <w:t>Subject counts once for each type of treatment.</w:t>
      </w:r>
    </w:p>
    <w:p w:rsidR="008D4065" w:rsidRDefault="00405308" w:rsidP="00FC74C6">
      <w:pPr>
        <w:rPr>
          <w:rFonts w:eastAsia="Times New Roman"/>
        </w:rPr>
      </w:pPr>
      <w:r w:rsidRPr="00405308">
        <w:rPr>
          <w:rFonts w:eastAsia="Times New Roman"/>
        </w:rPr>
        <w:t>The primary endpoint was progression-free survival (PFS) according to the 2011 International Myeloma Working Group (IMWG) Consensus Uniform Response Criteria as assessed by a blinded independent review committee (IRC) based on central lab results. Response was assessed every 4 weeks until disease progression. At the first pre-specified analysis (median follow up of 14.7 months and median number of cycles of 13), the NINLARO regimen demonstrated significantly superior results with an improvement in median PFS of approximately 6 months. At this analysis, patients receiving the NINLARO regimen lived significantly longer without their disease worsening compared to patients in the placebo regimen.</w:t>
      </w:r>
      <w:r w:rsidR="00A856FE">
        <w:rPr>
          <w:rFonts w:eastAsia="Times New Roman"/>
        </w:rPr>
        <w:t xml:space="preserve"> </w:t>
      </w:r>
      <w:r w:rsidRPr="00E104BF">
        <w:rPr>
          <w:rFonts w:eastAsia="Times New Roman"/>
        </w:rPr>
        <w:t xml:space="preserve">PFS results are summarized in </w:t>
      </w:r>
      <w:r w:rsidR="00FC33B9" w:rsidRPr="00E104BF">
        <w:fldChar w:fldCharType="begin"/>
      </w:r>
      <w:r w:rsidR="00FC33B9" w:rsidRPr="00E104BF">
        <w:instrText xml:space="preserve"> REF _Ref423599294 \h  \* MERGEFORMAT </w:instrText>
      </w:r>
      <w:r w:rsidR="00FC33B9" w:rsidRPr="00E104BF">
        <w:fldChar w:fldCharType="separate"/>
      </w:r>
      <w:r w:rsidR="00AD0267" w:rsidRPr="00E104BF">
        <w:rPr>
          <w:rFonts w:eastAsia="Times New Roman"/>
        </w:rPr>
        <w:t>Table 2</w:t>
      </w:r>
      <w:r w:rsidR="00FC33B9" w:rsidRPr="00E104BF">
        <w:fldChar w:fldCharType="end"/>
      </w:r>
      <w:r w:rsidRPr="00E104BF">
        <w:rPr>
          <w:rFonts w:eastAsia="Times New Roman"/>
        </w:rPr>
        <w:t>.</w:t>
      </w:r>
    </w:p>
    <w:p w:rsidR="00405308" w:rsidRPr="00AD29F7" w:rsidRDefault="00405308" w:rsidP="00CD4DDA">
      <w:pPr>
        <w:pStyle w:val="Caption"/>
        <w:keepNext/>
        <w:tabs>
          <w:tab w:val="left" w:pos="993"/>
        </w:tabs>
        <w:rPr>
          <w:rFonts w:cs="Arial"/>
          <w:bCs w:val="0"/>
          <w:sz w:val="20"/>
          <w:szCs w:val="20"/>
        </w:rPr>
      </w:pPr>
      <w:bookmarkStart w:id="3" w:name="_Ref423599294"/>
      <w:r w:rsidRPr="00CD4DDA">
        <w:rPr>
          <w:rFonts w:cs="Arial"/>
          <w:bCs w:val="0"/>
          <w:sz w:val="20"/>
          <w:szCs w:val="20"/>
        </w:rPr>
        <w:t xml:space="preserve">Table </w:t>
      </w:r>
      <w:r w:rsidR="006F0259" w:rsidRPr="00CD4DDA">
        <w:rPr>
          <w:rFonts w:cs="Arial"/>
          <w:bCs w:val="0"/>
          <w:sz w:val="20"/>
          <w:szCs w:val="20"/>
        </w:rPr>
        <w:fldChar w:fldCharType="begin"/>
      </w:r>
      <w:r w:rsidRPr="00CD4DDA">
        <w:rPr>
          <w:rFonts w:cs="Arial"/>
          <w:bCs w:val="0"/>
          <w:sz w:val="20"/>
          <w:szCs w:val="20"/>
        </w:rPr>
        <w:instrText xml:space="preserve"> SEQ Table \* ARABIC </w:instrText>
      </w:r>
      <w:r w:rsidR="006F0259" w:rsidRPr="00CD4DDA">
        <w:rPr>
          <w:rFonts w:cs="Arial"/>
          <w:bCs w:val="0"/>
          <w:sz w:val="20"/>
          <w:szCs w:val="20"/>
        </w:rPr>
        <w:fldChar w:fldCharType="separate"/>
      </w:r>
      <w:r w:rsidR="00951FAC">
        <w:rPr>
          <w:rFonts w:cs="Arial"/>
          <w:bCs w:val="0"/>
          <w:noProof/>
          <w:sz w:val="20"/>
          <w:szCs w:val="20"/>
        </w:rPr>
        <w:t>2</w:t>
      </w:r>
      <w:r w:rsidR="006F0259" w:rsidRPr="00CD4DDA">
        <w:rPr>
          <w:rFonts w:cs="Arial"/>
          <w:bCs w:val="0"/>
          <w:sz w:val="20"/>
          <w:szCs w:val="20"/>
        </w:rPr>
        <w:fldChar w:fldCharType="end"/>
      </w:r>
      <w:bookmarkEnd w:id="3"/>
      <w:r w:rsidR="00AD29F7" w:rsidRPr="00CD4DDA">
        <w:rPr>
          <w:rFonts w:cs="Arial"/>
          <w:bCs w:val="0"/>
          <w:sz w:val="20"/>
          <w:szCs w:val="20"/>
        </w:rPr>
        <w:tab/>
      </w:r>
      <w:r w:rsidRPr="00CD4DDA">
        <w:rPr>
          <w:rFonts w:cs="Arial"/>
          <w:bCs w:val="0"/>
          <w:sz w:val="20"/>
          <w:szCs w:val="20"/>
        </w:rPr>
        <w:t>Progression</w:t>
      </w:r>
      <w:r w:rsidRPr="00AD29F7">
        <w:rPr>
          <w:rFonts w:cs="Arial"/>
          <w:bCs w:val="0"/>
          <w:sz w:val="20"/>
          <w:szCs w:val="20"/>
        </w:rPr>
        <w:t xml:space="preserve"> Free Survival Results in Multiple Myeloma Patients Treated with </w:t>
      </w:r>
      <w:r w:rsidR="00CD4DDA">
        <w:rPr>
          <w:rFonts w:cs="Arial"/>
          <w:bCs w:val="0"/>
          <w:sz w:val="20"/>
          <w:szCs w:val="20"/>
        </w:rPr>
        <w:tab/>
      </w:r>
      <w:r w:rsidRPr="00AD29F7">
        <w:rPr>
          <w:rFonts w:cs="Arial"/>
          <w:bCs w:val="0"/>
          <w:sz w:val="20"/>
          <w:szCs w:val="20"/>
        </w:rPr>
        <w:t xml:space="preserve">NINLARO or Placebo in Combination with Lenalidomide and Dexamethasone </w:t>
      </w:r>
      <w:r w:rsidR="00CD4DDA">
        <w:rPr>
          <w:rFonts w:cs="Arial"/>
          <w:bCs w:val="0"/>
          <w:sz w:val="20"/>
          <w:szCs w:val="20"/>
        </w:rPr>
        <w:tab/>
      </w:r>
      <w:r w:rsidRPr="00AD29F7">
        <w:rPr>
          <w:rFonts w:cs="Arial"/>
          <w:bCs w:val="0"/>
          <w:sz w:val="20"/>
          <w:szCs w:val="20"/>
        </w:rPr>
        <w:t>(Intent-to-Treat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094"/>
        <w:gridCol w:w="3094"/>
      </w:tblGrid>
      <w:tr w:rsidR="00405308" w:rsidRPr="00AD29F7" w:rsidTr="00E104BF">
        <w:tc>
          <w:tcPr>
            <w:tcW w:w="3054" w:type="dxa"/>
            <w:tcBorders>
              <w:bottom w:val="single" w:sz="4" w:space="0" w:color="auto"/>
            </w:tcBorders>
          </w:tcPr>
          <w:p w:rsidR="00405308" w:rsidRPr="00AD29F7" w:rsidRDefault="00405308" w:rsidP="00541B05">
            <w:pPr>
              <w:pStyle w:val="TableHeading"/>
            </w:pPr>
          </w:p>
        </w:tc>
        <w:tc>
          <w:tcPr>
            <w:tcW w:w="3094" w:type="dxa"/>
            <w:tcBorders>
              <w:bottom w:val="single" w:sz="4" w:space="0" w:color="auto"/>
            </w:tcBorders>
          </w:tcPr>
          <w:p w:rsidR="00405308" w:rsidRPr="00AD29F7" w:rsidRDefault="00405308" w:rsidP="00541B05">
            <w:pPr>
              <w:pStyle w:val="TableHeading"/>
            </w:pPr>
            <w:r w:rsidRPr="00AD29F7">
              <w:t>NINLARO + Lenalidomide and Dexamethasone</w:t>
            </w:r>
          </w:p>
          <w:p w:rsidR="00405308" w:rsidRPr="00AD29F7" w:rsidRDefault="00405308" w:rsidP="00541B05">
            <w:pPr>
              <w:pStyle w:val="TableHeading"/>
            </w:pPr>
            <w:r w:rsidRPr="00AD29F7">
              <w:t>(N = 360)</w:t>
            </w:r>
          </w:p>
        </w:tc>
        <w:tc>
          <w:tcPr>
            <w:tcW w:w="3094" w:type="dxa"/>
            <w:tcBorders>
              <w:bottom w:val="single" w:sz="4" w:space="0" w:color="auto"/>
            </w:tcBorders>
          </w:tcPr>
          <w:p w:rsidR="00405308" w:rsidRPr="00AD29F7" w:rsidRDefault="00405308" w:rsidP="00541B05">
            <w:pPr>
              <w:pStyle w:val="TableHeading"/>
            </w:pPr>
            <w:r w:rsidRPr="00AD29F7">
              <w:t>Placebo + Lenalidomide and Dexamethasone</w:t>
            </w:r>
          </w:p>
          <w:p w:rsidR="00405308" w:rsidRPr="00AD29F7" w:rsidRDefault="00405308" w:rsidP="00541B05">
            <w:pPr>
              <w:pStyle w:val="TableHeading"/>
            </w:pPr>
            <w:r w:rsidRPr="00AD29F7">
              <w:t>(N = 362)</w:t>
            </w:r>
          </w:p>
        </w:tc>
      </w:tr>
      <w:tr w:rsidR="00F01F97" w:rsidRPr="00AD29F7" w:rsidTr="00E104BF">
        <w:tc>
          <w:tcPr>
            <w:tcW w:w="3054" w:type="dxa"/>
            <w:tcBorders>
              <w:right w:val="nil"/>
            </w:tcBorders>
          </w:tcPr>
          <w:p w:rsidR="00F01F97" w:rsidRPr="00E104BF" w:rsidRDefault="00F01F97" w:rsidP="00307A5E">
            <w:pPr>
              <w:autoSpaceDE w:val="0"/>
              <w:autoSpaceDN w:val="0"/>
              <w:adjustRightInd w:val="0"/>
              <w:spacing w:after="0"/>
              <w:rPr>
                <w:rFonts w:cs="Arial"/>
                <w:b/>
                <w:sz w:val="20"/>
                <w:szCs w:val="20"/>
              </w:rPr>
            </w:pPr>
            <w:r w:rsidRPr="00E104BF">
              <w:rPr>
                <w:rFonts w:cs="Arial"/>
                <w:b/>
                <w:sz w:val="20"/>
                <w:szCs w:val="20"/>
              </w:rPr>
              <w:t>Progression-free Survival</w:t>
            </w:r>
          </w:p>
        </w:tc>
        <w:tc>
          <w:tcPr>
            <w:tcW w:w="3094" w:type="dxa"/>
            <w:tcBorders>
              <w:left w:val="nil"/>
              <w:right w:val="nil"/>
            </w:tcBorders>
            <w:vAlign w:val="center"/>
          </w:tcPr>
          <w:p w:rsidR="00F01F97" w:rsidRPr="00AD29F7" w:rsidRDefault="00F01F97" w:rsidP="00307A5E">
            <w:pPr>
              <w:autoSpaceDE w:val="0"/>
              <w:autoSpaceDN w:val="0"/>
              <w:adjustRightInd w:val="0"/>
              <w:spacing w:after="0"/>
              <w:jc w:val="center"/>
              <w:rPr>
                <w:rFonts w:cs="Arial"/>
                <w:sz w:val="20"/>
                <w:szCs w:val="20"/>
              </w:rPr>
            </w:pPr>
          </w:p>
        </w:tc>
        <w:tc>
          <w:tcPr>
            <w:tcW w:w="3094" w:type="dxa"/>
            <w:tcBorders>
              <w:left w:val="nil"/>
            </w:tcBorders>
            <w:vAlign w:val="center"/>
          </w:tcPr>
          <w:p w:rsidR="00F01F97" w:rsidRPr="00AD29F7" w:rsidRDefault="00F01F97" w:rsidP="00307A5E">
            <w:pPr>
              <w:autoSpaceDE w:val="0"/>
              <w:autoSpaceDN w:val="0"/>
              <w:adjustRightInd w:val="0"/>
              <w:spacing w:after="0"/>
              <w:jc w:val="center"/>
              <w:rPr>
                <w:rFonts w:cs="Arial"/>
                <w:sz w:val="20"/>
                <w:szCs w:val="20"/>
              </w:rPr>
            </w:pPr>
          </w:p>
        </w:tc>
      </w:tr>
      <w:tr w:rsidR="00405308" w:rsidRPr="00AD29F7" w:rsidTr="00405308">
        <w:tc>
          <w:tcPr>
            <w:tcW w:w="3054" w:type="dxa"/>
          </w:tcPr>
          <w:p w:rsidR="00405308" w:rsidRPr="00AD29F7" w:rsidRDefault="00405308" w:rsidP="00307A5E">
            <w:pPr>
              <w:autoSpaceDE w:val="0"/>
              <w:autoSpaceDN w:val="0"/>
              <w:adjustRightInd w:val="0"/>
              <w:spacing w:after="0"/>
              <w:rPr>
                <w:rFonts w:cs="Arial"/>
                <w:sz w:val="20"/>
                <w:szCs w:val="20"/>
              </w:rPr>
            </w:pPr>
            <w:r w:rsidRPr="00AD29F7">
              <w:rPr>
                <w:rFonts w:cs="Arial"/>
                <w:sz w:val="20"/>
                <w:szCs w:val="20"/>
              </w:rPr>
              <w:lastRenderedPageBreak/>
              <w:t>Events, n (%)</w:t>
            </w:r>
          </w:p>
        </w:tc>
        <w:tc>
          <w:tcPr>
            <w:tcW w:w="3094" w:type="dxa"/>
            <w:vAlign w:val="center"/>
          </w:tcPr>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129 (36)</w:t>
            </w:r>
          </w:p>
        </w:tc>
        <w:tc>
          <w:tcPr>
            <w:tcW w:w="3094" w:type="dxa"/>
            <w:vAlign w:val="center"/>
          </w:tcPr>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157 (43)</w:t>
            </w:r>
          </w:p>
        </w:tc>
      </w:tr>
      <w:tr w:rsidR="00405308" w:rsidRPr="00AD29F7" w:rsidTr="00405308">
        <w:tc>
          <w:tcPr>
            <w:tcW w:w="3054" w:type="dxa"/>
          </w:tcPr>
          <w:p w:rsidR="00405308" w:rsidRPr="00AD29F7" w:rsidRDefault="00405308" w:rsidP="00307A5E">
            <w:pPr>
              <w:autoSpaceDE w:val="0"/>
              <w:autoSpaceDN w:val="0"/>
              <w:adjustRightInd w:val="0"/>
              <w:spacing w:after="0"/>
              <w:rPr>
                <w:rFonts w:cs="Arial"/>
                <w:sz w:val="20"/>
                <w:szCs w:val="20"/>
              </w:rPr>
            </w:pPr>
            <w:r w:rsidRPr="00AD29F7">
              <w:rPr>
                <w:rFonts w:cs="Arial"/>
                <w:sz w:val="20"/>
                <w:szCs w:val="20"/>
              </w:rPr>
              <w:t>Median (months)</w:t>
            </w:r>
          </w:p>
        </w:tc>
        <w:tc>
          <w:tcPr>
            <w:tcW w:w="3094" w:type="dxa"/>
          </w:tcPr>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20.6</w:t>
            </w:r>
          </w:p>
        </w:tc>
        <w:tc>
          <w:tcPr>
            <w:tcW w:w="3094" w:type="dxa"/>
          </w:tcPr>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14.7</w:t>
            </w:r>
          </w:p>
        </w:tc>
      </w:tr>
      <w:tr w:rsidR="00405308" w:rsidRPr="00AD29F7" w:rsidTr="00405308">
        <w:tc>
          <w:tcPr>
            <w:tcW w:w="3054" w:type="dxa"/>
          </w:tcPr>
          <w:p w:rsidR="00405308" w:rsidRPr="00AD29F7" w:rsidRDefault="00405308" w:rsidP="00307A5E">
            <w:pPr>
              <w:autoSpaceDE w:val="0"/>
              <w:autoSpaceDN w:val="0"/>
              <w:adjustRightInd w:val="0"/>
              <w:spacing w:after="0"/>
              <w:rPr>
                <w:rFonts w:cs="Arial"/>
                <w:sz w:val="20"/>
                <w:szCs w:val="20"/>
              </w:rPr>
            </w:pPr>
            <w:r w:rsidRPr="00AD29F7">
              <w:rPr>
                <w:rFonts w:cs="Arial"/>
                <w:sz w:val="20"/>
                <w:szCs w:val="20"/>
              </w:rPr>
              <w:t>Hazard Ratio</w:t>
            </w:r>
            <w:r w:rsidR="00E10679" w:rsidRPr="00AD29F7">
              <w:rPr>
                <w:rFonts w:cs="Arial"/>
                <w:sz w:val="20"/>
                <w:szCs w:val="20"/>
              </w:rPr>
              <w:t>*</w:t>
            </w:r>
          </w:p>
          <w:p w:rsidR="00405308" w:rsidRPr="00AD29F7" w:rsidRDefault="00405308" w:rsidP="00307A5E">
            <w:pPr>
              <w:autoSpaceDE w:val="0"/>
              <w:autoSpaceDN w:val="0"/>
              <w:adjustRightInd w:val="0"/>
              <w:spacing w:after="0"/>
              <w:rPr>
                <w:rFonts w:cs="Arial"/>
                <w:sz w:val="20"/>
                <w:szCs w:val="20"/>
              </w:rPr>
            </w:pPr>
            <w:r w:rsidRPr="00AD29F7">
              <w:rPr>
                <w:rFonts w:cs="Arial"/>
                <w:sz w:val="20"/>
                <w:szCs w:val="20"/>
              </w:rPr>
              <w:t>(95% CI)</w:t>
            </w:r>
          </w:p>
        </w:tc>
        <w:tc>
          <w:tcPr>
            <w:tcW w:w="6188" w:type="dxa"/>
            <w:gridSpan w:val="2"/>
          </w:tcPr>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0.74</w:t>
            </w:r>
          </w:p>
          <w:p w:rsidR="00405308" w:rsidRPr="00AD29F7" w:rsidRDefault="00405308" w:rsidP="00307A5E">
            <w:pPr>
              <w:autoSpaceDE w:val="0"/>
              <w:autoSpaceDN w:val="0"/>
              <w:adjustRightInd w:val="0"/>
              <w:spacing w:after="0"/>
              <w:jc w:val="center"/>
              <w:rPr>
                <w:rFonts w:cs="Arial"/>
                <w:sz w:val="20"/>
                <w:szCs w:val="20"/>
              </w:rPr>
            </w:pPr>
            <w:r w:rsidRPr="00AD29F7">
              <w:rPr>
                <w:rFonts w:cs="Arial"/>
                <w:sz w:val="20"/>
                <w:szCs w:val="20"/>
              </w:rPr>
              <w:t>(0.587, 0.939)</w:t>
            </w:r>
          </w:p>
        </w:tc>
      </w:tr>
      <w:tr w:rsidR="00A83ACB" w:rsidRPr="00AD29F7" w:rsidTr="00E104BF">
        <w:tc>
          <w:tcPr>
            <w:tcW w:w="3054" w:type="dxa"/>
            <w:tcBorders>
              <w:top w:val="single" w:sz="4" w:space="0" w:color="auto"/>
              <w:left w:val="single" w:sz="4" w:space="0" w:color="auto"/>
              <w:bottom w:val="single" w:sz="4" w:space="0" w:color="auto"/>
              <w:right w:val="single" w:sz="4" w:space="0" w:color="auto"/>
            </w:tcBorders>
          </w:tcPr>
          <w:p w:rsidR="00A83ACB" w:rsidRPr="00AD29F7" w:rsidRDefault="00A83ACB" w:rsidP="00E10679">
            <w:pPr>
              <w:autoSpaceDE w:val="0"/>
              <w:autoSpaceDN w:val="0"/>
              <w:adjustRightInd w:val="0"/>
              <w:spacing w:after="0"/>
              <w:rPr>
                <w:rFonts w:cs="Arial"/>
                <w:sz w:val="20"/>
                <w:szCs w:val="20"/>
              </w:rPr>
            </w:pPr>
            <w:r w:rsidRPr="00AD29F7">
              <w:rPr>
                <w:rFonts w:cs="Arial"/>
                <w:sz w:val="20"/>
                <w:szCs w:val="20"/>
              </w:rPr>
              <w:t>p-value</w:t>
            </w:r>
            <w:r w:rsidR="00E10679" w:rsidRPr="00AD29F7">
              <w:rPr>
                <w:rFonts w:cs="Arial"/>
                <w:sz w:val="20"/>
                <w:szCs w:val="20"/>
                <w:vertAlign w:val="superscript"/>
              </w:rPr>
              <w:t>†</w:t>
            </w:r>
          </w:p>
        </w:tc>
        <w:tc>
          <w:tcPr>
            <w:tcW w:w="6188" w:type="dxa"/>
            <w:gridSpan w:val="2"/>
            <w:tcBorders>
              <w:top w:val="single" w:sz="4" w:space="0" w:color="auto"/>
              <w:left w:val="single" w:sz="4" w:space="0" w:color="auto"/>
              <w:bottom w:val="single" w:sz="4" w:space="0" w:color="auto"/>
              <w:right w:val="single" w:sz="4" w:space="0" w:color="auto"/>
            </w:tcBorders>
          </w:tcPr>
          <w:p w:rsidR="00A83ACB" w:rsidRPr="00AD29F7" w:rsidRDefault="00A83ACB" w:rsidP="00A83ACB">
            <w:pPr>
              <w:autoSpaceDE w:val="0"/>
              <w:autoSpaceDN w:val="0"/>
              <w:adjustRightInd w:val="0"/>
              <w:spacing w:after="0"/>
              <w:jc w:val="center"/>
              <w:rPr>
                <w:rFonts w:cs="Arial"/>
                <w:sz w:val="20"/>
                <w:szCs w:val="20"/>
              </w:rPr>
            </w:pPr>
            <w:r w:rsidRPr="00A83ACB">
              <w:rPr>
                <w:rFonts w:cs="Arial"/>
                <w:sz w:val="20"/>
                <w:szCs w:val="20"/>
              </w:rPr>
              <w:t>0.012</w:t>
            </w:r>
          </w:p>
        </w:tc>
      </w:tr>
      <w:tr w:rsidR="00F01F97" w:rsidRPr="00AD29F7" w:rsidTr="00E104BF">
        <w:tc>
          <w:tcPr>
            <w:tcW w:w="3054" w:type="dxa"/>
            <w:tcBorders>
              <w:top w:val="single" w:sz="4" w:space="0" w:color="auto"/>
              <w:left w:val="single" w:sz="4" w:space="0" w:color="auto"/>
              <w:bottom w:val="single" w:sz="4" w:space="0" w:color="auto"/>
              <w:right w:val="nil"/>
            </w:tcBorders>
          </w:tcPr>
          <w:p w:rsidR="00F01F97" w:rsidRPr="00E104BF" w:rsidRDefault="00F01F97" w:rsidP="00A83ACB">
            <w:pPr>
              <w:autoSpaceDE w:val="0"/>
              <w:autoSpaceDN w:val="0"/>
              <w:adjustRightInd w:val="0"/>
              <w:spacing w:after="0"/>
              <w:rPr>
                <w:rFonts w:cs="Arial"/>
                <w:b/>
                <w:sz w:val="20"/>
                <w:szCs w:val="20"/>
              </w:rPr>
            </w:pPr>
            <w:r w:rsidRPr="00E104BF">
              <w:rPr>
                <w:rFonts w:cs="Arial"/>
                <w:b/>
                <w:sz w:val="20"/>
                <w:szCs w:val="20"/>
              </w:rPr>
              <w:t>Response rate</w:t>
            </w:r>
          </w:p>
        </w:tc>
        <w:tc>
          <w:tcPr>
            <w:tcW w:w="6188" w:type="dxa"/>
            <w:gridSpan w:val="2"/>
            <w:tcBorders>
              <w:top w:val="single" w:sz="4" w:space="0" w:color="auto"/>
              <w:left w:val="nil"/>
              <w:bottom w:val="single" w:sz="4" w:space="0" w:color="auto"/>
              <w:right w:val="single" w:sz="4" w:space="0" w:color="auto"/>
            </w:tcBorders>
          </w:tcPr>
          <w:p w:rsidR="00F01F97" w:rsidRPr="00A83ACB" w:rsidRDefault="00F01F97" w:rsidP="00A83ACB">
            <w:pPr>
              <w:autoSpaceDE w:val="0"/>
              <w:autoSpaceDN w:val="0"/>
              <w:adjustRightInd w:val="0"/>
              <w:spacing w:after="0"/>
              <w:jc w:val="center"/>
              <w:rPr>
                <w:rFonts w:cs="Arial"/>
                <w:sz w:val="20"/>
                <w:szCs w:val="20"/>
              </w:rPr>
            </w:pPr>
          </w:p>
        </w:tc>
      </w:tr>
      <w:tr w:rsidR="00F01F97" w:rsidRPr="00AD29F7" w:rsidTr="0023442A">
        <w:tc>
          <w:tcPr>
            <w:tcW w:w="3054" w:type="dxa"/>
          </w:tcPr>
          <w:p w:rsidR="00F01F97" w:rsidRPr="00AD29F7" w:rsidRDefault="00F01F97" w:rsidP="00E10679">
            <w:pPr>
              <w:autoSpaceDE w:val="0"/>
              <w:autoSpaceDN w:val="0"/>
              <w:adjustRightInd w:val="0"/>
              <w:spacing w:after="0"/>
              <w:rPr>
                <w:rFonts w:cs="Arial"/>
                <w:sz w:val="20"/>
                <w:szCs w:val="20"/>
              </w:rPr>
            </w:pPr>
            <w:r w:rsidRPr="00B43C81">
              <w:rPr>
                <w:rFonts w:cs="Arial"/>
                <w:sz w:val="20"/>
                <w:szCs w:val="20"/>
              </w:rPr>
              <w:t>Overall Response Rate</w:t>
            </w:r>
            <w:bookmarkStart w:id="4" w:name="footnote-14"/>
            <w:r w:rsidR="00E10679">
              <w:rPr>
                <w:vertAlign w:val="superscript"/>
              </w:rPr>
              <w:t>‡</w:t>
            </w:r>
            <w:bookmarkEnd w:id="4"/>
            <w:r w:rsidRPr="00B43C81">
              <w:rPr>
                <w:rFonts w:cs="Arial"/>
                <w:sz w:val="20"/>
                <w:szCs w:val="20"/>
              </w:rPr>
              <w:t>, n (%)</w:t>
            </w:r>
          </w:p>
        </w:tc>
        <w:tc>
          <w:tcPr>
            <w:tcW w:w="3094" w:type="dxa"/>
          </w:tcPr>
          <w:p w:rsidR="00F01F97" w:rsidRPr="00AD29F7" w:rsidRDefault="00F01F97" w:rsidP="0023442A">
            <w:pPr>
              <w:autoSpaceDE w:val="0"/>
              <w:autoSpaceDN w:val="0"/>
              <w:adjustRightInd w:val="0"/>
              <w:spacing w:after="0"/>
              <w:jc w:val="center"/>
              <w:rPr>
                <w:rFonts w:cs="Arial"/>
                <w:sz w:val="20"/>
                <w:szCs w:val="20"/>
              </w:rPr>
            </w:pPr>
            <w:r w:rsidRPr="00B43C81">
              <w:rPr>
                <w:rFonts w:cs="Arial"/>
                <w:sz w:val="20"/>
                <w:szCs w:val="20"/>
              </w:rPr>
              <w:t>282 (78.3)</w:t>
            </w:r>
          </w:p>
        </w:tc>
        <w:tc>
          <w:tcPr>
            <w:tcW w:w="3094" w:type="dxa"/>
          </w:tcPr>
          <w:p w:rsidR="00F01F97" w:rsidRPr="00AD29F7" w:rsidRDefault="00F01F97" w:rsidP="0023442A">
            <w:pPr>
              <w:autoSpaceDE w:val="0"/>
              <w:autoSpaceDN w:val="0"/>
              <w:adjustRightInd w:val="0"/>
              <w:spacing w:after="0"/>
              <w:jc w:val="center"/>
              <w:rPr>
                <w:rFonts w:cs="Arial"/>
                <w:sz w:val="20"/>
                <w:szCs w:val="20"/>
              </w:rPr>
            </w:pPr>
            <w:r w:rsidRPr="00B43C81">
              <w:rPr>
                <w:rFonts w:cs="Arial"/>
                <w:sz w:val="20"/>
                <w:szCs w:val="20"/>
              </w:rPr>
              <w:t>259 (71.5)</w:t>
            </w:r>
          </w:p>
        </w:tc>
      </w:tr>
      <w:tr w:rsidR="00F01F97" w:rsidRPr="00AD29F7" w:rsidTr="0023442A">
        <w:tc>
          <w:tcPr>
            <w:tcW w:w="3054" w:type="dxa"/>
          </w:tcPr>
          <w:p w:rsidR="00F01F97" w:rsidRPr="00B43C81" w:rsidRDefault="00F01F97" w:rsidP="00E104BF">
            <w:pPr>
              <w:autoSpaceDE w:val="0"/>
              <w:autoSpaceDN w:val="0"/>
              <w:adjustRightInd w:val="0"/>
              <w:spacing w:after="0"/>
              <w:ind w:left="284"/>
              <w:rPr>
                <w:rFonts w:cs="Arial"/>
                <w:sz w:val="20"/>
                <w:szCs w:val="20"/>
              </w:rPr>
            </w:pPr>
            <w:r>
              <w:rPr>
                <w:rFonts w:cs="Arial"/>
                <w:sz w:val="20"/>
                <w:szCs w:val="20"/>
              </w:rPr>
              <w:t xml:space="preserve">Complete Response </w:t>
            </w:r>
          </w:p>
        </w:tc>
        <w:tc>
          <w:tcPr>
            <w:tcW w:w="3094" w:type="dxa"/>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42 (11.7)</w:t>
            </w:r>
          </w:p>
        </w:tc>
        <w:tc>
          <w:tcPr>
            <w:tcW w:w="3094" w:type="dxa"/>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24 (6.6)</w:t>
            </w:r>
          </w:p>
        </w:tc>
      </w:tr>
      <w:tr w:rsidR="00F01F97" w:rsidRPr="00AD29F7" w:rsidTr="0023442A">
        <w:tc>
          <w:tcPr>
            <w:tcW w:w="3054" w:type="dxa"/>
          </w:tcPr>
          <w:p w:rsidR="00F01F97" w:rsidRPr="00B43C81" w:rsidRDefault="00F01F97" w:rsidP="00E104BF">
            <w:pPr>
              <w:autoSpaceDE w:val="0"/>
              <w:autoSpaceDN w:val="0"/>
              <w:adjustRightInd w:val="0"/>
              <w:spacing w:after="0"/>
              <w:ind w:left="284"/>
              <w:rPr>
                <w:rFonts w:cs="Arial"/>
                <w:sz w:val="20"/>
                <w:szCs w:val="20"/>
              </w:rPr>
            </w:pPr>
            <w:r w:rsidRPr="00B43C81">
              <w:rPr>
                <w:rFonts w:cs="Arial"/>
                <w:sz w:val="20"/>
                <w:szCs w:val="20"/>
              </w:rPr>
              <w:t>Very Good Partial Response</w:t>
            </w:r>
          </w:p>
        </w:tc>
        <w:tc>
          <w:tcPr>
            <w:tcW w:w="3094" w:type="dxa"/>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131 (36.4)</w:t>
            </w:r>
          </w:p>
        </w:tc>
        <w:tc>
          <w:tcPr>
            <w:tcW w:w="3094" w:type="dxa"/>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117 (32.3)</w:t>
            </w:r>
          </w:p>
        </w:tc>
      </w:tr>
      <w:tr w:rsidR="00F01F97" w:rsidRPr="00AD29F7" w:rsidTr="00E104BF">
        <w:tc>
          <w:tcPr>
            <w:tcW w:w="3054" w:type="dxa"/>
            <w:tcBorders>
              <w:bottom w:val="single" w:sz="4" w:space="0" w:color="auto"/>
            </w:tcBorders>
          </w:tcPr>
          <w:p w:rsidR="00F01F97" w:rsidRPr="00B43C81" w:rsidRDefault="00F01F97" w:rsidP="00F01F97">
            <w:pPr>
              <w:autoSpaceDE w:val="0"/>
              <w:autoSpaceDN w:val="0"/>
              <w:adjustRightInd w:val="0"/>
              <w:spacing w:after="0"/>
              <w:ind w:left="284"/>
              <w:rPr>
                <w:rFonts w:cs="Arial"/>
                <w:sz w:val="20"/>
                <w:szCs w:val="20"/>
              </w:rPr>
            </w:pPr>
            <w:r w:rsidRPr="00B43C81">
              <w:rPr>
                <w:rFonts w:cs="Arial"/>
                <w:sz w:val="20"/>
                <w:szCs w:val="20"/>
              </w:rPr>
              <w:t>Partial Response</w:t>
            </w:r>
          </w:p>
        </w:tc>
        <w:tc>
          <w:tcPr>
            <w:tcW w:w="3094" w:type="dxa"/>
            <w:tcBorders>
              <w:bottom w:val="single" w:sz="4" w:space="0" w:color="auto"/>
            </w:tcBorders>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109 (30.3)</w:t>
            </w:r>
          </w:p>
        </w:tc>
        <w:tc>
          <w:tcPr>
            <w:tcW w:w="3094" w:type="dxa"/>
            <w:tcBorders>
              <w:bottom w:val="single" w:sz="4" w:space="0" w:color="auto"/>
            </w:tcBorders>
          </w:tcPr>
          <w:p w:rsidR="00F01F97" w:rsidRPr="00B43C81" w:rsidRDefault="00F01F97" w:rsidP="0023442A">
            <w:pPr>
              <w:autoSpaceDE w:val="0"/>
              <w:autoSpaceDN w:val="0"/>
              <w:adjustRightInd w:val="0"/>
              <w:spacing w:after="0"/>
              <w:jc w:val="center"/>
              <w:rPr>
                <w:rFonts w:cs="Arial"/>
                <w:sz w:val="20"/>
                <w:szCs w:val="20"/>
              </w:rPr>
            </w:pPr>
            <w:r w:rsidRPr="00B43C81">
              <w:rPr>
                <w:rFonts w:cs="Arial"/>
                <w:sz w:val="20"/>
                <w:szCs w:val="20"/>
              </w:rPr>
              <w:t>118 (32.6)</w:t>
            </w:r>
          </w:p>
        </w:tc>
      </w:tr>
      <w:tr w:rsidR="00F01F97" w:rsidRPr="00F01F97" w:rsidTr="00E104BF">
        <w:tc>
          <w:tcPr>
            <w:tcW w:w="3054" w:type="dxa"/>
            <w:tcBorders>
              <w:right w:val="nil"/>
            </w:tcBorders>
          </w:tcPr>
          <w:p w:rsidR="00F01F97" w:rsidRPr="00E104BF" w:rsidRDefault="00F01F97" w:rsidP="00E104BF">
            <w:pPr>
              <w:autoSpaceDE w:val="0"/>
              <w:autoSpaceDN w:val="0"/>
              <w:adjustRightInd w:val="0"/>
              <w:spacing w:after="0"/>
              <w:rPr>
                <w:rFonts w:cs="Arial"/>
                <w:b/>
                <w:sz w:val="20"/>
                <w:szCs w:val="20"/>
              </w:rPr>
            </w:pPr>
            <w:r w:rsidRPr="00E104BF">
              <w:rPr>
                <w:rFonts w:cs="Arial"/>
                <w:b/>
                <w:sz w:val="20"/>
                <w:szCs w:val="20"/>
              </w:rPr>
              <w:t>Time to Response, months</w:t>
            </w:r>
          </w:p>
        </w:tc>
        <w:tc>
          <w:tcPr>
            <w:tcW w:w="3094" w:type="dxa"/>
            <w:tcBorders>
              <w:left w:val="nil"/>
              <w:right w:val="nil"/>
            </w:tcBorders>
          </w:tcPr>
          <w:p w:rsidR="00F01F97" w:rsidRPr="00E104BF" w:rsidRDefault="00F01F97" w:rsidP="00E104BF">
            <w:pPr>
              <w:autoSpaceDE w:val="0"/>
              <w:autoSpaceDN w:val="0"/>
              <w:adjustRightInd w:val="0"/>
              <w:spacing w:after="0"/>
              <w:rPr>
                <w:rFonts w:cs="Arial"/>
                <w:b/>
                <w:sz w:val="20"/>
                <w:szCs w:val="20"/>
              </w:rPr>
            </w:pPr>
          </w:p>
        </w:tc>
        <w:tc>
          <w:tcPr>
            <w:tcW w:w="3094" w:type="dxa"/>
            <w:tcBorders>
              <w:left w:val="nil"/>
            </w:tcBorders>
          </w:tcPr>
          <w:p w:rsidR="00F01F97" w:rsidRPr="00E104BF" w:rsidRDefault="00F01F97" w:rsidP="00E104BF">
            <w:pPr>
              <w:autoSpaceDE w:val="0"/>
              <w:autoSpaceDN w:val="0"/>
              <w:adjustRightInd w:val="0"/>
              <w:spacing w:after="0"/>
              <w:rPr>
                <w:rFonts w:cs="Arial"/>
                <w:b/>
                <w:sz w:val="20"/>
                <w:szCs w:val="20"/>
              </w:rPr>
            </w:pPr>
          </w:p>
        </w:tc>
      </w:tr>
      <w:tr w:rsidR="007453AE" w:rsidRPr="00AD29F7" w:rsidTr="0023442A">
        <w:tc>
          <w:tcPr>
            <w:tcW w:w="3054" w:type="dxa"/>
          </w:tcPr>
          <w:p w:rsidR="007453AE" w:rsidRPr="00B43C81" w:rsidRDefault="007453AE" w:rsidP="0023442A">
            <w:pPr>
              <w:autoSpaceDE w:val="0"/>
              <w:autoSpaceDN w:val="0"/>
              <w:adjustRightInd w:val="0"/>
              <w:spacing w:after="0"/>
              <w:ind w:left="284"/>
              <w:rPr>
                <w:rFonts w:cs="Arial"/>
                <w:sz w:val="20"/>
                <w:szCs w:val="20"/>
              </w:rPr>
            </w:pPr>
            <w:r w:rsidRPr="00B43C81">
              <w:rPr>
                <w:rFonts w:cs="Arial"/>
                <w:sz w:val="20"/>
                <w:szCs w:val="20"/>
              </w:rPr>
              <w:t>Median</w:t>
            </w:r>
          </w:p>
        </w:tc>
        <w:tc>
          <w:tcPr>
            <w:tcW w:w="3094" w:type="dxa"/>
          </w:tcPr>
          <w:p w:rsidR="007453AE" w:rsidRPr="00B43C81" w:rsidRDefault="007453AE" w:rsidP="0023442A">
            <w:pPr>
              <w:autoSpaceDE w:val="0"/>
              <w:autoSpaceDN w:val="0"/>
              <w:adjustRightInd w:val="0"/>
              <w:spacing w:after="0"/>
              <w:jc w:val="center"/>
              <w:rPr>
                <w:rFonts w:cs="Arial"/>
                <w:sz w:val="20"/>
                <w:szCs w:val="20"/>
              </w:rPr>
            </w:pPr>
            <w:r w:rsidRPr="00B43C81">
              <w:rPr>
                <w:rFonts w:cs="Arial"/>
                <w:sz w:val="20"/>
                <w:szCs w:val="20"/>
              </w:rPr>
              <w:t>1.</w:t>
            </w:r>
            <w:r>
              <w:rPr>
                <w:rFonts w:cs="Arial"/>
                <w:sz w:val="20"/>
                <w:szCs w:val="20"/>
              </w:rPr>
              <w:t>1</w:t>
            </w:r>
          </w:p>
        </w:tc>
        <w:tc>
          <w:tcPr>
            <w:tcW w:w="3094" w:type="dxa"/>
          </w:tcPr>
          <w:p w:rsidR="007453AE" w:rsidRPr="00B43C81" w:rsidRDefault="007453AE" w:rsidP="0023442A">
            <w:pPr>
              <w:autoSpaceDE w:val="0"/>
              <w:autoSpaceDN w:val="0"/>
              <w:adjustRightInd w:val="0"/>
              <w:spacing w:after="0"/>
              <w:jc w:val="center"/>
              <w:rPr>
                <w:rFonts w:cs="Arial"/>
                <w:sz w:val="20"/>
                <w:szCs w:val="20"/>
              </w:rPr>
            </w:pPr>
            <w:r w:rsidRPr="00B43C81">
              <w:rPr>
                <w:rFonts w:cs="Arial"/>
                <w:sz w:val="20"/>
                <w:szCs w:val="20"/>
              </w:rPr>
              <w:t>1.9</w:t>
            </w:r>
          </w:p>
        </w:tc>
      </w:tr>
      <w:tr w:rsidR="007453AE" w:rsidRPr="00AD29F7" w:rsidTr="0023442A">
        <w:tc>
          <w:tcPr>
            <w:tcW w:w="3054" w:type="dxa"/>
          </w:tcPr>
          <w:p w:rsidR="007453AE" w:rsidRPr="00E104BF" w:rsidRDefault="007453AE" w:rsidP="00E10679">
            <w:pPr>
              <w:autoSpaceDE w:val="0"/>
              <w:autoSpaceDN w:val="0"/>
              <w:adjustRightInd w:val="0"/>
              <w:spacing w:after="0"/>
              <w:rPr>
                <w:rFonts w:cs="Arial"/>
                <w:b/>
                <w:sz w:val="20"/>
                <w:szCs w:val="20"/>
              </w:rPr>
            </w:pPr>
            <w:r w:rsidRPr="00E104BF">
              <w:rPr>
                <w:rFonts w:cs="Arial"/>
                <w:b/>
                <w:sz w:val="20"/>
                <w:szCs w:val="20"/>
              </w:rPr>
              <w:t>Duration of Response</w:t>
            </w:r>
            <w:r w:rsidR="00E10679">
              <w:rPr>
                <w:vertAlign w:val="superscript"/>
              </w:rPr>
              <w:t>§</w:t>
            </w:r>
            <w:r w:rsidRPr="00E104BF">
              <w:rPr>
                <w:rFonts w:cs="Arial"/>
                <w:b/>
                <w:sz w:val="20"/>
                <w:szCs w:val="20"/>
              </w:rPr>
              <w:t>, months</w:t>
            </w:r>
          </w:p>
        </w:tc>
        <w:tc>
          <w:tcPr>
            <w:tcW w:w="3094" w:type="dxa"/>
          </w:tcPr>
          <w:p w:rsidR="007453AE" w:rsidRPr="00B43C81" w:rsidRDefault="007453AE" w:rsidP="0023442A">
            <w:pPr>
              <w:autoSpaceDE w:val="0"/>
              <w:autoSpaceDN w:val="0"/>
              <w:adjustRightInd w:val="0"/>
              <w:spacing w:after="0"/>
              <w:jc w:val="center"/>
              <w:rPr>
                <w:rFonts w:cs="Arial"/>
                <w:sz w:val="20"/>
                <w:szCs w:val="20"/>
              </w:rPr>
            </w:pPr>
          </w:p>
        </w:tc>
        <w:tc>
          <w:tcPr>
            <w:tcW w:w="3094" w:type="dxa"/>
          </w:tcPr>
          <w:p w:rsidR="007453AE" w:rsidRPr="00B43C81" w:rsidRDefault="007453AE" w:rsidP="0023442A">
            <w:pPr>
              <w:autoSpaceDE w:val="0"/>
              <w:autoSpaceDN w:val="0"/>
              <w:adjustRightInd w:val="0"/>
              <w:spacing w:after="0"/>
              <w:jc w:val="center"/>
              <w:rPr>
                <w:rFonts w:cs="Arial"/>
                <w:sz w:val="20"/>
                <w:szCs w:val="20"/>
              </w:rPr>
            </w:pPr>
          </w:p>
        </w:tc>
      </w:tr>
      <w:tr w:rsidR="007453AE" w:rsidRPr="00AD29F7" w:rsidTr="0023442A">
        <w:tc>
          <w:tcPr>
            <w:tcW w:w="3054" w:type="dxa"/>
          </w:tcPr>
          <w:p w:rsidR="007453AE" w:rsidRPr="00B43C81" w:rsidRDefault="007453AE" w:rsidP="0023442A">
            <w:pPr>
              <w:autoSpaceDE w:val="0"/>
              <w:autoSpaceDN w:val="0"/>
              <w:adjustRightInd w:val="0"/>
              <w:spacing w:after="0"/>
              <w:ind w:left="284"/>
              <w:rPr>
                <w:rFonts w:cs="Arial"/>
                <w:sz w:val="20"/>
                <w:szCs w:val="20"/>
              </w:rPr>
            </w:pPr>
            <w:r w:rsidRPr="00B43C81">
              <w:rPr>
                <w:rFonts w:cs="Arial"/>
                <w:sz w:val="20"/>
                <w:szCs w:val="20"/>
              </w:rPr>
              <w:t>Median</w:t>
            </w:r>
          </w:p>
        </w:tc>
        <w:tc>
          <w:tcPr>
            <w:tcW w:w="3094" w:type="dxa"/>
          </w:tcPr>
          <w:p w:rsidR="007453AE" w:rsidRPr="00B43C81" w:rsidRDefault="007453AE" w:rsidP="0023442A">
            <w:pPr>
              <w:autoSpaceDE w:val="0"/>
              <w:autoSpaceDN w:val="0"/>
              <w:adjustRightInd w:val="0"/>
              <w:spacing w:after="0"/>
              <w:jc w:val="center"/>
              <w:rPr>
                <w:rFonts w:cs="Arial"/>
                <w:sz w:val="20"/>
                <w:szCs w:val="20"/>
              </w:rPr>
            </w:pPr>
            <w:r w:rsidRPr="00B43C81">
              <w:rPr>
                <w:rFonts w:cs="Arial"/>
                <w:sz w:val="20"/>
                <w:szCs w:val="20"/>
              </w:rPr>
              <w:t>20.5</w:t>
            </w:r>
          </w:p>
        </w:tc>
        <w:tc>
          <w:tcPr>
            <w:tcW w:w="3094" w:type="dxa"/>
          </w:tcPr>
          <w:p w:rsidR="007453AE" w:rsidRPr="00B43C81" w:rsidRDefault="007453AE" w:rsidP="0023442A">
            <w:pPr>
              <w:autoSpaceDE w:val="0"/>
              <w:autoSpaceDN w:val="0"/>
              <w:adjustRightInd w:val="0"/>
              <w:spacing w:after="0"/>
              <w:jc w:val="center"/>
              <w:rPr>
                <w:rFonts w:cs="Arial"/>
                <w:sz w:val="20"/>
                <w:szCs w:val="20"/>
              </w:rPr>
            </w:pPr>
            <w:r w:rsidRPr="00B43C81">
              <w:rPr>
                <w:rFonts w:cs="Arial"/>
                <w:sz w:val="20"/>
                <w:szCs w:val="20"/>
              </w:rPr>
              <w:t>15.0</w:t>
            </w:r>
          </w:p>
        </w:tc>
      </w:tr>
    </w:tbl>
    <w:p w:rsidR="00F01F97" w:rsidRPr="00AD29F7" w:rsidRDefault="00F01F97" w:rsidP="00E104BF">
      <w:pPr>
        <w:autoSpaceDE w:val="0"/>
        <w:autoSpaceDN w:val="0"/>
        <w:adjustRightInd w:val="0"/>
        <w:spacing w:after="0"/>
        <w:rPr>
          <w:rFonts w:cs="Arial"/>
          <w:bCs/>
          <w:sz w:val="18"/>
          <w:szCs w:val="18"/>
        </w:rPr>
      </w:pPr>
      <w:r w:rsidRPr="00AD29F7">
        <w:rPr>
          <w:rFonts w:cs="Arial"/>
          <w:bCs/>
          <w:sz w:val="18"/>
          <w:szCs w:val="18"/>
        </w:rPr>
        <w:t>*</w:t>
      </w:r>
      <w:r w:rsidR="00E10679" w:rsidRPr="00AD29F7">
        <w:rPr>
          <w:rFonts w:cs="Arial"/>
          <w:bCs/>
          <w:sz w:val="18"/>
          <w:szCs w:val="18"/>
        </w:rPr>
        <w:t>Hazard ratio is based on a stratified Cox’s proportional hazard regression model. A hazard ratio less than 1 indicates an advantage for the NINLARO regimen.</w:t>
      </w:r>
    </w:p>
    <w:p w:rsidR="00E10679" w:rsidRPr="00E10679" w:rsidRDefault="00F01F97" w:rsidP="00E10679">
      <w:pPr>
        <w:spacing w:after="240"/>
        <w:rPr>
          <w:rFonts w:eastAsia="Times New Roman" w:cs="Arial"/>
        </w:rPr>
      </w:pPr>
      <w:r w:rsidRPr="00AD29F7">
        <w:rPr>
          <w:rFonts w:cs="Arial"/>
          <w:sz w:val="18"/>
          <w:szCs w:val="18"/>
          <w:vertAlign w:val="superscript"/>
        </w:rPr>
        <w:t>†</w:t>
      </w:r>
      <w:r w:rsidR="00E10679" w:rsidRPr="00E10679">
        <w:rPr>
          <w:rFonts w:cs="Arial"/>
          <w:bCs/>
          <w:sz w:val="18"/>
          <w:szCs w:val="18"/>
        </w:rPr>
        <w:t xml:space="preserve"> </w:t>
      </w:r>
      <w:r w:rsidR="00E10679" w:rsidRPr="00AD29F7">
        <w:rPr>
          <w:rFonts w:cs="Arial"/>
          <w:bCs/>
          <w:sz w:val="18"/>
          <w:szCs w:val="18"/>
        </w:rPr>
        <w:t>P-value is based on the stratified log-rank test.</w:t>
      </w:r>
      <w:r w:rsidR="00E10679">
        <w:rPr>
          <w:rFonts w:cs="Arial"/>
          <w:bCs/>
          <w:sz w:val="18"/>
          <w:szCs w:val="18"/>
        </w:rPr>
        <w:br/>
      </w:r>
      <w:r w:rsidR="00E10679">
        <w:rPr>
          <w:vertAlign w:val="superscript"/>
        </w:rPr>
        <w:t>‡</w:t>
      </w:r>
      <w:r w:rsidR="00E10679" w:rsidRPr="00E10679">
        <w:rPr>
          <w:rFonts w:cs="Arial"/>
          <w:bCs/>
          <w:sz w:val="18"/>
          <w:szCs w:val="18"/>
        </w:rPr>
        <w:t>ORR = CR+PR +VGPR</w:t>
      </w:r>
      <w:r w:rsidR="00E10679">
        <w:rPr>
          <w:rFonts w:cs="Arial"/>
          <w:bCs/>
          <w:sz w:val="18"/>
          <w:szCs w:val="18"/>
        </w:rPr>
        <w:br/>
      </w:r>
      <w:bookmarkStart w:id="5" w:name="footnote-15"/>
      <w:r w:rsidR="00E10679">
        <w:rPr>
          <w:vertAlign w:val="superscript"/>
        </w:rPr>
        <w:t>§</w:t>
      </w:r>
      <w:bookmarkEnd w:id="5"/>
      <w:r w:rsidR="00E10679" w:rsidRPr="00E10679">
        <w:rPr>
          <w:rFonts w:cs="Arial"/>
          <w:bCs/>
          <w:sz w:val="18"/>
          <w:szCs w:val="18"/>
        </w:rPr>
        <w:t>Based on responders in the response-evaluable population</w:t>
      </w:r>
    </w:p>
    <w:p w:rsidR="00405308" w:rsidRPr="00405308" w:rsidRDefault="00405308" w:rsidP="00405308">
      <w:pPr>
        <w:spacing w:after="240"/>
        <w:jc w:val="both"/>
        <w:rPr>
          <w:rFonts w:eastAsia="Times New Roman" w:cs="Arial"/>
        </w:rPr>
      </w:pPr>
      <w:r w:rsidRPr="00405308">
        <w:rPr>
          <w:rFonts w:eastAsia="Times New Roman" w:cs="Arial"/>
        </w:rPr>
        <w:t xml:space="preserve">The NINLARO regimen demonstrated a statistically significant improvement in the median PFS compared to the placebo regimen as seen below in </w:t>
      </w:r>
      <w:r w:rsidR="00FC33B9">
        <w:fldChar w:fldCharType="begin"/>
      </w:r>
      <w:r w:rsidR="00FC33B9">
        <w:instrText xml:space="preserve"> REF _Ref423599356 \h  \* MERGEFORMAT </w:instrText>
      </w:r>
      <w:r w:rsidR="00FC33B9">
        <w:fldChar w:fldCharType="separate"/>
      </w:r>
      <w:r w:rsidR="00AD0267" w:rsidRPr="00AD0267">
        <w:rPr>
          <w:rFonts w:eastAsia="Times New Roman" w:cs="Arial"/>
        </w:rPr>
        <w:t>Figure 1</w:t>
      </w:r>
      <w:r w:rsidR="00FC33B9">
        <w:fldChar w:fldCharType="end"/>
      </w:r>
      <w:r w:rsidRPr="00405308">
        <w:rPr>
          <w:rFonts w:eastAsia="Times New Roman" w:cs="Arial"/>
        </w:rPr>
        <w:t>.</w:t>
      </w:r>
    </w:p>
    <w:p w:rsidR="00405308" w:rsidRPr="00B43C81" w:rsidRDefault="00405308" w:rsidP="00D90006">
      <w:pPr>
        <w:pStyle w:val="Caption"/>
        <w:keepNext/>
        <w:tabs>
          <w:tab w:val="left" w:pos="993"/>
        </w:tabs>
        <w:rPr>
          <w:rFonts w:cs="Arial"/>
          <w:bCs w:val="0"/>
          <w:sz w:val="20"/>
          <w:szCs w:val="20"/>
        </w:rPr>
      </w:pPr>
      <w:bookmarkStart w:id="6" w:name="_Ref423599356"/>
      <w:r w:rsidRPr="00B43C81">
        <w:rPr>
          <w:rFonts w:cs="Arial"/>
          <w:bCs w:val="0"/>
          <w:sz w:val="20"/>
          <w:szCs w:val="20"/>
        </w:rPr>
        <w:t xml:space="preserve">Figure </w:t>
      </w:r>
      <w:r w:rsidR="006F0259" w:rsidRPr="00B43C81">
        <w:rPr>
          <w:rFonts w:cs="Arial"/>
          <w:bCs w:val="0"/>
          <w:sz w:val="20"/>
          <w:szCs w:val="20"/>
        </w:rPr>
        <w:fldChar w:fldCharType="begin"/>
      </w:r>
      <w:r w:rsidRPr="00B43C81">
        <w:rPr>
          <w:rFonts w:cs="Arial"/>
          <w:bCs w:val="0"/>
          <w:sz w:val="20"/>
          <w:szCs w:val="20"/>
        </w:rPr>
        <w:instrText xml:space="preserve"> SEQ Figure \* ARABIC </w:instrText>
      </w:r>
      <w:r w:rsidR="006F0259" w:rsidRPr="00B43C81">
        <w:rPr>
          <w:rFonts w:cs="Arial"/>
          <w:bCs w:val="0"/>
          <w:sz w:val="20"/>
          <w:szCs w:val="20"/>
        </w:rPr>
        <w:fldChar w:fldCharType="separate"/>
      </w:r>
      <w:r w:rsidR="00AD0267">
        <w:rPr>
          <w:rFonts w:cs="Arial"/>
          <w:bCs w:val="0"/>
          <w:noProof/>
          <w:sz w:val="20"/>
          <w:szCs w:val="20"/>
        </w:rPr>
        <w:t>1</w:t>
      </w:r>
      <w:r w:rsidR="006F0259" w:rsidRPr="00B43C81">
        <w:rPr>
          <w:rFonts w:cs="Arial"/>
          <w:bCs w:val="0"/>
          <w:sz w:val="20"/>
          <w:szCs w:val="20"/>
        </w:rPr>
        <w:fldChar w:fldCharType="end"/>
      </w:r>
      <w:bookmarkEnd w:id="6"/>
      <w:r w:rsidR="005315FB">
        <w:rPr>
          <w:rFonts w:cs="Arial"/>
          <w:bCs w:val="0"/>
          <w:sz w:val="20"/>
          <w:szCs w:val="20"/>
        </w:rPr>
        <w:tab/>
      </w:r>
      <w:r w:rsidRPr="00B43C81">
        <w:rPr>
          <w:rFonts w:cs="Arial"/>
          <w:bCs w:val="0"/>
          <w:sz w:val="20"/>
          <w:szCs w:val="20"/>
        </w:rPr>
        <w:t>Kaplan-Meier Plot of Progression-Free Survival in the Intent to Treat Population</w:t>
      </w:r>
    </w:p>
    <w:p w:rsidR="00405308" w:rsidRPr="00405308" w:rsidRDefault="00405308" w:rsidP="00405308">
      <w:pPr>
        <w:spacing w:after="240"/>
        <w:jc w:val="both"/>
        <w:rPr>
          <w:rFonts w:eastAsia="Times New Roman" w:cs="Arial"/>
        </w:rPr>
      </w:pPr>
      <w:r>
        <w:rPr>
          <w:noProof/>
          <w:sz w:val="24"/>
          <w:szCs w:val="24"/>
        </w:rPr>
        <w:drawing>
          <wp:inline distT="0" distB="0" distL="0" distR="0" wp14:anchorId="4183B61B" wp14:editId="74EE0EF5">
            <wp:extent cx="5417316" cy="2857500"/>
            <wp:effectExtent l="0" t="0" r="0" b="0"/>
            <wp:docPr id="1" name="Picture 1" descr="Figure 1 Kaplan-Meier Plot of Progression-Free Survival in the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9350" cy="2858573"/>
                    </a:xfrm>
                    <a:prstGeom prst="rect">
                      <a:avLst/>
                    </a:prstGeom>
                    <a:noFill/>
                    <a:ln>
                      <a:noFill/>
                    </a:ln>
                  </pic:spPr>
                </pic:pic>
              </a:graphicData>
            </a:graphic>
          </wp:inline>
        </w:drawing>
      </w:r>
    </w:p>
    <w:p w:rsidR="00405308" w:rsidRPr="00405308" w:rsidRDefault="00405308" w:rsidP="00FC74C6">
      <w:pPr>
        <w:rPr>
          <w:rFonts w:eastAsia="Times New Roman"/>
        </w:rPr>
      </w:pPr>
      <w:r w:rsidRPr="00405308">
        <w:rPr>
          <w:rFonts w:eastAsia="Times New Roman"/>
        </w:rPr>
        <w:t xml:space="preserve">At the time of the first pre-specified analysis, median overall survival </w:t>
      </w:r>
      <w:r w:rsidR="00C173A3">
        <w:rPr>
          <w:rFonts w:eastAsia="Times New Roman"/>
        </w:rPr>
        <w:t>had</w:t>
      </w:r>
      <w:r w:rsidRPr="00405308">
        <w:rPr>
          <w:rFonts w:eastAsia="Times New Roman"/>
        </w:rPr>
        <w:t xml:space="preserve"> not </w:t>
      </w:r>
      <w:r w:rsidR="00C173A3">
        <w:rPr>
          <w:rFonts w:eastAsia="Times New Roman"/>
        </w:rPr>
        <w:t xml:space="preserve">been </w:t>
      </w:r>
      <w:r w:rsidRPr="00405308">
        <w:rPr>
          <w:rFonts w:eastAsia="Times New Roman"/>
        </w:rPr>
        <w:t xml:space="preserve">reached in either regimen of the intent-to-treat (ITT) population at a median follow up of 14.7 months. </w:t>
      </w:r>
      <w:r w:rsidRPr="00405308">
        <w:rPr>
          <w:rFonts w:eastAsia="Times New Roman"/>
        </w:rPr>
        <w:lastRenderedPageBreak/>
        <w:t>One hundred seven patients had died and more deaths occurred in patients receiving the placebo regimen (15.5%) compared to patients receiving the NINLARO regimen (14.2%). Overall survival in the subset of high risk patients whose multiple myeloma harbours deletion of chromosome 17 (</w:t>
      </w:r>
      <w:proofErr w:type="gramStart"/>
      <w:r w:rsidRPr="00405308">
        <w:rPr>
          <w:rFonts w:eastAsia="Times New Roman"/>
        </w:rPr>
        <w:t>del[</w:t>
      </w:r>
      <w:proofErr w:type="gramEnd"/>
      <w:r w:rsidRPr="00405308">
        <w:rPr>
          <w:rFonts w:eastAsia="Times New Roman"/>
        </w:rPr>
        <w:t xml:space="preserve">17]) was also a pre-specified endpoint and was assessed centrally at a CLIA-certified laboratory. More deaths occurred in patients with </w:t>
      </w:r>
      <w:proofErr w:type="gramStart"/>
      <w:r w:rsidRPr="00405308">
        <w:rPr>
          <w:rFonts w:eastAsia="Times New Roman"/>
        </w:rPr>
        <w:t>del(</w:t>
      </w:r>
      <w:proofErr w:type="gramEnd"/>
      <w:r w:rsidRPr="00405308">
        <w:rPr>
          <w:rFonts w:eastAsia="Times New Roman"/>
        </w:rPr>
        <w:t>17) receiving the placebo regimen (27.3%) compared with patients receiving the NINLARO regimen (11.1%).</w:t>
      </w:r>
    </w:p>
    <w:p w:rsidR="003A3EFF" w:rsidRDefault="00405308" w:rsidP="00541B05">
      <w:pPr>
        <w:rPr>
          <w:rFonts w:eastAsia="Times New Roman"/>
        </w:rPr>
      </w:pPr>
      <w:r w:rsidRPr="00405308">
        <w:rPr>
          <w:rFonts w:eastAsia="Times New Roman"/>
        </w:rPr>
        <w:t xml:space="preserve">Patients with high risk cytogenetic abnormalities whose myeloma harbours </w:t>
      </w:r>
      <w:proofErr w:type="gramStart"/>
      <w:r w:rsidRPr="00405308">
        <w:rPr>
          <w:rFonts w:eastAsia="Times New Roman"/>
        </w:rPr>
        <w:t>del(</w:t>
      </w:r>
      <w:proofErr w:type="gramEnd"/>
      <w:r w:rsidRPr="00405308">
        <w:rPr>
          <w:rFonts w:eastAsia="Times New Roman"/>
        </w:rPr>
        <w:t xml:space="preserve">17), translocation of chromosomes 4 and 14 (t[4:14]), translocation of chromosomes 14 and </w:t>
      </w:r>
      <w:r w:rsidR="001A73FC" w:rsidRPr="00405308">
        <w:rPr>
          <w:rFonts w:eastAsia="Times New Roman"/>
        </w:rPr>
        <w:t>16</w:t>
      </w:r>
      <w:r w:rsidR="001A73FC">
        <w:rPr>
          <w:rFonts w:eastAsia="Times New Roman"/>
        </w:rPr>
        <w:t> </w:t>
      </w:r>
      <w:r w:rsidRPr="00405308">
        <w:rPr>
          <w:rFonts w:eastAsia="Times New Roman"/>
        </w:rPr>
        <w:t xml:space="preserve">(t[14:16]) or a combination of the three abnormalities were enrolled in the Phase 3 study. The results of the pre-specified prospective analyses demonstrated median PFS with the NINLARO regimen were similar in patients with and without </w:t>
      </w:r>
      <w:proofErr w:type="gramStart"/>
      <w:r w:rsidRPr="00405308">
        <w:rPr>
          <w:rFonts w:eastAsia="Times New Roman"/>
        </w:rPr>
        <w:t>del(</w:t>
      </w:r>
      <w:proofErr w:type="gramEnd"/>
      <w:r w:rsidRPr="00405308">
        <w:rPr>
          <w:rFonts w:eastAsia="Times New Roman"/>
        </w:rPr>
        <w:t xml:space="preserve">17). Median PFS in patients with </w:t>
      </w:r>
      <w:proofErr w:type="gramStart"/>
      <w:r w:rsidRPr="00405308">
        <w:rPr>
          <w:rFonts w:eastAsia="Times New Roman"/>
        </w:rPr>
        <w:t>del(</w:t>
      </w:r>
      <w:proofErr w:type="gramEnd"/>
      <w:r w:rsidRPr="00405308">
        <w:rPr>
          <w:rFonts w:eastAsia="Times New Roman"/>
        </w:rPr>
        <w:t>17) and the overall high-risk population was 21.4 months in the NINLARO regimen compared to 9.7 months in the placebo regimen.</w:t>
      </w:r>
    </w:p>
    <w:p w:rsidR="00405308" w:rsidRDefault="00405308" w:rsidP="00541B05">
      <w:pPr>
        <w:rPr>
          <w:rFonts w:eastAsia="Times New Roman"/>
        </w:rPr>
      </w:pPr>
      <w:r w:rsidRPr="00405308">
        <w:rPr>
          <w:rFonts w:eastAsia="Times New Roman"/>
        </w:rPr>
        <w:t>Quality of life as assessed by global health scores (EORTC QLQ-C30 and MY-20) was maintained during treatment and was similar in both treatment regimens.</w:t>
      </w:r>
    </w:p>
    <w:p w:rsidR="005407B3" w:rsidRDefault="00FE65F6" w:rsidP="00541B05">
      <w:pPr>
        <w:rPr>
          <w:rFonts w:eastAsia="Times New Roman"/>
        </w:rPr>
      </w:pPr>
      <w:r w:rsidRPr="00FE65F6">
        <w:rPr>
          <w:rFonts w:eastAsia="Times New Roman"/>
        </w:rPr>
        <w:t>A planned interim analysis for overall survival (OS) at a median follow up of 23 months was</w:t>
      </w:r>
      <w:r>
        <w:rPr>
          <w:rFonts w:eastAsia="Times New Roman"/>
        </w:rPr>
        <w:t xml:space="preserve"> </w:t>
      </w:r>
      <w:r w:rsidRPr="00FE65F6">
        <w:rPr>
          <w:rFonts w:eastAsia="Times New Roman"/>
        </w:rPr>
        <w:t>conducted with 35% of the required number of deaths for final OS analysis in the ITT population;</w:t>
      </w:r>
      <w:r>
        <w:rPr>
          <w:rFonts w:eastAsia="Times New Roman"/>
        </w:rPr>
        <w:t xml:space="preserve"> </w:t>
      </w:r>
      <w:r w:rsidRPr="00FE65F6">
        <w:rPr>
          <w:rFonts w:eastAsia="Times New Roman"/>
        </w:rPr>
        <w:t>there were 81 deaths in the NINLARO regimen and 90 deaths in the placebo regimen. Median overall</w:t>
      </w:r>
      <w:r>
        <w:rPr>
          <w:rFonts w:eastAsia="Times New Roman"/>
        </w:rPr>
        <w:t xml:space="preserve"> </w:t>
      </w:r>
      <w:r w:rsidRPr="00FE65F6">
        <w:rPr>
          <w:rFonts w:eastAsia="Times New Roman"/>
        </w:rPr>
        <w:t>survival was not reached in either regimen. At the same time, a non-inferential exploratory PFS</w:t>
      </w:r>
      <w:r>
        <w:rPr>
          <w:rFonts w:eastAsia="Times New Roman"/>
        </w:rPr>
        <w:t xml:space="preserve"> </w:t>
      </w:r>
      <w:r w:rsidRPr="00FE65F6">
        <w:rPr>
          <w:rFonts w:eastAsia="Times New Roman"/>
        </w:rPr>
        <w:t xml:space="preserve">analysis was conducted. Estimated median PFS was </w:t>
      </w:r>
      <w:r w:rsidR="00CC67FD" w:rsidRPr="00FE65F6">
        <w:rPr>
          <w:rFonts w:eastAsia="Times New Roman"/>
        </w:rPr>
        <w:t>20</w:t>
      </w:r>
      <w:r w:rsidR="00CC67FD">
        <w:rPr>
          <w:rFonts w:eastAsia="Times New Roman"/>
        </w:rPr>
        <w:t> </w:t>
      </w:r>
      <w:r w:rsidRPr="00FE65F6">
        <w:rPr>
          <w:rFonts w:eastAsia="Times New Roman"/>
        </w:rPr>
        <w:t>months in the NINLARO regimen and</w:t>
      </w:r>
      <w:r>
        <w:rPr>
          <w:rFonts w:eastAsia="Times New Roman"/>
        </w:rPr>
        <w:t xml:space="preserve"> </w:t>
      </w:r>
      <w:r w:rsidRPr="00FE65F6">
        <w:rPr>
          <w:rFonts w:eastAsia="Times New Roman"/>
        </w:rPr>
        <w:t>15.9 months in the placebo regimen (HR=0.82, 95% CI [0.67, 1.0]) in the ITT population</w:t>
      </w:r>
      <w:r w:rsidR="005407B3" w:rsidRPr="005407B3">
        <w:rPr>
          <w:rFonts w:eastAsia="Times New Roman"/>
        </w:rPr>
        <w:t>.</w:t>
      </w:r>
    </w:p>
    <w:p w:rsidR="00691008" w:rsidRPr="00405308" w:rsidRDefault="002D31A3" w:rsidP="00FC74C6">
      <w:pPr>
        <w:pStyle w:val="Heading1"/>
      </w:pPr>
      <w:r w:rsidRPr="00405308">
        <w:t>INDICATIONS</w:t>
      </w:r>
    </w:p>
    <w:p w:rsidR="00D030EB" w:rsidRDefault="00ED3082" w:rsidP="00FC74C6">
      <w:pPr>
        <w:rPr>
          <w:rFonts w:eastAsia="Times New Roman"/>
        </w:rPr>
      </w:pPr>
      <w:r w:rsidRPr="002266EC">
        <w:rPr>
          <w:rFonts w:eastAsia="Times New Roman"/>
        </w:rPr>
        <w:t>NINLARO</w:t>
      </w:r>
      <w:r w:rsidR="00D030EB" w:rsidRPr="00D030EB">
        <w:rPr>
          <w:rFonts w:eastAsia="Times New Roman"/>
        </w:rPr>
        <w:t xml:space="preserve"> is indicated </w:t>
      </w:r>
      <w:r w:rsidR="00C80524" w:rsidRPr="00C80524">
        <w:rPr>
          <w:rFonts w:eastAsia="Times New Roman"/>
        </w:rPr>
        <w:t>in combination with lenalidomide and dexametha</w:t>
      </w:r>
      <w:r w:rsidR="00C80524">
        <w:rPr>
          <w:rFonts w:eastAsia="Times New Roman"/>
        </w:rPr>
        <w:t xml:space="preserve">sone </w:t>
      </w:r>
      <w:r w:rsidR="00D030EB" w:rsidRPr="00D030EB">
        <w:rPr>
          <w:rFonts w:eastAsia="Times New Roman"/>
        </w:rPr>
        <w:t>for the treatment of patients with multiple myeloma who have received at least one prior therapy.</w:t>
      </w:r>
    </w:p>
    <w:p w:rsidR="00691008" w:rsidRDefault="002D31A3" w:rsidP="00FC74C6">
      <w:pPr>
        <w:pStyle w:val="Heading1"/>
      </w:pPr>
      <w:r w:rsidRPr="002D31A3">
        <w:t>CONTRAINDICATIONS</w:t>
      </w:r>
    </w:p>
    <w:p w:rsidR="00677CCF" w:rsidRDefault="00EF0BD2" w:rsidP="00677CCF">
      <w:pPr>
        <w:spacing w:after="240"/>
        <w:jc w:val="both"/>
        <w:rPr>
          <w:rFonts w:eastAsia="Times New Roman" w:cs="Arial"/>
        </w:rPr>
      </w:pPr>
      <w:proofErr w:type="gramStart"/>
      <w:r w:rsidRPr="00EF0BD2">
        <w:rPr>
          <w:rFonts w:eastAsia="Times New Roman" w:cs="Arial"/>
        </w:rPr>
        <w:t>Hypersensitivity to the active substance or to any of the excipients.</w:t>
      </w:r>
      <w:proofErr w:type="gramEnd"/>
    </w:p>
    <w:p w:rsidR="00992AA4" w:rsidRDefault="00992AA4" w:rsidP="00FC74C6">
      <w:pPr>
        <w:rPr>
          <w:rFonts w:eastAsia="Times New Roman"/>
        </w:rPr>
      </w:pPr>
      <w:r w:rsidRPr="005838DF">
        <w:rPr>
          <w:rFonts w:eastAsia="Times New Roman"/>
        </w:rPr>
        <w:t xml:space="preserve">As NINLARO is administered in combination with lenalidomide and dexamethasone, refer to the </w:t>
      </w:r>
      <w:r>
        <w:rPr>
          <w:rFonts w:eastAsia="Times New Roman"/>
        </w:rPr>
        <w:t>Product Information</w:t>
      </w:r>
      <w:r w:rsidRPr="005838DF">
        <w:rPr>
          <w:rFonts w:eastAsia="Times New Roman"/>
        </w:rPr>
        <w:t xml:space="preserve"> </w:t>
      </w:r>
      <w:r>
        <w:rPr>
          <w:rFonts w:eastAsia="Times New Roman"/>
        </w:rPr>
        <w:t>for</w:t>
      </w:r>
      <w:r w:rsidRPr="005838DF">
        <w:rPr>
          <w:rFonts w:eastAsia="Times New Roman"/>
        </w:rPr>
        <w:t xml:space="preserve"> these products for respective contraindications.</w:t>
      </w:r>
    </w:p>
    <w:p w:rsidR="00691008" w:rsidRDefault="002D31A3" w:rsidP="00FC74C6">
      <w:pPr>
        <w:pStyle w:val="Heading1"/>
      </w:pPr>
      <w:r w:rsidRPr="002D31A3">
        <w:t>PRECAUTIONS</w:t>
      </w:r>
    </w:p>
    <w:p w:rsidR="00743C89" w:rsidRPr="00FC74C6" w:rsidRDefault="00743C89" w:rsidP="00FC74C6">
      <w:pPr>
        <w:pStyle w:val="Heading2"/>
        <w:rPr>
          <w:b w:val="0"/>
          <w:i/>
        </w:rPr>
      </w:pPr>
      <w:r w:rsidRPr="00FC74C6">
        <w:rPr>
          <w:b w:val="0"/>
          <w:i/>
        </w:rPr>
        <w:t>Thrombocytopenia</w:t>
      </w:r>
    </w:p>
    <w:p w:rsidR="00743C89" w:rsidRPr="00743C89" w:rsidRDefault="00743C89" w:rsidP="00541B05">
      <w:pPr>
        <w:rPr>
          <w:rFonts w:eastAsia="Times New Roman"/>
        </w:rPr>
      </w:pPr>
      <w:r w:rsidRPr="00743C89">
        <w:rPr>
          <w:rFonts w:eastAsia="Times New Roman"/>
        </w:rPr>
        <w:t xml:space="preserve">Thrombocytopenia has been reported with NINLARO </w:t>
      </w:r>
      <w:r w:rsidRPr="00DF060E">
        <w:rPr>
          <w:rFonts w:eastAsia="Times New Roman"/>
        </w:rPr>
        <w:t>with platelet nadirs typically occurring between Days 14</w:t>
      </w:r>
      <w:r w:rsidR="00F562E1" w:rsidRPr="00DF060E">
        <w:rPr>
          <w:rFonts w:eastAsia="Times New Roman"/>
        </w:rPr>
        <w:t>-21 of each 28-</w:t>
      </w:r>
      <w:r w:rsidRPr="00DF060E">
        <w:rPr>
          <w:rFonts w:eastAsia="Times New Roman"/>
        </w:rPr>
        <w:t>day cycle and recov</w:t>
      </w:r>
      <w:r w:rsidRPr="00743C89">
        <w:rPr>
          <w:rFonts w:eastAsia="Times New Roman"/>
        </w:rPr>
        <w:t>ery to baseline by the start of the next cycle</w:t>
      </w:r>
      <w:r w:rsidR="00B97C68">
        <w:rPr>
          <w:rFonts w:eastAsia="Times New Roman"/>
        </w:rPr>
        <w:t xml:space="preserve"> </w:t>
      </w:r>
      <w:r w:rsidR="00B97C68" w:rsidRPr="00B97C68">
        <w:rPr>
          <w:rFonts w:eastAsia="Times New Roman"/>
        </w:rPr>
        <w:t xml:space="preserve">(see </w:t>
      </w:r>
      <w:hyperlink w:anchor="_ADVERSE_EFFECTS" w:history="1">
        <w:r w:rsidR="00B97C68" w:rsidRPr="00541B05">
          <w:rPr>
            <w:rStyle w:val="Hyperlink"/>
            <w:rFonts w:eastAsia="Times New Roman"/>
          </w:rPr>
          <w:t>ADVERSE EFFECTS</w:t>
        </w:r>
      </w:hyperlink>
      <w:r w:rsidR="00B97C68" w:rsidRPr="00B97C68">
        <w:rPr>
          <w:rFonts w:eastAsia="Times New Roman"/>
        </w:rPr>
        <w:t>)</w:t>
      </w:r>
      <w:r w:rsidRPr="00743C89">
        <w:rPr>
          <w:rFonts w:eastAsia="Times New Roman"/>
        </w:rPr>
        <w:t xml:space="preserve">. </w:t>
      </w:r>
      <w:r w:rsidR="00CA38E8">
        <w:rPr>
          <w:rFonts w:eastAsia="Times New Roman"/>
        </w:rPr>
        <w:t>Two</w:t>
      </w:r>
      <w:r w:rsidR="00CA38E8" w:rsidRPr="00743C89">
        <w:rPr>
          <w:rFonts w:eastAsia="Times New Roman"/>
        </w:rPr>
        <w:t xml:space="preserve"> </w:t>
      </w:r>
      <w:r w:rsidRPr="002266EC">
        <w:rPr>
          <w:rFonts w:eastAsia="Times New Roman"/>
        </w:rPr>
        <w:t>percent of patients in the NINLARO</w:t>
      </w:r>
      <w:r w:rsidRPr="00743C89">
        <w:rPr>
          <w:rFonts w:eastAsia="Times New Roman"/>
        </w:rPr>
        <w:t xml:space="preserve"> regimen and 1% of patients in the placebo regimen had a platelet cou</w:t>
      </w:r>
      <w:r w:rsidRPr="00B16749">
        <w:rPr>
          <w:rFonts w:eastAsia="Times New Roman"/>
        </w:rPr>
        <w:t>nt ≤ 10</w:t>
      </w:r>
      <w:r w:rsidR="009E3A53">
        <w:rPr>
          <w:rFonts w:eastAsia="Times New Roman"/>
        </w:rPr>
        <w:t>x10</w:t>
      </w:r>
      <w:r w:rsidR="009E3A53" w:rsidRPr="009E3A53">
        <w:rPr>
          <w:rFonts w:eastAsia="Times New Roman"/>
          <w:vertAlign w:val="superscript"/>
        </w:rPr>
        <w:t>9</w:t>
      </w:r>
      <w:r w:rsidR="009E3A53">
        <w:rPr>
          <w:rFonts w:eastAsia="Times New Roman"/>
        </w:rPr>
        <w:t>/L</w:t>
      </w:r>
      <w:r w:rsidRPr="00B16749">
        <w:rPr>
          <w:rFonts w:eastAsia="Times New Roman"/>
        </w:rPr>
        <w:t xml:space="preserve"> during treatment. Less than 1% of patients in both regimens had a platelet count ≤ 5</w:t>
      </w:r>
      <w:r w:rsidR="009E3A53">
        <w:rPr>
          <w:rFonts w:eastAsia="Times New Roman"/>
        </w:rPr>
        <w:t>x10</w:t>
      </w:r>
      <w:r w:rsidR="009E3A53" w:rsidRPr="009E3A53">
        <w:rPr>
          <w:rFonts w:eastAsia="Times New Roman"/>
          <w:vertAlign w:val="superscript"/>
        </w:rPr>
        <w:t>9</w:t>
      </w:r>
      <w:r w:rsidR="009E3A53">
        <w:rPr>
          <w:rFonts w:eastAsia="Times New Roman"/>
        </w:rPr>
        <w:t>/L</w:t>
      </w:r>
      <w:r w:rsidRPr="00B16749">
        <w:rPr>
          <w:rFonts w:eastAsia="Times New Roman"/>
        </w:rPr>
        <w:t xml:space="preserve"> during treatment. Thrombocytopenia resulted in discontinuation of one or</w:t>
      </w:r>
      <w:r w:rsidRPr="00743C89">
        <w:rPr>
          <w:rFonts w:eastAsia="Times New Roman"/>
        </w:rPr>
        <w:t xml:space="preserve"> more of the three drugs in 1% of patients in the NINLARO regimen and </w:t>
      </w:r>
      <w:r w:rsidRPr="00F12D38">
        <w:rPr>
          <w:rFonts w:eastAsia="Times New Roman"/>
        </w:rPr>
        <w:t>2%</w:t>
      </w:r>
      <w:r w:rsidRPr="00743C89">
        <w:rPr>
          <w:rFonts w:eastAsia="Times New Roman"/>
        </w:rPr>
        <w:t xml:space="preserve"> of patients in the placebo regimen. </w:t>
      </w:r>
      <w:r w:rsidR="008D34A7" w:rsidRPr="008D34A7">
        <w:rPr>
          <w:rFonts w:eastAsia="Times New Roman"/>
        </w:rPr>
        <w:t xml:space="preserve">The incidence of </w:t>
      </w:r>
      <w:proofErr w:type="spellStart"/>
      <w:r w:rsidR="008D34A7" w:rsidRPr="008D34A7">
        <w:rPr>
          <w:rFonts w:eastAsia="Times New Roman"/>
        </w:rPr>
        <w:t>hemorrhagic</w:t>
      </w:r>
      <w:proofErr w:type="spellEnd"/>
      <w:r w:rsidR="008D34A7" w:rsidRPr="008D34A7">
        <w:rPr>
          <w:rFonts w:eastAsia="Times New Roman"/>
        </w:rPr>
        <w:t xml:space="preserve"> events was similar in the NINLARO (</w:t>
      </w:r>
      <w:r w:rsidR="00C94B2E">
        <w:rPr>
          <w:rFonts w:eastAsia="Times New Roman"/>
        </w:rPr>
        <w:t>20</w:t>
      </w:r>
      <w:r w:rsidR="008D34A7" w:rsidRPr="008D34A7">
        <w:rPr>
          <w:rFonts w:eastAsia="Times New Roman"/>
        </w:rPr>
        <w:t>%) and placebo (1</w:t>
      </w:r>
      <w:r w:rsidR="00C94B2E">
        <w:rPr>
          <w:rFonts w:eastAsia="Times New Roman"/>
        </w:rPr>
        <w:t>9</w:t>
      </w:r>
      <w:r w:rsidR="008D34A7" w:rsidRPr="008D34A7">
        <w:rPr>
          <w:rFonts w:eastAsia="Times New Roman"/>
        </w:rPr>
        <w:t>%) regimens. The rate of platelet transfusions was also similar in the NINLARO (</w:t>
      </w:r>
      <w:r w:rsidR="00C94B2E">
        <w:rPr>
          <w:rFonts w:eastAsia="Times New Roman"/>
        </w:rPr>
        <w:t>8</w:t>
      </w:r>
      <w:r w:rsidR="008D34A7" w:rsidRPr="008D34A7">
        <w:rPr>
          <w:rFonts w:eastAsia="Times New Roman"/>
        </w:rPr>
        <w:t>%) and placebo regimen</w:t>
      </w:r>
      <w:r w:rsidR="008D34A7">
        <w:rPr>
          <w:rFonts w:eastAsia="Times New Roman"/>
        </w:rPr>
        <w:t> </w:t>
      </w:r>
      <w:r w:rsidR="008D34A7" w:rsidRPr="008D34A7">
        <w:rPr>
          <w:rFonts w:eastAsia="Times New Roman"/>
        </w:rPr>
        <w:t>(</w:t>
      </w:r>
      <w:r w:rsidR="00C94B2E">
        <w:rPr>
          <w:rFonts w:eastAsia="Times New Roman"/>
        </w:rPr>
        <w:t>6</w:t>
      </w:r>
      <w:r w:rsidR="008D34A7" w:rsidRPr="008D34A7">
        <w:rPr>
          <w:rFonts w:eastAsia="Times New Roman"/>
        </w:rPr>
        <w:t>%).</w:t>
      </w:r>
    </w:p>
    <w:p w:rsidR="003A3EFF" w:rsidRDefault="00743C89" w:rsidP="00541B05">
      <w:pPr>
        <w:rPr>
          <w:rFonts w:eastAsia="Times New Roman"/>
        </w:rPr>
      </w:pPr>
      <w:r w:rsidRPr="00743C89">
        <w:rPr>
          <w:rFonts w:eastAsia="Times New Roman"/>
        </w:rPr>
        <w:lastRenderedPageBreak/>
        <w:t>Platelet counts should be monitored at least monthly during NINLARO treatment. More freq</w:t>
      </w:r>
      <w:r w:rsidRPr="00340428">
        <w:rPr>
          <w:rFonts w:eastAsia="Times New Roman"/>
        </w:rPr>
        <w:t xml:space="preserve">uent monitoring should be considered during the first three cycles as per the lenalidomide </w:t>
      </w:r>
      <w:r w:rsidR="002D255E" w:rsidRPr="00340428">
        <w:rPr>
          <w:rFonts w:eastAsia="Times New Roman"/>
        </w:rPr>
        <w:t>Product Information</w:t>
      </w:r>
      <w:r w:rsidRPr="00340428">
        <w:rPr>
          <w:rFonts w:eastAsia="Times New Roman"/>
        </w:rPr>
        <w:t xml:space="preserve">. Thrombocytopenia can be managed with dose modifications (see </w:t>
      </w:r>
      <w:hyperlink w:anchor="_DOSAGE_AND_ADMINISTRATION" w:history="1">
        <w:r w:rsidR="00082BF0" w:rsidRPr="00541B05">
          <w:rPr>
            <w:rStyle w:val="Hyperlink"/>
            <w:rFonts w:eastAsia="Times New Roman"/>
          </w:rPr>
          <w:t>DOSAGE AND ADMINISTRATION</w:t>
        </w:r>
      </w:hyperlink>
      <w:r w:rsidRPr="00B06C92">
        <w:rPr>
          <w:rFonts w:eastAsia="Times New Roman"/>
        </w:rPr>
        <w:t>) and platelet transfusions as per</w:t>
      </w:r>
      <w:r w:rsidRPr="00743C89">
        <w:rPr>
          <w:rFonts w:eastAsia="Times New Roman"/>
        </w:rPr>
        <w:t xml:space="preserve"> standard medical guidelines.</w:t>
      </w:r>
    </w:p>
    <w:p w:rsidR="00743C89" w:rsidRPr="00FC74C6" w:rsidRDefault="00743C89" w:rsidP="00FC74C6">
      <w:pPr>
        <w:pStyle w:val="Heading2"/>
        <w:rPr>
          <w:b w:val="0"/>
          <w:i/>
        </w:rPr>
      </w:pPr>
      <w:r w:rsidRPr="00FC74C6">
        <w:rPr>
          <w:b w:val="0"/>
          <w:i/>
        </w:rPr>
        <w:t>Gastrointestinal Toxicities</w:t>
      </w:r>
    </w:p>
    <w:p w:rsidR="00C94BAF" w:rsidRDefault="007A5167" w:rsidP="00541B05">
      <w:pPr>
        <w:rPr>
          <w:rFonts w:eastAsia="Times New Roman"/>
          <w:i/>
        </w:rPr>
      </w:pPr>
      <w:r>
        <w:rPr>
          <w:rFonts w:eastAsia="Times New Roman"/>
        </w:rPr>
        <w:t>D</w:t>
      </w:r>
      <w:r w:rsidRPr="00743C89">
        <w:rPr>
          <w:rFonts w:eastAsia="Times New Roman"/>
        </w:rPr>
        <w:t>iarrhoea</w:t>
      </w:r>
      <w:r>
        <w:rPr>
          <w:rFonts w:eastAsia="Times New Roman"/>
        </w:rPr>
        <w:t>, n</w:t>
      </w:r>
      <w:r w:rsidR="00743C89" w:rsidRPr="00743C89">
        <w:rPr>
          <w:rFonts w:eastAsia="Times New Roman"/>
        </w:rPr>
        <w:t>ausea</w:t>
      </w:r>
      <w:r>
        <w:rPr>
          <w:rFonts w:eastAsia="Times New Roman"/>
        </w:rPr>
        <w:t xml:space="preserve"> and</w:t>
      </w:r>
      <w:r w:rsidR="00743C89" w:rsidRPr="00743C89">
        <w:rPr>
          <w:rFonts w:eastAsia="Times New Roman"/>
        </w:rPr>
        <w:t xml:space="preserve"> vomiting have been reported with NINLARO, occasionally requiring use of </w:t>
      </w:r>
      <w:proofErr w:type="spellStart"/>
      <w:r w:rsidRPr="00743C89">
        <w:rPr>
          <w:rFonts w:eastAsia="Times New Roman"/>
        </w:rPr>
        <w:t>antidiarrhoeal</w:t>
      </w:r>
      <w:proofErr w:type="spellEnd"/>
      <w:r w:rsidRPr="00743C89">
        <w:rPr>
          <w:rFonts w:eastAsia="Times New Roman"/>
        </w:rPr>
        <w:t xml:space="preserve"> </w:t>
      </w:r>
      <w:r w:rsidR="00743C89" w:rsidRPr="00743C89">
        <w:rPr>
          <w:rFonts w:eastAsia="Times New Roman"/>
        </w:rPr>
        <w:t xml:space="preserve">and </w:t>
      </w:r>
      <w:r w:rsidRPr="00743C89">
        <w:rPr>
          <w:rFonts w:eastAsia="Times New Roman"/>
        </w:rPr>
        <w:t xml:space="preserve">antiemetic </w:t>
      </w:r>
      <w:r w:rsidR="00743C89" w:rsidRPr="00743C89">
        <w:rPr>
          <w:rFonts w:eastAsia="Times New Roman"/>
        </w:rPr>
        <w:t>medications, and supportive care</w:t>
      </w:r>
      <w:r w:rsidR="00B46788">
        <w:rPr>
          <w:rFonts w:eastAsia="Times New Roman"/>
        </w:rPr>
        <w:t xml:space="preserve"> </w:t>
      </w:r>
      <w:r w:rsidR="00B46788" w:rsidRPr="00B06C92">
        <w:rPr>
          <w:rFonts w:eastAsia="Times New Roman"/>
        </w:rPr>
        <w:t xml:space="preserve">(see </w:t>
      </w:r>
      <w:hyperlink w:anchor="_ADVERSE_EFFECTS" w:history="1">
        <w:r w:rsidR="00B46788" w:rsidRPr="00541B05">
          <w:rPr>
            <w:rStyle w:val="Hyperlink"/>
            <w:rFonts w:eastAsia="Times New Roman"/>
          </w:rPr>
          <w:t>ADVERSE EFFECTS</w:t>
        </w:r>
      </w:hyperlink>
      <w:r w:rsidR="00B46788">
        <w:rPr>
          <w:rFonts w:eastAsia="Times New Roman"/>
        </w:rPr>
        <w:t>)</w:t>
      </w:r>
      <w:r w:rsidR="00743C89" w:rsidRPr="00743C89">
        <w:rPr>
          <w:rFonts w:eastAsia="Times New Roman"/>
        </w:rPr>
        <w:t xml:space="preserve">. Diarrhoea resulted in </w:t>
      </w:r>
      <w:r w:rsidR="00743C89" w:rsidRPr="00B06C92">
        <w:rPr>
          <w:rFonts w:eastAsia="Times New Roman"/>
        </w:rPr>
        <w:t xml:space="preserve">discontinuation of one or more of the three drugs in </w:t>
      </w:r>
      <w:r w:rsidR="00C94B2E">
        <w:rPr>
          <w:rFonts w:eastAsia="Times New Roman"/>
        </w:rPr>
        <w:t>2</w:t>
      </w:r>
      <w:r w:rsidR="00743C89" w:rsidRPr="00B06C92">
        <w:rPr>
          <w:rFonts w:eastAsia="Times New Roman"/>
        </w:rPr>
        <w:t xml:space="preserve">% of patients in the NINLARO regimen and &lt; 1% of patients in the placebo regimen. The dose should be adjusted for severe (Grade 3–4) symptoms (see </w:t>
      </w:r>
      <w:hyperlink w:anchor="_ADVERSE_EFFECTS" w:history="1">
        <w:r w:rsidR="00632C4A" w:rsidRPr="00541B05">
          <w:rPr>
            <w:rStyle w:val="Hyperlink"/>
            <w:rFonts w:eastAsia="Times New Roman"/>
          </w:rPr>
          <w:t>ADVERSE EFFECTS</w:t>
        </w:r>
      </w:hyperlink>
      <w:r w:rsidR="00632C4A" w:rsidRPr="00B06C92">
        <w:rPr>
          <w:rFonts w:eastAsia="Times New Roman"/>
        </w:rPr>
        <w:t xml:space="preserve"> and </w:t>
      </w:r>
      <w:hyperlink w:anchor="_DOSAGE_AND_ADMINISTRATION" w:history="1">
        <w:r w:rsidR="00632C4A" w:rsidRPr="00541B05">
          <w:rPr>
            <w:rStyle w:val="Hyperlink"/>
            <w:rFonts w:eastAsia="Times New Roman"/>
          </w:rPr>
          <w:t>DOSAGE AND ADMINISTRATION</w:t>
        </w:r>
      </w:hyperlink>
      <w:r w:rsidR="00743C89" w:rsidRPr="00B06C92">
        <w:rPr>
          <w:rFonts w:eastAsia="Times New Roman"/>
        </w:rPr>
        <w:t>).</w:t>
      </w:r>
    </w:p>
    <w:p w:rsidR="00691008" w:rsidRDefault="002D31A3" w:rsidP="00160B6F">
      <w:pPr>
        <w:pStyle w:val="Heading2"/>
      </w:pPr>
      <w:r w:rsidRPr="002D31A3">
        <w:t xml:space="preserve">Effects on </w:t>
      </w:r>
      <w:r w:rsidR="00506327">
        <w:t>F</w:t>
      </w:r>
      <w:r w:rsidRPr="002D31A3">
        <w:t>ertility</w:t>
      </w:r>
    </w:p>
    <w:p w:rsidR="00C322DB" w:rsidRPr="00C322DB" w:rsidRDefault="00E10FDF" w:rsidP="00C322DB">
      <w:pPr>
        <w:spacing w:after="240"/>
        <w:jc w:val="both"/>
        <w:rPr>
          <w:rFonts w:eastAsia="Times New Roman" w:cs="Arial"/>
        </w:rPr>
      </w:pPr>
      <w:r w:rsidRPr="00E10FDF">
        <w:rPr>
          <w:rFonts w:eastAsia="Times New Roman" w:cs="Arial"/>
        </w:rPr>
        <w:t xml:space="preserve">No fertility studies have been conducted with </w:t>
      </w:r>
      <w:proofErr w:type="spellStart"/>
      <w:r w:rsidRPr="00E10FDF">
        <w:rPr>
          <w:rFonts w:eastAsia="Times New Roman" w:cs="Arial"/>
        </w:rPr>
        <w:t>ixazomib</w:t>
      </w:r>
      <w:proofErr w:type="spellEnd"/>
      <w:r w:rsidR="00C4700C" w:rsidRPr="00C4700C">
        <w:rPr>
          <w:rFonts w:eastAsia="Times New Roman" w:cs="Arial"/>
        </w:rPr>
        <w:t>.</w:t>
      </w:r>
    </w:p>
    <w:p w:rsidR="00691008" w:rsidRPr="00160B6F" w:rsidRDefault="002D31A3" w:rsidP="00160B6F">
      <w:pPr>
        <w:pStyle w:val="Heading2"/>
      </w:pPr>
      <w:r w:rsidRPr="00160B6F">
        <w:t xml:space="preserve">Use in </w:t>
      </w:r>
      <w:r w:rsidR="00506327" w:rsidRPr="00160B6F">
        <w:t>P</w:t>
      </w:r>
      <w:r w:rsidRPr="00160B6F">
        <w:t xml:space="preserve">regnancy </w:t>
      </w:r>
      <w:r w:rsidR="00F9001C" w:rsidRPr="00160B6F">
        <w:t>(C</w:t>
      </w:r>
      <w:r w:rsidRPr="00160B6F">
        <w:t xml:space="preserve">ategory </w:t>
      </w:r>
      <w:r w:rsidR="00FD326A" w:rsidRPr="00160B6F">
        <w:t>C</w:t>
      </w:r>
      <w:r w:rsidR="00F9001C" w:rsidRPr="00160B6F">
        <w:t>)</w:t>
      </w:r>
    </w:p>
    <w:p w:rsidR="00E36CC6" w:rsidRDefault="00E36CC6" w:rsidP="00541B05">
      <w:pPr>
        <w:rPr>
          <w:rFonts w:eastAsia="Times New Roman"/>
        </w:rPr>
      </w:pPr>
      <w:r w:rsidRPr="00E36CC6">
        <w:rPr>
          <w:rFonts w:eastAsia="Times New Roman"/>
        </w:rPr>
        <w:t xml:space="preserve">Women should avoid becoming pregnant while being treated with NINLARO. If NINLARO is used during pregnancy or if the patient becomes pregnant while taking NINLARO, the patient should be apprised of the potential hazard to the </w:t>
      </w:r>
      <w:proofErr w:type="spellStart"/>
      <w:r w:rsidRPr="00E36CC6">
        <w:rPr>
          <w:rFonts w:eastAsia="Times New Roman"/>
        </w:rPr>
        <w:t>fetus</w:t>
      </w:r>
      <w:proofErr w:type="spellEnd"/>
      <w:r w:rsidRPr="00E36CC6">
        <w:rPr>
          <w:rFonts w:eastAsia="Times New Roman"/>
        </w:rPr>
        <w:t>.</w:t>
      </w:r>
    </w:p>
    <w:p w:rsidR="003A3EFF" w:rsidRDefault="00FF3DFA" w:rsidP="00FC74C6">
      <w:pPr>
        <w:rPr>
          <w:rFonts w:eastAsia="Times New Roman"/>
        </w:rPr>
      </w:pPr>
      <w:r w:rsidRPr="004B47B0">
        <w:rPr>
          <w:rFonts w:eastAsia="Times New Roman"/>
        </w:rPr>
        <w:t>NINLARO</w:t>
      </w:r>
      <w:r w:rsidR="00F65ABA" w:rsidRPr="004B47B0">
        <w:rPr>
          <w:rFonts w:eastAsia="Times New Roman"/>
        </w:rPr>
        <w:t xml:space="preserve"> can cause fetal harm when administered to a pregnant woman. There are no human data available regarding the potential effect of </w:t>
      </w:r>
      <w:r w:rsidR="00E55B58">
        <w:rPr>
          <w:rFonts w:eastAsia="Times New Roman"/>
        </w:rPr>
        <w:t xml:space="preserve">NINLARO </w:t>
      </w:r>
      <w:r w:rsidR="00F65ABA" w:rsidRPr="004B47B0">
        <w:rPr>
          <w:rFonts w:eastAsia="Times New Roman"/>
        </w:rPr>
        <w:t>on pregnancy or development of the embryo or fetus; however, embryo-fetal studies in animals have demonstrated that ixazomib has the potential to cause embryo-</w:t>
      </w:r>
      <w:proofErr w:type="spellStart"/>
      <w:r w:rsidR="00F65ABA" w:rsidRPr="004B47B0">
        <w:rPr>
          <w:rFonts w:eastAsia="Times New Roman"/>
        </w:rPr>
        <w:t>fetal</w:t>
      </w:r>
      <w:proofErr w:type="spellEnd"/>
      <w:r w:rsidR="00F65ABA" w:rsidRPr="004B47B0">
        <w:rPr>
          <w:rFonts w:eastAsia="Times New Roman"/>
        </w:rPr>
        <w:t xml:space="preserve"> lethality.</w:t>
      </w:r>
    </w:p>
    <w:p w:rsidR="00FD326A" w:rsidRPr="004B47B0" w:rsidRDefault="00FD326A" w:rsidP="00FC74C6">
      <w:pPr>
        <w:rPr>
          <w:rFonts w:eastAsia="Times New Roman"/>
        </w:rPr>
      </w:pPr>
      <w:r w:rsidRPr="004B47B0">
        <w:rPr>
          <w:rFonts w:eastAsia="Times New Roman"/>
        </w:rPr>
        <w:t>Male and female patients of childbearing potential must use effective contraceptive measures during and for 90 days following treatment.</w:t>
      </w:r>
      <w:r w:rsidR="00F65ABA" w:rsidRPr="004B47B0">
        <w:rPr>
          <w:rFonts w:eastAsia="Times New Roman"/>
        </w:rPr>
        <w:t xml:space="preserve"> When </w:t>
      </w:r>
      <w:r w:rsidR="00FF3DFA" w:rsidRPr="004B47B0">
        <w:rPr>
          <w:rFonts w:eastAsia="Times New Roman"/>
        </w:rPr>
        <w:t>NINLARO</w:t>
      </w:r>
      <w:r w:rsidR="00F65ABA" w:rsidRPr="004B47B0">
        <w:rPr>
          <w:rFonts w:eastAsia="Times New Roman"/>
        </w:rPr>
        <w:t xml:space="preserve"> is administered together with dexamethasone, which is known to be a weak to moderate inducer of CYP3A4 as well as other enzymes and transporters, the risk for reduced efficacy of oral contraceptives needs to be considered. Women using oral hormonal contraceptives should additionally use a barrier method of contraception</w:t>
      </w:r>
      <w:r w:rsidR="00EF3753">
        <w:rPr>
          <w:rFonts w:eastAsia="Times New Roman"/>
        </w:rPr>
        <w:t>.</w:t>
      </w:r>
    </w:p>
    <w:p w:rsidR="002843FC" w:rsidRDefault="00931E98" w:rsidP="00FC74C6">
      <w:pPr>
        <w:rPr>
          <w:rFonts w:eastAsia="Times New Roman"/>
        </w:rPr>
      </w:pPr>
      <w:r w:rsidRPr="00931E98">
        <w:rPr>
          <w:rFonts w:eastAsia="Times New Roman"/>
        </w:rPr>
        <w:t>In</w:t>
      </w:r>
      <w:r w:rsidR="003A3EFF">
        <w:rPr>
          <w:rFonts w:eastAsia="Times New Roman"/>
        </w:rPr>
        <w:t xml:space="preserve"> </w:t>
      </w:r>
      <w:r w:rsidRPr="00931E98">
        <w:rPr>
          <w:rFonts w:eastAsia="Times New Roman"/>
        </w:rPr>
        <w:t xml:space="preserve">an </w:t>
      </w:r>
      <w:proofErr w:type="spellStart"/>
      <w:r w:rsidRPr="00931E98">
        <w:rPr>
          <w:rFonts w:eastAsia="Times New Roman"/>
        </w:rPr>
        <w:t>embryofetal</w:t>
      </w:r>
      <w:proofErr w:type="spellEnd"/>
      <w:r w:rsidRPr="00931E98">
        <w:rPr>
          <w:rFonts w:eastAsia="Times New Roman"/>
        </w:rPr>
        <w:t xml:space="preserve"> development study in pregnant rabbits there were increases in fetal skeletal variations/abnormalities (fused caudal vertebrae, number of lumbar vertebrae, and full supernumerary ribs) at doses ≥ 0.3 mg/kg</w:t>
      </w:r>
      <w:r w:rsidR="00B72406">
        <w:rPr>
          <w:rFonts w:eastAsia="Times New Roman"/>
        </w:rPr>
        <w:t>/ 3 days</w:t>
      </w:r>
      <w:r w:rsidRPr="00931E98">
        <w:rPr>
          <w:rFonts w:eastAsia="Times New Roman"/>
        </w:rPr>
        <w:t>. Exposures in the rabbit at 0.</w:t>
      </w:r>
      <w:r w:rsidR="00BC742E" w:rsidRPr="00931E98">
        <w:rPr>
          <w:rFonts w:eastAsia="Times New Roman"/>
        </w:rPr>
        <w:t>3</w:t>
      </w:r>
      <w:r w:rsidR="00BC742E">
        <w:rPr>
          <w:rFonts w:eastAsia="Times New Roman"/>
        </w:rPr>
        <w:t> </w:t>
      </w:r>
      <w:r w:rsidRPr="00931E98">
        <w:rPr>
          <w:rFonts w:eastAsia="Times New Roman"/>
        </w:rPr>
        <w:t>mg/kg</w:t>
      </w:r>
      <w:r w:rsidR="00B72406">
        <w:rPr>
          <w:rFonts w:eastAsia="Times New Roman"/>
        </w:rPr>
        <w:t>/3</w:t>
      </w:r>
      <w:r w:rsidR="00BC742E">
        <w:rPr>
          <w:rFonts w:eastAsia="Times New Roman"/>
        </w:rPr>
        <w:t> </w:t>
      </w:r>
      <w:r w:rsidR="00B72406">
        <w:rPr>
          <w:rFonts w:eastAsia="Times New Roman"/>
        </w:rPr>
        <w:t>days</w:t>
      </w:r>
      <w:r w:rsidRPr="00931E98">
        <w:rPr>
          <w:rFonts w:eastAsia="Times New Roman"/>
        </w:rPr>
        <w:t xml:space="preserve"> were 1.</w:t>
      </w:r>
      <w:r w:rsidR="00B72406">
        <w:rPr>
          <w:rFonts w:eastAsia="Times New Roman"/>
        </w:rPr>
        <w:t>5</w:t>
      </w:r>
      <w:r w:rsidRPr="00931E98">
        <w:rPr>
          <w:rFonts w:eastAsia="Times New Roman"/>
        </w:rPr>
        <w:t xml:space="preserve"> times</w:t>
      </w:r>
      <w:r w:rsidR="00B72406">
        <w:rPr>
          <w:rFonts w:eastAsia="Times New Roman"/>
        </w:rPr>
        <w:t xml:space="preserve"> (based on AUC)</w:t>
      </w:r>
      <w:r w:rsidRPr="00931E98">
        <w:rPr>
          <w:rFonts w:eastAsia="Times New Roman"/>
        </w:rPr>
        <w:t xml:space="preserve"> </w:t>
      </w:r>
      <w:r w:rsidR="00B72406">
        <w:rPr>
          <w:rFonts w:eastAsia="Times New Roman"/>
        </w:rPr>
        <w:t xml:space="preserve">or 0.4 times (based on </w:t>
      </w:r>
      <w:proofErr w:type="spellStart"/>
      <w:r w:rsidR="00B72406">
        <w:rPr>
          <w:rFonts w:eastAsia="Times New Roman"/>
        </w:rPr>
        <w:t>C</w:t>
      </w:r>
      <w:r w:rsidR="00B72406" w:rsidRPr="00B72406">
        <w:rPr>
          <w:rFonts w:eastAsia="Times New Roman"/>
          <w:vertAlign w:val="subscript"/>
        </w:rPr>
        <w:t>max</w:t>
      </w:r>
      <w:proofErr w:type="spellEnd"/>
      <w:r w:rsidR="00B72406">
        <w:rPr>
          <w:rFonts w:eastAsia="Times New Roman"/>
        </w:rPr>
        <w:t xml:space="preserve">) </w:t>
      </w:r>
      <w:r w:rsidRPr="00931E98">
        <w:rPr>
          <w:rFonts w:eastAsia="Times New Roman"/>
        </w:rPr>
        <w:t xml:space="preserve">the clinical exposure. </w:t>
      </w:r>
      <w:r w:rsidR="00B72406" w:rsidRPr="00F72847">
        <w:rPr>
          <w:rFonts w:eastAsia="Times New Roman"/>
        </w:rPr>
        <w:t xml:space="preserve">Additionally, </w:t>
      </w:r>
      <w:proofErr w:type="spellStart"/>
      <w:r w:rsidR="00B72406" w:rsidRPr="00F72847">
        <w:rPr>
          <w:rFonts w:eastAsia="Times New Roman"/>
        </w:rPr>
        <w:t>embryofetal</w:t>
      </w:r>
      <w:proofErr w:type="spellEnd"/>
      <w:r w:rsidR="00B72406" w:rsidRPr="00F72847">
        <w:rPr>
          <w:rFonts w:eastAsia="Times New Roman"/>
        </w:rPr>
        <w:t xml:space="preserve"> lethality (increased </w:t>
      </w:r>
      <w:proofErr w:type="spellStart"/>
      <w:r w:rsidR="00B72406" w:rsidRPr="00F72847">
        <w:rPr>
          <w:rFonts w:eastAsia="Times New Roman"/>
        </w:rPr>
        <w:t>postimplantation</w:t>
      </w:r>
      <w:proofErr w:type="spellEnd"/>
      <w:r w:rsidR="00B72406" w:rsidRPr="00F72847">
        <w:rPr>
          <w:rFonts w:eastAsia="Times New Roman"/>
        </w:rPr>
        <w:t xml:space="preserve"> loss) was observed at 1 mg/kg/3 days in rabbits and at 0.6 mg/kg/3 days in rats in </w:t>
      </w:r>
      <w:r w:rsidR="00AD5522" w:rsidRPr="00F72847">
        <w:rPr>
          <w:rFonts w:eastAsia="Times New Roman"/>
        </w:rPr>
        <w:t>dose range finding studies</w:t>
      </w:r>
      <w:r w:rsidR="00B72406" w:rsidRPr="00B72406">
        <w:rPr>
          <w:rFonts w:eastAsia="Times New Roman"/>
        </w:rPr>
        <w:t>.</w:t>
      </w:r>
      <w:r w:rsidR="003A3EFF">
        <w:rPr>
          <w:rFonts w:eastAsia="Times New Roman"/>
        </w:rPr>
        <w:t xml:space="preserve"> </w:t>
      </w:r>
      <w:r w:rsidRPr="00931E98">
        <w:rPr>
          <w:rFonts w:eastAsia="Times New Roman"/>
        </w:rPr>
        <w:t>Exposures in rats at the dose of 0.</w:t>
      </w:r>
      <w:r w:rsidR="00B72406" w:rsidRPr="00931E98">
        <w:rPr>
          <w:rFonts w:eastAsia="Times New Roman"/>
        </w:rPr>
        <w:t>6</w:t>
      </w:r>
      <w:r w:rsidR="00B72406">
        <w:rPr>
          <w:rFonts w:eastAsia="Times New Roman"/>
        </w:rPr>
        <w:t> </w:t>
      </w:r>
      <w:r w:rsidRPr="00931E98">
        <w:rPr>
          <w:rFonts w:eastAsia="Times New Roman"/>
        </w:rPr>
        <w:t>mg/kg</w:t>
      </w:r>
      <w:r w:rsidR="00B72406">
        <w:rPr>
          <w:rFonts w:eastAsia="Times New Roman"/>
        </w:rPr>
        <w:t>/ 3 days</w:t>
      </w:r>
      <w:r w:rsidRPr="00931E98">
        <w:rPr>
          <w:rFonts w:eastAsia="Times New Roman"/>
        </w:rPr>
        <w:t xml:space="preserve"> </w:t>
      </w:r>
      <w:r w:rsidR="00B72406">
        <w:rPr>
          <w:rFonts w:eastAsia="Times New Roman"/>
        </w:rPr>
        <w:t>were</w:t>
      </w:r>
      <w:r w:rsidR="00B72406" w:rsidRPr="00931E98">
        <w:rPr>
          <w:rFonts w:eastAsia="Times New Roman"/>
        </w:rPr>
        <w:t xml:space="preserve"> </w:t>
      </w:r>
      <w:r w:rsidRPr="00931E98">
        <w:rPr>
          <w:rFonts w:eastAsia="Times New Roman"/>
        </w:rPr>
        <w:t>2 times</w:t>
      </w:r>
      <w:r w:rsidR="00B72406">
        <w:rPr>
          <w:rFonts w:eastAsia="Times New Roman"/>
        </w:rPr>
        <w:t xml:space="preserve"> (based on AUC) or 1.</w:t>
      </w:r>
      <w:r w:rsidR="005D0FC2">
        <w:rPr>
          <w:rFonts w:eastAsia="Times New Roman"/>
        </w:rPr>
        <w:t>3 </w:t>
      </w:r>
      <w:r w:rsidR="00B72406">
        <w:rPr>
          <w:rFonts w:eastAsia="Times New Roman"/>
        </w:rPr>
        <w:t xml:space="preserve">times (based on </w:t>
      </w:r>
      <w:proofErr w:type="spellStart"/>
      <w:r w:rsidR="00B72406">
        <w:rPr>
          <w:rFonts w:eastAsia="Times New Roman"/>
        </w:rPr>
        <w:t>C</w:t>
      </w:r>
      <w:r w:rsidR="00B72406" w:rsidRPr="00B72406">
        <w:rPr>
          <w:rFonts w:eastAsia="Times New Roman"/>
          <w:vertAlign w:val="subscript"/>
        </w:rPr>
        <w:t>max</w:t>
      </w:r>
      <w:proofErr w:type="spellEnd"/>
      <w:r w:rsidR="00B72406">
        <w:rPr>
          <w:rFonts w:eastAsia="Times New Roman"/>
        </w:rPr>
        <w:t>)</w:t>
      </w:r>
      <w:r w:rsidRPr="00931E98">
        <w:rPr>
          <w:rFonts w:eastAsia="Times New Roman"/>
        </w:rPr>
        <w:t xml:space="preserve"> the clinical</w:t>
      </w:r>
      <w:r w:rsidR="003A3EFF">
        <w:rPr>
          <w:rFonts w:eastAsia="Times New Roman"/>
        </w:rPr>
        <w:t xml:space="preserve"> </w:t>
      </w:r>
      <w:r w:rsidRPr="00931E98">
        <w:rPr>
          <w:rFonts w:eastAsia="Times New Roman"/>
        </w:rPr>
        <w:t>exposure</w:t>
      </w:r>
      <w:r w:rsidR="00C4700C" w:rsidRPr="00C4700C">
        <w:rPr>
          <w:rFonts w:eastAsia="Times New Roman"/>
        </w:rPr>
        <w:t>.</w:t>
      </w:r>
    </w:p>
    <w:p w:rsidR="00691008" w:rsidRDefault="002D31A3" w:rsidP="00160B6F">
      <w:pPr>
        <w:pStyle w:val="Heading2"/>
      </w:pPr>
      <w:r w:rsidRPr="002D31A3">
        <w:t xml:space="preserve">Use in </w:t>
      </w:r>
      <w:r w:rsidR="00506327">
        <w:t>L</w:t>
      </w:r>
      <w:r w:rsidRPr="002D31A3">
        <w:t>actation</w:t>
      </w:r>
    </w:p>
    <w:p w:rsidR="003A3EFF" w:rsidRDefault="0064600A" w:rsidP="0064600A">
      <w:pPr>
        <w:spacing w:after="240"/>
        <w:jc w:val="both"/>
        <w:rPr>
          <w:rFonts w:eastAsia="Times New Roman" w:cs="Arial"/>
        </w:rPr>
      </w:pPr>
      <w:r>
        <w:rPr>
          <w:rFonts w:eastAsia="Times New Roman" w:cs="Arial"/>
        </w:rPr>
        <w:t xml:space="preserve">It is not </w:t>
      </w:r>
      <w:r w:rsidRPr="0064600A">
        <w:rPr>
          <w:rFonts w:eastAsia="Times New Roman" w:cs="Arial"/>
        </w:rPr>
        <w:t>known whether NINLARO/metabolites are excreted in human milk. A risk to newborns/infants cannot be excluded.</w:t>
      </w:r>
    </w:p>
    <w:p w:rsidR="00677CCF" w:rsidRDefault="00C71AED" w:rsidP="0064600A">
      <w:pPr>
        <w:spacing w:after="240"/>
        <w:jc w:val="both"/>
        <w:rPr>
          <w:rFonts w:eastAsia="Times New Roman" w:cs="Arial"/>
        </w:rPr>
      </w:pPr>
      <w:r w:rsidRPr="00C71AED">
        <w:rPr>
          <w:rFonts w:eastAsia="Times New Roman" w:cs="Arial"/>
        </w:rPr>
        <w:t>Breast-feeding should be discontinued</w:t>
      </w:r>
      <w:r w:rsidR="0064600A" w:rsidRPr="0064600A">
        <w:rPr>
          <w:rFonts w:eastAsia="Times New Roman" w:cs="Arial"/>
        </w:rPr>
        <w:t>.</w:t>
      </w:r>
    </w:p>
    <w:p w:rsidR="00691008" w:rsidRPr="00E56E24" w:rsidRDefault="002D31A3" w:rsidP="00160B6F">
      <w:pPr>
        <w:pStyle w:val="Heading2"/>
      </w:pPr>
      <w:r w:rsidRPr="00E56E24">
        <w:t xml:space="preserve">Paediatric </w:t>
      </w:r>
      <w:r w:rsidR="00506327" w:rsidRPr="00160B6F">
        <w:t>U</w:t>
      </w:r>
      <w:r w:rsidRPr="00160B6F">
        <w:t>se</w:t>
      </w:r>
    </w:p>
    <w:p w:rsidR="00677CCF" w:rsidRPr="00E56E24" w:rsidRDefault="004F0CCD" w:rsidP="00677CCF">
      <w:pPr>
        <w:spacing w:after="240"/>
        <w:jc w:val="both"/>
        <w:rPr>
          <w:rFonts w:eastAsia="Times New Roman" w:cs="Arial"/>
        </w:rPr>
      </w:pPr>
      <w:r w:rsidRPr="00E56E24">
        <w:rPr>
          <w:rFonts w:eastAsia="Times New Roman" w:cs="Arial"/>
        </w:rPr>
        <w:lastRenderedPageBreak/>
        <w:t>The safety and efficacy of NINLARO in children below 18 years of age have not been established. No data are available.</w:t>
      </w:r>
    </w:p>
    <w:p w:rsidR="00691008" w:rsidRPr="00E56E24" w:rsidRDefault="002D31A3" w:rsidP="00160B6F">
      <w:pPr>
        <w:pStyle w:val="Heading2"/>
      </w:pPr>
      <w:r w:rsidRPr="00E56E24">
        <w:t xml:space="preserve">Use in the </w:t>
      </w:r>
      <w:r w:rsidR="00506327" w:rsidRPr="00160B6F">
        <w:t>E</w:t>
      </w:r>
      <w:r w:rsidRPr="00160B6F">
        <w:t>lderly</w:t>
      </w:r>
    </w:p>
    <w:p w:rsidR="008B690A" w:rsidRDefault="008B690A" w:rsidP="008B690A">
      <w:pPr>
        <w:spacing w:after="240"/>
        <w:jc w:val="both"/>
        <w:rPr>
          <w:rFonts w:eastAsia="Times New Roman" w:cs="Arial"/>
        </w:rPr>
      </w:pPr>
      <w:r w:rsidRPr="008B690A">
        <w:rPr>
          <w:rFonts w:eastAsia="Times New Roman" w:cs="Arial"/>
        </w:rPr>
        <w:t>In studies of NINLARO, there were no clinically significant differences in safety and efficacy between patients less than 65 years of age and patients 65 years of age or older</w:t>
      </w:r>
      <w:r w:rsidR="00D80748">
        <w:rPr>
          <w:rFonts w:eastAsia="Times New Roman" w:cs="Arial"/>
        </w:rPr>
        <w:t xml:space="preserve"> (see </w:t>
      </w:r>
      <w:hyperlink w:anchor="_DOSAGE_AND_ADMINISTRATION" w:history="1">
        <w:r w:rsidR="00D80748" w:rsidRPr="00541B05">
          <w:rPr>
            <w:rStyle w:val="Hyperlink"/>
            <w:rFonts w:eastAsia="Times New Roman" w:cs="Arial"/>
          </w:rPr>
          <w:t>DOSAGE AND ADMINISTRATION</w:t>
        </w:r>
      </w:hyperlink>
      <w:r w:rsidR="00D80748">
        <w:rPr>
          <w:rFonts w:eastAsia="Times New Roman" w:cs="Arial"/>
        </w:rPr>
        <w:t>)</w:t>
      </w:r>
      <w:r w:rsidRPr="008B690A">
        <w:rPr>
          <w:rFonts w:eastAsia="Times New Roman" w:cs="Arial"/>
        </w:rPr>
        <w:t>.</w:t>
      </w:r>
    </w:p>
    <w:p w:rsidR="002D7F2C" w:rsidRPr="003D4309" w:rsidRDefault="002D7F2C" w:rsidP="00160B6F">
      <w:pPr>
        <w:pStyle w:val="Heading2"/>
      </w:pPr>
      <w:r w:rsidRPr="00160B6F">
        <w:t>Genotoxicity</w:t>
      </w:r>
    </w:p>
    <w:p w:rsidR="003A6665" w:rsidRDefault="003A6665">
      <w:pPr>
        <w:spacing w:after="240"/>
        <w:jc w:val="both"/>
        <w:rPr>
          <w:rFonts w:eastAsia="Times New Roman" w:cs="Arial"/>
        </w:rPr>
      </w:pPr>
      <w:r w:rsidRPr="003A6665">
        <w:rPr>
          <w:rFonts w:eastAsia="Times New Roman" w:cs="Arial"/>
        </w:rPr>
        <w:t xml:space="preserve">Ixazomib was not mutagenic in a bacterial reverse mutation assay (Ames assay) nor was it clastogenic in a bone marrow micronucleus assay in mice. Ixazomib was considered positive in an </w:t>
      </w:r>
      <w:r w:rsidRPr="00613B99">
        <w:rPr>
          <w:rFonts w:eastAsia="Times New Roman" w:cs="Arial"/>
          <w:i/>
        </w:rPr>
        <w:t>in vitro</w:t>
      </w:r>
      <w:r w:rsidRPr="003A6665">
        <w:rPr>
          <w:rFonts w:eastAsia="Times New Roman" w:cs="Arial"/>
        </w:rPr>
        <w:t xml:space="preserve"> clastogenicity test in human peripheral blood lymphocytes. However, ixazomib was negative in an </w:t>
      </w:r>
      <w:r w:rsidRPr="00613B99">
        <w:rPr>
          <w:rFonts w:eastAsia="Times New Roman" w:cs="Arial"/>
          <w:i/>
        </w:rPr>
        <w:t>in vivo</w:t>
      </w:r>
      <w:r w:rsidRPr="003A6665">
        <w:rPr>
          <w:rFonts w:eastAsia="Times New Roman" w:cs="Arial"/>
        </w:rPr>
        <w:t xml:space="preserve"> comet assay in mice, in which percent tail DNA was assessed in the stomach and liver. Therefore, the weight of evidence supports that NINLARO is not considered to present a genotoxic risk.</w:t>
      </w:r>
    </w:p>
    <w:p w:rsidR="003A3EFF" w:rsidRDefault="002D31A3" w:rsidP="00160B6F">
      <w:pPr>
        <w:pStyle w:val="Heading2"/>
      </w:pPr>
      <w:r w:rsidRPr="00160B6F">
        <w:t>Carcinogenicity</w:t>
      </w:r>
    </w:p>
    <w:p w:rsidR="00677CCF" w:rsidRDefault="003A6665" w:rsidP="00677CCF">
      <w:pPr>
        <w:spacing w:after="240"/>
        <w:jc w:val="both"/>
        <w:rPr>
          <w:rFonts w:eastAsia="Times New Roman" w:cs="Arial"/>
        </w:rPr>
      </w:pPr>
      <w:r w:rsidRPr="003A6665">
        <w:rPr>
          <w:rFonts w:eastAsia="Times New Roman" w:cs="Arial"/>
        </w:rPr>
        <w:t xml:space="preserve">No carcinogenicity studies have been performed with </w:t>
      </w:r>
      <w:r w:rsidR="0069048F">
        <w:rPr>
          <w:rFonts w:eastAsia="Times New Roman" w:cs="Arial"/>
        </w:rPr>
        <w:t>ixazomib</w:t>
      </w:r>
      <w:r w:rsidRPr="003A6665">
        <w:rPr>
          <w:rFonts w:eastAsia="Times New Roman" w:cs="Arial"/>
        </w:rPr>
        <w:t>.</w:t>
      </w:r>
    </w:p>
    <w:p w:rsidR="00691008" w:rsidRDefault="002D31A3" w:rsidP="00FC74C6">
      <w:pPr>
        <w:pStyle w:val="Heading1"/>
      </w:pPr>
      <w:r w:rsidRPr="002D31A3">
        <w:t>I</w:t>
      </w:r>
      <w:r w:rsidR="0098651C">
        <w:t>NTERACTIONS WITH OTHER MEDICINES</w:t>
      </w:r>
    </w:p>
    <w:p w:rsidR="00CE2FB3" w:rsidRPr="00160B6F" w:rsidRDefault="00CE2FB3" w:rsidP="00FC74C6">
      <w:pPr>
        <w:pStyle w:val="Heading2"/>
        <w:rPr>
          <w:b w:val="0"/>
          <w:i/>
          <w:u w:val="single"/>
        </w:rPr>
      </w:pPr>
      <w:r w:rsidRPr="00160B6F">
        <w:rPr>
          <w:b w:val="0"/>
          <w:i/>
          <w:u w:val="single"/>
        </w:rPr>
        <w:t>Effect of Other Drugs on NINLARO</w:t>
      </w:r>
    </w:p>
    <w:p w:rsidR="00CE2FB3" w:rsidRPr="008021D8" w:rsidRDefault="00CE2FB3" w:rsidP="00FC74C6">
      <w:pPr>
        <w:pStyle w:val="Heading3"/>
      </w:pPr>
      <w:r w:rsidRPr="008021D8">
        <w:t>Strong CYP3A Inducers</w:t>
      </w:r>
    </w:p>
    <w:p w:rsidR="003A3EFF" w:rsidRDefault="00CE2FB3" w:rsidP="00CE2FB3">
      <w:pPr>
        <w:spacing w:after="240"/>
        <w:jc w:val="both"/>
        <w:rPr>
          <w:rFonts w:eastAsia="Times New Roman" w:cs="Arial"/>
        </w:rPr>
      </w:pPr>
      <w:r w:rsidRPr="00CE2FB3">
        <w:rPr>
          <w:rFonts w:eastAsia="Times New Roman" w:cs="Arial"/>
        </w:rPr>
        <w:t xml:space="preserve">Co-administration of NINLARO with </w:t>
      </w:r>
      <w:r w:rsidR="00CE7CD1" w:rsidRPr="00CE7CD1">
        <w:rPr>
          <w:rFonts w:eastAsia="Times New Roman" w:cs="Arial"/>
        </w:rPr>
        <w:t>rifampicin</w:t>
      </w:r>
      <w:r w:rsidRPr="00CE2FB3">
        <w:rPr>
          <w:rFonts w:eastAsia="Times New Roman" w:cs="Arial"/>
        </w:rPr>
        <w:t xml:space="preserve"> decreased </w:t>
      </w:r>
      <w:proofErr w:type="spellStart"/>
      <w:r w:rsidRPr="00CE2FB3">
        <w:rPr>
          <w:rFonts w:eastAsia="Times New Roman" w:cs="Arial"/>
        </w:rPr>
        <w:t>ixazomib</w:t>
      </w:r>
      <w:proofErr w:type="spellEnd"/>
      <w:r w:rsidRPr="00CE2FB3">
        <w:rPr>
          <w:rFonts w:eastAsia="Times New Roman" w:cs="Arial"/>
        </w:rPr>
        <w:t xml:space="preserve"> </w:t>
      </w:r>
      <w:proofErr w:type="spellStart"/>
      <w:r w:rsidRPr="00CE2FB3">
        <w:rPr>
          <w:rFonts w:eastAsia="Times New Roman" w:cs="Arial"/>
        </w:rPr>
        <w:t>C</w:t>
      </w:r>
      <w:r w:rsidRPr="000817C3">
        <w:rPr>
          <w:rFonts w:eastAsia="Times New Roman" w:cs="Arial"/>
          <w:vertAlign w:val="subscript"/>
        </w:rPr>
        <w:t>max</w:t>
      </w:r>
      <w:proofErr w:type="spellEnd"/>
      <w:r w:rsidRPr="00CE2FB3">
        <w:rPr>
          <w:rFonts w:eastAsia="Times New Roman" w:cs="Arial"/>
        </w:rPr>
        <w:t xml:space="preserve"> by 54% and AUC by 74%.</w:t>
      </w:r>
    </w:p>
    <w:p w:rsidR="00CE2FB3" w:rsidRPr="00CE2FB3" w:rsidRDefault="00CE2FB3" w:rsidP="00EB79E3">
      <w:pPr>
        <w:spacing w:after="240"/>
        <w:jc w:val="both"/>
        <w:rPr>
          <w:rFonts w:eastAsia="Times New Roman" w:cs="Arial"/>
        </w:rPr>
      </w:pPr>
      <w:r w:rsidRPr="00CE2FB3">
        <w:rPr>
          <w:rFonts w:eastAsia="Times New Roman" w:cs="Arial"/>
        </w:rPr>
        <w:t>Co-administration of strong CYP3A inducers</w:t>
      </w:r>
      <w:r w:rsidR="00EB79E3">
        <w:rPr>
          <w:rFonts w:eastAsia="Times New Roman" w:cs="Arial"/>
        </w:rPr>
        <w:t xml:space="preserve"> </w:t>
      </w:r>
      <w:r w:rsidR="00EB79E3" w:rsidRPr="00EB79E3">
        <w:rPr>
          <w:rFonts w:eastAsia="Times New Roman" w:cs="Arial"/>
        </w:rPr>
        <w:t xml:space="preserve">(such as rifampicin, phenytoin, </w:t>
      </w:r>
      <w:proofErr w:type="spellStart"/>
      <w:r w:rsidR="00EB79E3" w:rsidRPr="00EB79E3">
        <w:rPr>
          <w:rFonts w:eastAsia="Times New Roman" w:cs="Arial"/>
        </w:rPr>
        <w:t>carbamazepine</w:t>
      </w:r>
      <w:proofErr w:type="gramStart"/>
      <w:r w:rsidR="00EB79E3" w:rsidRPr="00EB79E3">
        <w:rPr>
          <w:rFonts w:eastAsia="Times New Roman" w:cs="Arial"/>
        </w:rPr>
        <w:t>,and</w:t>
      </w:r>
      <w:proofErr w:type="spellEnd"/>
      <w:proofErr w:type="gramEnd"/>
      <w:r w:rsidR="00EB79E3" w:rsidRPr="00EB79E3">
        <w:rPr>
          <w:rFonts w:eastAsia="Times New Roman" w:cs="Arial"/>
        </w:rPr>
        <w:t xml:space="preserve"> St. John’s Wort)</w:t>
      </w:r>
      <w:r w:rsidRPr="00CE2FB3">
        <w:rPr>
          <w:rFonts w:eastAsia="Times New Roman" w:cs="Arial"/>
        </w:rPr>
        <w:t xml:space="preserve"> with NINLARO is not recommended.</w:t>
      </w:r>
    </w:p>
    <w:p w:rsidR="00CE2FB3" w:rsidRPr="008021D8" w:rsidRDefault="00CE2FB3" w:rsidP="00FC74C6">
      <w:pPr>
        <w:pStyle w:val="Heading3"/>
      </w:pPr>
      <w:r w:rsidRPr="008021D8">
        <w:t>Strong CYP3A Inhibitors</w:t>
      </w:r>
    </w:p>
    <w:p w:rsidR="00CE2FB3" w:rsidRPr="00CE2FB3" w:rsidRDefault="00CE2FB3" w:rsidP="00CE2FB3">
      <w:pPr>
        <w:spacing w:after="240"/>
        <w:jc w:val="both"/>
        <w:rPr>
          <w:rFonts w:eastAsia="Times New Roman" w:cs="Arial"/>
        </w:rPr>
      </w:pPr>
      <w:r w:rsidRPr="00CE2FB3">
        <w:rPr>
          <w:rFonts w:eastAsia="Times New Roman" w:cs="Arial"/>
        </w:rPr>
        <w:t xml:space="preserve">Co-administration of NINLARO with clarithromycin did not result in a clinically meaningful change in the systemic exposure of </w:t>
      </w:r>
      <w:proofErr w:type="spellStart"/>
      <w:r w:rsidRPr="00CE2FB3">
        <w:rPr>
          <w:rFonts w:eastAsia="Times New Roman" w:cs="Arial"/>
        </w:rPr>
        <w:t>ixazomib</w:t>
      </w:r>
      <w:proofErr w:type="spellEnd"/>
      <w:r w:rsidRPr="00CE2FB3">
        <w:rPr>
          <w:rFonts w:eastAsia="Times New Roman" w:cs="Arial"/>
        </w:rPr>
        <w:t>.</w:t>
      </w:r>
      <w:r w:rsidR="003A3EFF">
        <w:rPr>
          <w:rFonts w:eastAsia="Times New Roman" w:cs="Arial"/>
        </w:rPr>
        <w:t xml:space="preserve"> </w:t>
      </w:r>
      <w:proofErr w:type="spellStart"/>
      <w:r w:rsidRPr="00CE2FB3">
        <w:rPr>
          <w:rFonts w:eastAsia="Times New Roman" w:cs="Arial"/>
        </w:rPr>
        <w:t>Ixazomib</w:t>
      </w:r>
      <w:proofErr w:type="spellEnd"/>
      <w:r w:rsidRPr="00CE2FB3">
        <w:rPr>
          <w:rFonts w:eastAsia="Times New Roman" w:cs="Arial"/>
        </w:rPr>
        <w:t xml:space="preserve"> </w:t>
      </w:r>
      <w:proofErr w:type="spellStart"/>
      <w:r w:rsidRPr="00CE2FB3">
        <w:rPr>
          <w:rFonts w:eastAsia="Times New Roman" w:cs="Arial"/>
        </w:rPr>
        <w:t>C</w:t>
      </w:r>
      <w:r w:rsidRPr="00FC42AA">
        <w:rPr>
          <w:rFonts w:eastAsia="Times New Roman" w:cs="Arial"/>
          <w:vertAlign w:val="subscript"/>
        </w:rPr>
        <w:t>max</w:t>
      </w:r>
      <w:proofErr w:type="spellEnd"/>
      <w:r w:rsidRPr="00CE2FB3">
        <w:rPr>
          <w:rFonts w:eastAsia="Times New Roman" w:cs="Arial"/>
        </w:rPr>
        <w:t xml:space="preserve"> was decreased by 4% and AUC was increased by 11%.</w:t>
      </w:r>
    </w:p>
    <w:p w:rsidR="00CE2FB3" w:rsidRPr="00CE2FB3" w:rsidRDefault="00CE2FB3" w:rsidP="00CE2FB3">
      <w:pPr>
        <w:spacing w:after="240"/>
        <w:jc w:val="both"/>
        <w:rPr>
          <w:rFonts w:eastAsia="Times New Roman" w:cs="Arial"/>
        </w:rPr>
      </w:pPr>
      <w:r w:rsidRPr="00CE2FB3">
        <w:rPr>
          <w:rFonts w:eastAsia="Times New Roman" w:cs="Arial"/>
        </w:rPr>
        <w:t>No dose modification is required for NINLARO with co-administration of strong CYP3A</w:t>
      </w:r>
      <w:r w:rsidR="001A73FC">
        <w:rPr>
          <w:rFonts w:eastAsia="Times New Roman" w:cs="Arial"/>
        </w:rPr>
        <w:t> </w:t>
      </w:r>
      <w:r w:rsidRPr="00CE2FB3">
        <w:rPr>
          <w:rFonts w:eastAsia="Times New Roman" w:cs="Arial"/>
        </w:rPr>
        <w:t>inhibitors.</w:t>
      </w:r>
    </w:p>
    <w:p w:rsidR="00CE2FB3" w:rsidRPr="00160B6F" w:rsidRDefault="00CE2FB3" w:rsidP="00FC74C6">
      <w:pPr>
        <w:pStyle w:val="Heading2"/>
        <w:rPr>
          <w:b w:val="0"/>
          <w:i/>
          <w:u w:val="single"/>
        </w:rPr>
      </w:pPr>
      <w:r w:rsidRPr="00160B6F">
        <w:rPr>
          <w:b w:val="0"/>
          <w:i/>
          <w:u w:val="single"/>
        </w:rPr>
        <w:t>Effect of NINLARO on Other Drugs</w:t>
      </w:r>
    </w:p>
    <w:p w:rsidR="003A3EFF" w:rsidRDefault="00CE2FB3" w:rsidP="00CE2FB3">
      <w:pPr>
        <w:spacing w:after="240"/>
        <w:jc w:val="both"/>
        <w:rPr>
          <w:rFonts w:eastAsia="Times New Roman" w:cs="Arial"/>
        </w:rPr>
      </w:pPr>
      <w:r w:rsidRPr="00CE2FB3">
        <w:rPr>
          <w:rFonts w:eastAsia="Times New Roman" w:cs="Arial"/>
        </w:rPr>
        <w:t xml:space="preserve">NINLARO is not expected to produce drug-drug interactions via CYP inhibition or induction. </w:t>
      </w:r>
      <w:proofErr w:type="spellStart"/>
      <w:r w:rsidRPr="00CE2FB3">
        <w:rPr>
          <w:rFonts w:eastAsia="Times New Roman" w:cs="Arial"/>
        </w:rPr>
        <w:t>Ixazomib</w:t>
      </w:r>
      <w:proofErr w:type="spellEnd"/>
      <w:r w:rsidRPr="00CE2FB3">
        <w:rPr>
          <w:rFonts w:eastAsia="Times New Roman" w:cs="Arial"/>
        </w:rPr>
        <w:t xml:space="preserve"> is </w:t>
      </w:r>
      <w:r w:rsidR="007A33F5">
        <w:rPr>
          <w:rFonts w:eastAsia="Times New Roman" w:cs="Arial"/>
        </w:rPr>
        <w:t>neither</w:t>
      </w:r>
      <w:r w:rsidR="007A33F5" w:rsidRPr="00CE2FB3">
        <w:rPr>
          <w:rFonts w:eastAsia="Times New Roman" w:cs="Arial"/>
        </w:rPr>
        <w:t xml:space="preserve"> </w:t>
      </w:r>
      <w:r w:rsidRPr="00CE2FB3">
        <w:rPr>
          <w:rFonts w:eastAsia="Times New Roman" w:cs="Arial"/>
        </w:rPr>
        <w:t xml:space="preserve">a reversible </w:t>
      </w:r>
      <w:r w:rsidR="007A33F5">
        <w:rPr>
          <w:rFonts w:eastAsia="Times New Roman" w:cs="Arial"/>
        </w:rPr>
        <w:t>n</w:t>
      </w:r>
      <w:r w:rsidRPr="00CE2FB3">
        <w:rPr>
          <w:rFonts w:eastAsia="Times New Roman" w:cs="Arial"/>
        </w:rPr>
        <w:t xml:space="preserve">or a time-dependent inhibitor of CYPs 1A2, 2B6, 2C8, 2C9, 2C19, 2D6, or 3A4/5. </w:t>
      </w:r>
      <w:proofErr w:type="spellStart"/>
      <w:r w:rsidRPr="00CE2FB3">
        <w:rPr>
          <w:rFonts w:eastAsia="Times New Roman" w:cs="Arial"/>
        </w:rPr>
        <w:t>Ixazomib</w:t>
      </w:r>
      <w:proofErr w:type="spellEnd"/>
      <w:r w:rsidRPr="00CE2FB3">
        <w:rPr>
          <w:rFonts w:eastAsia="Times New Roman" w:cs="Arial"/>
        </w:rPr>
        <w:t xml:space="preserve"> did not induce CYP1A2, CYP2B6, and CYP3A4/5 activity or corresponding </w:t>
      </w:r>
      <w:proofErr w:type="spellStart"/>
      <w:r w:rsidRPr="00CE2FB3">
        <w:rPr>
          <w:rFonts w:eastAsia="Times New Roman" w:cs="Arial"/>
        </w:rPr>
        <w:t>immunoreactive</w:t>
      </w:r>
      <w:proofErr w:type="spellEnd"/>
      <w:r w:rsidRPr="00CE2FB3">
        <w:rPr>
          <w:rFonts w:eastAsia="Times New Roman" w:cs="Arial"/>
        </w:rPr>
        <w:t xml:space="preserve"> protein levels.</w:t>
      </w:r>
    </w:p>
    <w:p w:rsidR="00CE2FB3" w:rsidRPr="00160B6F" w:rsidRDefault="00CE2FB3" w:rsidP="00FC74C6">
      <w:pPr>
        <w:pStyle w:val="Heading2"/>
        <w:rPr>
          <w:b w:val="0"/>
          <w:i/>
          <w:u w:val="single"/>
        </w:rPr>
      </w:pPr>
      <w:r w:rsidRPr="00160B6F">
        <w:rPr>
          <w:b w:val="0"/>
          <w:i/>
          <w:u w:val="single"/>
        </w:rPr>
        <w:t>Transporter-Based Interactions</w:t>
      </w:r>
    </w:p>
    <w:p w:rsidR="00CE2FB3" w:rsidRDefault="00CE2FB3" w:rsidP="00CE2FB3">
      <w:pPr>
        <w:spacing w:after="240"/>
        <w:jc w:val="both"/>
        <w:rPr>
          <w:rFonts w:eastAsia="Times New Roman" w:cs="Arial"/>
        </w:rPr>
      </w:pPr>
      <w:r w:rsidRPr="00CE2FB3">
        <w:rPr>
          <w:rFonts w:eastAsia="Times New Roman" w:cs="Arial"/>
        </w:rPr>
        <w:t xml:space="preserve">NINLARO is not expected to cause transporter-mediated drug-drug interactions. </w:t>
      </w:r>
      <w:proofErr w:type="spellStart"/>
      <w:r w:rsidRPr="00CE2FB3">
        <w:rPr>
          <w:rFonts w:eastAsia="Times New Roman" w:cs="Arial"/>
        </w:rPr>
        <w:t>Ixazomib</w:t>
      </w:r>
      <w:proofErr w:type="spellEnd"/>
      <w:r w:rsidRPr="00CE2FB3">
        <w:rPr>
          <w:rFonts w:eastAsia="Times New Roman" w:cs="Arial"/>
        </w:rPr>
        <w:t xml:space="preserve"> is a low affinity substrate of </w:t>
      </w:r>
      <w:r w:rsidR="009E11F2">
        <w:rPr>
          <w:rFonts w:eastAsia="Times New Roman" w:cs="Arial"/>
        </w:rPr>
        <w:t>P-glycoprotein (</w:t>
      </w:r>
      <w:r w:rsidRPr="00CE2FB3">
        <w:rPr>
          <w:rFonts w:eastAsia="Times New Roman" w:cs="Arial"/>
        </w:rPr>
        <w:t>P-</w:t>
      </w:r>
      <w:proofErr w:type="spellStart"/>
      <w:r w:rsidRPr="00CE2FB3">
        <w:rPr>
          <w:rFonts w:eastAsia="Times New Roman" w:cs="Arial"/>
        </w:rPr>
        <w:t>gp</w:t>
      </w:r>
      <w:proofErr w:type="spellEnd"/>
      <w:r w:rsidR="009E11F2">
        <w:rPr>
          <w:rFonts w:eastAsia="Times New Roman" w:cs="Arial"/>
        </w:rPr>
        <w:t>)</w:t>
      </w:r>
      <w:r w:rsidRPr="00CE2FB3">
        <w:rPr>
          <w:rFonts w:eastAsia="Times New Roman" w:cs="Arial"/>
        </w:rPr>
        <w:t xml:space="preserve">. </w:t>
      </w:r>
      <w:proofErr w:type="spellStart"/>
      <w:r w:rsidRPr="00CE2FB3">
        <w:rPr>
          <w:rFonts w:eastAsia="Times New Roman" w:cs="Arial"/>
        </w:rPr>
        <w:t>Ixazomib</w:t>
      </w:r>
      <w:proofErr w:type="spellEnd"/>
      <w:r w:rsidRPr="00CE2FB3">
        <w:rPr>
          <w:rFonts w:eastAsia="Times New Roman" w:cs="Arial"/>
        </w:rPr>
        <w:t xml:space="preserve"> is not a substrate of </w:t>
      </w:r>
      <w:r w:rsidR="00461700" w:rsidRPr="00CE2FB3">
        <w:rPr>
          <w:rFonts w:eastAsia="Times New Roman" w:cs="Arial"/>
        </w:rPr>
        <w:t>BCRP, MRP2</w:t>
      </w:r>
      <w:r w:rsidR="008D34A7">
        <w:rPr>
          <w:rFonts w:eastAsia="Times New Roman" w:cs="Arial"/>
        </w:rPr>
        <w:t>,</w:t>
      </w:r>
      <w:r w:rsidR="00461700" w:rsidRPr="00CE2FB3">
        <w:rPr>
          <w:rFonts w:eastAsia="Times New Roman" w:cs="Arial"/>
        </w:rPr>
        <w:t xml:space="preserve"> </w:t>
      </w:r>
      <w:r w:rsidRPr="00CE2FB3">
        <w:rPr>
          <w:rFonts w:eastAsia="Times New Roman" w:cs="Arial"/>
        </w:rPr>
        <w:t>hepatic OATPs</w:t>
      </w:r>
      <w:r w:rsidR="009E11F2">
        <w:rPr>
          <w:rFonts w:eastAsia="Times New Roman" w:cs="Arial"/>
        </w:rPr>
        <w:t xml:space="preserve"> or NTCP</w:t>
      </w:r>
      <w:r w:rsidRPr="00CE2FB3">
        <w:rPr>
          <w:rFonts w:eastAsia="Times New Roman" w:cs="Arial"/>
        </w:rPr>
        <w:t>.</w:t>
      </w:r>
      <w:r w:rsidR="003A3EFF">
        <w:rPr>
          <w:rFonts w:eastAsia="Times New Roman" w:cs="Arial"/>
        </w:rPr>
        <w:t xml:space="preserve"> </w:t>
      </w:r>
      <w:proofErr w:type="spellStart"/>
      <w:r w:rsidRPr="00CE2FB3">
        <w:rPr>
          <w:rFonts w:eastAsia="Times New Roman" w:cs="Arial"/>
        </w:rPr>
        <w:t>Ixazomib</w:t>
      </w:r>
      <w:proofErr w:type="spellEnd"/>
      <w:r w:rsidRPr="00CE2FB3">
        <w:rPr>
          <w:rFonts w:eastAsia="Times New Roman" w:cs="Arial"/>
        </w:rPr>
        <w:t xml:space="preserve"> is not an inhibitor of P-</w:t>
      </w:r>
      <w:proofErr w:type="spellStart"/>
      <w:r w:rsidRPr="00CE2FB3">
        <w:rPr>
          <w:rFonts w:eastAsia="Times New Roman" w:cs="Arial"/>
        </w:rPr>
        <w:t>gp</w:t>
      </w:r>
      <w:proofErr w:type="spellEnd"/>
      <w:r w:rsidRPr="00CE2FB3">
        <w:rPr>
          <w:rFonts w:eastAsia="Times New Roman" w:cs="Arial"/>
        </w:rPr>
        <w:t>, BCRP, MRP2, OATP1B1, OATP1B3, organic cation transporter (OCT</w:t>
      </w:r>
      <w:proofErr w:type="gramStart"/>
      <w:r w:rsidRPr="00CE2FB3">
        <w:rPr>
          <w:rFonts w:eastAsia="Times New Roman" w:cs="Arial"/>
        </w:rPr>
        <w:t>)2</w:t>
      </w:r>
      <w:proofErr w:type="gramEnd"/>
      <w:r w:rsidRPr="00CE2FB3">
        <w:rPr>
          <w:rFonts w:eastAsia="Times New Roman" w:cs="Arial"/>
        </w:rPr>
        <w:t>, organic anion transporter (OAT)1, OAT3, MATE1, or MATE2-K.</w:t>
      </w:r>
    </w:p>
    <w:p w:rsidR="00691008" w:rsidRDefault="002D31A3" w:rsidP="00FC74C6">
      <w:pPr>
        <w:pStyle w:val="Heading1"/>
      </w:pPr>
      <w:bookmarkStart w:id="7" w:name="_ADVERSE_EFFECTS"/>
      <w:bookmarkEnd w:id="7"/>
      <w:r w:rsidRPr="002D31A3">
        <w:t>ADVERSE EFFECTS</w:t>
      </w:r>
    </w:p>
    <w:p w:rsidR="00121BC9" w:rsidRDefault="00121BC9" w:rsidP="00160B6F">
      <w:pPr>
        <w:pStyle w:val="Heading2"/>
      </w:pPr>
      <w:r w:rsidRPr="002D31A3">
        <w:t>Clinical Trials Experience</w:t>
      </w:r>
    </w:p>
    <w:p w:rsidR="003A3EFF" w:rsidRDefault="00640A5A" w:rsidP="00640A5A">
      <w:pPr>
        <w:spacing w:after="240"/>
        <w:jc w:val="both"/>
        <w:rPr>
          <w:rFonts w:eastAsia="Times New Roman" w:cs="Arial"/>
        </w:rPr>
      </w:pPr>
      <w:r w:rsidRPr="00640A5A">
        <w:rPr>
          <w:rFonts w:eastAsia="Times New Roman" w:cs="Arial"/>
        </w:rPr>
        <w:t xml:space="preserve">The safety population from the Phase 3 randomized, double-blind, placebo-controlled clinical study included </w:t>
      </w:r>
      <w:r w:rsidRPr="00710AF4">
        <w:rPr>
          <w:rFonts w:eastAsia="Times New Roman" w:cs="Arial"/>
        </w:rPr>
        <w:t xml:space="preserve">720 patients with relapsed and/or refractory multiple myeloma, who received NINLARO in combination with </w:t>
      </w:r>
      <w:proofErr w:type="spellStart"/>
      <w:r w:rsidRPr="00710AF4">
        <w:rPr>
          <w:rFonts w:eastAsia="Times New Roman" w:cs="Arial"/>
        </w:rPr>
        <w:t>lenalidomide</w:t>
      </w:r>
      <w:proofErr w:type="spellEnd"/>
      <w:r w:rsidRPr="00710AF4">
        <w:rPr>
          <w:rFonts w:eastAsia="Times New Roman" w:cs="Arial"/>
        </w:rPr>
        <w:t xml:space="preserve"> and dexamethasone (NINLARO regimen; N=36</w:t>
      </w:r>
      <w:r w:rsidR="004158C7">
        <w:rPr>
          <w:rFonts w:eastAsia="Times New Roman" w:cs="Arial"/>
        </w:rPr>
        <w:t>1</w:t>
      </w:r>
      <w:r w:rsidRPr="00710AF4">
        <w:rPr>
          <w:rFonts w:eastAsia="Times New Roman" w:cs="Arial"/>
        </w:rPr>
        <w:t xml:space="preserve">) or placebo in combination with </w:t>
      </w:r>
      <w:proofErr w:type="spellStart"/>
      <w:r w:rsidRPr="00710AF4">
        <w:rPr>
          <w:rFonts w:eastAsia="Times New Roman" w:cs="Arial"/>
        </w:rPr>
        <w:t>lenalidomide</w:t>
      </w:r>
      <w:proofErr w:type="spellEnd"/>
      <w:r w:rsidRPr="00710AF4">
        <w:rPr>
          <w:rFonts w:eastAsia="Times New Roman" w:cs="Arial"/>
        </w:rPr>
        <w:t xml:space="preserve"> and dexamethasone (placebo regimen; N=3</w:t>
      </w:r>
      <w:r w:rsidR="004158C7">
        <w:rPr>
          <w:rFonts w:eastAsia="Times New Roman" w:cs="Arial"/>
        </w:rPr>
        <w:t>59</w:t>
      </w:r>
      <w:r w:rsidRPr="00710AF4">
        <w:rPr>
          <w:rFonts w:eastAsia="Times New Roman" w:cs="Arial"/>
        </w:rPr>
        <w:t>).</w:t>
      </w:r>
    </w:p>
    <w:p w:rsidR="00674F61" w:rsidRPr="00160B6F" w:rsidRDefault="00674F61" w:rsidP="00FC74C6">
      <w:pPr>
        <w:pStyle w:val="Heading3"/>
        <w:rPr>
          <w:u w:val="single"/>
        </w:rPr>
      </w:pPr>
      <w:r w:rsidRPr="00160B6F">
        <w:rPr>
          <w:u w:val="single"/>
        </w:rPr>
        <w:t>Summary of the safety profile</w:t>
      </w:r>
    </w:p>
    <w:p w:rsidR="00640A5A" w:rsidRPr="00640A5A" w:rsidRDefault="00674F61" w:rsidP="00E826F5">
      <w:pPr>
        <w:rPr>
          <w:rFonts w:eastAsia="Times New Roman"/>
        </w:rPr>
      </w:pPr>
      <w:r w:rsidRPr="00674F61">
        <w:rPr>
          <w:rFonts w:eastAsia="Times New Roman"/>
        </w:rPr>
        <w:t>The most frequently reported adverse reactions (≥ 20%) across 36</w:t>
      </w:r>
      <w:r w:rsidR="004158C7">
        <w:rPr>
          <w:rFonts w:eastAsia="Times New Roman"/>
        </w:rPr>
        <w:t>1</w:t>
      </w:r>
      <w:r w:rsidRPr="00674F61">
        <w:rPr>
          <w:rFonts w:eastAsia="Times New Roman"/>
        </w:rPr>
        <w:t xml:space="preserve"> patients treated within the</w:t>
      </w:r>
      <w:r>
        <w:rPr>
          <w:rFonts w:eastAsia="Times New Roman"/>
        </w:rPr>
        <w:t xml:space="preserve"> </w:t>
      </w:r>
      <w:r w:rsidRPr="00674F61">
        <w:rPr>
          <w:rFonts w:eastAsia="Times New Roman"/>
        </w:rPr>
        <w:t xml:space="preserve">NINLARO </w:t>
      </w:r>
      <w:r w:rsidR="002B2D05">
        <w:rPr>
          <w:rFonts w:eastAsia="Times New Roman"/>
        </w:rPr>
        <w:t xml:space="preserve">regimen </w:t>
      </w:r>
      <w:r w:rsidRPr="00674F61">
        <w:rPr>
          <w:rFonts w:eastAsia="Times New Roman"/>
        </w:rPr>
        <w:t xml:space="preserve">and </w:t>
      </w:r>
      <w:r w:rsidR="002B2D05">
        <w:rPr>
          <w:rFonts w:eastAsia="Times New Roman"/>
        </w:rPr>
        <w:t xml:space="preserve">359 within the </w:t>
      </w:r>
      <w:r w:rsidRPr="00674F61">
        <w:rPr>
          <w:rFonts w:eastAsia="Times New Roman"/>
        </w:rPr>
        <w:t>placebo regimen in the pivotal clinical trial were diarrhoea (4</w:t>
      </w:r>
      <w:r w:rsidR="002B2D05">
        <w:rPr>
          <w:rFonts w:eastAsia="Times New Roman"/>
        </w:rPr>
        <w:t>5</w:t>
      </w:r>
      <w:r w:rsidRPr="00674F61">
        <w:rPr>
          <w:rFonts w:eastAsia="Times New Roman"/>
        </w:rPr>
        <w:t>% vs. 3</w:t>
      </w:r>
      <w:r w:rsidR="002B2D05">
        <w:rPr>
          <w:rFonts w:eastAsia="Times New Roman"/>
        </w:rPr>
        <w:t>9</w:t>
      </w:r>
      <w:r w:rsidRPr="00674F61">
        <w:rPr>
          <w:rFonts w:eastAsia="Times New Roman"/>
        </w:rPr>
        <w:t>%),</w:t>
      </w:r>
      <w:r>
        <w:rPr>
          <w:rFonts w:eastAsia="Times New Roman"/>
        </w:rPr>
        <w:t xml:space="preserve"> </w:t>
      </w:r>
      <w:r w:rsidRPr="00674F61">
        <w:rPr>
          <w:rFonts w:eastAsia="Times New Roman"/>
        </w:rPr>
        <w:t>constipation (3</w:t>
      </w:r>
      <w:r w:rsidR="002B2D05">
        <w:rPr>
          <w:rFonts w:eastAsia="Times New Roman"/>
        </w:rPr>
        <w:t>5</w:t>
      </w:r>
      <w:r w:rsidRPr="00674F61">
        <w:rPr>
          <w:rFonts w:eastAsia="Times New Roman"/>
        </w:rPr>
        <w:t>% vs. 2</w:t>
      </w:r>
      <w:r w:rsidR="002B2D05">
        <w:rPr>
          <w:rFonts w:eastAsia="Times New Roman"/>
        </w:rPr>
        <w:t>6</w:t>
      </w:r>
      <w:r w:rsidRPr="00674F61">
        <w:rPr>
          <w:rFonts w:eastAsia="Times New Roman"/>
        </w:rPr>
        <w:t>%), thrombocytopenia (</w:t>
      </w:r>
      <w:r w:rsidR="002B2D05">
        <w:rPr>
          <w:rFonts w:eastAsia="Times New Roman"/>
        </w:rPr>
        <w:t>31</w:t>
      </w:r>
      <w:r w:rsidRPr="00674F61">
        <w:rPr>
          <w:rFonts w:eastAsia="Times New Roman"/>
        </w:rPr>
        <w:t>% vs. 1</w:t>
      </w:r>
      <w:r w:rsidR="002B2D05">
        <w:rPr>
          <w:rFonts w:eastAsia="Times New Roman"/>
        </w:rPr>
        <w:t>6</w:t>
      </w:r>
      <w:r w:rsidRPr="00674F61">
        <w:rPr>
          <w:rFonts w:eastAsia="Times New Roman"/>
        </w:rPr>
        <w:t>%), peripheral neuropathy (2</w:t>
      </w:r>
      <w:r w:rsidR="002B2D05">
        <w:rPr>
          <w:rFonts w:eastAsia="Times New Roman"/>
        </w:rPr>
        <w:t>7</w:t>
      </w:r>
      <w:r w:rsidRPr="00674F61">
        <w:rPr>
          <w:rFonts w:eastAsia="Times New Roman"/>
        </w:rPr>
        <w:t>% vs. 2</w:t>
      </w:r>
      <w:r w:rsidR="002B2D05">
        <w:rPr>
          <w:rFonts w:eastAsia="Times New Roman"/>
        </w:rPr>
        <w:t>2</w:t>
      </w:r>
      <w:r w:rsidRPr="00674F61">
        <w:rPr>
          <w:rFonts w:eastAsia="Times New Roman"/>
        </w:rPr>
        <w:t>%),</w:t>
      </w:r>
      <w:r>
        <w:rPr>
          <w:rFonts w:eastAsia="Times New Roman"/>
        </w:rPr>
        <w:t xml:space="preserve"> </w:t>
      </w:r>
      <w:r w:rsidRPr="00674F61">
        <w:rPr>
          <w:rFonts w:eastAsia="Times New Roman"/>
        </w:rPr>
        <w:t>nausea (2</w:t>
      </w:r>
      <w:r w:rsidR="002B2D05">
        <w:rPr>
          <w:rFonts w:eastAsia="Times New Roman"/>
        </w:rPr>
        <w:t>9</w:t>
      </w:r>
      <w:r w:rsidRPr="00674F61">
        <w:rPr>
          <w:rFonts w:eastAsia="Times New Roman"/>
        </w:rPr>
        <w:t>% vs. 2</w:t>
      </w:r>
      <w:r w:rsidR="002B2D05">
        <w:rPr>
          <w:rFonts w:eastAsia="Times New Roman"/>
        </w:rPr>
        <w:t>2</w:t>
      </w:r>
      <w:r w:rsidRPr="00674F61">
        <w:rPr>
          <w:rFonts w:eastAsia="Times New Roman"/>
        </w:rPr>
        <w:t>%), peripheral oedema (2</w:t>
      </w:r>
      <w:r w:rsidR="002B2D05">
        <w:rPr>
          <w:rFonts w:eastAsia="Times New Roman"/>
        </w:rPr>
        <w:t>8</w:t>
      </w:r>
      <w:r w:rsidRPr="00674F61">
        <w:rPr>
          <w:rFonts w:eastAsia="Times New Roman"/>
        </w:rPr>
        <w:t xml:space="preserve">% vs. </w:t>
      </w:r>
      <w:r w:rsidR="002B2D05">
        <w:rPr>
          <w:rFonts w:eastAsia="Times New Roman"/>
        </w:rPr>
        <w:t>20</w:t>
      </w:r>
      <w:r w:rsidRPr="00674F61">
        <w:rPr>
          <w:rFonts w:eastAsia="Times New Roman"/>
        </w:rPr>
        <w:t>%), vomiting (2</w:t>
      </w:r>
      <w:r w:rsidR="002B2D05">
        <w:rPr>
          <w:rFonts w:eastAsia="Times New Roman"/>
        </w:rPr>
        <w:t>3</w:t>
      </w:r>
      <w:r w:rsidRPr="00674F61">
        <w:rPr>
          <w:rFonts w:eastAsia="Times New Roman"/>
        </w:rPr>
        <w:t>% vs. 11%), back pain</w:t>
      </w:r>
      <w:r>
        <w:rPr>
          <w:rFonts w:eastAsia="Times New Roman"/>
        </w:rPr>
        <w:t xml:space="preserve"> </w:t>
      </w:r>
      <w:r w:rsidRPr="00674F61">
        <w:rPr>
          <w:rFonts w:eastAsia="Times New Roman"/>
        </w:rPr>
        <w:t>(2</w:t>
      </w:r>
      <w:r w:rsidR="002B2D05">
        <w:rPr>
          <w:rFonts w:eastAsia="Times New Roman"/>
        </w:rPr>
        <w:t>4</w:t>
      </w:r>
      <w:r w:rsidRPr="00674F61">
        <w:rPr>
          <w:rFonts w:eastAsia="Times New Roman"/>
        </w:rPr>
        <w:t>% vs. 1</w:t>
      </w:r>
      <w:r w:rsidR="002B2D05">
        <w:rPr>
          <w:rFonts w:eastAsia="Times New Roman"/>
        </w:rPr>
        <w:t>7</w:t>
      </w:r>
      <w:r w:rsidRPr="00674F61">
        <w:rPr>
          <w:rFonts w:eastAsia="Times New Roman"/>
        </w:rPr>
        <w:t>%)</w:t>
      </w:r>
      <w:r w:rsidR="002B2D05">
        <w:rPr>
          <w:rFonts w:eastAsia="Times New Roman"/>
        </w:rPr>
        <w:t xml:space="preserve"> and upper respiratory tract infection (23% vs. 19%)</w:t>
      </w:r>
      <w:r w:rsidRPr="00674F61">
        <w:rPr>
          <w:rFonts w:eastAsia="Times New Roman"/>
        </w:rPr>
        <w:t xml:space="preserve">. Serious adverse reactions reported in ≥ 2% of patients included </w:t>
      </w:r>
      <w:r w:rsidRPr="00674F61">
        <w:rPr>
          <w:rFonts w:eastAsia="Times New Roman"/>
        </w:rPr>
        <w:lastRenderedPageBreak/>
        <w:t>thrombocytopenia</w:t>
      </w:r>
      <w:r>
        <w:rPr>
          <w:rFonts w:eastAsia="Times New Roman"/>
        </w:rPr>
        <w:t xml:space="preserve"> </w:t>
      </w:r>
      <w:r w:rsidR="00E338B3">
        <w:rPr>
          <w:rFonts w:eastAsia="Times New Roman"/>
        </w:rPr>
        <w:t>(2%</w:t>
      </w:r>
      <w:r w:rsidR="002B2D05">
        <w:rPr>
          <w:rFonts w:eastAsia="Times New Roman"/>
        </w:rPr>
        <w:t xml:space="preserve"> in both regimens</w:t>
      </w:r>
      <w:r w:rsidR="00E338B3">
        <w:rPr>
          <w:rFonts w:eastAsia="Times New Roman"/>
        </w:rPr>
        <w:t>) and diarrhoea (2%</w:t>
      </w:r>
      <w:r w:rsidR="002B2D05">
        <w:rPr>
          <w:rFonts w:eastAsia="Times New Roman"/>
        </w:rPr>
        <w:t xml:space="preserve"> and &lt;1% in the NINLARO </w:t>
      </w:r>
      <w:r w:rsidR="0036366E">
        <w:rPr>
          <w:rFonts w:eastAsia="Times New Roman"/>
        </w:rPr>
        <w:t>and placebo regimens</w:t>
      </w:r>
      <w:r w:rsidR="002B2D05">
        <w:rPr>
          <w:rFonts w:eastAsia="Times New Roman"/>
        </w:rPr>
        <w:t>, respectively</w:t>
      </w:r>
      <w:r w:rsidR="00E338B3">
        <w:rPr>
          <w:rFonts w:eastAsia="Times New Roman"/>
        </w:rPr>
        <w:t>)</w:t>
      </w:r>
      <w:r w:rsidR="00640A5A" w:rsidRPr="00640A5A">
        <w:rPr>
          <w:rFonts w:eastAsia="Times New Roman"/>
        </w:rPr>
        <w:t>.</w:t>
      </w:r>
    </w:p>
    <w:p w:rsidR="00640A5A" w:rsidRPr="00160B6F" w:rsidRDefault="00640A5A" w:rsidP="00FC74C6">
      <w:pPr>
        <w:pStyle w:val="Heading3"/>
        <w:rPr>
          <w:u w:val="single"/>
        </w:rPr>
      </w:pPr>
      <w:r w:rsidRPr="00160B6F">
        <w:rPr>
          <w:u w:val="single"/>
        </w:rPr>
        <w:t>Tabulated list of adverse reactions</w:t>
      </w:r>
    </w:p>
    <w:p w:rsidR="00630BC7" w:rsidRDefault="006F0259" w:rsidP="00E826F5">
      <w:pPr>
        <w:rPr>
          <w:rFonts w:eastAsia="Times New Roman"/>
        </w:rPr>
      </w:pPr>
      <w:r>
        <w:rPr>
          <w:rFonts w:eastAsia="Times New Roman"/>
        </w:rPr>
        <w:fldChar w:fldCharType="begin"/>
      </w:r>
      <w:r w:rsidR="00ED5F39">
        <w:rPr>
          <w:rFonts w:eastAsia="Times New Roman"/>
        </w:rPr>
        <w:instrText xml:space="preserve"> REF _Ref448320381 \h </w:instrText>
      </w:r>
      <w:r w:rsidR="008D34A7">
        <w:rPr>
          <w:rFonts w:eastAsia="Times New Roman"/>
        </w:rPr>
        <w:instrText xml:space="preserve"> \* MERGEFORMAT </w:instrText>
      </w:r>
      <w:r>
        <w:rPr>
          <w:rFonts w:eastAsia="Times New Roman"/>
        </w:rPr>
      </w:r>
      <w:r>
        <w:rPr>
          <w:rFonts w:eastAsia="Times New Roman"/>
        </w:rPr>
        <w:fldChar w:fldCharType="separate"/>
      </w:r>
      <w:r w:rsidR="00ED5F39" w:rsidRPr="008D34A7">
        <w:rPr>
          <w:rFonts w:eastAsia="Times New Roman"/>
        </w:rPr>
        <w:t>Table 4</w:t>
      </w:r>
      <w:r>
        <w:rPr>
          <w:rFonts w:eastAsia="Times New Roman"/>
        </w:rPr>
        <w:fldChar w:fldCharType="end"/>
      </w:r>
      <w:r w:rsidR="00ED5F39">
        <w:rPr>
          <w:rFonts w:eastAsia="Times New Roman"/>
        </w:rPr>
        <w:t xml:space="preserve"> </w:t>
      </w:r>
      <w:r w:rsidR="00ED5F39" w:rsidRPr="00ED5F39">
        <w:rPr>
          <w:rFonts w:eastAsia="Times New Roman"/>
        </w:rPr>
        <w:t>summarizes the adverse reactions occurring in at least 5% of patients with at least a 5% difference between the NINLARO regimen and the placebo regimen</w:t>
      </w:r>
      <w:r w:rsidR="00640A5A" w:rsidRPr="00CB57CD">
        <w:rPr>
          <w:rFonts w:eastAsia="Times New Roman"/>
        </w:rPr>
        <w:t>.</w:t>
      </w:r>
      <w:r w:rsidR="00AD7CBB" w:rsidRPr="00AD7CBB">
        <w:rPr>
          <w:rFonts w:eastAsia="Times New Roman"/>
        </w:rPr>
        <w:t xml:space="preserve"> </w:t>
      </w:r>
      <w:r w:rsidR="00AD7CBB" w:rsidRPr="00DC7527">
        <w:rPr>
          <w:rFonts w:eastAsia="Times New Roman"/>
        </w:rPr>
        <w:t xml:space="preserve">The </w:t>
      </w:r>
      <w:r w:rsidR="00225F12">
        <w:rPr>
          <w:rFonts w:eastAsia="Times New Roman"/>
        </w:rPr>
        <w:t>adverse reactions</w:t>
      </w:r>
      <w:r w:rsidR="00AD7CBB" w:rsidRPr="00DC7527">
        <w:rPr>
          <w:rFonts w:eastAsia="Times New Roman"/>
        </w:rPr>
        <w:t xml:space="preserve"> listed in </w:t>
      </w:r>
      <w:r>
        <w:rPr>
          <w:rFonts w:eastAsia="Times New Roman"/>
        </w:rPr>
        <w:fldChar w:fldCharType="begin"/>
      </w:r>
      <w:r w:rsidR="00AD7CBB">
        <w:rPr>
          <w:rFonts w:eastAsia="Times New Roman"/>
        </w:rPr>
        <w:instrText xml:space="preserve"> REF _Ref448320381 \h  \* MERGEFORMAT </w:instrText>
      </w:r>
      <w:r>
        <w:rPr>
          <w:rFonts w:eastAsia="Times New Roman"/>
        </w:rPr>
      </w:r>
      <w:r>
        <w:rPr>
          <w:rFonts w:eastAsia="Times New Roman"/>
        </w:rPr>
        <w:fldChar w:fldCharType="separate"/>
      </w:r>
      <w:r w:rsidR="00AD7CBB" w:rsidRPr="008D34A7">
        <w:rPr>
          <w:rFonts w:eastAsia="Times New Roman"/>
        </w:rPr>
        <w:t>Table 4</w:t>
      </w:r>
      <w:r>
        <w:rPr>
          <w:rFonts w:eastAsia="Times New Roman"/>
        </w:rPr>
        <w:fldChar w:fldCharType="end"/>
      </w:r>
      <w:r w:rsidR="00AD7CBB">
        <w:rPr>
          <w:rFonts w:eastAsia="Times New Roman"/>
        </w:rPr>
        <w:t xml:space="preserve"> </w:t>
      </w:r>
      <w:r w:rsidR="00AD7CBB" w:rsidRPr="00DC7527">
        <w:rPr>
          <w:rFonts w:eastAsia="Times New Roman"/>
        </w:rPr>
        <w:t xml:space="preserve">are considered to be ADRs with a plausible connection with </w:t>
      </w:r>
      <w:r w:rsidR="00C14AB9">
        <w:rPr>
          <w:rFonts w:eastAsia="Times New Roman"/>
        </w:rPr>
        <w:t>NINLARO.</w:t>
      </w:r>
    </w:p>
    <w:p w:rsidR="00ED5F39" w:rsidRPr="00E826F5" w:rsidRDefault="00ED5F39" w:rsidP="00ED5F39">
      <w:pPr>
        <w:pStyle w:val="Caption"/>
        <w:keepNext/>
        <w:tabs>
          <w:tab w:val="left" w:pos="993"/>
        </w:tabs>
      </w:pPr>
      <w:bookmarkStart w:id="8" w:name="_Ref448320381"/>
      <w:r w:rsidRPr="00F823D7">
        <w:rPr>
          <w:rFonts w:cs="Arial"/>
          <w:bCs w:val="0"/>
          <w:sz w:val="20"/>
          <w:szCs w:val="20"/>
        </w:rPr>
        <w:t xml:space="preserve">Table </w:t>
      </w:r>
      <w:r w:rsidR="006F0259" w:rsidRPr="00F823D7">
        <w:rPr>
          <w:rFonts w:cs="Arial"/>
          <w:bCs w:val="0"/>
          <w:sz w:val="20"/>
          <w:szCs w:val="20"/>
        </w:rPr>
        <w:fldChar w:fldCharType="begin"/>
      </w:r>
      <w:r w:rsidRPr="00F823D7">
        <w:rPr>
          <w:rFonts w:cs="Arial"/>
          <w:bCs w:val="0"/>
          <w:sz w:val="20"/>
          <w:szCs w:val="20"/>
        </w:rPr>
        <w:instrText xml:space="preserve"> SEQ Table \* ARABIC </w:instrText>
      </w:r>
      <w:r w:rsidR="006F0259" w:rsidRPr="00F823D7">
        <w:rPr>
          <w:rFonts w:cs="Arial"/>
          <w:bCs w:val="0"/>
          <w:sz w:val="20"/>
          <w:szCs w:val="20"/>
        </w:rPr>
        <w:fldChar w:fldCharType="separate"/>
      </w:r>
      <w:r w:rsidRPr="00F823D7">
        <w:rPr>
          <w:rFonts w:cs="Arial"/>
          <w:bCs w:val="0"/>
          <w:sz w:val="20"/>
          <w:szCs w:val="20"/>
        </w:rPr>
        <w:t>4</w:t>
      </w:r>
      <w:r w:rsidR="006F0259" w:rsidRPr="00F823D7">
        <w:rPr>
          <w:rFonts w:cs="Arial"/>
          <w:bCs w:val="0"/>
          <w:sz w:val="20"/>
          <w:szCs w:val="20"/>
        </w:rPr>
        <w:fldChar w:fldCharType="end"/>
      </w:r>
      <w:bookmarkEnd w:id="8"/>
      <w:r>
        <w:rPr>
          <w:rFonts w:cs="Arial"/>
          <w:bCs w:val="0"/>
          <w:sz w:val="20"/>
          <w:szCs w:val="20"/>
        </w:rPr>
        <w:tab/>
      </w:r>
      <w:r w:rsidRPr="00ED5F39">
        <w:rPr>
          <w:rFonts w:cs="Arial"/>
          <w:bCs w:val="0"/>
          <w:sz w:val="20"/>
          <w:szCs w:val="20"/>
        </w:rPr>
        <w:t>Adverse Reactions Occurring in</w:t>
      </w:r>
      <w:r>
        <w:rPr>
          <w:rFonts w:cs="Arial"/>
          <w:bCs w:val="0"/>
          <w:sz w:val="20"/>
          <w:szCs w:val="20"/>
        </w:rPr>
        <w:t xml:space="preserve"> ≥</w:t>
      </w:r>
      <w:r w:rsidRPr="00ED5F39">
        <w:rPr>
          <w:rFonts w:cs="Arial"/>
          <w:bCs w:val="0"/>
          <w:sz w:val="20"/>
          <w:szCs w:val="20"/>
        </w:rPr>
        <w:t xml:space="preserve"> 5% of Patients with a</w:t>
      </w:r>
      <w:r>
        <w:rPr>
          <w:rFonts w:cs="Arial"/>
          <w:bCs w:val="0"/>
          <w:sz w:val="20"/>
          <w:szCs w:val="20"/>
        </w:rPr>
        <w:t xml:space="preserve"> ≥</w:t>
      </w:r>
      <w:r w:rsidRPr="00ED5F39">
        <w:rPr>
          <w:rFonts w:cs="Arial"/>
          <w:bCs w:val="0"/>
          <w:sz w:val="20"/>
          <w:szCs w:val="20"/>
        </w:rPr>
        <w:t xml:space="preserve"> 5% Difference </w:t>
      </w:r>
      <w:proofErr w:type="gramStart"/>
      <w:r w:rsidRPr="00ED5F39">
        <w:rPr>
          <w:rFonts w:cs="Arial"/>
          <w:bCs w:val="0"/>
          <w:sz w:val="20"/>
          <w:szCs w:val="20"/>
        </w:rPr>
        <w:t>Between</w:t>
      </w:r>
      <w:proofErr w:type="gramEnd"/>
      <w:r w:rsidRPr="00ED5F39">
        <w:rPr>
          <w:rFonts w:cs="Arial"/>
          <w:bCs w:val="0"/>
          <w:sz w:val="20"/>
          <w:szCs w:val="20"/>
        </w:rPr>
        <w:t xml:space="preserve"> the </w:t>
      </w:r>
      <w:r>
        <w:rPr>
          <w:rFonts w:cs="Arial"/>
          <w:bCs w:val="0"/>
          <w:sz w:val="20"/>
          <w:szCs w:val="20"/>
        </w:rPr>
        <w:tab/>
      </w:r>
      <w:r w:rsidRPr="00ED5F39">
        <w:rPr>
          <w:rFonts w:cs="Arial"/>
          <w:bCs w:val="0"/>
          <w:sz w:val="20"/>
          <w:szCs w:val="20"/>
        </w:rPr>
        <w:t>NINLARO Regimen and the Placebo Regimen (All Grades, Grade 3 and Grade 4)</w:t>
      </w:r>
    </w:p>
    <w:tbl>
      <w:tblPr>
        <w:tblStyle w:val="TableGrid"/>
        <w:tblW w:w="0" w:type="auto"/>
        <w:tblBorders>
          <w:insideH w:val="none" w:sz="0" w:space="0" w:color="auto"/>
          <w:insideV w:val="none" w:sz="0" w:space="0" w:color="auto"/>
        </w:tblBorders>
        <w:tblLook w:val="04A0" w:firstRow="1" w:lastRow="0" w:firstColumn="1" w:lastColumn="0" w:noHBand="0" w:noVBand="1"/>
        <w:tblDescription w:val="Table 4 Adverse Reactions Occurring in ≥ 5% of Patients with a ≥ 5% Difference Between the  NINLARO Regimen and the Placebo Regimen (All Grades, Grade 3 and Grade 4)"/>
      </w:tblPr>
      <w:tblGrid>
        <w:gridCol w:w="3080"/>
        <w:gridCol w:w="1027"/>
        <w:gridCol w:w="1027"/>
        <w:gridCol w:w="1027"/>
        <w:gridCol w:w="1027"/>
        <w:gridCol w:w="1027"/>
        <w:gridCol w:w="1027"/>
      </w:tblGrid>
      <w:tr w:rsidR="00ED5F39" w:rsidTr="00445AFE">
        <w:trPr>
          <w:tblHeader/>
        </w:trPr>
        <w:tc>
          <w:tcPr>
            <w:tcW w:w="3080" w:type="dxa"/>
            <w:tcBorders>
              <w:bottom w:val="single" w:sz="4" w:space="0" w:color="000000" w:themeColor="text1"/>
            </w:tcBorders>
          </w:tcPr>
          <w:p w:rsidR="00ED5F39" w:rsidRPr="00DB6E49" w:rsidRDefault="00ED5F39" w:rsidP="00445AFE">
            <w:pPr>
              <w:spacing w:before="60" w:after="60"/>
              <w:jc w:val="both"/>
              <w:rPr>
                <w:rFonts w:eastAsia="Times New Roman" w:cs="Arial"/>
                <w:b/>
                <w:i/>
                <w:sz w:val="20"/>
                <w:szCs w:val="20"/>
                <w:u w:val="single"/>
              </w:rPr>
            </w:pPr>
          </w:p>
        </w:tc>
        <w:tc>
          <w:tcPr>
            <w:tcW w:w="3081" w:type="dxa"/>
            <w:gridSpan w:val="3"/>
            <w:tcBorders>
              <w:bottom w:val="single" w:sz="4" w:space="0" w:color="000000" w:themeColor="text1"/>
            </w:tcBorders>
          </w:tcPr>
          <w:p w:rsidR="00ED5F39" w:rsidRPr="00DB6E49" w:rsidRDefault="00ED5F39" w:rsidP="003E6344">
            <w:pPr>
              <w:pStyle w:val="Default"/>
              <w:spacing w:before="60" w:after="60"/>
              <w:jc w:val="center"/>
              <w:rPr>
                <w:rFonts w:ascii="Arial" w:hAnsi="Arial" w:cs="Arial"/>
                <w:b/>
                <w:sz w:val="20"/>
                <w:szCs w:val="20"/>
              </w:rPr>
            </w:pPr>
            <w:r w:rsidRPr="00DB6E49">
              <w:rPr>
                <w:rFonts w:ascii="Arial" w:hAnsi="Arial" w:cs="Arial"/>
                <w:b/>
                <w:bCs/>
                <w:sz w:val="20"/>
                <w:szCs w:val="20"/>
              </w:rPr>
              <w:t xml:space="preserve">NINLARO + Len </w:t>
            </w:r>
            <w:proofErr w:type="spellStart"/>
            <w:r w:rsidRPr="00DB6E49">
              <w:rPr>
                <w:rFonts w:ascii="Arial" w:hAnsi="Arial" w:cs="Arial"/>
                <w:b/>
                <w:bCs/>
                <w:sz w:val="20"/>
                <w:szCs w:val="20"/>
              </w:rPr>
              <w:t>Dex</w:t>
            </w:r>
            <w:proofErr w:type="spellEnd"/>
            <w:r w:rsidRPr="00DB6E49">
              <w:rPr>
                <w:rFonts w:ascii="Arial" w:hAnsi="Arial" w:cs="Arial"/>
                <w:b/>
                <w:bCs/>
                <w:sz w:val="20"/>
                <w:szCs w:val="20"/>
              </w:rPr>
              <w:t xml:space="preserve"> N=36</w:t>
            </w:r>
            <w:r w:rsidR="003E6344">
              <w:rPr>
                <w:rFonts w:ascii="Arial" w:hAnsi="Arial" w:cs="Arial"/>
                <w:b/>
                <w:bCs/>
                <w:sz w:val="20"/>
                <w:szCs w:val="20"/>
              </w:rPr>
              <w:t>1</w:t>
            </w:r>
          </w:p>
        </w:tc>
        <w:tc>
          <w:tcPr>
            <w:tcW w:w="3081" w:type="dxa"/>
            <w:gridSpan w:val="3"/>
            <w:tcBorders>
              <w:bottom w:val="single" w:sz="4" w:space="0" w:color="000000" w:themeColor="text1"/>
            </w:tcBorders>
          </w:tcPr>
          <w:p w:rsidR="00ED5F39" w:rsidRPr="00DB6E49" w:rsidRDefault="00ED5F39" w:rsidP="003E6344">
            <w:pPr>
              <w:spacing w:before="60" w:after="60"/>
              <w:jc w:val="center"/>
              <w:rPr>
                <w:rFonts w:eastAsia="Times New Roman" w:cs="Arial"/>
                <w:b/>
                <w:sz w:val="20"/>
                <w:szCs w:val="20"/>
              </w:rPr>
            </w:pPr>
            <w:proofErr w:type="spellStart"/>
            <w:r w:rsidRPr="00DB6E49">
              <w:rPr>
                <w:rFonts w:eastAsia="Times New Roman" w:cs="Arial"/>
                <w:b/>
                <w:sz w:val="20"/>
                <w:szCs w:val="20"/>
              </w:rPr>
              <w:t>Placebo+LenDex</w:t>
            </w:r>
            <w:proofErr w:type="spellEnd"/>
            <w:r w:rsidRPr="00DB6E49">
              <w:rPr>
                <w:rFonts w:eastAsia="Times New Roman" w:cs="Arial"/>
                <w:b/>
                <w:sz w:val="20"/>
                <w:szCs w:val="20"/>
              </w:rPr>
              <w:t xml:space="preserve"> N=3</w:t>
            </w:r>
            <w:r w:rsidR="003E6344">
              <w:rPr>
                <w:rFonts w:eastAsia="Times New Roman" w:cs="Arial"/>
                <w:b/>
                <w:sz w:val="20"/>
                <w:szCs w:val="20"/>
              </w:rPr>
              <w:t>59</w:t>
            </w:r>
          </w:p>
        </w:tc>
      </w:tr>
      <w:tr w:rsidR="00ED5F39" w:rsidTr="00445AFE">
        <w:trPr>
          <w:tblHeader/>
        </w:trPr>
        <w:tc>
          <w:tcPr>
            <w:tcW w:w="3080" w:type="dxa"/>
            <w:tcBorders>
              <w:top w:val="single" w:sz="4" w:space="0" w:color="000000" w:themeColor="text1"/>
              <w:bottom w:val="single" w:sz="4" w:space="0" w:color="000000" w:themeColor="text1"/>
            </w:tcBorders>
          </w:tcPr>
          <w:p w:rsidR="003A3EFF" w:rsidRDefault="00ED5F39" w:rsidP="00445AFE">
            <w:pPr>
              <w:spacing w:before="40" w:after="40"/>
              <w:jc w:val="both"/>
              <w:rPr>
                <w:rFonts w:eastAsia="Times New Roman" w:cs="Arial"/>
                <w:b/>
                <w:sz w:val="20"/>
                <w:szCs w:val="20"/>
              </w:rPr>
            </w:pPr>
            <w:r w:rsidRPr="00DB6E49">
              <w:rPr>
                <w:rFonts w:eastAsia="Times New Roman" w:cs="Arial"/>
                <w:b/>
                <w:sz w:val="20"/>
                <w:szCs w:val="20"/>
              </w:rPr>
              <w:t>System Organ Class /</w:t>
            </w:r>
          </w:p>
          <w:p w:rsidR="00ED5F39" w:rsidRPr="00DB6E49" w:rsidRDefault="00ED5F39" w:rsidP="00445AFE">
            <w:pPr>
              <w:spacing w:before="40" w:after="40"/>
              <w:jc w:val="both"/>
              <w:rPr>
                <w:rFonts w:eastAsia="Times New Roman" w:cs="Arial"/>
                <w:b/>
                <w:sz w:val="20"/>
                <w:szCs w:val="20"/>
              </w:rPr>
            </w:pPr>
            <w:r w:rsidRPr="00DB6E49">
              <w:rPr>
                <w:rFonts w:eastAsia="Times New Roman" w:cs="Arial"/>
                <w:b/>
                <w:sz w:val="20"/>
                <w:szCs w:val="20"/>
              </w:rPr>
              <w:t>Preferred Term</w:t>
            </w:r>
          </w:p>
        </w:tc>
        <w:tc>
          <w:tcPr>
            <w:tcW w:w="3081" w:type="dxa"/>
            <w:gridSpan w:val="3"/>
            <w:tcBorders>
              <w:top w:val="single" w:sz="4" w:space="0" w:color="000000" w:themeColor="text1"/>
              <w:bottom w:val="single" w:sz="4" w:space="0" w:color="000000" w:themeColor="text1"/>
            </w:tcBorders>
            <w:vAlign w:val="center"/>
          </w:tcPr>
          <w:p w:rsidR="00ED5F39" w:rsidRPr="00DB6E49" w:rsidRDefault="00ED5F39" w:rsidP="00445AFE">
            <w:pPr>
              <w:spacing w:before="40" w:after="40"/>
              <w:jc w:val="center"/>
              <w:rPr>
                <w:rFonts w:eastAsia="Times New Roman" w:cs="Arial"/>
                <w:b/>
                <w:sz w:val="20"/>
                <w:szCs w:val="20"/>
              </w:rPr>
            </w:pPr>
            <w:r w:rsidRPr="00DB6E49">
              <w:rPr>
                <w:rFonts w:eastAsia="Times New Roman" w:cs="Arial"/>
                <w:b/>
                <w:sz w:val="20"/>
                <w:szCs w:val="20"/>
              </w:rPr>
              <w:t>N (%)</w:t>
            </w:r>
          </w:p>
        </w:tc>
        <w:tc>
          <w:tcPr>
            <w:tcW w:w="3081" w:type="dxa"/>
            <w:gridSpan w:val="3"/>
            <w:tcBorders>
              <w:top w:val="single" w:sz="4" w:space="0" w:color="000000" w:themeColor="text1"/>
              <w:bottom w:val="single" w:sz="4" w:space="0" w:color="000000" w:themeColor="text1"/>
            </w:tcBorders>
            <w:vAlign w:val="center"/>
          </w:tcPr>
          <w:p w:rsidR="00ED5F39" w:rsidRPr="00DB6E49" w:rsidRDefault="00ED5F39" w:rsidP="00445AFE">
            <w:pPr>
              <w:spacing w:before="40" w:after="40"/>
              <w:jc w:val="center"/>
              <w:rPr>
                <w:rFonts w:eastAsia="Times New Roman" w:cs="Arial"/>
                <w:b/>
                <w:sz w:val="20"/>
                <w:szCs w:val="20"/>
              </w:rPr>
            </w:pPr>
            <w:r w:rsidRPr="00DB6E49">
              <w:rPr>
                <w:rFonts w:eastAsia="Times New Roman" w:cs="Arial"/>
                <w:b/>
                <w:sz w:val="20"/>
                <w:szCs w:val="20"/>
              </w:rPr>
              <w:t>N (%)</w:t>
            </w:r>
          </w:p>
        </w:tc>
      </w:tr>
      <w:tr w:rsidR="00ED5F39" w:rsidTr="00445AFE">
        <w:trPr>
          <w:tblHeader/>
        </w:trPr>
        <w:tc>
          <w:tcPr>
            <w:tcW w:w="3080" w:type="dxa"/>
            <w:tcBorders>
              <w:top w:val="single" w:sz="4" w:space="0" w:color="000000" w:themeColor="text1"/>
            </w:tcBorders>
          </w:tcPr>
          <w:p w:rsidR="00ED5F39" w:rsidRPr="00F823D7" w:rsidRDefault="00ED5F39" w:rsidP="00445AFE">
            <w:pPr>
              <w:spacing w:before="40" w:after="40"/>
              <w:jc w:val="both"/>
              <w:rPr>
                <w:rFonts w:eastAsia="Times New Roman" w:cs="Arial"/>
                <w:sz w:val="20"/>
                <w:szCs w:val="20"/>
              </w:rPr>
            </w:pPr>
          </w:p>
        </w:tc>
        <w:tc>
          <w:tcPr>
            <w:tcW w:w="1027" w:type="dxa"/>
            <w:tcBorders>
              <w:top w:val="single" w:sz="4" w:space="0" w:color="000000" w:themeColor="text1"/>
            </w:tcBorders>
          </w:tcPr>
          <w:p w:rsidR="00ED5F39" w:rsidRPr="00DB6E49" w:rsidRDefault="00ED5F39" w:rsidP="00445AFE">
            <w:pPr>
              <w:pStyle w:val="Default"/>
              <w:spacing w:before="40" w:after="40"/>
              <w:jc w:val="center"/>
              <w:rPr>
                <w:rFonts w:ascii="Arial" w:hAnsi="Arial" w:cs="Arial"/>
                <w:b/>
                <w:sz w:val="20"/>
                <w:szCs w:val="20"/>
              </w:rPr>
            </w:pPr>
            <w:r w:rsidRPr="00DB6E49">
              <w:rPr>
                <w:rFonts w:ascii="Arial" w:hAnsi="Arial" w:cs="Arial"/>
                <w:b/>
                <w:bCs/>
                <w:sz w:val="20"/>
                <w:szCs w:val="20"/>
              </w:rPr>
              <w:t>All</w:t>
            </w:r>
          </w:p>
        </w:tc>
        <w:tc>
          <w:tcPr>
            <w:tcW w:w="1027" w:type="dxa"/>
            <w:tcBorders>
              <w:top w:val="single" w:sz="4" w:space="0" w:color="000000" w:themeColor="text1"/>
            </w:tcBorders>
          </w:tcPr>
          <w:p w:rsidR="00ED5F39" w:rsidRPr="00DB6E49" w:rsidRDefault="00ED5F39" w:rsidP="00445AFE">
            <w:pPr>
              <w:pStyle w:val="Default"/>
              <w:spacing w:before="40" w:after="40"/>
              <w:jc w:val="center"/>
              <w:rPr>
                <w:rFonts w:ascii="Arial" w:eastAsia="Times New Roman" w:hAnsi="Arial" w:cs="Arial"/>
                <w:b/>
                <w:sz w:val="20"/>
                <w:szCs w:val="20"/>
              </w:rPr>
            </w:pPr>
            <w:r w:rsidRPr="00DB6E49">
              <w:rPr>
                <w:rFonts w:ascii="Arial" w:hAnsi="Arial" w:cs="Arial"/>
                <w:b/>
                <w:bCs/>
                <w:sz w:val="20"/>
                <w:szCs w:val="20"/>
              </w:rPr>
              <w:t>Grade 3</w:t>
            </w:r>
          </w:p>
        </w:tc>
        <w:tc>
          <w:tcPr>
            <w:tcW w:w="1027" w:type="dxa"/>
            <w:tcBorders>
              <w:top w:val="single" w:sz="4" w:space="0" w:color="000000" w:themeColor="text1"/>
            </w:tcBorders>
          </w:tcPr>
          <w:p w:rsidR="00ED5F39" w:rsidRPr="00DB6E49" w:rsidRDefault="00ED5F39" w:rsidP="00445AFE">
            <w:pPr>
              <w:pStyle w:val="Default"/>
              <w:spacing w:before="40" w:after="40"/>
              <w:jc w:val="center"/>
              <w:rPr>
                <w:rFonts w:ascii="Arial" w:hAnsi="Arial" w:cs="Arial"/>
                <w:b/>
                <w:sz w:val="20"/>
                <w:szCs w:val="20"/>
              </w:rPr>
            </w:pPr>
            <w:r w:rsidRPr="00DB6E49">
              <w:rPr>
                <w:rFonts w:ascii="Arial" w:hAnsi="Arial" w:cs="Arial"/>
                <w:b/>
                <w:bCs/>
                <w:sz w:val="20"/>
                <w:szCs w:val="20"/>
              </w:rPr>
              <w:t>Grade 4</w:t>
            </w:r>
          </w:p>
        </w:tc>
        <w:tc>
          <w:tcPr>
            <w:tcW w:w="1027" w:type="dxa"/>
            <w:tcBorders>
              <w:top w:val="single" w:sz="4" w:space="0" w:color="000000" w:themeColor="text1"/>
            </w:tcBorders>
          </w:tcPr>
          <w:p w:rsidR="00ED5F39" w:rsidRPr="00DB6E49" w:rsidRDefault="00ED5F39" w:rsidP="00445AFE">
            <w:pPr>
              <w:spacing w:before="40" w:after="40"/>
              <w:jc w:val="center"/>
              <w:rPr>
                <w:rFonts w:eastAsia="Times New Roman" w:cs="Arial"/>
                <w:b/>
                <w:sz w:val="20"/>
                <w:szCs w:val="20"/>
              </w:rPr>
            </w:pPr>
            <w:r w:rsidRPr="00DB6E49">
              <w:rPr>
                <w:rFonts w:cs="Arial"/>
                <w:b/>
                <w:bCs/>
                <w:sz w:val="20"/>
                <w:szCs w:val="20"/>
              </w:rPr>
              <w:t>All</w:t>
            </w:r>
          </w:p>
        </w:tc>
        <w:tc>
          <w:tcPr>
            <w:tcW w:w="1027" w:type="dxa"/>
            <w:tcBorders>
              <w:top w:val="single" w:sz="4" w:space="0" w:color="000000" w:themeColor="text1"/>
            </w:tcBorders>
          </w:tcPr>
          <w:p w:rsidR="00ED5F39" w:rsidRPr="00DB6E49" w:rsidRDefault="00ED5F39" w:rsidP="00445AFE">
            <w:pPr>
              <w:spacing w:before="40" w:after="40"/>
              <w:jc w:val="both"/>
              <w:rPr>
                <w:rFonts w:eastAsia="Times New Roman" w:cs="Arial"/>
                <w:b/>
                <w:sz w:val="20"/>
                <w:szCs w:val="20"/>
              </w:rPr>
            </w:pPr>
            <w:r w:rsidRPr="00DB6E49">
              <w:rPr>
                <w:rFonts w:cs="Arial"/>
                <w:b/>
                <w:bCs/>
                <w:sz w:val="20"/>
                <w:szCs w:val="20"/>
              </w:rPr>
              <w:t>Grade 3</w:t>
            </w:r>
          </w:p>
        </w:tc>
        <w:tc>
          <w:tcPr>
            <w:tcW w:w="1027" w:type="dxa"/>
            <w:tcBorders>
              <w:top w:val="single" w:sz="4" w:space="0" w:color="000000" w:themeColor="text1"/>
            </w:tcBorders>
          </w:tcPr>
          <w:p w:rsidR="00ED5F39" w:rsidRPr="00DB6E49" w:rsidRDefault="00ED5F39" w:rsidP="00445AFE">
            <w:pPr>
              <w:spacing w:before="40" w:after="40"/>
              <w:jc w:val="both"/>
              <w:rPr>
                <w:rFonts w:eastAsia="Times New Roman" w:cs="Arial"/>
                <w:b/>
                <w:sz w:val="20"/>
                <w:szCs w:val="20"/>
              </w:rPr>
            </w:pPr>
            <w:r w:rsidRPr="00DB6E49">
              <w:rPr>
                <w:rFonts w:cs="Arial"/>
                <w:b/>
                <w:bCs/>
                <w:sz w:val="20"/>
                <w:szCs w:val="20"/>
              </w:rPr>
              <w:t>Grade 4</w:t>
            </w:r>
          </w:p>
        </w:tc>
      </w:tr>
      <w:tr w:rsidR="00ED5F39" w:rsidRPr="00951FAC" w:rsidTr="00445AFE">
        <w:tc>
          <w:tcPr>
            <w:tcW w:w="3080" w:type="dxa"/>
          </w:tcPr>
          <w:p w:rsidR="00ED5F39" w:rsidRPr="001238A7" w:rsidRDefault="00ED5F39" w:rsidP="00445AFE">
            <w:pPr>
              <w:autoSpaceDE w:val="0"/>
              <w:autoSpaceDN w:val="0"/>
              <w:adjustRightInd w:val="0"/>
              <w:rPr>
                <w:rFonts w:eastAsia="TimesNewRoman,Bold" w:cs="Arial"/>
                <w:b/>
                <w:bCs/>
                <w:sz w:val="18"/>
                <w:szCs w:val="18"/>
                <w:lang w:val="en-GB"/>
              </w:rPr>
            </w:pPr>
            <w:r w:rsidRPr="009D1C5C">
              <w:rPr>
                <w:rFonts w:cs="Arial"/>
                <w:b/>
                <w:bCs/>
                <w:color w:val="000000"/>
                <w:sz w:val="18"/>
                <w:szCs w:val="18"/>
              </w:rPr>
              <w:t>Blood and lymphatic system disorders</w:t>
            </w:r>
          </w:p>
        </w:tc>
        <w:tc>
          <w:tcPr>
            <w:tcW w:w="1027" w:type="dxa"/>
          </w:tcPr>
          <w:p w:rsidR="00ED5F39" w:rsidRPr="009D1C5C" w:rsidRDefault="00ED5F39" w:rsidP="00445AFE">
            <w:pPr>
              <w:jc w:val="both"/>
              <w:rPr>
                <w:rFonts w:eastAsia="Times New Roman" w:cs="Arial"/>
                <w:sz w:val="18"/>
                <w:szCs w:val="18"/>
              </w:rPr>
            </w:pPr>
          </w:p>
        </w:tc>
        <w:tc>
          <w:tcPr>
            <w:tcW w:w="1027" w:type="dxa"/>
          </w:tcPr>
          <w:p w:rsidR="00ED5F39" w:rsidRPr="009D1C5C" w:rsidRDefault="00ED5F39" w:rsidP="00445AFE">
            <w:pPr>
              <w:jc w:val="both"/>
              <w:rPr>
                <w:rFonts w:eastAsia="Times New Roman" w:cs="Arial"/>
                <w:sz w:val="18"/>
                <w:szCs w:val="18"/>
              </w:rPr>
            </w:pPr>
          </w:p>
        </w:tc>
        <w:tc>
          <w:tcPr>
            <w:tcW w:w="1027" w:type="dxa"/>
          </w:tcPr>
          <w:p w:rsidR="00ED5F39" w:rsidRPr="009D1C5C" w:rsidRDefault="00ED5F39" w:rsidP="00445AFE">
            <w:pPr>
              <w:jc w:val="both"/>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proofErr w:type="spellStart"/>
            <w:r w:rsidRPr="00951FAC">
              <w:rPr>
                <w:rFonts w:cs="Arial"/>
                <w:sz w:val="18"/>
                <w:szCs w:val="18"/>
              </w:rPr>
              <w:t>Thrombocytopenia</w:t>
            </w:r>
            <w:r w:rsidRPr="00D20813">
              <w:rPr>
                <w:rFonts w:cs="Arial"/>
                <w:sz w:val="18"/>
                <w:szCs w:val="18"/>
                <w:vertAlign w:val="superscript"/>
              </w:rPr>
              <w:t>a</w:t>
            </w:r>
            <w:proofErr w:type="spellEnd"/>
          </w:p>
        </w:tc>
        <w:tc>
          <w:tcPr>
            <w:tcW w:w="1027" w:type="dxa"/>
          </w:tcPr>
          <w:p w:rsidR="00ED5F39" w:rsidRPr="001238A7" w:rsidRDefault="00CF4D70" w:rsidP="00CF4D70">
            <w:pPr>
              <w:jc w:val="center"/>
              <w:rPr>
                <w:rFonts w:eastAsia="Times New Roman" w:cs="Arial"/>
                <w:sz w:val="18"/>
                <w:szCs w:val="18"/>
              </w:rPr>
            </w:pPr>
            <w:r>
              <w:rPr>
                <w:rFonts w:cs="Arial"/>
                <w:sz w:val="18"/>
                <w:szCs w:val="18"/>
                <w:lang w:val="en-GB"/>
              </w:rPr>
              <w:t>112</w:t>
            </w:r>
            <w:r w:rsidR="00ED5F39" w:rsidRPr="001238A7">
              <w:rPr>
                <w:rFonts w:cs="Arial"/>
                <w:sz w:val="18"/>
                <w:szCs w:val="18"/>
                <w:lang w:val="en-GB"/>
              </w:rPr>
              <w:t xml:space="preserve"> (</w:t>
            </w:r>
            <w:r>
              <w:rPr>
                <w:rFonts w:cs="Arial"/>
                <w:sz w:val="18"/>
                <w:szCs w:val="18"/>
                <w:lang w:val="en-GB"/>
              </w:rPr>
              <w:t>31</w:t>
            </w:r>
            <w:r w:rsidR="00ED5F39" w:rsidRPr="001238A7">
              <w:rPr>
                <w:rFonts w:cs="Arial"/>
                <w:sz w:val="18"/>
                <w:szCs w:val="18"/>
                <w:lang w:val="en-GB"/>
              </w:rPr>
              <w:t>)</w:t>
            </w:r>
          </w:p>
        </w:tc>
        <w:tc>
          <w:tcPr>
            <w:tcW w:w="1027" w:type="dxa"/>
          </w:tcPr>
          <w:p w:rsidR="00ED5F39" w:rsidRPr="009D1C5C" w:rsidRDefault="00CF4D70" w:rsidP="00CF4D70">
            <w:pPr>
              <w:jc w:val="center"/>
              <w:rPr>
                <w:rFonts w:eastAsia="Times New Roman" w:cs="Arial"/>
                <w:sz w:val="18"/>
                <w:szCs w:val="18"/>
              </w:rPr>
            </w:pPr>
            <w:r>
              <w:rPr>
                <w:rFonts w:cs="Arial"/>
                <w:sz w:val="18"/>
                <w:szCs w:val="18"/>
                <w:lang w:val="en-GB"/>
              </w:rPr>
              <w:t>43</w:t>
            </w:r>
            <w:r w:rsidR="00ED5F39" w:rsidRPr="009D1C5C">
              <w:rPr>
                <w:rFonts w:cs="Arial"/>
                <w:sz w:val="18"/>
                <w:szCs w:val="18"/>
                <w:lang w:val="en-GB"/>
              </w:rPr>
              <w:t xml:space="preserve"> (1</w:t>
            </w:r>
            <w:r>
              <w:rPr>
                <w:rFonts w:cs="Arial"/>
                <w:sz w:val="18"/>
                <w:szCs w:val="18"/>
                <w:lang w:val="en-GB"/>
              </w:rPr>
              <w:t>2</w:t>
            </w:r>
            <w:r w:rsidR="00ED5F39" w:rsidRPr="009D1C5C">
              <w:rPr>
                <w:rFonts w:cs="Arial"/>
                <w:sz w:val="18"/>
                <w:szCs w:val="18"/>
                <w:lang w:val="en-GB"/>
              </w:rPr>
              <w:t>)</w:t>
            </w:r>
          </w:p>
        </w:tc>
        <w:tc>
          <w:tcPr>
            <w:tcW w:w="1027" w:type="dxa"/>
          </w:tcPr>
          <w:p w:rsidR="00ED5F39" w:rsidRPr="009D1C5C" w:rsidRDefault="00ED5F39" w:rsidP="00CF4D70">
            <w:pPr>
              <w:jc w:val="center"/>
              <w:rPr>
                <w:rFonts w:eastAsia="Times New Roman" w:cs="Arial"/>
                <w:sz w:val="18"/>
                <w:szCs w:val="18"/>
              </w:rPr>
            </w:pPr>
            <w:r w:rsidRPr="009D1C5C">
              <w:rPr>
                <w:rFonts w:cs="Arial"/>
                <w:sz w:val="18"/>
                <w:szCs w:val="18"/>
                <w:lang w:val="en-GB"/>
              </w:rPr>
              <w:t>2</w:t>
            </w:r>
            <w:r w:rsidR="00CF4D70">
              <w:rPr>
                <w:rFonts w:cs="Arial"/>
                <w:sz w:val="18"/>
                <w:szCs w:val="18"/>
                <w:lang w:val="en-GB"/>
              </w:rPr>
              <w:t>6</w:t>
            </w:r>
            <w:r w:rsidRPr="009D1C5C">
              <w:rPr>
                <w:rFonts w:cs="Arial"/>
                <w:sz w:val="18"/>
                <w:szCs w:val="18"/>
                <w:lang w:val="en-GB"/>
              </w:rPr>
              <w:t xml:space="preserve"> (7)</w:t>
            </w:r>
          </w:p>
        </w:tc>
        <w:tc>
          <w:tcPr>
            <w:tcW w:w="1027" w:type="dxa"/>
          </w:tcPr>
          <w:p w:rsidR="00ED5F39" w:rsidRPr="009D1C5C" w:rsidRDefault="00ED5F39" w:rsidP="00CF4D70">
            <w:pPr>
              <w:jc w:val="center"/>
              <w:rPr>
                <w:rFonts w:eastAsia="Times New Roman" w:cs="Arial"/>
                <w:sz w:val="18"/>
                <w:szCs w:val="18"/>
              </w:rPr>
            </w:pPr>
            <w:r w:rsidRPr="00FA6FAC">
              <w:rPr>
                <w:rFonts w:eastAsia="Times New Roman" w:cs="Arial"/>
                <w:sz w:val="18"/>
                <w:szCs w:val="18"/>
              </w:rPr>
              <w:t>5</w:t>
            </w:r>
            <w:r w:rsidR="00CF4D70">
              <w:rPr>
                <w:rFonts w:eastAsia="Times New Roman" w:cs="Arial"/>
                <w:sz w:val="18"/>
                <w:szCs w:val="18"/>
              </w:rPr>
              <w:t>7</w:t>
            </w:r>
            <w:r w:rsidRPr="00FA6FAC">
              <w:rPr>
                <w:rFonts w:eastAsia="Times New Roman" w:cs="Arial"/>
                <w:sz w:val="18"/>
                <w:szCs w:val="18"/>
              </w:rPr>
              <w:t xml:space="preserve"> (1</w:t>
            </w:r>
            <w:r w:rsidR="00CF4D70">
              <w:rPr>
                <w:rFonts w:eastAsia="Times New Roman" w:cs="Arial"/>
                <w:sz w:val="18"/>
                <w:szCs w:val="18"/>
              </w:rPr>
              <w:t>6</w:t>
            </w:r>
            <w:r w:rsidRPr="00FA6FAC">
              <w:rPr>
                <w:rFonts w:eastAsia="Times New Roman" w:cs="Arial"/>
                <w:sz w:val="18"/>
                <w:szCs w:val="18"/>
              </w:rPr>
              <w:t xml:space="preserve">) </w:t>
            </w:r>
          </w:p>
        </w:tc>
        <w:tc>
          <w:tcPr>
            <w:tcW w:w="1027" w:type="dxa"/>
          </w:tcPr>
          <w:p w:rsidR="00ED5F39" w:rsidRPr="009D1C5C" w:rsidRDefault="00ED5F39" w:rsidP="00CF4D70">
            <w:pPr>
              <w:jc w:val="center"/>
              <w:rPr>
                <w:rFonts w:eastAsia="Times New Roman" w:cs="Arial"/>
                <w:sz w:val="18"/>
                <w:szCs w:val="18"/>
              </w:rPr>
            </w:pPr>
            <w:r w:rsidRPr="00FA6FAC">
              <w:rPr>
                <w:rFonts w:eastAsia="Times New Roman" w:cs="Arial"/>
                <w:sz w:val="18"/>
                <w:szCs w:val="18"/>
              </w:rPr>
              <w:t>1</w:t>
            </w:r>
            <w:r w:rsidR="00CF4D70">
              <w:rPr>
                <w:rFonts w:eastAsia="Times New Roman" w:cs="Arial"/>
                <w:sz w:val="18"/>
                <w:szCs w:val="18"/>
              </w:rPr>
              <w:t>9</w:t>
            </w:r>
            <w:r w:rsidRPr="00FA6FAC">
              <w:rPr>
                <w:rFonts w:eastAsia="Times New Roman" w:cs="Arial"/>
                <w:sz w:val="18"/>
                <w:szCs w:val="18"/>
              </w:rPr>
              <w:t xml:space="preserve"> (</w:t>
            </w:r>
            <w:r w:rsidR="00CF4D70">
              <w:rPr>
                <w:rFonts w:eastAsia="Times New Roman" w:cs="Arial"/>
                <w:sz w:val="18"/>
                <w:szCs w:val="18"/>
              </w:rPr>
              <w:t>5</w:t>
            </w:r>
            <w:r w:rsidRPr="00FA6FAC">
              <w:rPr>
                <w:rFonts w:eastAsia="Times New Roman" w:cs="Arial"/>
                <w:sz w:val="18"/>
                <w:szCs w:val="18"/>
              </w:rPr>
              <w:t>)</w:t>
            </w:r>
          </w:p>
        </w:tc>
        <w:tc>
          <w:tcPr>
            <w:tcW w:w="1027" w:type="dxa"/>
          </w:tcPr>
          <w:p w:rsidR="00ED5F39" w:rsidRPr="001238A7" w:rsidRDefault="00ED5F39" w:rsidP="00CF4D70">
            <w:pPr>
              <w:jc w:val="center"/>
              <w:rPr>
                <w:rFonts w:eastAsia="Times New Roman" w:cs="Arial"/>
                <w:sz w:val="18"/>
                <w:szCs w:val="18"/>
              </w:rPr>
            </w:pPr>
            <w:r w:rsidRPr="00FA6FAC">
              <w:rPr>
                <w:rFonts w:eastAsia="Times New Roman" w:cs="Arial"/>
                <w:sz w:val="18"/>
                <w:szCs w:val="18"/>
              </w:rPr>
              <w:t>1</w:t>
            </w:r>
            <w:r w:rsidR="00CF4D70">
              <w:rPr>
                <w:rFonts w:eastAsia="Times New Roman" w:cs="Arial"/>
                <w:sz w:val="18"/>
                <w:szCs w:val="18"/>
              </w:rPr>
              <w:t>3</w:t>
            </w:r>
            <w:r w:rsidRPr="00FA6FAC">
              <w:rPr>
                <w:rFonts w:eastAsia="Times New Roman" w:cs="Arial"/>
                <w:sz w:val="18"/>
                <w:szCs w:val="18"/>
              </w:rPr>
              <w:t xml:space="preserve"> (</w:t>
            </w:r>
            <w:r w:rsidR="00CF4D70">
              <w:rPr>
                <w:rFonts w:eastAsia="Times New Roman" w:cs="Arial"/>
                <w:sz w:val="18"/>
                <w:szCs w:val="18"/>
              </w:rPr>
              <w:t>4</w:t>
            </w:r>
            <w:r w:rsidRPr="00FA6FAC">
              <w:rPr>
                <w:rFonts w:eastAsia="Times New Roman" w:cs="Arial"/>
                <w:sz w:val="18"/>
                <w:szCs w:val="18"/>
              </w:rPr>
              <w:t>)</w:t>
            </w:r>
          </w:p>
        </w:tc>
      </w:tr>
      <w:tr w:rsidR="00ED5F39" w:rsidRPr="00951FAC" w:rsidTr="00445AFE">
        <w:tc>
          <w:tcPr>
            <w:tcW w:w="3080" w:type="dxa"/>
          </w:tcPr>
          <w:p w:rsidR="00ED5F39" w:rsidRPr="009D1C5C" w:rsidRDefault="00ED5F39" w:rsidP="00445AFE">
            <w:pPr>
              <w:jc w:val="both"/>
              <w:rPr>
                <w:rFonts w:cs="Arial"/>
                <w:b/>
                <w:sz w:val="18"/>
                <w:szCs w:val="18"/>
              </w:rPr>
            </w:pPr>
            <w:r w:rsidRPr="009D1C5C">
              <w:rPr>
                <w:rFonts w:cs="Arial"/>
                <w:b/>
                <w:sz w:val="18"/>
                <w:szCs w:val="18"/>
              </w:rPr>
              <w:t>Nervous system disorders</w:t>
            </w:r>
          </w:p>
        </w:tc>
        <w:tc>
          <w:tcPr>
            <w:tcW w:w="1027" w:type="dxa"/>
          </w:tcPr>
          <w:p w:rsidR="00ED5F39" w:rsidRPr="001238A7" w:rsidRDefault="00ED5F39" w:rsidP="00445AFE">
            <w:pPr>
              <w:jc w:val="both"/>
              <w:rPr>
                <w:rFonts w:eastAsia="Times New Roman" w:cs="Arial"/>
                <w:sz w:val="18"/>
                <w:szCs w:val="18"/>
              </w:rPr>
            </w:pPr>
          </w:p>
        </w:tc>
        <w:tc>
          <w:tcPr>
            <w:tcW w:w="1027" w:type="dxa"/>
          </w:tcPr>
          <w:p w:rsidR="00ED5F39" w:rsidRPr="001238A7" w:rsidRDefault="00ED5F39" w:rsidP="00445AFE">
            <w:pPr>
              <w:jc w:val="both"/>
              <w:rPr>
                <w:rFonts w:eastAsia="Times New Roman" w:cs="Arial"/>
                <w:sz w:val="18"/>
                <w:szCs w:val="18"/>
              </w:rPr>
            </w:pPr>
          </w:p>
        </w:tc>
        <w:tc>
          <w:tcPr>
            <w:tcW w:w="1027" w:type="dxa"/>
          </w:tcPr>
          <w:p w:rsidR="00ED5F39" w:rsidRPr="001238A7" w:rsidRDefault="00ED5F39" w:rsidP="00445AFE">
            <w:pPr>
              <w:jc w:val="both"/>
              <w:rPr>
                <w:rFonts w:eastAsia="Times New Roman" w:cs="Arial"/>
                <w:sz w:val="18"/>
                <w:szCs w:val="18"/>
              </w:rPr>
            </w:pPr>
          </w:p>
        </w:tc>
        <w:tc>
          <w:tcPr>
            <w:tcW w:w="1027" w:type="dxa"/>
          </w:tcPr>
          <w:p w:rsidR="00ED5F39" w:rsidRPr="001238A7" w:rsidRDefault="00ED5F39" w:rsidP="00445AFE">
            <w:pPr>
              <w:jc w:val="center"/>
              <w:rPr>
                <w:rFonts w:eastAsia="Times New Roman" w:cs="Arial"/>
                <w:sz w:val="18"/>
                <w:szCs w:val="18"/>
              </w:rPr>
            </w:pPr>
          </w:p>
        </w:tc>
        <w:tc>
          <w:tcPr>
            <w:tcW w:w="1027" w:type="dxa"/>
          </w:tcPr>
          <w:p w:rsidR="00ED5F39" w:rsidRPr="001238A7" w:rsidRDefault="00ED5F39" w:rsidP="00445AFE">
            <w:pPr>
              <w:jc w:val="center"/>
              <w:rPr>
                <w:rFonts w:eastAsia="Times New Roman" w:cs="Arial"/>
                <w:sz w:val="18"/>
                <w:szCs w:val="18"/>
              </w:rPr>
            </w:pPr>
          </w:p>
        </w:tc>
        <w:tc>
          <w:tcPr>
            <w:tcW w:w="1027" w:type="dxa"/>
          </w:tcPr>
          <w:p w:rsidR="00ED5F39" w:rsidRPr="001238A7" w:rsidRDefault="00ED5F39" w:rsidP="00445AFE">
            <w:pPr>
              <w:jc w:val="center"/>
              <w:rPr>
                <w:rFonts w:eastAsia="Times New Roman" w:cs="Arial"/>
                <w:sz w:val="18"/>
                <w:szCs w:val="18"/>
              </w:rPr>
            </w:pPr>
          </w:p>
        </w:tc>
      </w:tr>
      <w:tr w:rsidR="00ED5F39" w:rsidRPr="00951FAC" w:rsidTr="00445AFE">
        <w:tc>
          <w:tcPr>
            <w:tcW w:w="3080" w:type="dxa"/>
          </w:tcPr>
          <w:p w:rsidR="00ED5F39" w:rsidRPr="00F823D7" w:rsidRDefault="00ED5F39" w:rsidP="00445AFE">
            <w:pPr>
              <w:tabs>
                <w:tab w:val="left" w:pos="142"/>
              </w:tabs>
              <w:jc w:val="both"/>
              <w:rPr>
                <w:rFonts w:cs="Arial"/>
                <w:sz w:val="18"/>
                <w:szCs w:val="18"/>
              </w:rPr>
            </w:pPr>
            <w:r>
              <w:rPr>
                <w:rFonts w:cs="Arial"/>
                <w:sz w:val="18"/>
                <w:szCs w:val="18"/>
              </w:rPr>
              <w:tab/>
            </w:r>
            <w:r w:rsidRPr="00F823D7">
              <w:rPr>
                <w:rFonts w:cs="Arial"/>
                <w:sz w:val="18"/>
                <w:szCs w:val="18"/>
              </w:rPr>
              <w:t xml:space="preserve">Peripheral </w:t>
            </w:r>
            <w:proofErr w:type="spellStart"/>
            <w:r w:rsidRPr="00F823D7">
              <w:rPr>
                <w:rFonts w:cs="Arial"/>
                <w:sz w:val="18"/>
                <w:szCs w:val="18"/>
              </w:rPr>
              <w:t>neuropathies</w:t>
            </w:r>
            <w:r w:rsidRPr="009D1C5C">
              <w:rPr>
                <w:rFonts w:cs="Arial"/>
                <w:sz w:val="18"/>
                <w:szCs w:val="18"/>
                <w:vertAlign w:val="superscript"/>
              </w:rPr>
              <w:t>b</w:t>
            </w:r>
            <w:proofErr w:type="spellEnd"/>
          </w:p>
        </w:tc>
        <w:tc>
          <w:tcPr>
            <w:tcW w:w="1027" w:type="dxa"/>
          </w:tcPr>
          <w:p w:rsidR="00ED5F39" w:rsidRPr="009D1C5C" w:rsidRDefault="00CF4D70" w:rsidP="00CF4D70">
            <w:pPr>
              <w:jc w:val="center"/>
              <w:rPr>
                <w:rFonts w:eastAsia="Times New Roman" w:cs="Arial"/>
                <w:sz w:val="18"/>
                <w:szCs w:val="18"/>
              </w:rPr>
            </w:pPr>
            <w:r>
              <w:rPr>
                <w:rFonts w:eastAsia="Times New Roman" w:cs="Arial"/>
                <w:sz w:val="18"/>
                <w:szCs w:val="18"/>
              </w:rPr>
              <w:t>97</w:t>
            </w:r>
            <w:r w:rsidR="00ED5F39" w:rsidRPr="001700D1">
              <w:rPr>
                <w:rFonts w:eastAsia="Times New Roman" w:cs="Arial"/>
                <w:sz w:val="18"/>
                <w:szCs w:val="18"/>
              </w:rPr>
              <w:t xml:space="preserve"> (2</w:t>
            </w:r>
            <w:r>
              <w:rPr>
                <w:rFonts w:eastAsia="Times New Roman" w:cs="Arial"/>
                <w:sz w:val="18"/>
                <w:szCs w:val="18"/>
              </w:rPr>
              <w:t>7</w:t>
            </w:r>
            <w:r w:rsidR="00ED5F39" w:rsidRPr="001700D1">
              <w:rPr>
                <w:rFonts w:eastAsia="Times New Roman" w:cs="Arial"/>
                <w:sz w:val="18"/>
                <w:szCs w:val="18"/>
              </w:rPr>
              <w:t xml:space="preserve">) </w:t>
            </w:r>
          </w:p>
        </w:tc>
        <w:tc>
          <w:tcPr>
            <w:tcW w:w="1027" w:type="dxa"/>
          </w:tcPr>
          <w:p w:rsidR="00ED5F39" w:rsidRPr="009D1C5C" w:rsidRDefault="00CF4D70" w:rsidP="00445AFE">
            <w:pPr>
              <w:jc w:val="center"/>
              <w:rPr>
                <w:rFonts w:eastAsia="Times New Roman" w:cs="Arial"/>
                <w:sz w:val="18"/>
                <w:szCs w:val="18"/>
              </w:rPr>
            </w:pPr>
            <w:r>
              <w:rPr>
                <w:rFonts w:eastAsia="Times New Roman" w:cs="Arial"/>
                <w:sz w:val="18"/>
                <w:szCs w:val="18"/>
              </w:rPr>
              <w:t>9</w:t>
            </w:r>
            <w:r w:rsidR="00ED5F39" w:rsidRPr="001700D1">
              <w:rPr>
                <w:rFonts w:eastAsia="Times New Roman" w:cs="Arial"/>
                <w:sz w:val="18"/>
                <w:szCs w:val="18"/>
              </w:rPr>
              <w:t xml:space="preserve"> (2)</w:t>
            </w:r>
          </w:p>
        </w:tc>
        <w:tc>
          <w:tcPr>
            <w:tcW w:w="1027" w:type="dxa"/>
          </w:tcPr>
          <w:p w:rsidR="00ED5F39" w:rsidRPr="009D1C5C" w:rsidRDefault="00ED5F39" w:rsidP="00445AFE">
            <w:pPr>
              <w:jc w:val="center"/>
              <w:rPr>
                <w:rFonts w:eastAsia="Times New Roman" w:cs="Arial"/>
                <w:sz w:val="18"/>
                <w:szCs w:val="18"/>
              </w:rPr>
            </w:pPr>
            <w:r w:rsidRPr="001700D1">
              <w:rPr>
                <w:rFonts w:eastAsia="Times New Roman" w:cs="Arial"/>
                <w:sz w:val="18"/>
                <w:szCs w:val="18"/>
              </w:rPr>
              <w:t>0</w:t>
            </w:r>
          </w:p>
        </w:tc>
        <w:tc>
          <w:tcPr>
            <w:tcW w:w="1027" w:type="dxa"/>
          </w:tcPr>
          <w:p w:rsidR="00ED5F39" w:rsidRPr="009D1C5C" w:rsidRDefault="00ED5F39" w:rsidP="00CF4D70">
            <w:pPr>
              <w:jc w:val="center"/>
              <w:rPr>
                <w:rFonts w:eastAsia="Times New Roman" w:cs="Arial"/>
                <w:sz w:val="18"/>
                <w:szCs w:val="18"/>
              </w:rPr>
            </w:pPr>
            <w:r w:rsidRPr="00FA6FAC">
              <w:rPr>
                <w:rFonts w:eastAsia="Times New Roman" w:cs="Arial"/>
                <w:sz w:val="18"/>
                <w:szCs w:val="18"/>
              </w:rPr>
              <w:t>7</w:t>
            </w:r>
            <w:r w:rsidR="00CF4D70">
              <w:rPr>
                <w:rFonts w:eastAsia="Times New Roman" w:cs="Arial"/>
                <w:sz w:val="18"/>
                <w:szCs w:val="18"/>
              </w:rPr>
              <w:t>8</w:t>
            </w:r>
            <w:r w:rsidRPr="00FA6FAC">
              <w:rPr>
                <w:rFonts w:eastAsia="Times New Roman" w:cs="Arial"/>
                <w:sz w:val="18"/>
                <w:szCs w:val="18"/>
              </w:rPr>
              <w:t xml:space="preserve"> (2</w:t>
            </w:r>
            <w:r w:rsidR="00CF4D70">
              <w:rPr>
                <w:rFonts w:eastAsia="Times New Roman" w:cs="Arial"/>
                <w:sz w:val="18"/>
                <w:szCs w:val="18"/>
              </w:rPr>
              <w:t>2</w:t>
            </w:r>
            <w:r w:rsidRPr="00FA6FAC">
              <w:rPr>
                <w:rFonts w:eastAsia="Times New Roman" w:cs="Arial"/>
                <w:sz w:val="18"/>
                <w:szCs w:val="18"/>
              </w:rPr>
              <w:t xml:space="preserve">) </w:t>
            </w:r>
          </w:p>
        </w:tc>
        <w:tc>
          <w:tcPr>
            <w:tcW w:w="1027" w:type="dxa"/>
          </w:tcPr>
          <w:p w:rsidR="00ED5F39" w:rsidRPr="009D1C5C" w:rsidRDefault="00CF4D70" w:rsidP="00445AFE">
            <w:pPr>
              <w:jc w:val="center"/>
              <w:rPr>
                <w:rFonts w:eastAsia="Times New Roman" w:cs="Arial"/>
                <w:sz w:val="18"/>
                <w:szCs w:val="18"/>
              </w:rPr>
            </w:pPr>
            <w:r>
              <w:rPr>
                <w:rFonts w:eastAsia="Times New Roman" w:cs="Arial"/>
                <w:sz w:val="18"/>
                <w:szCs w:val="18"/>
              </w:rPr>
              <w:t>6</w:t>
            </w:r>
            <w:r w:rsidR="00ED5F39" w:rsidRPr="00FA6FAC">
              <w:rPr>
                <w:rFonts w:eastAsia="Times New Roman" w:cs="Arial"/>
                <w:sz w:val="18"/>
                <w:szCs w:val="18"/>
              </w:rPr>
              <w:t xml:space="preserve"> (2)</w:t>
            </w:r>
          </w:p>
        </w:tc>
        <w:tc>
          <w:tcPr>
            <w:tcW w:w="1027" w:type="dxa"/>
          </w:tcPr>
          <w:p w:rsidR="00ED5F39" w:rsidRPr="009D1C5C" w:rsidRDefault="00ED5F39" w:rsidP="00445AFE">
            <w:pPr>
              <w:jc w:val="center"/>
              <w:rPr>
                <w:rFonts w:eastAsia="Times New Roman" w:cs="Arial"/>
                <w:sz w:val="18"/>
                <w:szCs w:val="18"/>
              </w:rPr>
            </w:pPr>
            <w:r w:rsidRPr="00FA6FAC">
              <w:rPr>
                <w:rFonts w:eastAsia="Times New Roman" w:cs="Arial"/>
                <w:sz w:val="18"/>
                <w:szCs w:val="18"/>
              </w:rPr>
              <w:t>0</w:t>
            </w:r>
          </w:p>
        </w:tc>
      </w:tr>
      <w:tr w:rsidR="00ED5F39" w:rsidRPr="00951FAC" w:rsidTr="00445AFE">
        <w:tc>
          <w:tcPr>
            <w:tcW w:w="3080" w:type="dxa"/>
          </w:tcPr>
          <w:p w:rsidR="00ED5F39" w:rsidRPr="009D1C5C" w:rsidRDefault="00ED5F39" w:rsidP="00445AFE">
            <w:pPr>
              <w:jc w:val="both"/>
              <w:rPr>
                <w:rFonts w:eastAsia="Times New Roman" w:cs="Arial"/>
                <w:sz w:val="18"/>
                <w:szCs w:val="18"/>
              </w:rPr>
            </w:pPr>
            <w:r w:rsidRPr="009D1C5C">
              <w:rPr>
                <w:rFonts w:cs="Arial"/>
                <w:b/>
                <w:sz w:val="18"/>
                <w:szCs w:val="18"/>
              </w:rPr>
              <w:t>Gastrointestinal disorders</w:t>
            </w: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r w:rsidRPr="009D1C5C">
              <w:rPr>
                <w:rFonts w:cs="Arial"/>
                <w:sz w:val="18"/>
                <w:szCs w:val="18"/>
              </w:rPr>
              <w:t>Diarrhoea</w:t>
            </w:r>
          </w:p>
        </w:tc>
        <w:tc>
          <w:tcPr>
            <w:tcW w:w="1027" w:type="dxa"/>
          </w:tcPr>
          <w:p w:rsidR="00ED5F39" w:rsidRPr="009D1C5C" w:rsidRDefault="00ED5F39" w:rsidP="00CF4D70">
            <w:pPr>
              <w:jc w:val="center"/>
              <w:rPr>
                <w:rFonts w:eastAsia="Times New Roman" w:cs="Arial"/>
                <w:sz w:val="18"/>
                <w:szCs w:val="18"/>
              </w:rPr>
            </w:pPr>
            <w:r w:rsidRPr="009D1C5C">
              <w:rPr>
                <w:rFonts w:cs="Arial"/>
                <w:sz w:val="18"/>
                <w:szCs w:val="18"/>
                <w:lang w:val="en-GB"/>
              </w:rPr>
              <w:t>1</w:t>
            </w:r>
            <w:r w:rsidR="00CF4D70">
              <w:rPr>
                <w:rFonts w:cs="Arial"/>
                <w:sz w:val="18"/>
                <w:szCs w:val="18"/>
                <w:lang w:val="en-GB"/>
              </w:rPr>
              <w:t>64</w:t>
            </w:r>
            <w:r w:rsidRPr="009D1C5C">
              <w:rPr>
                <w:rFonts w:cs="Arial"/>
                <w:sz w:val="18"/>
                <w:szCs w:val="18"/>
                <w:lang w:val="en-GB"/>
              </w:rPr>
              <w:t xml:space="preserve"> (4</w:t>
            </w:r>
            <w:r w:rsidR="00CF4D70">
              <w:rPr>
                <w:rFonts w:cs="Arial"/>
                <w:sz w:val="18"/>
                <w:szCs w:val="18"/>
                <w:lang w:val="en-GB"/>
              </w:rPr>
              <w:t>5</w:t>
            </w:r>
            <w:r w:rsidRPr="009D1C5C">
              <w:rPr>
                <w:rFonts w:cs="Arial"/>
                <w:sz w:val="18"/>
                <w:szCs w:val="18"/>
                <w:lang w:val="en-GB"/>
              </w:rPr>
              <w:t xml:space="preserve">) </w:t>
            </w:r>
          </w:p>
        </w:tc>
        <w:tc>
          <w:tcPr>
            <w:tcW w:w="1027" w:type="dxa"/>
          </w:tcPr>
          <w:p w:rsidR="00ED5F39" w:rsidRPr="001238A7" w:rsidRDefault="00ED5F39" w:rsidP="00CF4D70">
            <w:pPr>
              <w:jc w:val="center"/>
              <w:rPr>
                <w:rFonts w:eastAsia="Times New Roman" w:cs="Arial"/>
                <w:sz w:val="18"/>
                <w:szCs w:val="18"/>
              </w:rPr>
            </w:pPr>
            <w:r w:rsidRPr="009E3B48">
              <w:rPr>
                <w:rFonts w:cs="Arial"/>
                <w:sz w:val="18"/>
                <w:szCs w:val="18"/>
                <w:lang w:val="en-GB"/>
              </w:rPr>
              <w:t>2</w:t>
            </w:r>
            <w:r w:rsidR="00CF4D70">
              <w:rPr>
                <w:rFonts w:cs="Arial"/>
                <w:sz w:val="18"/>
                <w:szCs w:val="18"/>
                <w:lang w:val="en-GB"/>
              </w:rPr>
              <w:t>3</w:t>
            </w:r>
            <w:r w:rsidRPr="009E3B48">
              <w:rPr>
                <w:rFonts w:cs="Arial"/>
                <w:sz w:val="18"/>
                <w:szCs w:val="18"/>
                <w:lang w:val="en-GB"/>
              </w:rPr>
              <w:t xml:space="preserve"> (6)</w:t>
            </w:r>
          </w:p>
        </w:tc>
        <w:tc>
          <w:tcPr>
            <w:tcW w:w="1027" w:type="dxa"/>
          </w:tcPr>
          <w:p w:rsidR="00ED5F39" w:rsidRPr="001238A7" w:rsidRDefault="00ED5F39" w:rsidP="00445AFE">
            <w:pPr>
              <w:jc w:val="center"/>
              <w:rPr>
                <w:rFonts w:eastAsia="Times New Roman" w:cs="Arial"/>
                <w:sz w:val="18"/>
                <w:szCs w:val="18"/>
              </w:rPr>
            </w:pPr>
            <w:r w:rsidRPr="000E0351">
              <w:rPr>
                <w:rFonts w:cs="Arial"/>
                <w:sz w:val="18"/>
                <w:szCs w:val="18"/>
                <w:lang w:val="en-GB"/>
              </w:rPr>
              <w:t>0</w:t>
            </w:r>
          </w:p>
        </w:tc>
        <w:tc>
          <w:tcPr>
            <w:tcW w:w="1027" w:type="dxa"/>
          </w:tcPr>
          <w:p w:rsidR="00ED5F39" w:rsidRPr="009D1C5C" w:rsidRDefault="00ED5F39" w:rsidP="00CF4D70">
            <w:pPr>
              <w:jc w:val="center"/>
              <w:rPr>
                <w:rFonts w:eastAsia="Times New Roman" w:cs="Arial"/>
                <w:sz w:val="18"/>
                <w:szCs w:val="18"/>
              </w:rPr>
            </w:pPr>
            <w:r w:rsidRPr="00AA4590">
              <w:rPr>
                <w:rFonts w:eastAsia="Times New Roman" w:cs="Arial"/>
                <w:sz w:val="18"/>
                <w:szCs w:val="18"/>
              </w:rPr>
              <w:t>13</w:t>
            </w:r>
            <w:r w:rsidR="00CF4D70">
              <w:rPr>
                <w:rFonts w:eastAsia="Times New Roman" w:cs="Arial"/>
                <w:sz w:val="18"/>
                <w:szCs w:val="18"/>
              </w:rPr>
              <w:t>9</w:t>
            </w:r>
            <w:r w:rsidRPr="00AA4590">
              <w:rPr>
                <w:rFonts w:eastAsia="Times New Roman" w:cs="Arial"/>
                <w:sz w:val="18"/>
                <w:szCs w:val="18"/>
              </w:rPr>
              <w:t xml:space="preserve"> (3</w:t>
            </w:r>
            <w:r w:rsidR="00CF4D70">
              <w:rPr>
                <w:rFonts w:eastAsia="Times New Roman" w:cs="Arial"/>
                <w:sz w:val="18"/>
                <w:szCs w:val="18"/>
              </w:rPr>
              <w:t>9</w:t>
            </w:r>
            <w:r w:rsidRPr="00AA4590">
              <w:rPr>
                <w:rFonts w:eastAsia="Times New Roman" w:cs="Arial"/>
                <w:sz w:val="18"/>
                <w:szCs w:val="18"/>
              </w:rPr>
              <w:t xml:space="preserve">) </w:t>
            </w:r>
          </w:p>
        </w:tc>
        <w:tc>
          <w:tcPr>
            <w:tcW w:w="1027" w:type="dxa"/>
          </w:tcPr>
          <w:p w:rsidR="00ED5F39" w:rsidRPr="009D1C5C" w:rsidRDefault="00CF4D70" w:rsidP="00CF4D70">
            <w:pPr>
              <w:jc w:val="center"/>
              <w:rPr>
                <w:rFonts w:eastAsia="Times New Roman" w:cs="Arial"/>
                <w:sz w:val="18"/>
                <w:szCs w:val="18"/>
              </w:rPr>
            </w:pPr>
            <w:r>
              <w:rPr>
                <w:rFonts w:eastAsia="Times New Roman" w:cs="Arial"/>
                <w:sz w:val="18"/>
                <w:szCs w:val="18"/>
              </w:rPr>
              <w:t>9</w:t>
            </w:r>
            <w:r w:rsidR="00ED5F39" w:rsidRPr="00AA4590">
              <w:rPr>
                <w:rFonts w:eastAsia="Times New Roman" w:cs="Arial"/>
                <w:sz w:val="18"/>
                <w:szCs w:val="18"/>
              </w:rPr>
              <w:t xml:space="preserve"> (</w:t>
            </w:r>
            <w:r>
              <w:rPr>
                <w:rFonts w:eastAsia="Times New Roman" w:cs="Arial"/>
                <w:sz w:val="18"/>
                <w:szCs w:val="18"/>
              </w:rPr>
              <w:t>3</w:t>
            </w:r>
            <w:r w:rsidR="00ED5F39" w:rsidRPr="00AA4590">
              <w:rPr>
                <w:rFonts w:eastAsia="Times New Roman" w:cs="Arial"/>
                <w:sz w:val="18"/>
                <w:szCs w:val="18"/>
              </w:rPr>
              <w:t>)</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r w:rsidRPr="009D1C5C">
              <w:rPr>
                <w:rFonts w:cs="Arial"/>
                <w:sz w:val="18"/>
                <w:szCs w:val="18"/>
              </w:rPr>
              <w:t>Constipation</w:t>
            </w:r>
          </w:p>
        </w:tc>
        <w:tc>
          <w:tcPr>
            <w:tcW w:w="1027" w:type="dxa"/>
          </w:tcPr>
          <w:p w:rsidR="00ED5F39" w:rsidRPr="009D1C5C" w:rsidRDefault="00ED5F39" w:rsidP="00CF4D70">
            <w:pPr>
              <w:jc w:val="center"/>
              <w:rPr>
                <w:rFonts w:eastAsia="Times New Roman" w:cs="Arial"/>
                <w:sz w:val="18"/>
                <w:szCs w:val="18"/>
              </w:rPr>
            </w:pPr>
            <w:r w:rsidRPr="001700D1">
              <w:rPr>
                <w:rFonts w:eastAsia="Times New Roman" w:cs="Arial"/>
                <w:sz w:val="18"/>
                <w:szCs w:val="18"/>
              </w:rPr>
              <w:t>12</w:t>
            </w:r>
            <w:r w:rsidR="00CF4D70">
              <w:rPr>
                <w:rFonts w:eastAsia="Times New Roman" w:cs="Arial"/>
                <w:sz w:val="18"/>
                <w:szCs w:val="18"/>
              </w:rPr>
              <w:t>6</w:t>
            </w:r>
            <w:r w:rsidRPr="001700D1">
              <w:rPr>
                <w:rFonts w:eastAsia="Times New Roman" w:cs="Arial"/>
                <w:sz w:val="18"/>
                <w:szCs w:val="18"/>
              </w:rPr>
              <w:t xml:space="preserve"> (3</w:t>
            </w:r>
            <w:r w:rsidR="00CF4D70">
              <w:rPr>
                <w:rFonts w:eastAsia="Times New Roman" w:cs="Arial"/>
                <w:sz w:val="18"/>
                <w:szCs w:val="18"/>
              </w:rPr>
              <w:t>5</w:t>
            </w:r>
            <w:r w:rsidRPr="001700D1">
              <w:rPr>
                <w:rFonts w:eastAsia="Times New Roman" w:cs="Arial"/>
                <w:sz w:val="18"/>
                <w:szCs w:val="18"/>
              </w:rPr>
              <w:t xml:space="preserve">) </w:t>
            </w:r>
          </w:p>
        </w:tc>
        <w:tc>
          <w:tcPr>
            <w:tcW w:w="1027" w:type="dxa"/>
          </w:tcPr>
          <w:p w:rsidR="00ED5F39" w:rsidRPr="009D1C5C" w:rsidRDefault="00ED5F39" w:rsidP="00445AFE">
            <w:pPr>
              <w:jc w:val="center"/>
              <w:rPr>
                <w:rFonts w:eastAsia="Times New Roman" w:cs="Arial"/>
                <w:sz w:val="18"/>
                <w:szCs w:val="18"/>
              </w:rPr>
            </w:pPr>
            <w:r w:rsidRPr="001700D1">
              <w:rPr>
                <w:rFonts w:eastAsia="Times New Roman" w:cs="Arial"/>
                <w:sz w:val="18"/>
                <w:szCs w:val="18"/>
              </w:rPr>
              <w:t>1 (&lt;1)</w:t>
            </w:r>
          </w:p>
        </w:tc>
        <w:tc>
          <w:tcPr>
            <w:tcW w:w="1027" w:type="dxa"/>
          </w:tcPr>
          <w:p w:rsidR="00ED5F39" w:rsidRPr="009D1C5C" w:rsidRDefault="00ED5F39" w:rsidP="00445AFE">
            <w:pPr>
              <w:jc w:val="center"/>
              <w:rPr>
                <w:rFonts w:eastAsia="Times New Roman" w:cs="Arial"/>
                <w:sz w:val="18"/>
                <w:szCs w:val="18"/>
              </w:rPr>
            </w:pPr>
            <w:r w:rsidRPr="001700D1">
              <w:rPr>
                <w:rFonts w:eastAsia="Times New Roman" w:cs="Arial"/>
                <w:sz w:val="18"/>
                <w:szCs w:val="18"/>
              </w:rPr>
              <w:t>0</w:t>
            </w:r>
          </w:p>
        </w:tc>
        <w:tc>
          <w:tcPr>
            <w:tcW w:w="1027" w:type="dxa"/>
          </w:tcPr>
          <w:p w:rsidR="00ED5F39" w:rsidRPr="009D1C5C" w:rsidRDefault="00ED5F39" w:rsidP="00187B21">
            <w:pPr>
              <w:jc w:val="center"/>
              <w:rPr>
                <w:rFonts w:eastAsia="Times New Roman" w:cs="Arial"/>
                <w:sz w:val="18"/>
                <w:szCs w:val="18"/>
              </w:rPr>
            </w:pPr>
            <w:r w:rsidRPr="00AA4590">
              <w:rPr>
                <w:rFonts w:eastAsia="Times New Roman" w:cs="Arial"/>
                <w:sz w:val="18"/>
                <w:szCs w:val="18"/>
              </w:rPr>
              <w:t>9</w:t>
            </w:r>
            <w:r w:rsidR="00187B21">
              <w:rPr>
                <w:rFonts w:eastAsia="Times New Roman" w:cs="Arial"/>
                <w:sz w:val="18"/>
                <w:szCs w:val="18"/>
              </w:rPr>
              <w:t>4</w:t>
            </w:r>
            <w:r w:rsidRPr="00AA4590">
              <w:rPr>
                <w:rFonts w:eastAsia="Times New Roman" w:cs="Arial"/>
                <w:sz w:val="18"/>
                <w:szCs w:val="18"/>
              </w:rPr>
              <w:t xml:space="preserve"> (2</w:t>
            </w:r>
            <w:r w:rsidR="00187B21">
              <w:rPr>
                <w:rFonts w:eastAsia="Times New Roman" w:cs="Arial"/>
                <w:sz w:val="18"/>
                <w:szCs w:val="18"/>
              </w:rPr>
              <w:t>6</w:t>
            </w:r>
            <w:r w:rsidRPr="00AA4590">
              <w:rPr>
                <w:rFonts w:eastAsia="Times New Roman" w:cs="Arial"/>
                <w:sz w:val="18"/>
                <w:szCs w:val="18"/>
              </w:rPr>
              <w:t xml:space="preserve">) </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1 (&lt;1)</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r w:rsidRPr="009D1C5C">
              <w:rPr>
                <w:rFonts w:cs="Arial"/>
                <w:sz w:val="18"/>
                <w:szCs w:val="18"/>
              </w:rPr>
              <w:t>Nausea</w:t>
            </w:r>
          </w:p>
        </w:tc>
        <w:tc>
          <w:tcPr>
            <w:tcW w:w="1027" w:type="dxa"/>
          </w:tcPr>
          <w:p w:rsidR="00ED5F39" w:rsidRPr="009D1C5C" w:rsidRDefault="00CF4D70" w:rsidP="00CF4D70">
            <w:pPr>
              <w:jc w:val="center"/>
              <w:rPr>
                <w:rFonts w:eastAsia="Times New Roman" w:cs="Arial"/>
                <w:sz w:val="18"/>
                <w:szCs w:val="18"/>
              </w:rPr>
            </w:pPr>
            <w:r>
              <w:rPr>
                <w:rFonts w:eastAsia="Times New Roman" w:cs="Arial"/>
                <w:sz w:val="18"/>
                <w:szCs w:val="18"/>
              </w:rPr>
              <w:t>104</w:t>
            </w:r>
            <w:r w:rsidR="00ED5F39" w:rsidRPr="000C3C85">
              <w:rPr>
                <w:rFonts w:eastAsia="Times New Roman" w:cs="Arial"/>
                <w:sz w:val="18"/>
                <w:szCs w:val="18"/>
              </w:rPr>
              <w:t xml:space="preserve"> (2</w:t>
            </w:r>
            <w:r>
              <w:rPr>
                <w:rFonts w:eastAsia="Times New Roman" w:cs="Arial"/>
                <w:sz w:val="18"/>
                <w:szCs w:val="18"/>
              </w:rPr>
              <w:t>9</w:t>
            </w:r>
            <w:r w:rsidR="00ED5F39" w:rsidRPr="000C3C85">
              <w:rPr>
                <w:rFonts w:eastAsia="Times New Roman" w:cs="Arial"/>
                <w:sz w:val="18"/>
                <w:szCs w:val="18"/>
              </w:rPr>
              <w:t xml:space="preserve">) </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6 (2)</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0</w:t>
            </w:r>
          </w:p>
        </w:tc>
        <w:tc>
          <w:tcPr>
            <w:tcW w:w="1027" w:type="dxa"/>
          </w:tcPr>
          <w:p w:rsidR="00ED5F39" w:rsidRPr="00C97E13" w:rsidRDefault="00ED5F39" w:rsidP="00187B21">
            <w:pPr>
              <w:jc w:val="center"/>
              <w:rPr>
                <w:rFonts w:eastAsia="Times New Roman" w:cs="Arial"/>
                <w:sz w:val="18"/>
                <w:szCs w:val="18"/>
              </w:rPr>
            </w:pPr>
            <w:r w:rsidRPr="00C97E13">
              <w:rPr>
                <w:rFonts w:eastAsia="Times New Roman" w:cs="Arial"/>
                <w:sz w:val="18"/>
                <w:szCs w:val="18"/>
              </w:rPr>
              <w:t>7</w:t>
            </w:r>
            <w:r w:rsidR="00187B21" w:rsidRPr="00C97E13">
              <w:rPr>
                <w:rFonts w:eastAsia="Times New Roman" w:cs="Arial"/>
                <w:sz w:val="18"/>
                <w:szCs w:val="18"/>
              </w:rPr>
              <w:t>9</w:t>
            </w:r>
            <w:r w:rsidRPr="00C97E13">
              <w:rPr>
                <w:rFonts w:eastAsia="Times New Roman" w:cs="Arial"/>
                <w:sz w:val="18"/>
                <w:szCs w:val="18"/>
              </w:rPr>
              <w:t xml:space="preserve"> (2</w:t>
            </w:r>
            <w:r w:rsidR="00187B21" w:rsidRPr="00C97E13">
              <w:rPr>
                <w:rFonts w:eastAsia="Times New Roman" w:cs="Arial"/>
                <w:sz w:val="18"/>
                <w:szCs w:val="18"/>
              </w:rPr>
              <w:t>2</w:t>
            </w:r>
            <w:r w:rsidRPr="00C97E13">
              <w:rPr>
                <w:rFonts w:eastAsia="Times New Roman" w:cs="Arial"/>
                <w:sz w:val="18"/>
                <w:szCs w:val="18"/>
              </w:rPr>
              <w:t xml:space="preserve">) </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0</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r w:rsidRPr="009D1C5C">
              <w:rPr>
                <w:rFonts w:cs="Arial"/>
                <w:sz w:val="18"/>
                <w:szCs w:val="18"/>
              </w:rPr>
              <w:t>Vomiting</w:t>
            </w:r>
          </w:p>
        </w:tc>
        <w:tc>
          <w:tcPr>
            <w:tcW w:w="1027" w:type="dxa"/>
          </w:tcPr>
          <w:p w:rsidR="00ED5F39" w:rsidRPr="009D1C5C" w:rsidRDefault="00187B21" w:rsidP="00187B21">
            <w:pPr>
              <w:jc w:val="center"/>
              <w:rPr>
                <w:rFonts w:eastAsia="Times New Roman" w:cs="Arial"/>
                <w:sz w:val="18"/>
                <w:szCs w:val="18"/>
              </w:rPr>
            </w:pPr>
            <w:r>
              <w:rPr>
                <w:rFonts w:eastAsia="Times New Roman" w:cs="Arial"/>
                <w:sz w:val="18"/>
                <w:szCs w:val="18"/>
              </w:rPr>
              <w:t>84</w:t>
            </w:r>
            <w:r w:rsidR="00ED5F39" w:rsidRPr="000C3C85">
              <w:rPr>
                <w:rFonts w:eastAsia="Times New Roman" w:cs="Arial"/>
                <w:sz w:val="18"/>
                <w:szCs w:val="18"/>
              </w:rPr>
              <w:t xml:space="preserve"> (2</w:t>
            </w:r>
            <w:r>
              <w:rPr>
                <w:rFonts w:eastAsia="Times New Roman" w:cs="Arial"/>
                <w:sz w:val="18"/>
                <w:szCs w:val="18"/>
              </w:rPr>
              <w:t>3</w:t>
            </w:r>
            <w:r w:rsidR="00ED5F39" w:rsidRPr="000C3C85">
              <w:rPr>
                <w:rFonts w:eastAsia="Times New Roman" w:cs="Arial"/>
                <w:sz w:val="18"/>
                <w:szCs w:val="18"/>
              </w:rPr>
              <w:t xml:space="preserve">) </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4 (1)</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0</w:t>
            </w:r>
          </w:p>
        </w:tc>
        <w:tc>
          <w:tcPr>
            <w:tcW w:w="1027" w:type="dxa"/>
          </w:tcPr>
          <w:p w:rsidR="00ED5F39" w:rsidRPr="00C97E13" w:rsidRDefault="00187B21" w:rsidP="00187B21">
            <w:pPr>
              <w:jc w:val="center"/>
              <w:rPr>
                <w:rFonts w:eastAsia="Times New Roman" w:cs="Arial"/>
                <w:sz w:val="18"/>
                <w:szCs w:val="18"/>
              </w:rPr>
            </w:pPr>
            <w:r w:rsidRPr="00C97E13">
              <w:rPr>
                <w:rFonts w:eastAsia="Times New Roman" w:cs="Arial"/>
                <w:sz w:val="18"/>
                <w:szCs w:val="18"/>
              </w:rPr>
              <w:t>42</w:t>
            </w:r>
            <w:r w:rsidR="00ED5F39" w:rsidRPr="00C97E13">
              <w:rPr>
                <w:rFonts w:eastAsia="Times New Roman" w:cs="Arial"/>
                <w:sz w:val="18"/>
                <w:szCs w:val="18"/>
              </w:rPr>
              <w:t xml:space="preserve"> (1</w:t>
            </w:r>
            <w:r w:rsidRPr="00C97E13">
              <w:rPr>
                <w:rFonts w:eastAsia="Times New Roman" w:cs="Arial"/>
                <w:sz w:val="18"/>
                <w:szCs w:val="18"/>
              </w:rPr>
              <w:t>2</w:t>
            </w:r>
            <w:r w:rsidR="00ED5F39" w:rsidRPr="00C97E13">
              <w:rPr>
                <w:rFonts w:eastAsia="Times New Roman" w:cs="Arial"/>
                <w:sz w:val="18"/>
                <w:szCs w:val="18"/>
              </w:rPr>
              <w:t xml:space="preserve">) </w:t>
            </w:r>
          </w:p>
        </w:tc>
        <w:tc>
          <w:tcPr>
            <w:tcW w:w="1027" w:type="dxa"/>
          </w:tcPr>
          <w:p w:rsidR="00ED5F39" w:rsidRPr="00C97E13" w:rsidRDefault="00ED5F39" w:rsidP="00445AFE">
            <w:pPr>
              <w:jc w:val="center"/>
              <w:rPr>
                <w:rFonts w:eastAsia="Times New Roman" w:cs="Arial"/>
                <w:sz w:val="18"/>
                <w:szCs w:val="18"/>
              </w:rPr>
            </w:pPr>
            <w:r w:rsidRPr="00C97E13">
              <w:rPr>
                <w:rFonts w:eastAsia="Times New Roman" w:cs="Arial"/>
                <w:sz w:val="18"/>
                <w:szCs w:val="18"/>
              </w:rPr>
              <w:t>2 (&lt;1)</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D1C5C" w:rsidRDefault="00ED5F39" w:rsidP="00445AFE">
            <w:pPr>
              <w:autoSpaceDE w:val="0"/>
              <w:autoSpaceDN w:val="0"/>
              <w:adjustRightInd w:val="0"/>
              <w:rPr>
                <w:rFonts w:eastAsia="Times New Roman" w:cs="Arial"/>
                <w:sz w:val="18"/>
                <w:szCs w:val="18"/>
              </w:rPr>
            </w:pPr>
            <w:r w:rsidRPr="009D1C5C">
              <w:rPr>
                <w:rFonts w:cs="Arial"/>
                <w:b/>
                <w:sz w:val="18"/>
                <w:szCs w:val="18"/>
              </w:rPr>
              <w:t>Skin and subcutaneous tissue disorders</w:t>
            </w: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c>
          <w:tcPr>
            <w:tcW w:w="1027" w:type="dxa"/>
          </w:tcPr>
          <w:p w:rsidR="00ED5F39" w:rsidRPr="009D1C5C" w:rsidRDefault="00ED5F39" w:rsidP="00445AFE">
            <w:pPr>
              <w:jc w:val="center"/>
              <w:rPr>
                <w:rFonts w:eastAsia="Times New Roman" w:cs="Arial"/>
                <w:sz w:val="18"/>
                <w:szCs w:val="18"/>
              </w:rPr>
            </w:pPr>
          </w:p>
        </w:tc>
      </w:tr>
      <w:tr w:rsidR="00ED5F39" w:rsidRPr="00951FAC" w:rsidTr="00445AFE">
        <w:tc>
          <w:tcPr>
            <w:tcW w:w="3080" w:type="dxa"/>
          </w:tcPr>
          <w:p w:rsidR="00ED5F39" w:rsidRPr="009D1C5C" w:rsidRDefault="00ED5F39" w:rsidP="00445AFE">
            <w:pPr>
              <w:tabs>
                <w:tab w:val="left" w:pos="142"/>
              </w:tabs>
              <w:jc w:val="both"/>
              <w:rPr>
                <w:rFonts w:cs="Arial"/>
                <w:sz w:val="18"/>
                <w:szCs w:val="18"/>
              </w:rPr>
            </w:pPr>
            <w:r>
              <w:rPr>
                <w:rFonts w:cs="Arial"/>
                <w:sz w:val="18"/>
                <w:szCs w:val="18"/>
              </w:rPr>
              <w:tab/>
            </w:r>
            <w:proofErr w:type="spellStart"/>
            <w:r w:rsidRPr="009D1C5C">
              <w:rPr>
                <w:rFonts w:cs="Arial"/>
                <w:sz w:val="18"/>
                <w:szCs w:val="18"/>
              </w:rPr>
              <w:t>Rash</w:t>
            </w:r>
            <w:r w:rsidRPr="009D1C5C">
              <w:rPr>
                <w:rFonts w:cs="Arial"/>
                <w:sz w:val="18"/>
                <w:szCs w:val="18"/>
                <w:vertAlign w:val="superscript"/>
              </w:rPr>
              <w:t>c</w:t>
            </w:r>
            <w:proofErr w:type="spellEnd"/>
          </w:p>
        </w:tc>
        <w:tc>
          <w:tcPr>
            <w:tcW w:w="1027" w:type="dxa"/>
          </w:tcPr>
          <w:p w:rsidR="00ED5F39" w:rsidRPr="009D1C5C" w:rsidRDefault="00D25C77" w:rsidP="00D25C77">
            <w:pPr>
              <w:jc w:val="center"/>
              <w:rPr>
                <w:rFonts w:eastAsia="Times New Roman" w:cs="Arial"/>
                <w:sz w:val="18"/>
                <w:szCs w:val="18"/>
              </w:rPr>
            </w:pPr>
            <w:r>
              <w:rPr>
                <w:rFonts w:eastAsia="Times New Roman" w:cs="Arial"/>
                <w:sz w:val="18"/>
                <w:szCs w:val="18"/>
              </w:rPr>
              <w:t>72</w:t>
            </w:r>
            <w:r w:rsidR="00ED5F39" w:rsidRPr="000C3C85">
              <w:rPr>
                <w:rFonts w:eastAsia="Times New Roman" w:cs="Arial"/>
                <w:sz w:val="18"/>
                <w:szCs w:val="18"/>
              </w:rPr>
              <w:t xml:space="preserve"> (</w:t>
            </w:r>
            <w:r>
              <w:rPr>
                <w:rFonts w:eastAsia="Times New Roman" w:cs="Arial"/>
                <w:sz w:val="18"/>
                <w:szCs w:val="18"/>
              </w:rPr>
              <w:t>20</w:t>
            </w:r>
            <w:r w:rsidR="00ED5F39" w:rsidRPr="000C3C85">
              <w:rPr>
                <w:rFonts w:eastAsia="Times New Roman" w:cs="Arial"/>
                <w:sz w:val="18"/>
                <w:szCs w:val="18"/>
              </w:rPr>
              <w:t xml:space="preserve">) </w:t>
            </w:r>
          </w:p>
        </w:tc>
        <w:tc>
          <w:tcPr>
            <w:tcW w:w="1027" w:type="dxa"/>
          </w:tcPr>
          <w:p w:rsidR="00ED5F39" w:rsidRPr="009D1C5C" w:rsidRDefault="00ED5F39" w:rsidP="00D25C77">
            <w:pPr>
              <w:jc w:val="center"/>
              <w:rPr>
                <w:rFonts w:eastAsia="Times New Roman" w:cs="Arial"/>
                <w:sz w:val="18"/>
                <w:szCs w:val="18"/>
              </w:rPr>
            </w:pPr>
            <w:r w:rsidRPr="000C3C85">
              <w:rPr>
                <w:rFonts w:eastAsia="Times New Roman" w:cs="Arial"/>
                <w:sz w:val="18"/>
                <w:szCs w:val="18"/>
              </w:rPr>
              <w:t>9 (</w:t>
            </w:r>
            <w:r w:rsidR="00D25C77">
              <w:rPr>
                <w:rFonts w:eastAsia="Times New Roman" w:cs="Arial"/>
                <w:sz w:val="18"/>
                <w:szCs w:val="18"/>
              </w:rPr>
              <w:t>2</w:t>
            </w:r>
            <w:r w:rsidRPr="000C3C85">
              <w:rPr>
                <w:rFonts w:eastAsia="Times New Roman" w:cs="Arial"/>
                <w:sz w:val="18"/>
                <w:szCs w:val="18"/>
              </w:rPr>
              <w:t>)</w:t>
            </w:r>
          </w:p>
        </w:tc>
        <w:tc>
          <w:tcPr>
            <w:tcW w:w="1027" w:type="dxa"/>
          </w:tcPr>
          <w:p w:rsidR="00ED5F39" w:rsidRPr="009D1C5C" w:rsidRDefault="00ED5F39" w:rsidP="00445AFE">
            <w:pPr>
              <w:jc w:val="center"/>
              <w:rPr>
                <w:rFonts w:eastAsia="Times New Roman" w:cs="Arial"/>
                <w:sz w:val="18"/>
                <w:szCs w:val="18"/>
              </w:rPr>
            </w:pPr>
            <w:r w:rsidRPr="000C3C85">
              <w:rPr>
                <w:rFonts w:eastAsia="Times New Roman" w:cs="Arial"/>
                <w:sz w:val="18"/>
                <w:szCs w:val="18"/>
              </w:rPr>
              <w:t>0</w:t>
            </w:r>
          </w:p>
        </w:tc>
        <w:tc>
          <w:tcPr>
            <w:tcW w:w="1027" w:type="dxa"/>
          </w:tcPr>
          <w:p w:rsidR="00ED5F39" w:rsidRPr="009D1C5C" w:rsidRDefault="00D25C77" w:rsidP="00D25C77">
            <w:pPr>
              <w:jc w:val="center"/>
              <w:rPr>
                <w:rFonts w:eastAsia="Times New Roman" w:cs="Arial"/>
                <w:sz w:val="18"/>
                <w:szCs w:val="18"/>
              </w:rPr>
            </w:pPr>
            <w:r>
              <w:rPr>
                <w:rFonts w:eastAsia="Times New Roman" w:cs="Arial"/>
                <w:sz w:val="18"/>
                <w:szCs w:val="18"/>
              </w:rPr>
              <w:t>45</w:t>
            </w:r>
            <w:r w:rsidR="00ED5F39" w:rsidRPr="00AA4590">
              <w:rPr>
                <w:rFonts w:eastAsia="Times New Roman" w:cs="Arial"/>
                <w:sz w:val="18"/>
                <w:szCs w:val="18"/>
              </w:rPr>
              <w:t xml:space="preserve"> (1</w:t>
            </w:r>
            <w:r>
              <w:rPr>
                <w:rFonts w:eastAsia="Times New Roman" w:cs="Arial"/>
                <w:sz w:val="18"/>
                <w:szCs w:val="18"/>
              </w:rPr>
              <w:t>3</w:t>
            </w:r>
            <w:r w:rsidR="00ED5F39" w:rsidRPr="00AA4590">
              <w:rPr>
                <w:rFonts w:eastAsia="Times New Roman" w:cs="Arial"/>
                <w:sz w:val="18"/>
                <w:szCs w:val="18"/>
              </w:rPr>
              <w:t xml:space="preserve">) </w:t>
            </w:r>
          </w:p>
        </w:tc>
        <w:tc>
          <w:tcPr>
            <w:tcW w:w="1027" w:type="dxa"/>
          </w:tcPr>
          <w:p w:rsidR="00ED5F39" w:rsidRPr="009D1C5C" w:rsidRDefault="00D25C77" w:rsidP="00D25C77">
            <w:pPr>
              <w:jc w:val="center"/>
              <w:rPr>
                <w:rFonts w:eastAsia="Times New Roman" w:cs="Arial"/>
                <w:sz w:val="18"/>
                <w:szCs w:val="18"/>
              </w:rPr>
            </w:pPr>
            <w:r>
              <w:rPr>
                <w:rFonts w:eastAsia="Times New Roman" w:cs="Arial"/>
                <w:sz w:val="18"/>
                <w:szCs w:val="18"/>
              </w:rPr>
              <w:t>6</w:t>
            </w:r>
            <w:r w:rsidR="00ED5F39" w:rsidRPr="00AA4590">
              <w:rPr>
                <w:rFonts w:eastAsia="Times New Roman" w:cs="Arial"/>
                <w:sz w:val="18"/>
                <w:szCs w:val="18"/>
              </w:rPr>
              <w:t xml:space="preserve"> (</w:t>
            </w:r>
            <w:r>
              <w:rPr>
                <w:rFonts w:eastAsia="Times New Roman" w:cs="Arial"/>
                <w:sz w:val="18"/>
                <w:szCs w:val="18"/>
              </w:rPr>
              <w:t>2</w:t>
            </w:r>
            <w:r w:rsidR="00ED5F39" w:rsidRPr="00AA4590">
              <w:rPr>
                <w:rFonts w:eastAsia="Times New Roman" w:cs="Arial"/>
                <w:sz w:val="18"/>
                <w:szCs w:val="18"/>
              </w:rPr>
              <w:t>)</w:t>
            </w:r>
          </w:p>
        </w:tc>
        <w:tc>
          <w:tcPr>
            <w:tcW w:w="1027" w:type="dxa"/>
          </w:tcPr>
          <w:p w:rsidR="00ED5F39" w:rsidRPr="009D1C5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51FAC" w:rsidRDefault="00ED5F39" w:rsidP="00445AFE">
            <w:pPr>
              <w:autoSpaceDE w:val="0"/>
              <w:autoSpaceDN w:val="0"/>
              <w:adjustRightInd w:val="0"/>
              <w:rPr>
                <w:rFonts w:eastAsia="Times New Roman" w:cs="Arial"/>
                <w:sz w:val="18"/>
                <w:szCs w:val="18"/>
              </w:rPr>
            </w:pPr>
            <w:r w:rsidRPr="009D1C5C">
              <w:rPr>
                <w:rFonts w:cs="Arial"/>
                <w:b/>
                <w:sz w:val="18"/>
                <w:szCs w:val="18"/>
              </w:rPr>
              <w:t>Musculoskeletal and connective tissue</w:t>
            </w:r>
            <w:r>
              <w:rPr>
                <w:rFonts w:cs="Arial"/>
                <w:b/>
                <w:sz w:val="18"/>
                <w:szCs w:val="18"/>
              </w:rPr>
              <w:t xml:space="preserve"> </w:t>
            </w:r>
            <w:r w:rsidRPr="009D1C5C">
              <w:rPr>
                <w:rFonts w:cs="Arial"/>
                <w:b/>
                <w:sz w:val="18"/>
                <w:szCs w:val="18"/>
              </w:rPr>
              <w:t>disorders</w:t>
            </w: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r>
      <w:tr w:rsidR="00ED5F39" w:rsidRPr="00951FAC" w:rsidTr="00445AFE">
        <w:tc>
          <w:tcPr>
            <w:tcW w:w="3080" w:type="dxa"/>
          </w:tcPr>
          <w:p w:rsidR="00ED5F39" w:rsidRPr="00951FAC" w:rsidRDefault="00ED5F39" w:rsidP="00445AFE">
            <w:pPr>
              <w:tabs>
                <w:tab w:val="left" w:pos="142"/>
              </w:tabs>
              <w:jc w:val="both"/>
              <w:rPr>
                <w:rFonts w:eastAsia="Times New Roman" w:cs="Arial"/>
                <w:sz w:val="18"/>
                <w:szCs w:val="18"/>
              </w:rPr>
            </w:pPr>
            <w:r>
              <w:rPr>
                <w:rFonts w:cs="Arial"/>
                <w:sz w:val="18"/>
                <w:szCs w:val="18"/>
              </w:rPr>
              <w:tab/>
            </w:r>
            <w:r w:rsidRPr="009D1C5C">
              <w:rPr>
                <w:rFonts w:cs="Arial"/>
                <w:sz w:val="18"/>
                <w:szCs w:val="18"/>
              </w:rPr>
              <w:t>Back pain</w:t>
            </w:r>
          </w:p>
        </w:tc>
        <w:tc>
          <w:tcPr>
            <w:tcW w:w="1027" w:type="dxa"/>
          </w:tcPr>
          <w:p w:rsidR="00ED5F39" w:rsidRPr="00951FAC" w:rsidRDefault="00503376" w:rsidP="00503376">
            <w:pPr>
              <w:jc w:val="center"/>
              <w:rPr>
                <w:rFonts w:eastAsia="Times New Roman" w:cs="Arial"/>
                <w:sz w:val="18"/>
                <w:szCs w:val="18"/>
              </w:rPr>
            </w:pPr>
            <w:r>
              <w:rPr>
                <w:rFonts w:eastAsia="Times New Roman" w:cs="Arial"/>
                <w:sz w:val="18"/>
                <w:szCs w:val="18"/>
              </w:rPr>
              <w:t>87</w:t>
            </w:r>
            <w:r w:rsidR="00ED5F39" w:rsidRPr="000C3C85">
              <w:rPr>
                <w:rFonts w:eastAsia="Times New Roman" w:cs="Arial"/>
                <w:sz w:val="18"/>
                <w:szCs w:val="18"/>
              </w:rPr>
              <w:t xml:space="preserve"> (2</w:t>
            </w:r>
            <w:r>
              <w:rPr>
                <w:rFonts w:eastAsia="Times New Roman" w:cs="Arial"/>
                <w:sz w:val="18"/>
                <w:szCs w:val="18"/>
              </w:rPr>
              <w:t>4</w:t>
            </w:r>
            <w:r w:rsidR="00ED5F39" w:rsidRPr="000C3C85">
              <w:rPr>
                <w:rFonts w:eastAsia="Times New Roman" w:cs="Arial"/>
                <w:sz w:val="18"/>
                <w:szCs w:val="18"/>
              </w:rPr>
              <w:t xml:space="preserve">) </w:t>
            </w:r>
          </w:p>
        </w:tc>
        <w:tc>
          <w:tcPr>
            <w:tcW w:w="1027" w:type="dxa"/>
          </w:tcPr>
          <w:p w:rsidR="00ED5F39" w:rsidRPr="00951FAC" w:rsidRDefault="00503376" w:rsidP="00445AFE">
            <w:pPr>
              <w:jc w:val="center"/>
              <w:rPr>
                <w:rFonts w:eastAsia="Times New Roman" w:cs="Arial"/>
                <w:sz w:val="18"/>
                <w:szCs w:val="18"/>
              </w:rPr>
            </w:pPr>
            <w:r>
              <w:rPr>
                <w:rFonts w:eastAsia="Times New Roman" w:cs="Arial"/>
                <w:sz w:val="18"/>
                <w:szCs w:val="18"/>
              </w:rPr>
              <w:t>3</w:t>
            </w:r>
            <w:r w:rsidR="00ED5F39" w:rsidRPr="000C3C85">
              <w:rPr>
                <w:rFonts w:eastAsia="Times New Roman" w:cs="Arial"/>
                <w:sz w:val="18"/>
                <w:szCs w:val="18"/>
              </w:rPr>
              <w:t xml:space="preserve"> (&lt;1)</w:t>
            </w:r>
          </w:p>
        </w:tc>
        <w:tc>
          <w:tcPr>
            <w:tcW w:w="1027" w:type="dxa"/>
          </w:tcPr>
          <w:p w:rsidR="00ED5F39" w:rsidRPr="00951FAC" w:rsidRDefault="00ED5F39" w:rsidP="00445AFE">
            <w:pPr>
              <w:jc w:val="center"/>
              <w:rPr>
                <w:rFonts w:eastAsia="Times New Roman" w:cs="Arial"/>
                <w:sz w:val="18"/>
                <w:szCs w:val="18"/>
              </w:rPr>
            </w:pPr>
            <w:r w:rsidRPr="000C3C85">
              <w:rPr>
                <w:rFonts w:eastAsia="Times New Roman" w:cs="Arial"/>
                <w:sz w:val="18"/>
                <w:szCs w:val="18"/>
              </w:rPr>
              <w:t>0</w:t>
            </w:r>
          </w:p>
        </w:tc>
        <w:tc>
          <w:tcPr>
            <w:tcW w:w="1027" w:type="dxa"/>
          </w:tcPr>
          <w:p w:rsidR="00ED5F39" w:rsidRPr="00951FAC" w:rsidRDefault="00503376" w:rsidP="00503376">
            <w:pPr>
              <w:jc w:val="center"/>
              <w:rPr>
                <w:rFonts w:eastAsia="Times New Roman" w:cs="Arial"/>
                <w:sz w:val="18"/>
                <w:szCs w:val="18"/>
              </w:rPr>
            </w:pPr>
            <w:r>
              <w:rPr>
                <w:rFonts w:eastAsia="Times New Roman" w:cs="Arial"/>
                <w:sz w:val="18"/>
                <w:szCs w:val="18"/>
              </w:rPr>
              <w:t>62</w:t>
            </w:r>
            <w:r w:rsidR="00ED5F39" w:rsidRPr="00AA4590">
              <w:rPr>
                <w:rFonts w:eastAsia="Times New Roman" w:cs="Arial"/>
                <w:sz w:val="18"/>
                <w:szCs w:val="18"/>
              </w:rPr>
              <w:t xml:space="preserve"> (1</w:t>
            </w:r>
            <w:r>
              <w:rPr>
                <w:rFonts w:eastAsia="Times New Roman" w:cs="Arial"/>
                <w:sz w:val="18"/>
                <w:szCs w:val="18"/>
              </w:rPr>
              <w:t>7</w:t>
            </w:r>
            <w:r w:rsidR="00ED5F39" w:rsidRPr="00AA4590">
              <w:rPr>
                <w:rFonts w:eastAsia="Times New Roman" w:cs="Arial"/>
                <w:sz w:val="18"/>
                <w:szCs w:val="18"/>
              </w:rPr>
              <w:t xml:space="preserve">) </w:t>
            </w:r>
          </w:p>
        </w:tc>
        <w:tc>
          <w:tcPr>
            <w:tcW w:w="1027" w:type="dxa"/>
          </w:tcPr>
          <w:p w:rsidR="00ED5F39" w:rsidRPr="00951FAC" w:rsidRDefault="00ED5F39" w:rsidP="00445AFE">
            <w:pPr>
              <w:jc w:val="center"/>
              <w:rPr>
                <w:rFonts w:eastAsia="Times New Roman" w:cs="Arial"/>
                <w:sz w:val="18"/>
                <w:szCs w:val="18"/>
              </w:rPr>
            </w:pPr>
            <w:r w:rsidRPr="00AA4590">
              <w:rPr>
                <w:rFonts w:eastAsia="Times New Roman" w:cs="Arial"/>
                <w:sz w:val="18"/>
                <w:szCs w:val="18"/>
              </w:rPr>
              <w:t>9 (3)</w:t>
            </w:r>
          </w:p>
        </w:tc>
        <w:tc>
          <w:tcPr>
            <w:tcW w:w="1027" w:type="dxa"/>
          </w:tcPr>
          <w:p w:rsidR="00ED5F39" w:rsidRPr="00951FAC" w:rsidRDefault="00ED5F39" w:rsidP="00445AFE">
            <w:pPr>
              <w:jc w:val="center"/>
              <w:rPr>
                <w:rFonts w:eastAsia="Times New Roman" w:cs="Arial"/>
                <w:sz w:val="18"/>
                <w:szCs w:val="18"/>
              </w:rPr>
            </w:pPr>
            <w:r w:rsidRPr="00AA4590">
              <w:rPr>
                <w:rFonts w:eastAsia="Times New Roman" w:cs="Arial"/>
                <w:sz w:val="18"/>
                <w:szCs w:val="18"/>
              </w:rPr>
              <w:t>0</w:t>
            </w:r>
          </w:p>
        </w:tc>
      </w:tr>
      <w:tr w:rsidR="00ED5F39" w:rsidRPr="00951FAC" w:rsidTr="00445AFE">
        <w:tc>
          <w:tcPr>
            <w:tcW w:w="3080" w:type="dxa"/>
          </w:tcPr>
          <w:p w:rsidR="00ED5F39" w:rsidRPr="009D1C5C" w:rsidRDefault="00ED5F39" w:rsidP="00445AFE">
            <w:pPr>
              <w:autoSpaceDE w:val="0"/>
              <w:autoSpaceDN w:val="0"/>
              <w:adjustRightInd w:val="0"/>
              <w:rPr>
                <w:rFonts w:ascii="TimesNewRoman,Bold" w:eastAsia="TimesNewRoman,Bold" w:cs="TimesNewRoman,Bold"/>
                <w:b/>
                <w:bCs/>
                <w:sz w:val="18"/>
                <w:szCs w:val="18"/>
                <w:lang w:val="en-GB"/>
              </w:rPr>
            </w:pPr>
            <w:r w:rsidRPr="009D1C5C">
              <w:rPr>
                <w:rFonts w:cs="Arial"/>
                <w:b/>
                <w:sz w:val="18"/>
                <w:szCs w:val="18"/>
              </w:rPr>
              <w:t>General disorders and</w:t>
            </w:r>
            <w:r>
              <w:rPr>
                <w:rFonts w:cs="Arial"/>
                <w:b/>
                <w:sz w:val="18"/>
                <w:szCs w:val="18"/>
              </w:rPr>
              <w:t xml:space="preserve"> </w:t>
            </w:r>
            <w:r w:rsidRPr="009D1C5C">
              <w:rPr>
                <w:rFonts w:cs="Arial"/>
                <w:b/>
                <w:sz w:val="18"/>
                <w:szCs w:val="18"/>
              </w:rPr>
              <w:t>administration site</w:t>
            </w:r>
            <w:r>
              <w:rPr>
                <w:rFonts w:cs="Arial"/>
                <w:b/>
                <w:sz w:val="18"/>
                <w:szCs w:val="18"/>
              </w:rPr>
              <w:t xml:space="preserve"> </w:t>
            </w:r>
            <w:r w:rsidRPr="009D1C5C">
              <w:rPr>
                <w:rFonts w:cs="Arial"/>
                <w:b/>
                <w:sz w:val="18"/>
                <w:szCs w:val="18"/>
              </w:rPr>
              <w:t>conditions</w:t>
            </w: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c>
          <w:tcPr>
            <w:tcW w:w="1027" w:type="dxa"/>
          </w:tcPr>
          <w:p w:rsidR="00ED5F39" w:rsidRPr="00951FAC" w:rsidRDefault="00ED5F39" w:rsidP="00445AFE">
            <w:pPr>
              <w:jc w:val="center"/>
              <w:rPr>
                <w:rFonts w:eastAsia="Times New Roman" w:cs="Arial"/>
                <w:sz w:val="18"/>
                <w:szCs w:val="18"/>
              </w:rPr>
            </w:pPr>
          </w:p>
        </w:tc>
      </w:tr>
      <w:tr w:rsidR="00ED5F39" w:rsidRPr="00951FAC" w:rsidTr="00445AFE">
        <w:tc>
          <w:tcPr>
            <w:tcW w:w="3080" w:type="dxa"/>
          </w:tcPr>
          <w:p w:rsidR="00ED5F39" w:rsidRPr="00951FAC" w:rsidRDefault="00ED5F39" w:rsidP="00445AFE">
            <w:pPr>
              <w:tabs>
                <w:tab w:val="left" w:pos="142"/>
              </w:tabs>
              <w:jc w:val="both"/>
              <w:rPr>
                <w:rFonts w:eastAsia="Times New Roman" w:cs="Arial"/>
                <w:sz w:val="18"/>
                <w:szCs w:val="18"/>
              </w:rPr>
            </w:pPr>
            <w:r>
              <w:rPr>
                <w:rFonts w:cs="Arial"/>
                <w:sz w:val="18"/>
                <w:szCs w:val="18"/>
              </w:rPr>
              <w:tab/>
            </w:r>
            <w:r w:rsidRPr="009D1C5C">
              <w:rPr>
                <w:rFonts w:cs="Arial"/>
                <w:sz w:val="18"/>
                <w:szCs w:val="18"/>
              </w:rPr>
              <w:t>Oedema peripheral</w:t>
            </w:r>
          </w:p>
        </w:tc>
        <w:tc>
          <w:tcPr>
            <w:tcW w:w="1027" w:type="dxa"/>
          </w:tcPr>
          <w:p w:rsidR="00ED5F39" w:rsidRPr="00951FAC" w:rsidRDefault="00503376" w:rsidP="00503376">
            <w:pPr>
              <w:jc w:val="center"/>
              <w:rPr>
                <w:rFonts w:eastAsia="Times New Roman" w:cs="Arial"/>
                <w:sz w:val="18"/>
                <w:szCs w:val="18"/>
              </w:rPr>
            </w:pPr>
            <w:r>
              <w:rPr>
                <w:rFonts w:eastAsia="Times New Roman" w:cs="Arial"/>
                <w:sz w:val="18"/>
                <w:szCs w:val="18"/>
              </w:rPr>
              <w:t>101</w:t>
            </w:r>
            <w:r w:rsidR="00ED5F39" w:rsidRPr="00FA6FAC">
              <w:rPr>
                <w:rFonts w:eastAsia="Times New Roman" w:cs="Arial"/>
                <w:sz w:val="18"/>
                <w:szCs w:val="18"/>
              </w:rPr>
              <w:t xml:space="preserve"> (2</w:t>
            </w:r>
            <w:r>
              <w:rPr>
                <w:rFonts w:eastAsia="Times New Roman" w:cs="Arial"/>
                <w:sz w:val="18"/>
                <w:szCs w:val="18"/>
              </w:rPr>
              <w:t>8</w:t>
            </w:r>
            <w:r w:rsidR="00ED5F39" w:rsidRPr="00FA6FAC">
              <w:rPr>
                <w:rFonts w:eastAsia="Times New Roman" w:cs="Arial"/>
                <w:sz w:val="18"/>
                <w:szCs w:val="18"/>
              </w:rPr>
              <w:t xml:space="preserve">) </w:t>
            </w:r>
          </w:p>
        </w:tc>
        <w:tc>
          <w:tcPr>
            <w:tcW w:w="1027" w:type="dxa"/>
          </w:tcPr>
          <w:p w:rsidR="00ED5F39" w:rsidRPr="00951FAC" w:rsidRDefault="00ED5F39" w:rsidP="00445AFE">
            <w:pPr>
              <w:jc w:val="center"/>
              <w:rPr>
                <w:rFonts w:eastAsia="Times New Roman" w:cs="Arial"/>
                <w:sz w:val="18"/>
                <w:szCs w:val="18"/>
              </w:rPr>
            </w:pPr>
            <w:r w:rsidRPr="00FA6FAC">
              <w:rPr>
                <w:rFonts w:eastAsia="Times New Roman" w:cs="Arial"/>
                <w:sz w:val="18"/>
                <w:szCs w:val="18"/>
              </w:rPr>
              <w:t>8 (2)</w:t>
            </w:r>
          </w:p>
        </w:tc>
        <w:tc>
          <w:tcPr>
            <w:tcW w:w="1027" w:type="dxa"/>
          </w:tcPr>
          <w:p w:rsidR="00ED5F39" w:rsidRPr="00951FAC" w:rsidRDefault="00ED5F39" w:rsidP="00445AFE">
            <w:pPr>
              <w:jc w:val="center"/>
              <w:rPr>
                <w:rFonts w:eastAsia="Times New Roman" w:cs="Arial"/>
                <w:sz w:val="18"/>
                <w:szCs w:val="18"/>
              </w:rPr>
            </w:pPr>
            <w:r w:rsidRPr="00FA6FAC">
              <w:rPr>
                <w:rFonts w:eastAsia="Times New Roman" w:cs="Arial"/>
                <w:sz w:val="18"/>
                <w:szCs w:val="18"/>
              </w:rPr>
              <w:t>0</w:t>
            </w:r>
          </w:p>
        </w:tc>
        <w:tc>
          <w:tcPr>
            <w:tcW w:w="1027" w:type="dxa"/>
          </w:tcPr>
          <w:p w:rsidR="00ED5F39" w:rsidRPr="00951FAC" w:rsidRDefault="00503376" w:rsidP="00503376">
            <w:pPr>
              <w:jc w:val="center"/>
              <w:rPr>
                <w:rFonts w:eastAsia="Times New Roman" w:cs="Arial"/>
                <w:sz w:val="18"/>
                <w:szCs w:val="18"/>
              </w:rPr>
            </w:pPr>
            <w:r>
              <w:rPr>
                <w:rFonts w:eastAsia="Times New Roman" w:cs="Arial"/>
                <w:sz w:val="18"/>
                <w:szCs w:val="18"/>
              </w:rPr>
              <w:t>73</w:t>
            </w:r>
            <w:r w:rsidR="00ED5F39" w:rsidRPr="00AA4590">
              <w:rPr>
                <w:rFonts w:eastAsia="Times New Roman" w:cs="Arial"/>
                <w:sz w:val="18"/>
                <w:szCs w:val="18"/>
              </w:rPr>
              <w:t xml:space="preserve"> (</w:t>
            </w:r>
            <w:r>
              <w:rPr>
                <w:rFonts w:eastAsia="Times New Roman" w:cs="Arial"/>
                <w:sz w:val="18"/>
                <w:szCs w:val="18"/>
              </w:rPr>
              <w:t>20</w:t>
            </w:r>
            <w:r w:rsidR="00ED5F39" w:rsidRPr="00AA4590">
              <w:rPr>
                <w:rFonts w:eastAsia="Times New Roman" w:cs="Arial"/>
                <w:sz w:val="18"/>
                <w:szCs w:val="18"/>
              </w:rPr>
              <w:t xml:space="preserve">) </w:t>
            </w:r>
          </w:p>
        </w:tc>
        <w:tc>
          <w:tcPr>
            <w:tcW w:w="1027" w:type="dxa"/>
          </w:tcPr>
          <w:p w:rsidR="00ED5F39" w:rsidRPr="00951FAC" w:rsidRDefault="00ED5F39" w:rsidP="00445AFE">
            <w:pPr>
              <w:jc w:val="center"/>
              <w:rPr>
                <w:rFonts w:eastAsia="Times New Roman" w:cs="Arial"/>
                <w:sz w:val="18"/>
                <w:szCs w:val="18"/>
              </w:rPr>
            </w:pPr>
            <w:r w:rsidRPr="00AA4590">
              <w:rPr>
                <w:rFonts w:eastAsia="Times New Roman" w:cs="Arial"/>
                <w:sz w:val="18"/>
                <w:szCs w:val="18"/>
              </w:rPr>
              <w:t>4 (1)</w:t>
            </w:r>
          </w:p>
        </w:tc>
        <w:tc>
          <w:tcPr>
            <w:tcW w:w="1027" w:type="dxa"/>
          </w:tcPr>
          <w:p w:rsidR="00ED5F39" w:rsidRPr="00951FAC" w:rsidRDefault="00ED5F39" w:rsidP="00445AFE">
            <w:pPr>
              <w:jc w:val="center"/>
              <w:rPr>
                <w:rFonts w:eastAsia="Times New Roman" w:cs="Arial"/>
                <w:sz w:val="18"/>
                <w:szCs w:val="18"/>
              </w:rPr>
            </w:pPr>
            <w:r w:rsidRPr="00AA4590">
              <w:rPr>
                <w:rFonts w:eastAsia="Times New Roman" w:cs="Arial"/>
                <w:sz w:val="18"/>
                <w:szCs w:val="18"/>
              </w:rPr>
              <w:t>0</w:t>
            </w:r>
          </w:p>
        </w:tc>
      </w:tr>
    </w:tbl>
    <w:p w:rsidR="00ED5F39" w:rsidRPr="009D1C5C" w:rsidRDefault="00ED5F39" w:rsidP="00ED5F39">
      <w:pPr>
        <w:jc w:val="both"/>
        <w:rPr>
          <w:rFonts w:eastAsia="Times New Roman" w:cs="Arial"/>
          <w:sz w:val="16"/>
          <w:szCs w:val="16"/>
        </w:rPr>
      </w:pPr>
      <w:proofErr w:type="gramStart"/>
      <w:r w:rsidRPr="009D1C5C">
        <w:rPr>
          <w:rFonts w:eastAsia="Times New Roman" w:cs="Arial"/>
          <w:sz w:val="16"/>
          <w:szCs w:val="16"/>
          <w:vertAlign w:val="superscript"/>
        </w:rPr>
        <w:t>a</w:t>
      </w:r>
      <w:proofErr w:type="gramEnd"/>
      <w:r w:rsidRPr="009D1C5C">
        <w:rPr>
          <w:rFonts w:eastAsia="Times New Roman" w:cs="Arial"/>
          <w:sz w:val="16"/>
          <w:szCs w:val="16"/>
        </w:rPr>
        <w:t xml:space="preserve"> Thrombocytopenia and platelet count decreased were combined to determine frequency of thrombocytopenia.</w:t>
      </w:r>
    </w:p>
    <w:p w:rsidR="00ED5F39" w:rsidRPr="009D1C5C" w:rsidRDefault="00ED5F39" w:rsidP="00ED5F39">
      <w:pPr>
        <w:jc w:val="both"/>
        <w:rPr>
          <w:rFonts w:eastAsia="Times New Roman" w:cs="Arial"/>
          <w:sz w:val="16"/>
          <w:szCs w:val="16"/>
        </w:rPr>
      </w:pPr>
      <w:proofErr w:type="gramStart"/>
      <w:r w:rsidRPr="009D1C5C">
        <w:rPr>
          <w:rFonts w:eastAsia="Times New Roman" w:cs="Arial"/>
          <w:sz w:val="16"/>
          <w:szCs w:val="16"/>
          <w:vertAlign w:val="superscript"/>
        </w:rPr>
        <w:t>b</w:t>
      </w:r>
      <w:proofErr w:type="gramEnd"/>
      <w:r w:rsidRPr="009D1C5C">
        <w:rPr>
          <w:rFonts w:eastAsia="Times New Roman" w:cs="Arial"/>
          <w:sz w:val="16"/>
          <w:szCs w:val="16"/>
        </w:rPr>
        <w:t xml:space="preserve"> Neuropathy peripheral, peripheral sensory neuropathy, peripheral motor neuropathy, and peripheral sensorimotor</w:t>
      </w:r>
      <w:r>
        <w:rPr>
          <w:rFonts w:eastAsia="Times New Roman" w:cs="Arial"/>
          <w:sz w:val="16"/>
          <w:szCs w:val="16"/>
        </w:rPr>
        <w:t xml:space="preserve"> </w:t>
      </w:r>
      <w:r w:rsidRPr="009D1C5C">
        <w:rPr>
          <w:rFonts w:eastAsia="Times New Roman" w:cs="Arial"/>
          <w:sz w:val="16"/>
          <w:szCs w:val="16"/>
        </w:rPr>
        <w:t>neuropathy were combined to determine frequency of peripheral neuropathy.</w:t>
      </w:r>
    </w:p>
    <w:p w:rsidR="00ED5F39" w:rsidRPr="009D1C5C" w:rsidRDefault="00ED5F39" w:rsidP="00ED5F39">
      <w:pPr>
        <w:jc w:val="both"/>
        <w:rPr>
          <w:rFonts w:eastAsia="Times New Roman" w:cs="Arial"/>
          <w:sz w:val="16"/>
          <w:szCs w:val="16"/>
        </w:rPr>
      </w:pPr>
      <w:proofErr w:type="gramStart"/>
      <w:r w:rsidRPr="009D1C5C">
        <w:rPr>
          <w:rFonts w:eastAsia="Times New Roman" w:cs="Arial"/>
          <w:sz w:val="16"/>
          <w:szCs w:val="16"/>
          <w:vertAlign w:val="superscript"/>
        </w:rPr>
        <w:t>c</w:t>
      </w:r>
      <w:proofErr w:type="gramEnd"/>
      <w:r w:rsidRPr="009D1C5C">
        <w:rPr>
          <w:rFonts w:eastAsia="Times New Roman" w:cs="Arial"/>
          <w:sz w:val="16"/>
          <w:szCs w:val="16"/>
        </w:rPr>
        <w:t xml:space="preserve"> The </w:t>
      </w:r>
      <w:proofErr w:type="spellStart"/>
      <w:r w:rsidRPr="009D1C5C">
        <w:rPr>
          <w:rFonts w:eastAsia="Times New Roman" w:cs="Arial"/>
          <w:sz w:val="16"/>
          <w:szCs w:val="16"/>
        </w:rPr>
        <w:t>MedDRA</w:t>
      </w:r>
      <w:proofErr w:type="spellEnd"/>
      <w:r w:rsidRPr="009D1C5C">
        <w:rPr>
          <w:rFonts w:eastAsia="Times New Roman" w:cs="Arial"/>
          <w:sz w:val="16"/>
          <w:szCs w:val="16"/>
        </w:rPr>
        <w:t xml:space="preserve"> HLT 'Rashes, eruptions and </w:t>
      </w:r>
      <w:proofErr w:type="spellStart"/>
      <w:r w:rsidRPr="009D1C5C">
        <w:rPr>
          <w:rFonts w:eastAsia="Times New Roman" w:cs="Arial"/>
          <w:sz w:val="16"/>
          <w:szCs w:val="16"/>
        </w:rPr>
        <w:t>exanthems</w:t>
      </w:r>
      <w:proofErr w:type="spellEnd"/>
      <w:r w:rsidRPr="009D1C5C">
        <w:rPr>
          <w:rFonts w:eastAsia="Times New Roman" w:cs="Arial"/>
          <w:sz w:val="16"/>
          <w:szCs w:val="16"/>
        </w:rPr>
        <w:t xml:space="preserve"> NEC' was used to determine the frequency of rash.</w:t>
      </w:r>
    </w:p>
    <w:p w:rsidR="00121BC9" w:rsidRPr="00160B6F" w:rsidRDefault="00121BC9" w:rsidP="00FC74C6">
      <w:pPr>
        <w:pStyle w:val="Heading3"/>
        <w:rPr>
          <w:u w:val="single"/>
        </w:rPr>
      </w:pPr>
      <w:r w:rsidRPr="00160B6F">
        <w:rPr>
          <w:u w:val="single"/>
        </w:rPr>
        <w:t>Description of selected adverse reactions</w:t>
      </w:r>
    </w:p>
    <w:p w:rsidR="003A3EFF" w:rsidRDefault="004C2C0A" w:rsidP="008F345F">
      <w:pPr>
        <w:spacing w:after="240"/>
        <w:jc w:val="both"/>
        <w:rPr>
          <w:rFonts w:eastAsia="Times New Roman" w:cs="Arial"/>
        </w:rPr>
      </w:pPr>
      <w:r w:rsidRPr="00582126">
        <w:rPr>
          <w:rFonts w:eastAsia="Times New Roman" w:cs="Arial"/>
        </w:rPr>
        <w:t xml:space="preserve">Thrombocytopenia and Gastrointestinal Toxicities are described in detail under </w:t>
      </w:r>
      <w:r w:rsidR="000C69EF" w:rsidRPr="00582126">
        <w:rPr>
          <w:rFonts w:eastAsia="Times New Roman" w:cs="Arial"/>
        </w:rPr>
        <w:t xml:space="preserve">the section </w:t>
      </w:r>
      <w:r w:rsidRPr="00582126">
        <w:rPr>
          <w:rFonts w:eastAsia="Times New Roman" w:cs="Arial"/>
        </w:rPr>
        <w:t>PRECAUTIONS.</w:t>
      </w:r>
    </w:p>
    <w:p w:rsidR="00F06BDB" w:rsidRPr="00121BC9" w:rsidRDefault="00F06BDB" w:rsidP="00160B6F">
      <w:pPr>
        <w:pStyle w:val="Heading4"/>
      </w:pPr>
      <w:r w:rsidRPr="00121BC9">
        <w:t>Peripheral neuropathy</w:t>
      </w:r>
    </w:p>
    <w:p w:rsidR="00F06BDB" w:rsidRDefault="00F06BDB" w:rsidP="00F06BDB">
      <w:pPr>
        <w:spacing w:after="240"/>
        <w:jc w:val="both"/>
        <w:rPr>
          <w:rFonts w:eastAsia="Times New Roman" w:cs="Arial"/>
        </w:rPr>
      </w:pPr>
      <w:r w:rsidRPr="00582126">
        <w:rPr>
          <w:rFonts w:eastAsia="Times New Roman" w:cs="Arial"/>
        </w:rPr>
        <w:t>The majority of peripheral neuropathy adverse reactions were Grade 1 and Grade 2.</w:t>
      </w:r>
      <w:r>
        <w:rPr>
          <w:rFonts w:eastAsia="Times New Roman" w:cs="Arial"/>
        </w:rPr>
        <w:t xml:space="preserve"> </w:t>
      </w:r>
      <w:r w:rsidRPr="00121BC9">
        <w:rPr>
          <w:rFonts w:eastAsia="Times New Roman" w:cs="Arial"/>
        </w:rPr>
        <w:t>Grade 3 adverse reactions of peripheral neuropathy were reported at 2% in both regimens; there were no Grade 4 or serious adverse reactions. The most commonly reported reaction was peripheral sensory neuropathy (19% and 1</w:t>
      </w:r>
      <w:r w:rsidR="00140FC9">
        <w:rPr>
          <w:rFonts w:eastAsia="Times New Roman" w:cs="Arial"/>
        </w:rPr>
        <w:t>5</w:t>
      </w:r>
      <w:r w:rsidRPr="00121BC9">
        <w:rPr>
          <w:rFonts w:eastAsia="Times New Roman" w:cs="Arial"/>
        </w:rPr>
        <w:t>% in the NINLARO and placebo regimen</w:t>
      </w:r>
      <w:r w:rsidR="0036366E">
        <w:rPr>
          <w:rFonts w:eastAsia="Times New Roman" w:cs="Arial"/>
        </w:rPr>
        <w:t>s</w:t>
      </w:r>
      <w:r w:rsidRPr="00121BC9">
        <w:rPr>
          <w:rFonts w:eastAsia="Times New Roman" w:cs="Arial"/>
        </w:rPr>
        <w:t xml:space="preserve">, respectively). Peripheral motor neuropathy was not commonly reported in either </w:t>
      </w:r>
      <w:proofErr w:type="gramStart"/>
      <w:r w:rsidRPr="00121BC9">
        <w:rPr>
          <w:rFonts w:eastAsia="Times New Roman" w:cs="Arial"/>
        </w:rPr>
        <w:t>regimen</w:t>
      </w:r>
      <w:r w:rsidR="003A3EFF">
        <w:rPr>
          <w:rFonts w:eastAsia="Times New Roman" w:cs="Arial"/>
        </w:rPr>
        <w:t xml:space="preserve">  </w:t>
      </w:r>
      <w:r w:rsidRPr="00121BC9">
        <w:rPr>
          <w:rFonts w:eastAsia="Times New Roman" w:cs="Arial"/>
        </w:rPr>
        <w:t>(</w:t>
      </w:r>
      <w:proofErr w:type="gramEnd"/>
      <w:r w:rsidRPr="00121BC9">
        <w:rPr>
          <w:rFonts w:eastAsia="Times New Roman" w:cs="Arial"/>
        </w:rPr>
        <w:t xml:space="preserve">&lt; </w:t>
      </w:r>
      <w:r w:rsidRPr="00121BC9">
        <w:rPr>
          <w:rFonts w:eastAsia="Times New Roman" w:cs="Arial"/>
        </w:rPr>
        <w:lastRenderedPageBreak/>
        <w:t xml:space="preserve">1%). Peripheral neuropathy resulted in discontinuation of one or more of the three drugs in </w:t>
      </w:r>
      <w:r w:rsidR="00140FC9">
        <w:rPr>
          <w:rFonts w:eastAsia="Times New Roman" w:cs="Arial"/>
        </w:rPr>
        <w:t>2</w:t>
      </w:r>
      <w:r w:rsidRPr="00121BC9">
        <w:rPr>
          <w:rFonts w:eastAsia="Times New Roman" w:cs="Arial"/>
        </w:rPr>
        <w:t xml:space="preserve">% of patients in </w:t>
      </w:r>
      <w:r w:rsidR="00140FC9">
        <w:rPr>
          <w:rFonts w:eastAsia="Times New Roman" w:cs="Arial"/>
        </w:rPr>
        <w:t>the NINLARO regimen and &lt;1% of patients in the placebo regimen</w:t>
      </w:r>
      <w:r w:rsidRPr="00121BC9">
        <w:rPr>
          <w:rFonts w:eastAsia="Times New Roman" w:cs="Arial"/>
        </w:rPr>
        <w:t>.</w:t>
      </w:r>
    </w:p>
    <w:p w:rsidR="00121BC9" w:rsidRPr="00121BC9" w:rsidDel="00C94BAF" w:rsidRDefault="00121BC9" w:rsidP="00160B6F">
      <w:pPr>
        <w:pStyle w:val="Heading4"/>
      </w:pPr>
      <w:r w:rsidRPr="00160B6F" w:rsidDel="00C94BAF">
        <w:t>Rash</w:t>
      </w:r>
    </w:p>
    <w:p w:rsidR="00121BC9" w:rsidRPr="00121BC9" w:rsidDel="00C94BAF" w:rsidRDefault="00121BC9" w:rsidP="00E826F5">
      <w:pPr>
        <w:rPr>
          <w:rFonts w:eastAsia="Times New Roman"/>
        </w:rPr>
      </w:pPr>
      <w:r w:rsidRPr="00121BC9" w:rsidDel="00C94BAF">
        <w:rPr>
          <w:rFonts w:eastAsia="Times New Roman"/>
        </w:rPr>
        <w:t xml:space="preserve">Rash occurred in </w:t>
      </w:r>
      <w:r w:rsidR="00140FC9">
        <w:rPr>
          <w:rFonts w:eastAsia="Times New Roman"/>
        </w:rPr>
        <w:t>20</w:t>
      </w:r>
      <w:r w:rsidRPr="00121BC9" w:rsidDel="00C94BAF">
        <w:rPr>
          <w:rFonts w:eastAsia="Times New Roman"/>
        </w:rPr>
        <w:t>% of patients in the NINLARO regimen compared to 1</w:t>
      </w:r>
      <w:r w:rsidR="00140FC9">
        <w:rPr>
          <w:rFonts w:eastAsia="Times New Roman"/>
        </w:rPr>
        <w:t>3</w:t>
      </w:r>
      <w:r w:rsidRPr="00121BC9" w:rsidDel="00C94BAF">
        <w:rPr>
          <w:rFonts w:eastAsia="Times New Roman"/>
        </w:rPr>
        <w:t xml:space="preserve">% of patients in the placebo regimen. The majority of the rash events were Grade 1 or Grade 2. Grade 3 rash was reported in </w:t>
      </w:r>
      <w:r w:rsidR="00140FC9">
        <w:rPr>
          <w:rFonts w:eastAsia="Times New Roman"/>
        </w:rPr>
        <w:t>2</w:t>
      </w:r>
      <w:r w:rsidRPr="00121BC9" w:rsidDel="00C94BAF">
        <w:rPr>
          <w:rFonts w:eastAsia="Times New Roman"/>
        </w:rPr>
        <w:t xml:space="preserve">% of patients in </w:t>
      </w:r>
      <w:r w:rsidR="00140FC9">
        <w:rPr>
          <w:rFonts w:eastAsia="Times New Roman"/>
        </w:rPr>
        <w:t xml:space="preserve">both </w:t>
      </w:r>
      <w:r w:rsidRPr="00121BC9" w:rsidDel="00C94BAF">
        <w:rPr>
          <w:rFonts w:eastAsia="Times New Roman"/>
        </w:rPr>
        <w:t xml:space="preserve">the NINLARO regimen </w:t>
      </w:r>
      <w:r w:rsidR="00140FC9">
        <w:rPr>
          <w:rFonts w:eastAsia="Times New Roman"/>
        </w:rPr>
        <w:t xml:space="preserve">and placebo </w:t>
      </w:r>
      <w:proofErr w:type="spellStart"/>
      <w:r w:rsidR="00140FC9">
        <w:rPr>
          <w:rFonts w:eastAsia="Times New Roman"/>
        </w:rPr>
        <w:t>regimens</w:t>
      </w:r>
      <w:r w:rsidRPr="00121BC9" w:rsidDel="00C94BAF">
        <w:rPr>
          <w:rFonts w:eastAsia="Times New Roman"/>
        </w:rPr>
        <w:t>and</w:t>
      </w:r>
      <w:proofErr w:type="spellEnd"/>
      <w:r w:rsidRPr="00121BC9" w:rsidDel="00C94BAF">
        <w:rPr>
          <w:rFonts w:eastAsia="Times New Roman"/>
        </w:rPr>
        <w:t xml:space="preserve"> there were no Grade 4 adverse reactions of rash across the Phase 3 study. </w:t>
      </w:r>
      <w:r w:rsidR="00140FC9" w:rsidRPr="007A6401">
        <w:rPr>
          <w:rFonts w:eastAsia="Times New Roman"/>
        </w:rPr>
        <w:t>Serious adverse reactions of rash were reported in &lt;1% of patients in both regimens.</w:t>
      </w:r>
      <w:r w:rsidR="00140FC9" w:rsidRPr="007A6401" w:rsidDel="00C94BAF">
        <w:rPr>
          <w:rFonts w:eastAsia="Times New Roman"/>
        </w:rPr>
        <w:t xml:space="preserve"> </w:t>
      </w:r>
      <w:r w:rsidRPr="00121BC9" w:rsidDel="00C94BAF">
        <w:rPr>
          <w:rFonts w:eastAsia="Times New Roman"/>
        </w:rPr>
        <w:t xml:space="preserve">The most common type of rash reported in both regimens was </w:t>
      </w:r>
      <w:proofErr w:type="spellStart"/>
      <w:r w:rsidRPr="00121BC9" w:rsidDel="00C94BAF">
        <w:rPr>
          <w:rFonts w:eastAsia="Times New Roman"/>
        </w:rPr>
        <w:t>maculo</w:t>
      </w:r>
      <w:r w:rsidR="00ED3082">
        <w:rPr>
          <w:rFonts w:eastAsia="Times New Roman"/>
        </w:rPr>
        <w:noBreakHyphen/>
      </w:r>
      <w:r w:rsidRPr="00121BC9" w:rsidDel="00C94BAF">
        <w:rPr>
          <w:rFonts w:eastAsia="Times New Roman"/>
        </w:rPr>
        <w:t>papular</w:t>
      </w:r>
      <w:proofErr w:type="spellEnd"/>
      <w:r w:rsidRPr="00121BC9" w:rsidDel="00C94BAF">
        <w:rPr>
          <w:rFonts w:eastAsia="Times New Roman"/>
        </w:rPr>
        <w:t xml:space="preserve"> and macular rash. </w:t>
      </w:r>
      <w:proofErr w:type="gramStart"/>
      <w:r w:rsidRPr="00121BC9" w:rsidDel="00C94BAF">
        <w:rPr>
          <w:rFonts w:eastAsia="Times New Roman"/>
        </w:rPr>
        <w:t xml:space="preserve">Rash resulted in discontinuation of one or more of the three drugs in </w:t>
      </w:r>
      <w:r w:rsidR="00140FC9">
        <w:rPr>
          <w:rFonts w:eastAsia="Times New Roman"/>
        </w:rPr>
        <w:t>≤</w:t>
      </w:r>
      <w:r w:rsidRPr="00121BC9" w:rsidDel="00C94BAF">
        <w:rPr>
          <w:rFonts w:eastAsia="Times New Roman"/>
        </w:rPr>
        <w:t xml:space="preserve"> 1% of patients in both regimens.</w:t>
      </w:r>
      <w:proofErr w:type="gramEnd"/>
    </w:p>
    <w:p w:rsidR="00121BC9" w:rsidRPr="00121BC9" w:rsidRDefault="00121BC9" w:rsidP="00121BC9">
      <w:pPr>
        <w:spacing w:after="240"/>
        <w:jc w:val="both"/>
        <w:rPr>
          <w:rFonts w:eastAsia="Times New Roman" w:cs="Arial"/>
        </w:rPr>
      </w:pPr>
      <w:r w:rsidRPr="00121BC9">
        <w:rPr>
          <w:rFonts w:eastAsia="Times New Roman" w:cs="Arial"/>
        </w:rPr>
        <w:t>Dermal events have been reported with lenalidomide and dexamethasone.</w:t>
      </w:r>
    </w:p>
    <w:p w:rsidR="003A3EFF" w:rsidRDefault="00F67F66" w:rsidP="00160B6F">
      <w:pPr>
        <w:pStyle w:val="Heading4"/>
      </w:pPr>
      <w:r w:rsidRPr="00A649D7">
        <w:t xml:space="preserve">Peripheral </w:t>
      </w:r>
      <w:r>
        <w:t>Oe</w:t>
      </w:r>
      <w:r w:rsidRPr="00A649D7">
        <w:t>dema</w:t>
      </w:r>
    </w:p>
    <w:p w:rsidR="00F67F66" w:rsidRDefault="00F67F66" w:rsidP="00E826F5">
      <w:pPr>
        <w:rPr>
          <w:rFonts w:eastAsia="Times New Roman"/>
        </w:rPr>
      </w:pPr>
      <w:r w:rsidRPr="00A649D7">
        <w:rPr>
          <w:rFonts w:eastAsia="Times New Roman"/>
        </w:rPr>
        <w:t xml:space="preserve">Peripheral </w:t>
      </w:r>
      <w:r>
        <w:rPr>
          <w:rFonts w:eastAsia="Times New Roman"/>
        </w:rPr>
        <w:t>o</w:t>
      </w:r>
      <w:r w:rsidRPr="00A649D7">
        <w:rPr>
          <w:rFonts w:eastAsia="Times New Roman"/>
        </w:rPr>
        <w:t>edema was reported in 2</w:t>
      </w:r>
      <w:r w:rsidR="007D25F2">
        <w:rPr>
          <w:rFonts w:eastAsia="Times New Roman"/>
        </w:rPr>
        <w:t>8</w:t>
      </w:r>
      <w:r w:rsidRPr="00A649D7">
        <w:rPr>
          <w:rFonts w:eastAsia="Times New Roman"/>
        </w:rPr>
        <w:t xml:space="preserve">% and </w:t>
      </w:r>
      <w:r w:rsidR="007D25F2">
        <w:rPr>
          <w:rFonts w:eastAsia="Times New Roman"/>
        </w:rPr>
        <w:t>20</w:t>
      </w:r>
      <w:r w:rsidRPr="00A649D7">
        <w:rPr>
          <w:rFonts w:eastAsia="Times New Roman"/>
        </w:rPr>
        <w:t xml:space="preserve">% of patients in the NINLARO and placebo regimens, respectively. The majority of peripheral </w:t>
      </w:r>
      <w:r>
        <w:rPr>
          <w:rFonts w:eastAsia="Times New Roman"/>
        </w:rPr>
        <w:t>o</w:t>
      </w:r>
      <w:r w:rsidRPr="00A649D7">
        <w:rPr>
          <w:rFonts w:eastAsia="Times New Roman"/>
        </w:rPr>
        <w:t>edema adverse reactions were Grade 1 (1</w:t>
      </w:r>
      <w:r w:rsidR="007D25F2">
        <w:rPr>
          <w:rFonts w:eastAsia="Times New Roman"/>
        </w:rPr>
        <w:t>8</w:t>
      </w:r>
      <w:r w:rsidRPr="00A649D7">
        <w:rPr>
          <w:rFonts w:eastAsia="Times New Roman"/>
        </w:rPr>
        <w:t>% in the NINLARO regimen and 1</w:t>
      </w:r>
      <w:r w:rsidR="007D25F2">
        <w:rPr>
          <w:rFonts w:eastAsia="Times New Roman"/>
        </w:rPr>
        <w:t>4</w:t>
      </w:r>
      <w:r w:rsidRPr="00A649D7">
        <w:rPr>
          <w:rFonts w:eastAsia="Times New Roman"/>
        </w:rPr>
        <w:t xml:space="preserve">% in the placebo regimen) and Grade 2 (7% in the NINLARO regimen and </w:t>
      </w:r>
      <w:r w:rsidR="007D25F2">
        <w:rPr>
          <w:rFonts w:eastAsia="Times New Roman"/>
        </w:rPr>
        <w:t>5</w:t>
      </w:r>
      <w:r w:rsidRPr="00A649D7">
        <w:rPr>
          <w:rFonts w:eastAsia="Times New Roman"/>
        </w:rPr>
        <w:t xml:space="preserve">% in the placebo regimen). Grade </w:t>
      </w:r>
      <w:proofErr w:type="gramStart"/>
      <w:r w:rsidRPr="00A649D7">
        <w:rPr>
          <w:rFonts w:eastAsia="Times New Roman"/>
        </w:rPr>
        <w:t xml:space="preserve">3 peripheral </w:t>
      </w:r>
      <w:r>
        <w:rPr>
          <w:rFonts w:eastAsia="Times New Roman"/>
        </w:rPr>
        <w:t>o</w:t>
      </w:r>
      <w:r w:rsidRPr="00A649D7">
        <w:rPr>
          <w:rFonts w:eastAsia="Times New Roman"/>
        </w:rPr>
        <w:t>edema</w:t>
      </w:r>
      <w:proofErr w:type="gramEnd"/>
      <w:r w:rsidRPr="00A649D7">
        <w:rPr>
          <w:rFonts w:eastAsia="Times New Roman"/>
        </w:rPr>
        <w:t xml:space="preserve"> was reported in 2% and 1% of patients in the NINLARO and placebo regimens, respectively. There was no Grade 4</w:t>
      </w:r>
      <w:r w:rsidRPr="00FC74C6">
        <w:t xml:space="preserve"> </w:t>
      </w:r>
      <w:r w:rsidRPr="00A649D7">
        <w:rPr>
          <w:rFonts w:eastAsia="Times New Roman"/>
        </w:rPr>
        <w:t xml:space="preserve">peripheral </w:t>
      </w:r>
      <w:r>
        <w:rPr>
          <w:rFonts w:eastAsia="Times New Roman"/>
        </w:rPr>
        <w:t>o</w:t>
      </w:r>
      <w:r w:rsidRPr="00A649D7">
        <w:rPr>
          <w:rFonts w:eastAsia="Times New Roman"/>
        </w:rPr>
        <w:t xml:space="preserve">edema reported. There were no discontinuations reported due to peripheral </w:t>
      </w:r>
      <w:r>
        <w:rPr>
          <w:rFonts w:eastAsia="Times New Roman"/>
        </w:rPr>
        <w:t>o</w:t>
      </w:r>
      <w:r w:rsidRPr="00A649D7">
        <w:rPr>
          <w:rFonts w:eastAsia="Times New Roman"/>
        </w:rPr>
        <w:t>edema.</w:t>
      </w:r>
    </w:p>
    <w:p w:rsidR="003A34F7" w:rsidRPr="003A34F7" w:rsidRDefault="003A34F7" w:rsidP="00160B6F">
      <w:pPr>
        <w:pStyle w:val="Heading4"/>
      </w:pPr>
      <w:r w:rsidRPr="003A34F7">
        <w:t>Herpes Zoster</w:t>
      </w:r>
    </w:p>
    <w:p w:rsidR="000A2977" w:rsidRDefault="003A34F7" w:rsidP="00FC74C6">
      <w:pPr>
        <w:rPr>
          <w:rFonts w:eastAsia="Times New Roman"/>
        </w:rPr>
      </w:pPr>
      <w:r w:rsidRPr="003A34F7">
        <w:rPr>
          <w:rFonts w:eastAsia="Times New Roman"/>
        </w:rPr>
        <w:t xml:space="preserve">Herpes zoster was reported in </w:t>
      </w:r>
      <w:r w:rsidR="007D25F2">
        <w:rPr>
          <w:rFonts w:eastAsia="Times New Roman"/>
        </w:rPr>
        <w:t>5</w:t>
      </w:r>
      <w:r w:rsidRPr="003A34F7">
        <w:rPr>
          <w:rFonts w:eastAsia="Times New Roman"/>
        </w:rPr>
        <w:t xml:space="preserve">% of patients in the NINLARO regimen and 2% of patients in the placebo regimen. Antiviral prophylaxis was allowed at the physician’s discretion. Patients treated in the NINLARO regimen who received antiviral prophylaxis had a lower incidence </w:t>
      </w:r>
      <w:r w:rsidR="005B7F8D" w:rsidRPr="003A34F7">
        <w:rPr>
          <w:rFonts w:eastAsia="Times New Roman"/>
        </w:rPr>
        <w:t>(&lt;</w:t>
      </w:r>
      <w:r w:rsidR="005B7F8D">
        <w:rPr>
          <w:rFonts w:eastAsia="Times New Roman"/>
        </w:rPr>
        <w:t> </w:t>
      </w:r>
      <w:r w:rsidRPr="003A34F7">
        <w:rPr>
          <w:rFonts w:eastAsia="Times New Roman"/>
        </w:rPr>
        <w:t>1%) of herpes zoster infection compared to patients who did not receive prophylaxis (</w:t>
      </w:r>
      <w:r w:rsidR="007D25F2">
        <w:rPr>
          <w:rFonts w:eastAsia="Times New Roman"/>
        </w:rPr>
        <w:t>8</w:t>
      </w:r>
      <w:r w:rsidRPr="003A34F7">
        <w:rPr>
          <w:rFonts w:eastAsia="Times New Roman"/>
        </w:rPr>
        <w:t>%).</w:t>
      </w:r>
    </w:p>
    <w:p w:rsidR="00140FC9" w:rsidRPr="00010756" w:rsidRDefault="00140FC9" w:rsidP="00160B6F">
      <w:pPr>
        <w:pStyle w:val="Heading4"/>
      </w:pPr>
      <w:r w:rsidRPr="00010756">
        <w:t>Eye Disorders</w:t>
      </w:r>
    </w:p>
    <w:p w:rsidR="00140FC9" w:rsidRDefault="00140FC9" w:rsidP="00FC74C6">
      <w:pPr>
        <w:rPr>
          <w:rFonts w:eastAsia="Times New Roman"/>
        </w:rPr>
      </w:pPr>
      <w:r w:rsidRPr="00010756">
        <w:rPr>
          <w:rFonts w:eastAsia="Times New Roman"/>
        </w:rPr>
        <w:t xml:space="preserve">Eye disorders were reported with many different preferred terms but in aggregate, the frequency was </w:t>
      </w:r>
      <w:r>
        <w:rPr>
          <w:rFonts w:eastAsia="Times New Roman"/>
        </w:rPr>
        <w:t>32</w:t>
      </w:r>
      <w:r w:rsidRPr="00010756">
        <w:rPr>
          <w:rFonts w:eastAsia="Times New Roman"/>
        </w:rPr>
        <w:t xml:space="preserve">% in patients in the NINLARO regimen and </w:t>
      </w:r>
      <w:r>
        <w:rPr>
          <w:rFonts w:eastAsia="Times New Roman"/>
        </w:rPr>
        <w:t>23</w:t>
      </w:r>
      <w:r w:rsidRPr="00010756">
        <w:rPr>
          <w:rFonts w:eastAsia="Times New Roman"/>
        </w:rPr>
        <w:t xml:space="preserve">% of patients in the placebo regimen. The most common adverse </w:t>
      </w:r>
      <w:r>
        <w:rPr>
          <w:rFonts w:eastAsia="Times New Roman"/>
        </w:rPr>
        <w:t>events</w:t>
      </w:r>
      <w:r w:rsidRPr="00010756">
        <w:rPr>
          <w:rFonts w:eastAsia="Times New Roman"/>
        </w:rPr>
        <w:t xml:space="preserve"> were </w:t>
      </w:r>
      <w:r>
        <w:rPr>
          <w:rFonts w:eastAsia="Times New Roman"/>
        </w:rPr>
        <w:t xml:space="preserve">cataract (8% in the NINLARO regimen and 10% in the placebo regimen), </w:t>
      </w:r>
      <w:r w:rsidRPr="00010756">
        <w:rPr>
          <w:rFonts w:eastAsia="Times New Roman"/>
        </w:rPr>
        <w:t>blurred vision (</w:t>
      </w:r>
      <w:r w:rsidR="00300D4E">
        <w:rPr>
          <w:rFonts w:eastAsia="Times New Roman"/>
        </w:rPr>
        <w:t>7</w:t>
      </w:r>
      <w:r w:rsidRPr="00010756">
        <w:rPr>
          <w:rFonts w:eastAsia="Times New Roman"/>
        </w:rPr>
        <w:t xml:space="preserve">% in the NINLARO regimen and </w:t>
      </w:r>
      <w:r w:rsidR="00300D4E">
        <w:rPr>
          <w:rFonts w:eastAsia="Times New Roman"/>
        </w:rPr>
        <w:t>4</w:t>
      </w:r>
      <w:r w:rsidRPr="00010756">
        <w:rPr>
          <w:rFonts w:eastAsia="Times New Roman"/>
        </w:rPr>
        <w:t xml:space="preserve">% in the placebo regimen), dry eye (5% in the NINLARO regimen and </w:t>
      </w:r>
      <w:r w:rsidR="00300D4E">
        <w:rPr>
          <w:rFonts w:eastAsia="Times New Roman"/>
        </w:rPr>
        <w:t>2</w:t>
      </w:r>
      <w:r w:rsidRPr="00010756">
        <w:rPr>
          <w:rFonts w:eastAsia="Times New Roman"/>
        </w:rPr>
        <w:t>% in the placebo regimen), and conjunctivitis (</w:t>
      </w:r>
      <w:r w:rsidR="00300D4E">
        <w:rPr>
          <w:rFonts w:eastAsia="Times New Roman"/>
        </w:rPr>
        <w:t>7</w:t>
      </w:r>
      <w:r w:rsidRPr="00010756">
        <w:rPr>
          <w:rFonts w:eastAsia="Times New Roman"/>
        </w:rPr>
        <w:t xml:space="preserve">% in the NINLARO regimen and </w:t>
      </w:r>
      <w:r w:rsidR="00300D4E">
        <w:rPr>
          <w:rFonts w:eastAsia="Times New Roman"/>
        </w:rPr>
        <w:t>2</w:t>
      </w:r>
      <w:r w:rsidRPr="00010756">
        <w:rPr>
          <w:rFonts w:eastAsia="Times New Roman"/>
        </w:rPr>
        <w:t xml:space="preserve">% in the placebo regimen). Grade 3 adverse </w:t>
      </w:r>
      <w:r w:rsidR="007D25F2">
        <w:rPr>
          <w:rFonts w:eastAsia="Times New Roman"/>
        </w:rPr>
        <w:t>events</w:t>
      </w:r>
      <w:r w:rsidRPr="00010756">
        <w:rPr>
          <w:rFonts w:eastAsia="Times New Roman"/>
        </w:rPr>
        <w:t xml:space="preserve"> were reported in </w:t>
      </w:r>
      <w:r w:rsidR="00300D4E">
        <w:rPr>
          <w:rFonts w:eastAsia="Times New Roman"/>
        </w:rPr>
        <w:t>4</w:t>
      </w:r>
      <w:r w:rsidRPr="00010756">
        <w:rPr>
          <w:rFonts w:eastAsia="Times New Roman"/>
        </w:rPr>
        <w:t xml:space="preserve">% of patients in </w:t>
      </w:r>
      <w:r w:rsidR="00300D4E">
        <w:rPr>
          <w:rFonts w:eastAsia="Times New Roman"/>
        </w:rPr>
        <w:t>both</w:t>
      </w:r>
      <w:r w:rsidRPr="00010756">
        <w:rPr>
          <w:rFonts w:eastAsia="Times New Roman"/>
        </w:rPr>
        <w:t xml:space="preserve"> regimen</w:t>
      </w:r>
      <w:r w:rsidR="00300D4E">
        <w:rPr>
          <w:rFonts w:eastAsia="Times New Roman"/>
        </w:rPr>
        <w:t>s</w:t>
      </w:r>
      <w:r w:rsidRPr="00010756">
        <w:rPr>
          <w:rFonts w:eastAsia="Times New Roman"/>
        </w:rPr>
        <w:t>.</w:t>
      </w:r>
    </w:p>
    <w:p w:rsidR="00121BC9" w:rsidRPr="00121BC9" w:rsidRDefault="00121BC9" w:rsidP="00160B6F">
      <w:pPr>
        <w:pStyle w:val="Heading4"/>
      </w:pPr>
      <w:r w:rsidRPr="00121BC9">
        <w:t>Other Adverse Events</w:t>
      </w:r>
    </w:p>
    <w:p w:rsidR="00121BC9" w:rsidRDefault="00121BC9" w:rsidP="00FC74C6">
      <w:pPr>
        <w:rPr>
          <w:rFonts w:eastAsia="Times New Roman"/>
        </w:rPr>
      </w:pPr>
      <w:r w:rsidRPr="00121BC9">
        <w:rPr>
          <w:rFonts w:eastAsia="Times New Roman"/>
        </w:rPr>
        <w:t xml:space="preserve">Outside of the Phase 3 study, the following serious adverse events for which causality has not been established were rarely reported: </w:t>
      </w:r>
      <w:r w:rsidR="00DE5D8E" w:rsidRPr="00121BC9">
        <w:rPr>
          <w:rFonts w:eastAsia="Times New Roman"/>
        </w:rPr>
        <w:t>acute febrile neutrophilic dermatosis (Sweet’s</w:t>
      </w:r>
      <w:r w:rsidR="001A73FC">
        <w:rPr>
          <w:rFonts w:eastAsia="Times New Roman"/>
        </w:rPr>
        <w:t> </w:t>
      </w:r>
      <w:r w:rsidR="00DE5D8E" w:rsidRPr="00121BC9">
        <w:rPr>
          <w:rFonts w:eastAsia="Times New Roman"/>
        </w:rPr>
        <w:t>syndrome)</w:t>
      </w:r>
      <w:r w:rsidR="00DE5D8E">
        <w:rPr>
          <w:rFonts w:eastAsia="Times New Roman"/>
        </w:rPr>
        <w:t>,</w:t>
      </w:r>
      <w:r w:rsidR="00DE5D8E" w:rsidRPr="00121BC9">
        <w:rPr>
          <w:rFonts w:eastAsia="Times New Roman"/>
        </w:rPr>
        <w:t xml:space="preserve"> Stevens-Johnson syndrome</w:t>
      </w:r>
      <w:r w:rsidR="00DE5D8E">
        <w:rPr>
          <w:rFonts w:eastAsia="Times New Roman"/>
        </w:rPr>
        <w:t>,</w:t>
      </w:r>
      <w:r w:rsidR="00DE5D8E" w:rsidRPr="00121BC9">
        <w:rPr>
          <w:rFonts w:eastAsia="Times New Roman"/>
        </w:rPr>
        <w:t xml:space="preserve"> </w:t>
      </w:r>
      <w:r w:rsidRPr="00121BC9">
        <w:rPr>
          <w:rFonts w:eastAsia="Times New Roman"/>
        </w:rPr>
        <w:t>transverse myelitis, posterior reversible encephalopathy syndrome, tumour lysis syndrome and thrombotic thrombocytopenic purpura.</w:t>
      </w:r>
    </w:p>
    <w:p w:rsidR="00A44B67" w:rsidRPr="00C91915" w:rsidRDefault="00A44B67" w:rsidP="00160B6F">
      <w:pPr>
        <w:pStyle w:val="Heading4"/>
      </w:pPr>
      <w:r w:rsidRPr="00C91915">
        <w:t>Deaths</w:t>
      </w:r>
    </w:p>
    <w:p w:rsidR="003A3EFF" w:rsidRDefault="00A44B67" w:rsidP="00FC74C6">
      <w:pPr>
        <w:rPr>
          <w:rFonts w:eastAsia="Times New Roman"/>
        </w:rPr>
      </w:pPr>
      <w:r w:rsidRPr="0047552A">
        <w:rPr>
          <w:rFonts w:eastAsia="Times New Roman"/>
        </w:rPr>
        <w:t xml:space="preserve">The frequency of on-study deaths in </w:t>
      </w:r>
      <w:r>
        <w:rPr>
          <w:rFonts w:eastAsia="Times New Roman"/>
        </w:rPr>
        <w:t xml:space="preserve">the Phase 3 Study </w:t>
      </w:r>
      <w:r w:rsidRPr="0047552A">
        <w:rPr>
          <w:rFonts w:eastAsia="Times New Roman"/>
        </w:rPr>
        <w:t>was 1</w:t>
      </w:r>
      <w:r w:rsidR="00DD1CD5">
        <w:rPr>
          <w:rFonts w:eastAsia="Times New Roman"/>
        </w:rPr>
        <w:t>5</w:t>
      </w:r>
      <w:r w:rsidRPr="0047552A">
        <w:rPr>
          <w:rFonts w:eastAsia="Times New Roman"/>
        </w:rPr>
        <w:t xml:space="preserve"> (</w:t>
      </w:r>
      <w:r w:rsidR="00DD1CD5">
        <w:rPr>
          <w:rFonts w:eastAsia="Times New Roman"/>
        </w:rPr>
        <w:t>4</w:t>
      </w:r>
      <w:r w:rsidRPr="0047552A">
        <w:rPr>
          <w:rFonts w:eastAsia="Times New Roman"/>
        </w:rPr>
        <w:t xml:space="preserve">%) in the </w:t>
      </w:r>
      <w:r w:rsidR="00E55B58">
        <w:rPr>
          <w:rFonts w:eastAsia="Times New Roman"/>
        </w:rPr>
        <w:t>NINLARO</w:t>
      </w:r>
      <w:r w:rsidRPr="0047552A">
        <w:rPr>
          <w:rFonts w:eastAsia="Times New Roman"/>
        </w:rPr>
        <w:t xml:space="preserve"> regimen and </w:t>
      </w:r>
      <w:r w:rsidR="00DD1CD5">
        <w:rPr>
          <w:rFonts w:eastAsia="Times New Roman"/>
        </w:rPr>
        <w:t>23</w:t>
      </w:r>
      <w:r>
        <w:rPr>
          <w:rFonts w:eastAsia="Times New Roman"/>
        </w:rPr>
        <w:t xml:space="preserve"> </w:t>
      </w:r>
      <w:r w:rsidRPr="0047552A">
        <w:rPr>
          <w:rFonts w:eastAsia="Times New Roman"/>
        </w:rPr>
        <w:t>(</w:t>
      </w:r>
      <w:r w:rsidR="00DD1CD5">
        <w:rPr>
          <w:rFonts w:eastAsia="Times New Roman"/>
        </w:rPr>
        <w:t>6</w:t>
      </w:r>
      <w:r w:rsidRPr="0047552A">
        <w:rPr>
          <w:rFonts w:eastAsia="Times New Roman"/>
        </w:rPr>
        <w:t>%) in the placebo regimen.</w:t>
      </w:r>
      <w:r>
        <w:rPr>
          <w:rFonts w:eastAsia="Times New Roman"/>
        </w:rPr>
        <w:t xml:space="preserve"> </w:t>
      </w:r>
      <w:r w:rsidRPr="0047552A">
        <w:rPr>
          <w:rFonts w:eastAsia="Times New Roman"/>
        </w:rPr>
        <w:t xml:space="preserve">The incidence of deaths in the </w:t>
      </w:r>
      <w:r w:rsidR="005A0D40">
        <w:rPr>
          <w:rFonts w:eastAsia="Times New Roman"/>
        </w:rPr>
        <w:t>integrated</w:t>
      </w:r>
      <w:r w:rsidRPr="0047552A">
        <w:rPr>
          <w:rFonts w:eastAsia="Times New Roman"/>
        </w:rPr>
        <w:t xml:space="preserve"> </w:t>
      </w:r>
      <w:r w:rsidRPr="0047552A">
        <w:rPr>
          <w:rFonts w:eastAsia="Times New Roman"/>
        </w:rPr>
        <w:lastRenderedPageBreak/>
        <w:t xml:space="preserve">safety analysis </w:t>
      </w:r>
      <w:r w:rsidR="005A0D40">
        <w:rPr>
          <w:rFonts w:eastAsia="Times New Roman"/>
        </w:rPr>
        <w:t>which includes different patient populations (N=990)</w:t>
      </w:r>
      <w:r w:rsidRPr="0047552A">
        <w:rPr>
          <w:rFonts w:eastAsia="Times New Roman"/>
        </w:rPr>
        <w:t xml:space="preserve"> was low </w:t>
      </w:r>
      <w:r w:rsidR="005A0D40" w:rsidRPr="0047552A">
        <w:rPr>
          <w:rFonts w:eastAsia="Times New Roman"/>
        </w:rPr>
        <w:t xml:space="preserve">(4%) </w:t>
      </w:r>
      <w:r w:rsidRPr="0047552A">
        <w:rPr>
          <w:rFonts w:eastAsia="Times New Roman"/>
        </w:rPr>
        <w:t>and generally</w:t>
      </w:r>
      <w:r>
        <w:rPr>
          <w:rFonts w:eastAsia="Times New Roman"/>
        </w:rPr>
        <w:t xml:space="preserve"> </w:t>
      </w:r>
      <w:r w:rsidRPr="0047552A">
        <w:rPr>
          <w:rFonts w:eastAsia="Times New Roman"/>
        </w:rPr>
        <w:t xml:space="preserve">similar to that of the </w:t>
      </w:r>
      <w:r w:rsidR="00E55B58">
        <w:rPr>
          <w:rFonts w:eastAsia="Times New Roman"/>
        </w:rPr>
        <w:t>NINLARO</w:t>
      </w:r>
      <w:r w:rsidRPr="0047552A">
        <w:rPr>
          <w:rFonts w:eastAsia="Times New Roman"/>
        </w:rPr>
        <w:t xml:space="preserve"> regimen in </w:t>
      </w:r>
      <w:r>
        <w:rPr>
          <w:rFonts w:eastAsia="Times New Roman"/>
        </w:rPr>
        <w:t>the Phase 3 Study</w:t>
      </w:r>
      <w:r w:rsidRPr="0047552A">
        <w:rPr>
          <w:rFonts w:eastAsia="Times New Roman"/>
        </w:rPr>
        <w:t xml:space="preserve"> (</w:t>
      </w:r>
      <w:r w:rsidR="00DD1CD5">
        <w:rPr>
          <w:rFonts w:eastAsia="Times New Roman"/>
        </w:rPr>
        <w:t>4</w:t>
      </w:r>
      <w:r w:rsidRPr="0047552A">
        <w:rPr>
          <w:rFonts w:eastAsia="Times New Roman"/>
        </w:rPr>
        <w:t>%).</w:t>
      </w:r>
    </w:p>
    <w:p w:rsidR="00691008" w:rsidRDefault="002D31A3" w:rsidP="00FC74C6">
      <w:pPr>
        <w:pStyle w:val="Heading1"/>
      </w:pPr>
      <w:bookmarkStart w:id="9" w:name="_DOSAGE_AND_ADMINISTRATION"/>
      <w:bookmarkEnd w:id="9"/>
      <w:r w:rsidRPr="002D31A3">
        <w:t>DOSAGE AND ADMINISTRATION</w:t>
      </w:r>
    </w:p>
    <w:p w:rsidR="003A3EFF" w:rsidRDefault="0097327E" w:rsidP="00E826F5">
      <w:pPr>
        <w:rPr>
          <w:rFonts w:eastAsia="Times New Roman"/>
        </w:rPr>
      </w:pPr>
      <w:r w:rsidRPr="00A27AB7">
        <w:rPr>
          <w:rFonts w:eastAsia="Times New Roman"/>
        </w:rPr>
        <w:t>Treatment must be initiated and monitored under the supervision of a physician experienced in the management of multiple myeloma.</w:t>
      </w:r>
    </w:p>
    <w:p w:rsidR="0097327E" w:rsidRPr="00015EDA" w:rsidRDefault="0097327E" w:rsidP="0097327E">
      <w:pPr>
        <w:spacing w:after="240"/>
        <w:jc w:val="both"/>
        <w:rPr>
          <w:rFonts w:eastAsia="Times New Roman" w:cs="Arial"/>
          <w:i/>
        </w:rPr>
      </w:pPr>
      <w:r w:rsidRPr="00015EDA">
        <w:rPr>
          <w:rFonts w:eastAsia="Times New Roman" w:cs="Arial"/>
          <w:i/>
        </w:rPr>
        <w:t>NINLARO in combination with lenalidomide and dexamethasone</w:t>
      </w:r>
    </w:p>
    <w:p w:rsidR="003A3EFF" w:rsidRDefault="0097327E" w:rsidP="00FC74C6">
      <w:pPr>
        <w:rPr>
          <w:rFonts w:eastAsia="Times New Roman"/>
        </w:rPr>
      </w:pPr>
      <w:r w:rsidRPr="0097327E">
        <w:rPr>
          <w:rFonts w:eastAsia="Times New Roman"/>
        </w:rPr>
        <w:t>The recommended starting dose of NINLARO is 4 mg (one capsule) administered orally once a week on Days 1, 8, and 15 of a 28 day treatment cycle.</w:t>
      </w:r>
    </w:p>
    <w:p w:rsidR="003A3EFF" w:rsidRDefault="0097327E" w:rsidP="00FC74C6">
      <w:pPr>
        <w:rPr>
          <w:rFonts w:eastAsia="Times New Roman"/>
        </w:rPr>
      </w:pPr>
      <w:r w:rsidRPr="0097327E">
        <w:rPr>
          <w:rFonts w:eastAsia="Times New Roman"/>
        </w:rPr>
        <w:t>The recommended starting dose of lenalidomide is 25 mg administered daily on Days 1 to 21 of a 28 day treatment cycle.</w:t>
      </w:r>
    </w:p>
    <w:p w:rsidR="0097327E" w:rsidRDefault="0097327E" w:rsidP="00FC74C6">
      <w:pPr>
        <w:rPr>
          <w:rFonts w:eastAsia="Times New Roman"/>
        </w:rPr>
      </w:pPr>
      <w:r w:rsidRPr="0097327E">
        <w:rPr>
          <w:rFonts w:eastAsia="Times New Roman"/>
        </w:rPr>
        <w:t>The recommended starting dose of dexamethasone is 40 mg administered on Days 1, 8, 15, and 22 of a 28 day treatment cycle.</w:t>
      </w:r>
    </w:p>
    <w:p w:rsidR="0047374C" w:rsidRPr="005315FB" w:rsidRDefault="0047374C" w:rsidP="005315FB">
      <w:pPr>
        <w:pStyle w:val="Caption"/>
        <w:keepNext/>
        <w:tabs>
          <w:tab w:val="left" w:pos="993"/>
        </w:tabs>
        <w:rPr>
          <w:rFonts w:cs="Arial"/>
          <w:bCs w:val="0"/>
          <w:sz w:val="20"/>
          <w:szCs w:val="20"/>
        </w:rPr>
      </w:pPr>
      <w:r w:rsidRPr="005315FB">
        <w:rPr>
          <w:rFonts w:cs="Arial"/>
          <w:bCs w:val="0"/>
          <w:sz w:val="20"/>
          <w:szCs w:val="20"/>
        </w:rPr>
        <w:t xml:space="preserve">Table </w:t>
      </w:r>
      <w:r w:rsidR="006F0259" w:rsidRPr="005315FB">
        <w:rPr>
          <w:rFonts w:cs="Arial"/>
          <w:bCs w:val="0"/>
          <w:sz w:val="20"/>
          <w:szCs w:val="20"/>
        </w:rPr>
        <w:fldChar w:fldCharType="begin"/>
      </w:r>
      <w:r w:rsidRPr="005315FB">
        <w:rPr>
          <w:rFonts w:cs="Arial"/>
          <w:bCs w:val="0"/>
          <w:sz w:val="20"/>
          <w:szCs w:val="20"/>
        </w:rPr>
        <w:instrText xml:space="preserve"> SEQ Table \* ARABIC </w:instrText>
      </w:r>
      <w:r w:rsidR="006F0259" w:rsidRPr="005315FB">
        <w:rPr>
          <w:rFonts w:cs="Arial"/>
          <w:bCs w:val="0"/>
          <w:sz w:val="20"/>
          <w:szCs w:val="20"/>
        </w:rPr>
        <w:fldChar w:fldCharType="separate"/>
      </w:r>
      <w:r w:rsidR="00AD0267">
        <w:rPr>
          <w:rFonts w:cs="Arial"/>
          <w:bCs w:val="0"/>
          <w:noProof/>
          <w:sz w:val="20"/>
          <w:szCs w:val="20"/>
        </w:rPr>
        <w:t>5</w:t>
      </w:r>
      <w:r w:rsidR="006F0259" w:rsidRPr="005315FB">
        <w:rPr>
          <w:rFonts w:cs="Arial"/>
          <w:bCs w:val="0"/>
          <w:sz w:val="20"/>
          <w:szCs w:val="20"/>
        </w:rPr>
        <w:fldChar w:fldCharType="end"/>
      </w:r>
      <w:r w:rsidR="008A4F89" w:rsidRPr="005315FB">
        <w:rPr>
          <w:rFonts w:cs="Arial"/>
          <w:bCs w:val="0"/>
          <w:sz w:val="20"/>
          <w:szCs w:val="20"/>
        </w:rPr>
        <w:tab/>
      </w:r>
      <w:r w:rsidRPr="005315FB">
        <w:rPr>
          <w:rFonts w:cs="Arial"/>
          <w:bCs w:val="0"/>
          <w:sz w:val="20"/>
          <w:szCs w:val="20"/>
        </w:rPr>
        <w:t>Dosin</w:t>
      </w:r>
      <w:r w:rsidR="00A81588">
        <w:rPr>
          <w:rFonts w:cs="Arial"/>
          <w:bCs w:val="0"/>
          <w:sz w:val="20"/>
          <w:szCs w:val="20"/>
        </w:rPr>
        <w:t>g Schedule: NINLARO taken with l</w:t>
      </w:r>
      <w:r w:rsidRPr="005315FB">
        <w:rPr>
          <w:rFonts w:cs="Arial"/>
          <w:bCs w:val="0"/>
          <w:sz w:val="20"/>
          <w:szCs w:val="20"/>
        </w:rPr>
        <w:t xml:space="preserve">enalidomide and </w:t>
      </w:r>
      <w:r w:rsidR="00A81588">
        <w:rPr>
          <w:rFonts w:cs="Arial"/>
          <w:bCs w:val="0"/>
          <w:sz w:val="20"/>
          <w:szCs w:val="20"/>
        </w:rPr>
        <w:t>d</w:t>
      </w:r>
      <w:r w:rsidRPr="005315FB">
        <w:rPr>
          <w:rFonts w:cs="Arial"/>
          <w:bCs w:val="0"/>
          <w:sz w:val="20"/>
          <w:szCs w:val="20"/>
        </w:rPr>
        <w:t>examethasone</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 Dosing Schedule: NINLARO taken with lenalidomide and dexamethasone"/>
      </w:tblPr>
      <w:tblGrid>
        <w:gridCol w:w="1922"/>
        <w:gridCol w:w="798"/>
        <w:gridCol w:w="1033"/>
        <w:gridCol w:w="800"/>
        <w:gridCol w:w="1033"/>
        <w:gridCol w:w="800"/>
        <w:gridCol w:w="1033"/>
        <w:gridCol w:w="800"/>
        <w:gridCol w:w="1023"/>
      </w:tblGrid>
      <w:tr w:rsidR="0097327E" w:rsidRPr="00CD5408" w:rsidTr="00311767">
        <w:tc>
          <w:tcPr>
            <w:tcW w:w="9242" w:type="dxa"/>
            <w:gridSpan w:val="9"/>
            <w:tcBorders>
              <w:top w:val="nil"/>
              <w:left w:val="nil"/>
              <w:right w:val="nil"/>
            </w:tcBorders>
          </w:tcPr>
          <w:p w:rsidR="0097327E" w:rsidRPr="00A62EFC" w:rsidRDefault="0097327E" w:rsidP="00C67E3B">
            <w:pPr>
              <w:keepNext/>
              <w:autoSpaceDE w:val="0"/>
              <w:autoSpaceDN w:val="0"/>
              <w:adjustRightInd w:val="0"/>
              <w:spacing w:after="0"/>
              <w:ind w:left="720"/>
              <w:jc w:val="center"/>
              <w:rPr>
                <w:rFonts w:cs="Arial"/>
              </w:rPr>
            </w:pPr>
            <w:r w:rsidRPr="00A62EFC">
              <w:rPr>
                <w:rFonts w:cs="Arial"/>
              </w:rPr>
              <w:sym w:font="Webdings" w:char="F061"/>
            </w:r>
            <w:r w:rsidRPr="00A62EFC">
              <w:rPr>
                <w:rFonts w:cs="Arial"/>
              </w:rPr>
              <w:t>Take medicine</w:t>
            </w:r>
          </w:p>
        </w:tc>
      </w:tr>
      <w:tr w:rsidR="0097327E" w:rsidRPr="00CD5408" w:rsidTr="00311767">
        <w:tc>
          <w:tcPr>
            <w:tcW w:w="9242" w:type="dxa"/>
            <w:gridSpan w:val="9"/>
          </w:tcPr>
          <w:p w:rsidR="0097327E" w:rsidRPr="00CD5408" w:rsidRDefault="0097327E" w:rsidP="00C67E3B">
            <w:pPr>
              <w:autoSpaceDE w:val="0"/>
              <w:autoSpaceDN w:val="0"/>
              <w:adjustRightInd w:val="0"/>
              <w:spacing w:after="0"/>
              <w:jc w:val="center"/>
              <w:rPr>
                <w:rFonts w:cs="Arial"/>
                <w:b/>
                <w:sz w:val="20"/>
                <w:szCs w:val="20"/>
              </w:rPr>
            </w:pPr>
            <w:r w:rsidRPr="00CD5408">
              <w:rPr>
                <w:rFonts w:cs="Arial"/>
                <w:b/>
                <w:bCs/>
                <w:sz w:val="20"/>
                <w:szCs w:val="20"/>
              </w:rPr>
              <w:t>28</w:t>
            </w:r>
            <w:r w:rsidRPr="00CD5408">
              <w:rPr>
                <w:rFonts w:cs="Arial"/>
                <w:b/>
                <w:bCs/>
                <w:sz w:val="20"/>
                <w:szCs w:val="20"/>
              </w:rPr>
              <w:noBreakHyphen/>
              <w:t>Day Cycle (a 4</w:t>
            </w:r>
            <w:r w:rsidRPr="00CD5408">
              <w:rPr>
                <w:rFonts w:cs="Arial"/>
                <w:b/>
                <w:bCs/>
                <w:sz w:val="20"/>
                <w:szCs w:val="20"/>
              </w:rPr>
              <w:noBreakHyphen/>
              <w:t>week cycle)</w:t>
            </w:r>
          </w:p>
        </w:tc>
      </w:tr>
      <w:tr w:rsidR="0097327E" w:rsidRPr="00CD5408" w:rsidTr="007D3FC5">
        <w:tc>
          <w:tcPr>
            <w:tcW w:w="1922" w:type="dxa"/>
          </w:tcPr>
          <w:p w:rsidR="0097327E" w:rsidRPr="00CD5408" w:rsidRDefault="0097327E" w:rsidP="00C67E3B">
            <w:pPr>
              <w:autoSpaceDE w:val="0"/>
              <w:autoSpaceDN w:val="0"/>
              <w:adjustRightInd w:val="0"/>
              <w:spacing w:after="0"/>
              <w:rPr>
                <w:rFonts w:cs="Arial"/>
                <w:sz w:val="20"/>
                <w:szCs w:val="20"/>
              </w:rPr>
            </w:pPr>
          </w:p>
        </w:tc>
        <w:tc>
          <w:tcPr>
            <w:tcW w:w="1831" w:type="dxa"/>
            <w:gridSpan w:val="2"/>
            <w:vAlign w:val="center"/>
          </w:tcPr>
          <w:p w:rsidR="0097327E" w:rsidRPr="00CD5408" w:rsidRDefault="0097327E" w:rsidP="00C67E3B">
            <w:pPr>
              <w:autoSpaceDE w:val="0"/>
              <w:autoSpaceDN w:val="0"/>
              <w:adjustRightInd w:val="0"/>
              <w:spacing w:after="0"/>
              <w:jc w:val="center"/>
              <w:rPr>
                <w:rFonts w:cs="Arial"/>
                <w:b/>
                <w:sz w:val="20"/>
                <w:szCs w:val="20"/>
              </w:rPr>
            </w:pPr>
            <w:r w:rsidRPr="00CD5408">
              <w:rPr>
                <w:rFonts w:cs="Arial"/>
                <w:b/>
                <w:sz w:val="20"/>
                <w:szCs w:val="20"/>
              </w:rPr>
              <w:t>Week 1</w:t>
            </w:r>
          </w:p>
        </w:tc>
        <w:tc>
          <w:tcPr>
            <w:tcW w:w="1833" w:type="dxa"/>
            <w:gridSpan w:val="2"/>
            <w:vAlign w:val="center"/>
          </w:tcPr>
          <w:p w:rsidR="0097327E" w:rsidRPr="00CD5408" w:rsidRDefault="0097327E" w:rsidP="00C67E3B">
            <w:pPr>
              <w:autoSpaceDE w:val="0"/>
              <w:autoSpaceDN w:val="0"/>
              <w:adjustRightInd w:val="0"/>
              <w:spacing w:after="0"/>
              <w:jc w:val="center"/>
              <w:rPr>
                <w:rFonts w:cs="Arial"/>
                <w:b/>
                <w:sz w:val="20"/>
                <w:szCs w:val="20"/>
              </w:rPr>
            </w:pPr>
            <w:r w:rsidRPr="00CD5408">
              <w:rPr>
                <w:rFonts w:cs="Arial"/>
                <w:b/>
                <w:sz w:val="20"/>
                <w:szCs w:val="20"/>
              </w:rPr>
              <w:t>Week 2</w:t>
            </w:r>
          </w:p>
        </w:tc>
        <w:tc>
          <w:tcPr>
            <w:tcW w:w="1833" w:type="dxa"/>
            <w:gridSpan w:val="2"/>
            <w:vAlign w:val="center"/>
          </w:tcPr>
          <w:p w:rsidR="0097327E" w:rsidRPr="00CD5408" w:rsidRDefault="0097327E" w:rsidP="00C67E3B">
            <w:pPr>
              <w:autoSpaceDE w:val="0"/>
              <w:autoSpaceDN w:val="0"/>
              <w:adjustRightInd w:val="0"/>
              <w:spacing w:after="0"/>
              <w:jc w:val="center"/>
              <w:rPr>
                <w:rFonts w:cs="Arial"/>
                <w:b/>
                <w:sz w:val="20"/>
                <w:szCs w:val="20"/>
              </w:rPr>
            </w:pPr>
            <w:r w:rsidRPr="00CD5408">
              <w:rPr>
                <w:rFonts w:cs="Arial"/>
                <w:b/>
                <w:sz w:val="20"/>
                <w:szCs w:val="20"/>
              </w:rPr>
              <w:t>Week 3</w:t>
            </w:r>
          </w:p>
        </w:tc>
        <w:tc>
          <w:tcPr>
            <w:tcW w:w="1823" w:type="dxa"/>
            <w:gridSpan w:val="2"/>
            <w:vAlign w:val="center"/>
          </w:tcPr>
          <w:p w:rsidR="0097327E" w:rsidRPr="00CD5408" w:rsidRDefault="0097327E" w:rsidP="00C67E3B">
            <w:pPr>
              <w:autoSpaceDE w:val="0"/>
              <w:autoSpaceDN w:val="0"/>
              <w:adjustRightInd w:val="0"/>
              <w:spacing w:after="0"/>
              <w:jc w:val="center"/>
              <w:rPr>
                <w:rFonts w:cs="Arial"/>
                <w:b/>
                <w:sz w:val="20"/>
                <w:szCs w:val="20"/>
              </w:rPr>
            </w:pPr>
            <w:r w:rsidRPr="00CD5408">
              <w:rPr>
                <w:rFonts w:cs="Arial"/>
                <w:b/>
                <w:sz w:val="20"/>
                <w:szCs w:val="20"/>
              </w:rPr>
              <w:t>Week 4</w:t>
            </w:r>
          </w:p>
        </w:tc>
      </w:tr>
      <w:tr w:rsidR="0097327E" w:rsidRPr="00CD5408" w:rsidTr="006718D5">
        <w:tc>
          <w:tcPr>
            <w:tcW w:w="1922" w:type="dxa"/>
          </w:tcPr>
          <w:p w:rsidR="0097327E" w:rsidRPr="00CD5408" w:rsidRDefault="0097327E" w:rsidP="00C67E3B">
            <w:pPr>
              <w:autoSpaceDE w:val="0"/>
              <w:autoSpaceDN w:val="0"/>
              <w:adjustRightInd w:val="0"/>
              <w:spacing w:after="0"/>
              <w:rPr>
                <w:rFonts w:cs="Arial"/>
                <w:sz w:val="20"/>
                <w:szCs w:val="20"/>
              </w:rPr>
            </w:pPr>
          </w:p>
        </w:tc>
        <w:tc>
          <w:tcPr>
            <w:tcW w:w="798"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 1</w:t>
            </w:r>
          </w:p>
        </w:tc>
        <w:tc>
          <w:tcPr>
            <w:tcW w:w="1033"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Days</w:t>
            </w:r>
            <w:r w:rsidR="003A3EFF">
              <w:rPr>
                <w:rFonts w:cs="Arial"/>
                <w:sz w:val="20"/>
                <w:szCs w:val="20"/>
              </w:rPr>
              <w:t xml:space="preserve">  </w:t>
            </w:r>
            <w:r w:rsidR="006718D5">
              <w:rPr>
                <w:rFonts w:cs="Arial"/>
                <w:sz w:val="20"/>
                <w:szCs w:val="20"/>
              </w:rPr>
              <w:t xml:space="preserve"> 2</w:t>
            </w:r>
            <w:r w:rsidRPr="00CD5408">
              <w:rPr>
                <w:rFonts w:cs="Arial"/>
                <w:sz w:val="20"/>
                <w:szCs w:val="20"/>
              </w:rPr>
              <w:t xml:space="preserve"> </w:t>
            </w:r>
            <w:r w:rsidR="00B922AA">
              <w:rPr>
                <w:rFonts w:cs="Arial"/>
                <w:sz w:val="20"/>
                <w:szCs w:val="20"/>
              </w:rPr>
              <w:t>-</w:t>
            </w:r>
            <w:r w:rsidRPr="00CD5408">
              <w:rPr>
                <w:rFonts w:cs="Arial"/>
                <w:sz w:val="20"/>
                <w:szCs w:val="20"/>
              </w:rPr>
              <w:t xml:space="preserve"> 7</w:t>
            </w:r>
          </w:p>
        </w:tc>
        <w:tc>
          <w:tcPr>
            <w:tcW w:w="800"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 8</w:t>
            </w:r>
          </w:p>
        </w:tc>
        <w:tc>
          <w:tcPr>
            <w:tcW w:w="1033"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Days</w:t>
            </w:r>
            <w:r w:rsidR="003A3EFF">
              <w:rPr>
                <w:rFonts w:cs="Arial"/>
                <w:sz w:val="20"/>
                <w:szCs w:val="20"/>
              </w:rPr>
              <w:t xml:space="preserve">  </w:t>
            </w:r>
            <w:r w:rsidR="006718D5">
              <w:rPr>
                <w:rFonts w:cs="Arial"/>
                <w:sz w:val="20"/>
                <w:szCs w:val="20"/>
              </w:rPr>
              <w:t xml:space="preserve"> </w:t>
            </w:r>
            <w:r w:rsidRPr="00CD5408">
              <w:rPr>
                <w:rFonts w:cs="Arial"/>
                <w:sz w:val="20"/>
                <w:szCs w:val="20"/>
              </w:rPr>
              <w:t xml:space="preserve">9 </w:t>
            </w:r>
            <w:r w:rsidR="00B922AA">
              <w:rPr>
                <w:rFonts w:cs="Arial"/>
                <w:sz w:val="20"/>
                <w:szCs w:val="20"/>
              </w:rPr>
              <w:t>-</w:t>
            </w:r>
            <w:r w:rsidRPr="00CD5408">
              <w:rPr>
                <w:rFonts w:cs="Arial"/>
                <w:sz w:val="20"/>
                <w:szCs w:val="20"/>
              </w:rPr>
              <w:t xml:space="preserve"> 14</w:t>
            </w:r>
          </w:p>
        </w:tc>
        <w:tc>
          <w:tcPr>
            <w:tcW w:w="800"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 15</w:t>
            </w:r>
          </w:p>
        </w:tc>
        <w:tc>
          <w:tcPr>
            <w:tcW w:w="1033" w:type="dxa"/>
          </w:tcPr>
          <w:p w:rsidR="0097327E" w:rsidRPr="00174DA7" w:rsidRDefault="0097327E" w:rsidP="00C67E3B">
            <w:pPr>
              <w:autoSpaceDE w:val="0"/>
              <w:autoSpaceDN w:val="0"/>
              <w:adjustRightInd w:val="0"/>
              <w:spacing w:after="0"/>
              <w:jc w:val="center"/>
              <w:rPr>
                <w:rFonts w:cs="Arial"/>
                <w:sz w:val="20"/>
                <w:szCs w:val="20"/>
              </w:rPr>
            </w:pPr>
            <w:r w:rsidRPr="00174DA7">
              <w:rPr>
                <w:rFonts w:cs="Arial"/>
                <w:sz w:val="20"/>
                <w:szCs w:val="20"/>
              </w:rPr>
              <w:t>Days</w:t>
            </w:r>
            <w:r w:rsidR="003A3EFF">
              <w:rPr>
                <w:rFonts w:cs="Arial"/>
                <w:sz w:val="20"/>
                <w:szCs w:val="20"/>
              </w:rPr>
              <w:t xml:space="preserve">  </w:t>
            </w:r>
            <w:r w:rsidR="006718D5" w:rsidRPr="00174DA7">
              <w:rPr>
                <w:rFonts w:cs="Arial"/>
                <w:sz w:val="20"/>
                <w:szCs w:val="20"/>
              </w:rPr>
              <w:t xml:space="preserve"> </w:t>
            </w:r>
            <w:r w:rsidR="005C3FF7" w:rsidRPr="00174DA7">
              <w:rPr>
                <w:rFonts w:cs="Arial"/>
                <w:sz w:val="20"/>
                <w:szCs w:val="20"/>
              </w:rPr>
              <w:t>1</w:t>
            </w:r>
            <w:r w:rsidRPr="00174DA7">
              <w:rPr>
                <w:rFonts w:cs="Arial"/>
                <w:sz w:val="20"/>
                <w:szCs w:val="20"/>
              </w:rPr>
              <w:t xml:space="preserve">6 </w:t>
            </w:r>
            <w:r w:rsidR="00B922AA" w:rsidRPr="00174DA7">
              <w:rPr>
                <w:rFonts w:cs="Arial"/>
                <w:sz w:val="20"/>
                <w:szCs w:val="20"/>
              </w:rPr>
              <w:t>-</w:t>
            </w:r>
            <w:r w:rsidRPr="00174DA7">
              <w:rPr>
                <w:rFonts w:cs="Arial"/>
                <w:sz w:val="20"/>
                <w:szCs w:val="20"/>
              </w:rPr>
              <w:t xml:space="preserve"> 21</w:t>
            </w:r>
          </w:p>
        </w:tc>
        <w:tc>
          <w:tcPr>
            <w:tcW w:w="800"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 22</w:t>
            </w:r>
          </w:p>
        </w:tc>
        <w:tc>
          <w:tcPr>
            <w:tcW w:w="1023" w:type="dxa"/>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t>Days</w:t>
            </w:r>
            <w:r w:rsidR="003A3EFF">
              <w:rPr>
                <w:rFonts w:cs="Arial"/>
                <w:sz w:val="20"/>
                <w:szCs w:val="20"/>
              </w:rPr>
              <w:t xml:space="preserve"> </w:t>
            </w:r>
            <w:r w:rsidR="006718D5">
              <w:rPr>
                <w:rFonts w:cs="Arial"/>
                <w:sz w:val="20"/>
                <w:szCs w:val="20"/>
              </w:rPr>
              <w:t xml:space="preserve"> </w:t>
            </w:r>
            <w:r w:rsidRPr="00CD5408">
              <w:rPr>
                <w:rFonts w:cs="Arial"/>
                <w:sz w:val="20"/>
                <w:szCs w:val="20"/>
              </w:rPr>
              <w:t xml:space="preserve">23 </w:t>
            </w:r>
            <w:r w:rsidR="00B922AA">
              <w:rPr>
                <w:rFonts w:cs="Arial"/>
                <w:sz w:val="20"/>
                <w:szCs w:val="20"/>
              </w:rPr>
              <w:t>-</w:t>
            </w:r>
            <w:r w:rsidRPr="00CD5408">
              <w:rPr>
                <w:rFonts w:cs="Arial"/>
                <w:sz w:val="20"/>
                <w:szCs w:val="20"/>
              </w:rPr>
              <w:t xml:space="preserve"> 28</w:t>
            </w:r>
          </w:p>
        </w:tc>
      </w:tr>
      <w:tr w:rsidR="0097327E" w:rsidRPr="00CD5408" w:rsidTr="006718D5">
        <w:tc>
          <w:tcPr>
            <w:tcW w:w="1922" w:type="dxa"/>
            <w:vAlign w:val="center"/>
          </w:tcPr>
          <w:p w:rsidR="0097327E" w:rsidRPr="00CD5408" w:rsidRDefault="0097327E" w:rsidP="00C67E3B">
            <w:pPr>
              <w:autoSpaceDE w:val="0"/>
              <w:autoSpaceDN w:val="0"/>
              <w:adjustRightInd w:val="0"/>
              <w:spacing w:after="0"/>
              <w:rPr>
                <w:rFonts w:cs="Arial"/>
                <w:sz w:val="20"/>
                <w:szCs w:val="20"/>
              </w:rPr>
            </w:pPr>
            <w:r w:rsidRPr="00CD5408">
              <w:rPr>
                <w:rFonts w:cs="Arial"/>
                <w:sz w:val="20"/>
                <w:szCs w:val="20"/>
              </w:rPr>
              <w:t>NINLARO</w:t>
            </w:r>
          </w:p>
        </w:tc>
        <w:tc>
          <w:tcPr>
            <w:tcW w:w="798"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1023"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r>
      <w:tr w:rsidR="0097327E" w:rsidRPr="00CD5408" w:rsidTr="006718D5">
        <w:tc>
          <w:tcPr>
            <w:tcW w:w="1922" w:type="dxa"/>
            <w:vAlign w:val="center"/>
          </w:tcPr>
          <w:p w:rsidR="0097327E" w:rsidRPr="00CD5408" w:rsidRDefault="0071347F" w:rsidP="00C67E3B">
            <w:pPr>
              <w:autoSpaceDE w:val="0"/>
              <w:autoSpaceDN w:val="0"/>
              <w:adjustRightInd w:val="0"/>
              <w:spacing w:after="0"/>
              <w:rPr>
                <w:rFonts w:cs="Arial"/>
                <w:sz w:val="20"/>
                <w:szCs w:val="20"/>
              </w:rPr>
            </w:pPr>
            <w:r>
              <w:rPr>
                <w:rFonts w:cs="Arial"/>
                <w:sz w:val="20"/>
                <w:szCs w:val="20"/>
              </w:rPr>
              <w:t>l</w:t>
            </w:r>
            <w:r w:rsidR="0097327E" w:rsidRPr="00CD5408">
              <w:rPr>
                <w:rFonts w:cs="Arial"/>
                <w:sz w:val="20"/>
                <w:szCs w:val="20"/>
              </w:rPr>
              <w:t>enalidomide</w:t>
            </w:r>
          </w:p>
        </w:tc>
        <w:tc>
          <w:tcPr>
            <w:tcW w:w="798"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r w:rsidRPr="00CD5408">
              <w:rPr>
                <w:rFonts w:cs="Arial"/>
                <w:sz w:val="20"/>
                <w:szCs w:val="20"/>
              </w:rPr>
              <w:t>Daily</w:t>
            </w:r>
          </w:p>
        </w:tc>
        <w:tc>
          <w:tcPr>
            <w:tcW w:w="800"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r w:rsidRPr="00CD5408">
              <w:rPr>
                <w:rFonts w:cs="Arial"/>
                <w:sz w:val="20"/>
                <w:szCs w:val="20"/>
              </w:rPr>
              <w:t>Daily</w:t>
            </w:r>
          </w:p>
        </w:tc>
        <w:tc>
          <w:tcPr>
            <w:tcW w:w="800"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r w:rsidRPr="00CD5408">
              <w:rPr>
                <w:rFonts w:cs="Arial"/>
                <w:sz w:val="20"/>
                <w:szCs w:val="20"/>
              </w:rPr>
              <w:t>Daily</w:t>
            </w:r>
          </w:p>
        </w:tc>
        <w:tc>
          <w:tcPr>
            <w:tcW w:w="800"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1023" w:type="dxa"/>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r>
      <w:tr w:rsidR="0097327E" w:rsidRPr="00CD5408" w:rsidTr="006718D5">
        <w:tc>
          <w:tcPr>
            <w:tcW w:w="1922" w:type="dxa"/>
            <w:tcBorders>
              <w:bottom w:val="single" w:sz="4" w:space="0" w:color="auto"/>
            </w:tcBorders>
            <w:vAlign w:val="center"/>
          </w:tcPr>
          <w:p w:rsidR="0097327E" w:rsidRPr="00CD5408" w:rsidRDefault="0071347F" w:rsidP="00C67E3B">
            <w:pPr>
              <w:autoSpaceDE w:val="0"/>
              <w:autoSpaceDN w:val="0"/>
              <w:adjustRightInd w:val="0"/>
              <w:spacing w:after="0"/>
              <w:rPr>
                <w:rFonts w:cs="Arial"/>
                <w:sz w:val="20"/>
                <w:szCs w:val="20"/>
              </w:rPr>
            </w:pPr>
            <w:r>
              <w:rPr>
                <w:rFonts w:cs="Arial"/>
                <w:sz w:val="20"/>
                <w:szCs w:val="20"/>
              </w:rPr>
              <w:t>d</w:t>
            </w:r>
            <w:r w:rsidR="0097327E" w:rsidRPr="00CD5408">
              <w:rPr>
                <w:rFonts w:cs="Arial"/>
                <w:sz w:val="20"/>
                <w:szCs w:val="20"/>
              </w:rPr>
              <w:t>examethasone</w:t>
            </w:r>
          </w:p>
        </w:tc>
        <w:tc>
          <w:tcPr>
            <w:tcW w:w="798" w:type="dxa"/>
            <w:tcBorders>
              <w:bottom w:val="single" w:sz="4" w:space="0" w:color="auto"/>
            </w:tcBorders>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tcBorders>
              <w:bottom w:val="single" w:sz="4" w:space="0" w:color="auto"/>
            </w:tcBorders>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tcBorders>
              <w:bottom w:val="single" w:sz="4" w:space="0" w:color="auto"/>
            </w:tcBorders>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tcBorders>
              <w:bottom w:val="single" w:sz="4" w:space="0" w:color="auto"/>
            </w:tcBorders>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tcBorders>
              <w:bottom w:val="single" w:sz="4" w:space="0" w:color="auto"/>
            </w:tcBorders>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33" w:type="dxa"/>
            <w:tcBorders>
              <w:bottom w:val="single" w:sz="4" w:space="0" w:color="auto"/>
            </w:tcBorders>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c>
          <w:tcPr>
            <w:tcW w:w="800" w:type="dxa"/>
            <w:tcBorders>
              <w:bottom w:val="single" w:sz="4" w:space="0" w:color="auto"/>
            </w:tcBorders>
            <w:vAlign w:val="center"/>
          </w:tcPr>
          <w:p w:rsidR="0097327E" w:rsidRPr="00CD5408" w:rsidRDefault="0097327E" w:rsidP="00C67E3B">
            <w:pPr>
              <w:autoSpaceDE w:val="0"/>
              <w:autoSpaceDN w:val="0"/>
              <w:adjustRightInd w:val="0"/>
              <w:spacing w:after="0"/>
              <w:jc w:val="center"/>
              <w:rPr>
                <w:rFonts w:cs="Arial"/>
                <w:sz w:val="20"/>
                <w:szCs w:val="20"/>
              </w:rPr>
            </w:pPr>
            <w:r w:rsidRPr="00CD5408">
              <w:rPr>
                <w:rFonts w:cs="Arial"/>
                <w:sz w:val="20"/>
                <w:szCs w:val="20"/>
              </w:rPr>
              <w:sym w:font="Webdings" w:char="F061"/>
            </w:r>
          </w:p>
        </w:tc>
        <w:tc>
          <w:tcPr>
            <w:tcW w:w="1023" w:type="dxa"/>
            <w:tcBorders>
              <w:bottom w:val="single" w:sz="4" w:space="0" w:color="auto"/>
            </w:tcBorders>
            <w:shd w:val="pct25" w:color="auto" w:fill="auto"/>
            <w:vAlign w:val="center"/>
          </w:tcPr>
          <w:p w:rsidR="0097327E" w:rsidRPr="00CD5408" w:rsidRDefault="0097327E" w:rsidP="00C67E3B">
            <w:pPr>
              <w:autoSpaceDE w:val="0"/>
              <w:autoSpaceDN w:val="0"/>
              <w:adjustRightInd w:val="0"/>
              <w:spacing w:after="0"/>
              <w:jc w:val="center"/>
              <w:rPr>
                <w:rFonts w:cs="Arial"/>
                <w:sz w:val="20"/>
                <w:szCs w:val="20"/>
              </w:rPr>
            </w:pPr>
          </w:p>
        </w:tc>
      </w:tr>
    </w:tbl>
    <w:p w:rsidR="00311767" w:rsidRPr="00311767" w:rsidRDefault="00222E99" w:rsidP="00FC74C6">
      <w:pPr>
        <w:rPr>
          <w:rFonts w:eastAsia="Times New Roman"/>
        </w:rPr>
      </w:pPr>
      <w:r w:rsidRPr="00222E99">
        <w:rPr>
          <w:rFonts w:eastAsia="Times New Roman"/>
        </w:rPr>
        <w:t>For additional information regarding lenalidomide and dexamethasone, refer to the respective Product Information documents.</w:t>
      </w:r>
    </w:p>
    <w:p w:rsidR="00311767" w:rsidRPr="00311767" w:rsidRDefault="00311767" w:rsidP="00311767">
      <w:pPr>
        <w:spacing w:after="240"/>
        <w:jc w:val="both"/>
        <w:rPr>
          <w:rFonts w:eastAsia="Times New Roman" w:cs="Arial"/>
        </w:rPr>
      </w:pPr>
      <w:r w:rsidRPr="00F85773">
        <w:rPr>
          <w:rFonts w:eastAsia="Times New Roman" w:cs="Arial"/>
        </w:rPr>
        <w:t>Prior to initiating a new cycle of therapy:</w:t>
      </w:r>
    </w:p>
    <w:p w:rsidR="00311767" w:rsidRPr="00B16749" w:rsidRDefault="00311767" w:rsidP="0047374C">
      <w:pPr>
        <w:numPr>
          <w:ilvl w:val="0"/>
          <w:numId w:val="8"/>
        </w:numPr>
        <w:spacing w:after="240"/>
        <w:jc w:val="both"/>
        <w:rPr>
          <w:rFonts w:eastAsia="Times New Roman" w:cs="Arial"/>
        </w:rPr>
      </w:pPr>
      <w:r w:rsidRPr="00311767">
        <w:rPr>
          <w:rFonts w:eastAsia="Times New Roman" w:cs="Arial"/>
        </w:rPr>
        <w:t xml:space="preserve">Absolute neutrophil count should be </w:t>
      </w:r>
      <w:r w:rsidRPr="00B16749">
        <w:rPr>
          <w:rFonts w:eastAsia="Times New Roman" w:cs="Arial"/>
        </w:rPr>
        <w:t>≥ 1</w:t>
      </w:r>
      <w:r w:rsidR="00B16749" w:rsidRPr="00B16749">
        <w:rPr>
          <w:rFonts w:eastAsia="Times New Roman" w:cs="Arial"/>
        </w:rPr>
        <w:t>x10</w:t>
      </w:r>
      <w:r w:rsidR="00B16749" w:rsidRPr="004115A3">
        <w:rPr>
          <w:rFonts w:eastAsia="Times New Roman" w:cs="Arial"/>
          <w:vertAlign w:val="superscript"/>
        </w:rPr>
        <w:t>9</w:t>
      </w:r>
      <w:r w:rsidRPr="00B16749">
        <w:rPr>
          <w:rFonts w:eastAsia="Times New Roman" w:cs="Arial"/>
        </w:rPr>
        <w:t>/</w:t>
      </w:r>
      <w:r w:rsidR="00B16749" w:rsidRPr="00B16749">
        <w:rPr>
          <w:rFonts w:eastAsia="Times New Roman" w:cs="Arial"/>
        </w:rPr>
        <w:t>L</w:t>
      </w:r>
    </w:p>
    <w:p w:rsidR="00311767" w:rsidRPr="00B16749" w:rsidRDefault="00311767" w:rsidP="0047374C">
      <w:pPr>
        <w:numPr>
          <w:ilvl w:val="0"/>
          <w:numId w:val="8"/>
        </w:numPr>
        <w:spacing w:after="240"/>
        <w:jc w:val="both"/>
        <w:rPr>
          <w:rFonts w:eastAsia="Times New Roman" w:cs="Arial"/>
        </w:rPr>
      </w:pPr>
      <w:r w:rsidRPr="00B16749">
        <w:rPr>
          <w:rFonts w:eastAsia="Times New Roman" w:cs="Arial"/>
        </w:rPr>
        <w:t>Platelet count should be ≥ 75</w:t>
      </w:r>
      <w:r w:rsidR="00B16749" w:rsidRPr="00B16749">
        <w:rPr>
          <w:rFonts w:eastAsia="Times New Roman" w:cs="Arial"/>
        </w:rPr>
        <w:t>x10</w:t>
      </w:r>
      <w:r w:rsidR="00B16749" w:rsidRPr="004115A3">
        <w:rPr>
          <w:rFonts w:eastAsia="Times New Roman" w:cs="Arial"/>
          <w:vertAlign w:val="superscript"/>
        </w:rPr>
        <w:t>9</w:t>
      </w:r>
      <w:r w:rsidRPr="00B16749">
        <w:rPr>
          <w:rFonts w:eastAsia="Times New Roman" w:cs="Arial"/>
        </w:rPr>
        <w:t>/</w:t>
      </w:r>
      <w:r w:rsidR="00B16749" w:rsidRPr="00B16749">
        <w:rPr>
          <w:rFonts w:eastAsia="Times New Roman" w:cs="Arial"/>
        </w:rPr>
        <w:t>L</w:t>
      </w:r>
    </w:p>
    <w:p w:rsidR="00311767" w:rsidRPr="00311767" w:rsidRDefault="00311767" w:rsidP="0047374C">
      <w:pPr>
        <w:numPr>
          <w:ilvl w:val="0"/>
          <w:numId w:val="8"/>
        </w:numPr>
        <w:spacing w:after="240"/>
        <w:jc w:val="both"/>
        <w:rPr>
          <w:rFonts w:eastAsia="Times New Roman" w:cs="Arial"/>
        </w:rPr>
      </w:pPr>
      <w:r w:rsidRPr="00311767">
        <w:rPr>
          <w:rFonts w:eastAsia="Times New Roman" w:cs="Arial"/>
        </w:rPr>
        <w:t>Non</w:t>
      </w:r>
      <w:r w:rsidR="00894093">
        <w:rPr>
          <w:rFonts w:eastAsia="Times New Roman" w:cs="Arial"/>
        </w:rPr>
        <w:t>-</w:t>
      </w:r>
      <w:r w:rsidRPr="00311767">
        <w:rPr>
          <w:rFonts w:eastAsia="Times New Roman" w:cs="Arial"/>
        </w:rPr>
        <w:t>haematologic toxicities should, at the physician’s discretion, generally be recovered to patient’s baseline condition or ≤ Grade 1</w:t>
      </w:r>
    </w:p>
    <w:p w:rsidR="00311767" w:rsidRPr="00311767" w:rsidRDefault="00311767" w:rsidP="00311767">
      <w:pPr>
        <w:spacing w:after="240"/>
        <w:jc w:val="both"/>
        <w:rPr>
          <w:rFonts w:eastAsia="Times New Roman" w:cs="Arial"/>
        </w:rPr>
      </w:pPr>
      <w:r w:rsidRPr="00311767">
        <w:rPr>
          <w:rFonts w:eastAsia="Times New Roman" w:cs="Arial"/>
        </w:rPr>
        <w:t>Treatment should be continued until disease progression or unacceptable toxicity.</w:t>
      </w:r>
    </w:p>
    <w:p w:rsidR="003A3EFF" w:rsidRPr="000755DC" w:rsidRDefault="00311767" w:rsidP="000755DC">
      <w:pPr>
        <w:pStyle w:val="Heading2"/>
        <w:rPr>
          <w:b w:val="0"/>
          <w:i/>
          <w:szCs w:val="22"/>
        </w:rPr>
      </w:pPr>
      <w:r w:rsidRPr="000755DC">
        <w:rPr>
          <w:b w:val="0"/>
          <w:i/>
          <w:szCs w:val="22"/>
        </w:rPr>
        <w:t>Delayed or missed doses</w:t>
      </w:r>
    </w:p>
    <w:p w:rsidR="003A3EFF" w:rsidRDefault="00311767" w:rsidP="00311767">
      <w:pPr>
        <w:spacing w:after="240"/>
        <w:jc w:val="both"/>
        <w:rPr>
          <w:rFonts w:eastAsia="Times New Roman" w:cs="Arial"/>
        </w:rPr>
      </w:pPr>
      <w:r w:rsidRPr="00311767">
        <w:rPr>
          <w:rFonts w:eastAsia="Times New Roman" w:cs="Arial"/>
        </w:rPr>
        <w:t>In the event that a NINLARO dose is delayed or missed, the dose should be taken only if the next scheduled dose is ≥ 72</w:t>
      </w:r>
      <w:r w:rsidR="00883820">
        <w:rPr>
          <w:rFonts w:eastAsia="Times New Roman" w:cs="Arial"/>
        </w:rPr>
        <w:t> h</w:t>
      </w:r>
      <w:r w:rsidR="00883820" w:rsidRPr="00311767">
        <w:rPr>
          <w:rFonts w:eastAsia="Times New Roman" w:cs="Arial"/>
        </w:rPr>
        <w:t xml:space="preserve"> </w:t>
      </w:r>
      <w:r w:rsidRPr="00311767">
        <w:rPr>
          <w:rFonts w:eastAsia="Times New Roman" w:cs="Arial"/>
        </w:rPr>
        <w:t>away. A missed dose should not be taken within 72</w:t>
      </w:r>
      <w:r w:rsidR="00883820">
        <w:rPr>
          <w:rFonts w:eastAsia="Times New Roman" w:cs="Arial"/>
        </w:rPr>
        <w:t> h</w:t>
      </w:r>
      <w:r w:rsidR="00883820" w:rsidRPr="00311767">
        <w:rPr>
          <w:rFonts w:eastAsia="Times New Roman" w:cs="Arial"/>
        </w:rPr>
        <w:t xml:space="preserve"> </w:t>
      </w:r>
      <w:r w:rsidRPr="00311767">
        <w:rPr>
          <w:rFonts w:eastAsia="Times New Roman" w:cs="Arial"/>
        </w:rPr>
        <w:t>of the next scheduled dose. A double dose should not be taken to make up for a missed dose.</w:t>
      </w:r>
    </w:p>
    <w:p w:rsidR="0097327E" w:rsidRDefault="00311767" w:rsidP="00311767">
      <w:pPr>
        <w:spacing w:after="240"/>
        <w:jc w:val="both"/>
        <w:rPr>
          <w:rFonts w:eastAsia="Times New Roman" w:cs="Arial"/>
        </w:rPr>
      </w:pPr>
      <w:r w:rsidRPr="00311767">
        <w:rPr>
          <w:rFonts w:eastAsia="Times New Roman" w:cs="Arial"/>
        </w:rPr>
        <w:t>If a patient vomits after taking a dose, the patient should not repeat the dose but should resume dosing at the time of the next scheduled dose.</w:t>
      </w:r>
    </w:p>
    <w:p w:rsidR="00311767" w:rsidRPr="000755DC" w:rsidRDefault="00311767" w:rsidP="000755DC">
      <w:pPr>
        <w:pStyle w:val="Heading2"/>
        <w:rPr>
          <w:b w:val="0"/>
          <w:i/>
          <w:szCs w:val="22"/>
        </w:rPr>
      </w:pPr>
      <w:r w:rsidRPr="000755DC">
        <w:rPr>
          <w:b w:val="0"/>
          <w:i/>
          <w:szCs w:val="22"/>
        </w:rPr>
        <w:t>Dose modifications</w:t>
      </w:r>
    </w:p>
    <w:p w:rsidR="00380204" w:rsidRPr="0033798E" w:rsidRDefault="00311767" w:rsidP="00380204">
      <w:pPr>
        <w:spacing w:after="240"/>
        <w:jc w:val="both"/>
        <w:rPr>
          <w:rFonts w:eastAsia="Times New Roman" w:cs="Arial"/>
        </w:rPr>
      </w:pPr>
      <w:r w:rsidRPr="0047374C">
        <w:rPr>
          <w:rFonts w:eastAsia="Times New Roman" w:cs="Arial"/>
        </w:rPr>
        <w:t xml:space="preserve">The NINLARO dose reduction steps are presented in </w:t>
      </w:r>
      <w:r w:rsidR="00FC33B9">
        <w:fldChar w:fldCharType="begin"/>
      </w:r>
      <w:r w:rsidR="00FC33B9">
        <w:instrText xml:space="preserve"> REF _Ref423610513 \h  \* MERGEFORMAT </w:instrText>
      </w:r>
      <w:r w:rsidR="00FC33B9">
        <w:fldChar w:fldCharType="separate"/>
      </w:r>
      <w:r w:rsidR="00AD0267" w:rsidRPr="00556249">
        <w:rPr>
          <w:rFonts w:eastAsia="Times New Roman" w:cs="Arial"/>
        </w:rPr>
        <w:t>Table 6</w:t>
      </w:r>
      <w:r w:rsidR="00FC33B9">
        <w:fldChar w:fldCharType="end"/>
      </w:r>
      <w:r w:rsidRPr="0047374C">
        <w:rPr>
          <w:rFonts w:eastAsia="Times New Roman" w:cs="Arial"/>
        </w:rPr>
        <w:t xml:space="preserve"> and the dose modification guidelines are provided in</w:t>
      </w:r>
      <w:r w:rsidR="00380204">
        <w:rPr>
          <w:rFonts w:eastAsia="Times New Roman" w:cs="Arial"/>
        </w:rPr>
        <w:t xml:space="preserve"> </w:t>
      </w:r>
      <w:r w:rsidR="00FC33B9">
        <w:fldChar w:fldCharType="begin"/>
      </w:r>
      <w:r w:rsidR="00FC33B9">
        <w:instrText xml:space="preserve"> REF _Ref423610532 \h  \* MERGEFORMAT </w:instrText>
      </w:r>
      <w:r w:rsidR="00FC33B9">
        <w:fldChar w:fldCharType="separate"/>
      </w:r>
      <w:r w:rsidR="00AD0267" w:rsidRPr="00556249">
        <w:rPr>
          <w:rFonts w:eastAsia="Times New Roman" w:cs="Arial"/>
        </w:rPr>
        <w:t>Table 7</w:t>
      </w:r>
      <w:r w:rsidR="00FC33B9">
        <w:fldChar w:fldCharType="end"/>
      </w:r>
      <w:r w:rsidR="00380204">
        <w:rPr>
          <w:rFonts w:eastAsia="Times New Roman" w:cs="Arial"/>
        </w:rPr>
        <w:t>.</w:t>
      </w:r>
    </w:p>
    <w:p w:rsidR="0033798E" w:rsidRPr="005315FB" w:rsidRDefault="0033798E" w:rsidP="005315FB">
      <w:pPr>
        <w:pStyle w:val="Caption"/>
        <w:keepNext/>
        <w:tabs>
          <w:tab w:val="left" w:pos="993"/>
        </w:tabs>
        <w:rPr>
          <w:rFonts w:cs="Arial"/>
          <w:bCs w:val="0"/>
          <w:sz w:val="20"/>
          <w:szCs w:val="20"/>
        </w:rPr>
      </w:pPr>
      <w:bookmarkStart w:id="10" w:name="_Ref423601952"/>
      <w:bookmarkStart w:id="11" w:name="_Ref423610513"/>
      <w:r w:rsidRPr="005315FB">
        <w:rPr>
          <w:rFonts w:cs="Arial"/>
          <w:bCs w:val="0"/>
          <w:sz w:val="20"/>
          <w:szCs w:val="20"/>
        </w:rPr>
        <w:lastRenderedPageBreak/>
        <w:t xml:space="preserve">Table </w:t>
      </w:r>
      <w:r w:rsidR="006F0259" w:rsidRPr="005315FB">
        <w:rPr>
          <w:rFonts w:cs="Arial"/>
          <w:bCs w:val="0"/>
          <w:sz w:val="20"/>
          <w:szCs w:val="20"/>
        </w:rPr>
        <w:fldChar w:fldCharType="begin"/>
      </w:r>
      <w:r w:rsidRPr="005315FB">
        <w:rPr>
          <w:rFonts w:cs="Arial"/>
          <w:bCs w:val="0"/>
          <w:sz w:val="20"/>
          <w:szCs w:val="20"/>
        </w:rPr>
        <w:instrText xml:space="preserve"> SEQ Table \* ARABIC </w:instrText>
      </w:r>
      <w:r w:rsidR="006F0259" w:rsidRPr="005315FB">
        <w:rPr>
          <w:rFonts w:cs="Arial"/>
          <w:bCs w:val="0"/>
          <w:sz w:val="20"/>
          <w:szCs w:val="20"/>
        </w:rPr>
        <w:fldChar w:fldCharType="separate"/>
      </w:r>
      <w:r w:rsidR="00174CC7">
        <w:rPr>
          <w:rFonts w:cs="Arial"/>
          <w:bCs w:val="0"/>
          <w:noProof/>
          <w:sz w:val="20"/>
          <w:szCs w:val="20"/>
        </w:rPr>
        <w:t>6</w:t>
      </w:r>
      <w:r w:rsidR="006F0259" w:rsidRPr="005315FB">
        <w:rPr>
          <w:rFonts w:cs="Arial"/>
          <w:bCs w:val="0"/>
          <w:sz w:val="20"/>
          <w:szCs w:val="20"/>
        </w:rPr>
        <w:fldChar w:fldCharType="end"/>
      </w:r>
      <w:bookmarkEnd w:id="10"/>
      <w:bookmarkEnd w:id="11"/>
      <w:r w:rsidR="005315FB">
        <w:rPr>
          <w:rFonts w:cs="Arial"/>
          <w:bCs w:val="0"/>
          <w:sz w:val="20"/>
          <w:szCs w:val="20"/>
        </w:rPr>
        <w:tab/>
      </w:r>
      <w:r w:rsidRPr="005315FB">
        <w:rPr>
          <w:rFonts w:cs="Arial"/>
          <w:bCs w:val="0"/>
          <w:sz w:val="20"/>
          <w:szCs w:val="20"/>
        </w:rPr>
        <w:t>NINLARO Dose Reduction Steps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NINLARO Dose Reduction Steps"/>
      </w:tblPr>
      <w:tblGrid>
        <w:gridCol w:w="2901"/>
        <w:gridCol w:w="2327"/>
        <w:gridCol w:w="2174"/>
        <w:gridCol w:w="1778"/>
      </w:tblGrid>
      <w:tr w:rsidR="00311767" w:rsidRPr="0033798E" w:rsidTr="00E826F5">
        <w:trPr>
          <w:tblHeader/>
        </w:trPr>
        <w:tc>
          <w:tcPr>
            <w:tcW w:w="2901" w:type="dxa"/>
            <w:vAlign w:val="center"/>
          </w:tcPr>
          <w:p w:rsidR="00311767" w:rsidRPr="0033798E" w:rsidRDefault="00311767" w:rsidP="00174CC7">
            <w:pPr>
              <w:spacing w:before="100" w:after="100"/>
              <w:rPr>
                <w:rFonts w:cs="Arial"/>
                <w:sz w:val="20"/>
                <w:szCs w:val="20"/>
              </w:rPr>
            </w:pPr>
            <w:r w:rsidRPr="0033798E">
              <w:rPr>
                <w:rFonts w:cs="Arial"/>
                <w:sz w:val="20"/>
                <w:szCs w:val="20"/>
              </w:rPr>
              <w:t xml:space="preserve">Recommended starting dose* </w:t>
            </w:r>
          </w:p>
        </w:tc>
        <w:tc>
          <w:tcPr>
            <w:tcW w:w="2327" w:type="dxa"/>
            <w:vAlign w:val="center"/>
          </w:tcPr>
          <w:p w:rsidR="00311767" w:rsidRPr="0033798E" w:rsidRDefault="00311767" w:rsidP="00174CC7">
            <w:pPr>
              <w:spacing w:before="100" w:after="100"/>
              <w:rPr>
                <w:rFonts w:cs="Arial"/>
                <w:sz w:val="20"/>
                <w:szCs w:val="20"/>
              </w:rPr>
            </w:pPr>
            <w:r w:rsidRPr="0033798E">
              <w:rPr>
                <w:rFonts w:cs="Arial"/>
                <w:sz w:val="20"/>
                <w:szCs w:val="20"/>
              </w:rPr>
              <w:t>First reduction to</w:t>
            </w:r>
          </w:p>
        </w:tc>
        <w:tc>
          <w:tcPr>
            <w:tcW w:w="2174" w:type="dxa"/>
            <w:vAlign w:val="center"/>
          </w:tcPr>
          <w:p w:rsidR="00311767" w:rsidRPr="0033798E" w:rsidRDefault="00311767" w:rsidP="00174CC7">
            <w:pPr>
              <w:spacing w:before="100" w:after="100"/>
              <w:rPr>
                <w:rFonts w:cs="Arial"/>
                <w:sz w:val="20"/>
                <w:szCs w:val="20"/>
              </w:rPr>
            </w:pPr>
            <w:r w:rsidRPr="0033798E">
              <w:rPr>
                <w:rFonts w:cs="Arial"/>
                <w:sz w:val="20"/>
                <w:szCs w:val="20"/>
              </w:rPr>
              <w:t>Second reduction to</w:t>
            </w:r>
          </w:p>
        </w:tc>
        <w:tc>
          <w:tcPr>
            <w:tcW w:w="1778" w:type="dxa"/>
            <w:vMerge w:val="restart"/>
            <w:vAlign w:val="center"/>
          </w:tcPr>
          <w:p w:rsidR="00311767" w:rsidRPr="0033798E" w:rsidRDefault="00311767" w:rsidP="00174CC7">
            <w:pPr>
              <w:spacing w:before="100" w:after="100"/>
              <w:rPr>
                <w:rFonts w:cs="Arial"/>
                <w:sz w:val="20"/>
                <w:szCs w:val="20"/>
              </w:rPr>
            </w:pPr>
            <w:r w:rsidRPr="0033798E">
              <w:rPr>
                <w:rFonts w:cs="Arial"/>
                <w:sz w:val="20"/>
                <w:szCs w:val="20"/>
              </w:rPr>
              <w:t>Discontinue</w:t>
            </w:r>
          </w:p>
        </w:tc>
      </w:tr>
      <w:tr w:rsidR="00311767" w:rsidRPr="0033798E" w:rsidTr="00E826F5">
        <w:trPr>
          <w:tblHeader/>
        </w:trPr>
        <w:tc>
          <w:tcPr>
            <w:tcW w:w="2901" w:type="dxa"/>
          </w:tcPr>
          <w:p w:rsidR="00311767" w:rsidRPr="0033798E" w:rsidRDefault="00311767" w:rsidP="00174CC7">
            <w:pPr>
              <w:spacing w:before="100" w:after="100"/>
              <w:rPr>
                <w:rFonts w:cs="Arial"/>
                <w:sz w:val="20"/>
                <w:szCs w:val="20"/>
              </w:rPr>
            </w:pPr>
            <w:r w:rsidRPr="0033798E">
              <w:rPr>
                <w:rFonts w:cs="Arial"/>
                <w:sz w:val="20"/>
                <w:szCs w:val="20"/>
              </w:rPr>
              <w:t>4 mg</w:t>
            </w:r>
          </w:p>
        </w:tc>
        <w:tc>
          <w:tcPr>
            <w:tcW w:w="2327" w:type="dxa"/>
          </w:tcPr>
          <w:p w:rsidR="00311767" w:rsidRPr="0033798E" w:rsidRDefault="00311767" w:rsidP="00174CC7">
            <w:pPr>
              <w:spacing w:before="100" w:after="100"/>
              <w:rPr>
                <w:rFonts w:cs="Arial"/>
                <w:sz w:val="20"/>
                <w:szCs w:val="20"/>
              </w:rPr>
            </w:pPr>
            <w:r w:rsidRPr="0033798E">
              <w:rPr>
                <w:rFonts w:cs="Arial"/>
                <w:sz w:val="20"/>
                <w:szCs w:val="20"/>
              </w:rPr>
              <w:t>3 mg</w:t>
            </w:r>
          </w:p>
        </w:tc>
        <w:tc>
          <w:tcPr>
            <w:tcW w:w="2174" w:type="dxa"/>
          </w:tcPr>
          <w:p w:rsidR="00311767" w:rsidRPr="0033798E" w:rsidRDefault="00311767" w:rsidP="00174CC7">
            <w:pPr>
              <w:spacing w:before="100" w:after="100"/>
              <w:rPr>
                <w:rFonts w:cs="Arial"/>
                <w:sz w:val="20"/>
                <w:szCs w:val="20"/>
              </w:rPr>
            </w:pPr>
            <w:r w:rsidRPr="0033798E">
              <w:rPr>
                <w:rFonts w:cs="Arial"/>
                <w:sz w:val="20"/>
                <w:szCs w:val="20"/>
              </w:rPr>
              <w:t>2.3 mg</w:t>
            </w:r>
          </w:p>
        </w:tc>
        <w:tc>
          <w:tcPr>
            <w:tcW w:w="1778" w:type="dxa"/>
            <w:vMerge/>
          </w:tcPr>
          <w:p w:rsidR="00311767" w:rsidRPr="0033798E" w:rsidRDefault="00311767" w:rsidP="0062306D">
            <w:pPr>
              <w:rPr>
                <w:rFonts w:cs="Arial"/>
                <w:sz w:val="20"/>
                <w:szCs w:val="20"/>
              </w:rPr>
            </w:pPr>
          </w:p>
        </w:tc>
      </w:tr>
    </w:tbl>
    <w:p w:rsidR="00311767" w:rsidRPr="0033798E" w:rsidRDefault="00311767" w:rsidP="00311767">
      <w:pPr>
        <w:spacing w:after="240"/>
        <w:jc w:val="both"/>
        <w:rPr>
          <w:rFonts w:eastAsia="Times New Roman" w:cs="Arial"/>
          <w:sz w:val="18"/>
          <w:szCs w:val="18"/>
        </w:rPr>
      </w:pPr>
      <w:r w:rsidRPr="0033798E">
        <w:rPr>
          <w:rFonts w:eastAsia="Times New Roman" w:cs="Arial"/>
          <w:sz w:val="18"/>
          <w:szCs w:val="18"/>
        </w:rPr>
        <w:t xml:space="preserve">*Recommended </w:t>
      </w:r>
      <w:r w:rsidR="005C3FF7">
        <w:rPr>
          <w:rFonts w:eastAsia="Times New Roman" w:cs="Arial"/>
          <w:sz w:val="18"/>
          <w:szCs w:val="18"/>
        </w:rPr>
        <w:t xml:space="preserve">lower </w:t>
      </w:r>
      <w:r w:rsidRPr="0033798E">
        <w:rPr>
          <w:rFonts w:eastAsia="Times New Roman" w:cs="Arial"/>
          <w:sz w:val="18"/>
          <w:szCs w:val="18"/>
        </w:rPr>
        <w:t xml:space="preserve">dose of </w:t>
      </w:r>
      <w:r w:rsidR="005C3FF7">
        <w:rPr>
          <w:rFonts w:eastAsia="Times New Roman" w:cs="Arial"/>
          <w:sz w:val="18"/>
          <w:szCs w:val="18"/>
        </w:rPr>
        <w:t xml:space="preserve">one </w:t>
      </w:r>
      <w:r w:rsidRPr="0033798E">
        <w:rPr>
          <w:rFonts w:eastAsia="Times New Roman" w:cs="Arial"/>
          <w:sz w:val="18"/>
          <w:szCs w:val="18"/>
        </w:rPr>
        <w:t xml:space="preserve">3 mg </w:t>
      </w:r>
      <w:r w:rsidR="005C3FF7">
        <w:rPr>
          <w:rFonts w:eastAsia="Times New Roman" w:cs="Arial"/>
          <w:sz w:val="18"/>
          <w:szCs w:val="18"/>
        </w:rPr>
        <w:t xml:space="preserve">capsule </w:t>
      </w:r>
      <w:r w:rsidRPr="0033798E">
        <w:rPr>
          <w:rFonts w:eastAsia="Times New Roman" w:cs="Arial"/>
          <w:sz w:val="18"/>
          <w:szCs w:val="18"/>
        </w:rPr>
        <w:t>in patients with moderate or severe hepatic impairment, severe renal impairment or end-stage renal disease (ESRD) requiring dialysis.</w:t>
      </w:r>
    </w:p>
    <w:p w:rsidR="0097327E" w:rsidRDefault="00311767" w:rsidP="00FC74C6">
      <w:pPr>
        <w:rPr>
          <w:rFonts w:eastAsia="Times New Roman"/>
        </w:rPr>
      </w:pPr>
      <w:r w:rsidRPr="00311767">
        <w:rPr>
          <w:rFonts w:eastAsia="Times New Roman"/>
        </w:rPr>
        <w:t>An alternating dose modification approach is recommended for NINLARO and lenalidomide for overlapping toxicities of thrombocytopenia and rash. For these toxicities, the first dose modification step is to withhold/reduce lenalidomide. R</w:t>
      </w:r>
      <w:r w:rsidRPr="00313415">
        <w:rPr>
          <w:rFonts w:eastAsia="Times New Roman"/>
        </w:rPr>
        <w:t xml:space="preserve">efer to the lenalidomide </w:t>
      </w:r>
      <w:r w:rsidR="0076566D" w:rsidRPr="00313415">
        <w:rPr>
          <w:rFonts w:eastAsia="Times New Roman"/>
        </w:rPr>
        <w:t>Product Information</w:t>
      </w:r>
      <w:r w:rsidRPr="00313415">
        <w:rPr>
          <w:rFonts w:eastAsia="Times New Roman"/>
        </w:rPr>
        <w:t xml:space="preserve">, </w:t>
      </w:r>
      <w:r w:rsidR="005B7C64" w:rsidRPr="00313415">
        <w:rPr>
          <w:rFonts w:eastAsia="Times New Roman"/>
        </w:rPr>
        <w:t>DOSAGE AND ADMINISTRATION</w:t>
      </w:r>
      <w:r w:rsidRPr="00313415">
        <w:rPr>
          <w:rFonts w:eastAsia="Times New Roman"/>
        </w:rPr>
        <w:t xml:space="preserve"> for the dose reduction steps for these toxicities and for neutropenia.</w:t>
      </w:r>
    </w:p>
    <w:p w:rsidR="0076566D" w:rsidRPr="005315FB" w:rsidRDefault="0076566D" w:rsidP="005315FB">
      <w:pPr>
        <w:pStyle w:val="Caption"/>
        <w:keepNext/>
        <w:tabs>
          <w:tab w:val="left" w:pos="993"/>
        </w:tabs>
        <w:rPr>
          <w:rFonts w:cs="Arial"/>
          <w:bCs w:val="0"/>
          <w:sz w:val="20"/>
          <w:szCs w:val="20"/>
        </w:rPr>
      </w:pPr>
      <w:bookmarkStart w:id="12" w:name="_Ref423610532"/>
      <w:r w:rsidRPr="005315FB">
        <w:rPr>
          <w:rFonts w:cs="Arial"/>
          <w:bCs w:val="0"/>
          <w:sz w:val="20"/>
          <w:szCs w:val="20"/>
        </w:rPr>
        <w:t xml:space="preserve">Table </w:t>
      </w:r>
      <w:r w:rsidR="006F0259" w:rsidRPr="005315FB">
        <w:rPr>
          <w:rFonts w:cs="Arial"/>
          <w:bCs w:val="0"/>
          <w:sz w:val="20"/>
          <w:szCs w:val="20"/>
        </w:rPr>
        <w:fldChar w:fldCharType="begin"/>
      </w:r>
      <w:r w:rsidRPr="005315FB">
        <w:rPr>
          <w:rFonts w:cs="Arial"/>
          <w:bCs w:val="0"/>
          <w:sz w:val="20"/>
          <w:szCs w:val="20"/>
        </w:rPr>
        <w:instrText xml:space="preserve"> SEQ Table \* ARABIC </w:instrText>
      </w:r>
      <w:r w:rsidR="006F0259" w:rsidRPr="005315FB">
        <w:rPr>
          <w:rFonts w:cs="Arial"/>
          <w:bCs w:val="0"/>
          <w:sz w:val="20"/>
          <w:szCs w:val="20"/>
        </w:rPr>
        <w:fldChar w:fldCharType="separate"/>
      </w:r>
      <w:r w:rsidR="00AD0267">
        <w:rPr>
          <w:rFonts w:cs="Arial"/>
          <w:bCs w:val="0"/>
          <w:noProof/>
          <w:sz w:val="20"/>
          <w:szCs w:val="20"/>
        </w:rPr>
        <w:t>7</w:t>
      </w:r>
      <w:r w:rsidR="006F0259" w:rsidRPr="005315FB">
        <w:rPr>
          <w:rFonts w:cs="Arial"/>
          <w:bCs w:val="0"/>
          <w:sz w:val="20"/>
          <w:szCs w:val="20"/>
        </w:rPr>
        <w:fldChar w:fldCharType="end"/>
      </w:r>
      <w:bookmarkEnd w:id="12"/>
      <w:r w:rsidR="005315FB">
        <w:rPr>
          <w:rFonts w:cs="Arial"/>
          <w:bCs w:val="0"/>
          <w:sz w:val="20"/>
          <w:szCs w:val="20"/>
        </w:rPr>
        <w:tab/>
      </w:r>
      <w:r w:rsidRPr="005315FB">
        <w:rPr>
          <w:rFonts w:cs="Arial"/>
          <w:bCs w:val="0"/>
          <w:sz w:val="20"/>
          <w:szCs w:val="20"/>
        </w:rPr>
        <w:t xml:space="preserve">Dose Modifications Guidelines for NINLARO in Combination with Lenalidomide and </w:t>
      </w:r>
      <w:r w:rsidR="005315FB">
        <w:rPr>
          <w:rFonts w:cs="Arial"/>
          <w:bCs w:val="0"/>
          <w:sz w:val="20"/>
          <w:szCs w:val="20"/>
        </w:rPr>
        <w:tab/>
      </w:r>
      <w:r w:rsidRPr="005315FB">
        <w:rPr>
          <w:rFonts w:cs="Arial"/>
          <w:bCs w:val="0"/>
          <w:sz w:val="20"/>
          <w:szCs w:val="20"/>
        </w:rPr>
        <w:t>Dexamethasone</w:t>
      </w:r>
    </w:p>
    <w:tbl>
      <w:tblPr>
        <w:tblW w:w="922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Dose Modifications Guidelines for NINLARO in Combination with Lenalidomide and  Dexamethasone"/>
      </w:tblPr>
      <w:tblGrid>
        <w:gridCol w:w="3376"/>
        <w:gridCol w:w="5850"/>
      </w:tblGrid>
      <w:tr w:rsidR="00311767" w:rsidRPr="002666B2" w:rsidTr="00FC74C6">
        <w:trPr>
          <w:trHeight w:val="314"/>
          <w:tblHeader/>
        </w:trPr>
        <w:tc>
          <w:tcPr>
            <w:tcW w:w="3376" w:type="dxa"/>
            <w:vAlign w:val="center"/>
          </w:tcPr>
          <w:p w:rsidR="00311767" w:rsidRPr="002666B2" w:rsidRDefault="00311767" w:rsidP="00C67E3B">
            <w:pPr>
              <w:keepNext/>
              <w:tabs>
                <w:tab w:val="left" w:pos="1580"/>
              </w:tabs>
              <w:spacing w:after="0"/>
              <w:ind w:right="-23"/>
              <w:rPr>
                <w:rFonts w:cs="Arial"/>
                <w:b/>
                <w:sz w:val="20"/>
                <w:szCs w:val="20"/>
              </w:rPr>
            </w:pPr>
            <w:r w:rsidRPr="002666B2">
              <w:rPr>
                <w:rFonts w:cs="Arial"/>
                <w:b/>
                <w:sz w:val="20"/>
                <w:szCs w:val="20"/>
              </w:rPr>
              <w:t>Haematological Toxicities</w:t>
            </w:r>
          </w:p>
        </w:tc>
        <w:tc>
          <w:tcPr>
            <w:tcW w:w="5850" w:type="dxa"/>
            <w:vAlign w:val="center"/>
          </w:tcPr>
          <w:p w:rsidR="00311767" w:rsidRPr="002666B2" w:rsidRDefault="00311767" w:rsidP="00C67E3B">
            <w:pPr>
              <w:keepNext/>
              <w:tabs>
                <w:tab w:val="left" w:pos="1580"/>
              </w:tabs>
              <w:spacing w:after="0"/>
              <w:ind w:right="-23"/>
              <w:rPr>
                <w:rFonts w:cs="Arial"/>
                <w:b/>
                <w:sz w:val="20"/>
                <w:szCs w:val="20"/>
              </w:rPr>
            </w:pPr>
            <w:r w:rsidRPr="002666B2">
              <w:rPr>
                <w:rFonts w:cs="Arial"/>
                <w:b/>
                <w:sz w:val="20"/>
                <w:szCs w:val="20"/>
              </w:rPr>
              <w:t>Recommended Actions</w:t>
            </w:r>
          </w:p>
        </w:tc>
      </w:tr>
      <w:tr w:rsidR="00311767" w:rsidRPr="002666B2" w:rsidTr="0062306D">
        <w:trPr>
          <w:trHeight w:val="316"/>
        </w:trPr>
        <w:tc>
          <w:tcPr>
            <w:tcW w:w="9226" w:type="dxa"/>
            <w:gridSpan w:val="2"/>
          </w:tcPr>
          <w:p w:rsidR="00311767" w:rsidRPr="002666B2" w:rsidRDefault="00311767" w:rsidP="00C67E3B">
            <w:pPr>
              <w:keepNext/>
              <w:tabs>
                <w:tab w:val="left" w:pos="1580"/>
              </w:tabs>
              <w:spacing w:after="0"/>
              <w:ind w:right="-23"/>
              <w:rPr>
                <w:rFonts w:cs="Arial"/>
                <w:b/>
                <w:sz w:val="20"/>
                <w:szCs w:val="20"/>
              </w:rPr>
            </w:pPr>
            <w:r w:rsidRPr="002666B2">
              <w:rPr>
                <w:rFonts w:cs="Arial"/>
                <w:b/>
                <w:sz w:val="20"/>
                <w:szCs w:val="20"/>
              </w:rPr>
              <w:t>Thrombocytopenia (Platelet Count)</w:t>
            </w:r>
          </w:p>
        </w:tc>
      </w:tr>
      <w:tr w:rsidR="00311767" w:rsidRPr="0076566D" w:rsidTr="0062306D">
        <w:trPr>
          <w:trHeight w:val="639"/>
        </w:trPr>
        <w:tc>
          <w:tcPr>
            <w:tcW w:w="3376" w:type="dxa"/>
          </w:tcPr>
          <w:p w:rsidR="00311767" w:rsidRPr="0076566D" w:rsidRDefault="00311767" w:rsidP="00B16749">
            <w:pPr>
              <w:tabs>
                <w:tab w:val="left" w:pos="1580"/>
              </w:tabs>
              <w:spacing w:after="0"/>
              <w:ind w:right="-23"/>
              <w:rPr>
                <w:rFonts w:cs="Arial"/>
                <w:sz w:val="20"/>
                <w:szCs w:val="20"/>
              </w:rPr>
            </w:pPr>
            <w:r w:rsidRPr="0076566D">
              <w:rPr>
                <w:rFonts w:cs="Arial"/>
                <w:sz w:val="20"/>
                <w:szCs w:val="20"/>
              </w:rPr>
              <w:t xml:space="preserve">Platelet count </w:t>
            </w:r>
            <w:r w:rsidRPr="00FA5933">
              <w:rPr>
                <w:rFonts w:cs="Arial"/>
                <w:sz w:val="20"/>
                <w:szCs w:val="20"/>
              </w:rPr>
              <w:t>&lt; 30</w:t>
            </w:r>
            <w:r w:rsidR="00B16749" w:rsidRPr="00FA5933">
              <w:rPr>
                <w:rFonts w:cs="Arial"/>
                <w:sz w:val="20"/>
                <w:szCs w:val="20"/>
              </w:rPr>
              <w:t>x10</w:t>
            </w:r>
            <w:r w:rsidR="00B16749" w:rsidRPr="00FA5933">
              <w:rPr>
                <w:rFonts w:cs="Arial"/>
                <w:sz w:val="20"/>
                <w:szCs w:val="20"/>
                <w:vertAlign w:val="superscript"/>
              </w:rPr>
              <w:t>9</w:t>
            </w:r>
            <w:r w:rsidRPr="00FA5933">
              <w:rPr>
                <w:rFonts w:cs="Arial"/>
                <w:sz w:val="20"/>
                <w:szCs w:val="20"/>
              </w:rPr>
              <w:t>/</w:t>
            </w:r>
            <w:r w:rsidR="00B16749" w:rsidRPr="00FA5933">
              <w:rPr>
                <w:rFonts w:cs="Arial"/>
                <w:sz w:val="20"/>
                <w:szCs w:val="20"/>
              </w:rPr>
              <w:t>L</w:t>
            </w:r>
          </w:p>
        </w:tc>
        <w:tc>
          <w:tcPr>
            <w:tcW w:w="5850" w:type="dxa"/>
          </w:tcPr>
          <w:p w:rsidR="00311767" w:rsidRPr="00313415"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Withhold NINLARO and lenalidomide until platelet count </w:t>
            </w:r>
            <w:r w:rsidRPr="00B16749">
              <w:rPr>
                <w:rFonts w:eastAsia="Times New Roman" w:cs="Arial"/>
                <w:sz w:val="20"/>
                <w:szCs w:val="20"/>
                <w:lang w:val="en-GB"/>
              </w:rPr>
              <w:t>≥</w:t>
            </w:r>
            <w:r w:rsidR="00B16749" w:rsidRPr="00FA5933">
              <w:rPr>
                <w:rFonts w:eastAsia="Times New Roman" w:cs="Arial"/>
                <w:sz w:val="20"/>
                <w:szCs w:val="20"/>
                <w:lang w:val="en-GB"/>
              </w:rPr>
              <w:t> </w:t>
            </w:r>
            <w:r w:rsidRPr="00B16749">
              <w:rPr>
                <w:rFonts w:eastAsia="Times New Roman" w:cs="Arial"/>
                <w:sz w:val="20"/>
                <w:szCs w:val="20"/>
                <w:lang w:val="en-GB"/>
              </w:rPr>
              <w:t>30</w:t>
            </w:r>
            <w:r w:rsidR="00B16749" w:rsidRPr="00B16749">
              <w:rPr>
                <w:rFonts w:cs="Arial"/>
                <w:sz w:val="20"/>
                <w:szCs w:val="20"/>
              </w:rPr>
              <w:t>x10</w:t>
            </w:r>
            <w:r w:rsidR="00B16749" w:rsidRPr="00B16749">
              <w:rPr>
                <w:rFonts w:cs="Arial"/>
                <w:sz w:val="20"/>
                <w:szCs w:val="20"/>
                <w:vertAlign w:val="superscript"/>
              </w:rPr>
              <w:t>9</w:t>
            </w:r>
            <w:r w:rsidRPr="00B16749">
              <w:rPr>
                <w:rFonts w:eastAsia="Times New Roman" w:cs="Arial"/>
                <w:sz w:val="20"/>
                <w:szCs w:val="20"/>
                <w:lang w:val="en-GB"/>
              </w:rPr>
              <w:t>/</w:t>
            </w:r>
            <w:r w:rsidR="00B16749" w:rsidRPr="00B16749">
              <w:rPr>
                <w:rFonts w:eastAsia="Times New Roman" w:cs="Arial"/>
                <w:sz w:val="20"/>
                <w:szCs w:val="20"/>
                <w:lang w:val="en-GB"/>
              </w:rPr>
              <w:t>L</w:t>
            </w:r>
            <w:r w:rsidRPr="00B16749">
              <w:rPr>
                <w:rFonts w:eastAsia="Times New Roman" w:cs="Arial"/>
                <w:sz w:val="20"/>
                <w:szCs w:val="20"/>
                <w:lang w:val="en-GB"/>
              </w:rPr>
              <w:t>.</w:t>
            </w:r>
          </w:p>
          <w:p w:rsidR="003A3EFF"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Following recovery, resume lenalidomide at the next lower dose according to its </w:t>
            </w:r>
            <w:r w:rsidR="00632C4A" w:rsidRPr="00313415">
              <w:rPr>
                <w:rFonts w:eastAsia="Times New Roman" w:cs="Arial"/>
              </w:rPr>
              <w:t>Product Information</w:t>
            </w:r>
            <w:r w:rsidR="00632C4A" w:rsidRPr="00313415">
              <w:rPr>
                <w:rFonts w:eastAsia="Times New Roman" w:cs="Arial"/>
                <w:sz w:val="20"/>
                <w:szCs w:val="20"/>
                <w:lang w:val="en-GB"/>
              </w:rPr>
              <w:t xml:space="preserve"> </w:t>
            </w:r>
            <w:r w:rsidRPr="00313415">
              <w:rPr>
                <w:rFonts w:eastAsia="Times New Roman" w:cs="Arial"/>
                <w:sz w:val="20"/>
                <w:szCs w:val="20"/>
                <w:lang w:val="en-GB"/>
              </w:rPr>
              <w:t>and resume NINLARO at its most recent dose.</w:t>
            </w:r>
          </w:p>
          <w:p w:rsidR="00311767" w:rsidRPr="00313415" w:rsidRDefault="00311767" w:rsidP="00FA5933">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If platelet count falls to </w:t>
            </w:r>
            <w:r w:rsidRPr="00B16749">
              <w:rPr>
                <w:rFonts w:eastAsia="Times New Roman" w:cs="Arial"/>
                <w:sz w:val="20"/>
                <w:szCs w:val="20"/>
                <w:lang w:val="en-GB"/>
              </w:rPr>
              <w:t>&lt; </w:t>
            </w:r>
            <w:r w:rsidR="00B16749" w:rsidRPr="00B16749">
              <w:rPr>
                <w:rFonts w:eastAsia="Times New Roman" w:cs="Arial"/>
                <w:sz w:val="20"/>
                <w:szCs w:val="20"/>
                <w:lang w:val="en-GB"/>
              </w:rPr>
              <w:t>30x10</w:t>
            </w:r>
            <w:r w:rsidR="00B16749" w:rsidRPr="00FA5933">
              <w:rPr>
                <w:rFonts w:eastAsia="Times New Roman" w:cs="Arial"/>
                <w:sz w:val="20"/>
                <w:szCs w:val="20"/>
                <w:vertAlign w:val="superscript"/>
                <w:lang w:val="en-GB"/>
              </w:rPr>
              <w:t>9</w:t>
            </w:r>
            <w:r w:rsidR="00B16749" w:rsidRPr="00B16749">
              <w:rPr>
                <w:rFonts w:eastAsia="Times New Roman" w:cs="Arial"/>
                <w:sz w:val="20"/>
                <w:szCs w:val="20"/>
                <w:lang w:val="en-GB"/>
              </w:rPr>
              <w:t>/L</w:t>
            </w:r>
            <w:r w:rsidRPr="00313415">
              <w:rPr>
                <w:rFonts w:eastAsia="Times New Roman" w:cs="Arial"/>
                <w:sz w:val="20"/>
                <w:szCs w:val="20"/>
                <w:lang w:val="en-GB"/>
              </w:rPr>
              <w:t xml:space="preserve"> again, withhold NINLARO and lenalidomide until platelet count </w:t>
            </w:r>
            <w:r w:rsidRPr="00B16749">
              <w:rPr>
                <w:rFonts w:eastAsia="Times New Roman" w:cs="Arial"/>
                <w:sz w:val="20"/>
                <w:szCs w:val="20"/>
                <w:lang w:val="en-GB"/>
              </w:rPr>
              <w:t>≥ </w:t>
            </w:r>
            <w:r w:rsidR="00B16749" w:rsidRPr="00B16749">
              <w:rPr>
                <w:rFonts w:eastAsia="Times New Roman" w:cs="Arial"/>
                <w:sz w:val="20"/>
                <w:szCs w:val="20"/>
                <w:lang w:val="en-GB"/>
              </w:rPr>
              <w:t>30</w:t>
            </w:r>
            <w:r w:rsidR="00B16749" w:rsidRPr="00FA5933">
              <w:rPr>
                <w:rFonts w:eastAsia="Times New Roman" w:cs="Arial"/>
                <w:sz w:val="20"/>
                <w:szCs w:val="20"/>
                <w:lang w:val="en-GB"/>
              </w:rPr>
              <w:t>x10</w:t>
            </w:r>
            <w:r w:rsidR="00B16749" w:rsidRPr="00FA5933">
              <w:rPr>
                <w:rFonts w:eastAsia="Times New Roman" w:cs="Arial"/>
                <w:sz w:val="20"/>
                <w:szCs w:val="20"/>
                <w:vertAlign w:val="superscript"/>
                <w:lang w:val="en-GB"/>
              </w:rPr>
              <w:t>9</w:t>
            </w:r>
            <w:r w:rsidR="00B16749" w:rsidRPr="00B16749">
              <w:rPr>
                <w:rFonts w:eastAsia="Times New Roman" w:cs="Arial"/>
                <w:sz w:val="20"/>
                <w:szCs w:val="20"/>
                <w:lang w:val="en-GB"/>
              </w:rPr>
              <w:t>/L</w:t>
            </w:r>
            <w:r w:rsidRPr="00313415">
              <w:rPr>
                <w:rFonts w:eastAsia="Times New Roman" w:cs="Arial"/>
                <w:sz w:val="20"/>
                <w:szCs w:val="20"/>
                <w:lang w:val="en-GB"/>
              </w:rPr>
              <w:t>.</w:t>
            </w:r>
          </w:p>
          <w:p w:rsidR="00311767" w:rsidRPr="00313415"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Following recovery, resume NINLARO at the next lower dose and resume lenalidomide at its most recent dose.*</w:t>
            </w:r>
          </w:p>
        </w:tc>
      </w:tr>
      <w:tr w:rsidR="00207D24" w:rsidRPr="002666B2" w:rsidTr="00BF5E24">
        <w:trPr>
          <w:trHeight w:val="316"/>
        </w:trPr>
        <w:tc>
          <w:tcPr>
            <w:tcW w:w="9226" w:type="dxa"/>
            <w:gridSpan w:val="2"/>
          </w:tcPr>
          <w:p w:rsidR="00207D24" w:rsidRPr="002666B2" w:rsidRDefault="00207D24" w:rsidP="00BF5E24">
            <w:pPr>
              <w:keepNext/>
              <w:tabs>
                <w:tab w:val="left" w:pos="1580"/>
              </w:tabs>
              <w:spacing w:after="0"/>
              <w:ind w:right="-23"/>
              <w:rPr>
                <w:rFonts w:cs="Arial"/>
                <w:b/>
                <w:sz w:val="20"/>
                <w:szCs w:val="20"/>
              </w:rPr>
            </w:pPr>
            <w:r w:rsidRPr="00207D24">
              <w:rPr>
                <w:rFonts w:cs="Arial"/>
                <w:b/>
                <w:sz w:val="20"/>
                <w:szCs w:val="20"/>
              </w:rPr>
              <w:t>Neutropenia (Absolute Neutrophil Count)</w:t>
            </w:r>
          </w:p>
        </w:tc>
      </w:tr>
      <w:tr w:rsidR="00207D24" w:rsidRPr="0076566D" w:rsidTr="0062306D">
        <w:trPr>
          <w:trHeight w:val="639"/>
        </w:trPr>
        <w:tc>
          <w:tcPr>
            <w:tcW w:w="3376" w:type="dxa"/>
          </w:tcPr>
          <w:p w:rsidR="00207D24" w:rsidRPr="00207D24" w:rsidRDefault="00207D24" w:rsidP="00207D24">
            <w:pPr>
              <w:tabs>
                <w:tab w:val="left" w:pos="1580"/>
              </w:tabs>
              <w:spacing w:after="0"/>
              <w:ind w:right="-23"/>
              <w:rPr>
                <w:rFonts w:cs="Arial"/>
                <w:sz w:val="20"/>
                <w:szCs w:val="20"/>
              </w:rPr>
            </w:pPr>
            <w:r w:rsidRPr="00207D24">
              <w:rPr>
                <w:rFonts w:cs="Arial"/>
                <w:sz w:val="20"/>
                <w:szCs w:val="20"/>
              </w:rPr>
              <w:t xml:space="preserve">Absolute neutrophil count less than </w:t>
            </w:r>
            <w:r>
              <w:rPr>
                <w:rFonts w:cs="Arial"/>
                <w:sz w:val="20"/>
                <w:szCs w:val="20"/>
              </w:rPr>
              <w:t>0.</w:t>
            </w:r>
            <w:r w:rsidRPr="00207D24">
              <w:rPr>
                <w:rFonts w:cs="Arial"/>
                <w:sz w:val="20"/>
                <w:szCs w:val="20"/>
              </w:rPr>
              <w:t>5</w:t>
            </w:r>
            <w:r>
              <w:rPr>
                <w:rFonts w:cs="Arial"/>
                <w:sz w:val="20"/>
                <w:szCs w:val="20"/>
              </w:rPr>
              <w:t>x</w:t>
            </w:r>
            <w:r w:rsidRPr="00207D24">
              <w:rPr>
                <w:rFonts w:cs="Arial"/>
                <w:sz w:val="20"/>
                <w:szCs w:val="20"/>
              </w:rPr>
              <w:t>10</w:t>
            </w:r>
            <w:r w:rsidRPr="00207D24">
              <w:rPr>
                <w:rFonts w:cs="Arial"/>
                <w:sz w:val="20"/>
                <w:szCs w:val="20"/>
                <w:vertAlign w:val="superscript"/>
              </w:rPr>
              <w:t>9</w:t>
            </w:r>
            <w:r>
              <w:rPr>
                <w:rFonts w:cs="Arial"/>
                <w:sz w:val="20"/>
                <w:szCs w:val="20"/>
              </w:rPr>
              <w:t>/L</w:t>
            </w:r>
          </w:p>
        </w:tc>
        <w:tc>
          <w:tcPr>
            <w:tcW w:w="5850" w:type="dxa"/>
          </w:tcPr>
          <w:p w:rsidR="003A3EFF" w:rsidRDefault="00207D24" w:rsidP="00207D24">
            <w:pPr>
              <w:pStyle w:val="ListParagraph"/>
              <w:widowControl w:val="0"/>
              <w:numPr>
                <w:ilvl w:val="0"/>
                <w:numId w:val="6"/>
              </w:numPr>
              <w:spacing w:after="0"/>
              <w:ind w:left="222" w:right="-23" w:hanging="180"/>
              <w:rPr>
                <w:rFonts w:eastAsia="Times New Roman" w:cs="Arial"/>
                <w:sz w:val="20"/>
                <w:szCs w:val="20"/>
                <w:lang w:val="en-GB"/>
              </w:rPr>
            </w:pPr>
            <w:r w:rsidRPr="00207D24">
              <w:rPr>
                <w:rFonts w:eastAsia="Times New Roman" w:cs="Arial"/>
                <w:sz w:val="20"/>
                <w:szCs w:val="20"/>
                <w:lang w:val="en-GB"/>
              </w:rPr>
              <w:t xml:space="preserve">Withhold NINLARO and lenalidomide until absolute neutrophil count </w:t>
            </w:r>
            <w:r w:rsidR="003A34F7" w:rsidRPr="00B16749">
              <w:rPr>
                <w:rFonts w:eastAsia="Times New Roman" w:cs="Arial"/>
                <w:sz w:val="20"/>
                <w:szCs w:val="20"/>
                <w:lang w:val="en-GB"/>
              </w:rPr>
              <w:t>≥</w:t>
            </w:r>
            <w:r w:rsidRPr="00207D24">
              <w:rPr>
                <w:rFonts w:eastAsia="Times New Roman" w:cs="Arial"/>
                <w:sz w:val="20"/>
                <w:szCs w:val="20"/>
                <w:lang w:val="en-GB"/>
              </w:rPr>
              <w:t xml:space="preserve"> </w:t>
            </w:r>
            <w:r>
              <w:rPr>
                <w:rFonts w:cs="Arial"/>
                <w:sz w:val="20"/>
                <w:szCs w:val="20"/>
              </w:rPr>
              <w:t>0.</w:t>
            </w:r>
            <w:r w:rsidRPr="00207D24">
              <w:rPr>
                <w:rFonts w:cs="Arial"/>
                <w:sz w:val="20"/>
                <w:szCs w:val="20"/>
              </w:rPr>
              <w:t>5</w:t>
            </w:r>
            <w:r>
              <w:rPr>
                <w:rFonts w:cs="Arial"/>
                <w:sz w:val="20"/>
                <w:szCs w:val="20"/>
              </w:rPr>
              <w:t>x</w:t>
            </w:r>
            <w:r w:rsidRPr="00207D24">
              <w:rPr>
                <w:rFonts w:cs="Arial"/>
                <w:sz w:val="20"/>
                <w:szCs w:val="20"/>
              </w:rPr>
              <w:t>10</w:t>
            </w:r>
            <w:r w:rsidRPr="00207D24">
              <w:rPr>
                <w:rFonts w:cs="Arial"/>
                <w:sz w:val="20"/>
                <w:szCs w:val="20"/>
                <w:vertAlign w:val="superscript"/>
              </w:rPr>
              <w:t>9</w:t>
            </w:r>
            <w:r>
              <w:rPr>
                <w:rFonts w:cs="Arial"/>
                <w:sz w:val="20"/>
                <w:szCs w:val="20"/>
              </w:rPr>
              <w:t>/L</w:t>
            </w:r>
            <w:r w:rsidRPr="00207D24">
              <w:rPr>
                <w:rFonts w:eastAsia="Times New Roman" w:cs="Arial"/>
                <w:sz w:val="20"/>
                <w:szCs w:val="20"/>
                <w:lang w:val="en-GB"/>
              </w:rPr>
              <w:t>. Consider adding G</w:t>
            </w:r>
            <w:r w:rsidR="0055500E">
              <w:rPr>
                <w:rFonts w:eastAsia="Times New Roman" w:cs="Arial"/>
                <w:sz w:val="20"/>
                <w:szCs w:val="20"/>
                <w:lang w:val="en-GB"/>
              </w:rPr>
              <w:noBreakHyphen/>
            </w:r>
            <w:r w:rsidRPr="00207D24">
              <w:rPr>
                <w:rFonts w:eastAsia="Times New Roman" w:cs="Arial"/>
                <w:sz w:val="20"/>
                <w:szCs w:val="20"/>
                <w:lang w:val="en-GB"/>
              </w:rPr>
              <w:t>CSF as per clinical guidelines.</w:t>
            </w:r>
          </w:p>
          <w:p w:rsidR="003A3EFF" w:rsidRDefault="00207D24" w:rsidP="00207D24">
            <w:pPr>
              <w:pStyle w:val="ListParagraph"/>
              <w:widowControl w:val="0"/>
              <w:numPr>
                <w:ilvl w:val="0"/>
                <w:numId w:val="6"/>
              </w:numPr>
              <w:spacing w:after="0"/>
              <w:ind w:left="222" w:right="-23" w:hanging="180"/>
              <w:rPr>
                <w:rFonts w:eastAsia="Times New Roman" w:cs="Arial"/>
                <w:sz w:val="20"/>
                <w:szCs w:val="20"/>
                <w:lang w:val="en-GB"/>
              </w:rPr>
            </w:pPr>
            <w:r w:rsidRPr="00207D24">
              <w:rPr>
                <w:rFonts w:eastAsia="Times New Roman" w:cs="Arial"/>
                <w:sz w:val="20"/>
                <w:szCs w:val="20"/>
                <w:lang w:val="en-GB"/>
              </w:rPr>
              <w:t xml:space="preserve">Following recovery, resume </w:t>
            </w:r>
            <w:proofErr w:type="spellStart"/>
            <w:r w:rsidRPr="00207D24">
              <w:rPr>
                <w:rFonts w:eastAsia="Times New Roman" w:cs="Arial"/>
                <w:sz w:val="20"/>
                <w:szCs w:val="20"/>
                <w:lang w:val="en-GB"/>
              </w:rPr>
              <w:t>lenalidomide</w:t>
            </w:r>
            <w:proofErr w:type="spellEnd"/>
            <w:r w:rsidRPr="00207D24">
              <w:rPr>
                <w:rFonts w:eastAsia="Times New Roman" w:cs="Arial"/>
                <w:sz w:val="20"/>
                <w:szCs w:val="20"/>
                <w:lang w:val="en-GB"/>
              </w:rPr>
              <w:t xml:space="preserve"> at the next lower dose according to its prescribing information and resume NINLARO at its most recent dose.</w:t>
            </w:r>
          </w:p>
          <w:p w:rsidR="003A3EFF" w:rsidRDefault="00207D24" w:rsidP="00207D24">
            <w:pPr>
              <w:pStyle w:val="ListParagraph"/>
              <w:widowControl w:val="0"/>
              <w:numPr>
                <w:ilvl w:val="0"/>
                <w:numId w:val="6"/>
              </w:numPr>
              <w:spacing w:after="0"/>
              <w:ind w:left="222" w:right="-23" w:hanging="180"/>
              <w:rPr>
                <w:rFonts w:eastAsia="Times New Roman" w:cs="Arial"/>
                <w:sz w:val="20"/>
                <w:szCs w:val="20"/>
                <w:lang w:val="en-GB"/>
              </w:rPr>
            </w:pPr>
            <w:r w:rsidRPr="00207D24">
              <w:rPr>
                <w:rFonts w:eastAsia="Times New Roman" w:cs="Arial"/>
                <w:sz w:val="20"/>
                <w:szCs w:val="20"/>
                <w:lang w:val="en-GB"/>
              </w:rPr>
              <w:t xml:space="preserve">If absolute neutrophil count falls to </w:t>
            </w:r>
            <w:r w:rsidR="003A34F7">
              <w:rPr>
                <w:rFonts w:eastAsia="Times New Roman" w:cs="Arial"/>
                <w:sz w:val="20"/>
                <w:szCs w:val="20"/>
                <w:lang w:val="en-GB"/>
              </w:rPr>
              <w:t>&lt;</w:t>
            </w:r>
            <w:r w:rsidRPr="00207D24">
              <w:rPr>
                <w:rFonts w:eastAsia="Times New Roman" w:cs="Arial"/>
                <w:sz w:val="20"/>
                <w:szCs w:val="20"/>
                <w:lang w:val="en-GB"/>
              </w:rPr>
              <w:t xml:space="preserve"> </w:t>
            </w:r>
            <w:r>
              <w:rPr>
                <w:rFonts w:cs="Arial"/>
                <w:sz w:val="20"/>
                <w:szCs w:val="20"/>
              </w:rPr>
              <w:t>0.</w:t>
            </w:r>
            <w:r w:rsidRPr="00207D24">
              <w:rPr>
                <w:rFonts w:cs="Arial"/>
                <w:sz w:val="20"/>
                <w:szCs w:val="20"/>
              </w:rPr>
              <w:t>5</w:t>
            </w:r>
            <w:r>
              <w:rPr>
                <w:rFonts w:cs="Arial"/>
                <w:sz w:val="20"/>
                <w:szCs w:val="20"/>
              </w:rPr>
              <w:t>x</w:t>
            </w:r>
            <w:r w:rsidRPr="00207D24">
              <w:rPr>
                <w:rFonts w:cs="Arial"/>
                <w:sz w:val="20"/>
                <w:szCs w:val="20"/>
              </w:rPr>
              <w:t>10</w:t>
            </w:r>
            <w:r w:rsidRPr="00207D24">
              <w:rPr>
                <w:rFonts w:cs="Arial"/>
                <w:sz w:val="20"/>
                <w:szCs w:val="20"/>
                <w:vertAlign w:val="superscript"/>
              </w:rPr>
              <w:t>9</w:t>
            </w:r>
            <w:r>
              <w:rPr>
                <w:rFonts w:cs="Arial"/>
                <w:sz w:val="20"/>
                <w:szCs w:val="20"/>
              </w:rPr>
              <w:t>/L</w:t>
            </w:r>
            <w:r w:rsidRPr="00207D24">
              <w:rPr>
                <w:rFonts w:eastAsia="Times New Roman" w:cs="Arial"/>
                <w:sz w:val="20"/>
                <w:szCs w:val="20"/>
                <w:lang w:val="en-GB"/>
              </w:rPr>
              <w:t xml:space="preserve"> again, withhold NINLARO and lenalidomide until absolute neutrophil count </w:t>
            </w:r>
            <w:r w:rsidR="003A34F7" w:rsidRPr="00B16749">
              <w:rPr>
                <w:rFonts w:eastAsia="Times New Roman" w:cs="Arial"/>
                <w:sz w:val="20"/>
                <w:szCs w:val="20"/>
                <w:lang w:val="en-GB"/>
              </w:rPr>
              <w:t>≥</w:t>
            </w:r>
            <w:r w:rsidRPr="00207D24">
              <w:rPr>
                <w:rFonts w:eastAsia="Times New Roman" w:cs="Arial"/>
                <w:sz w:val="20"/>
                <w:szCs w:val="20"/>
                <w:lang w:val="en-GB"/>
              </w:rPr>
              <w:t xml:space="preserve"> </w:t>
            </w:r>
            <w:r>
              <w:rPr>
                <w:rFonts w:cs="Arial"/>
                <w:sz w:val="20"/>
                <w:szCs w:val="20"/>
              </w:rPr>
              <w:t>0.</w:t>
            </w:r>
            <w:r w:rsidRPr="00207D24">
              <w:rPr>
                <w:rFonts w:cs="Arial"/>
                <w:sz w:val="20"/>
                <w:szCs w:val="20"/>
              </w:rPr>
              <w:t>5</w:t>
            </w:r>
            <w:r>
              <w:rPr>
                <w:rFonts w:cs="Arial"/>
                <w:sz w:val="20"/>
                <w:szCs w:val="20"/>
              </w:rPr>
              <w:t>x</w:t>
            </w:r>
            <w:r w:rsidRPr="00207D24">
              <w:rPr>
                <w:rFonts w:cs="Arial"/>
                <w:sz w:val="20"/>
                <w:szCs w:val="20"/>
              </w:rPr>
              <w:t>10</w:t>
            </w:r>
            <w:r w:rsidRPr="00207D24">
              <w:rPr>
                <w:rFonts w:cs="Arial"/>
                <w:sz w:val="20"/>
                <w:szCs w:val="20"/>
                <w:vertAlign w:val="superscript"/>
              </w:rPr>
              <w:t>9</w:t>
            </w:r>
            <w:r>
              <w:rPr>
                <w:rFonts w:cs="Arial"/>
                <w:sz w:val="20"/>
                <w:szCs w:val="20"/>
              </w:rPr>
              <w:t>/L</w:t>
            </w:r>
            <w:r w:rsidRPr="00207D24">
              <w:rPr>
                <w:rFonts w:eastAsia="Times New Roman" w:cs="Arial"/>
                <w:sz w:val="20"/>
                <w:szCs w:val="20"/>
                <w:lang w:val="en-GB"/>
              </w:rPr>
              <w:t>.</w:t>
            </w:r>
          </w:p>
          <w:p w:rsidR="00207D24" w:rsidRPr="00313415" w:rsidRDefault="00207D24" w:rsidP="00207D24">
            <w:pPr>
              <w:pStyle w:val="ListParagraph"/>
              <w:widowControl w:val="0"/>
              <w:numPr>
                <w:ilvl w:val="0"/>
                <w:numId w:val="6"/>
              </w:numPr>
              <w:spacing w:after="0"/>
              <w:ind w:left="222" w:right="-23" w:hanging="180"/>
              <w:rPr>
                <w:rFonts w:eastAsia="Times New Roman" w:cs="Arial"/>
                <w:sz w:val="20"/>
                <w:szCs w:val="20"/>
                <w:lang w:val="en-GB"/>
              </w:rPr>
            </w:pPr>
            <w:r w:rsidRPr="00207D24">
              <w:rPr>
                <w:rFonts w:eastAsia="Times New Roman" w:cs="Arial"/>
                <w:sz w:val="20"/>
                <w:szCs w:val="20"/>
                <w:lang w:val="en-GB"/>
              </w:rPr>
              <w:t>Following recovery, resume NINLARO at the next lower dose and resume lenalidomide at its most recent dose.*</w:t>
            </w:r>
          </w:p>
        </w:tc>
      </w:tr>
      <w:tr w:rsidR="00311767" w:rsidRPr="002666B2" w:rsidTr="0062306D">
        <w:trPr>
          <w:trHeight w:val="314"/>
        </w:trPr>
        <w:tc>
          <w:tcPr>
            <w:tcW w:w="3376" w:type="dxa"/>
          </w:tcPr>
          <w:p w:rsidR="00311767" w:rsidRPr="002666B2" w:rsidRDefault="00311767" w:rsidP="00C67E3B">
            <w:pPr>
              <w:keepNext/>
              <w:tabs>
                <w:tab w:val="left" w:pos="1580"/>
              </w:tabs>
              <w:spacing w:after="0"/>
              <w:ind w:right="-23"/>
              <w:rPr>
                <w:rFonts w:cs="Arial"/>
                <w:b/>
                <w:sz w:val="20"/>
                <w:szCs w:val="20"/>
              </w:rPr>
            </w:pPr>
            <w:r w:rsidRPr="002666B2">
              <w:rPr>
                <w:rFonts w:cs="Arial"/>
                <w:b/>
                <w:sz w:val="20"/>
                <w:szCs w:val="20"/>
              </w:rPr>
              <w:t>Non-Haematological Toxicities</w:t>
            </w:r>
          </w:p>
        </w:tc>
        <w:tc>
          <w:tcPr>
            <w:tcW w:w="5850" w:type="dxa"/>
          </w:tcPr>
          <w:p w:rsidR="00311767" w:rsidRPr="00313415" w:rsidRDefault="00311767" w:rsidP="00C67E3B">
            <w:pPr>
              <w:keepNext/>
              <w:tabs>
                <w:tab w:val="left" w:pos="1580"/>
              </w:tabs>
              <w:spacing w:after="0"/>
              <w:ind w:right="-23"/>
              <w:rPr>
                <w:rFonts w:cs="Arial"/>
                <w:b/>
                <w:sz w:val="20"/>
                <w:szCs w:val="20"/>
              </w:rPr>
            </w:pPr>
            <w:r w:rsidRPr="00313415">
              <w:rPr>
                <w:rFonts w:cs="Arial"/>
                <w:b/>
                <w:sz w:val="20"/>
                <w:szCs w:val="20"/>
              </w:rPr>
              <w:t>Recommended Actions</w:t>
            </w:r>
          </w:p>
        </w:tc>
      </w:tr>
      <w:tr w:rsidR="00311767" w:rsidRPr="002666B2" w:rsidTr="00FB73A9">
        <w:trPr>
          <w:trHeight w:val="359"/>
        </w:trPr>
        <w:tc>
          <w:tcPr>
            <w:tcW w:w="9226" w:type="dxa"/>
            <w:gridSpan w:val="2"/>
          </w:tcPr>
          <w:p w:rsidR="00311767" w:rsidRPr="00313415" w:rsidRDefault="00311767" w:rsidP="00C67E3B">
            <w:pPr>
              <w:keepNext/>
              <w:tabs>
                <w:tab w:val="left" w:pos="1580"/>
              </w:tabs>
              <w:spacing w:after="0"/>
              <w:ind w:right="-23"/>
              <w:rPr>
                <w:rFonts w:cs="Arial"/>
                <w:b/>
                <w:sz w:val="20"/>
                <w:szCs w:val="20"/>
              </w:rPr>
            </w:pPr>
            <w:r w:rsidRPr="00313415">
              <w:rPr>
                <w:rFonts w:cs="Arial"/>
                <w:b/>
                <w:sz w:val="20"/>
                <w:szCs w:val="20"/>
              </w:rPr>
              <w:t>Rash</w:t>
            </w:r>
          </w:p>
        </w:tc>
      </w:tr>
      <w:tr w:rsidR="00311767" w:rsidRPr="0076566D" w:rsidTr="0062306D">
        <w:trPr>
          <w:trHeight w:val="635"/>
        </w:trPr>
        <w:tc>
          <w:tcPr>
            <w:tcW w:w="3376" w:type="dxa"/>
          </w:tcPr>
          <w:p w:rsidR="00311767" w:rsidRPr="0076566D" w:rsidRDefault="00311767" w:rsidP="00E826F5">
            <w:pPr>
              <w:tabs>
                <w:tab w:val="left" w:pos="1580"/>
              </w:tabs>
              <w:spacing w:after="0"/>
              <w:ind w:right="-23"/>
              <w:rPr>
                <w:rFonts w:cs="Arial"/>
                <w:sz w:val="20"/>
                <w:szCs w:val="20"/>
              </w:rPr>
            </w:pPr>
            <w:r w:rsidRPr="0076566D">
              <w:rPr>
                <w:rFonts w:cs="Arial"/>
                <w:sz w:val="20"/>
                <w:szCs w:val="20"/>
              </w:rPr>
              <w:t>Grade</w:t>
            </w:r>
            <w:r w:rsidRPr="0076566D">
              <w:rPr>
                <w:rFonts w:cs="Arial"/>
                <w:sz w:val="20"/>
                <w:szCs w:val="20"/>
                <w:vertAlign w:val="superscript"/>
              </w:rPr>
              <w:t>†</w:t>
            </w:r>
            <w:r w:rsidRPr="0076566D">
              <w:rPr>
                <w:rFonts w:cs="Arial"/>
                <w:sz w:val="20"/>
                <w:szCs w:val="20"/>
              </w:rPr>
              <w:t xml:space="preserve"> 2 or 3</w:t>
            </w:r>
          </w:p>
        </w:tc>
        <w:tc>
          <w:tcPr>
            <w:tcW w:w="5850" w:type="dxa"/>
          </w:tcPr>
          <w:p w:rsidR="00311767" w:rsidRPr="00313415"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Withhold lenalidomide until rash recovers to </w:t>
            </w:r>
            <w:r w:rsidRPr="00313415">
              <w:rPr>
                <w:rFonts w:cs="Arial"/>
                <w:bCs/>
                <w:sz w:val="20"/>
                <w:szCs w:val="20"/>
                <w:lang w:val="en-GB"/>
              </w:rPr>
              <w:t>≤</w:t>
            </w:r>
            <w:r w:rsidRPr="00313415">
              <w:rPr>
                <w:rFonts w:eastAsia="Times New Roman" w:cs="Arial"/>
                <w:sz w:val="20"/>
                <w:szCs w:val="20"/>
                <w:lang w:val="en-GB"/>
              </w:rPr>
              <w:t> </w:t>
            </w:r>
            <w:r w:rsidRPr="00313415">
              <w:rPr>
                <w:rFonts w:cs="Arial"/>
                <w:sz w:val="20"/>
                <w:szCs w:val="20"/>
                <w:lang w:val="en-GB"/>
              </w:rPr>
              <w:t>Grade 1</w:t>
            </w:r>
            <w:r w:rsidRPr="00313415">
              <w:rPr>
                <w:rFonts w:eastAsia="Times New Roman" w:cs="Arial"/>
                <w:sz w:val="20"/>
                <w:szCs w:val="20"/>
                <w:lang w:val="en-GB"/>
              </w:rPr>
              <w:t>.</w:t>
            </w:r>
          </w:p>
          <w:p w:rsidR="003A3EFF"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Following recovery, resume lenalidomide at the next lower dose according to its </w:t>
            </w:r>
            <w:r w:rsidR="00632C4A" w:rsidRPr="00313415">
              <w:rPr>
                <w:rFonts w:eastAsia="Times New Roman" w:cs="Arial"/>
                <w:sz w:val="20"/>
                <w:szCs w:val="20"/>
                <w:lang w:val="en-GB"/>
              </w:rPr>
              <w:t>Product Information</w:t>
            </w:r>
            <w:r w:rsidRPr="00313415">
              <w:rPr>
                <w:rFonts w:eastAsia="Times New Roman" w:cs="Arial"/>
                <w:sz w:val="20"/>
                <w:szCs w:val="20"/>
                <w:lang w:val="en-GB"/>
              </w:rPr>
              <w:t>.</w:t>
            </w:r>
          </w:p>
          <w:p w:rsidR="00311767" w:rsidRPr="00313415"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 xml:space="preserve">If Grade 2 or 3 </w:t>
            </w:r>
            <w:proofErr w:type="gramStart"/>
            <w:r w:rsidRPr="00313415">
              <w:rPr>
                <w:rFonts w:eastAsia="Times New Roman" w:cs="Arial"/>
                <w:sz w:val="20"/>
                <w:szCs w:val="20"/>
                <w:lang w:val="en-GB"/>
              </w:rPr>
              <w:t>rash</w:t>
            </w:r>
            <w:proofErr w:type="gramEnd"/>
            <w:r w:rsidRPr="00313415">
              <w:rPr>
                <w:rFonts w:eastAsia="Times New Roman" w:cs="Arial"/>
                <w:sz w:val="20"/>
                <w:szCs w:val="20"/>
                <w:lang w:val="en-GB"/>
              </w:rPr>
              <w:t xml:space="preserve"> occurs again, withhold NINLARO and lenalidomide until rash recovers to ≤ Grade 1.</w:t>
            </w:r>
          </w:p>
          <w:p w:rsidR="00311767" w:rsidRPr="00313415"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313415">
              <w:rPr>
                <w:rFonts w:eastAsia="Times New Roman" w:cs="Arial"/>
                <w:sz w:val="20"/>
                <w:szCs w:val="20"/>
                <w:lang w:val="en-GB"/>
              </w:rPr>
              <w:t>Following recovery, resume NINLARO at the next lower dose and resume lenalidomide at its most recent dose.*</w:t>
            </w:r>
          </w:p>
        </w:tc>
      </w:tr>
      <w:tr w:rsidR="00311767" w:rsidRPr="0076566D" w:rsidTr="00F403C8">
        <w:trPr>
          <w:trHeight w:val="341"/>
        </w:trPr>
        <w:tc>
          <w:tcPr>
            <w:tcW w:w="3376" w:type="dxa"/>
            <w:vAlign w:val="center"/>
          </w:tcPr>
          <w:p w:rsidR="00311767" w:rsidRPr="0076566D" w:rsidRDefault="00311767" w:rsidP="00C67E3B">
            <w:pPr>
              <w:tabs>
                <w:tab w:val="left" w:pos="1580"/>
              </w:tabs>
              <w:spacing w:after="0"/>
              <w:ind w:right="-23"/>
              <w:rPr>
                <w:rFonts w:cs="Arial"/>
                <w:bCs/>
                <w:sz w:val="20"/>
                <w:szCs w:val="20"/>
              </w:rPr>
            </w:pPr>
            <w:r w:rsidRPr="0076566D">
              <w:rPr>
                <w:rFonts w:cs="Arial"/>
                <w:sz w:val="20"/>
                <w:szCs w:val="20"/>
              </w:rPr>
              <w:t>Grade 4</w:t>
            </w:r>
          </w:p>
        </w:tc>
        <w:tc>
          <w:tcPr>
            <w:tcW w:w="5850" w:type="dxa"/>
            <w:vAlign w:val="center"/>
          </w:tcPr>
          <w:p w:rsidR="00311767" w:rsidRPr="0076566D" w:rsidRDefault="00311767" w:rsidP="00C67E3B">
            <w:pPr>
              <w:tabs>
                <w:tab w:val="left" w:pos="1580"/>
              </w:tabs>
              <w:spacing w:after="0"/>
              <w:ind w:right="-23"/>
              <w:rPr>
                <w:rFonts w:cs="Arial"/>
                <w:sz w:val="20"/>
                <w:szCs w:val="20"/>
              </w:rPr>
            </w:pPr>
            <w:r w:rsidRPr="0076566D">
              <w:rPr>
                <w:rFonts w:cs="Arial"/>
                <w:sz w:val="20"/>
                <w:szCs w:val="20"/>
              </w:rPr>
              <w:t>Discontinue treatment regimen.</w:t>
            </w:r>
          </w:p>
        </w:tc>
      </w:tr>
      <w:tr w:rsidR="00311767" w:rsidRPr="002666B2" w:rsidTr="00FB73A9">
        <w:trPr>
          <w:trHeight w:val="379"/>
        </w:trPr>
        <w:tc>
          <w:tcPr>
            <w:tcW w:w="9226" w:type="dxa"/>
            <w:gridSpan w:val="2"/>
          </w:tcPr>
          <w:p w:rsidR="00311767" w:rsidRPr="0076566D" w:rsidRDefault="00FF5757" w:rsidP="00FF5757">
            <w:pPr>
              <w:keepNext/>
              <w:tabs>
                <w:tab w:val="left" w:pos="1580"/>
              </w:tabs>
              <w:spacing w:after="0"/>
              <w:ind w:right="-23"/>
              <w:rPr>
                <w:rFonts w:cs="Arial"/>
                <w:b/>
                <w:sz w:val="20"/>
                <w:szCs w:val="20"/>
              </w:rPr>
            </w:pPr>
            <w:r w:rsidRPr="00FF5757">
              <w:rPr>
                <w:rFonts w:cs="Arial"/>
                <w:b/>
                <w:sz w:val="20"/>
                <w:szCs w:val="20"/>
              </w:rPr>
              <w:lastRenderedPageBreak/>
              <w:t>Peripheral Neuropathy</w:t>
            </w:r>
          </w:p>
        </w:tc>
      </w:tr>
      <w:tr w:rsidR="00311767" w:rsidRPr="0076566D" w:rsidTr="0062306D">
        <w:trPr>
          <w:trHeight w:val="736"/>
        </w:trPr>
        <w:tc>
          <w:tcPr>
            <w:tcW w:w="3376" w:type="dxa"/>
          </w:tcPr>
          <w:p w:rsidR="00311767" w:rsidRPr="0076566D" w:rsidRDefault="00311767" w:rsidP="00C67E3B">
            <w:pPr>
              <w:tabs>
                <w:tab w:val="left" w:pos="1580"/>
              </w:tabs>
              <w:spacing w:after="0"/>
              <w:ind w:right="-23"/>
              <w:rPr>
                <w:rFonts w:cs="Arial"/>
                <w:sz w:val="20"/>
                <w:szCs w:val="20"/>
              </w:rPr>
            </w:pPr>
            <w:r w:rsidRPr="0076566D">
              <w:rPr>
                <w:rFonts w:cs="Arial"/>
                <w:sz w:val="20"/>
                <w:szCs w:val="20"/>
              </w:rPr>
              <w:t>Grade 1 Peripheral Neuropathy with Pain or Grade 2 Peripheral Neuropathy</w:t>
            </w:r>
          </w:p>
        </w:tc>
        <w:tc>
          <w:tcPr>
            <w:tcW w:w="5850" w:type="dxa"/>
          </w:tcPr>
          <w:p w:rsidR="00311767" w:rsidRPr="0076566D"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76566D">
              <w:rPr>
                <w:rFonts w:eastAsia="Times New Roman" w:cs="Arial"/>
                <w:sz w:val="20"/>
                <w:szCs w:val="20"/>
                <w:lang w:val="en-GB"/>
              </w:rPr>
              <w:t>Withhold NINLARO until peripheral neuropathy recovers to ≤ Grade 1 without pain or patient's baseline.</w:t>
            </w:r>
          </w:p>
          <w:p w:rsidR="00311767" w:rsidRPr="0076566D" w:rsidRDefault="00311767" w:rsidP="00C67E3B">
            <w:pPr>
              <w:pStyle w:val="ListParagraph"/>
              <w:widowControl w:val="0"/>
              <w:numPr>
                <w:ilvl w:val="0"/>
                <w:numId w:val="6"/>
              </w:numPr>
              <w:spacing w:after="0"/>
              <w:ind w:left="222" w:right="-23" w:hanging="180"/>
              <w:rPr>
                <w:rFonts w:cs="Arial"/>
                <w:sz w:val="20"/>
                <w:szCs w:val="20"/>
              </w:rPr>
            </w:pPr>
            <w:r w:rsidRPr="0076566D">
              <w:rPr>
                <w:rFonts w:eastAsia="Times New Roman" w:cs="Arial"/>
                <w:sz w:val="20"/>
                <w:szCs w:val="20"/>
                <w:lang w:val="en-GB"/>
              </w:rPr>
              <w:t>Following recovery, resume NINLARO at its most recent dose.</w:t>
            </w:r>
          </w:p>
        </w:tc>
      </w:tr>
      <w:tr w:rsidR="00311767" w:rsidRPr="0076566D" w:rsidTr="0062306D">
        <w:trPr>
          <w:trHeight w:val="734"/>
        </w:trPr>
        <w:tc>
          <w:tcPr>
            <w:tcW w:w="3376" w:type="dxa"/>
          </w:tcPr>
          <w:p w:rsidR="00311767" w:rsidRPr="0076566D" w:rsidRDefault="00311767" w:rsidP="00C67E3B">
            <w:pPr>
              <w:tabs>
                <w:tab w:val="left" w:pos="1580"/>
              </w:tabs>
              <w:spacing w:after="0"/>
              <w:ind w:right="-23"/>
              <w:rPr>
                <w:rFonts w:cs="Arial"/>
                <w:sz w:val="20"/>
                <w:szCs w:val="20"/>
              </w:rPr>
            </w:pPr>
            <w:r w:rsidRPr="0076566D">
              <w:rPr>
                <w:rFonts w:cs="Arial"/>
                <w:sz w:val="20"/>
                <w:szCs w:val="20"/>
              </w:rPr>
              <w:t>Grade 2 Peripheral Neuropathy with Pain or Grade 3 Peripheral Neuropathy</w:t>
            </w:r>
          </w:p>
        </w:tc>
        <w:tc>
          <w:tcPr>
            <w:tcW w:w="5850" w:type="dxa"/>
          </w:tcPr>
          <w:p w:rsidR="00311767" w:rsidRPr="0076566D" w:rsidRDefault="00311767" w:rsidP="00C67E3B">
            <w:pPr>
              <w:pStyle w:val="ListParagraph"/>
              <w:widowControl w:val="0"/>
              <w:numPr>
                <w:ilvl w:val="0"/>
                <w:numId w:val="6"/>
              </w:numPr>
              <w:spacing w:after="0"/>
              <w:ind w:left="222" w:right="-23" w:hanging="180"/>
              <w:rPr>
                <w:rFonts w:eastAsia="Times New Roman" w:cs="Arial"/>
                <w:sz w:val="20"/>
                <w:szCs w:val="20"/>
                <w:lang w:val="en-GB"/>
              </w:rPr>
            </w:pPr>
            <w:r w:rsidRPr="0076566D">
              <w:rPr>
                <w:rFonts w:eastAsia="Times New Roman" w:cs="Arial"/>
                <w:sz w:val="20"/>
                <w:szCs w:val="20"/>
                <w:lang w:val="en-GB"/>
              </w:rPr>
              <w:t>Withhold NINLARO. Toxicities should, at the physician’s discretion, generally recover to patient’s baseline condition or ≤ Grade 1 prior to resuming NINLARO.</w:t>
            </w:r>
          </w:p>
          <w:p w:rsidR="00311767" w:rsidRPr="0076566D" w:rsidRDefault="00311767" w:rsidP="00C67E3B">
            <w:pPr>
              <w:pStyle w:val="ListParagraph"/>
              <w:widowControl w:val="0"/>
              <w:numPr>
                <w:ilvl w:val="0"/>
                <w:numId w:val="6"/>
              </w:numPr>
              <w:spacing w:after="0"/>
              <w:ind w:left="222" w:right="-23" w:hanging="180"/>
              <w:rPr>
                <w:rFonts w:cs="Arial"/>
                <w:sz w:val="20"/>
                <w:szCs w:val="20"/>
              </w:rPr>
            </w:pPr>
            <w:r w:rsidRPr="0076566D">
              <w:rPr>
                <w:rFonts w:eastAsia="Times New Roman" w:cs="Arial"/>
                <w:sz w:val="20"/>
                <w:szCs w:val="20"/>
                <w:lang w:val="en-GB"/>
              </w:rPr>
              <w:t>Following</w:t>
            </w:r>
            <w:r w:rsidRPr="0076566D">
              <w:rPr>
                <w:rFonts w:cs="Arial"/>
                <w:bCs/>
                <w:sz w:val="20"/>
                <w:szCs w:val="20"/>
              </w:rPr>
              <w:t xml:space="preserve"> recovery, resume NINLARO at the next lower dose.</w:t>
            </w:r>
          </w:p>
        </w:tc>
      </w:tr>
      <w:tr w:rsidR="00311767" w:rsidRPr="0076566D" w:rsidTr="0062306D">
        <w:trPr>
          <w:trHeight w:val="341"/>
        </w:trPr>
        <w:tc>
          <w:tcPr>
            <w:tcW w:w="3376" w:type="dxa"/>
          </w:tcPr>
          <w:p w:rsidR="00311767" w:rsidRPr="0076566D" w:rsidRDefault="00311767" w:rsidP="00C67E3B">
            <w:pPr>
              <w:tabs>
                <w:tab w:val="left" w:pos="1580"/>
              </w:tabs>
              <w:spacing w:after="0"/>
              <w:ind w:right="-23"/>
              <w:rPr>
                <w:rFonts w:cs="Arial"/>
                <w:bCs/>
                <w:sz w:val="20"/>
                <w:szCs w:val="20"/>
              </w:rPr>
            </w:pPr>
            <w:r w:rsidRPr="0076566D">
              <w:rPr>
                <w:rFonts w:cs="Arial"/>
                <w:sz w:val="20"/>
                <w:szCs w:val="20"/>
              </w:rPr>
              <w:t>Grade 4 Peripheral Neuropathy</w:t>
            </w:r>
          </w:p>
        </w:tc>
        <w:tc>
          <w:tcPr>
            <w:tcW w:w="5850" w:type="dxa"/>
          </w:tcPr>
          <w:p w:rsidR="00311767" w:rsidRPr="0076566D" w:rsidRDefault="00311767" w:rsidP="00C67E3B">
            <w:pPr>
              <w:tabs>
                <w:tab w:val="left" w:pos="1580"/>
              </w:tabs>
              <w:spacing w:after="0"/>
              <w:ind w:right="-23"/>
              <w:rPr>
                <w:rFonts w:cs="Arial"/>
                <w:sz w:val="20"/>
                <w:szCs w:val="20"/>
              </w:rPr>
            </w:pPr>
            <w:r w:rsidRPr="0076566D">
              <w:rPr>
                <w:rFonts w:cs="Arial"/>
                <w:sz w:val="20"/>
                <w:szCs w:val="20"/>
              </w:rPr>
              <w:t>Discontinue treatment regimen.</w:t>
            </w:r>
          </w:p>
        </w:tc>
      </w:tr>
      <w:tr w:rsidR="00FF5757" w:rsidRPr="00066474" w:rsidTr="004B47B0">
        <w:trPr>
          <w:trHeight w:val="341"/>
        </w:trPr>
        <w:tc>
          <w:tcPr>
            <w:tcW w:w="9226" w:type="dxa"/>
            <w:gridSpan w:val="2"/>
          </w:tcPr>
          <w:p w:rsidR="00FF5757" w:rsidRPr="00FB73A9" w:rsidRDefault="00FF5757" w:rsidP="00FB73A9">
            <w:pPr>
              <w:keepNext/>
              <w:tabs>
                <w:tab w:val="left" w:pos="1580"/>
              </w:tabs>
              <w:spacing w:after="0"/>
              <w:ind w:right="-23"/>
              <w:rPr>
                <w:rFonts w:cs="Arial"/>
                <w:b/>
                <w:sz w:val="20"/>
                <w:szCs w:val="20"/>
              </w:rPr>
            </w:pPr>
            <w:r w:rsidRPr="00FB73A9">
              <w:rPr>
                <w:rFonts w:cs="Arial"/>
                <w:b/>
                <w:sz w:val="20"/>
                <w:szCs w:val="20"/>
              </w:rPr>
              <w:t>Other Non-H</w:t>
            </w:r>
            <w:r w:rsidR="00FB73A9">
              <w:rPr>
                <w:rFonts w:cs="Arial"/>
                <w:b/>
                <w:sz w:val="20"/>
                <w:szCs w:val="20"/>
              </w:rPr>
              <w:t>a</w:t>
            </w:r>
            <w:r w:rsidRPr="00FB73A9">
              <w:rPr>
                <w:rFonts w:cs="Arial"/>
                <w:b/>
                <w:sz w:val="20"/>
                <w:szCs w:val="20"/>
              </w:rPr>
              <w:t>ematological Toxicities</w:t>
            </w:r>
          </w:p>
        </w:tc>
      </w:tr>
      <w:tr w:rsidR="00FF5757" w:rsidRPr="0076566D" w:rsidTr="0062306D">
        <w:trPr>
          <w:trHeight w:val="341"/>
        </w:trPr>
        <w:tc>
          <w:tcPr>
            <w:tcW w:w="3376" w:type="dxa"/>
          </w:tcPr>
          <w:p w:rsidR="00FF5757" w:rsidRPr="0076566D" w:rsidRDefault="00FF5757" w:rsidP="001748F2">
            <w:pPr>
              <w:tabs>
                <w:tab w:val="left" w:pos="1580"/>
              </w:tabs>
              <w:spacing w:after="0"/>
              <w:ind w:right="-23"/>
              <w:rPr>
                <w:rFonts w:cs="Arial"/>
                <w:sz w:val="20"/>
                <w:szCs w:val="20"/>
              </w:rPr>
            </w:pPr>
            <w:r w:rsidRPr="00FF5757">
              <w:rPr>
                <w:rFonts w:cs="Arial"/>
                <w:sz w:val="20"/>
                <w:szCs w:val="20"/>
              </w:rPr>
              <w:t>Other Grade 3 or 4</w:t>
            </w:r>
            <w:r w:rsidR="001748F2">
              <w:rPr>
                <w:rFonts w:cs="Arial"/>
                <w:sz w:val="20"/>
                <w:szCs w:val="20"/>
              </w:rPr>
              <w:t xml:space="preserve"> </w:t>
            </w:r>
            <w:r w:rsidRPr="00FF5757">
              <w:rPr>
                <w:rFonts w:cs="Arial"/>
                <w:sz w:val="20"/>
                <w:szCs w:val="20"/>
              </w:rPr>
              <w:t>Non-</w:t>
            </w:r>
            <w:r>
              <w:rPr>
                <w:rFonts w:cs="Arial"/>
                <w:sz w:val="20"/>
                <w:szCs w:val="20"/>
              </w:rPr>
              <w:t xml:space="preserve"> Ha</w:t>
            </w:r>
            <w:r w:rsidRPr="00FF5757">
              <w:rPr>
                <w:rFonts w:cs="Arial"/>
                <w:sz w:val="20"/>
                <w:szCs w:val="20"/>
              </w:rPr>
              <w:t>ematological</w:t>
            </w:r>
            <w:r>
              <w:rPr>
                <w:rFonts w:cs="Arial"/>
                <w:sz w:val="20"/>
                <w:szCs w:val="20"/>
              </w:rPr>
              <w:t xml:space="preserve"> </w:t>
            </w:r>
            <w:r w:rsidRPr="00FF5757">
              <w:rPr>
                <w:rFonts w:cs="Arial"/>
                <w:sz w:val="20"/>
                <w:szCs w:val="20"/>
              </w:rPr>
              <w:t>Toxicities</w:t>
            </w:r>
          </w:p>
        </w:tc>
        <w:tc>
          <w:tcPr>
            <w:tcW w:w="5850" w:type="dxa"/>
          </w:tcPr>
          <w:p w:rsidR="00FF5757" w:rsidRDefault="00FF5757" w:rsidP="00FF5757">
            <w:pPr>
              <w:pStyle w:val="ListParagraph"/>
              <w:widowControl w:val="0"/>
              <w:numPr>
                <w:ilvl w:val="0"/>
                <w:numId w:val="6"/>
              </w:numPr>
              <w:tabs>
                <w:tab w:val="left" w:pos="1580"/>
              </w:tabs>
              <w:spacing w:after="0"/>
              <w:ind w:left="222" w:right="-23" w:hanging="180"/>
              <w:rPr>
                <w:rFonts w:eastAsia="Times New Roman" w:cs="Arial"/>
                <w:sz w:val="20"/>
                <w:szCs w:val="20"/>
                <w:lang w:val="en-GB"/>
              </w:rPr>
            </w:pPr>
            <w:r w:rsidRPr="00FF5757">
              <w:rPr>
                <w:rFonts w:eastAsia="Times New Roman" w:cs="Arial"/>
                <w:sz w:val="20"/>
                <w:szCs w:val="20"/>
                <w:lang w:val="en-GB"/>
              </w:rPr>
              <w:t>Withhold NINLARO. Toxicities should, at the physician’s discretion, generally recover to patient’s baseline condition or ≤ Grade 1 prior to resuming NINLARO.</w:t>
            </w:r>
          </w:p>
          <w:p w:rsidR="00FF5757" w:rsidRPr="00FF5757" w:rsidRDefault="00FF5757" w:rsidP="00FF5757">
            <w:pPr>
              <w:pStyle w:val="ListParagraph"/>
              <w:widowControl w:val="0"/>
              <w:numPr>
                <w:ilvl w:val="0"/>
                <w:numId w:val="6"/>
              </w:numPr>
              <w:tabs>
                <w:tab w:val="left" w:pos="1580"/>
              </w:tabs>
              <w:spacing w:after="0"/>
              <w:ind w:left="222" w:right="-23" w:hanging="180"/>
              <w:rPr>
                <w:rFonts w:eastAsia="Times New Roman" w:cs="Arial"/>
                <w:sz w:val="20"/>
                <w:szCs w:val="20"/>
                <w:lang w:val="en-GB"/>
              </w:rPr>
            </w:pPr>
            <w:r w:rsidRPr="00FF5757">
              <w:rPr>
                <w:rFonts w:eastAsia="Times New Roman" w:cs="Arial"/>
                <w:sz w:val="20"/>
                <w:szCs w:val="20"/>
                <w:lang w:val="en-GB"/>
              </w:rPr>
              <w:t>If attributable to ixazomib, resume ixazomib at the</w:t>
            </w:r>
            <w:r>
              <w:rPr>
                <w:rFonts w:eastAsia="Times New Roman" w:cs="Arial"/>
                <w:sz w:val="20"/>
                <w:szCs w:val="20"/>
                <w:lang w:val="en-GB"/>
              </w:rPr>
              <w:t xml:space="preserve"> </w:t>
            </w:r>
            <w:r w:rsidRPr="00FF5757">
              <w:rPr>
                <w:rFonts w:eastAsia="Times New Roman" w:cs="Arial"/>
                <w:sz w:val="20"/>
                <w:szCs w:val="20"/>
                <w:lang w:val="en-GB"/>
              </w:rPr>
              <w:t>next lower dose following recovery.</w:t>
            </w:r>
          </w:p>
        </w:tc>
      </w:tr>
    </w:tbl>
    <w:p w:rsidR="00311767" w:rsidRPr="00D23950" w:rsidRDefault="00311767" w:rsidP="00D23950">
      <w:pPr>
        <w:spacing w:before="60"/>
        <w:jc w:val="both"/>
        <w:rPr>
          <w:rFonts w:eastAsia="Times New Roman" w:cs="Arial"/>
          <w:sz w:val="18"/>
          <w:szCs w:val="18"/>
        </w:rPr>
      </w:pPr>
      <w:r w:rsidRPr="00D23950">
        <w:rPr>
          <w:rFonts w:eastAsia="Times New Roman" w:cs="Arial"/>
          <w:sz w:val="18"/>
          <w:szCs w:val="18"/>
        </w:rPr>
        <w:t>*For additional occurrences, alternate dose modification of lenalidomide and NINLARO</w:t>
      </w:r>
    </w:p>
    <w:p w:rsidR="00311767" w:rsidRPr="00D23950" w:rsidRDefault="00311767" w:rsidP="00D23950">
      <w:pPr>
        <w:spacing w:before="60" w:after="240"/>
        <w:jc w:val="both"/>
        <w:rPr>
          <w:rFonts w:eastAsia="Times New Roman" w:cs="Arial"/>
          <w:sz w:val="18"/>
          <w:szCs w:val="18"/>
        </w:rPr>
      </w:pPr>
      <w:r w:rsidRPr="00D23950">
        <w:rPr>
          <w:rFonts w:eastAsia="Times New Roman" w:cs="Arial"/>
          <w:sz w:val="18"/>
          <w:szCs w:val="18"/>
          <w:vertAlign w:val="superscript"/>
        </w:rPr>
        <w:t>†</w:t>
      </w:r>
      <w:r w:rsidRPr="00D23950">
        <w:rPr>
          <w:rFonts w:eastAsia="Times New Roman" w:cs="Arial"/>
          <w:sz w:val="18"/>
          <w:szCs w:val="18"/>
        </w:rPr>
        <w:t>Grading based on National Cancer Institute Common Terminology Criteria (CTCAE) Version 4.03</w:t>
      </w:r>
    </w:p>
    <w:p w:rsidR="00E2148E" w:rsidRPr="000755DC" w:rsidRDefault="00E2148E" w:rsidP="000755DC">
      <w:pPr>
        <w:pStyle w:val="Heading2"/>
        <w:rPr>
          <w:b w:val="0"/>
          <w:i/>
          <w:szCs w:val="22"/>
        </w:rPr>
      </w:pPr>
      <w:r w:rsidRPr="000755DC">
        <w:rPr>
          <w:b w:val="0"/>
          <w:i/>
          <w:szCs w:val="22"/>
        </w:rPr>
        <w:t>Concomitant medicinal products</w:t>
      </w:r>
    </w:p>
    <w:p w:rsidR="00E2148E" w:rsidRPr="00E2148E" w:rsidRDefault="00E2148E" w:rsidP="00E2148E">
      <w:pPr>
        <w:spacing w:after="240"/>
        <w:jc w:val="both"/>
        <w:rPr>
          <w:rFonts w:eastAsia="Times New Roman" w:cs="Arial"/>
        </w:rPr>
      </w:pPr>
      <w:r w:rsidRPr="00E2148E">
        <w:rPr>
          <w:rFonts w:eastAsia="Times New Roman" w:cs="Arial"/>
        </w:rPr>
        <w:t xml:space="preserve">Antiviral prophylaxis should be considered in patients being treated with ixazomib to decrease the risk of herpes zoster reactivation. Patients included in studies with </w:t>
      </w:r>
      <w:r w:rsidR="00225F12">
        <w:rPr>
          <w:rFonts w:eastAsia="Times New Roman" w:cs="Arial"/>
        </w:rPr>
        <w:t>NINLARO</w:t>
      </w:r>
      <w:r w:rsidRPr="00E2148E">
        <w:rPr>
          <w:rFonts w:eastAsia="Times New Roman" w:cs="Arial"/>
        </w:rPr>
        <w:t xml:space="preserve"> who received antiviral prophylaxis had a lower incidence of herpes zoster infection compared to patients who did not receive prophylaxis</w:t>
      </w:r>
      <w:r w:rsidR="00BF7189">
        <w:rPr>
          <w:rFonts w:eastAsia="Times New Roman" w:cs="Arial"/>
        </w:rPr>
        <w:t xml:space="preserve"> (see </w:t>
      </w:r>
      <w:hyperlink w:anchor="_ADVERSE_EFFECTS" w:history="1">
        <w:r w:rsidR="00BF7189" w:rsidRPr="00541B05">
          <w:rPr>
            <w:rStyle w:val="Hyperlink"/>
            <w:rFonts w:eastAsia="Times New Roman" w:cs="Arial"/>
          </w:rPr>
          <w:t>ADVERSE EFFECTS</w:t>
        </w:r>
      </w:hyperlink>
      <w:r w:rsidR="00BF7189">
        <w:rPr>
          <w:rFonts w:eastAsia="Times New Roman" w:cs="Arial"/>
        </w:rPr>
        <w:t>)</w:t>
      </w:r>
      <w:r w:rsidRPr="00E2148E">
        <w:rPr>
          <w:rFonts w:eastAsia="Times New Roman" w:cs="Arial"/>
        </w:rPr>
        <w:t>.</w:t>
      </w:r>
    </w:p>
    <w:p w:rsidR="00311767" w:rsidRPr="00E15F1D" w:rsidRDefault="00311767" w:rsidP="001748F2">
      <w:pPr>
        <w:pStyle w:val="Heading2"/>
        <w:rPr>
          <w:b w:val="0"/>
          <w:i/>
          <w:u w:val="single"/>
        </w:rPr>
      </w:pPr>
      <w:r w:rsidRPr="00E15F1D">
        <w:rPr>
          <w:b w:val="0"/>
          <w:i/>
          <w:u w:val="single"/>
        </w:rPr>
        <w:t>Special Patient Populations</w:t>
      </w:r>
    </w:p>
    <w:p w:rsidR="00311767" w:rsidRPr="00B7557E" w:rsidRDefault="00311767" w:rsidP="001748F2">
      <w:pPr>
        <w:pStyle w:val="Heading3"/>
      </w:pPr>
      <w:r w:rsidRPr="00B7557E">
        <w:t>Elderly</w:t>
      </w:r>
    </w:p>
    <w:p w:rsidR="00311767" w:rsidRPr="00B7557E" w:rsidRDefault="00311767" w:rsidP="00311767">
      <w:pPr>
        <w:spacing w:after="240"/>
        <w:jc w:val="both"/>
        <w:rPr>
          <w:rFonts w:eastAsia="Times New Roman" w:cs="Arial"/>
        </w:rPr>
      </w:pPr>
      <w:r w:rsidRPr="00B7557E">
        <w:rPr>
          <w:rFonts w:eastAsia="Times New Roman" w:cs="Arial"/>
        </w:rPr>
        <w:t xml:space="preserve">No dose adjustment of NINLARO is required for patients over 65 years of age based on the </w:t>
      </w:r>
      <w:proofErr w:type="gramStart"/>
      <w:r w:rsidRPr="00B7557E">
        <w:rPr>
          <w:rFonts w:eastAsia="Times New Roman" w:cs="Arial"/>
        </w:rPr>
        <w:t>results</w:t>
      </w:r>
      <w:proofErr w:type="gramEnd"/>
      <w:r w:rsidRPr="00B7557E">
        <w:rPr>
          <w:rFonts w:eastAsia="Times New Roman" w:cs="Arial"/>
        </w:rPr>
        <w:t xml:space="preserve"> of a population pharmacokinetic (PK) analysis. In studies of</w:t>
      </w:r>
      <w:r w:rsidR="003A3EFF">
        <w:rPr>
          <w:rFonts w:eastAsia="Times New Roman" w:cs="Arial"/>
        </w:rPr>
        <w:t xml:space="preserve"> </w:t>
      </w:r>
      <w:r w:rsidRPr="00B7557E">
        <w:rPr>
          <w:rFonts w:eastAsia="Times New Roman" w:cs="Arial"/>
        </w:rPr>
        <w:t>NINLARO, there were no clinically significant differences in safety and efficacy between patients less than 65 years of age and patients 65 years of age or older.</w:t>
      </w:r>
    </w:p>
    <w:p w:rsidR="00311767" w:rsidRPr="00B7557E" w:rsidRDefault="00311767" w:rsidP="001748F2">
      <w:pPr>
        <w:pStyle w:val="Heading3"/>
      </w:pPr>
      <w:r w:rsidRPr="00B7557E">
        <w:t>Paediatric Population</w:t>
      </w:r>
    </w:p>
    <w:p w:rsidR="00311767" w:rsidRPr="00311767" w:rsidRDefault="00311767" w:rsidP="00311767">
      <w:pPr>
        <w:spacing w:after="240"/>
        <w:jc w:val="both"/>
        <w:rPr>
          <w:rFonts w:eastAsia="Times New Roman" w:cs="Arial"/>
        </w:rPr>
      </w:pPr>
      <w:r w:rsidRPr="00B7557E">
        <w:rPr>
          <w:rFonts w:eastAsia="Times New Roman" w:cs="Arial"/>
        </w:rPr>
        <w:t>The safety and efficacy of NINLARO in children below 18 years of age have not been established. No data are available.</w:t>
      </w:r>
    </w:p>
    <w:p w:rsidR="00311767" w:rsidRPr="00311767" w:rsidRDefault="00311767" w:rsidP="001748F2">
      <w:pPr>
        <w:pStyle w:val="Heading3"/>
      </w:pPr>
      <w:r w:rsidRPr="00174DA7">
        <w:t>Hepatic impairment</w:t>
      </w:r>
    </w:p>
    <w:p w:rsidR="00311767" w:rsidRPr="00311767" w:rsidRDefault="00311767" w:rsidP="00311767">
      <w:pPr>
        <w:spacing w:after="240"/>
        <w:jc w:val="both"/>
        <w:rPr>
          <w:rFonts w:eastAsia="Times New Roman" w:cs="Arial"/>
        </w:rPr>
      </w:pPr>
      <w:r w:rsidRPr="00311767">
        <w:rPr>
          <w:rFonts w:eastAsia="Times New Roman" w:cs="Arial"/>
        </w:rPr>
        <w:t>No dose adjustment of NINLARO is required for patients with mild hepatic impairment (total bilirubin ≤ upper limit of normal (ULN) and aspartate aminotransferase (AST) &gt; ULN or total bilirubin &gt; 1</w:t>
      </w:r>
      <w:r w:rsidR="009668F9">
        <w:rPr>
          <w:rFonts w:eastAsia="Times New Roman" w:cs="Arial"/>
        </w:rPr>
        <w:t>-</w:t>
      </w:r>
      <w:r w:rsidRPr="00311767">
        <w:rPr>
          <w:rFonts w:eastAsia="Times New Roman" w:cs="Arial"/>
        </w:rPr>
        <w:t xml:space="preserve">1.5 x ULN and any AST) based on the results of a population PK analysis. A lower dose of </w:t>
      </w:r>
      <w:r w:rsidR="00185379">
        <w:rPr>
          <w:rFonts w:eastAsia="Times New Roman" w:cs="Arial"/>
        </w:rPr>
        <w:t xml:space="preserve">one </w:t>
      </w:r>
      <w:r w:rsidRPr="00311767">
        <w:rPr>
          <w:rFonts w:eastAsia="Times New Roman" w:cs="Arial"/>
        </w:rPr>
        <w:t xml:space="preserve">3 mg </w:t>
      </w:r>
      <w:r w:rsidR="00185379">
        <w:rPr>
          <w:rFonts w:eastAsia="Times New Roman" w:cs="Arial"/>
        </w:rPr>
        <w:t xml:space="preserve">capsule </w:t>
      </w:r>
      <w:r w:rsidRPr="00311767">
        <w:rPr>
          <w:rFonts w:eastAsia="Times New Roman" w:cs="Arial"/>
        </w:rPr>
        <w:t>is recommended for patients with moderate (total</w:t>
      </w:r>
      <w:r w:rsidR="00090A8B">
        <w:rPr>
          <w:rFonts w:eastAsia="Times New Roman" w:cs="Arial"/>
        </w:rPr>
        <w:t> </w:t>
      </w:r>
      <w:r w:rsidRPr="00311767">
        <w:rPr>
          <w:rFonts w:eastAsia="Times New Roman" w:cs="Arial"/>
        </w:rPr>
        <w:t>bilirubin</w:t>
      </w:r>
      <w:r w:rsidR="00090A8B">
        <w:rPr>
          <w:rFonts w:eastAsia="Times New Roman" w:cs="Arial"/>
        </w:rPr>
        <w:t> </w:t>
      </w:r>
      <w:r w:rsidRPr="00311767">
        <w:rPr>
          <w:rFonts w:eastAsia="Times New Roman" w:cs="Arial"/>
        </w:rPr>
        <w:t>&gt;</w:t>
      </w:r>
      <w:r w:rsidR="00090A8B">
        <w:rPr>
          <w:rFonts w:eastAsia="Times New Roman" w:cs="Arial"/>
        </w:rPr>
        <w:t> </w:t>
      </w:r>
      <w:r w:rsidRPr="00311767">
        <w:rPr>
          <w:rFonts w:eastAsia="Times New Roman" w:cs="Arial"/>
        </w:rPr>
        <w:t>1.5</w:t>
      </w:r>
      <w:r w:rsidR="00090A8B">
        <w:rPr>
          <w:rFonts w:eastAsia="Times New Roman" w:cs="Arial"/>
        </w:rPr>
        <w:noBreakHyphen/>
      </w:r>
      <w:r w:rsidRPr="00311767">
        <w:rPr>
          <w:rFonts w:eastAsia="Times New Roman" w:cs="Arial"/>
        </w:rPr>
        <w:t>3 x ULN) or severe (total bilirubin &gt; 3 x ULN) hepatic impairment based on the results of a PK st</w:t>
      </w:r>
      <w:r w:rsidRPr="00105DB9">
        <w:rPr>
          <w:rFonts w:eastAsia="Times New Roman" w:cs="Arial"/>
        </w:rPr>
        <w:t xml:space="preserve">udy (see </w:t>
      </w:r>
      <w:hyperlink w:anchor="_Special_Populations" w:history="1">
        <w:r w:rsidR="00E21AE6" w:rsidRPr="00541B05">
          <w:rPr>
            <w:rStyle w:val="Hyperlink"/>
            <w:rFonts w:eastAsia="Times New Roman" w:cs="Arial"/>
          </w:rPr>
          <w:t>PHARMACOLOGY, Special Populations</w:t>
        </w:r>
      </w:hyperlink>
      <w:r w:rsidRPr="00105DB9">
        <w:rPr>
          <w:rFonts w:eastAsia="Times New Roman" w:cs="Arial"/>
        </w:rPr>
        <w:t>).</w:t>
      </w:r>
    </w:p>
    <w:p w:rsidR="00311767" w:rsidRPr="00311767" w:rsidRDefault="00311767" w:rsidP="001748F2">
      <w:pPr>
        <w:pStyle w:val="Heading3"/>
      </w:pPr>
      <w:r w:rsidRPr="00311767">
        <w:t>Renal impairment</w:t>
      </w:r>
    </w:p>
    <w:p w:rsidR="00311767" w:rsidRPr="00311767" w:rsidRDefault="00311767" w:rsidP="00311767">
      <w:pPr>
        <w:spacing w:after="240"/>
        <w:jc w:val="both"/>
        <w:rPr>
          <w:rFonts w:eastAsia="Times New Roman" w:cs="Arial"/>
        </w:rPr>
      </w:pPr>
      <w:r w:rsidRPr="00311767">
        <w:rPr>
          <w:rFonts w:eastAsia="Times New Roman" w:cs="Arial"/>
        </w:rPr>
        <w:lastRenderedPageBreak/>
        <w:t xml:space="preserve">No dose adjustment of NINLARO is required for patients with mild or moderate renal impairment (creatinine clearance ≥ 30 mL/min) based on the results of a population PK analysis. A lower dose of </w:t>
      </w:r>
      <w:r w:rsidR="00185379">
        <w:rPr>
          <w:rFonts w:eastAsia="Times New Roman" w:cs="Arial"/>
        </w:rPr>
        <w:t xml:space="preserve">one </w:t>
      </w:r>
      <w:r w:rsidRPr="00311767">
        <w:rPr>
          <w:rFonts w:eastAsia="Times New Roman" w:cs="Arial"/>
        </w:rPr>
        <w:t xml:space="preserve">3 mg </w:t>
      </w:r>
      <w:r w:rsidR="00185379">
        <w:rPr>
          <w:rFonts w:eastAsia="Times New Roman" w:cs="Arial"/>
        </w:rPr>
        <w:t xml:space="preserve">capsule </w:t>
      </w:r>
      <w:r w:rsidRPr="00311767">
        <w:rPr>
          <w:rFonts w:eastAsia="Times New Roman" w:cs="Arial"/>
        </w:rPr>
        <w:t xml:space="preserve">is recommended for patients with severe renal impairment (creatinine clearance &lt; 30 mL/min) or end stage renal disease (ESRD) requiring dialysis based on the results of a PK study. NINLARO is </w:t>
      </w:r>
      <w:r w:rsidRPr="00E107CC">
        <w:rPr>
          <w:rFonts w:eastAsia="Times New Roman" w:cs="Arial"/>
        </w:rPr>
        <w:t xml:space="preserve">not </w:t>
      </w:r>
      <w:proofErr w:type="spellStart"/>
      <w:r w:rsidRPr="00E107CC">
        <w:rPr>
          <w:rFonts w:eastAsia="Times New Roman" w:cs="Arial"/>
        </w:rPr>
        <w:t>dialy</w:t>
      </w:r>
      <w:r w:rsidR="00C02D84">
        <w:rPr>
          <w:rFonts w:eastAsia="Times New Roman" w:cs="Arial"/>
        </w:rPr>
        <w:t>s</w:t>
      </w:r>
      <w:r w:rsidRPr="00E107CC">
        <w:rPr>
          <w:rFonts w:eastAsia="Times New Roman" w:cs="Arial"/>
        </w:rPr>
        <w:t>able</w:t>
      </w:r>
      <w:proofErr w:type="spellEnd"/>
      <w:r w:rsidRPr="00E107CC">
        <w:rPr>
          <w:rFonts w:eastAsia="Times New Roman" w:cs="Arial"/>
        </w:rPr>
        <w:t xml:space="preserve"> and therefore can be administered without regard to the timing of dialysis (see </w:t>
      </w:r>
      <w:hyperlink w:anchor="_Special_Populations" w:history="1">
        <w:r w:rsidR="00E21AE6" w:rsidRPr="00541B05">
          <w:rPr>
            <w:rStyle w:val="Hyperlink"/>
            <w:rFonts w:eastAsia="Times New Roman" w:cs="Arial"/>
          </w:rPr>
          <w:t>PHARMACOLOGY, Special Populations</w:t>
        </w:r>
      </w:hyperlink>
      <w:r w:rsidRPr="00E107CC">
        <w:rPr>
          <w:rFonts w:eastAsia="Times New Roman" w:cs="Arial"/>
        </w:rPr>
        <w:t>).</w:t>
      </w:r>
    </w:p>
    <w:p w:rsidR="00311767" w:rsidRPr="00311767" w:rsidRDefault="00311767" w:rsidP="00311767">
      <w:pPr>
        <w:spacing w:after="240"/>
        <w:jc w:val="both"/>
        <w:rPr>
          <w:rFonts w:eastAsia="Times New Roman" w:cs="Arial"/>
        </w:rPr>
      </w:pPr>
      <w:r w:rsidRPr="00EE1BD2">
        <w:rPr>
          <w:rFonts w:eastAsia="Times New Roman" w:cs="Arial"/>
        </w:rPr>
        <w:t xml:space="preserve">Refer to the lenalidomide </w:t>
      </w:r>
      <w:r w:rsidR="00632C4A" w:rsidRPr="00EE1BD2">
        <w:rPr>
          <w:rFonts w:eastAsia="Times New Roman" w:cs="Arial"/>
        </w:rPr>
        <w:t xml:space="preserve">Product Information </w:t>
      </w:r>
      <w:r w:rsidRPr="00EE1BD2">
        <w:rPr>
          <w:rFonts w:eastAsia="Times New Roman" w:cs="Arial"/>
        </w:rPr>
        <w:t>for dosing recommendations in patients with renal impairment.</w:t>
      </w:r>
    </w:p>
    <w:p w:rsidR="003A3EFF" w:rsidRPr="00160B6F" w:rsidRDefault="00311767" w:rsidP="00160B6F">
      <w:pPr>
        <w:pStyle w:val="Heading2"/>
        <w:rPr>
          <w:b w:val="0"/>
          <w:i/>
          <w:u w:val="single"/>
        </w:rPr>
      </w:pPr>
      <w:r w:rsidRPr="00160B6F">
        <w:rPr>
          <w:b w:val="0"/>
          <w:i/>
          <w:u w:val="single"/>
        </w:rPr>
        <w:t>Method of administration</w:t>
      </w:r>
    </w:p>
    <w:p w:rsidR="00311767" w:rsidRPr="007010A4" w:rsidRDefault="00311767" w:rsidP="001748F2">
      <w:pPr>
        <w:pStyle w:val="Heading3"/>
      </w:pPr>
      <w:r w:rsidRPr="007010A4">
        <w:t>Oral Use</w:t>
      </w:r>
    </w:p>
    <w:p w:rsidR="00311767" w:rsidRDefault="00311767" w:rsidP="005F366F">
      <w:pPr>
        <w:rPr>
          <w:rFonts w:eastAsia="Times New Roman"/>
        </w:rPr>
      </w:pPr>
      <w:r w:rsidRPr="00311767">
        <w:rPr>
          <w:rFonts w:eastAsia="Times New Roman"/>
        </w:rPr>
        <w:t xml:space="preserve">NINLARO should be taken </w:t>
      </w:r>
      <w:r w:rsidR="00487E0B">
        <w:rPr>
          <w:rFonts w:eastAsia="Times New Roman"/>
        </w:rPr>
        <w:t xml:space="preserve">once a week on the same day and </w:t>
      </w:r>
      <w:r w:rsidRPr="00311767">
        <w:rPr>
          <w:rFonts w:eastAsia="Times New Roman"/>
        </w:rPr>
        <w:t xml:space="preserve">at approximately the same time </w:t>
      </w:r>
      <w:r w:rsidR="00487E0B">
        <w:rPr>
          <w:rFonts w:eastAsia="Times New Roman"/>
        </w:rPr>
        <w:t>for the first three weeks of a four week cycle. NINLARO should be taken</w:t>
      </w:r>
      <w:r w:rsidRPr="00311767">
        <w:rPr>
          <w:rFonts w:eastAsia="Times New Roman"/>
        </w:rPr>
        <w:t xml:space="preserve"> at least 1</w:t>
      </w:r>
      <w:r w:rsidR="001A73FC">
        <w:rPr>
          <w:rFonts w:eastAsia="Times New Roman"/>
        </w:rPr>
        <w:t> </w:t>
      </w:r>
      <w:r w:rsidR="00BF2840">
        <w:rPr>
          <w:rFonts w:eastAsia="Times New Roman"/>
        </w:rPr>
        <w:t>h</w:t>
      </w:r>
      <w:r w:rsidR="00BF2840" w:rsidRPr="00311767">
        <w:rPr>
          <w:rFonts w:eastAsia="Times New Roman"/>
        </w:rPr>
        <w:t xml:space="preserve"> </w:t>
      </w:r>
      <w:r w:rsidRPr="00311767">
        <w:rPr>
          <w:rFonts w:eastAsia="Times New Roman"/>
        </w:rPr>
        <w:t xml:space="preserve">before or at least 2 </w:t>
      </w:r>
      <w:r w:rsidR="00BF2840">
        <w:rPr>
          <w:rFonts w:eastAsia="Times New Roman"/>
        </w:rPr>
        <w:t>h</w:t>
      </w:r>
      <w:r w:rsidR="00BF2840" w:rsidRPr="00311767">
        <w:rPr>
          <w:rFonts w:eastAsia="Times New Roman"/>
        </w:rPr>
        <w:t xml:space="preserve"> </w:t>
      </w:r>
      <w:r w:rsidRPr="00311767">
        <w:rPr>
          <w:rFonts w:eastAsia="Times New Roman"/>
        </w:rPr>
        <w:t xml:space="preserve">after food. The capsule should be swallowed whole with water. The capsule should not be crushed, chewed, or opened </w:t>
      </w:r>
      <w:r w:rsidRPr="0062354E">
        <w:rPr>
          <w:rFonts w:eastAsia="Times New Roman"/>
        </w:rPr>
        <w:t xml:space="preserve">(see </w:t>
      </w:r>
      <w:hyperlink w:anchor="_Handling" w:history="1">
        <w:r w:rsidR="00036F2E" w:rsidRPr="005F366F">
          <w:rPr>
            <w:rStyle w:val="Hyperlink"/>
            <w:rFonts w:eastAsia="Times New Roman"/>
          </w:rPr>
          <w:t>PRESENTATION AND STORAGE CONDITIONS, Handling</w:t>
        </w:r>
      </w:hyperlink>
      <w:r w:rsidRPr="003E47A2">
        <w:rPr>
          <w:rFonts w:eastAsia="Times New Roman"/>
        </w:rPr>
        <w:t>).</w:t>
      </w:r>
    </w:p>
    <w:p w:rsidR="00691008" w:rsidRDefault="002D31A3" w:rsidP="001748F2">
      <w:pPr>
        <w:pStyle w:val="Heading1"/>
      </w:pPr>
      <w:r w:rsidRPr="002D31A3">
        <w:t>OVERDOSAGE</w:t>
      </w:r>
    </w:p>
    <w:p w:rsidR="00300B9D" w:rsidRPr="00300B9D" w:rsidRDefault="00300B9D" w:rsidP="006C404A">
      <w:pPr>
        <w:spacing w:after="240"/>
        <w:jc w:val="both"/>
        <w:rPr>
          <w:rFonts w:cs="Arial"/>
        </w:rPr>
      </w:pPr>
      <w:r w:rsidRPr="00300B9D">
        <w:rPr>
          <w:rFonts w:cs="Arial"/>
        </w:rPr>
        <w:t>There is no known specific antidote for NINLARO overdose. In the event of an overdose, monitor the patient and provide appropriate supportive care.</w:t>
      </w:r>
    </w:p>
    <w:p w:rsidR="006C404A" w:rsidRDefault="006C404A" w:rsidP="006C404A">
      <w:pPr>
        <w:spacing w:after="240"/>
        <w:jc w:val="both"/>
        <w:rPr>
          <w:rFonts w:cs="Arial"/>
        </w:rPr>
      </w:pPr>
      <w:r w:rsidRPr="006C404A">
        <w:rPr>
          <w:rFonts w:cs="Arial"/>
        </w:rPr>
        <w:t>For information on the management of overdose, contact the Poison Information Centre on 131126 (Australia).</w:t>
      </w:r>
    </w:p>
    <w:p w:rsidR="00691008" w:rsidRDefault="002D31A3" w:rsidP="001748F2">
      <w:pPr>
        <w:pStyle w:val="Heading1"/>
      </w:pPr>
      <w:r w:rsidRPr="00BF5CA8">
        <w:t>PRESENTATION AND STORAGE CONDITIONS</w:t>
      </w:r>
    </w:p>
    <w:p w:rsidR="00842B20" w:rsidRPr="00842B20" w:rsidRDefault="00842B20" w:rsidP="001748F2">
      <w:pPr>
        <w:rPr>
          <w:rFonts w:eastAsia="Times New Roman"/>
        </w:rPr>
      </w:pPr>
      <w:r w:rsidRPr="00842B20">
        <w:rPr>
          <w:rFonts w:eastAsia="Times New Roman"/>
        </w:rPr>
        <w:t>NINLARO is available in the following capsule strengths:</w:t>
      </w:r>
    </w:p>
    <w:p w:rsidR="00842B20" w:rsidRPr="00842B20" w:rsidRDefault="00842B20" w:rsidP="001748F2">
      <w:pPr>
        <w:rPr>
          <w:rFonts w:eastAsia="Times New Roman"/>
        </w:rPr>
      </w:pPr>
      <w:r w:rsidRPr="00842B20">
        <w:rPr>
          <w:rFonts w:eastAsia="Times New Roman"/>
        </w:rPr>
        <w:t>4 mg: Light orange gelatin capsule imprinted with the Takeda logo on the cap and 4 mg on the body</w:t>
      </w:r>
      <w:r w:rsidR="007C6064">
        <w:rPr>
          <w:rFonts w:eastAsia="Times New Roman"/>
        </w:rPr>
        <w:t>,</w:t>
      </w:r>
      <w:r w:rsidRPr="00842B20">
        <w:rPr>
          <w:rFonts w:eastAsia="Times New Roman"/>
        </w:rPr>
        <w:t xml:space="preserve"> in black ink</w:t>
      </w:r>
    </w:p>
    <w:p w:rsidR="00842B20" w:rsidRPr="00842B20" w:rsidRDefault="00842B20" w:rsidP="00E826F5">
      <w:pPr>
        <w:rPr>
          <w:rFonts w:eastAsia="Times New Roman"/>
        </w:rPr>
      </w:pPr>
      <w:r w:rsidRPr="00842B20">
        <w:rPr>
          <w:rFonts w:eastAsia="Times New Roman"/>
        </w:rPr>
        <w:t>3 mg: Light grey gelatin capsule imprinted with the Takeda logo on the cap and 3 mg on the body</w:t>
      </w:r>
      <w:r w:rsidR="007C6064">
        <w:rPr>
          <w:rFonts w:eastAsia="Times New Roman"/>
        </w:rPr>
        <w:t>,</w:t>
      </w:r>
      <w:r w:rsidRPr="00842B20">
        <w:rPr>
          <w:rFonts w:eastAsia="Times New Roman"/>
        </w:rPr>
        <w:t xml:space="preserve"> in black ink</w:t>
      </w:r>
    </w:p>
    <w:p w:rsidR="00842B20" w:rsidRDefault="00842B20" w:rsidP="001748F2">
      <w:pPr>
        <w:rPr>
          <w:rFonts w:eastAsia="Times New Roman"/>
          <w:highlight w:val="yellow"/>
        </w:rPr>
      </w:pPr>
      <w:r w:rsidRPr="00842B20">
        <w:rPr>
          <w:rFonts w:eastAsia="Times New Roman"/>
        </w:rPr>
        <w:t>2.3 mg: Light pink gelatin capsule imprinted with the Takeda logo on the cap and 2.3 mg on the body</w:t>
      </w:r>
      <w:r w:rsidR="007C6064">
        <w:rPr>
          <w:rFonts w:eastAsia="Times New Roman"/>
        </w:rPr>
        <w:t>,</w:t>
      </w:r>
      <w:r w:rsidRPr="00842B20">
        <w:rPr>
          <w:rFonts w:eastAsia="Times New Roman"/>
        </w:rPr>
        <w:t xml:space="preserve"> in black ink</w:t>
      </w:r>
    </w:p>
    <w:p w:rsidR="0067544F" w:rsidRDefault="00FC6A48" w:rsidP="001748F2">
      <w:pPr>
        <w:rPr>
          <w:rFonts w:eastAsia="Times New Roman"/>
        </w:rPr>
      </w:pPr>
      <w:r w:rsidRPr="0067544F">
        <w:rPr>
          <w:rFonts w:eastAsia="Times New Roman"/>
        </w:rPr>
        <w:t xml:space="preserve">NINLARO is available in </w:t>
      </w:r>
      <w:r w:rsidR="0067544F">
        <w:rPr>
          <w:rFonts w:eastAsia="Times New Roman"/>
        </w:rPr>
        <w:t>two pack sizes:</w:t>
      </w:r>
    </w:p>
    <w:p w:rsidR="003A3EFF" w:rsidRDefault="0067544F" w:rsidP="001748F2">
      <w:pPr>
        <w:rPr>
          <w:rFonts w:eastAsia="Times New Roman"/>
        </w:rPr>
      </w:pPr>
      <w:r w:rsidRPr="002C6CF6">
        <w:rPr>
          <w:rFonts w:eastAsia="Times New Roman"/>
        </w:rPr>
        <w:t>1 capsule or</w:t>
      </w:r>
    </w:p>
    <w:p w:rsidR="003A3EFF" w:rsidRDefault="0067544F" w:rsidP="001748F2">
      <w:r>
        <w:rPr>
          <w:rFonts w:eastAsia="Times New Roman"/>
        </w:rPr>
        <w:t>3 capsules (multi-pack</w:t>
      </w:r>
      <w:r w:rsidRPr="0067544F">
        <w:rPr>
          <w:rFonts w:eastAsia="Times New Roman"/>
        </w:rPr>
        <w:t xml:space="preserve"> with three </w:t>
      </w:r>
      <w:r w:rsidR="008E4A2D">
        <w:rPr>
          <w:rFonts w:eastAsia="Times New Roman"/>
        </w:rPr>
        <w:t>one capsule cartons)</w:t>
      </w:r>
    </w:p>
    <w:p w:rsidR="00FC6A48" w:rsidRPr="007B65D5" w:rsidRDefault="0067544F" w:rsidP="001748F2">
      <w:pPr>
        <w:rPr>
          <w:rFonts w:eastAsia="Times New Roman"/>
        </w:rPr>
      </w:pPr>
      <w:r w:rsidRPr="0067544F">
        <w:rPr>
          <w:rFonts w:eastAsia="Times New Roman"/>
        </w:rPr>
        <w:t>Capsules are individually packaged in a PVC-Aluminium/Aluminium blister.</w:t>
      </w:r>
    </w:p>
    <w:p w:rsidR="003F52D6" w:rsidRPr="003F52D6" w:rsidRDefault="003F52D6" w:rsidP="001748F2">
      <w:pPr>
        <w:rPr>
          <w:rFonts w:eastAsia="Times New Roman"/>
        </w:rPr>
      </w:pPr>
      <w:r w:rsidRPr="00581AC0">
        <w:rPr>
          <w:rFonts w:eastAsia="Times New Roman"/>
        </w:rPr>
        <w:t>Store below 30</w:t>
      </w:r>
      <w:r w:rsidR="000E5661">
        <w:rPr>
          <w:rFonts w:eastAsia="Times New Roman"/>
        </w:rPr>
        <w:t xml:space="preserve"> </w:t>
      </w:r>
      <w:r w:rsidRPr="00581AC0">
        <w:rPr>
          <w:rFonts w:eastAsia="Times New Roman"/>
        </w:rPr>
        <w:t>°C. Do not freeze. Store capsules in original packaging</w:t>
      </w:r>
      <w:r w:rsidR="00BE62FA" w:rsidRPr="00581AC0">
        <w:rPr>
          <w:rFonts w:eastAsia="Times New Roman"/>
        </w:rPr>
        <w:t xml:space="preserve"> to protect from moisture</w:t>
      </w:r>
      <w:r w:rsidRPr="00581AC0">
        <w:rPr>
          <w:rFonts w:eastAsia="Times New Roman"/>
        </w:rPr>
        <w:t>. The capsule should not be removed until just prior to dosing.</w:t>
      </w:r>
    </w:p>
    <w:p w:rsidR="003A3EFF" w:rsidRDefault="007B65D5" w:rsidP="001748F2">
      <w:pPr>
        <w:pStyle w:val="Heading3"/>
      </w:pPr>
      <w:bookmarkStart w:id="13" w:name="_Handling"/>
      <w:bookmarkEnd w:id="13"/>
      <w:r w:rsidRPr="007B65D5">
        <w:t>Handling</w:t>
      </w:r>
    </w:p>
    <w:p w:rsidR="007B65D5" w:rsidRPr="007B65D5" w:rsidRDefault="007B65D5" w:rsidP="001748F2">
      <w:pPr>
        <w:rPr>
          <w:rFonts w:eastAsia="Times New Roman"/>
        </w:rPr>
      </w:pPr>
      <w:r w:rsidRPr="007B65D5">
        <w:rPr>
          <w:rFonts w:eastAsia="Times New Roman"/>
        </w:rPr>
        <w:t xml:space="preserve">NINLARO is cytotoxic. Capsules should not be opened or crushed. Direct contact with the capsule contents should be avoided. In case of capsule breakage, avoid </w:t>
      </w:r>
      <w:r w:rsidR="00B45471" w:rsidRPr="00B45471">
        <w:rPr>
          <w:rFonts w:eastAsia="Times New Roman"/>
        </w:rPr>
        <w:t xml:space="preserve">direct contact of </w:t>
      </w:r>
      <w:r w:rsidR="00B45471" w:rsidRPr="00B45471">
        <w:rPr>
          <w:rFonts w:eastAsia="Times New Roman"/>
        </w:rPr>
        <w:lastRenderedPageBreak/>
        <w:t>capsule</w:t>
      </w:r>
      <w:r w:rsidR="00B45471">
        <w:rPr>
          <w:rFonts w:eastAsia="Times New Roman"/>
        </w:rPr>
        <w:t xml:space="preserve"> </w:t>
      </w:r>
      <w:r w:rsidR="00B45471" w:rsidRPr="00B45471">
        <w:rPr>
          <w:rFonts w:eastAsia="Times New Roman"/>
        </w:rPr>
        <w:t xml:space="preserve">contents with the skin or eyes. If </w:t>
      </w:r>
      <w:r w:rsidRPr="007B65D5">
        <w:rPr>
          <w:rFonts w:eastAsia="Times New Roman"/>
        </w:rPr>
        <w:t>contact occurs</w:t>
      </w:r>
      <w:r w:rsidR="00B45471">
        <w:rPr>
          <w:rFonts w:eastAsia="Times New Roman"/>
        </w:rPr>
        <w:t xml:space="preserve"> </w:t>
      </w:r>
      <w:r w:rsidR="00B45471" w:rsidRPr="00B45471">
        <w:rPr>
          <w:rFonts w:eastAsia="Times New Roman"/>
        </w:rPr>
        <w:t>with the skin,</w:t>
      </w:r>
      <w:r w:rsidRPr="007B65D5">
        <w:rPr>
          <w:rFonts w:eastAsia="Times New Roman"/>
        </w:rPr>
        <w:t xml:space="preserve"> wash thoroughly with soap and water. </w:t>
      </w:r>
      <w:r w:rsidR="00B45471" w:rsidRPr="00B45471">
        <w:rPr>
          <w:rFonts w:eastAsia="Times New Roman"/>
        </w:rPr>
        <w:t>If contact occurs with the eyes, flush thoroughly with water.</w:t>
      </w:r>
    </w:p>
    <w:p w:rsidR="00691008" w:rsidRDefault="002D31A3" w:rsidP="00160B6F">
      <w:pPr>
        <w:pStyle w:val="Heading1"/>
      </w:pPr>
      <w:r w:rsidRPr="002D31A3">
        <w:t>NAME AND ADDRESS OF THE SPONSOR</w:t>
      </w:r>
    </w:p>
    <w:p w:rsidR="003A3EFF" w:rsidRDefault="00021D19" w:rsidP="00021D19">
      <w:pPr>
        <w:spacing w:after="0"/>
        <w:jc w:val="both"/>
        <w:rPr>
          <w:rFonts w:eastAsia="Times New Roman" w:cs="Arial"/>
          <w:lang w:eastAsia="en-US"/>
        </w:rPr>
      </w:pPr>
      <w:r w:rsidRPr="00021D19">
        <w:rPr>
          <w:rFonts w:eastAsia="Times New Roman" w:cs="Arial"/>
          <w:lang w:eastAsia="en-US"/>
        </w:rPr>
        <w:t>Takeda Pharmaceuticals Australia Pty Ltd</w:t>
      </w:r>
    </w:p>
    <w:p w:rsidR="003E54DB" w:rsidRPr="003E54DB" w:rsidRDefault="003E54DB" w:rsidP="003E54DB">
      <w:pPr>
        <w:spacing w:after="0"/>
        <w:jc w:val="both"/>
        <w:rPr>
          <w:rFonts w:eastAsia="Times New Roman" w:cs="Arial"/>
          <w:lang w:eastAsia="en-US"/>
        </w:rPr>
      </w:pPr>
      <w:r w:rsidRPr="003E54DB">
        <w:rPr>
          <w:rFonts w:eastAsia="Times New Roman" w:cs="Arial"/>
          <w:lang w:eastAsia="en-US"/>
        </w:rPr>
        <w:t>Level 5</w:t>
      </w:r>
    </w:p>
    <w:p w:rsidR="003E54DB" w:rsidRPr="003E54DB" w:rsidRDefault="003E54DB" w:rsidP="003E54DB">
      <w:pPr>
        <w:spacing w:after="0"/>
        <w:jc w:val="both"/>
        <w:rPr>
          <w:rFonts w:eastAsia="Times New Roman" w:cs="Arial"/>
          <w:lang w:eastAsia="en-US"/>
        </w:rPr>
      </w:pPr>
      <w:r w:rsidRPr="003E54DB">
        <w:rPr>
          <w:rFonts w:eastAsia="Times New Roman" w:cs="Arial"/>
          <w:lang w:eastAsia="en-US"/>
        </w:rPr>
        <w:t>2 Chifley Square</w:t>
      </w:r>
    </w:p>
    <w:p w:rsidR="003E54DB" w:rsidRDefault="003E54DB">
      <w:pPr>
        <w:spacing w:after="240"/>
        <w:jc w:val="both"/>
        <w:rPr>
          <w:rFonts w:eastAsia="Times New Roman" w:cs="Arial"/>
          <w:lang w:eastAsia="en-US"/>
        </w:rPr>
      </w:pPr>
      <w:r w:rsidRPr="003E54DB">
        <w:rPr>
          <w:rFonts w:eastAsia="Times New Roman" w:cs="Arial"/>
          <w:lang w:eastAsia="en-US"/>
        </w:rPr>
        <w:t>Sydney NSW 2000</w:t>
      </w:r>
    </w:p>
    <w:p w:rsidR="00691008" w:rsidRDefault="002D31A3" w:rsidP="00160B6F">
      <w:pPr>
        <w:pStyle w:val="Heading1"/>
      </w:pPr>
      <w:r w:rsidRPr="002D31A3">
        <w:t>POISON SCHEDULE OF THE MEDICINE</w:t>
      </w:r>
    </w:p>
    <w:p w:rsidR="00677CCF" w:rsidRDefault="00E27F68" w:rsidP="00677CCF">
      <w:pPr>
        <w:spacing w:after="240"/>
        <w:jc w:val="both"/>
        <w:rPr>
          <w:rFonts w:eastAsia="Times New Roman" w:cs="Arial"/>
        </w:rPr>
      </w:pPr>
      <w:r w:rsidRPr="00E27F68">
        <w:rPr>
          <w:rFonts w:eastAsia="Times New Roman" w:cs="Arial"/>
        </w:rPr>
        <w:t>Prescription Only Medicine (Schedule 4)</w:t>
      </w:r>
    </w:p>
    <w:p w:rsidR="00691008" w:rsidRDefault="002D31A3" w:rsidP="00160B6F">
      <w:pPr>
        <w:pStyle w:val="Heading1"/>
      </w:pPr>
      <w:r w:rsidRPr="002D31A3">
        <w:t>DATE OF FIRST INCLUSION IN THE AUSTRALIAN REGISTER OF THERAPEUTIC GOODS (the ARTG)</w:t>
      </w:r>
    </w:p>
    <w:p w:rsidR="003122AF" w:rsidRPr="00135BF4" w:rsidRDefault="00135BF4" w:rsidP="003122AF">
      <w:pPr>
        <w:spacing w:after="240"/>
        <w:jc w:val="both"/>
        <w:rPr>
          <w:rFonts w:eastAsia="Times New Roman" w:cs="Arial"/>
        </w:rPr>
      </w:pPr>
      <w:r>
        <w:rPr>
          <w:rFonts w:eastAsia="Times New Roman" w:cs="Arial"/>
        </w:rPr>
        <w:t>15 November 2016</w:t>
      </w:r>
    </w:p>
    <w:sectPr w:rsidR="003122AF" w:rsidRPr="00135BF4" w:rsidSect="00541B05">
      <w:headerReference w:type="default" r:id="rId11"/>
      <w:footerReference w:type="default" r:id="rId12"/>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6F" w:rsidRDefault="005F366F" w:rsidP="00A20F6E">
      <w:pPr>
        <w:spacing w:after="0"/>
      </w:pPr>
      <w:r>
        <w:separator/>
      </w:r>
    </w:p>
  </w:endnote>
  <w:endnote w:type="continuationSeparator" w:id="0">
    <w:p w:rsidR="005F366F" w:rsidRDefault="005F366F" w:rsidP="00A20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Bold">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4275"/>
      <w:docPartObj>
        <w:docPartGallery w:val="Page Numbers (Bottom of Page)"/>
        <w:docPartUnique/>
      </w:docPartObj>
    </w:sdtPr>
    <w:sdtContent>
      <w:tbl>
        <w:tblPr>
          <w:tblW w:w="0" w:type="auto"/>
          <w:tblBorders>
            <w:top w:val="single" w:sz="4" w:space="0" w:color="auto"/>
          </w:tblBorders>
          <w:tblLook w:val="0000" w:firstRow="0" w:lastRow="0" w:firstColumn="0" w:lastColumn="0" w:noHBand="0" w:noVBand="0"/>
        </w:tblPr>
        <w:tblGrid>
          <w:gridCol w:w="3125"/>
          <w:gridCol w:w="3071"/>
          <w:gridCol w:w="3046"/>
        </w:tblGrid>
        <w:tr w:rsidR="005F366F" w:rsidRPr="00F02206" w:rsidTr="00541B05">
          <w:tc>
            <w:tcPr>
              <w:tcW w:w="3125" w:type="dxa"/>
            </w:tcPr>
            <w:p w:rsidR="005F366F" w:rsidRPr="00135BF4" w:rsidRDefault="005F366F" w:rsidP="00E27F68">
              <w:pPr>
                <w:pStyle w:val="Footer"/>
                <w:tabs>
                  <w:tab w:val="right" w:pos="-1843"/>
                  <w:tab w:val="center" w:pos="4962"/>
                  <w:tab w:val="right" w:pos="9923"/>
                  <w:tab w:val="right" w:pos="10632"/>
                </w:tabs>
                <w:rPr>
                  <w:rStyle w:val="PageNumber"/>
                  <w:bCs/>
                  <w:iCs/>
                  <w:sz w:val="16"/>
                </w:rPr>
              </w:pPr>
              <w:r w:rsidRPr="00135BF4">
                <w:rPr>
                  <w:bCs/>
                  <w:iCs/>
                </w:rPr>
                <w:t xml:space="preserve">NINLARO® PI </w:t>
              </w:r>
            </w:p>
          </w:tc>
          <w:tc>
            <w:tcPr>
              <w:tcW w:w="3071" w:type="dxa"/>
            </w:tcPr>
            <w:p w:rsidR="005F366F" w:rsidRPr="00135BF4" w:rsidRDefault="005F366F" w:rsidP="00C80524">
              <w:pPr>
                <w:pStyle w:val="Footer"/>
                <w:tabs>
                  <w:tab w:val="right" w:pos="-1843"/>
                  <w:tab w:val="center" w:pos="4962"/>
                  <w:tab w:val="right" w:pos="9923"/>
                  <w:tab w:val="right" w:pos="10632"/>
                </w:tabs>
                <w:jc w:val="center"/>
                <w:rPr>
                  <w:rStyle w:val="PageNumber"/>
                  <w:bCs/>
                  <w:iCs/>
                </w:rPr>
              </w:pPr>
              <w:r w:rsidRPr="00135BF4">
                <w:rPr>
                  <w:rStyle w:val="PageNumber"/>
                  <w:bCs/>
                  <w:iCs/>
                </w:rPr>
                <w:t>version 1.0</w:t>
              </w:r>
            </w:p>
          </w:tc>
          <w:tc>
            <w:tcPr>
              <w:tcW w:w="3046" w:type="dxa"/>
            </w:tcPr>
            <w:p w:rsidR="005F366F" w:rsidRPr="00135BF4" w:rsidRDefault="005F366F" w:rsidP="002D7F2C">
              <w:pPr>
                <w:pStyle w:val="Footer"/>
                <w:tabs>
                  <w:tab w:val="right" w:pos="-1843"/>
                  <w:tab w:val="center" w:pos="4962"/>
                  <w:tab w:val="right" w:pos="9923"/>
                  <w:tab w:val="right" w:pos="10632"/>
                </w:tabs>
                <w:jc w:val="right"/>
                <w:rPr>
                  <w:rStyle w:val="PageNumber"/>
                  <w:bCs/>
                  <w:iCs/>
                </w:rPr>
              </w:pPr>
              <w:r w:rsidRPr="00135BF4">
                <w:rPr>
                  <w:bCs/>
                  <w:iCs/>
                </w:rPr>
                <w:t xml:space="preserve">Page </w:t>
              </w:r>
              <w:r w:rsidRPr="00135BF4">
                <w:rPr>
                  <w:rStyle w:val="PageNumber"/>
                  <w:iCs/>
                </w:rPr>
                <w:fldChar w:fldCharType="begin"/>
              </w:r>
              <w:r w:rsidRPr="00135BF4">
                <w:rPr>
                  <w:rStyle w:val="PageNumber"/>
                  <w:iCs/>
                </w:rPr>
                <w:instrText xml:space="preserve"> PAGE </w:instrText>
              </w:r>
              <w:r w:rsidRPr="00135BF4">
                <w:rPr>
                  <w:rStyle w:val="PageNumber"/>
                  <w:iCs/>
                </w:rPr>
                <w:fldChar w:fldCharType="separate"/>
              </w:r>
              <w:r w:rsidR="00160B6F">
                <w:rPr>
                  <w:rStyle w:val="PageNumber"/>
                  <w:iCs/>
                  <w:noProof/>
                </w:rPr>
                <w:t>1</w:t>
              </w:r>
              <w:r w:rsidRPr="00135BF4">
                <w:rPr>
                  <w:rStyle w:val="PageNumber"/>
                  <w:iCs/>
                </w:rPr>
                <w:fldChar w:fldCharType="end"/>
              </w:r>
              <w:r w:rsidRPr="00135BF4">
                <w:rPr>
                  <w:bCs/>
                  <w:iCs/>
                </w:rPr>
                <w:t xml:space="preserve"> </w:t>
              </w:r>
            </w:p>
          </w:tc>
        </w:tr>
      </w:tbl>
      <w:p w:rsidR="005F366F" w:rsidRDefault="005F366F" w:rsidP="00541B05">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6F" w:rsidRDefault="005F366F" w:rsidP="00A20F6E">
      <w:pPr>
        <w:spacing w:after="0"/>
      </w:pPr>
      <w:r>
        <w:separator/>
      </w:r>
    </w:p>
  </w:footnote>
  <w:footnote w:type="continuationSeparator" w:id="0">
    <w:p w:rsidR="005F366F" w:rsidRDefault="005F366F" w:rsidP="00A20F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EA" w:rsidRPr="00DD7AEA" w:rsidRDefault="00DD7AEA" w:rsidP="00DD7AEA">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DD7AEA">
      <w:rPr>
        <w:b/>
        <w:sz w:val="20"/>
        <w:szCs w:val="20"/>
      </w:rPr>
      <w:t>AusPAR</w:t>
    </w:r>
    <w:proofErr w:type="spellEnd"/>
    <w:r w:rsidRPr="00DD7AEA">
      <w:rPr>
        <w:b/>
        <w:sz w:val="20"/>
        <w:szCs w:val="20"/>
      </w:rPr>
      <w:t xml:space="preserve"> </w:t>
    </w:r>
    <w:r>
      <w:rPr>
        <w:b/>
        <w:sz w:val="20"/>
        <w:szCs w:val="20"/>
      </w:rPr>
      <w:t xml:space="preserve">NINLARO </w:t>
    </w:r>
    <w:proofErr w:type="spellStart"/>
    <w:r>
      <w:rPr>
        <w:b/>
        <w:sz w:val="20"/>
        <w:szCs w:val="20"/>
      </w:rPr>
      <w:t>Ixazomib</w:t>
    </w:r>
    <w:proofErr w:type="spellEnd"/>
    <w:r>
      <w:rPr>
        <w:b/>
        <w:sz w:val="20"/>
        <w:szCs w:val="20"/>
      </w:rPr>
      <w:t xml:space="preserve"> citrate Takeda </w:t>
    </w:r>
    <w:r w:rsidRPr="00DD7AEA">
      <w:rPr>
        <w:b/>
        <w:sz w:val="20"/>
        <w:szCs w:val="20"/>
      </w:rPr>
      <w:t xml:space="preserve">Pharmaceuticals Australia Pty </w:t>
    </w:r>
    <w:r>
      <w:rPr>
        <w:b/>
        <w:sz w:val="20"/>
        <w:szCs w:val="20"/>
      </w:rPr>
      <w:t xml:space="preserve">Ltd PM-2015-02758-1-4 </w:t>
    </w:r>
    <w:r w:rsidRPr="00DD7AEA">
      <w:rPr>
        <w:b/>
        <w:sz w:val="20"/>
        <w:szCs w:val="20"/>
      </w:rPr>
      <w:t>FINAL 7 November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6C0F"/>
    <w:multiLevelType w:val="hybridMultilevel"/>
    <w:tmpl w:val="1DE2E338"/>
    <w:lvl w:ilvl="0" w:tplc="0C090001">
      <w:start w:val="1"/>
      <w:numFmt w:val="bullet"/>
      <w:lvlText w:val=""/>
      <w:lvlJc w:val="left"/>
      <w:pPr>
        <w:ind w:left="720" w:hanging="360"/>
      </w:pPr>
      <w:rPr>
        <w:rFonts w:ascii="Symbol" w:hAnsi="Symbol"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F50CB3"/>
    <w:multiLevelType w:val="hybridMultilevel"/>
    <w:tmpl w:val="A09E5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4D1889"/>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930019"/>
    <w:multiLevelType w:val="hybridMultilevel"/>
    <w:tmpl w:val="F26CC1B4"/>
    <w:lvl w:ilvl="0" w:tplc="0C09000F">
      <w:start w:val="1"/>
      <w:numFmt w:val="decimal"/>
      <w:lvlText w:val="%1."/>
      <w:lvlJc w:val="left"/>
      <w:pPr>
        <w:ind w:left="720" w:hanging="360"/>
      </w:pPr>
      <w:rPr>
        <w:rFonts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2F0841"/>
    <w:multiLevelType w:val="hybridMultilevel"/>
    <w:tmpl w:val="B46AB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91D1267"/>
    <w:multiLevelType w:val="hybridMultilevel"/>
    <w:tmpl w:val="39D86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976439D"/>
    <w:multiLevelType w:val="hybridMultilevel"/>
    <w:tmpl w:val="2ED2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A3F93"/>
    <w:multiLevelType w:val="hybridMultilevel"/>
    <w:tmpl w:val="5BF67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3AD2744"/>
    <w:multiLevelType w:val="hybridMultilevel"/>
    <w:tmpl w:val="EA80B418"/>
    <w:lvl w:ilvl="0" w:tplc="AE64B8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E7067E"/>
    <w:multiLevelType w:val="hybridMultilevel"/>
    <w:tmpl w:val="86EED046"/>
    <w:lvl w:ilvl="0" w:tplc="B6BE3CF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7303E6A"/>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C4A719A"/>
    <w:multiLevelType w:val="hybridMultilevel"/>
    <w:tmpl w:val="F6469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5"/>
  </w:num>
  <w:num w:numId="5">
    <w:abstractNumId w:val="3"/>
  </w:num>
  <w:num w:numId="6">
    <w:abstractNumId w:val="6"/>
  </w:num>
  <w:num w:numId="7">
    <w:abstractNumId w:val="1"/>
  </w:num>
  <w:num w:numId="8">
    <w:abstractNumId w:val="9"/>
  </w:num>
  <w:num w:numId="9">
    <w:abstractNumId w:val="8"/>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66"/>
    <w:rsid w:val="00001B21"/>
    <w:rsid w:val="00002127"/>
    <w:rsid w:val="00004C7D"/>
    <w:rsid w:val="00004FB3"/>
    <w:rsid w:val="00010756"/>
    <w:rsid w:val="00011EEE"/>
    <w:rsid w:val="000123D1"/>
    <w:rsid w:val="00012DA7"/>
    <w:rsid w:val="000154F2"/>
    <w:rsid w:val="00015EDA"/>
    <w:rsid w:val="00021D19"/>
    <w:rsid w:val="00024C76"/>
    <w:rsid w:val="00025301"/>
    <w:rsid w:val="00026392"/>
    <w:rsid w:val="0002661E"/>
    <w:rsid w:val="0002685A"/>
    <w:rsid w:val="00032848"/>
    <w:rsid w:val="000336EF"/>
    <w:rsid w:val="00033A82"/>
    <w:rsid w:val="000343DD"/>
    <w:rsid w:val="00036F2E"/>
    <w:rsid w:val="00043E0B"/>
    <w:rsid w:val="00045779"/>
    <w:rsid w:val="000467FC"/>
    <w:rsid w:val="00050E96"/>
    <w:rsid w:val="00057D48"/>
    <w:rsid w:val="00064116"/>
    <w:rsid w:val="0006480E"/>
    <w:rsid w:val="000663CC"/>
    <w:rsid w:val="00066474"/>
    <w:rsid w:val="000755DC"/>
    <w:rsid w:val="000770F3"/>
    <w:rsid w:val="0008021D"/>
    <w:rsid w:val="000817C3"/>
    <w:rsid w:val="00082639"/>
    <w:rsid w:val="00082BF0"/>
    <w:rsid w:val="0008774D"/>
    <w:rsid w:val="00090733"/>
    <w:rsid w:val="00090A8B"/>
    <w:rsid w:val="00093E30"/>
    <w:rsid w:val="000A2977"/>
    <w:rsid w:val="000A2D77"/>
    <w:rsid w:val="000A6160"/>
    <w:rsid w:val="000A73C4"/>
    <w:rsid w:val="000B2640"/>
    <w:rsid w:val="000B3FD0"/>
    <w:rsid w:val="000C1F2C"/>
    <w:rsid w:val="000C24AC"/>
    <w:rsid w:val="000C3C85"/>
    <w:rsid w:val="000C63A1"/>
    <w:rsid w:val="000C69EF"/>
    <w:rsid w:val="000C7BE2"/>
    <w:rsid w:val="000E5661"/>
    <w:rsid w:val="000F098E"/>
    <w:rsid w:val="000F11C8"/>
    <w:rsid w:val="000F2143"/>
    <w:rsid w:val="000F29B9"/>
    <w:rsid w:val="000F5804"/>
    <w:rsid w:val="00103D18"/>
    <w:rsid w:val="001058D2"/>
    <w:rsid w:val="00105DB9"/>
    <w:rsid w:val="00112F6F"/>
    <w:rsid w:val="00113315"/>
    <w:rsid w:val="00121BC9"/>
    <w:rsid w:val="0012221A"/>
    <w:rsid w:val="00122A69"/>
    <w:rsid w:val="00122FED"/>
    <w:rsid w:val="001238A7"/>
    <w:rsid w:val="00127472"/>
    <w:rsid w:val="0012792A"/>
    <w:rsid w:val="00127A15"/>
    <w:rsid w:val="00132476"/>
    <w:rsid w:val="0013356B"/>
    <w:rsid w:val="00135BF4"/>
    <w:rsid w:val="001374E0"/>
    <w:rsid w:val="00140FC9"/>
    <w:rsid w:val="00143EC0"/>
    <w:rsid w:val="00152F1E"/>
    <w:rsid w:val="00160774"/>
    <w:rsid w:val="00160B6F"/>
    <w:rsid w:val="00163C68"/>
    <w:rsid w:val="00164E64"/>
    <w:rsid w:val="00166049"/>
    <w:rsid w:val="001700D1"/>
    <w:rsid w:val="00170680"/>
    <w:rsid w:val="001748F2"/>
    <w:rsid w:val="00174CC7"/>
    <w:rsid w:val="00174DA7"/>
    <w:rsid w:val="00183A84"/>
    <w:rsid w:val="00183F86"/>
    <w:rsid w:val="00185379"/>
    <w:rsid w:val="00187B21"/>
    <w:rsid w:val="0019397A"/>
    <w:rsid w:val="00193A63"/>
    <w:rsid w:val="00194F98"/>
    <w:rsid w:val="0019618E"/>
    <w:rsid w:val="0019705E"/>
    <w:rsid w:val="00197D15"/>
    <w:rsid w:val="001A5016"/>
    <w:rsid w:val="001A51DA"/>
    <w:rsid w:val="001A70B2"/>
    <w:rsid w:val="001A73FC"/>
    <w:rsid w:val="001B208A"/>
    <w:rsid w:val="001B26DA"/>
    <w:rsid w:val="001C415F"/>
    <w:rsid w:val="001C4728"/>
    <w:rsid w:val="001D365A"/>
    <w:rsid w:val="001D37C9"/>
    <w:rsid w:val="001D6A61"/>
    <w:rsid w:val="001F025A"/>
    <w:rsid w:val="001F2FEC"/>
    <w:rsid w:val="001F32D2"/>
    <w:rsid w:val="001F4F5B"/>
    <w:rsid w:val="00200A46"/>
    <w:rsid w:val="002019A9"/>
    <w:rsid w:val="00201FFC"/>
    <w:rsid w:val="00203193"/>
    <w:rsid w:val="002056C2"/>
    <w:rsid w:val="002071DA"/>
    <w:rsid w:val="002075BD"/>
    <w:rsid w:val="00207A1A"/>
    <w:rsid w:val="00207D24"/>
    <w:rsid w:val="00215297"/>
    <w:rsid w:val="00216F6E"/>
    <w:rsid w:val="00217E76"/>
    <w:rsid w:val="00220D3B"/>
    <w:rsid w:val="00221BCD"/>
    <w:rsid w:val="00222E99"/>
    <w:rsid w:val="002242BF"/>
    <w:rsid w:val="00225F12"/>
    <w:rsid w:val="002266EC"/>
    <w:rsid w:val="0023442A"/>
    <w:rsid w:val="00237C26"/>
    <w:rsid w:val="00243F3D"/>
    <w:rsid w:val="002456EF"/>
    <w:rsid w:val="00251230"/>
    <w:rsid w:val="00251E9D"/>
    <w:rsid w:val="002543F9"/>
    <w:rsid w:val="0025778C"/>
    <w:rsid w:val="00261BDA"/>
    <w:rsid w:val="00262C53"/>
    <w:rsid w:val="002666B2"/>
    <w:rsid w:val="00267272"/>
    <w:rsid w:val="00267F1A"/>
    <w:rsid w:val="00274821"/>
    <w:rsid w:val="00281813"/>
    <w:rsid w:val="00282B41"/>
    <w:rsid w:val="00283679"/>
    <w:rsid w:val="002843FC"/>
    <w:rsid w:val="002845D7"/>
    <w:rsid w:val="002850C1"/>
    <w:rsid w:val="00286EB7"/>
    <w:rsid w:val="00290572"/>
    <w:rsid w:val="0029061E"/>
    <w:rsid w:val="0029132A"/>
    <w:rsid w:val="00291845"/>
    <w:rsid w:val="0029592A"/>
    <w:rsid w:val="002962AB"/>
    <w:rsid w:val="002A1C11"/>
    <w:rsid w:val="002A25E1"/>
    <w:rsid w:val="002A3CB1"/>
    <w:rsid w:val="002B296F"/>
    <w:rsid w:val="002B2D05"/>
    <w:rsid w:val="002B3C63"/>
    <w:rsid w:val="002C2146"/>
    <w:rsid w:val="002C22FB"/>
    <w:rsid w:val="002C6CF6"/>
    <w:rsid w:val="002D255E"/>
    <w:rsid w:val="002D2BA6"/>
    <w:rsid w:val="002D31A3"/>
    <w:rsid w:val="002D7F2C"/>
    <w:rsid w:val="002E1734"/>
    <w:rsid w:val="002E1FBD"/>
    <w:rsid w:val="002E5728"/>
    <w:rsid w:val="002F0915"/>
    <w:rsid w:val="002F09ED"/>
    <w:rsid w:val="002F259D"/>
    <w:rsid w:val="002F4288"/>
    <w:rsid w:val="002F4B3F"/>
    <w:rsid w:val="002F5225"/>
    <w:rsid w:val="002F5A28"/>
    <w:rsid w:val="002F65F2"/>
    <w:rsid w:val="00300B9D"/>
    <w:rsid w:val="00300D4E"/>
    <w:rsid w:val="003033C8"/>
    <w:rsid w:val="00305418"/>
    <w:rsid w:val="00305445"/>
    <w:rsid w:val="00307A5E"/>
    <w:rsid w:val="00311767"/>
    <w:rsid w:val="003122AF"/>
    <w:rsid w:val="00313415"/>
    <w:rsid w:val="00315D14"/>
    <w:rsid w:val="00316640"/>
    <w:rsid w:val="00323592"/>
    <w:rsid w:val="0033170F"/>
    <w:rsid w:val="003345BD"/>
    <w:rsid w:val="003367C7"/>
    <w:rsid w:val="0033798E"/>
    <w:rsid w:val="00340428"/>
    <w:rsid w:val="00340D10"/>
    <w:rsid w:val="0034216E"/>
    <w:rsid w:val="003447AB"/>
    <w:rsid w:val="00344C0D"/>
    <w:rsid w:val="0035430F"/>
    <w:rsid w:val="003554F5"/>
    <w:rsid w:val="00355C9E"/>
    <w:rsid w:val="00356A06"/>
    <w:rsid w:val="0036105C"/>
    <w:rsid w:val="0036366E"/>
    <w:rsid w:val="00370AA9"/>
    <w:rsid w:val="00370E88"/>
    <w:rsid w:val="00380204"/>
    <w:rsid w:val="00381DA0"/>
    <w:rsid w:val="00387590"/>
    <w:rsid w:val="00392CBC"/>
    <w:rsid w:val="00392EB8"/>
    <w:rsid w:val="00394372"/>
    <w:rsid w:val="00396378"/>
    <w:rsid w:val="00396951"/>
    <w:rsid w:val="003A0359"/>
    <w:rsid w:val="003A178B"/>
    <w:rsid w:val="003A34F7"/>
    <w:rsid w:val="003A3CE4"/>
    <w:rsid w:val="003A3EFF"/>
    <w:rsid w:val="003A47E0"/>
    <w:rsid w:val="003A6665"/>
    <w:rsid w:val="003B114B"/>
    <w:rsid w:val="003B2A3C"/>
    <w:rsid w:val="003B559B"/>
    <w:rsid w:val="003B5B6B"/>
    <w:rsid w:val="003B66AE"/>
    <w:rsid w:val="003B6E28"/>
    <w:rsid w:val="003C070D"/>
    <w:rsid w:val="003C0834"/>
    <w:rsid w:val="003C64F2"/>
    <w:rsid w:val="003D19F4"/>
    <w:rsid w:val="003D38E8"/>
    <w:rsid w:val="003D4309"/>
    <w:rsid w:val="003D7D2A"/>
    <w:rsid w:val="003E47A2"/>
    <w:rsid w:val="003E47D0"/>
    <w:rsid w:val="003E54DB"/>
    <w:rsid w:val="003E54FF"/>
    <w:rsid w:val="003E6344"/>
    <w:rsid w:val="003E7C9E"/>
    <w:rsid w:val="003F2E72"/>
    <w:rsid w:val="003F3CCA"/>
    <w:rsid w:val="003F4C3E"/>
    <w:rsid w:val="003F52D6"/>
    <w:rsid w:val="00405308"/>
    <w:rsid w:val="0041147D"/>
    <w:rsid w:val="004115A3"/>
    <w:rsid w:val="00412088"/>
    <w:rsid w:val="00412E37"/>
    <w:rsid w:val="004158C7"/>
    <w:rsid w:val="00420DC2"/>
    <w:rsid w:val="00430D38"/>
    <w:rsid w:val="00440F9C"/>
    <w:rsid w:val="00445AFE"/>
    <w:rsid w:val="00455046"/>
    <w:rsid w:val="0045586C"/>
    <w:rsid w:val="00461700"/>
    <w:rsid w:val="0046270B"/>
    <w:rsid w:val="0046466C"/>
    <w:rsid w:val="004662B0"/>
    <w:rsid w:val="004669E1"/>
    <w:rsid w:val="0047374C"/>
    <w:rsid w:val="0047552A"/>
    <w:rsid w:val="00482E48"/>
    <w:rsid w:val="00483DDA"/>
    <w:rsid w:val="00487E0B"/>
    <w:rsid w:val="00496394"/>
    <w:rsid w:val="004B3BE0"/>
    <w:rsid w:val="004B47B0"/>
    <w:rsid w:val="004C028C"/>
    <w:rsid w:val="004C1A0A"/>
    <w:rsid w:val="004C223E"/>
    <w:rsid w:val="004C2C0A"/>
    <w:rsid w:val="004C36CC"/>
    <w:rsid w:val="004C3EE3"/>
    <w:rsid w:val="004C4523"/>
    <w:rsid w:val="004C49DB"/>
    <w:rsid w:val="004C5D9D"/>
    <w:rsid w:val="004D167D"/>
    <w:rsid w:val="004D27D4"/>
    <w:rsid w:val="004D35DC"/>
    <w:rsid w:val="004E3EBE"/>
    <w:rsid w:val="004F0CCD"/>
    <w:rsid w:val="004F1B75"/>
    <w:rsid w:val="004F6968"/>
    <w:rsid w:val="005020ED"/>
    <w:rsid w:val="00502E96"/>
    <w:rsid w:val="00503376"/>
    <w:rsid w:val="00506327"/>
    <w:rsid w:val="00507312"/>
    <w:rsid w:val="00507AA8"/>
    <w:rsid w:val="0051007D"/>
    <w:rsid w:val="005172FE"/>
    <w:rsid w:val="0052056D"/>
    <w:rsid w:val="00520991"/>
    <w:rsid w:val="00520DC9"/>
    <w:rsid w:val="00523118"/>
    <w:rsid w:val="00523A45"/>
    <w:rsid w:val="00524987"/>
    <w:rsid w:val="005315FB"/>
    <w:rsid w:val="00533354"/>
    <w:rsid w:val="005343E6"/>
    <w:rsid w:val="00534976"/>
    <w:rsid w:val="0053581F"/>
    <w:rsid w:val="0053598B"/>
    <w:rsid w:val="00535E7A"/>
    <w:rsid w:val="00537D51"/>
    <w:rsid w:val="005407B3"/>
    <w:rsid w:val="00541B05"/>
    <w:rsid w:val="00542C03"/>
    <w:rsid w:val="005444D6"/>
    <w:rsid w:val="00550CFF"/>
    <w:rsid w:val="00551158"/>
    <w:rsid w:val="00552E15"/>
    <w:rsid w:val="0055500E"/>
    <w:rsid w:val="00556249"/>
    <w:rsid w:val="005567A6"/>
    <w:rsid w:val="0056610F"/>
    <w:rsid w:val="00566883"/>
    <w:rsid w:val="005707D7"/>
    <w:rsid w:val="00571BE9"/>
    <w:rsid w:val="00576768"/>
    <w:rsid w:val="005817AD"/>
    <w:rsid w:val="00581AC0"/>
    <w:rsid w:val="00582126"/>
    <w:rsid w:val="005901F5"/>
    <w:rsid w:val="00590AF9"/>
    <w:rsid w:val="00592DB7"/>
    <w:rsid w:val="005936A8"/>
    <w:rsid w:val="00594838"/>
    <w:rsid w:val="005A0CFA"/>
    <w:rsid w:val="005A0D40"/>
    <w:rsid w:val="005A1D94"/>
    <w:rsid w:val="005A3000"/>
    <w:rsid w:val="005B32B2"/>
    <w:rsid w:val="005B3E37"/>
    <w:rsid w:val="005B5F6C"/>
    <w:rsid w:val="005B7C64"/>
    <w:rsid w:val="005B7F8D"/>
    <w:rsid w:val="005C10EF"/>
    <w:rsid w:val="005C2025"/>
    <w:rsid w:val="005C3FF7"/>
    <w:rsid w:val="005C78D5"/>
    <w:rsid w:val="005D0FC2"/>
    <w:rsid w:val="005D52EE"/>
    <w:rsid w:val="005D7EAD"/>
    <w:rsid w:val="005E4B31"/>
    <w:rsid w:val="005E6E52"/>
    <w:rsid w:val="005F0CD4"/>
    <w:rsid w:val="005F366F"/>
    <w:rsid w:val="005F65A6"/>
    <w:rsid w:val="005F74D3"/>
    <w:rsid w:val="00602017"/>
    <w:rsid w:val="0061214C"/>
    <w:rsid w:val="00613B99"/>
    <w:rsid w:val="00617416"/>
    <w:rsid w:val="00621D71"/>
    <w:rsid w:val="0062306D"/>
    <w:rsid w:val="0062354E"/>
    <w:rsid w:val="00630BC7"/>
    <w:rsid w:val="0063113F"/>
    <w:rsid w:val="00632C4A"/>
    <w:rsid w:val="00633D8E"/>
    <w:rsid w:val="006368A2"/>
    <w:rsid w:val="00637176"/>
    <w:rsid w:val="00640A5A"/>
    <w:rsid w:val="00640ABD"/>
    <w:rsid w:val="00640B29"/>
    <w:rsid w:val="00641113"/>
    <w:rsid w:val="00643366"/>
    <w:rsid w:val="00644110"/>
    <w:rsid w:val="0064600A"/>
    <w:rsid w:val="006474AB"/>
    <w:rsid w:val="00647E5C"/>
    <w:rsid w:val="00650014"/>
    <w:rsid w:val="006646C5"/>
    <w:rsid w:val="006718D5"/>
    <w:rsid w:val="00671F98"/>
    <w:rsid w:val="00672E0C"/>
    <w:rsid w:val="00674F61"/>
    <w:rsid w:val="0067544F"/>
    <w:rsid w:val="00675BB7"/>
    <w:rsid w:val="00677CCF"/>
    <w:rsid w:val="006806B0"/>
    <w:rsid w:val="00684966"/>
    <w:rsid w:val="00686B93"/>
    <w:rsid w:val="0069048F"/>
    <w:rsid w:val="00691008"/>
    <w:rsid w:val="00692BE6"/>
    <w:rsid w:val="00695933"/>
    <w:rsid w:val="00696696"/>
    <w:rsid w:val="00696AEA"/>
    <w:rsid w:val="006A026A"/>
    <w:rsid w:val="006A12FA"/>
    <w:rsid w:val="006B158F"/>
    <w:rsid w:val="006B7EC1"/>
    <w:rsid w:val="006C404A"/>
    <w:rsid w:val="006C5CD0"/>
    <w:rsid w:val="006D1BE0"/>
    <w:rsid w:val="006D1D9E"/>
    <w:rsid w:val="006D5438"/>
    <w:rsid w:val="006D55D8"/>
    <w:rsid w:val="006D6C8F"/>
    <w:rsid w:val="006D7306"/>
    <w:rsid w:val="006E481E"/>
    <w:rsid w:val="006E646C"/>
    <w:rsid w:val="006F0259"/>
    <w:rsid w:val="006F04D5"/>
    <w:rsid w:val="006F0C4A"/>
    <w:rsid w:val="006F21E1"/>
    <w:rsid w:val="006F5402"/>
    <w:rsid w:val="006F5DA8"/>
    <w:rsid w:val="006F692F"/>
    <w:rsid w:val="006F7D6D"/>
    <w:rsid w:val="00700F29"/>
    <w:rsid w:val="007010A4"/>
    <w:rsid w:val="0070299B"/>
    <w:rsid w:val="00706185"/>
    <w:rsid w:val="007069BD"/>
    <w:rsid w:val="00710AF4"/>
    <w:rsid w:val="0071347F"/>
    <w:rsid w:val="00716672"/>
    <w:rsid w:val="007201F1"/>
    <w:rsid w:val="007204D7"/>
    <w:rsid w:val="00720BBA"/>
    <w:rsid w:val="0072185D"/>
    <w:rsid w:val="00723217"/>
    <w:rsid w:val="00724BBB"/>
    <w:rsid w:val="00734D01"/>
    <w:rsid w:val="00743C89"/>
    <w:rsid w:val="007451AE"/>
    <w:rsid w:val="007453AE"/>
    <w:rsid w:val="007455BD"/>
    <w:rsid w:val="00751F4B"/>
    <w:rsid w:val="007579CB"/>
    <w:rsid w:val="0076002F"/>
    <w:rsid w:val="00761377"/>
    <w:rsid w:val="00762CA4"/>
    <w:rsid w:val="0076566D"/>
    <w:rsid w:val="00765E35"/>
    <w:rsid w:val="00771B6B"/>
    <w:rsid w:val="007768FB"/>
    <w:rsid w:val="0078212D"/>
    <w:rsid w:val="007823A8"/>
    <w:rsid w:val="00784C50"/>
    <w:rsid w:val="0078514B"/>
    <w:rsid w:val="00786974"/>
    <w:rsid w:val="00790AF1"/>
    <w:rsid w:val="00791909"/>
    <w:rsid w:val="0079238F"/>
    <w:rsid w:val="0079277B"/>
    <w:rsid w:val="00793288"/>
    <w:rsid w:val="007A33F5"/>
    <w:rsid w:val="007A5167"/>
    <w:rsid w:val="007A7C10"/>
    <w:rsid w:val="007B0DBF"/>
    <w:rsid w:val="007B43B3"/>
    <w:rsid w:val="007B58E7"/>
    <w:rsid w:val="007B5D16"/>
    <w:rsid w:val="007B65D5"/>
    <w:rsid w:val="007B7F06"/>
    <w:rsid w:val="007C20EC"/>
    <w:rsid w:val="007C52E0"/>
    <w:rsid w:val="007C6064"/>
    <w:rsid w:val="007C62E1"/>
    <w:rsid w:val="007D197F"/>
    <w:rsid w:val="007D239A"/>
    <w:rsid w:val="007D25F2"/>
    <w:rsid w:val="007D3FC5"/>
    <w:rsid w:val="007D4999"/>
    <w:rsid w:val="007D784E"/>
    <w:rsid w:val="007E4A52"/>
    <w:rsid w:val="007F0A0B"/>
    <w:rsid w:val="007F3DF5"/>
    <w:rsid w:val="007F468F"/>
    <w:rsid w:val="007F6870"/>
    <w:rsid w:val="007F73DB"/>
    <w:rsid w:val="00800606"/>
    <w:rsid w:val="00801CA7"/>
    <w:rsid w:val="008021D8"/>
    <w:rsid w:val="008022E3"/>
    <w:rsid w:val="00805CA2"/>
    <w:rsid w:val="00807398"/>
    <w:rsid w:val="00814401"/>
    <w:rsid w:val="00815720"/>
    <w:rsid w:val="008157EE"/>
    <w:rsid w:val="00815E80"/>
    <w:rsid w:val="008166D1"/>
    <w:rsid w:val="008169E5"/>
    <w:rsid w:val="0082136B"/>
    <w:rsid w:val="0082149B"/>
    <w:rsid w:val="00821CD5"/>
    <w:rsid w:val="0083691C"/>
    <w:rsid w:val="00836B3E"/>
    <w:rsid w:val="00840110"/>
    <w:rsid w:val="00841701"/>
    <w:rsid w:val="00841866"/>
    <w:rsid w:val="00842B20"/>
    <w:rsid w:val="00842CF5"/>
    <w:rsid w:val="00843BFC"/>
    <w:rsid w:val="00844709"/>
    <w:rsid w:val="00851CE1"/>
    <w:rsid w:val="0085457B"/>
    <w:rsid w:val="008565EB"/>
    <w:rsid w:val="008568F2"/>
    <w:rsid w:val="00861A39"/>
    <w:rsid w:val="00865243"/>
    <w:rsid w:val="00865D81"/>
    <w:rsid w:val="00871240"/>
    <w:rsid w:val="008721EF"/>
    <w:rsid w:val="00874725"/>
    <w:rsid w:val="008802A0"/>
    <w:rsid w:val="00883820"/>
    <w:rsid w:val="00886079"/>
    <w:rsid w:val="00886109"/>
    <w:rsid w:val="008878E4"/>
    <w:rsid w:val="00893411"/>
    <w:rsid w:val="00894093"/>
    <w:rsid w:val="00895089"/>
    <w:rsid w:val="008A060B"/>
    <w:rsid w:val="008A1F09"/>
    <w:rsid w:val="008A4F89"/>
    <w:rsid w:val="008A531D"/>
    <w:rsid w:val="008B0752"/>
    <w:rsid w:val="008B0766"/>
    <w:rsid w:val="008B4ADB"/>
    <w:rsid w:val="008B4DEB"/>
    <w:rsid w:val="008B690A"/>
    <w:rsid w:val="008B77E3"/>
    <w:rsid w:val="008C0732"/>
    <w:rsid w:val="008C1656"/>
    <w:rsid w:val="008C195F"/>
    <w:rsid w:val="008C2536"/>
    <w:rsid w:val="008C395D"/>
    <w:rsid w:val="008C430F"/>
    <w:rsid w:val="008D053E"/>
    <w:rsid w:val="008D2966"/>
    <w:rsid w:val="008D34A7"/>
    <w:rsid w:val="008D4065"/>
    <w:rsid w:val="008D726F"/>
    <w:rsid w:val="008E1C29"/>
    <w:rsid w:val="008E22D8"/>
    <w:rsid w:val="008E3E92"/>
    <w:rsid w:val="008E4A2D"/>
    <w:rsid w:val="008F0EBF"/>
    <w:rsid w:val="008F345F"/>
    <w:rsid w:val="00905B3F"/>
    <w:rsid w:val="00910BC1"/>
    <w:rsid w:val="00911F14"/>
    <w:rsid w:val="009229DE"/>
    <w:rsid w:val="00922EDB"/>
    <w:rsid w:val="00924450"/>
    <w:rsid w:val="009311E0"/>
    <w:rsid w:val="00931E98"/>
    <w:rsid w:val="00932452"/>
    <w:rsid w:val="00934CAD"/>
    <w:rsid w:val="00941539"/>
    <w:rsid w:val="00942141"/>
    <w:rsid w:val="009429C1"/>
    <w:rsid w:val="00943F5E"/>
    <w:rsid w:val="00946587"/>
    <w:rsid w:val="00950F37"/>
    <w:rsid w:val="00951FAC"/>
    <w:rsid w:val="00952140"/>
    <w:rsid w:val="009531F4"/>
    <w:rsid w:val="00956F3B"/>
    <w:rsid w:val="0095746F"/>
    <w:rsid w:val="00962348"/>
    <w:rsid w:val="009668F9"/>
    <w:rsid w:val="0097327E"/>
    <w:rsid w:val="00980B0D"/>
    <w:rsid w:val="00980D61"/>
    <w:rsid w:val="009844FA"/>
    <w:rsid w:val="00985310"/>
    <w:rsid w:val="0098651C"/>
    <w:rsid w:val="00991880"/>
    <w:rsid w:val="00992AA4"/>
    <w:rsid w:val="009939EA"/>
    <w:rsid w:val="009946CC"/>
    <w:rsid w:val="009A3C19"/>
    <w:rsid w:val="009A3D91"/>
    <w:rsid w:val="009A5EAD"/>
    <w:rsid w:val="009B2E32"/>
    <w:rsid w:val="009C065E"/>
    <w:rsid w:val="009C36C0"/>
    <w:rsid w:val="009D02AB"/>
    <w:rsid w:val="009D0D14"/>
    <w:rsid w:val="009D3369"/>
    <w:rsid w:val="009D49F7"/>
    <w:rsid w:val="009E11F2"/>
    <w:rsid w:val="009E23E7"/>
    <w:rsid w:val="009E2455"/>
    <w:rsid w:val="009E3543"/>
    <w:rsid w:val="009E3A53"/>
    <w:rsid w:val="009E5B47"/>
    <w:rsid w:val="00A0370E"/>
    <w:rsid w:val="00A20F6E"/>
    <w:rsid w:val="00A21A2F"/>
    <w:rsid w:val="00A224D8"/>
    <w:rsid w:val="00A23E87"/>
    <w:rsid w:val="00A256AA"/>
    <w:rsid w:val="00A27AB7"/>
    <w:rsid w:val="00A34469"/>
    <w:rsid w:val="00A418DF"/>
    <w:rsid w:val="00A43CDC"/>
    <w:rsid w:val="00A44B67"/>
    <w:rsid w:val="00A46313"/>
    <w:rsid w:val="00A52CB8"/>
    <w:rsid w:val="00A5635D"/>
    <w:rsid w:val="00A57F14"/>
    <w:rsid w:val="00A600D1"/>
    <w:rsid w:val="00A62EFC"/>
    <w:rsid w:val="00A63859"/>
    <w:rsid w:val="00A649D7"/>
    <w:rsid w:val="00A73F01"/>
    <w:rsid w:val="00A74839"/>
    <w:rsid w:val="00A74F9A"/>
    <w:rsid w:val="00A77561"/>
    <w:rsid w:val="00A80DA6"/>
    <w:rsid w:val="00A81588"/>
    <w:rsid w:val="00A81FF6"/>
    <w:rsid w:val="00A82609"/>
    <w:rsid w:val="00A83610"/>
    <w:rsid w:val="00A83ACB"/>
    <w:rsid w:val="00A856FE"/>
    <w:rsid w:val="00A90175"/>
    <w:rsid w:val="00A935A9"/>
    <w:rsid w:val="00A93C74"/>
    <w:rsid w:val="00A959A3"/>
    <w:rsid w:val="00AA4590"/>
    <w:rsid w:val="00AA625F"/>
    <w:rsid w:val="00AA6EB4"/>
    <w:rsid w:val="00AB7078"/>
    <w:rsid w:val="00AC0F6B"/>
    <w:rsid w:val="00AC24D7"/>
    <w:rsid w:val="00AC2B94"/>
    <w:rsid w:val="00AC4C2E"/>
    <w:rsid w:val="00AC6796"/>
    <w:rsid w:val="00AD0267"/>
    <w:rsid w:val="00AD1344"/>
    <w:rsid w:val="00AD1426"/>
    <w:rsid w:val="00AD1F7B"/>
    <w:rsid w:val="00AD29F7"/>
    <w:rsid w:val="00AD3A95"/>
    <w:rsid w:val="00AD3D41"/>
    <w:rsid w:val="00AD5522"/>
    <w:rsid w:val="00AD6B54"/>
    <w:rsid w:val="00AD7CBB"/>
    <w:rsid w:val="00AE0EF8"/>
    <w:rsid w:val="00AF04A7"/>
    <w:rsid w:val="00AF4AA7"/>
    <w:rsid w:val="00B000A5"/>
    <w:rsid w:val="00B0175E"/>
    <w:rsid w:val="00B03CDA"/>
    <w:rsid w:val="00B06C92"/>
    <w:rsid w:val="00B10847"/>
    <w:rsid w:val="00B16749"/>
    <w:rsid w:val="00B20102"/>
    <w:rsid w:val="00B2388D"/>
    <w:rsid w:val="00B23D0B"/>
    <w:rsid w:val="00B23D8A"/>
    <w:rsid w:val="00B25F17"/>
    <w:rsid w:val="00B43C81"/>
    <w:rsid w:val="00B45471"/>
    <w:rsid w:val="00B4573D"/>
    <w:rsid w:val="00B463A4"/>
    <w:rsid w:val="00B46788"/>
    <w:rsid w:val="00B50A23"/>
    <w:rsid w:val="00B52514"/>
    <w:rsid w:val="00B5408D"/>
    <w:rsid w:val="00B54C27"/>
    <w:rsid w:val="00B55442"/>
    <w:rsid w:val="00B60575"/>
    <w:rsid w:val="00B639AF"/>
    <w:rsid w:val="00B707D8"/>
    <w:rsid w:val="00B71AA9"/>
    <w:rsid w:val="00B72406"/>
    <w:rsid w:val="00B7557E"/>
    <w:rsid w:val="00B81C99"/>
    <w:rsid w:val="00B866B0"/>
    <w:rsid w:val="00B91176"/>
    <w:rsid w:val="00B922AA"/>
    <w:rsid w:val="00B922F1"/>
    <w:rsid w:val="00B92C1F"/>
    <w:rsid w:val="00B97C68"/>
    <w:rsid w:val="00BA0CC2"/>
    <w:rsid w:val="00BA689C"/>
    <w:rsid w:val="00BB4686"/>
    <w:rsid w:val="00BB565A"/>
    <w:rsid w:val="00BB59EA"/>
    <w:rsid w:val="00BB7430"/>
    <w:rsid w:val="00BB7921"/>
    <w:rsid w:val="00BC1D90"/>
    <w:rsid w:val="00BC3C66"/>
    <w:rsid w:val="00BC4ECF"/>
    <w:rsid w:val="00BC742E"/>
    <w:rsid w:val="00BD1CBC"/>
    <w:rsid w:val="00BD1D50"/>
    <w:rsid w:val="00BD2B47"/>
    <w:rsid w:val="00BD42D2"/>
    <w:rsid w:val="00BE11E0"/>
    <w:rsid w:val="00BE2CF7"/>
    <w:rsid w:val="00BE62FA"/>
    <w:rsid w:val="00BF1A43"/>
    <w:rsid w:val="00BF2840"/>
    <w:rsid w:val="00BF3575"/>
    <w:rsid w:val="00BF3D1A"/>
    <w:rsid w:val="00BF5CA8"/>
    <w:rsid w:val="00BF5E24"/>
    <w:rsid w:val="00BF7189"/>
    <w:rsid w:val="00C02D84"/>
    <w:rsid w:val="00C12A0E"/>
    <w:rsid w:val="00C13AB1"/>
    <w:rsid w:val="00C14AB9"/>
    <w:rsid w:val="00C169F3"/>
    <w:rsid w:val="00C16A3F"/>
    <w:rsid w:val="00C173A3"/>
    <w:rsid w:val="00C21C6C"/>
    <w:rsid w:val="00C27198"/>
    <w:rsid w:val="00C322DB"/>
    <w:rsid w:val="00C41512"/>
    <w:rsid w:val="00C43F66"/>
    <w:rsid w:val="00C4700C"/>
    <w:rsid w:val="00C515B2"/>
    <w:rsid w:val="00C61645"/>
    <w:rsid w:val="00C63A56"/>
    <w:rsid w:val="00C6534B"/>
    <w:rsid w:val="00C6564A"/>
    <w:rsid w:val="00C67930"/>
    <w:rsid w:val="00C67E3B"/>
    <w:rsid w:val="00C71AED"/>
    <w:rsid w:val="00C71F61"/>
    <w:rsid w:val="00C725F6"/>
    <w:rsid w:val="00C73254"/>
    <w:rsid w:val="00C73778"/>
    <w:rsid w:val="00C80524"/>
    <w:rsid w:val="00C818E2"/>
    <w:rsid w:val="00C81E31"/>
    <w:rsid w:val="00C82E87"/>
    <w:rsid w:val="00C839AE"/>
    <w:rsid w:val="00C83B2D"/>
    <w:rsid w:val="00C8599C"/>
    <w:rsid w:val="00C85E72"/>
    <w:rsid w:val="00C87561"/>
    <w:rsid w:val="00C912EC"/>
    <w:rsid w:val="00C91915"/>
    <w:rsid w:val="00C94B2E"/>
    <w:rsid w:val="00C94BAF"/>
    <w:rsid w:val="00C96FCB"/>
    <w:rsid w:val="00C97E13"/>
    <w:rsid w:val="00CA0200"/>
    <w:rsid w:val="00CA2096"/>
    <w:rsid w:val="00CA28BE"/>
    <w:rsid w:val="00CA2D8A"/>
    <w:rsid w:val="00CA38E8"/>
    <w:rsid w:val="00CA3DB5"/>
    <w:rsid w:val="00CA741A"/>
    <w:rsid w:val="00CB0DAE"/>
    <w:rsid w:val="00CB160A"/>
    <w:rsid w:val="00CB1D11"/>
    <w:rsid w:val="00CB33EA"/>
    <w:rsid w:val="00CB4104"/>
    <w:rsid w:val="00CB57CD"/>
    <w:rsid w:val="00CB71FA"/>
    <w:rsid w:val="00CC238F"/>
    <w:rsid w:val="00CC32C4"/>
    <w:rsid w:val="00CC4A88"/>
    <w:rsid w:val="00CC5566"/>
    <w:rsid w:val="00CC5FB6"/>
    <w:rsid w:val="00CC6018"/>
    <w:rsid w:val="00CC67FD"/>
    <w:rsid w:val="00CD0750"/>
    <w:rsid w:val="00CD1C90"/>
    <w:rsid w:val="00CD1F51"/>
    <w:rsid w:val="00CD220D"/>
    <w:rsid w:val="00CD4DDA"/>
    <w:rsid w:val="00CD5408"/>
    <w:rsid w:val="00CE2FB3"/>
    <w:rsid w:val="00CE417E"/>
    <w:rsid w:val="00CE7CD1"/>
    <w:rsid w:val="00CF4D70"/>
    <w:rsid w:val="00CF6719"/>
    <w:rsid w:val="00D030EB"/>
    <w:rsid w:val="00D03BBB"/>
    <w:rsid w:val="00D06907"/>
    <w:rsid w:val="00D07D6F"/>
    <w:rsid w:val="00D138F5"/>
    <w:rsid w:val="00D15004"/>
    <w:rsid w:val="00D17765"/>
    <w:rsid w:val="00D20813"/>
    <w:rsid w:val="00D218C8"/>
    <w:rsid w:val="00D22A07"/>
    <w:rsid w:val="00D23950"/>
    <w:rsid w:val="00D244B6"/>
    <w:rsid w:val="00D25C77"/>
    <w:rsid w:val="00D26B49"/>
    <w:rsid w:val="00D30000"/>
    <w:rsid w:val="00D35464"/>
    <w:rsid w:val="00D35FFD"/>
    <w:rsid w:val="00D41EA1"/>
    <w:rsid w:val="00D42871"/>
    <w:rsid w:val="00D42F5B"/>
    <w:rsid w:val="00D451CC"/>
    <w:rsid w:val="00D46F62"/>
    <w:rsid w:val="00D47772"/>
    <w:rsid w:val="00D47FF5"/>
    <w:rsid w:val="00D54FE9"/>
    <w:rsid w:val="00D57DE8"/>
    <w:rsid w:val="00D64DB0"/>
    <w:rsid w:val="00D66BE4"/>
    <w:rsid w:val="00D67393"/>
    <w:rsid w:val="00D74C45"/>
    <w:rsid w:val="00D7687E"/>
    <w:rsid w:val="00D80748"/>
    <w:rsid w:val="00D817C6"/>
    <w:rsid w:val="00D847BE"/>
    <w:rsid w:val="00D862E0"/>
    <w:rsid w:val="00D86726"/>
    <w:rsid w:val="00D90006"/>
    <w:rsid w:val="00D90C4F"/>
    <w:rsid w:val="00D94FD0"/>
    <w:rsid w:val="00D97654"/>
    <w:rsid w:val="00DA111B"/>
    <w:rsid w:val="00DA2516"/>
    <w:rsid w:val="00DB4D8E"/>
    <w:rsid w:val="00DB5600"/>
    <w:rsid w:val="00DB6DBB"/>
    <w:rsid w:val="00DB6E49"/>
    <w:rsid w:val="00DB7AC0"/>
    <w:rsid w:val="00DB7FD1"/>
    <w:rsid w:val="00DC1C23"/>
    <w:rsid w:val="00DC57F8"/>
    <w:rsid w:val="00DC7527"/>
    <w:rsid w:val="00DD1CD5"/>
    <w:rsid w:val="00DD279E"/>
    <w:rsid w:val="00DD7853"/>
    <w:rsid w:val="00DD7AEA"/>
    <w:rsid w:val="00DE1A5B"/>
    <w:rsid w:val="00DE2ED2"/>
    <w:rsid w:val="00DE45DD"/>
    <w:rsid w:val="00DE5D8E"/>
    <w:rsid w:val="00DE68CA"/>
    <w:rsid w:val="00DE78AB"/>
    <w:rsid w:val="00DE7E2B"/>
    <w:rsid w:val="00DF060E"/>
    <w:rsid w:val="00DF0869"/>
    <w:rsid w:val="00E0336D"/>
    <w:rsid w:val="00E05D44"/>
    <w:rsid w:val="00E06990"/>
    <w:rsid w:val="00E06BCE"/>
    <w:rsid w:val="00E07A5C"/>
    <w:rsid w:val="00E104BF"/>
    <w:rsid w:val="00E10679"/>
    <w:rsid w:val="00E107CC"/>
    <w:rsid w:val="00E10FDF"/>
    <w:rsid w:val="00E142C4"/>
    <w:rsid w:val="00E15F1D"/>
    <w:rsid w:val="00E2148E"/>
    <w:rsid w:val="00E21AE6"/>
    <w:rsid w:val="00E246E9"/>
    <w:rsid w:val="00E25561"/>
    <w:rsid w:val="00E27F68"/>
    <w:rsid w:val="00E301E4"/>
    <w:rsid w:val="00E31524"/>
    <w:rsid w:val="00E338B3"/>
    <w:rsid w:val="00E347C1"/>
    <w:rsid w:val="00E34C2C"/>
    <w:rsid w:val="00E36997"/>
    <w:rsid w:val="00E36CC6"/>
    <w:rsid w:val="00E376A8"/>
    <w:rsid w:val="00E40E64"/>
    <w:rsid w:val="00E42DAE"/>
    <w:rsid w:val="00E44FFA"/>
    <w:rsid w:val="00E508E3"/>
    <w:rsid w:val="00E5147A"/>
    <w:rsid w:val="00E51848"/>
    <w:rsid w:val="00E54859"/>
    <w:rsid w:val="00E55021"/>
    <w:rsid w:val="00E55B58"/>
    <w:rsid w:val="00E56E24"/>
    <w:rsid w:val="00E66439"/>
    <w:rsid w:val="00E7058E"/>
    <w:rsid w:val="00E76F78"/>
    <w:rsid w:val="00E77558"/>
    <w:rsid w:val="00E826F5"/>
    <w:rsid w:val="00E902A2"/>
    <w:rsid w:val="00E92670"/>
    <w:rsid w:val="00E9272E"/>
    <w:rsid w:val="00E93923"/>
    <w:rsid w:val="00EA577C"/>
    <w:rsid w:val="00EA79CB"/>
    <w:rsid w:val="00EB3EFE"/>
    <w:rsid w:val="00EB469B"/>
    <w:rsid w:val="00EB7163"/>
    <w:rsid w:val="00EB79E3"/>
    <w:rsid w:val="00EC00A6"/>
    <w:rsid w:val="00EC10CF"/>
    <w:rsid w:val="00EC39DA"/>
    <w:rsid w:val="00ED3082"/>
    <w:rsid w:val="00ED3CFD"/>
    <w:rsid w:val="00ED50CA"/>
    <w:rsid w:val="00ED5F39"/>
    <w:rsid w:val="00ED63F6"/>
    <w:rsid w:val="00ED67EE"/>
    <w:rsid w:val="00EE1BD2"/>
    <w:rsid w:val="00EF0BD2"/>
    <w:rsid w:val="00EF29D4"/>
    <w:rsid w:val="00EF3753"/>
    <w:rsid w:val="00F00EFB"/>
    <w:rsid w:val="00F01F97"/>
    <w:rsid w:val="00F02206"/>
    <w:rsid w:val="00F06BDB"/>
    <w:rsid w:val="00F12768"/>
    <w:rsid w:val="00F129F2"/>
    <w:rsid w:val="00F12D38"/>
    <w:rsid w:val="00F14B21"/>
    <w:rsid w:val="00F276BD"/>
    <w:rsid w:val="00F30897"/>
    <w:rsid w:val="00F35F81"/>
    <w:rsid w:val="00F367B6"/>
    <w:rsid w:val="00F37F12"/>
    <w:rsid w:val="00F403C8"/>
    <w:rsid w:val="00F41E9F"/>
    <w:rsid w:val="00F43290"/>
    <w:rsid w:val="00F47683"/>
    <w:rsid w:val="00F47FC3"/>
    <w:rsid w:val="00F51F91"/>
    <w:rsid w:val="00F524FB"/>
    <w:rsid w:val="00F562E1"/>
    <w:rsid w:val="00F57D1B"/>
    <w:rsid w:val="00F60AE5"/>
    <w:rsid w:val="00F65ABA"/>
    <w:rsid w:val="00F66469"/>
    <w:rsid w:val="00F67F66"/>
    <w:rsid w:val="00F72847"/>
    <w:rsid w:val="00F77F93"/>
    <w:rsid w:val="00F823D7"/>
    <w:rsid w:val="00F833EB"/>
    <w:rsid w:val="00F85773"/>
    <w:rsid w:val="00F9001C"/>
    <w:rsid w:val="00F95035"/>
    <w:rsid w:val="00F95776"/>
    <w:rsid w:val="00FA5933"/>
    <w:rsid w:val="00FA6FAC"/>
    <w:rsid w:val="00FB28B0"/>
    <w:rsid w:val="00FB73A9"/>
    <w:rsid w:val="00FC0F99"/>
    <w:rsid w:val="00FC33B9"/>
    <w:rsid w:val="00FC42AA"/>
    <w:rsid w:val="00FC6A48"/>
    <w:rsid w:val="00FC74C6"/>
    <w:rsid w:val="00FD2FB5"/>
    <w:rsid w:val="00FD326A"/>
    <w:rsid w:val="00FE374C"/>
    <w:rsid w:val="00FE65F6"/>
    <w:rsid w:val="00FE732A"/>
    <w:rsid w:val="00FE7D99"/>
    <w:rsid w:val="00FF10FA"/>
    <w:rsid w:val="00FF39BD"/>
    <w:rsid w:val="00FF3DFA"/>
    <w:rsid w:val="00FF516E"/>
    <w:rsid w:val="00FF5757"/>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C6"/>
    <w:pPr>
      <w:spacing w:before="120" w:after="120" w:line="240" w:lineRule="auto"/>
    </w:pPr>
    <w:rPr>
      <w:rFonts w:ascii="Arial" w:hAnsi="Arial"/>
    </w:rPr>
  </w:style>
  <w:style w:type="paragraph" w:styleId="Heading1">
    <w:name w:val="heading 1"/>
    <w:basedOn w:val="Normal"/>
    <w:next w:val="Normal"/>
    <w:link w:val="Heading1Char"/>
    <w:qFormat/>
    <w:rsid w:val="00160B6F"/>
    <w:pPr>
      <w:keepNext/>
      <w:spacing w:before="240" w:after="60"/>
      <w:outlineLvl w:val="0"/>
    </w:pPr>
    <w:rPr>
      <w:rFonts w:eastAsia="Times New Roman" w:cs="Times New Roman"/>
      <w:b/>
      <w:caps/>
      <w:sz w:val="24"/>
      <w:szCs w:val="20"/>
    </w:rPr>
  </w:style>
  <w:style w:type="paragraph" w:styleId="Heading2">
    <w:name w:val="heading 2"/>
    <w:basedOn w:val="Heading1"/>
    <w:next w:val="BodyText"/>
    <w:link w:val="Heading2Char"/>
    <w:uiPriority w:val="9"/>
    <w:qFormat/>
    <w:rsid w:val="00E15F1D"/>
    <w:pPr>
      <w:spacing w:before="120" w:after="120"/>
      <w:outlineLvl w:val="1"/>
    </w:pPr>
    <w:rPr>
      <w:rFonts w:cs="Arial"/>
      <w:caps w:val="0"/>
      <w:sz w:val="22"/>
    </w:rPr>
  </w:style>
  <w:style w:type="paragraph" w:styleId="Heading3">
    <w:name w:val="heading 3"/>
    <w:basedOn w:val="Heading2"/>
    <w:next w:val="BodyText"/>
    <w:link w:val="Heading3Char"/>
    <w:uiPriority w:val="9"/>
    <w:qFormat/>
    <w:rsid w:val="00160B6F"/>
    <w:pPr>
      <w:spacing w:after="240"/>
      <w:jc w:val="both"/>
      <w:outlineLvl w:val="2"/>
    </w:pPr>
    <w:rPr>
      <w:b w:val="0"/>
      <w:i/>
    </w:rPr>
  </w:style>
  <w:style w:type="paragraph" w:styleId="Heading4">
    <w:name w:val="heading 4"/>
    <w:basedOn w:val="Heading3"/>
    <w:next w:val="Normal"/>
    <w:link w:val="Heading4Char"/>
    <w:uiPriority w:val="9"/>
    <w:unhideWhenUsed/>
    <w:qFormat/>
    <w:rsid w:val="00160B6F"/>
    <w:pPr>
      <w:keepLines/>
      <w:spacing w:before="200" w:after="0"/>
      <w:outlineLvl w:val="3"/>
    </w:pPr>
    <w:rPr>
      <w:rFonts w:eastAsiaTheme="majorEastAsia" w:cstheme="majorBidi"/>
      <w:bCs/>
      <w:iCs/>
    </w:rPr>
  </w:style>
  <w:style w:type="paragraph" w:styleId="Heading6">
    <w:name w:val="heading 6"/>
    <w:basedOn w:val="Normal"/>
    <w:next w:val="Normal"/>
    <w:link w:val="Heading6Char"/>
    <w:uiPriority w:val="9"/>
    <w:unhideWhenUsed/>
    <w:qFormat/>
    <w:rsid w:val="00941539"/>
    <w:pPr>
      <w:keepNext/>
      <w:keepLines/>
      <w:spacing w:before="200" w:after="0"/>
      <w:outlineLvl w:val="5"/>
    </w:pPr>
    <w:rPr>
      <w:rFonts w:asciiTheme="majorHAnsi" w:eastAsiaTheme="majorEastAsia" w:hAnsiTheme="majorHAnsi" w:cstheme="majorBidi"/>
      <w:i/>
      <w:iCs/>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CD0750"/>
    <w:pPr>
      <w:keepNext/>
      <w:keepLines/>
      <w:autoSpaceDE w:val="0"/>
      <w:autoSpaceDN w:val="0"/>
      <w:adjustRightInd w:val="0"/>
      <w:spacing w:after="0"/>
    </w:pPr>
    <w:rPr>
      <w:rFonts w:cs="Arial"/>
      <w:b/>
      <w:sz w:val="20"/>
      <w:szCs w:val="20"/>
    </w:rPr>
  </w:style>
  <w:style w:type="character" w:styleId="CommentReference">
    <w:name w:val="annotation reference"/>
    <w:basedOn w:val="DefaultParagraphFont"/>
    <w:uiPriority w:val="99"/>
    <w:semiHidden/>
    <w:unhideWhenUsed/>
    <w:rsid w:val="007201F1"/>
    <w:rPr>
      <w:sz w:val="16"/>
      <w:szCs w:val="16"/>
    </w:rPr>
  </w:style>
  <w:style w:type="paragraph" w:styleId="CommentText">
    <w:name w:val="annotation text"/>
    <w:basedOn w:val="Normal"/>
    <w:link w:val="CommentTextChar"/>
    <w:uiPriority w:val="99"/>
    <w:unhideWhenUsed/>
    <w:rsid w:val="007201F1"/>
    <w:rPr>
      <w:sz w:val="20"/>
      <w:szCs w:val="20"/>
    </w:rPr>
  </w:style>
  <w:style w:type="character" w:customStyle="1" w:styleId="CommentTextChar">
    <w:name w:val="Comment Text Char"/>
    <w:basedOn w:val="DefaultParagraphFont"/>
    <w:link w:val="CommentText"/>
    <w:uiPriority w:val="99"/>
    <w:rsid w:val="007201F1"/>
    <w:rPr>
      <w:sz w:val="20"/>
      <w:szCs w:val="20"/>
    </w:rPr>
  </w:style>
  <w:style w:type="table" w:styleId="TableGrid">
    <w:name w:val="Table Grid"/>
    <w:basedOn w:val="TableNormal"/>
    <w:uiPriority w:val="59"/>
    <w:rsid w:val="007201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01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1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028C"/>
    <w:rPr>
      <w:b/>
      <w:bCs/>
    </w:rPr>
  </w:style>
  <w:style w:type="character" w:customStyle="1" w:styleId="CommentSubjectChar">
    <w:name w:val="Comment Subject Char"/>
    <w:basedOn w:val="CommentTextChar"/>
    <w:link w:val="CommentSubject"/>
    <w:uiPriority w:val="99"/>
    <w:semiHidden/>
    <w:rsid w:val="004C028C"/>
    <w:rPr>
      <w:b/>
      <w:bCs/>
      <w:sz w:val="20"/>
      <w:szCs w:val="20"/>
    </w:rPr>
  </w:style>
  <w:style w:type="paragraph" w:styleId="Revision">
    <w:name w:val="Revision"/>
    <w:hidden/>
    <w:uiPriority w:val="99"/>
    <w:semiHidden/>
    <w:rsid w:val="000123D1"/>
    <w:pPr>
      <w:spacing w:after="0" w:line="240" w:lineRule="auto"/>
    </w:pPr>
  </w:style>
  <w:style w:type="paragraph" w:styleId="Header">
    <w:name w:val="header"/>
    <w:basedOn w:val="Normal"/>
    <w:link w:val="HeaderChar"/>
    <w:uiPriority w:val="99"/>
    <w:unhideWhenUsed/>
    <w:rsid w:val="00A20F6E"/>
    <w:pPr>
      <w:tabs>
        <w:tab w:val="center" w:pos="4513"/>
        <w:tab w:val="right" w:pos="9026"/>
      </w:tabs>
      <w:spacing w:after="0"/>
    </w:pPr>
  </w:style>
  <w:style w:type="character" w:customStyle="1" w:styleId="HeaderChar">
    <w:name w:val="Header Char"/>
    <w:basedOn w:val="DefaultParagraphFont"/>
    <w:link w:val="Header"/>
    <w:uiPriority w:val="99"/>
    <w:rsid w:val="00A20F6E"/>
  </w:style>
  <w:style w:type="paragraph" w:styleId="Footer">
    <w:name w:val="footer"/>
    <w:basedOn w:val="Normal"/>
    <w:link w:val="FooterChar"/>
    <w:unhideWhenUsed/>
    <w:rsid w:val="00A20F6E"/>
    <w:pPr>
      <w:tabs>
        <w:tab w:val="center" w:pos="4513"/>
        <w:tab w:val="right" w:pos="9026"/>
      </w:tabs>
      <w:spacing w:after="0"/>
    </w:pPr>
  </w:style>
  <w:style w:type="character" w:customStyle="1" w:styleId="FooterChar">
    <w:name w:val="Footer Char"/>
    <w:basedOn w:val="DefaultParagraphFont"/>
    <w:link w:val="Footer"/>
    <w:uiPriority w:val="99"/>
    <w:rsid w:val="00A20F6E"/>
  </w:style>
  <w:style w:type="paragraph" w:styleId="Title">
    <w:name w:val="Title"/>
    <w:basedOn w:val="Normal"/>
    <w:link w:val="TitleChar"/>
    <w:qFormat/>
    <w:rsid w:val="00FC74C6"/>
    <w:pPr>
      <w:spacing w:before="240" w:after="60"/>
      <w:jc w:val="center"/>
    </w:pPr>
    <w:rPr>
      <w:rFonts w:eastAsia="Times New Roman" w:cs="Arial"/>
      <w:b/>
      <w:bCs/>
      <w:caps/>
      <w:kern w:val="28"/>
      <w:sz w:val="28"/>
      <w:szCs w:val="32"/>
    </w:rPr>
  </w:style>
  <w:style w:type="character" w:customStyle="1" w:styleId="TitleChar">
    <w:name w:val="Title Char"/>
    <w:basedOn w:val="DefaultParagraphFont"/>
    <w:link w:val="Title"/>
    <w:rsid w:val="00FC74C6"/>
    <w:rPr>
      <w:rFonts w:ascii="Arial" w:eastAsia="Times New Roman" w:hAnsi="Arial" w:cs="Arial"/>
      <w:b/>
      <w:bCs/>
      <w:caps/>
      <w:kern w:val="28"/>
      <w:sz w:val="28"/>
      <w:szCs w:val="32"/>
    </w:rPr>
  </w:style>
  <w:style w:type="character" w:customStyle="1" w:styleId="Heading1Char">
    <w:name w:val="Heading 1 Char"/>
    <w:basedOn w:val="DefaultParagraphFont"/>
    <w:link w:val="Heading1"/>
    <w:rsid w:val="00160B6F"/>
    <w:rPr>
      <w:rFonts w:ascii="Arial" w:eastAsia="Times New Roman" w:hAnsi="Arial" w:cs="Times New Roman"/>
      <w:b/>
      <w:caps/>
      <w:sz w:val="24"/>
      <w:szCs w:val="20"/>
    </w:rPr>
  </w:style>
  <w:style w:type="character" w:styleId="PageNumber">
    <w:name w:val="page number"/>
    <w:basedOn w:val="DefaultParagraphFont"/>
    <w:rsid w:val="002D7F2C"/>
  </w:style>
  <w:style w:type="paragraph" w:customStyle="1" w:styleId="Default">
    <w:name w:val="Default"/>
    <w:rsid w:val="00677C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77CCF"/>
    <w:pPr>
      <w:ind w:left="720"/>
      <w:contextualSpacing/>
    </w:pPr>
  </w:style>
  <w:style w:type="paragraph" w:styleId="Caption">
    <w:name w:val="caption"/>
    <w:basedOn w:val="Normal"/>
    <w:next w:val="Normal"/>
    <w:link w:val="CaptionChar"/>
    <w:unhideWhenUsed/>
    <w:qFormat/>
    <w:rsid w:val="00E826F5"/>
    <w:rPr>
      <w:b/>
      <w:bCs/>
      <w:sz w:val="18"/>
      <w:szCs w:val="18"/>
    </w:rPr>
  </w:style>
  <w:style w:type="paragraph" w:styleId="BodyText">
    <w:name w:val="Body Text"/>
    <w:basedOn w:val="Normal"/>
    <w:link w:val="BodyTextChar"/>
    <w:rsid w:val="00865D81"/>
    <w:pPr>
      <w:spacing w:after="0"/>
    </w:pPr>
    <w:rPr>
      <w:rFonts w:ascii="Times New Roman" w:eastAsia="Times New Roman" w:hAnsi="Times New Roman" w:cs="Times New Roman"/>
      <w:i/>
      <w:color w:val="008000"/>
      <w:szCs w:val="20"/>
      <w:lang w:val="en-GB" w:eastAsia="en-US"/>
    </w:rPr>
  </w:style>
  <w:style w:type="character" w:customStyle="1" w:styleId="BodyTextChar">
    <w:name w:val="Body Text Char"/>
    <w:basedOn w:val="DefaultParagraphFont"/>
    <w:link w:val="BodyText"/>
    <w:rsid w:val="00865D81"/>
    <w:rPr>
      <w:rFonts w:ascii="Times New Roman" w:eastAsia="Times New Roman" w:hAnsi="Times New Roman" w:cs="Times New Roman"/>
      <w:i/>
      <w:color w:val="008000"/>
      <w:szCs w:val="20"/>
      <w:lang w:val="en-GB" w:eastAsia="en-US"/>
    </w:rPr>
  </w:style>
  <w:style w:type="character" w:customStyle="1" w:styleId="Heading2Char">
    <w:name w:val="Heading 2 Char"/>
    <w:basedOn w:val="DefaultParagraphFont"/>
    <w:link w:val="Heading2"/>
    <w:uiPriority w:val="9"/>
    <w:rsid w:val="00E15F1D"/>
    <w:rPr>
      <w:rFonts w:ascii="Arial" w:eastAsia="Times New Roman" w:hAnsi="Arial" w:cs="Arial"/>
      <w:b/>
      <w:szCs w:val="20"/>
    </w:rPr>
  </w:style>
  <w:style w:type="character" w:customStyle="1" w:styleId="Heading3Char">
    <w:name w:val="Heading 3 Char"/>
    <w:basedOn w:val="DefaultParagraphFont"/>
    <w:link w:val="Heading3"/>
    <w:uiPriority w:val="9"/>
    <w:rsid w:val="00160B6F"/>
    <w:rPr>
      <w:rFonts w:ascii="Arial" w:eastAsia="Times New Roman" w:hAnsi="Arial" w:cs="Arial"/>
      <w:i/>
      <w:szCs w:val="20"/>
    </w:rPr>
  </w:style>
  <w:style w:type="paragraph" w:styleId="NormalWeb">
    <w:name w:val="Normal (Web)"/>
    <w:basedOn w:val="Normal"/>
    <w:uiPriority w:val="99"/>
    <w:semiHidden/>
    <w:unhideWhenUsed/>
    <w:rsid w:val="001A51DA"/>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41539"/>
    <w:rPr>
      <w:rFonts w:asciiTheme="majorHAnsi" w:eastAsiaTheme="majorEastAsia" w:hAnsiTheme="majorHAnsi" w:cstheme="majorBidi"/>
      <w:i/>
      <w:iCs/>
      <w:color w:val="243F60" w:themeColor="accent1" w:themeShade="7F"/>
      <w:sz w:val="24"/>
      <w:szCs w:val="24"/>
      <w:lang w:eastAsia="en-US"/>
    </w:rPr>
  </w:style>
  <w:style w:type="character" w:styleId="Strong">
    <w:name w:val="Strong"/>
    <w:basedOn w:val="DefaultParagraphFont"/>
    <w:uiPriority w:val="22"/>
    <w:qFormat/>
    <w:rsid w:val="00941539"/>
    <w:rPr>
      <w:b/>
      <w:bCs/>
    </w:rPr>
  </w:style>
  <w:style w:type="character" w:customStyle="1" w:styleId="apple-converted-space">
    <w:name w:val="apple-converted-space"/>
    <w:basedOn w:val="DefaultParagraphFont"/>
    <w:rsid w:val="00941539"/>
  </w:style>
  <w:style w:type="paragraph" w:customStyle="1" w:styleId="CCDSMinorHeading1">
    <w:name w:val="CCDS Minor Heading 1"/>
    <w:basedOn w:val="Heading3"/>
    <w:link w:val="CCDSMinorHeading1Char"/>
    <w:qFormat/>
    <w:rsid w:val="008C430F"/>
    <w:pPr>
      <w:widowControl w:val="0"/>
      <w:spacing w:after="0" w:line="360" w:lineRule="atLeast"/>
    </w:pPr>
    <w:rPr>
      <w:rFonts w:eastAsia="MS Gothic"/>
      <w:kern w:val="2"/>
      <w:sz w:val="24"/>
      <w:szCs w:val="24"/>
      <w:lang w:val="fr-FR" w:eastAsia="ja-JP"/>
    </w:rPr>
  </w:style>
  <w:style w:type="character" w:customStyle="1" w:styleId="CCDSMinorHeading1Char">
    <w:name w:val="CCDS Minor Heading 1 Char"/>
    <w:link w:val="CCDSMinorHeading1"/>
    <w:rsid w:val="008C430F"/>
    <w:rPr>
      <w:rFonts w:ascii="Times New Roman" w:eastAsia="MS Gothic" w:hAnsi="Times New Roman" w:cs="Times New Roman"/>
      <w:b/>
      <w:bCs/>
      <w:kern w:val="2"/>
      <w:sz w:val="24"/>
      <w:szCs w:val="24"/>
      <w:lang w:val="fr-FR" w:eastAsia="ja-JP"/>
    </w:rPr>
  </w:style>
  <w:style w:type="character" w:customStyle="1" w:styleId="CaptionChar">
    <w:name w:val="Caption Char"/>
    <w:link w:val="Caption"/>
    <w:locked/>
    <w:rsid w:val="00E826F5"/>
    <w:rPr>
      <w:rFonts w:ascii="Arial" w:hAnsi="Arial"/>
      <w:b/>
      <w:bCs/>
      <w:sz w:val="18"/>
      <w:szCs w:val="18"/>
    </w:rPr>
  </w:style>
  <w:style w:type="character" w:styleId="Hyperlink">
    <w:name w:val="Hyperlink"/>
    <w:basedOn w:val="DefaultParagraphFont"/>
    <w:uiPriority w:val="99"/>
    <w:unhideWhenUsed/>
    <w:rsid w:val="00E66439"/>
    <w:rPr>
      <w:color w:val="0000FF"/>
      <w:u w:val="single"/>
    </w:rPr>
  </w:style>
  <w:style w:type="character" w:customStyle="1" w:styleId="Heading4Char">
    <w:name w:val="Heading 4 Char"/>
    <w:basedOn w:val="DefaultParagraphFont"/>
    <w:link w:val="Heading4"/>
    <w:uiPriority w:val="9"/>
    <w:rsid w:val="00160B6F"/>
    <w:rPr>
      <w:rFonts w:ascii="Arial" w:eastAsiaTheme="majorEastAsia" w:hAnsi="Arial" w:cstheme="majorBidi"/>
      <w:bCs/>
      <w:i/>
      <w:i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C6"/>
    <w:pPr>
      <w:spacing w:before="120" w:after="120" w:line="240" w:lineRule="auto"/>
    </w:pPr>
    <w:rPr>
      <w:rFonts w:ascii="Arial" w:hAnsi="Arial"/>
    </w:rPr>
  </w:style>
  <w:style w:type="paragraph" w:styleId="Heading1">
    <w:name w:val="heading 1"/>
    <w:basedOn w:val="Normal"/>
    <w:next w:val="Normal"/>
    <w:link w:val="Heading1Char"/>
    <w:qFormat/>
    <w:rsid w:val="00160B6F"/>
    <w:pPr>
      <w:keepNext/>
      <w:spacing w:before="240" w:after="60"/>
      <w:outlineLvl w:val="0"/>
    </w:pPr>
    <w:rPr>
      <w:rFonts w:eastAsia="Times New Roman" w:cs="Times New Roman"/>
      <w:b/>
      <w:caps/>
      <w:sz w:val="24"/>
      <w:szCs w:val="20"/>
    </w:rPr>
  </w:style>
  <w:style w:type="paragraph" w:styleId="Heading2">
    <w:name w:val="heading 2"/>
    <w:basedOn w:val="Heading1"/>
    <w:next w:val="BodyText"/>
    <w:link w:val="Heading2Char"/>
    <w:uiPriority w:val="9"/>
    <w:qFormat/>
    <w:rsid w:val="00E15F1D"/>
    <w:pPr>
      <w:spacing w:before="120" w:after="120"/>
      <w:outlineLvl w:val="1"/>
    </w:pPr>
    <w:rPr>
      <w:rFonts w:cs="Arial"/>
      <w:caps w:val="0"/>
      <w:sz w:val="22"/>
    </w:rPr>
  </w:style>
  <w:style w:type="paragraph" w:styleId="Heading3">
    <w:name w:val="heading 3"/>
    <w:basedOn w:val="Heading2"/>
    <w:next w:val="BodyText"/>
    <w:link w:val="Heading3Char"/>
    <w:uiPriority w:val="9"/>
    <w:qFormat/>
    <w:rsid w:val="00160B6F"/>
    <w:pPr>
      <w:spacing w:after="240"/>
      <w:jc w:val="both"/>
      <w:outlineLvl w:val="2"/>
    </w:pPr>
    <w:rPr>
      <w:b w:val="0"/>
      <w:i/>
    </w:rPr>
  </w:style>
  <w:style w:type="paragraph" w:styleId="Heading4">
    <w:name w:val="heading 4"/>
    <w:basedOn w:val="Heading3"/>
    <w:next w:val="Normal"/>
    <w:link w:val="Heading4Char"/>
    <w:uiPriority w:val="9"/>
    <w:unhideWhenUsed/>
    <w:qFormat/>
    <w:rsid w:val="00160B6F"/>
    <w:pPr>
      <w:keepLines/>
      <w:spacing w:before="200" w:after="0"/>
      <w:outlineLvl w:val="3"/>
    </w:pPr>
    <w:rPr>
      <w:rFonts w:eastAsiaTheme="majorEastAsia" w:cstheme="majorBidi"/>
      <w:bCs/>
      <w:iCs/>
    </w:rPr>
  </w:style>
  <w:style w:type="paragraph" w:styleId="Heading6">
    <w:name w:val="heading 6"/>
    <w:basedOn w:val="Normal"/>
    <w:next w:val="Normal"/>
    <w:link w:val="Heading6Char"/>
    <w:uiPriority w:val="9"/>
    <w:unhideWhenUsed/>
    <w:qFormat/>
    <w:rsid w:val="00941539"/>
    <w:pPr>
      <w:keepNext/>
      <w:keepLines/>
      <w:spacing w:before="200" w:after="0"/>
      <w:outlineLvl w:val="5"/>
    </w:pPr>
    <w:rPr>
      <w:rFonts w:asciiTheme="majorHAnsi" w:eastAsiaTheme="majorEastAsia" w:hAnsiTheme="majorHAnsi" w:cstheme="majorBidi"/>
      <w:i/>
      <w:iCs/>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CD0750"/>
    <w:pPr>
      <w:keepNext/>
      <w:keepLines/>
      <w:autoSpaceDE w:val="0"/>
      <w:autoSpaceDN w:val="0"/>
      <w:adjustRightInd w:val="0"/>
      <w:spacing w:after="0"/>
    </w:pPr>
    <w:rPr>
      <w:rFonts w:cs="Arial"/>
      <w:b/>
      <w:sz w:val="20"/>
      <w:szCs w:val="20"/>
    </w:rPr>
  </w:style>
  <w:style w:type="character" w:styleId="CommentReference">
    <w:name w:val="annotation reference"/>
    <w:basedOn w:val="DefaultParagraphFont"/>
    <w:uiPriority w:val="99"/>
    <w:semiHidden/>
    <w:unhideWhenUsed/>
    <w:rsid w:val="007201F1"/>
    <w:rPr>
      <w:sz w:val="16"/>
      <w:szCs w:val="16"/>
    </w:rPr>
  </w:style>
  <w:style w:type="paragraph" w:styleId="CommentText">
    <w:name w:val="annotation text"/>
    <w:basedOn w:val="Normal"/>
    <w:link w:val="CommentTextChar"/>
    <w:uiPriority w:val="99"/>
    <w:unhideWhenUsed/>
    <w:rsid w:val="007201F1"/>
    <w:rPr>
      <w:sz w:val="20"/>
      <w:szCs w:val="20"/>
    </w:rPr>
  </w:style>
  <w:style w:type="character" w:customStyle="1" w:styleId="CommentTextChar">
    <w:name w:val="Comment Text Char"/>
    <w:basedOn w:val="DefaultParagraphFont"/>
    <w:link w:val="CommentText"/>
    <w:uiPriority w:val="99"/>
    <w:rsid w:val="007201F1"/>
    <w:rPr>
      <w:sz w:val="20"/>
      <w:szCs w:val="20"/>
    </w:rPr>
  </w:style>
  <w:style w:type="table" w:styleId="TableGrid">
    <w:name w:val="Table Grid"/>
    <w:basedOn w:val="TableNormal"/>
    <w:uiPriority w:val="59"/>
    <w:rsid w:val="007201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01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1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028C"/>
    <w:rPr>
      <w:b/>
      <w:bCs/>
    </w:rPr>
  </w:style>
  <w:style w:type="character" w:customStyle="1" w:styleId="CommentSubjectChar">
    <w:name w:val="Comment Subject Char"/>
    <w:basedOn w:val="CommentTextChar"/>
    <w:link w:val="CommentSubject"/>
    <w:uiPriority w:val="99"/>
    <w:semiHidden/>
    <w:rsid w:val="004C028C"/>
    <w:rPr>
      <w:b/>
      <w:bCs/>
      <w:sz w:val="20"/>
      <w:szCs w:val="20"/>
    </w:rPr>
  </w:style>
  <w:style w:type="paragraph" w:styleId="Revision">
    <w:name w:val="Revision"/>
    <w:hidden/>
    <w:uiPriority w:val="99"/>
    <w:semiHidden/>
    <w:rsid w:val="000123D1"/>
    <w:pPr>
      <w:spacing w:after="0" w:line="240" w:lineRule="auto"/>
    </w:pPr>
  </w:style>
  <w:style w:type="paragraph" w:styleId="Header">
    <w:name w:val="header"/>
    <w:basedOn w:val="Normal"/>
    <w:link w:val="HeaderChar"/>
    <w:uiPriority w:val="99"/>
    <w:unhideWhenUsed/>
    <w:rsid w:val="00A20F6E"/>
    <w:pPr>
      <w:tabs>
        <w:tab w:val="center" w:pos="4513"/>
        <w:tab w:val="right" w:pos="9026"/>
      </w:tabs>
      <w:spacing w:after="0"/>
    </w:pPr>
  </w:style>
  <w:style w:type="character" w:customStyle="1" w:styleId="HeaderChar">
    <w:name w:val="Header Char"/>
    <w:basedOn w:val="DefaultParagraphFont"/>
    <w:link w:val="Header"/>
    <w:uiPriority w:val="99"/>
    <w:rsid w:val="00A20F6E"/>
  </w:style>
  <w:style w:type="paragraph" w:styleId="Footer">
    <w:name w:val="footer"/>
    <w:basedOn w:val="Normal"/>
    <w:link w:val="FooterChar"/>
    <w:unhideWhenUsed/>
    <w:rsid w:val="00A20F6E"/>
    <w:pPr>
      <w:tabs>
        <w:tab w:val="center" w:pos="4513"/>
        <w:tab w:val="right" w:pos="9026"/>
      </w:tabs>
      <w:spacing w:after="0"/>
    </w:pPr>
  </w:style>
  <w:style w:type="character" w:customStyle="1" w:styleId="FooterChar">
    <w:name w:val="Footer Char"/>
    <w:basedOn w:val="DefaultParagraphFont"/>
    <w:link w:val="Footer"/>
    <w:uiPriority w:val="99"/>
    <w:rsid w:val="00A20F6E"/>
  </w:style>
  <w:style w:type="paragraph" w:styleId="Title">
    <w:name w:val="Title"/>
    <w:basedOn w:val="Normal"/>
    <w:link w:val="TitleChar"/>
    <w:qFormat/>
    <w:rsid w:val="00FC74C6"/>
    <w:pPr>
      <w:spacing w:before="240" w:after="60"/>
      <w:jc w:val="center"/>
    </w:pPr>
    <w:rPr>
      <w:rFonts w:eastAsia="Times New Roman" w:cs="Arial"/>
      <w:b/>
      <w:bCs/>
      <w:caps/>
      <w:kern w:val="28"/>
      <w:sz w:val="28"/>
      <w:szCs w:val="32"/>
    </w:rPr>
  </w:style>
  <w:style w:type="character" w:customStyle="1" w:styleId="TitleChar">
    <w:name w:val="Title Char"/>
    <w:basedOn w:val="DefaultParagraphFont"/>
    <w:link w:val="Title"/>
    <w:rsid w:val="00FC74C6"/>
    <w:rPr>
      <w:rFonts w:ascii="Arial" w:eastAsia="Times New Roman" w:hAnsi="Arial" w:cs="Arial"/>
      <w:b/>
      <w:bCs/>
      <w:caps/>
      <w:kern w:val="28"/>
      <w:sz w:val="28"/>
      <w:szCs w:val="32"/>
    </w:rPr>
  </w:style>
  <w:style w:type="character" w:customStyle="1" w:styleId="Heading1Char">
    <w:name w:val="Heading 1 Char"/>
    <w:basedOn w:val="DefaultParagraphFont"/>
    <w:link w:val="Heading1"/>
    <w:rsid w:val="00160B6F"/>
    <w:rPr>
      <w:rFonts w:ascii="Arial" w:eastAsia="Times New Roman" w:hAnsi="Arial" w:cs="Times New Roman"/>
      <w:b/>
      <w:caps/>
      <w:sz w:val="24"/>
      <w:szCs w:val="20"/>
    </w:rPr>
  </w:style>
  <w:style w:type="character" w:styleId="PageNumber">
    <w:name w:val="page number"/>
    <w:basedOn w:val="DefaultParagraphFont"/>
    <w:rsid w:val="002D7F2C"/>
  </w:style>
  <w:style w:type="paragraph" w:customStyle="1" w:styleId="Default">
    <w:name w:val="Default"/>
    <w:rsid w:val="00677C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77CCF"/>
    <w:pPr>
      <w:ind w:left="720"/>
      <w:contextualSpacing/>
    </w:pPr>
  </w:style>
  <w:style w:type="paragraph" w:styleId="Caption">
    <w:name w:val="caption"/>
    <w:basedOn w:val="Normal"/>
    <w:next w:val="Normal"/>
    <w:link w:val="CaptionChar"/>
    <w:unhideWhenUsed/>
    <w:qFormat/>
    <w:rsid w:val="00E826F5"/>
    <w:rPr>
      <w:b/>
      <w:bCs/>
      <w:sz w:val="18"/>
      <w:szCs w:val="18"/>
    </w:rPr>
  </w:style>
  <w:style w:type="paragraph" w:styleId="BodyText">
    <w:name w:val="Body Text"/>
    <w:basedOn w:val="Normal"/>
    <w:link w:val="BodyTextChar"/>
    <w:rsid w:val="00865D81"/>
    <w:pPr>
      <w:spacing w:after="0"/>
    </w:pPr>
    <w:rPr>
      <w:rFonts w:ascii="Times New Roman" w:eastAsia="Times New Roman" w:hAnsi="Times New Roman" w:cs="Times New Roman"/>
      <w:i/>
      <w:color w:val="008000"/>
      <w:szCs w:val="20"/>
      <w:lang w:val="en-GB" w:eastAsia="en-US"/>
    </w:rPr>
  </w:style>
  <w:style w:type="character" w:customStyle="1" w:styleId="BodyTextChar">
    <w:name w:val="Body Text Char"/>
    <w:basedOn w:val="DefaultParagraphFont"/>
    <w:link w:val="BodyText"/>
    <w:rsid w:val="00865D81"/>
    <w:rPr>
      <w:rFonts w:ascii="Times New Roman" w:eastAsia="Times New Roman" w:hAnsi="Times New Roman" w:cs="Times New Roman"/>
      <w:i/>
      <w:color w:val="008000"/>
      <w:szCs w:val="20"/>
      <w:lang w:val="en-GB" w:eastAsia="en-US"/>
    </w:rPr>
  </w:style>
  <w:style w:type="character" w:customStyle="1" w:styleId="Heading2Char">
    <w:name w:val="Heading 2 Char"/>
    <w:basedOn w:val="DefaultParagraphFont"/>
    <w:link w:val="Heading2"/>
    <w:uiPriority w:val="9"/>
    <w:rsid w:val="00E15F1D"/>
    <w:rPr>
      <w:rFonts w:ascii="Arial" w:eastAsia="Times New Roman" w:hAnsi="Arial" w:cs="Arial"/>
      <w:b/>
      <w:szCs w:val="20"/>
    </w:rPr>
  </w:style>
  <w:style w:type="character" w:customStyle="1" w:styleId="Heading3Char">
    <w:name w:val="Heading 3 Char"/>
    <w:basedOn w:val="DefaultParagraphFont"/>
    <w:link w:val="Heading3"/>
    <w:uiPriority w:val="9"/>
    <w:rsid w:val="00160B6F"/>
    <w:rPr>
      <w:rFonts w:ascii="Arial" w:eastAsia="Times New Roman" w:hAnsi="Arial" w:cs="Arial"/>
      <w:i/>
      <w:szCs w:val="20"/>
    </w:rPr>
  </w:style>
  <w:style w:type="paragraph" w:styleId="NormalWeb">
    <w:name w:val="Normal (Web)"/>
    <w:basedOn w:val="Normal"/>
    <w:uiPriority w:val="99"/>
    <w:semiHidden/>
    <w:unhideWhenUsed/>
    <w:rsid w:val="001A51DA"/>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41539"/>
    <w:rPr>
      <w:rFonts w:asciiTheme="majorHAnsi" w:eastAsiaTheme="majorEastAsia" w:hAnsiTheme="majorHAnsi" w:cstheme="majorBidi"/>
      <w:i/>
      <w:iCs/>
      <w:color w:val="243F60" w:themeColor="accent1" w:themeShade="7F"/>
      <w:sz w:val="24"/>
      <w:szCs w:val="24"/>
      <w:lang w:eastAsia="en-US"/>
    </w:rPr>
  </w:style>
  <w:style w:type="character" w:styleId="Strong">
    <w:name w:val="Strong"/>
    <w:basedOn w:val="DefaultParagraphFont"/>
    <w:uiPriority w:val="22"/>
    <w:qFormat/>
    <w:rsid w:val="00941539"/>
    <w:rPr>
      <w:b/>
      <w:bCs/>
    </w:rPr>
  </w:style>
  <w:style w:type="character" w:customStyle="1" w:styleId="apple-converted-space">
    <w:name w:val="apple-converted-space"/>
    <w:basedOn w:val="DefaultParagraphFont"/>
    <w:rsid w:val="00941539"/>
  </w:style>
  <w:style w:type="paragraph" w:customStyle="1" w:styleId="CCDSMinorHeading1">
    <w:name w:val="CCDS Minor Heading 1"/>
    <w:basedOn w:val="Heading3"/>
    <w:link w:val="CCDSMinorHeading1Char"/>
    <w:qFormat/>
    <w:rsid w:val="008C430F"/>
    <w:pPr>
      <w:widowControl w:val="0"/>
      <w:spacing w:after="0" w:line="360" w:lineRule="atLeast"/>
    </w:pPr>
    <w:rPr>
      <w:rFonts w:eastAsia="MS Gothic"/>
      <w:kern w:val="2"/>
      <w:sz w:val="24"/>
      <w:szCs w:val="24"/>
      <w:lang w:val="fr-FR" w:eastAsia="ja-JP"/>
    </w:rPr>
  </w:style>
  <w:style w:type="character" w:customStyle="1" w:styleId="CCDSMinorHeading1Char">
    <w:name w:val="CCDS Minor Heading 1 Char"/>
    <w:link w:val="CCDSMinorHeading1"/>
    <w:rsid w:val="008C430F"/>
    <w:rPr>
      <w:rFonts w:ascii="Times New Roman" w:eastAsia="MS Gothic" w:hAnsi="Times New Roman" w:cs="Times New Roman"/>
      <w:b/>
      <w:bCs/>
      <w:kern w:val="2"/>
      <w:sz w:val="24"/>
      <w:szCs w:val="24"/>
      <w:lang w:val="fr-FR" w:eastAsia="ja-JP"/>
    </w:rPr>
  </w:style>
  <w:style w:type="character" w:customStyle="1" w:styleId="CaptionChar">
    <w:name w:val="Caption Char"/>
    <w:link w:val="Caption"/>
    <w:locked/>
    <w:rsid w:val="00E826F5"/>
    <w:rPr>
      <w:rFonts w:ascii="Arial" w:hAnsi="Arial"/>
      <w:b/>
      <w:bCs/>
      <w:sz w:val="18"/>
      <w:szCs w:val="18"/>
    </w:rPr>
  </w:style>
  <w:style w:type="character" w:styleId="Hyperlink">
    <w:name w:val="Hyperlink"/>
    <w:basedOn w:val="DefaultParagraphFont"/>
    <w:uiPriority w:val="99"/>
    <w:unhideWhenUsed/>
    <w:rsid w:val="00E66439"/>
    <w:rPr>
      <w:color w:val="0000FF"/>
      <w:u w:val="single"/>
    </w:rPr>
  </w:style>
  <w:style w:type="character" w:customStyle="1" w:styleId="Heading4Char">
    <w:name w:val="Heading 4 Char"/>
    <w:basedOn w:val="DefaultParagraphFont"/>
    <w:link w:val="Heading4"/>
    <w:uiPriority w:val="9"/>
    <w:rsid w:val="00160B6F"/>
    <w:rPr>
      <w:rFonts w:ascii="Arial" w:eastAsiaTheme="majorEastAsia" w:hAnsi="Arial" w:cstheme="majorBidi"/>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7572">
      <w:bodyDiv w:val="1"/>
      <w:marLeft w:val="0"/>
      <w:marRight w:val="0"/>
      <w:marTop w:val="0"/>
      <w:marBottom w:val="0"/>
      <w:divBdr>
        <w:top w:val="none" w:sz="0" w:space="0" w:color="auto"/>
        <w:left w:val="none" w:sz="0" w:space="0" w:color="auto"/>
        <w:bottom w:val="none" w:sz="0" w:space="0" w:color="auto"/>
        <w:right w:val="none" w:sz="0" w:space="0" w:color="auto"/>
      </w:divBdr>
    </w:div>
    <w:div w:id="379864919">
      <w:bodyDiv w:val="1"/>
      <w:marLeft w:val="0"/>
      <w:marRight w:val="0"/>
      <w:marTop w:val="0"/>
      <w:marBottom w:val="0"/>
      <w:divBdr>
        <w:top w:val="none" w:sz="0" w:space="0" w:color="auto"/>
        <w:left w:val="none" w:sz="0" w:space="0" w:color="auto"/>
        <w:bottom w:val="none" w:sz="0" w:space="0" w:color="auto"/>
        <w:right w:val="none" w:sz="0" w:space="0" w:color="auto"/>
      </w:divBdr>
    </w:div>
    <w:div w:id="481778421">
      <w:bodyDiv w:val="1"/>
      <w:marLeft w:val="0"/>
      <w:marRight w:val="0"/>
      <w:marTop w:val="0"/>
      <w:marBottom w:val="0"/>
      <w:divBdr>
        <w:top w:val="none" w:sz="0" w:space="0" w:color="auto"/>
        <w:left w:val="none" w:sz="0" w:space="0" w:color="auto"/>
        <w:bottom w:val="none" w:sz="0" w:space="0" w:color="auto"/>
        <w:right w:val="none" w:sz="0" w:space="0" w:color="auto"/>
      </w:divBdr>
    </w:div>
    <w:div w:id="551038862">
      <w:bodyDiv w:val="1"/>
      <w:marLeft w:val="0"/>
      <w:marRight w:val="0"/>
      <w:marTop w:val="0"/>
      <w:marBottom w:val="0"/>
      <w:divBdr>
        <w:top w:val="none" w:sz="0" w:space="0" w:color="auto"/>
        <w:left w:val="none" w:sz="0" w:space="0" w:color="auto"/>
        <w:bottom w:val="none" w:sz="0" w:space="0" w:color="auto"/>
        <w:right w:val="none" w:sz="0" w:space="0" w:color="auto"/>
      </w:divBdr>
    </w:div>
    <w:div w:id="741102463">
      <w:bodyDiv w:val="1"/>
      <w:marLeft w:val="0"/>
      <w:marRight w:val="0"/>
      <w:marTop w:val="0"/>
      <w:marBottom w:val="0"/>
      <w:divBdr>
        <w:top w:val="none" w:sz="0" w:space="0" w:color="auto"/>
        <w:left w:val="none" w:sz="0" w:space="0" w:color="auto"/>
        <w:bottom w:val="none" w:sz="0" w:space="0" w:color="auto"/>
        <w:right w:val="none" w:sz="0" w:space="0" w:color="auto"/>
      </w:divBdr>
    </w:div>
    <w:div w:id="901521944">
      <w:bodyDiv w:val="1"/>
      <w:marLeft w:val="0"/>
      <w:marRight w:val="0"/>
      <w:marTop w:val="0"/>
      <w:marBottom w:val="0"/>
      <w:divBdr>
        <w:top w:val="none" w:sz="0" w:space="0" w:color="auto"/>
        <w:left w:val="none" w:sz="0" w:space="0" w:color="auto"/>
        <w:bottom w:val="none" w:sz="0" w:space="0" w:color="auto"/>
        <w:right w:val="none" w:sz="0" w:space="0" w:color="auto"/>
      </w:divBdr>
    </w:div>
    <w:div w:id="1358921180">
      <w:bodyDiv w:val="1"/>
      <w:marLeft w:val="0"/>
      <w:marRight w:val="0"/>
      <w:marTop w:val="0"/>
      <w:marBottom w:val="0"/>
      <w:divBdr>
        <w:top w:val="none" w:sz="0" w:space="0" w:color="auto"/>
        <w:left w:val="none" w:sz="0" w:space="0" w:color="auto"/>
        <w:bottom w:val="none" w:sz="0" w:space="0" w:color="auto"/>
        <w:right w:val="none" w:sz="0" w:space="0" w:color="auto"/>
      </w:divBdr>
    </w:div>
    <w:div w:id="1382942767">
      <w:bodyDiv w:val="1"/>
      <w:marLeft w:val="0"/>
      <w:marRight w:val="0"/>
      <w:marTop w:val="0"/>
      <w:marBottom w:val="0"/>
      <w:divBdr>
        <w:top w:val="none" w:sz="0" w:space="0" w:color="auto"/>
        <w:left w:val="none" w:sz="0" w:space="0" w:color="auto"/>
        <w:bottom w:val="none" w:sz="0" w:space="0" w:color="auto"/>
        <w:right w:val="none" w:sz="0" w:space="0" w:color="auto"/>
      </w:divBdr>
    </w:div>
    <w:div w:id="1780371858">
      <w:bodyDiv w:val="1"/>
      <w:marLeft w:val="0"/>
      <w:marRight w:val="0"/>
      <w:marTop w:val="0"/>
      <w:marBottom w:val="0"/>
      <w:divBdr>
        <w:top w:val="none" w:sz="0" w:space="0" w:color="auto"/>
        <w:left w:val="none" w:sz="0" w:space="0" w:color="auto"/>
        <w:bottom w:val="none" w:sz="0" w:space="0" w:color="auto"/>
        <w:right w:val="none" w:sz="0" w:space="0" w:color="auto"/>
      </w:divBdr>
    </w:div>
    <w:div w:id="20156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FCDD-D9B0-49D7-B474-4D0AC3E0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6235</Words>
  <Characters>32547</Characters>
  <Application>Microsoft Office Word</Application>
  <DocSecurity>0</DocSecurity>
  <Lines>500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Ixazomib citrate</dc:title>
  <dc:subject>Prescription medicines</dc:subject>
  <dc:creator>Therapeutic Goods Administration</dc:creator>
  <cp:keywords>auspars</cp:keywords>
  <cp:lastModifiedBy>Therapeutic Goods Administration (TGA) </cp:lastModifiedBy>
  <cp:revision>17</cp:revision>
  <cp:lastPrinted>2015-08-10T01:59:00Z</cp:lastPrinted>
  <dcterms:created xsi:type="dcterms:W3CDTF">2017-09-27T23:10:00Z</dcterms:created>
  <dcterms:modified xsi:type="dcterms:W3CDTF">2017-11-16T05:50:00Z</dcterms:modified>
</cp:coreProperties>
</file>